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C0B8C8" w14:textId="77777777" w:rsidR="00C0337D" w:rsidRPr="0041193A" w:rsidRDefault="00C0337D" w:rsidP="006432E9">
      <w:pPr>
        <w:spacing w:line="360" w:lineRule="auto"/>
        <w:jc w:val="both"/>
        <w:rPr>
          <w:b/>
          <w:lang w:val="en-US"/>
        </w:rPr>
      </w:pPr>
      <w:bookmarkStart w:id="0" w:name="_GoBack"/>
      <w:bookmarkEnd w:id="0"/>
      <w:r w:rsidRPr="0041193A">
        <w:rPr>
          <w:b/>
          <w:lang w:val="en-US"/>
        </w:rPr>
        <w:t xml:space="preserve">Lactating mice exposed to infant formula enriched with polyamines: impact on host transcriptome and microbiome. </w:t>
      </w:r>
    </w:p>
    <w:p w14:paraId="017DB477" w14:textId="77777777" w:rsidR="00C0337D" w:rsidRPr="0041193A" w:rsidRDefault="00C0337D" w:rsidP="006432E9">
      <w:pPr>
        <w:spacing w:line="360" w:lineRule="auto"/>
        <w:jc w:val="center"/>
      </w:pPr>
      <w:r>
        <w:t>Carlos Gómez-Gallego</w:t>
      </w:r>
      <w:r>
        <w:rPr>
          <w:vertAlign w:val="superscript"/>
        </w:rPr>
        <w:t>1, 4</w:t>
      </w:r>
      <w:r>
        <w:t>,</w:t>
      </w:r>
      <w:r w:rsidRPr="0041193A">
        <w:t xml:space="preserve"> </w:t>
      </w:r>
      <w:r>
        <w:t>María</w:t>
      </w:r>
      <w:r w:rsidRPr="0041193A">
        <w:t xml:space="preserve"> García Romo</w:t>
      </w:r>
      <w:r>
        <w:rPr>
          <w:vertAlign w:val="superscript"/>
        </w:rPr>
        <w:t>2</w:t>
      </w:r>
      <w:r>
        <w:t xml:space="preserve">, Rafael </w:t>
      </w:r>
      <w:r w:rsidRPr="0041193A">
        <w:t>Frías</w:t>
      </w:r>
      <w:r>
        <w:rPr>
          <w:vertAlign w:val="superscript"/>
        </w:rPr>
        <w:t>3</w:t>
      </w:r>
      <w:r>
        <w:t>, María Jesús Periago</w:t>
      </w:r>
      <w:r>
        <w:rPr>
          <w:vertAlign w:val="superscript"/>
        </w:rPr>
        <w:t>4, 5</w:t>
      </w:r>
      <w:r w:rsidRPr="0041193A">
        <w:t xml:space="preserve">, </w:t>
      </w:r>
      <w:r>
        <w:t>Gaspar Ros</w:t>
      </w:r>
      <w:r>
        <w:rPr>
          <w:vertAlign w:val="superscript"/>
        </w:rPr>
        <w:t>4, 5</w:t>
      </w:r>
      <w:r w:rsidRPr="0041193A">
        <w:t xml:space="preserve">, </w:t>
      </w:r>
      <w:r>
        <w:t>Seppo</w:t>
      </w:r>
      <w:r w:rsidRPr="0041193A">
        <w:t xml:space="preserve"> </w:t>
      </w:r>
      <w:r>
        <w:t>Salminen</w:t>
      </w:r>
      <w:r>
        <w:rPr>
          <w:vertAlign w:val="superscript"/>
        </w:rPr>
        <w:t>1</w:t>
      </w:r>
      <w:r>
        <w:t xml:space="preserve"> and Maria C Collado</w:t>
      </w:r>
      <w:r>
        <w:rPr>
          <w:vertAlign w:val="superscript"/>
        </w:rPr>
        <w:t>2</w:t>
      </w:r>
      <w:r w:rsidRPr="0041193A">
        <w:t>.</w:t>
      </w:r>
    </w:p>
    <w:p w14:paraId="4E80EA9C" w14:textId="77777777" w:rsidR="00C0337D" w:rsidRPr="0041193A" w:rsidRDefault="00C0337D" w:rsidP="006432E9">
      <w:pPr>
        <w:spacing w:after="0" w:line="360" w:lineRule="auto"/>
        <w:jc w:val="both"/>
        <w:rPr>
          <w:lang w:val="en-US"/>
        </w:rPr>
      </w:pPr>
      <w:r w:rsidRPr="00907A80">
        <w:rPr>
          <w:vertAlign w:val="superscript"/>
          <w:lang w:val="en-US"/>
        </w:rPr>
        <w:t>1.</w:t>
      </w:r>
      <w:r>
        <w:rPr>
          <w:lang w:val="en-US"/>
        </w:rPr>
        <w:t xml:space="preserve"> </w:t>
      </w:r>
      <w:r w:rsidRPr="0041193A">
        <w:rPr>
          <w:lang w:val="en-US"/>
        </w:rPr>
        <w:t>Functional Foods Forum, University of Turku, Finland.</w:t>
      </w:r>
    </w:p>
    <w:p w14:paraId="42B5310C" w14:textId="77777777" w:rsidR="00C0337D" w:rsidRPr="0041193A" w:rsidRDefault="00C0337D" w:rsidP="006432E9">
      <w:pPr>
        <w:spacing w:after="0" w:line="360" w:lineRule="auto"/>
        <w:jc w:val="both"/>
        <w:rPr>
          <w:lang w:val="en-US"/>
        </w:rPr>
      </w:pPr>
      <w:r w:rsidRPr="00907A80">
        <w:rPr>
          <w:vertAlign w:val="superscript"/>
          <w:lang w:val="en-US"/>
        </w:rPr>
        <w:t>2.</w:t>
      </w:r>
      <w:r>
        <w:rPr>
          <w:lang w:val="en-US"/>
        </w:rPr>
        <w:t xml:space="preserve"> </w:t>
      </w:r>
      <w:r w:rsidRPr="0041193A">
        <w:rPr>
          <w:lang w:val="en-US"/>
        </w:rPr>
        <w:t>Institute of Agrochemistry and Food Technology-National Research Council (IATA-CSIC), Spain.</w:t>
      </w:r>
    </w:p>
    <w:p w14:paraId="3C277E83" w14:textId="77777777" w:rsidR="00C0337D" w:rsidRPr="0041193A" w:rsidRDefault="00C0337D" w:rsidP="006432E9">
      <w:pPr>
        <w:spacing w:after="0" w:line="360" w:lineRule="auto"/>
        <w:jc w:val="both"/>
        <w:rPr>
          <w:lang w:val="en-US"/>
        </w:rPr>
      </w:pPr>
      <w:r w:rsidRPr="00907A80">
        <w:rPr>
          <w:vertAlign w:val="superscript"/>
          <w:lang w:val="en-US"/>
        </w:rPr>
        <w:t>3.</w:t>
      </w:r>
      <w:r>
        <w:rPr>
          <w:lang w:val="en-US"/>
        </w:rPr>
        <w:t xml:space="preserve"> </w:t>
      </w:r>
      <w:r w:rsidRPr="0041193A">
        <w:rPr>
          <w:lang w:val="en-US"/>
        </w:rPr>
        <w:t>LAS Education &amp; Training Unit, Comparative Medicine, Karolinska Institute, Sweden.</w:t>
      </w:r>
    </w:p>
    <w:p w14:paraId="522D49AC" w14:textId="77777777" w:rsidR="00C0337D" w:rsidRPr="0041193A" w:rsidRDefault="00C0337D" w:rsidP="006432E9">
      <w:pPr>
        <w:spacing w:after="0" w:line="360" w:lineRule="auto"/>
        <w:jc w:val="both"/>
        <w:rPr>
          <w:lang w:val="en-US"/>
        </w:rPr>
      </w:pPr>
      <w:r w:rsidRPr="00907A80">
        <w:rPr>
          <w:vertAlign w:val="superscript"/>
          <w:lang w:val="en-US"/>
        </w:rPr>
        <w:t>4.</w:t>
      </w:r>
      <w:r>
        <w:rPr>
          <w:lang w:val="en-US"/>
        </w:rPr>
        <w:t xml:space="preserve"> </w:t>
      </w:r>
      <w:r w:rsidRPr="0041193A">
        <w:rPr>
          <w:lang w:val="en-US"/>
        </w:rPr>
        <w:t>Department of Food Technology, Nutrition and Food Science, University of Murcia, Spain.</w:t>
      </w:r>
    </w:p>
    <w:p w14:paraId="2E701C69" w14:textId="77777777" w:rsidR="00C0337D" w:rsidRDefault="00C0337D" w:rsidP="006432E9">
      <w:pPr>
        <w:spacing w:after="0" w:line="360" w:lineRule="auto"/>
        <w:jc w:val="both"/>
        <w:rPr>
          <w:lang w:val="en-US"/>
        </w:rPr>
      </w:pPr>
      <w:r w:rsidRPr="00907A80">
        <w:rPr>
          <w:vertAlign w:val="superscript"/>
          <w:lang w:val="en-US"/>
        </w:rPr>
        <w:t>5.</w:t>
      </w:r>
      <w:r>
        <w:rPr>
          <w:lang w:val="en-US"/>
        </w:rPr>
        <w:t xml:space="preserve"> </w:t>
      </w:r>
      <w:r w:rsidRPr="0041193A">
        <w:rPr>
          <w:lang w:val="en-US"/>
        </w:rPr>
        <w:t>Nutrition and Food Science, Biomedical Research Institute of Murcia ‘Virgen de la Arrixaca’ (IMIB), Spain.</w:t>
      </w:r>
    </w:p>
    <w:p w14:paraId="1DFEA237" w14:textId="77777777" w:rsidR="00C0337D" w:rsidRDefault="00C0337D" w:rsidP="006432E9">
      <w:pPr>
        <w:spacing w:after="0" w:line="360" w:lineRule="auto"/>
        <w:jc w:val="both"/>
        <w:rPr>
          <w:lang w:val="en-US"/>
        </w:rPr>
      </w:pPr>
    </w:p>
    <w:p w14:paraId="4CA1E90D" w14:textId="77777777" w:rsidR="00C0337D" w:rsidRDefault="00C0337D" w:rsidP="006432E9">
      <w:pPr>
        <w:spacing w:after="0" w:line="360" w:lineRule="auto"/>
        <w:jc w:val="both"/>
        <w:rPr>
          <w:lang w:val="en-US"/>
        </w:rPr>
      </w:pPr>
      <w:r w:rsidRPr="0041193A">
        <w:rPr>
          <w:lang w:val="en-US"/>
        </w:rPr>
        <w:t>Corresponding author:</w:t>
      </w:r>
      <w:r>
        <w:rPr>
          <w:lang w:val="en-US"/>
        </w:rPr>
        <w:t xml:space="preserve"> Carlos Gómez-Gallego</w:t>
      </w:r>
      <w:r w:rsidRPr="0041193A">
        <w:rPr>
          <w:lang w:val="en-US"/>
        </w:rPr>
        <w:t>, Functional Foods Forum, Faculty of Medicine, University of Turku, Itäinen Pitkäk</w:t>
      </w:r>
      <w:r>
        <w:rPr>
          <w:lang w:val="en-US"/>
        </w:rPr>
        <w:t>atu 4 A, 20014 Turku, Finland. E-mail: cargom@utu.fi</w:t>
      </w:r>
      <w:r w:rsidRPr="0041193A">
        <w:rPr>
          <w:lang w:val="en-US"/>
        </w:rPr>
        <w:t>. Phone: +358 2 333 6821.</w:t>
      </w:r>
    </w:p>
    <w:p w14:paraId="7A768617" w14:textId="77777777" w:rsidR="00C0337D" w:rsidRDefault="00C0337D" w:rsidP="006432E9">
      <w:pPr>
        <w:spacing w:line="360" w:lineRule="auto"/>
        <w:rPr>
          <w:lang w:val="en-US"/>
        </w:rPr>
      </w:pPr>
      <w:r>
        <w:rPr>
          <w:lang w:val="en-US"/>
        </w:rPr>
        <w:lastRenderedPageBreak/>
        <w:br w:type="page"/>
      </w:r>
    </w:p>
    <w:p w14:paraId="30030F8D" w14:textId="77777777" w:rsidR="00C0337D" w:rsidRPr="00236F5C" w:rsidRDefault="00C0337D" w:rsidP="006432E9">
      <w:pPr>
        <w:spacing w:after="0" w:line="360" w:lineRule="auto"/>
        <w:jc w:val="both"/>
        <w:rPr>
          <w:b/>
          <w:color w:val="000000" w:themeColor="text1"/>
          <w:lang w:val="en-US"/>
        </w:rPr>
      </w:pPr>
      <w:r w:rsidRPr="00236F5C">
        <w:rPr>
          <w:b/>
          <w:color w:val="000000" w:themeColor="text1"/>
          <w:lang w:val="en-US"/>
        </w:rPr>
        <w:lastRenderedPageBreak/>
        <w:t>ABSTRACT</w:t>
      </w:r>
    </w:p>
    <w:p w14:paraId="00785CFB" w14:textId="17EF2A20" w:rsidR="00C0337D" w:rsidRPr="00236F5C" w:rsidRDefault="00C0337D" w:rsidP="006432E9">
      <w:pPr>
        <w:spacing w:after="0" w:line="360" w:lineRule="auto"/>
        <w:jc w:val="both"/>
        <w:rPr>
          <w:color w:val="000000" w:themeColor="text1"/>
          <w:lang w:val="en-US"/>
        </w:rPr>
      </w:pPr>
      <w:r w:rsidRPr="00236F5C">
        <w:rPr>
          <w:color w:val="000000" w:themeColor="text1"/>
          <w:lang w:val="en-US"/>
        </w:rPr>
        <w:t xml:space="preserve">Recent evidence shows the impact that the supplementation of an infant formula in polyamines has in the modulation of microbial colonization and immune system development during lactation using a BALB/cOlaHsd model. </w:t>
      </w:r>
      <w:r>
        <w:rPr>
          <w:bCs/>
          <w:color w:val="000000" w:themeColor="text1"/>
          <w:lang w:val="en-US"/>
        </w:rPr>
        <w:t>To</w:t>
      </w:r>
      <w:r w:rsidRPr="00236F5C">
        <w:rPr>
          <w:bCs/>
          <w:color w:val="000000" w:themeColor="text1"/>
          <w:lang w:val="en-US"/>
        </w:rPr>
        <w:t xml:space="preserve"> contribute to deciphering and identifying new complex interactions underlying the host response to polyamines</w:t>
      </w:r>
      <w:r>
        <w:rPr>
          <w:bCs/>
          <w:color w:val="000000" w:themeColor="text1"/>
          <w:lang w:val="en-US"/>
        </w:rPr>
        <w:t>,</w:t>
      </w:r>
      <w:r w:rsidRPr="00236F5C">
        <w:rPr>
          <w:bCs/>
          <w:color w:val="000000" w:themeColor="text1"/>
          <w:lang w:val="en-US"/>
        </w:rPr>
        <w:t xml:space="preserve"> </w:t>
      </w:r>
      <w:r>
        <w:rPr>
          <w:bCs/>
          <w:color w:val="000000" w:themeColor="text1"/>
          <w:lang w:val="en-US"/>
        </w:rPr>
        <w:t>a</w:t>
      </w:r>
      <w:r w:rsidRPr="00236F5C">
        <w:rPr>
          <w:bCs/>
          <w:color w:val="000000" w:themeColor="text1"/>
          <w:lang w:val="en-US"/>
        </w:rPr>
        <w:t xml:space="preserve"> systems biology approach integrating data from microbiota along gastrointestinal tract, lymphocyte populations and immune system gene expression analysis of a</w:t>
      </w:r>
      <w:r>
        <w:rPr>
          <w:bCs/>
          <w:color w:val="000000" w:themeColor="text1"/>
          <w:lang w:val="en-US"/>
        </w:rPr>
        <w:t xml:space="preserve"> </w:t>
      </w:r>
      <w:r w:rsidRPr="00AF3696">
        <w:rPr>
          <w:bCs/>
          <w:color w:val="FF0000"/>
          <w:lang w:val="en-US"/>
        </w:rPr>
        <w:t>lactating</w:t>
      </w:r>
      <w:r w:rsidRPr="00236F5C">
        <w:rPr>
          <w:bCs/>
          <w:color w:val="000000" w:themeColor="text1"/>
          <w:lang w:val="en-US"/>
        </w:rPr>
        <w:t xml:space="preserve"> mice model</w:t>
      </w:r>
      <w:r>
        <w:rPr>
          <w:bCs/>
          <w:color w:val="000000" w:themeColor="text1"/>
          <w:lang w:val="en-US"/>
        </w:rPr>
        <w:t xml:space="preserve"> </w:t>
      </w:r>
      <w:r w:rsidRPr="00AF3696">
        <w:rPr>
          <w:bCs/>
          <w:color w:val="FF0000"/>
          <w:lang w:val="en-US"/>
        </w:rPr>
        <w:t>fed different diet</w:t>
      </w:r>
      <w:r w:rsidR="00E91166">
        <w:rPr>
          <w:bCs/>
          <w:color w:val="FF0000"/>
          <w:lang w:val="en-US"/>
        </w:rPr>
        <w:t>s</w:t>
      </w:r>
      <w:r w:rsidRPr="00236F5C">
        <w:rPr>
          <w:bCs/>
          <w:color w:val="000000" w:themeColor="text1"/>
          <w:lang w:val="en-US"/>
        </w:rPr>
        <w:t xml:space="preserve"> was carried out. </w:t>
      </w:r>
      <w:r w:rsidRPr="005B5F16">
        <w:rPr>
          <w:bCs/>
          <w:color w:val="FF0000"/>
          <w:lang w:val="en-US"/>
        </w:rPr>
        <w:t xml:space="preserve">The study design included four different dietary </w:t>
      </w:r>
      <w:r w:rsidR="008246DE">
        <w:rPr>
          <w:bCs/>
          <w:color w:val="FF0000"/>
          <w:lang w:val="en-US"/>
        </w:rPr>
        <w:t>regimens</w:t>
      </w:r>
      <w:r w:rsidR="008246DE" w:rsidRPr="005B5F16">
        <w:rPr>
          <w:bCs/>
          <w:color w:val="FF0000"/>
          <w:lang w:val="en-US"/>
        </w:rPr>
        <w:t xml:space="preserve"> </w:t>
      </w:r>
      <w:r w:rsidRPr="005B5F16">
        <w:rPr>
          <w:bCs/>
          <w:color w:val="FF0000"/>
          <w:lang w:val="en-US"/>
        </w:rPr>
        <w:t>including</w:t>
      </w:r>
      <w:r w:rsidR="007259FC">
        <w:rPr>
          <w:bCs/>
          <w:color w:val="FF0000"/>
          <w:lang w:val="en-US"/>
        </w:rPr>
        <w:t xml:space="preserve"> </w:t>
      </w:r>
      <w:r w:rsidR="008246DE">
        <w:rPr>
          <w:bCs/>
          <w:color w:val="FF0000"/>
          <w:lang w:val="en-US"/>
        </w:rPr>
        <w:t>the following:</w:t>
      </w:r>
      <w:r w:rsidRPr="005B5F16">
        <w:rPr>
          <w:bCs/>
          <w:color w:val="FF0000"/>
          <w:lang w:val="en-US"/>
        </w:rPr>
        <w:t xml:space="preserve"> mice fed with normal lactation; early weaned mice </w:t>
      </w:r>
      <w:r w:rsidR="008246DE">
        <w:rPr>
          <w:bCs/>
          <w:color w:val="FF0000"/>
          <w:lang w:val="en-US"/>
        </w:rPr>
        <w:t>given</w:t>
      </w:r>
      <w:r w:rsidRPr="005B5F16">
        <w:rPr>
          <w:bCs/>
          <w:color w:val="FF0000"/>
          <w:lang w:val="en-US"/>
        </w:rPr>
        <w:t xml:space="preserve"> commercial infant formula; and early weaned mice fed with infant formula enriched with two different concentrations of polyamines</w:t>
      </w:r>
      <w:r>
        <w:rPr>
          <w:bCs/>
          <w:color w:val="000000" w:themeColor="text1"/>
          <w:lang w:val="en-US"/>
        </w:rPr>
        <w:t xml:space="preserve">. </w:t>
      </w:r>
      <w:r w:rsidRPr="00AF3696">
        <w:rPr>
          <w:bCs/>
          <w:color w:val="FF0000"/>
          <w:lang w:val="en-US"/>
        </w:rPr>
        <w:t xml:space="preserve">Cluster analysis by principal component analysis and heat map </w:t>
      </w:r>
      <w:r w:rsidR="005278A6">
        <w:rPr>
          <w:bCs/>
          <w:color w:val="FF0000"/>
          <w:lang w:val="en-US"/>
        </w:rPr>
        <w:t>demonstrated</w:t>
      </w:r>
      <w:r w:rsidR="005278A6" w:rsidRPr="00AF3696">
        <w:rPr>
          <w:bCs/>
          <w:color w:val="FF0000"/>
          <w:lang w:val="en-US"/>
        </w:rPr>
        <w:t xml:space="preserve"> </w:t>
      </w:r>
      <w:r w:rsidRPr="00AF3696">
        <w:rPr>
          <w:bCs/>
          <w:color w:val="FF0000"/>
          <w:lang w:val="en-US"/>
        </w:rPr>
        <w:t>that the bacterial communities and immune system status</w:t>
      </w:r>
      <w:r>
        <w:rPr>
          <w:bCs/>
          <w:color w:val="FF0000"/>
          <w:lang w:val="en-US"/>
        </w:rPr>
        <w:t xml:space="preserve"> </w:t>
      </w:r>
      <w:r w:rsidR="005278A6">
        <w:rPr>
          <w:bCs/>
          <w:color w:val="FF0000"/>
          <w:lang w:val="en-US"/>
        </w:rPr>
        <w:t>differed</w:t>
      </w:r>
      <w:r>
        <w:rPr>
          <w:bCs/>
          <w:color w:val="FF0000"/>
          <w:lang w:val="en-US"/>
        </w:rPr>
        <w:t xml:space="preserve"> between</w:t>
      </w:r>
      <w:r w:rsidRPr="00AF3696">
        <w:rPr>
          <w:bCs/>
          <w:color w:val="FF0000"/>
          <w:lang w:val="en-US"/>
        </w:rPr>
        <w:t xml:space="preserve"> groups</w:t>
      </w:r>
      <w:r w:rsidRPr="00AF3696">
        <w:rPr>
          <w:bCs/>
          <w:color w:val="000000" w:themeColor="text1"/>
          <w:lang w:val="en-US"/>
        </w:rPr>
        <w:t>.</w:t>
      </w:r>
      <w:r>
        <w:rPr>
          <w:bCs/>
          <w:color w:val="000000" w:themeColor="text1"/>
          <w:lang w:val="en-US"/>
        </w:rPr>
        <w:t xml:space="preserve"> </w:t>
      </w:r>
      <w:r w:rsidRPr="00236F5C">
        <w:rPr>
          <w:bCs/>
          <w:color w:val="000000" w:themeColor="text1"/>
          <w:lang w:val="en-US"/>
        </w:rPr>
        <w:t xml:space="preserve">The assessment of the relationship between immune system developments, </w:t>
      </w:r>
      <w:r w:rsidRPr="00236F5C">
        <w:rPr>
          <w:bCs/>
          <w:color w:val="000000" w:themeColor="text1"/>
          <w:lang w:val="en-US"/>
        </w:rPr>
        <w:lastRenderedPageBreak/>
        <w:t>microbiota succession and polyamine supplementation</w:t>
      </w:r>
      <w:r>
        <w:rPr>
          <w:color w:val="000000" w:themeColor="text1"/>
          <w:lang w:val="en-US"/>
        </w:rPr>
        <w:t xml:space="preserve"> in a global manner </w:t>
      </w:r>
      <w:r w:rsidRPr="00AF3696">
        <w:rPr>
          <w:color w:val="FF0000"/>
          <w:lang w:val="en-US"/>
        </w:rPr>
        <w:t>prove</w:t>
      </w:r>
      <w:r>
        <w:rPr>
          <w:color w:val="FF0000"/>
          <w:lang w:val="en-US"/>
        </w:rPr>
        <w:t>d</w:t>
      </w:r>
      <w:r w:rsidRPr="00236F5C">
        <w:rPr>
          <w:color w:val="000000" w:themeColor="text1"/>
          <w:lang w:val="en-US"/>
        </w:rPr>
        <w:t xml:space="preserve"> that the supplementation of an infant formula with polyamines </w:t>
      </w:r>
      <w:r w:rsidR="005278A6">
        <w:rPr>
          <w:color w:val="000000" w:themeColor="text1"/>
          <w:lang w:val="en-US"/>
        </w:rPr>
        <w:t>promotes simila</w:t>
      </w:r>
      <w:r w:rsidR="007259FC">
        <w:rPr>
          <w:color w:val="000000" w:themeColor="text1"/>
          <w:lang w:val="en-US"/>
        </w:rPr>
        <w:t>r</w:t>
      </w:r>
      <w:r w:rsidRPr="00236F5C">
        <w:rPr>
          <w:color w:val="000000" w:themeColor="text1"/>
          <w:lang w:val="en-US"/>
        </w:rPr>
        <w:t xml:space="preserve"> microbial communities along the whole gastrointestinal tract, </w:t>
      </w:r>
      <w:r w:rsidR="005278A6">
        <w:rPr>
          <w:color w:val="000000" w:themeColor="text1"/>
          <w:lang w:val="en-US"/>
        </w:rPr>
        <w:t xml:space="preserve">and similar </w:t>
      </w:r>
      <w:r w:rsidRPr="00236F5C">
        <w:rPr>
          <w:color w:val="000000" w:themeColor="text1"/>
          <w:lang w:val="en-US"/>
        </w:rPr>
        <w:t xml:space="preserve">lymphocyte populations and expression of immune related-genes </w:t>
      </w:r>
      <w:r w:rsidR="005278A6">
        <w:rPr>
          <w:color w:val="000000" w:themeColor="text1"/>
          <w:lang w:val="en-US"/>
        </w:rPr>
        <w:t xml:space="preserve">as </w:t>
      </w:r>
      <w:r w:rsidRPr="00236F5C">
        <w:rPr>
          <w:color w:val="000000" w:themeColor="text1"/>
          <w:lang w:val="en-US"/>
        </w:rPr>
        <w:t xml:space="preserve">during normal lactation </w:t>
      </w:r>
      <w:r w:rsidR="005278A6">
        <w:rPr>
          <w:color w:val="000000" w:themeColor="text1"/>
          <w:lang w:val="en-US"/>
        </w:rPr>
        <w:t>and the results differ from those with</w:t>
      </w:r>
      <w:r w:rsidR="005278A6" w:rsidRPr="00236F5C">
        <w:rPr>
          <w:color w:val="000000" w:themeColor="text1"/>
          <w:lang w:val="en-US"/>
        </w:rPr>
        <w:t xml:space="preserve"> </w:t>
      </w:r>
      <w:r w:rsidRPr="00236F5C">
        <w:rPr>
          <w:color w:val="000000" w:themeColor="text1"/>
          <w:lang w:val="en-US"/>
        </w:rPr>
        <w:t>the infant formula without polyamines.</w:t>
      </w:r>
      <w:r>
        <w:rPr>
          <w:color w:val="000000" w:themeColor="text1"/>
          <w:lang w:val="en-US"/>
        </w:rPr>
        <w:t xml:space="preserve"> </w:t>
      </w:r>
      <w:r w:rsidRPr="00236F5C">
        <w:rPr>
          <w:color w:val="000000" w:themeColor="text1"/>
          <w:lang w:val="en-US"/>
        </w:rPr>
        <w:t>Further studies should be conducted</w:t>
      </w:r>
      <w:r>
        <w:rPr>
          <w:color w:val="000000" w:themeColor="text1"/>
          <w:lang w:val="en-US"/>
        </w:rPr>
        <w:t xml:space="preserve"> in human subjects to verify </w:t>
      </w:r>
      <w:r w:rsidR="005278A6">
        <w:rPr>
          <w:color w:val="FF0000"/>
          <w:lang w:val="en-US"/>
        </w:rPr>
        <w:t>the current</w:t>
      </w:r>
      <w:r w:rsidRPr="00236F5C">
        <w:rPr>
          <w:color w:val="000000" w:themeColor="text1"/>
          <w:lang w:val="en-US"/>
        </w:rPr>
        <w:t xml:space="preserve"> results</w:t>
      </w:r>
      <w:r>
        <w:rPr>
          <w:color w:val="000000" w:themeColor="text1"/>
          <w:lang w:val="en-US"/>
        </w:rPr>
        <w:t>,</w:t>
      </w:r>
      <w:r w:rsidRPr="00236F5C">
        <w:rPr>
          <w:b/>
          <w:color w:val="000000" w:themeColor="text1"/>
          <w:lang w:val="en-US"/>
        </w:rPr>
        <w:t xml:space="preserve"> </w:t>
      </w:r>
      <w:r w:rsidR="005278A6">
        <w:rPr>
          <w:color w:val="FF0000"/>
          <w:lang w:val="en-US"/>
        </w:rPr>
        <w:t>as</w:t>
      </w:r>
      <w:r w:rsidR="005278A6" w:rsidRPr="00236F5C">
        <w:rPr>
          <w:color w:val="000000" w:themeColor="text1"/>
          <w:lang w:val="en-US"/>
        </w:rPr>
        <w:t xml:space="preserve"> </w:t>
      </w:r>
      <w:r w:rsidRPr="00236F5C">
        <w:rPr>
          <w:color w:val="000000" w:themeColor="text1"/>
          <w:lang w:val="en-US"/>
        </w:rPr>
        <w:t xml:space="preserve">the supplementation of polyamines </w:t>
      </w:r>
      <w:r w:rsidR="005278A6">
        <w:rPr>
          <w:color w:val="000000" w:themeColor="text1"/>
          <w:lang w:val="en-US"/>
        </w:rPr>
        <w:t xml:space="preserve">may </w:t>
      </w:r>
      <w:r w:rsidRPr="00236F5C">
        <w:rPr>
          <w:color w:val="000000" w:themeColor="text1"/>
          <w:lang w:val="en-US"/>
        </w:rPr>
        <w:t xml:space="preserve">resemble the effect of natural breastfeeding practices in the gastrointestinal microbiota and immune system development in a mouse model. </w:t>
      </w:r>
    </w:p>
    <w:p w14:paraId="2493CAF9" w14:textId="77777777" w:rsidR="00C0337D" w:rsidRDefault="00C0337D" w:rsidP="006432E9">
      <w:pPr>
        <w:spacing w:after="0" w:line="360" w:lineRule="auto"/>
        <w:jc w:val="both"/>
        <w:rPr>
          <w:lang w:val="en-US"/>
        </w:rPr>
      </w:pPr>
    </w:p>
    <w:p w14:paraId="54DE785E" w14:textId="77777777" w:rsidR="00C0337D" w:rsidRPr="00A97AF5" w:rsidRDefault="00C0337D" w:rsidP="006432E9">
      <w:pPr>
        <w:spacing w:line="360" w:lineRule="auto"/>
        <w:rPr>
          <w:b/>
          <w:lang w:val="fr-FR"/>
        </w:rPr>
      </w:pPr>
      <w:r w:rsidRPr="00A97AF5">
        <w:rPr>
          <w:b/>
          <w:lang w:val="fr-FR"/>
        </w:rPr>
        <w:br w:type="page"/>
      </w:r>
    </w:p>
    <w:p w14:paraId="75BC7F2E" w14:textId="77777777" w:rsidR="00C0337D" w:rsidRPr="001F3FA9" w:rsidRDefault="00C0337D" w:rsidP="006432E9">
      <w:pPr>
        <w:spacing w:after="0" w:line="360" w:lineRule="auto"/>
        <w:jc w:val="both"/>
        <w:rPr>
          <w:b/>
          <w:bCs/>
          <w:sz w:val="28"/>
          <w:szCs w:val="28"/>
          <w:lang w:val="en-US"/>
        </w:rPr>
      </w:pPr>
      <w:r w:rsidRPr="001F3FA9">
        <w:rPr>
          <w:b/>
          <w:bCs/>
          <w:sz w:val="28"/>
          <w:szCs w:val="28"/>
          <w:lang w:val="en-US"/>
        </w:rPr>
        <w:lastRenderedPageBreak/>
        <w:t>1. Introduction</w:t>
      </w:r>
    </w:p>
    <w:p w14:paraId="5B6805BD" w14:textId="77777777" w:rsidR="00C0337D" w:rsidRPr="00561ED2" w:rsidRDefault="00C0337D" w:rsidP="006432E9">
      <w:pPr>
        <w:spacing w:after="0" w:line="360" w:lineRule="auto"/>
        <w:jc w:val="both"/>
        <w:rPr>
          <w:bCs/>
          <w:lang w:val="en-US"/>
        </w:rPr>
      </w:pPr>
      <w:r w:rsidRPr="00561ED2">
        <w:rPr>
          <w:bCs/>
          <w:lang w:val="en-US"/>
        </w:rPr>
        <w:t>Polyamines are polycationic compounds essential for cell growth. Their main sources include diet and production for the intestinal microbiota and biosynthesis from amino acids</w:t>
      </w:r>
      <w:r>
        <w:rPr>
          <w:bCs/>
          <w:lang w:val="en-US"/>
        </w:rPr>
        <w:t>.</w:t>
      </w:r>
      <w:r w:rsidRPr="001F3FA9">
        <w:rPr>
          <w:bCs/>
          <w:noProof/>
          <w:vertAlign w:val="superscript"/>
          <w:lang w:val="en-US"/>
        </w:rPr>
        <w:t>1</w:t>
      </w:r>
      <w:r w:rsidRPr="00561ED2">
        <w:rPr>
          <w:bCs/>
          <w:lang w:val="en-US"/>
        </w:rPr>
        <w:t xml:space="preserve"> They are natu</w:t>
      </w:r>
      <w:r w:rsidR="00802EF8">
        <w:rPr>
          <w:bCs/>
          <w:lang w:val="en-US"/>
        </w:rPr>
        <w:t>rally present in human milk</w:t>
      </w:r>
      <w:r w:rsidR="00802EF8">
        <w:rPr>
          <w:bCs/>
          <w:color w:val="FF0000"/>
          <w:lang w:val="en-US"/>
        </w:rPr>
        <w:t>, displaying</w:t>
      </w:r>
      <w:r w:rsidRPr="00561ED2">
        <w:rPr>
          <w:bCs/>
          <w:lang w:val="en-US"/>
        </w:rPr>
        <w:t xml:space="preserve"> an important role in infants during intestinal maturation and development of intestinal nutrient absorption</w:t>
      </w:r>
      <w:r>
        <w:rPr>
          <w:bCs/>
          <w:lang w:val="en-US"/>
        </w:rPr>
        <w:t>.</w:t>
      </w:r>
      <w:r w:rsidRPr="001F3FA9">
        <w:rPr>
          <w:bCs/>
          <w:noProof/>
          <w:vertAlign w:val="superscript"/>
          <w:lang w:val="en-US"/>
        </w:rPr>
        <w:t>1</w:t>
      </w:r>
      <w:r w:rsidRPr="00561ED2">
        <w:rPr>
          <w:bCs/>
          <w:lang w:val="en-US"/>
        </w:rPr>
        <w:t xml:space="preserve"> In addition, polyamines are linked to cell growth and differentiation in eukaryotic and prokaryotic cells. Hence it is natural to associate polyamine intake to the developmental status of early intestinal microbiota</w:t>
      </w:r>
      <w:r>
        <w:rPr>
          <w:bCs/>
          <w:lang w:val="en-US"/>
        </w:rPr>
        <w:t>.</w:t>
      </w:r>
      <w:r w:rsidRPr="001F3FA9">
        <w:rPr>
          <w:bCs/>
          <w:noProof/>
          <w:vertAlign w:val="superscript"/>
          <w:lang w:val="en-US"/>
        </w:rPr>
        <w:t>2</w:t>
      </w:r>
      <w:r w:rsidRPr="00561ED2">
        <w:rPr>
          <w:bCs/>
          <w:lang w:val="en-US"/>
        </w:rPr>
        <w:t xml:space="preserve"> At present, there are no general recommendations for polyamine intake. However, epidemiological studies in lactating children and mothers suggest that low polyamine intake from breast milk or formula may increase the risk of allergic diseases</w:t>
      </w:r>
      <w:r>
        <w:rPr>
          <w:bCs/>
          <w:lang w:val="en-US"/>
        </w:rPr>
        <w:t>.</w:t>
      </w:r>
      <w:r w:rsidRPr="001F3FA9">
        <w:rPr>
          <w:bCs/>
          <w:noProof/>
          <w:vertAlign w:val="superscript"/>
          <w:lang w:val="en-US"/>
        </w:rPr>
        <w:t>3, 4</w:t>
      </w:r>
    </w:p>
    <w:p w14:paraId="40B11195" w14:textId="614B676A" w:rsidR="00C0337D" w:rsidRPr="00236F5C" w:rsidRDefault="00C0337D" w:rsidP="00802EF8">
      <w:pPr>
        <w:spacing w:after="0" w:line="360" w:lineRule="auto"/>
        <w:jc w:val="both"/>
        <w:rPr>
          <w:bCs/>
          <w:color w:val="000000" w:themeColor="text1"/>
          <w:lang w:val="en-US"/>
        </w:rPr>
      </w:pPr>
      <w:r w:rsidRPr="00236F5C">
        <w:rPr>
          <w:bCs/>
          <w:color w:val="000000" w:themeColor="text1"/>
          <w:lang w:val="en-US"/>
        </w:rPr>
        <w:t>E</w:t>
      </w:r>
      <w:r w:rsidR="00802EF8">
        <w:rPr>
          <w:bCs/>
          <w:color w:val="000000" w:themeColor="text1"/>
          <w:lang w:val="en-US"/>
        </w:rPr>
        <w:t>pidemiological studies have</w:t>
      </w:r>
      <w:r w:rsidRPr="00236F5C">
        <w:rPr>
          <w:bCs/>
          <w:color w:val="000000" w:themeColor="text1"/>
          <w:lang w:val="en-US"/>
        </w:rPr>
        <w:t xml:space="preserve"> shown that breastfeeding </w:t>
      </w:r>
      <w:r w:rsidR="00802EF8" w:rsidRPr="00236F5C">
        <w:rPr>
          <w:bCs/>
          <w:color w:val="000000" w:themeColor="text1"/>
          <w:lang w:val="en-US"/>
        </w:rPr>
        <w:t xml:space="preserve">is </w:t>
      </w:r>
      <w:r w:rsidR="00802EF8" w:rsidRPr="00236F5C">
        <w:rPr>
          <w:color w:val="000000" w:themeColor="text1"/>
          <w:lang w:val="en-US"/>
        </w:rPr>
        <w:t>associated</w:t>
      </w:r>
      <w:r w:rsidRPr="00236F5C">
        <w:rPr>
          <w:color w:val="000000" w:themeColor="text1"/>
          <w:lang w:val="en-US"/>
        </w:rPr>
        <w:t xml:space="preserve"> with a reduction in the risk of specific diseases such as infections, atopic dermatitis, asthma, obesity and diabetes</w:t>
      </w:r>
      <w:r w:rsidRPr="001F3FA9">
        <w:rPr>
          <w:noProof/>
          <w:color w:val="000000" w:themeColor="text1"/>
          <w:vertAlign w:val="superscript"/>
          <w:lang w:val="en-US"/>
        </w:rPr>
        <w:t>5</w:t>
      </w:r>
      <w:r w:rsidRPr="00236F5C">
        <w:rPr>
          <w:color w:val="000000" w:themeColor="text1"/>
          <w:lang w:val="en-US"/>
        </w:rPr>
        <w:t xml:space="preserve"> comparing with infant formula feeding.</w:t>
      </w:r>
      <w:r w:rsidRPr="00236F5C">
        <w:rPr>
          <w:bCs/>
          <w:color w:val="000000" w:themeColor="text1"/>
          <w:lang w:val="en-US"/>
        </w:rPr>
        <w:t xml:space="preserve"> Infant formulas usually have lower contents of polyamines than </w:t>
      </w:r>
      <w:r w:rsidRPr="00236F5C">
        <w:rPr>
          <w:bCs/>
          <w:color w:val="000000" w:themeColor="text1"/>
          <w:lang w:val="en-US"/>
        </w:rPr>
        <w:lastRenderedPageBreak/>
        <w:t>breast milk</w:t>
      </w:r>
      <w:r>
        <w:rPr>
          <w:bCs/>
          <w:color w:val="000000" w:themeColor="text1"/>
          <w:lang w:val="en-US"/>
        </w:rPr>
        <w:t>.</w:t>
      </w:r>
      <w:r w:rsidRPr="001F3FA9">
        <w:rPr>
          <w:bCs/>
          <w:noProof/>
          <w:color w:val="000000" w:themeColor="text1"/>
          <w:vertAlign w:val="superscript"/>
          <w:lang w:val="en-US"/>
        </w:rPr>
        <w:t>6</w:t>
      </w:r>
      <w:r w:rsidR="00802EF8">
        <w:rPr>
          <w:bCs/>
          <w:color w:val="000000" w:themeColor="text1"/>
          <w:lang w:val="en-US"/>
        </w:rPr>
        <w:t xml:space="preserve"> </w:t>
      </w:r>
      <w:r w:rsidR="00802EF8" w:rsidRPr="00802EF8">
        <w:rPr>
          <w:bCs/>
          <w:color w:val="FF0000"/>
          <w:lang w:val="en-US"/>
        </w:rPr>
        <w:t>Polyamines are essential</w:t>
      </w:r>
      <w:r w:rsidRPr="00802EF8">
        <w:rPr>
          <w:bCs/>
          <w:color w:val="FF0000"/>
          <w:lang w:val="en-US"/>
        </w:rPr>
        <w:t xml:space="preserve"> </w:t>
      </w:r>
      <w:r w:rsidR="005278A6">
        <w:rPr>
          <w:bCs/>
          <w:color w:val="FF0000"/>
          <w:lang w:val="en-US"/>
        </w:rPr>
        <w:t>for</w:t>
      </w:r>
      <w:r w:rsidR="005278A6" w:rsidRPr="00802EF8">
        <w:rPr>
          <w:bCs/>
          <w:color w:val="FF0000"/>
          <w:lang w:val="en-US"/>
        </w:rPr>
        <w:t xml:space="preserve"> </w:t>
      </w:r>
      <w:r w:rsidRPr="00802EF8">
        <w:rPr>
          <w:bCs/>
          <w:color w:val="FF0000"/>
          <w:lang w:val="en-US"/>
        </w:rPr>
        <w:t>develop</w:t>
      </w:r>
      <w:r w:rsidR="005278A6">
        <w:rPr>
          <w:bCs/>
          <w:color w:val="FF0000"/>
          <w:lang w:val="en-US"/>
        </w:rPr>
        <w:t>ing</w:t>
      </w:r>
      <w:r w:rsidRPr="00802EF8">
        <w:rPr>
          <w:bCs/>
          <w:color w:val="FF0000"/>
          <w:lang w:val="en-US"/>
        </w:rPr>
        <w:t xml:space="preserve"> tissues</w:t>
      </w:r>
      <w:r w:rsidR="00802EF8" w:rsidRPr="00802EF8">
        <w:rPr>
          <w:bCs/>
          <w:color w:val="FF0000"/>
          <w:lang w:val="en-US"/>
        </w:rPr>
        <w:t xml:space="preserve"> in relation to their specific roles in stabilizing the negative charges of </w:t>
      </w:r>
      <w:r w:rsidR="00F00E44">
        <w:rPr>
          <w:bCs/>
          <w:color w:val="FF0000"/>
          <w:lang w:val="en-US"/>
        </w:rPr>
        <w:t xml:space="preserve">DNA and </w:t>
      </w:r>
      <w:r w:rsidR="00802EF8" w:rsidRPr="00802EF8">
        <w:rPr>
          <w:bCs/>
          <w:color w:val="FF0000"/>
          <w:lang w:val="en-US"/>
        </w:rPr>
        <w:t>the</w:t>
      </w:r>
      <w:r w:rsidR="00F00E44">
        <w:rPr>
          <w:bCs/>
          <w:color w:val="FF0000"/>
          <w:lang w:val="en-US"/>
        </w:rPr>
        <w:t xml:space="preserve"> structure of chromatin</w:t>
      </w:r>
      <w:r w:rsidR="00802EF8" w:rsidRPr="00802EF8">
        <w:rPr>
          <w:bCs/>
          <w:color w:val="FF0000"/>
          <w:lang w:val="en-US"/>
        </w:rPr>
        <w:t>, the regulation of several transcriptional factors, and</w:t>
      </w:r>
      <w:r w:rsidR="00F00E44">
        <w:rPr>
          <w:bCs/>
          <w:color w:val="FF0000"/>
          <w:lang w:val="en-US"/>
        </w:rPr>
        <w:t xml:space="preserve"> the regulation of the</w:t>
      </w:r>
      <w:r w:rsidR="00802EF8" w:rsidRPr="00802EF8">
        <w:rPr>
          <w:bCs/>
          <w:color w:val="FF0000"/>
          <w:lang w:val="en-US"/>
        </w:rPr>
        <w:t xml:space="preserve"> protein synthesis</w:t>
      </w:r>
      <w:r w:rsidR="00F00E44">
        <w:rPr>
          <w:bCs/>
          <w:color w:val="FF0000"/>
          <w:vertAlign w:val="superscript"/>
          <w:lang w:val="en-US"/>
        </w:rPr>
        <w:t>1</w:t>
      </w:r>
      <w:r w:rsidR="00F00E44">
        <w:rPr>
          <w:bCs/>
          <w:color w:val="FF0000"/>
          <w:lang w:val="en-US"/>
        </w:rPr>
        <w:t xml:space="preserve">. All these functions are </w:t>
      </w:r>
      <w:r w:rsidR="005278A6">
        <w:rPr>
          <w:bCs/>
          <w:color w:val="FF0000"/>
          <w:lang w:val="en-US"/>
        </w:rPr>
        <w:t xml:space="preserve">fundamental </w:t>
      </w:r>
      <w:r w:rsidR="00F00E44">
        <w:rPr>
          <w:bCs/>
          <w:color w:val="FF0000"/>
          <w:lang w:val="en-US"/>
        </w:rPr>
        <w:t xml:space="preserve">for gut and immune system maturation, and </w:t>
      </w:r>
      <w:r w:rsidRPr="00236F5C">
        <w:rPr>
          <w:bCs/>
          <w:color w:val="000000" w:themeColor="text1"/>
          <w:lang w:val="en-US"/>
        </w:rPr>
        <w:t>the low polyamine intake may be partially responsible of the differences in health outcomes between breast-fed and formula-fed infants.</w:t>
      </w:r>
    </w:p>
    <w:p w14:paraId="63FC4683" w14:textId="77777777" w:rsidR="00C0337D" w:rsidRPr="00561ED2" w:rsidRDefault="00C0337D" w:rsidP="006432E9">
      <w:pPr>
        <w:spacing w:after="0" w:line="360" w:lineRule="auto"/>
        <w:jc w:val="both"/>
        <w:rPr>
          <w:bCs/>
          <w:lang w:val="en-US"/>
        </w:rPr>
      </w:pPr>
      <w:r w:rsidRPr="00561ED2">
        <w:rPr>
          <w:bCs/>
          <w:lang w:val="en-US"/>
        </w:rPr>
        <w:t>Previous studies have shown that supplementation of infant formula with polyamines may influence both gas</w:t>
      </w:r>
      <w:r w:rsidR="00F00E44">
        <w:rPr>
          <w:bCs/>
          <w:lang w:val="en-US"/>
        </w:rPr>
        <w:t>trointestinal microbiota and</w:t>
      </w:r>
      <w:r w:rsidRPr="00561ED2">
        <w:rPr>
          <w:bCs/>
          <w:lang w:val="en-US"/>
        </w:rPr>
        <w:t xml:space="preserve"> immune system</w:t>
      </w:r>
      <w:r>
        <w:rPr>
          <w:bCs/>
          <w:lang w:val="en-US"/>
        </w:rPr>
        <w:t xml:space="preserve"> </w:t>
      </w:r>
      <w:r w:rsidRPr="00236F5C">
        <w:rPr>
          <w:bCs/>
          <w:lang w:val="en-US"/>
        </w:rPr>
        <w:t>development</w:t>
      </w:r>
      <w:r>
        <w:rPr>
          <w:bCs/>
          <w:lang w:val="en-US"/>
        </w:rPr>
        <w:t>.</w:t>
      </w:r>
      <w:r w:rsidRPr="001F3FA9">
        <w:rPr>
          <w:bCs/>
          <w:noProof/>
          <w:vertAlign w:val="superscript"/>
          <w:lang w:val="en-US"/>
        </w:rPr>
        <w:t>7-9</w:t>
      </w:r>
      <w:r w:rsidRPr="00561ED2">
        <w:rPr>
          <w:bCs/>
          <w:lang w:val="en-US"/>
        </w:rPr>
        <w:t xml:space="preserve"> As immune system </w:t>
      </w:r>
      <w:r w:rsidRPr="00236F5C">
        <w:rPr>
          <w:bCs/>
          <w:lang w:val="en-US"/>
        </w:rPr>
        <w:t>development and</w:t>
      </w:r>
      <w:r w:rsidRPr="00561ED2">
        <w:rPr>
          <w:bCs/>
          <w:lang w:val="en-US"/>
        </w:rPr>
        <w:t xml:space="preserve"> microbial colonization pattern are closely related in newborns</w:t>
      </w:r>
      <w:r>
        <w:rPr>
          <w:bCs/>
          <w:lang w:val="en-US"/>
        </w:rPr>
        <w:t>,</w:t>
      </w:r>
      <w:r w:rsidRPr="001F3FA9">
        <w:rPr>
          <w:bCs/>
          <w:noProof/>
          <w:vertAlign w:val="superscript"/>
          <w:lang w:val="en-US"/>
        </w:rPr>
        <w:t>10, 11</w:t>
      </w:r>
      <w:r w:rsidRPr="00561ED2">
        <w:rPr>
          <w:bCs/>
          <w:lang w:val="en-US"/>
        </w:rPr>
        <w:t xml:space="preserve"> the objective of this work was to </w:t>
      </w:r>
      <w:r>
        <w:rPr>
          <w:bCs/>
          <w:lang w:val="en-US"/>
        </w:rPr>
        <w:t>use a</w:t>
      </w:r>
      <w:r w:rsidRPr="007B6154">
        <w:rPr>
          <w:bCs/>
          <w:lang w:val="en-US"/>
        </w:rPr>
        <w:t xml:space="preserve"> systems biology approach integrating </w:t>
      </w:r>
      <w:r w:rsidRPr="00561ED2">
        <w:rPr>
          <w:bCs/>
          <w:lang w:val="en-US"/>
        </w:rPr>
        <w:t xml:space="preserve">data-sets on microbiota and immune system obtained using different methodologies </w:t>
      </w:r>
      <w:r>
        <w:rPr>
          <w:bCs/>
          <w:lang w:val="en-US"/>
        </w:rPr>
        <w:t xml:space="preserve">to understand in a global perspective the effects of polyamines in the pivotal </w:t>
      </w:r>
      <w:r w:rsidRPr="00561ED2">
        <w:rPr>
          <w:bCs/>
          <w:lang w:val="en-US"/>
        </w:rPr>
        <w:t>relationship</w:t>
      </w:r>
      <w:r>
        <w:rPr>
          <w:bCs/>
          <w:lang w:val="en-US"/>
        </w:rPr>
        <w:t>s</w:t>
      </w:r>
      <w:r w:rsidRPr="00561ED2">
        <w:rPr>
          <w:bCs/>
          <w:lang w:val="en-US"/>
        </w:rPr>
        <w:t xml:space="preserve"> between immune system development, microbiota succession and </w:t>
      </w:r>
      <w:r>
        <w:rPr>
          <w:bCs/>
          <w:lang w:val="en-US"/>
        </w:rPr>
        <w:t>health.</w:t>
      </w:r>
    </w:p>
    <w:p w14:paraId="6029F112" w14:textId="77777777" w:rsidR="00C0337D" w:rsidRPr="001F3FA9" w:rsidRDefault="00C0337D" w:rsidP="006432E9">
      <w:pPr>
        <w:spacing w:before="240" w:line="360" w:lineRule="auto"/>
        <w:jc w:val="both"/>
        <w:rPr>
          <w:b/>
          <w:bCs/>
          <w:sz w:val="28"/>
          <w:szCs w:val="28"/>
          <w:lang w:val="en-US"/>
        </w:rPr>
      </w:pPr>
      <w:r>
        <w:rPr>
          <w:b/>
          <w:bCs/>
          <w:sz w:val="28"/>
          <w:szCs w:val="28"/>
          <w:lang w:val="en-US"/>
        </w:rPr>
        <w:t xml:space="preserve">2. </w:t>
      </w:r>
      <w:r w:rsidRPr="00907A80">
        <w:rPr>
          <w:b/>
          <w:bCs/>
          <w:sz w:val="28"/>
          <w:szCs w:val="28"/>
          <w:lang w:val="en-US"/>
        </w:rPr>
        <w:t>Materials &amp; methods</w:t>
      </w:r>
      <w:r w:rsidRPr="001F3FA9">
        <w:rPr>
          <w:b/>
          <w:bCs/>
          <w:sz w:val="28"/>
          <w:szCs w:val="28"/>
          <w:lang w:val="en-US"/>
        </w:rPr>
        <w:t xml:space="preserve"> </w:t>
      </w:r>
    </w:p>
    <w:p w14:paraId="44122571" w14:textId="77777777" w:rsidR="00C0337D" w:rsidRPr="00561ED2" w:rsidRDefault="00C0337D" w:rsidP="006432E9">
      <w:pPr>
        <w:spacing w:before="240" w:line="360" w:lineRule="auto"/>
        <w:jc w:val="both"/>
        <w:rPr>
          <w:b/>
          <w:bCs/>
          <w:lang w:val="en-US"/>
        </w:rPr>
      </w:pPr>
      <w:r>
        <w:rPr>
          <w:b/>
          <w:bCs/>
          <w:lang w:val="en-US"/>
        </w:rPr>
        <w:lastRenderedPageBreak/>
        <w:t xml:space="preserve">2.1. </w:t>
      </w:r>
      <w:r w:rsidRPr="00561ED2">
        <w:rPr>
          <w:b/>
          <w:bCs/>
          <w:lang w:val="en-US"/>
        </w:rPr>
        <w:t>Data sources</w:t>
      </w:r>
    </w:p>
    <w:p w14:paraId="07333B18" w14:textId="77777777" w:rsidR="00C0337D" w:rsidRPr="00561ED2" w:rsidRDefault="00C0337D" w:rsidP="006432E9">
      <w:pPr>
        <w:spacing w:after="0" w:line="360" w:lineRule="auto"/>
        <w:jc w:val="both"/>
        <w:rPr>
          <w:bCs/>
          <w:lang w:val="en-US"/>
        </w:rPr>
      </w:pPr>
      <w:r w:rsidRPr="00561ED2">
        <w:rPr>
          <w:bCs/>
          <w:lang w:val="en-US"/>
        </w:rPr>
        <w:t xml:space="preserve">Recently published data in regards to microbial composition using fluorescent </w:t>
      </w:r>
      <w:r w:rsidRPr="00561ED2">
        <w:rPr>
          <w:bCs/>
          <w:i/>
          <w:lang w:val="en-US"/>
        </w:rPr>
        <w:t>in situ</w:t>
      </w:r>
      <w:r w:rsidRPr="00561ED2">
        <w:rPr>
          <w:bCs/>
          <w:lang w:val="en-US"/>
        </w:rPr>
        <w:t xml:space="preserve"> hybridization (FISH)</w:t>
      </w:r>
      <w:r w:rsidRPr="001F3FA9">
        <w:rPr>
          <w:bCs/>
          <w:noProof/>
          <w:vertAlign w:val="superscript"/>
          <w:lang w:val="en-US"/>
        </w:rPr>
        <w:t>7</w:t>
      </w:r>
      <w:r w:rsidRPr="00561ED2">
        <w:rPr>
          <w:bCs/>
          <w:lang w:val="en-US"/>
        </w:rPr>
        <w:t xml:space="preserve"> and qPCR along the whole gastrointestinal tract</w:t>
      </w:r>
      <w:r>
        <w:rPr>
          <w:bCs/>
          <w:lang w:val="en-US"/>
        </w:rPr>
        <w:t>;</w:t>
      </w:r>
      <w:r w:rsidRPr="001F3FA9">
        <w:rPr>
          <w:bCs/>
          <w:noProof/>
          <w:vertAlign w:val="superscript"/>
          <w:lang w:val="en-US"/>
        </w:rPr>
        <w:t>9</w:t>
      </w:r>
      <w:r w:rsidRPr="00561ED2">
        <w:rPr>
          <w:bCs/>
          <w:lang w:val="en-US"/>
        </w:rPr>
        <w:t xml:space="preserve"> immune cell population in blood, spleen and mesenteric lymph node analyzed by fluorescent activated cell sorting (FACS)</w:t>
      </w:r>
      <w:r>
        <w:rPr>
          <w:bCs/>
          <w:lang w:val="en-US"/>
        </w:rPr>
        <w:t>;</w:t>
      </w:r>
      <w:r w:rsidRPr="001F3FA9">
        <w:rPr>
          <w:bCs/>
          <w:noProof/>
          <w:vertAlign w:val="superscript"/>
          <w:lang w:val="en-US"/>
        </w:rPr>
        <w:t>8</w:t>
      </w:r>
      <w:r w:rsidRPr="00561ED2">
        <w:rPr>
          <w:bCs/>
          <w:lang w:val="en-US"/>
        </w:rPr>
        <w:t xml:space="preserve"> and host response by transcriptomics focused on key-genes related with immune system development in small intestine</w:t>
      </w:r>
      <w:r w:rsidRPr="001F3FA9">
        <w:rPr>
          <w:bCs/>
          <w:noProof/>
          <w:vertAlign w:val="superscript"/>
          <w:lang w:val="en-US"/>
        </w:rPr>
        <w:t>8</w:t>
      </w:r>
      <w:r w:rsidRPr="00561ED2">
        <w:rPr>
          <w:bCs/>
          <w:lang w:val="en-US"/>
        </w:rPr>
        <w:t xml:space="preserve"> were included for integrative analysis.</w:t>
      </w:r>
      <w:r>
        <w:rPr>
          <w:bCs/>
          <w:lang w:val="en-US"/>
        </w:rPr>
        <w:t xml:space="preserve"> </w:t>
      </w:r>
      <w:r w:rsidRPr="0072231E">
        <w:rPr>
          <w:rFonts w:ascii="Calibri" w:eastAsia="Calibri" w:hAnsi="Calibri" w:cs="Times New Roman"/>
          <w:color w:val="FF0000"/>
          <w:lang w:val="en-US"/>
        </w:rPr>
        <w:t>Details on the methodologies employed are described in the mentioned references</w:t>
      </w:r>
      <w:r>
        <w:rPr>
          <w:rFonts w:ascii="Calibri" w:eastAsia="Calibri" w:hAnsi="Calibri" w:cs="Times New Roman"/>
          <w:lang w:val="en-US"/>
        </w:rPr>
        <w:t>.</w:t>
      </w:r>
    </w:p>
    <w:p w14:paraId="536EAF6E" w14:textId="7F9DB662" w:rsidR="00C0337D" w:rsidRPr="00561ED2" w:rsidRDefault="00C0337D" w:rsidP="006432E9">
      <w:pPr>
        <w:spacing w:after="0" w:line="360" w:lineRule="auto"/>
        <w:jc w:val="both"/>
        <w:rPr>
          <w:bCs/>
          <w:lang w:val="en-US"/>
        </w:rPr>
      </w:pPr>
      <w:r w:rsidRPr="00561ED2">
        <w:rPr>
          <w:bCs/>
          <w:lang w:val="en-US"/>
        </w:rPr>
        <w:t xml:space="preserve">In brief, 48 BALB/cOlaHsd mouse pups (age 14 days, weight 7.85 g ± 1.06 g) were randomly and blindly allocated in different experimental groups for a 4-day diet treatment. The study design included four different treatment groups including male and female animals in the same proportion: NL) mice fed with normal lactation; IF) early weaned mice fed with commercial infant formula; T1 and T2) early weaned mice fed with infant formula enriched with polyamines, respectively. The concentration of supplemented polyamines ingested for T1 mice was 2.10 μg, 22.05 μg and </w:t>
      </w:r>
      <w:r w:rsidRPr="00561ED2">
        <w:rPr>
          <w:bCs/>
          <w:lang w:val="en-US"/>
        </w:rPr>
        <w:lastRenderedPageBreak/>
        <w:t xml:space="preserve">38.00 μg of putrescine, spermidine and spermine respectively; and 8.40 </w:t>
      </w:r>
      <w:r w:rsidRPr="00561ED2">
        <w:rPr>
          <w:bCs/>
        </w:rPr>
        <w:t>μ</w:t>
      </w:r>
      <w:r w:rsidRPr="00561ED2">
        <w:rPr>
          <w:bCs/>
          <w:lang w:val="en-US"/>
        </w:rPr>
        <w:t>g, 88.20 μg, 152.00 μg of putrescine, spermidine and spermine respectively for T2 group</w:t>
      </w:r>
      <w:r>
        <w:rPr>
          <w:bCs/>
          <w:lang w:val="en-US"/>
        </w:rPr>
        <w:t>.</w:t>
      </w:r>
      <w:r w:rsidRPr="001F3FA9">
        <w:rPr>
          <w:bCs/>
          <w:noProof/>
          <w:vertAlign w:val="superscript"/>
          <w:lang w:val="en-US"/>
        </w:rPr>
        <w:t>8</w:t>
      </w:r>
      <w:r w:rsidRPr="00561ED2">
        <w:rPr>
          <w:bCs/>
          <w:lang w:val="en-US"/>
        </w:rPr>
        <w:t xml:space="preserve"> </w:t>
      </w:r>
      <w:r w:rsidRPr="00C31496">
        <w:rPr>
          <w:bCs/>
          <w:color w:val="FF0000"/>
          <w:lang w:val="en-US"/>
        </w:rPr>
        <w:t xml:space="preserve">Nonenriched formula and formula with polyamines were made with warm water following the manufacturer's instructions and given to the early weaned pups twice daily by </w:t>
      </w:r>
      <w:r w:rsidR="00FB2814">
        <w:rPr>
          <w:bCs/>
          <w:color w:val="FF0000"/>
          <w:lang w:val="en-US"/>
        </w:rPr>
        <w:t>gastric</w:t>
      </w:r>
      <w:r w:rsidR="00FB2814" w:rsidRPr="00C31496">
        <w:rPr>
          <w:bCs/>
          <w:color w:val="FF0000"/>
          <w:lang w:val="en-US"/>
        </w:rPr>
        <w:t xml:space="preserve"> </w:t>
      </w:r>
      <w:r w:rsidRPr="00C31496">
        <w:rPr>
          <w:bCs/>
          <w:color w:val="FF0000"/>
          <w:lang w:val="en-US"/>
        </w:rPr>
        <w:t>gavage.</w:t>
      </w:r>
      <w:r w:rsidRPr="00C31496">
        <w:rPr>
          <w:bCs/>
          <w:color w:val="FF0000"/>
          <w:vertAlign w:val="superscript"/>
          <w:lang w:val="en-US"/>
        </w:rPr>
        <w:t>7-9</w:t>
      </w:r>
      <w:r w:rsidRPr="00C31496">
        <w:rPr>
          <w:bCs/>
          <w:color w:val="FF0000"/>
          <w:lang w:val="en-US"/>
        </w:rPr>
        <w:t xml:space="preserve"> Polyamines were added to the infant formula immediately before administering to the mice</w:t>
      </w:r>
      <w:r>
        <w:rPr>
          <w:bCs/>
          <w:color w:val="FF0000"/>
          <w:lang w:val="en-US"/>
        </w:rPr>
        <w:t xml:space="preserve"> </w:t>
      </w:r>
      <w:r w:rsidRPr="00A73098">
        <w:rPr>
          <w:bCs/>
          <w:iCs/>
          <w:color w:val="FF0000"/>
          <w:lang w:val="en-US"/>
        </w:rPr>
        <w:t>the concentrations of polyamines employed in this study w</w:t>
      </w:r>
      <w:r w:rsidR="00FB2814">
        <w:rPr>
          <w:bCs/>
          <w:iCs/>
          <w:color w:val="FF0000"/>
          <w:lang w:val="en-US"/>
        </w:rPr>
        <w:t>ere</w:t>
      </w:r>
      <w:r w:rsidRPr="00A73098">
        <w:rPr>
          <w:bCs/>
          <w:iCs/>
          <w:color w:val="FF0000"/>
          <w:lang w:val="en-US"/>
        </w:rPr>
        <w:t xml:space="preserve"> in a proportion similar to human milk and lower to the NOAEL (</w:t>
      </w:r>
      <w:r w:rsidRPr="00A73098">
        <w:rPr>
          <w:bCs/>
          <w:iCs/>
          <w:color w:val="FF0000"/>
          <w:lang w:val="en-GB"/>
        </w:rPr>
        <w:t>no-observed adverse effect level)</w:t>
      </w:r>
      <w:r w:rsidRPr="00C31496">
        <w:rPr>
          <w:bCs/>
          <w:color w:val="FF0000"/>
          <w:lang w:val="en-US"/>
        </w:rPr>
        <w:t>.</w:t>
      </w:r>
      <w:r w:rsidR="00802EF8">
        <w:rPr>
          <w:bCs/>
          <w:color w:val="FF0000"/>
          <w:vertAlign w:val="superscript"/>
          <w:lang w:val="en-US"/>
        </w:rPr>
        <w:t>7, 1</w:t>
      </w:r>
      <w:r>
        <w:rPr>
          <w:bCs/>
          <w:color w:val="FF0000"/>
          <w:vertAlign w:val="superscript"/>
          <w:lang w:val="en-US"/>
        </w:rPr>
        <w:t>2</w:t>
      </w:r>
      <w:r>
        <w:rPr>
          <w:bCs/>
          <w:lang w:val="en-US"/>
        </w:rPr>
        <w:t xml:space="preserve"> </w:t>
      </w:r>
      <w:r w:rsidR="005202EA" w:rsidRPr="005202EA">
        <w:rPr>
          <w:bCs/>
          <w:color w:val="FF0000"/>
          <w:lang w:val="en-US"/>
        </w:rPr>
        <w:t>All the mice were determined to be healthy on the basis of individual physical examinations and m</w:t>
      </w:r>
      <w:r w:rsidR="00F00E44">
        <w:rPr>
          <w:bCs/>
          <w:lang w:val="en-US"/>
        </w:rPr>
        <w:t xml:space="preserve">icrobiological status of </w:t>
      </w:r>
      <w:r w:rsidRPr="00561ED2">
        <w:rPr>
          <w:bCs/>
          <w:lang w:val="en-US"/>
        </w:rPr>
        <w:t>mice were determined to be healthy based on the results of routine microbiological screening carried out in the colony and maintained through the study in accordance with FELASA recommendations</w:t>
      </w:r>
      <w:r>
        <w:rPr>
          <w:bCs/>
          <w:lang w:val="en-US"/>
        </w:rPr>
        <w:t>.</w:t>
      </w:r>
      <w:r>
        <w:rPr>
          <w:bCs/>
          <w:noProof/>
          <w:vertAlign w:val="superscript"/>
          <w:lang w:val="en-US"/>
        </w:rPr>
        <w:t>13, 14</w:t>
      </w:r>
      <w:r w:rsidRPr="00561ED2">
        <w:rPr>
          <w:bCs/>
          <w:lang w:val="en-US"/>
        </w:rPr>
        <w:t xml:space="preserve"> The experimental protocol was approved by the National Ethics Committee for Animal Experiments in Finland (ESLH-2009-04 845/Ym-23).</w:t>
      </w:r>
      <w:r w:rsidR="00802EF8">
        <w:rPr>
          <w:bCs/>
          <w:lang w:val="en-US"/>
        </w:rPr>
        <w:t xml:space="preserve"> </w:t>
      </w:r>
    </w:p>
    <w:p w14:paraId="584CF324" w14:textId="77777777" w:rsidR="00C0337D" w:rsidRDefault="00C0337D" w:rsidP="006432E9">
      <w:pPr>
        <w:spacing w:after="0" w:line="360" w:lineRule="auto"/>
        <w:jc w:val="both"/>
        <w:rPr>
          <w:b/>
          <w:bCs/>
          <w:lang w:val="en-US"/>
        </w:rPr>
      </w:pPr>
    </w:p>
    <w:p w14:paraId="1B18804D" w14:textId="77777777" w:rsidR="00C0337D" w:rsidRPr="002F7E2C" w:rsidRDefault="00C0337D" w:rsidP="006432E9">
      <w:pPr>
        <w:spacing w:after="0" w:line="360" w:lineRule="auto"/>
        <w:jc w:val="both"/>
        <w:rPr>
          <w:b/>
          <w:bCs/>
          <w:lang w:val="en-US"/>
        </w:rPr>
      </w:pPr>
      <w:r>
        <w:rPr>
          <w:b/>
          <w:bCs/>
          <w:lang w:val="en-US"/>
        </w:rPr>
        <w:lastRenderedPageBreak/>
        <w:t xml:space="preserve">2.2. </w:t>
      </w:r>
      <w:r w:rsidRPr="002F7E2C">
        <w:rPr>
          <w:b/>
          <w:bCs/>
          <w:lang w:val="en-US"/>
        </w:rPr>
        <w:t>Data synthesis and analysis</w:t>
      </w:r>
    </w:p>
    <w:p w14:paraId="15FEC3BF" w14:textId="77777777" w:rsidR="00C0337D" w:rsidRPr="00561ED2" w:rsidRDefault="00C0337D" w:rsidP="006432E9">
      <w:pPr>
        <w:spacing w:after="0" w:line="360" w:lineRule="auto"/>
        <w:jc w:val="both"/>
        <w:rPr>
          <w:bCs/>
          <w:lang w:val="en-US"/>
        </w:rPr>
      </w:pPr>
      <w:r w:rsidRPr="00561ED2">
        <w:rPr>
          <w:bCs/>
          <w:lang w:val="en-US"/>
        </w:rPr>
        <w:t xml:space="preserve">Heat map-based clustering analysis was performed using the </w:t>
      </w:r>
      <w:r w:rsidRPr="00561ED2">
        <w:rPr>
          <w:bCs/>
          <w:i/>
          <w:lang w:val="en-US"/>
        </w:rPr>
        <w:t>heatmap.2</w:t>
      </w:r>
      <w:r w:rsidRPr="00561ED2">
        <w:rPr>
          <w:bCs/>
          <w:lang w:val="en-US"/>
        </w:rPr>
        <w:t xml:space="preserve"> function from </w:t>
      </w:r>
      <w:r w:rsidRPr="00561ED2">
        <w:rPr>
          <w:bCs/>
          <w:i/>
          <w:lang w:val="en-US"/>
        </w:rPr>
        <w:t>gplots</w:t>
      </w:r>
      <w:r w:rsidRPr="00561ED2">
        <w:rPr>
          <w:bCs/>
          <w:lang w:val="en-US"/>
        </w:rPr>
        <w:t xml:space="preserve"> R software package</w:t>
      </w:r>
      <w:r>
        <w:rPr>
          <w:bCs/>
          <w:lang w:val="en-US"/>
        </w:rPr>
        <w:t>.</w:t>
      </w:r>
      <w:r>
        <w:rPr>
          <w:bCs/>
          <w:noProof/>
          <w:vertAlign w:val="superscript"/>
          <w:lang w:val="en-US"/>
        </w:rPr>
        <w:t>15</w:t>
      </w:r>
      <w:r w:rsidRPr="00561ED2">
        <w:rPr>
          <w:bCs/>
          <w:lang w:val="en-US"/>
        </w:rPr>
        <w:t xml:space="preserve"> Hierarchical clustering of individual samples was based on the Euclidian distance metric. R package </w:t>
      </w:r>
      <w:r w:rsidRPr="00561ED2">
        <w:rPr>
          <w:bCs/>
          <w:i/>
          <w:lang w:val="en-US"/>
        </w:rPr>
        <w:t>ade4</w:t>
      </w:r>
      <w:r w:rsidRPr="00561ED2">
        <w:rPr>
          <w:bCs/>
          <w:lang w:val="en-US"/>
        </w:rPr>
        <w:t xml:space="preserve"> (v. 1.6.2)</w:t>
      </w:r>
      <w:r>
        <w:rPr>
          <w:bCs/>
          <w:noProof/>
          <w:vertAlign w:val="superscript"/>
          <w:lang w:val="en-US"/>
        </w:rPr>
        <w:t>16</w:t>
      </w:r>
      <w:r w:rsidRPr="00561ED2">
        <w:rPr>
          <w:bCs/>
          <w:lang w:val="en-US"/>
        </w:rPr>
        <w:t xml:space="preserve"> was used to assess differences between the feeding groups by performing a principal component analysis (PCA).</w:t>
      </w:r>
    </w:p>
    <w:p w14:paraId="69A82B95" w14:textId="77777777" w:rsidR="00C0337D" w:rsidRPr="00250692" w:rsidRDefault="00C0337D" w:rsidP="006432E9">
      <w:pPr>
        <w:spacing w:before="240" w:line="360" w:lineRule="auto"/>
        <w:jc w:val="both"/>
        <w:rPr>
          <w:b/>
          <w:bCs/>
          <w:sz w:val="28"/>
          <w:szCs w:val="28"/>
          <w:lang w:val="en-US"/>
        </w:rPr>
      </w:pPr>
      <w:r>
        <w:rPr>
          <w:b/>
          <w:bCs/>
          <w:sz w:val="28"/>
          <w:szCs w:val="28"/>
          <w:lang w:val="en-US"/>
        </w:rPr>
        <w:t xml:space="preserve">3. </w:t>
      </w:r>
      <w:r w:rsidRPr="00250692">
        <w:rPr>
          <w:b/>
          <w:bCs/>
          <w:sz w:val="28"/>
          <w:szCs w:val="28"/>
          <w:lang w:val="en-US"/>
        </w:rPr>
        <w:t>Results &amp; discussion</w:t>
      </w:r>
    </w:p>
    <w:p w14:paraId="739CF1FB" w14:textId="77777777" w:rsidR="00C0337D" w:rsidRPr="00561ED2" w:rsidRDefault="00C0337D" w:rsidP="006432E9">
      <w:pPr>
        <w:spacing w:after="0" w:line="360" w:lineRule="auto"/>
        <w:jc w:val="both"/>
        <w:rPr>
          <w:bCs/>
          <w:lang w:val="en-US"/>
        </w:rPr>
      </w:pPr>
      <w:r w:rsidRPr="00561ED2">
        <w:rPr>
          <w:bCs/>
          <w:lang w:val="en-US"/>
        </w:rPr>
        <w:t>Multivariate analysis displayed that normal lactation was completely separated from infant formula groups in both, cluster analysis and Principal Component Analysis (PCA) (Figure 1 and 2). It is thus demonstrated that different diets during lactation may have a significant impact on immune system gene expression, lymphocyte populations and microbial colonization. The observed differences contribute to the accumulated published data suggesting a higher prevalence of certain diseases when breast milk is r</w:t>
      </w:r>
      <w:r w:rsidR="009D6FEB">
        <w:rPr>
          <w:bCs/>
          <w:lang w:val="en-US"/>
        </w:rPr>
        <w:t xml:space="preserve">eplaced by infant formula </w:t>
      </w:r>
      <w:r w:rsidR="009D6FEB">
        <w:rPr>
          <w:bCs/>
          <w:color w:val="FF0000"/>
          <w:lang w:val="en-US"/>
        </w:rPr>
        <w:t>during</w:t>
      </w:r>
      <w:r w:rsidRPr="00561ED2">
        <w:rPr>
          <w:bCs/>
          <w:lang w:val="en-US"/>
        </w:rPr>
        <w:t xml:space="preserve"> lactating period</w:t>
      </w:r>
      <w:r>
        <w:rPr>
          <w:bCs/>
          <w:lang w:val="en-US"/>
        </w:rPr>
        <w:t>.</w:t>
      </w:r>
      <w:r w:rsidRPr="001F3FA9">
        <w:rPr>
          <w:bCs/>
          <w:noProof/>
          <w:vertAlign w:val="superscript"/>
          <w:lang w:val="en-US"/>
        </w:rPr>
        <w:t>5</w:t>
      </w:r>
    </w:p>
    <w:p w14:paraId="66FC17E0" w14:textId="77777777" w:rsidR="00C0337D" w:rsidRDefault="009D6FEB" w:rsidP="006432E9">
      <w:pPr>
        <w:spacing w:after="0" w:line="360" w:lineRule="auto"/>
        <w:jc w:val="both"/>
        <w:rPr>
          <w:bCs/>
          <w:lang w:val="en-US"/>
        </w:rPr>
      </w:pPr>
      <w:r>
        <w:rPr>
          <w:bCs/>
          <w:color w:val="FF0000"/>
          <w:lang w:val="en-US"/>
        </w:rPr>
        <w:lastRenderedPageBreak/>
        <w:t>Moreover, the a</w:t>
      </w:r>
      <w:r w:rsidR="00C0337D" w:rsidRPr="00561ED2">
        <w:rPr>
          <w:bCs/>
          <w:lang w:val="en-US"/>
        </w:rPr>
        <w:t xml:space="preserve">ddition of polyamines to the infant formula is able to modulate immune system parameters and gastrointestinal microbiota. Although PCA (Figure 2A) shows that pups fed with an infant formula supplemented with polyamines shape in groups different to normal lactation pups; the clustering (Figure 1) and the Gauss scores (Figure 2B and 2C) demonstrates that the polyamine supplementation modulates immune system development and microbial colonization pattern in a similar manner to normal lactation when compared with infant formulas. </w:t>
      </w:r>
    </w:p>
    <w:p w14:paraId="702CE994" w14:textId="77777777" w:rsidR="00C0337D" w:rsidRDefault="00C0337D" w:rsidP="006432E9">
      <w:pPr>
        <w:spacing w:after="0" w:line="360" w:lineRule="auto"/>
        <w:jc w:val="both"/>
        <w:rPr>
          <w:lang w:val="en-US"/>
        </w:rPr>
      </w:pPr>
      <w:r w:rsidRPr="00561ED2">
        <w:rPr>
          <w:bCs/>
          <w:lang w:val="en-US"/>
        </w:rPr>
        <w:t>There is a close relationship between microbiota and immune system development</w:t>
      </w:r>
      <w:r>
        <w:rPr>
          <w:bCs/>
          <w:lang w:val="en-US"/>
        </w:rPr>
        <w:t>.</w:t>
      </w:r>
      <w:r>
        <w:rPr>
          <w:bCs/>
          <w:noProof/>
          <w:vertAlign w:val="superscript"/>
          <w:lang w:val="en-US"/>
        </w:rPr>
        <w:t>17</w:t>
      </w:r>
      <w:r w:rsidRPr="00561ED2">
        <w:rPr>
          <w:bCs/>
          <w:lang w:val="en-US"/>
        </w:rPr>
        <w:t xml:space="preserve"> Microbes promote development of B lymphocytes in Peyer’s Patches, the development of intraepitelial lymphocytes and the amount of NK cells</w:t>
      </w:r>
      <w:r>
        <w:rPr>
          <w:bCs/>
          <w:lang w:val="en-US"/>
        </w:rPr>
        <w:t>.</w:t>
      </w:r>
      <w:r>
        <w:rPr>
          <w:bCs/>
          <w:noProof/>
          <w:vertAlign w:val="superscript"/>
          <w:lang w:val="en-US"/>
        </w:rPr>
        <w:t>17</w:t>
      </w:r>
      <w:r w:rsidRPr="00561ED2">
        <w:rPr>
          <w:bCs/>
          <w:lang w:val="en-US"/>
        </w:rPr>
        <w:t xml:space="preserve"> In relation to the latter, the host–bacterial interaction in early stages has been reported to be key modulators of disease risk in early and later stages according with the Early Programming Theory</w:t>
      </w:r>
      <w:r>
        <w:rPr>
          <w:bCs/>
          <w:noProof/>
          <w:vertAlign w:val="superscript"/>
          <w:lang w:val="en-US"/>
        </w:rPr>
        <w:t>18</w:t>
      </w:r>
      <w:r w:rsidRPr="00561ED2">
        <w:rPr>
          <w:bCs/>
          <w:lang w:val="en-US"/>
        </w:rPr>
        <w:t xml:space="preserve"> and the Developmental Origins of Health and Disease (DoHD) approach</w:t>
      </w:r>
      <w:r>
        <w:rPr>
          <w:bCs/>
          <w:lang w:val="en-US"/>
        </w:rPr>
        <w:t>.</w:t>
      </w:r>
      <w:r>
        <w:rPr>
          <w:bCs/>
          <w:noProof/>
          <w:vertAlign w:val="superscript"/>
          <w:lang w:val="en-US"/>
        </w:rPr>
        <w:t>19</w:t>
      </w:r>
      <w:r w:rsidRPr="00561ED2">
        <w:rPr>
          <w:bCs/>
          <w:lang w:val="en-US"/>
        </w:rPr>
        <w:t xml:space="preserve"> In</w:t>
      </w:r>
      <w:r>
        <w:rPr>
          <w:bCs/>
          <w:lang w:val="en-US"/>
        </w:rPr>
        <w:t xml:space="preserve"> this study, </w:t>
      </w:r>
      <w:r w:rsidR="009D6FEB" w:rsidRPr="009D6FEB">
        <w:rPr>
          <w:bCs/>
          <w:color w:val="FF0000"/>
          <w:lang w:val="en-US"/>
        </w:rPr>
        <w:t>the</w:t>
      </w:r>
      <w:r w:rsidR="009D6FEB">
        <w:rPr>
          <w:bCs/>
          <w:color w:val="000000" w:themeColor="text1"/>
          <w:lang w:val="en-US"/>
        </w:rPr>
        <w:t xml:space="preserve"> </w:t>
      </w:r>
      <w:r w:rsidRPr="00C20379">
        <w:rPr>
          <w:bCs/>
          <w:color w:val="000000" w:themeColor="text1"/>
          <w:lang w:val="en-US"/>
        </w:rPr>
        <w:t xml:space="preserve">differences </w:t>
      </w:r>
      <w:r w:rsidR="009D6FEB">
        <w:rPr>
          <w:bCs/>
          <w:color w:val="000000" w:themeColor="text1"/>
          <w:lang w:val="en-US"/>
        </w:rPr>
        <w:t xml:space="preserve">in gene expression </w:t>
      </w:r>
      <w:r w:rsidR="009D6FEB">
        <w:rPr>
          <w:bCs/>
          <w:color w:val="FF0000"/>
          <w:lang w:val="en-US"/>
        </w:rPr>
        <w:t>include</w:t>
      </w:r>
      <w:r w:rsidRPr="00C20379">
        <w:rPr>
          <w:bCs/>
          <w:color w:val="000000" w:themeColor="text1"/>
          <w:lang w:val="en-US"/>
        </w:rPr>
        <w:t xml:space="preserve"> differences in </w:t>
      </w:r>
      <w:r w:rsidRPr="00C20379">
        <w:rPr>
          <w:bCs/>
          <w:i/>
          <w:color w:val="000000" w:themeColor="text1"/>
          <w:lang w:val="en-US"/>
        </w:rPr>
        <w:t>Cd40, Cd1d1</w:t>
      </w:r>
      <w:r w:rsidRPr="00C20379">
        <w:rPr>
          <w:bCs/>
          <w:color w:val="000000" w:themeColor="text1"/>
          <w:lang w:val="en-US"/>
        </w:rPr>
        <w:t xml:space="preserve"> and </w:t>
      </w:r>
      <w:r w:rsidRPr="00C20379">
        <w:rPr>
          <w:bCs/>
          <w:i/>
          <w:color w:val="000000" w:themeColor="text1"/>
          <w:lang w:val="en-US"/>
        </w:rPr>
        <w:t>Hdac5</w:t>
      </w:r>
      <w:r w:rsidRPr="00C20379">
        <w:rPr>
          <w:bCs/>
          <w:color w:val="000000" w:themeColor="text1"/>
          <w:lang w:val="en-US"/>
        </w:rPr>
        <w:t xml:space="preserve"> genes</w:t>
      </w:r>
      <w:r>
        <w:rPr>
          <w:bCs/>
          <w:color w:val="000000" w:themeColor="text1"/>
          <w:lang w:val="en-US"/>
        </w:rPr>
        <w:t>.</w:t>
      </w:r>
      <w:r w:rsidRPr="001F3FA9">
        <w:rPr>
          <w:bCs/>
          <w:noProof/>
          <w:color w:val="000000" w:themeColor="text1"/>
          <w:vertAlign w:val="superscript"/>
          <w:lang w:val="en-US"/>
        </w:rPr>
        <w:t>8</w:t>
      </w:r>
      <w:r w:rsidRPr="00C20379">
        <w:rPr>
          <w:bCs/>
          <w:color w:val="000000" w:themeColor="text1"/>
          <w:lang w:val="en-US"/>
        </w:rPr>
        <w:t xml:space="preserve"> Those genes have crucial</w:t>
      </w:r>
      <w:r w:rsidR="00DD2CFF">
        <w:rPr>
          <w:bCs/>
          <w:color w:val="000000" w:themeColor="text1"/>
          <w:lang w:val="en-US"/>
        </w:rPr>
        <w:t xml:space="preserve"> roles in </w:t>
      </w:r>
      <w:r w:rsidR="00DD2CFF">
        <w:rPr>
          <w:bCs/>
          <w:color w:val="000000" w:themeColor="text1"/>
          <w:lang w:val="en-US"/>
        </w:rPr>
        <w:lastRenderedPageBreak/>
        <w:t xml:space="preserve">the development of </w:t>
      </w:r>
      <w:r w:rsidRPr="00C20379">
        <w:rPr>
          <w:bCs/>
          <w:color w:val="000000" w:themeColor="text1"/>
          <w:lang w:val="en-US"/>
        </w:rPr>
        <w:t xml:space="preserve"> immune system</w:t>
      </w:r>
      <w:r>
        <w:rPr>
          <w:bCs/>
          <w:color w:val="000000" w:themeColor="text1"/>
          <w:lang w:val="en-US"/>
        </w:rPr>
        <w:t>.</w:t>
      </w:r>
      <w:r w:rsidRPr="001F3FA9">
        <w:rPr>
          <w:bCs/>
          <w:noProof/>
          <w:vertAlign w:val="superscript"/>
          <w:lang w:val="en-US"/>
        </w:rPr>
        <w:t>8</w:t>
      </w:r>
      <w:r w:rsidRPr="00561ED2">
        <w:rPr>
          <w:bCs/>
          <w:lang w:val="en-US"/>
        </w:rPr>
        <w:t xml:space="preserve"> Differences in the expression of </w:t>
      </w:r>
      <w:r w:rsidRPr="00561ED2">
        <w:rPr>
          <w:bCs/>
          <w:i/>
          <w:lang w:val="en-US"/>
        </w:rPr>
        <w:t>Cd40</w:t>
      </w:r>
      <w:r w:rsidRPr="00561ED2">
        <w:rPr>
          <w:bCs/>
          <w:lang w:val="en-US"/>
        </w:rPr>
        <w:t xml:space="preserve"> gene in antigen presenting cells were recently positively correlated with changes in mucosal populations of some </w:t>
      </w:r>
      <w:r w:rsidRPr="00561ED2">
        <w:rPr>
          <w:bCs/>
          <w:i/>
          <w:lang w:val="en-US"/>
        </w:rPr>
        <w:t xml:space="preserve">Prevotella </w:t>
      </w:r>
      <w:r w:rsidRPr="00561ED2">
        <w:rPr>
          <w:bCs/>
          <w:lang w:val="en-US"/>
        </w:rPr>
        <w:t xml:space="preserve">species and negatively correlated with </w:t>
      </w:r>
      <w:r w:rsidRPr="00561ED2">
        <w:rPr>
          <w:i/>
          <w:lang w:val="en-US"/>
        </w:rPr>
        <w:t>Ruminococcus bromii</w:t>
      </w:r>
      <w:r>
        <w:rPr>
          <w:i/>
          <w:lang w:val="en-US"/>
        </w:rPr>
        <w:t>.</w:t>
      </w:r>
      <w:r>
        <w:rPr>
          <w:noProof/>
          <w:vertAlign w:val="superscript"/>
          <w:lang w:val="en-US"/>
        </w:rPr>
        <w:t>20</w:t>
      </w:r>
      <w:r w:rsidRPr="00561ED2">
        <w:rPr>
          <w:lang w:val="en-US"/>
        </w:rPr>
        <w:t xml:space="preserve"> Our</w:t>
      </w:r>
      <w:r>
        <w:rPr>
          <w:lang w:val="en-US"/>
        </w:rPr>
        <w:t xml:space="preserve"> previous</w:t>
      </w:r>
      <w:r w:rsidRPr="00561ED2">
        <w:rPr>
          <w:lang w:val="en-US"/>
        </w:rPr>
        <w:t xml:space="preserve"> results reveal that lactating mice and early weaned mice fed with infant formula supplemented with polyamines have similar </w:t>
      </w:r>
      <w:r w:rsidRPr="00561ED2">
        <w:rPr>
          <w:i/>
          <w:lang w:val="en-US"/>
        </w:rPr>
        <w:t>Bacteroides-Prevotella</w:t>
      </w:r>
      <w:r w:rsidRPr="00561ED2">
        <w:rPr>
          <w:lang w:val="en-US"/>
        </w:rPr>
        <w:t xml:space="preserve"> populations</w:t>
      </w:r>
      <w:r>
        <w:rPr>
          <w:lang w:val="en-US"/>
        </w:rPr>
        <w:t>,</w:t>
      </w:r>
      <w:r w:rsidRPr="001F3FA9">
        <w:rPr>
          <w:noProof/>
          <w:vertAlign w:val="superscript"/>
          <w:lang w:val="en-US"/>
        </w:rPr>
        <w:t>7, 9</w:t>
      </w:r>
      <w:r w:rsidRPr="00561ED2">
        <w:rPr>
          <w:lang w:val="en-US"/>
        </w:rPr>
        <w:t xml:space="preserve"> similar expression of </w:t>
      </w:r>
      <w:r w:rsidRPr="00561ED2">
        <w:rPr>
          <w:i/>
          <w:lang w:val="en-US"/>
        </w:rPr>
        <w:t>Cd40</w:t>
      </w:r>
      <w:r w:rsidRPr="00561ED2">
        <w:rPr>
          <w:lang w:val="en-US"/>
        </w:rPr>
        <w:t xml:space="preserve"> and other immune parameters</w:t>
      </w:r>
      <w:r>
        <w:rPr>
          <w:lang w:val="en-US"/>
        </w:rPr>
        <w:t>,</w:t>
      </w:r>
      <w:r w:rsidRPr="001F3FA9">
        <w:rPr>
          <w:noProof/>
          <w:vertAlign w:val="superscript"/>
          <w:lang w:val="en-US"/>
        </w:rPr>
        <w:t>8</w:t>
      </w:r>
      <w:r w:rsidRPr="00561ED2">
        <w:rPr>
          <w:lang w:val="en-US"/>
        </w:rPr>
        <w:t xml:space="preserve"> which could explain the pro</w:t>
      </w:r>
      <w:r w:rsidR="00DD2CFF">
        <w:rPr>
          <w:lang w:val="en-US"/>
        </w:rPr>
        <w:t xml:space="preserve">ximity in the clustering and </w:t>
      </w:r>
      <w:r w:rsidRPr="00561ED2">
        <w:rPr>
          <w:lang w:val="en-US"/>
        </w:rPr>
        <w:t xml:space="preserve"> PCA analysis between NL, T1 and T2 groups. </w:t>
      </w:r>
    </w:p>
    <w:p w14:paraId="0609C09D" w14:textId="77777777" w:rsidR="00C0337D" w:rsidRDefault="00C0337D" w:rsidP="006432E9">
      <w:pPr>
        <w:spacing w:after="0" w:line="360" w:lineRule="auto"/>
        <w:jc w:val="both"/>
        <w:rPr>
          <w:lang w:val="en-US"/>
        </w:rPr>
      </w:pPr>
      <w:r w:rsidRPr="00561ED2">
        <w:rPr>
          <w:lang w:val="en-US"/>
        </w:rPr>
        <w:t xml:space="preserve">High epithelial expression of </w:t>
      </w:r>
      <w:r w:rsidRPr="00561ED2">
        <w:rPr>
          <w:i/>
          <w:lang w:val="en-US"/>
        </w:rPr>
        <w:t xml:space="preserve">Cd1d1 </w:t>
      </w:r>
      <w:r w:rsidRPr="00561ED2">
        <w:rPr>
          <w:lang w:val="en-US"/>
        </w:rPr>
        <w:t>in intestine in response to microbial lipid antigens activates NKT-cells</w:t>
      </w:r>
      <w:r>
        <w:rPr>
          <w:lang w:val="en-US"/>
        </w:rPr>
        <w:t>.</w:t>
      </w:r>
      <w:r>
        <w:rPr>
          <w:noProof/>
          <w:vertAlign w:val="superscript"/>
          <w:lang w:val="en-US"/>
        </w:rPr>
        <w:t>21</w:t>
      </w:r>
      <w:r w:rsidRPr="00561ED2">
        <w:rPr>
          <w:bCs/>
          <w:lang w:val="en-US"/>
        </w:rPr>
        <w:t xml:space="preserve"> </w:t>
      </w:r>
      <w:r w:rsidRPr="00561ED2">
        <w:rPr>
          <w:lang w:val="en-US"/>
        </w:rPr>
        <w:t>Recent evidence suggests that NKT-cells modulates host and commensal microbiota interactions, regulating intestinal homeostasis and preventing inflammation</w:t>
      </w:r>
      <w:r>
        <w:rPr>
          <w:lang w:val="en-US"/>
        </w:rPr>
        <w:t>,</w:t>
      </w:r>
      <w:r>
        <w:rPr>
          <w:noProof/>
          <w:vertAlign w:val="superscript"/>
          <w:lang w:val="en-US"/>
        </w:rPr>
        <w:t>22</w:t>
      </w:r>
      <w:r w:rsidRPr="00561ED2">
        <w:rPr>
          <w:lang w:val="en-US"/>
        </w:rPr>
        <w:t xml:space="preserve"> helping to explain similarities between NL, T1 and T2. </w:t>
      </w:r>
    </w:p>
    <w:p w14:paraId="3F2F059A" w14:textId="77777777" w:rsidR="00C0337D" w:rsidRPr="00561ED2" w:rsidRDefault="00C0337D" w:rsidP="006432E9">
      <w:pPr>
        <w:spacing w:after="0" w:line="360" w:lineRule="auto"/>
        <w:jc w:val="both"/>
        <w:rPr>
          <w:bCs/>
          <w:lang w:val="en-US"/>
        </w:rPr>
      </w:pPr>
      <w:r w:rsidRPr="00561ED2">
        <w:rPr>
          <w:bCs/>
          <w:lang w:val="en-US"/>
        </w:rPr>
        <w:t>Commensal microbiota can modulate histone deacetylases influencing epigenetic status of the host</w:t>
      </w:r>
      <w:r w:rsidR="00DD2CFF">
        <w:rPr>
          <w:bCs/>
          <w:lang w:val="en-US"/>
        </w:rPr>
        <w:t xml:space="preserve"> immune system and affecting </w:t>
      </w:r>
      <w:r w:rsidRPr="00561ED2">
        <w:rPr>
          <w:bCs/>
          <w:lang w:val="en-US"/>
        </w:rPr>
        <w:t>the risk of the development of some disorders</w:t>
      </w:r>
      <w:r>
        <w:rPr>
          <w:bCs/>
          <w:lang w:val="en-US"/>
        </w:rPr>
        <w:t>.</w:t>
      </w:r>
      <w:r>
        <w:rPr>
          <w:bCs/>
          <w:noProof/>
          <w:vertAlign w:val="superscript"/>
          <w:lang w:val="en-US"/>
        </w:rPr>
        <w:t>23</w:t>
      </w:r>
      <w:r w:rsidRPr="00561ED2">
        <w:rPr>
          <w:bCs/>
          <w:lang w:val="en-US"/>
        </w:rPr>
        <w:t xml:space="preserve"> Both normal lactation and polyamine </w:t>
      </w:r>
      <w:r w:rsidRPr="00561ED2">
        <w:rPr>
          <w:bCs/>
          <w:lang w:val="en-US"/>
        </w:rPr>
        <w:lastRenderedPageBreak/>
        <w:t xml:space="preserve">supplementation of infant formula increase the expression of </w:t>
      </w:r>
      <w:r w:rsidRPr="00561ED2">
        <w:rPr>
          <w:bCs/>
          <w:i/>
          <w:lang w:val="en-US"/>
        </w:rPr>
        <w:t>Hdac5</w:t>
      </w:r>
      <w:r w:rsidR="00DD2CFF">
        <w:rPr>
          <w:bCs/>
          <w:i/>
          <w:color w:val="FF0000"/>
          <w:lang w:val="en-US"/>
        </w:rPr>
        <w:t>,</w:t>
      </w:r>
      <w:r w:rsidRPr="00561ED2">
        <w:rPr>
          <w:bCs/>
          <w:lang w:val="en-US"/>
        </w:rPr>
        <w:t xml:space="preserve"> which codes the enzyme histone deacetylase</w:t>
      </w:r>
      <w:r>
        <w:rPr>
          <w:bCs/>
          <w:lang w:val="en-US"/>
        </w:rPr>
        <w:t xml:space="preserve"> </w:t>
      </w:r>
      <w:r w:rsidRPr="00561ED2">
        <w:rPr>
          <w:bCs/>
          <w:lang w:val="en-US"/>
        </w:rPr>
        <w:t>5, while subjects fed infant formula without polyamines exert a low expression in this gene</w:t>
      </w:r>
      <w:r>
        <w:rPr>
          <w:bCs/>
          <w:lang w:val="en-US"/>
        </w:rPr>
        <w:t>.</w:t>
      </w:r>
      <w:r w:rsidRPr="001F3FA9">
        <w:rPr>
          <w:bCs/>
          <w:noProof/>
          <w:vertAlign w:val="superscript"/>
          <w:lang w:val="en-US"/>
        </w:rPr>
        <w:t>8</w:t>
      </w:r>
      <w:r w:rsidRPr="00561ED2">
        <w:rPr>
          <w:bCs/>
          <w:lang w:val="en-US"/>
        </w:rPr>
        <w:t xml:space="preserve"> Differences in epigenetic status between breastfeeding and formula feeding </w:t>
      </w:r>
      <w:r>
        <w:rPr>
          <w:bCs/>
          <w:lang w:val="en-US"/>
        </w:rPr>
        <w:t xml:space="preserve">can </w:t>
      </w:r>
      <w:r w:rsidRPr="00561ED2">
        <w:rPr>
          <w:bCs/>
          <w:lang w:val="en-US"/>
        </w:rPr>
        <w:t>explain why the risk of some diseases associated with formula feeding in early life is extended to adulthood.</w:t>
      </w:r>
    </w:p>
    <w:p w14:paraId="09F6B220" w14:textId="77777777" w:rsidR="00C0337D" w:rsidRDefault="00C0337D" w:rsidP="006432E9">
      <w:pPr>
        <w:spacing w:before="240" w:line="360" w:lineRule="auto"/>
        <w:jc w:val="both"/>
        <w:rPr>
          <w:bCs/>
          <w:lang w:val="en-US"/>
        </w:rPr>
      </w:pPr>
      <w:r w:rsidRPr="00561ED2">
        <w:rPr>
          <w:bCs/>
          <w:lang w:val="en-US"/>
        </w:rPr>
        <w:t>Consideri</w:t>
      </w:r>
      <w:r w:rsidR="00DD2CFF">
        <w:rPr>
          <w:bCs/>
          <w:lang w:val="en-US"/>
        </w:rPr>
        <w:t xml:space="preserve">ng all our results together, </w:t>
      </w:r>
      <w:r w:rsidR="00DD2CFF">
        <w:rPr>
          <w:bCs/>
          <w:color w:val="FF0000"/>
          <w:lang w:val="en-US"/>
        </w:rPr>
        <w:t>this</w:t>
      </w:r>
      <w:r w:rsidRPr="00561ED2">
        <w:rPr>
          <w:bCs/>
          <w:lang w:val="en-US"/>
        </w:rPr>
        <w:t xml:space="preserve"> data demonstrates that supplementation of polyamines </w:t>
      </w:r>
      <w:r w:rsidR="00DD2CFF" w:rsidRPr="00561ED2">
        <w:rPr>
          <w:bCs/>
          <w:lang w:val="en-US"/>
        </w:rPr>
        <w:t>resembles</w:t>
      </w:r>
      <w:r w:rsidRPr="00561ED2">
        <w:rPr>
          <w:bCs/>
          <w:lang w:val="en-US"/>
        </w:rPr>
        <w:t xml:space="preserve"> the effect of natural breastfeeding practices as observed in the microbial communities along the whole gastrointestinal tract, lymphocyte populations and expression of immune related-genes in a mouse model. These </w:t>
      </w:r>
      <w:r w:rsidR="00DD2CFF">
        <w:rPr>
          <w:bCs/>
          <w:lang w:val="en-US"/>
        </w:rPr>
        <w:t xml:space="preserve">changes might reduce the </w:t>
      </w:r>
      <w:r w:rsidRPr="00561ED2">
        <w:rPr>
          <w:bCs/>
          <w:lang w:val="en-US"/>
        </w:rPr>
        <w:t>susceptibility to some diseases associated to infant formula feeding and their effect could be extended to adulthood through epigenetics mechanisms. This study provides the bases to go one step-forward on the potential use of polyamines in infant food and their effects on infant health is pendant to be demonstrated through further studies in human populations.</w:t>
      </w:r>
    </w:p>
    <w:p w14:paraId="581C2C8C" w14:textId="77777777" w:rsidR="00C0337D" w:rsidRPr="006432E9" w:rsidRDefault="00C0337D" w:rsidP="006432E9">
      <w:pPr>
        <w:spacing w:before="240" w:line="360" w:lineRule="auto"/>
        <w:jc w:val="both"/>
        <w:rPr>
          <w:b/>
          <w:bCs/>
          <w:sz w:val="28"/>
          <w:szCs w:val="28"/>
          <w:lang w:val="en-US"/>
        </w:rPr>
      </w:pPr>
      <w:r>
        <w:rPr>
          <w:b/>
          <w:bCs/>
          <w:sz w:val="28"/>
          <w:szCs w:val="28"/>
          <w:lang w:val="en-US"/>
        </w:rPr>
        <w:lastRenderedPageBreak/>
        <w:t>4. Conclusions</w:t>
      </w:r>
    </w:p>
    <w:p w14:paraId="4BE5D62B" w14:textId="77777777" w:rsidR="00C0337D" w:rsidRDefault="00C0337D" w:rsidP="006432E9">
      <w:pPr>
        <w:spacing w:before="240" w:line="360" w:lineRule="auto"/>
        <w:jc w:val="both"/>
        <w:rPr>
          <w:bCs/>
          <w:lang w:val="en-US"/>
        </w:rPr>
      </w:pPr>
      <w:r w:rsidRPr="00561ED2">
        <w:rPr>
          <w:bCs/>
          <w:lang w:val="en-US"/>
        </w:rPr>
        <w:t>Further studies should be conducted</w:t>
      </w:r>
      <w:r w:rsidR="00DD2CFF">
        <w:rPr>
          <w:bCs/>
          <w:lang w:val="en-US"/>
        </w:rPr>
        <w:t xml:space="preserve"> in human subjects to verify </w:t>
      </w:r>
      <w:r w:rsidR="00DD2CFF">
        <w:rPr>
          <w:bCs/>
          <w:color w:val="FF0000"/>
          <w:lang w:val="en-US"/>
        </w:rPr>
        <w:t>the present</w:t>
      </w:r>
      <w:r w:rsidRPr="00561ED2">
        <w:rPr>
          <w:bCs/>
          <w:lang w:val="en-US"/>
        </w:rPr>
        <w:t xml:space="preserve"> results. Even with the approach of added polyamines formula milk does not completely reproduce the effect of normal lactation on microbiota and immune system parameters, when breastfeeding is not possible, the supplementation of infant formulas with polyamines in a similar concentration to human milk may be a simple approach which potentially brings great benefits in growth promotion and development during lactation.</w:t>
      </w:r>
    </w:p>
    <w:p w14:paraId="4B560B42" w14:textId="77777777" w:rsidR="00C0337D" w:rsidRPr="006432E9" w:rsidRDefault="00C0337D" w:rsidP="006432E9">
      <w:pPr>
        <w:spacing w:before="240" w:after="0" w:line="360" w:lineRule="auto"/>
        <w:jc w:val="both"/>
        <w:rPr>
          <w:b/>
          <w:bCs/>
          <w:sz w:val="28"/>
          <w:szCs w:val="28"/>
          <w:lang w:val="en-US"/>
        </w:rPr>
      </w:pPr>
      <w:r w:rsidRPr="006432E9">
        <w:rPr>
          <w:b/>
          <w:bCs/>
          <w:sz w:val="28"/>
          <w:szCs w:val="28"/>
          <w:lang w:val="en-US"/>
        </w:rPr>
        <w:t>Conflict of interest</w:t>
      </w:r>
    </w:p>
    <w:p w14:paraId="3EFAC270" w14:textId="77777777" w:rsidR="00C0337D" w:rsidRPr="005357F1" w:rsidRDefault="00C0337D" w:rsidP="006432E9">
      <w:pPr>
        <w:spacing w:after="0" w:line="360" w:lineRule="auto"/>
        <w:jc w:val="both"/>
        <w:rPr>
          <w:bCs/>
          <w:lang w:val="en-US"/>
        </w:rPr>
      </w:pPr>
      <w:r w:rsidRPr="005357F1">
        <w:rPr>
          <w:bCs/>
          <w:lang w:val="en-US"/>
        </w:rPr>
        <w:t>The authors have no conflict of interests to report.</w:t>
      </w:r>
    </w:p>
    <w:p w14:paraId="350205E6" w14:textId="77777777" w:rsidR="00C0337D" w:rsidRPr="006432E9" w:rsidRDefault="00C0337D" w:rsidP="006432E9">
      <w:pPr>
        <w:spacing w:before="240" w:after="0" w:line="360" w:lineRule="auto"/>
        <w:jc w:val="both"/>
        <w:rPr>
          <w:b/>
          <w:bCs/>
          <w:sz w:val="28"/>
          <w:szCs w:val="28"/>
          <w:lang w:val="en-US"/>
        </w:rPr>
      </w:pPr>
      <w:r w:rsidRPr="006432E9">
        <w:rPr>
          <w:b/>
          <w:bCs/>
          <w:sz w:val="28"/>
          <w:szCs w:val="28"/>
          <w:lang w:val="en-US"/>
        </w:rPr>
        <w:t>Acknowledgements</w:t>
      </w:r>
    </w:p>
    <w:p w14:paraId="29A91FC6" w14:textId="77777777" w:rsidR="00C0337D" w:rsidRPr="00561ED2" w:rsidRDefault="00C0337D" w:rsidP="006432E9">
      <w:pPr>
        <w:spacing w:after="0" w:line="360" w:lineRule="auto"/>
        <w:jc w:val="both"/>
        <w:rPr>
          <w:bCs/>
          <w:lang w:val="en-US"/>
        </w:rPr>
      </w:pPr>
      <w:r w:rsidRPr="00561ED2">
        <w:rPr>
          <w:bCs/>
          <w:lang w:val="en-US"/>
        </w:rPr>
        <w:t>C. Gómez-Gallego is a recipient of the Seneca Postdoctoral Grant (</w:t>
      </w:r>
      <w:r w:rsidRPr="00561ED2">
        <w:rPr>
          <w:lang w:val="en-US"/>
        </w:rPr>
        <w:t>19818/PD/15)</w:t>
      </w:r>
      <w:r w:rsidRPr="00561ED2">
        <w:rPr>
          <w:bCs/>
          <w:lang w:val="en-US"/>
        </w:rPr>
        <w:t xml:space="preserve"> from the Seneca Foundation, the Regional Agency of Science and Technology of the Region of Murcia through the program </w:t>
      </w:r>
      <w:r w:rsidRPr="00561ED2">
        <w:rPr>
          <w:lang w:val="en-US"/>
        </w:rPr>
        <w:lastRenderedPageBreak/>
        <w:t>“</w:t>
      </w:r>
      <w:r w:rsidRPr="00FA71A7">
        <w:rPr>
          <w:i/>
          <w:lang w:val="en-US"/>
        </w:rPr>
        <w:t>Talento Investigador y su Empleabilidad</w:t>
      </w:r>
      <w:r w:rsidRPr="00561ED2">
        <w:rPr>
          <w:lang w:val="en-US"/>
        </w:rPr>
        <w:t>”</w:t>
      </w:r>
      <w:r w:rsidRPr="00561ED2">
        <w:rPr>
          <w:bCs/>
          <w:lang w:val="en-US"/>
        </w:rPr>
        <w:t xml:space="preserve"> (funded by the Education and Universities Council - Autonomous Community of the Region of Murcia, Spain).</w:t>
      </w:r>
    </w:p>
    <w:p w14:paraId="5834B2E3" w14:textId="77777777" w:rsidR="00C0337D" w:rsidRPr="005357F1" w:rsidRDefault="00C0337D" w:rsidP="00561ED2">
      <w:pPr>
        <w:spacing w:after="0" w:line="480" w:lineRule="auto"/>
        <w:jc w:val="both"/>
        <w:rPr>
          <w:b/>
          <w:lang w:val="en-US"/>
        </w:rPr>
      </w:pPr>
    </w:p>
    <w:p w14:paraId="78BFA500" w14:textId="77777777" w:rsidR="00C0337D" w:rsidRPr="006432E9" w:rsidRDefault="00C0337D" w:rsidP="00561ED2">
      <w:pPr>
        <w:spacing w:after="0" w:line="480" w:lineRule="auto"/>
        <w:jc w:val="both"/>
        <w:rPr>
          <w:b/>
          <w:sz w:val="28"/>
          <w:szCs w:val="28"/>
        </w:rPr>
      </w:pPr>
      <w:r w:rsidRPr="006432E9">
        <w:rPr>
          <w:b/>
          <w:sz w:val="28"/>
          <w:szCs w:val="28"/>
        </w:rPr>
        <w:t>References</w:t>
      </w:r>
    </w:p>
    <w:p w14:paraId="6B29D879" w14:textId="77777777" w:rsidR="00C0337D" w:rsidRPr="00AF3696" w:rsidRDefault="00C0337D" w:rsidP="001F3FA9">
      <w:pPr>
        <w:pStyle w:val="EndNoteBibliography"/>
        <w:spacing w:after="0"/>
        <w:ind w:left="720" w:hanging="720"/>
        <w:rPr>
          <w:lang w:val="es-ES"/>
        </w:rPr>
      </w:pPr>
      <w:r w:rsidRPr="00AF3696">
        <w:rPr>
          <w:lang w:val="es-ES"/>
        </w:rPr>
        <w:t>1</w:t>
      </w:r>
      <w:r w:rsidRPr="00AF3696">
        <w:rPr>
          <w:lang w:val="es-ES"/>
        </w:rPr>
        <w:tab/>
        <w:t xml:space="preserve">E. Larque, M. Sabater-Molina and S. Zamora, </w:t>
      </w:r>
      <w:r w:rsidRPr="00AF3696">
        <w:rPr>
          <w:i/>
          <w:lang w:val="es-ES"/>
        </w:rPr>
        <w:t>Nutrition</w:t>
      </w:r>
      <w:r w:rsidRPr="00AF3696">
        <w:rPr>
          <w:lang w:val="es-ES"/>
        </w:rPr>
        <w:t xml:space="preserve">, 2007, </w:t>
      </w:r>
      <w:r w:rsidRPr="00AF3696">
        <w:rPr>
          <w:b/>
          <w:lang w:val="es-ES"/>
        </w:rPr>
        <w:t>23</w:t>
      </w:r>
      <w:r w:rsidRPr="00AF3696">
        <w:rPr>
          <w:lang w:val="es-ES"/>
        </w:rPr>
        <w:t>, 87-95.</w:t>
      </w:r>
    </w:p>
    <w:p w14:paraId="3F629451" w14:textId="77777777" w:rsidR="00C0337D" w:rsidRPr="001F3FA9" w:rsidRDefault="00C0337D" w:rsidP="001F3FA9">
      <w:pPr>
        <w:pStyle w:val="EndNoteBibliography"/>
        <w:spacing w:after="0"/>
        <w:ind w:left="720" w:hanging="720"/>
      </w:pPr>
      <w:r>
        <w:t>2</w:t>
      </w:r>
      <w:r w:rsidRPr="001F3FA9">
        <w:tab/>
        <w:t xml:space="preserve">B. W. Wortham, C. N. Patel and M. A. Oliveira, </w:t>
      </w:r>
      <w:r w:rsidRPr="001F3FA9">
        <w:rPr>
          <w:i/>
        </w:rPr>
        <w:t>Genus Yersinia: from Genomics to Function</w:t>
      </w:r>
      <w:r w:rsidRPr="001F3FA9">
        <w:t xml:space="preserve">, 2007, </w:t>
      </w:r>
      <w:r w:rsidRPr="001F3FA9">
        <w:rPr>
          <w:b/>
        </w:rPr>
        <w:t>603</w:t>
      </w:r>
      <w:r w:rsidRPr="001F3FA9">
        <w:t>, 106-115.</w:t>
      </w:r>
    </w:p>
    <w:p w14:paraId="43E0B2BB" w14:textId="77777777" w:rsidR="00C0337D" w:rsidRPr="001F3FA9" w:rsidRDefault="00C0337D" w:rsidP="001F3FA9">
      <w:pPr>
        <w:pStyle w:val="EndNoteBibliography"/>
        <w:spacing w:after="0"/>
        <w:ind w:left="720" w:hanging="720"/>
      </w:pPr>
      <w:r>
        <w:t>3</w:t>
      </w:r>
      <w:r w:rsidRPr="001F3FA9">
        <w:tab/>
        <w:t xml:space="preserve">G. Dandrifosse, O. Peulen, N. El Khefif, P. Deloyer, A. C. Dandrifosse and C. Grandfils, </w:t>
      </w:r>
      <w:r w:rsidRPr="001F3FA9">
        <w:rPr>
          <w:i/>
        </w:rPr>
        <w:t>Proceedings of the Nutrition Society</w:t>
      </w:r>
      <w:r w:rsidRPr="001F3FA9">
        <w:t xml:space="preserve">, 2000, </w:t>
      </w:r>
      <w:r w:rsidRPr="001F3FA9">
        <w:rPr>
          <w:b/>
        </w:rPr>
        <w:t>59</w:t>
      </w:r>
      <w:r w:rsidRPr="001F3FA9">
        <w:t>, 81-86.</w:t>
      </w:r>
    </w:p>
    <w:p w14:paraId="1E357877" w14:textId="77777777" w:rsidR="00C0337D" w:rsidRPr="001F3FA9" w:rsidRDefault="00C0337D" w:rsidP="001F3FA9">
      <w:pPr>
        <w:pStyle w:val="EndNoteBibliography"/>
        <w:spacing w:after="0"/>
        <w:ind w:left="720" w:hanging="720"/>
      </w:pPr>
      <w:r>
        <w:t>4</w:t>
      </w:r>
      <w:r w:rsidRPr="001F3FA9">
        <w:tab/>
        <w:t xml:space="preserve">O. Peulen, W. Dewe, G. Dandrifosse, I. Henrotay and N. Romain, </w:t>
      </w:r>
      <w:r w:rsidRPr="001F3FA9">
        <w:rPr>
          <w:i/>
        </w:rPr>
        <w:t>Public Health Nutrition</w:t>
      </w:r>
      <w:r w:rsidRPr="001F3FA9">
        <w:t xml:space="preserve">, 1998, </w:t>
      </w:r>
      <w:r w:rsidRPr="001F3FA9">
        <w:rPr>
          <w:b/>
        </w:rPr>
        <w:t>1</w:t>
      </w:r>
      <w:r w:rsidRPr="001F3FA9">
        <w:t>, 181-184.</w:t>
      </w:r>
    </w:p>
    <w:p w14:paraId="045B407B" w14:textId="77777777" w:rsidR="00C0337D" w:rsidRPr="001F3FA9" w:rsidRDefault="00C0337D" w:rsidP="001F3FA9">
      <w:pPr>
        <w:pStyle w:val="EndNoteBibliography"/>
        <w:spacing w:after="0"/>
        <w:ind w:left="720" w:hanging="720"/>
      </w:pPr>
      <w:r>
        <w:t>5</w:t>
      </w:r>
      <w:r w:rsidRPr="001F3FA9">
        <w:tab/>
        <w:t xml:space="preserve">S. Ip, M. Chung, G. Raman, T. A. Trikalinos and J. Lau, </w:t>
      </w:r>
      <w:r w:rsidRPr="001F3FA9">
        <w:rPr>
          <w:i/>
        </w:rPr>
        <w:t>Breastfeeding Medicine</w:t>
      </w:r>
      <w:r w:rsidRPr="001F3FA9">
        <w:t xml:space="preserve">, 2009, </w:t>
      </w:r>
      <w:r w:rsidRPr="001F3FA9">
        <w:rPr>
          <w:b/>
        </w:rPr>
        <w:t>4</w:t>
      </w:r>
      <w:r w:rsidRPr="001F3FA9">
        <w:t>, S17-S30.</w:t>
      </w:r>
    </w:p>
    <w:p w14:paraId="3BC55A98" w14:textId="77777777" w:rsidR="00C0337D" w:rsidRPr="001F3FA9" w:rsidRDefault="00C0337D" w:rsidP="001F3FA9">
      <w:pPr>
        <w:pStyle w:val="EndNoteBibliography"/>
        <w:spacing w:after="0"/>
        <w:ind w:left="720" w:hanging="720"/>
      </w:pPr>
      <w:r>
        <w:t>6</w:t>
      </w:r>
      <w:r w:rsidRPr="001F3FA9">
        <w:tab/>
        <w:t xml:space="preserve">C. Gomez-Gallego, I. Recio, V. Gomez-Gomez, I. Ortuno, M. J. Bernal, G. Ros and M. J. Periago, </w:t>
      </w:r>
      <w:r w:rsidRPr="001F3FA9">
        <w:rPr>
          <w:i/>
        </w:rPr>
        <w:t>Journal of Dairy Science</w:t>
      </w:r>
      <w:r w:rsidRPr="001F3FA9">
        <w:t xml:space="preserve">, 2016, </w:t>
      </w:r>
      <w:r w:rsidRPr="001F3FA9">
        <w:rPr>
          <w:b/>
        </w:rPr>
        <w:t>99</w:t>
      </w:r>
      <w:r w:rsidRPr="001F3FA9">
        <w:t>, 924-932.</w:t>
      </w:r>
    </w:p>
    <w:p w14:paraId="1D313DA1" w14:textId="77777777" w:rsidR="00C0337D" w:rsidRPr="001F3FA9" w:rsidRDefault="00C0337D" w:rsidP="001F3FA9">
      <w:pPr>
        <w:pStyle w:val="EndNoteBibliography"/>
        <w:spacing w:after="0"/>
        <w:ind w:left="720" w:hanging="720"/>
      </w:pPr>
      <w:r>
        <w:t>7</w:t>
      </w:r>
      <w:r w:rsidRPr="001F3FA9">
        <w:tab/>
        <w:t xml:space="preserve">C. Gómez-Gallego, M. C. Collado, T. Ilo, U. M. Jaakkola, M. J. Bernal, M. J. Periago, S. Salminen, G. Ros and R. Frias, </w:t>
      </w:r>
      <w:r w:rsidRPr="001F3FA9">
        <w:rPr>
          <w:i/>
        </w:rPr>
        <w:t>Journal of Nutritional Biochemistry</w:t>
      </w:r>
      <w:r w:rsidRPr="001F3FA9">
        <w:t xml:space="preserve">, 2012, </w:t>
      </w:r>
      <w:r w:rsidRPr="001F3FA9">
        <w:rPr>
          <w:b/>
        </w:rPr>
        <w:t>23</w:t>
      </w:r>
      <w:r w:rsidRPr="001F3FA9">
        <w:t>, 1508-1513.</w:t>
      </w:r>
    </w:p>
    <w:p w14:paraId="05161D1D" w14:textId="77777777" w:rsidR="00C0337D" w:rsidRPr="001F3FA9" w:rsidRDefault="00C0337D" w:rsidP="001F3FA9">
      <w:pPr>
        <w:pStyle w:val="EndNoteBibliography"/>
        <w:spacing w:after="0"/>
        <w:ind w:left="720" w:hanging="720"/>
      </w:pPr>
      <w:r>
        <w:lastRenderedPageBreak/>
        <w:t>8</w:t>
      </w:r>
      <w:r w:rsidRPr="001F3FA9">
        <w:tab/>
        <w:t xml:space="preserve">C. Gómez-Gallego, R. Frias, G. Pérez-Martínez, M. J. Bernal, M. J. Periago, S. Salminen, G. Ros and M. C. Collado, </w:t>
      </w:r>
      <w:r w:rsidRPr="001F3FA9">
        <w:rPr>
          <w:i/>
        </w:rPr>
        <w:t>Food Research International</w:t>
      </w:r>
      <w:r w:rsidRPr="001F3FA9">
        <w:t xml:space="preserve">, 2014, </w:t>
      </w:r>
      <w:r w:rsidRPr="001F3FA9">
        <w:rPr>
          <w:b/>
        </w:rPr>
        <w:t>59</w:t>
      </w:r>
      <w:r w:rsidRPr="001F3FA9">
        <w:t>, 8-15.</w:t>
      </w:r>
    </w:p>
    <w:p w14:paraId="3C6789EC" w14:textId="77777777" w:rsidR="00C0337D" w:rsidRPr="001F3FA9" w:rsidRDefault="00C0337D" w:rsidP="001F3FA9">
      <w:pPr>
        <w:pStyle w:val="EndNoteBibliography"/>
        <w:spacing w:after="0"/>
        <w:ind w:left="720" w:hanging="720"/>
      </w:pPr>
      <w:r>
        <w:t>9</w:t>
      </w:r>
      <w:r w:rsidRPr="001F3FA9">
        <w:tab/>
        <w:t xml:space="preserve">C. Gómez-Gallego, M. C. Collado, G. Pérez, T. Ilo, U. M. Jaakkola, M. J. Bernal, M. J. Periago, R. Frias, G. Ros and S. Salminen, </w:t>
      </w:r>
      <w:r w:rsidRPr="001F3FA9">
        <w:rPr>
          <w:i/>
        </w:rPr>
        <w:t>British Journal of Nutrition</w:t>
      </w:r>
      <w:r w:rsidRPr="001F3FA9">
        <w:t xml:space="preserve">, 2014, </w:t>
      </w:r>
      <w:r w:rsidRPr="001F3FA9">
        <w:rPr>
          <w:b/>
        </w:rPr>
        <w:t>111</w:t>
      </w:r>
      <w:r w:rsidRPr="001F3FA9">
        <w:t>, 1050-1058.</w:t>
      </w:r>
    </w:p>
    <w:p w14:paraId="6B22F8E6" w14:textId="77777777" w:rsidR="00C0337D" w:rsidRPr="001F3FA9" w:rsidRDefault="00C0337D" w:rsidP="001F3FA9">
      <w:pPr>
        <w:pStyle w:val="EndNoteBibliography"/>
        <w:spacing w:after="0"/>
        <w:ind w:left="720" w:hanging="720"/>
      </w:pPr>
      <w:r>
        <w:t>10</w:t>
      </w:r>
      <w:r w:rsidRPr="001F3FA9">
        <w:tab/>
        <w:t xml:space="preserve">H. Bisgaard, N. Li, K. Bonnelykke, B. L. K. Chawes, T. Skov, G. Paludan-Mueller, J. Stokholm, B. Smith and K. A. Krogfelt, </w:t>
      </w:r>
      <w:r w:rsidRPr="001F3FA9">
        <w:rPr>
          <w:i/>
        </w:rPr>
        <w:t>Journal of Allergy and Clinical Immunology</w:t>
      </w:r>
      <w:r w:rsidRPr="001F3FA9">
        <w:t xml:space="preserve">, 2011, </w:t>
      </w:r>
      <w:r w:rsidRPr="001F3FA9">
        <w:rPr>
          <w:b/>
        </w:rPr>
        <w:t>128</w:t>
      </w:r>
      <w:r w:rsidRPr="001F3FA9">
        <w:t>, 646-U318.</w:t>
      </w:r>
    </w:p>
    <w:p w14:paraId="37B38B69" w14:textId="77777777" w:rsidR="00C0337D" w:rsidRPr="001F3FA9" w:rsidRDefault="00C0337D" w:rsidP="001F3FA9">
      <w:pPr>
        <w:pStyle w:val="EndNoteBibliography"/>
        <w:spacing w:after="0"/>
        <w:ind w:left="720" w:hanging="720"/>
      </w:pPr>
      <w:r>
        <w:t>11</w:t>
      </w:r>
      <w:r w:rsidRPr="001F3FA9">
        <w:tab/>
        <w:t xml:space="preserve">E. Bauer, B. A. Williams, H. Smidt, M. W. A. Verstegen and R. Mosenthin, </w:t>
      </w:r>
      <w:r w:rsidRPr="001F3FA9">
        <w:rPr>
          <w:i/>
        </w:rPr>
        <w:t>Current issues in intestinal microbiology</w:t>
      </w:r>
      <w:r w:rsidRPr="001F3FA9">
        <w:t xml:space="preserve">, 2006, </w:t>
      </w:r>
      <w:r w:rsidRPr="001F3FA9">
        <w:rPr>
          <w:b/>
        </w:rPr>
        <w:t>7</w:t>
      </w:r>
      <w:r w:rsidRPr="001F3FA9">
        <w:t>, 35-51.</w:t>
      </w:r>
    </w:p>
    <w:p w14:paraId="7DF81EB9" w14:textId="77777777" w:rsidR="00C0337D" w:rsidRDefault="00C0337D" w:rsidP="001F3FA9">
      <w:pPr>
        <w:pStyle w:val="EndNoteBibliography"/>
        <w:spacing w:after="0"/>
        <w:ind w:left="720" w:hanging="720"/>
      </w:pPr>
      <w:r>
        <w:t>12</w:t>
      </w:r>
      <w:r w:rsidRPr="001F3FA9">
        <w:tab/>
      </w:r>
      <w:r w:rsidR="00802EF8">
        <w:t>H. P. Til, H. E. Falke, M. K. Prinsen a</w:t>
      </w:r>
      <w:r w:rsidR="00802EF8" w:rsidRPr="00C0337D">
        <w:t>nd M. I. Willems</w:t>
      </w:r>
      <w:r w:rsidR="00802EF8">
        <w:t xml:space="preserve">, </w:t>
      </w:r>
      <w:r w:rsidR="00802EF8" w:rsidRPr="00802EF8">
        <w:rPr>
          <w:i/>
        </w:rPr>
        <w:t>Food and Chemical Toxicology</w:t>
      </w:r>
      <w:r w:rsidR="00802EF8">
        <w:t>, 1997,</w:t>
      </w:r>
      <w:r w:rsidR="00802EF8" w:rsidRPr="00802EF8">
        <w:t xml:space="preserve"> </w:t>
      </w:r>
      <w:r w:rsidR="00802EF8" w:rsidRPr="00802EF8">
        <w:rPr>
          <w:b/>
        </w:rPr>
        <w:t>35</w:t>
      </w:r>
      <w:r w:rsidR="00802EF8">
        <w:t>,</w:t>
      </w:r>
      <w:r w:rsidR="00802EF8" w:rsidRPr="00802EF8">
        <w:t xml:space="preserve"> 337-348</w:t>
      </w:r>
      <w:r w:rsidR="00802EF8">
        <w:t>.</w:t>
      </w:r>
    </w:p>
    <w:p w14:paraId="32BF8868" w14:textId="77777777" w:rsidR="00C0337D" w:rsidRPr="001F3FA9" w:rsidRDefault="00C0337D" w:rsidP="001F3FA9">
      <w:pPr>
        <w:pStyle w:val="EndNoteBibliography"/>
        <w:spacing w:after="0"/>
        <w:ind w:left="720" w:hanging="720"/>
      </w:pPr>
      <w:r>
        <w:t>13</w:t>
      </w:r>
      <w:r>
        <w:tab/>
      </w:r>
      <w:r w:rsidRPr="001F3FA9">
        <w:t xml:space="preserve">M. Maehler, M. Berard, R. Feinstein, A. Gallagher, B. Illgen-Wilcke, K. Pritchett-Corning, M. Raspa and F. W. G. Revision, </w:t>
      </w:r>
      <w:r w:rsidRPr="001F3FA9">
        <w:rPr>
          <w:i/>
        </w:rPr>
        <w:t>Laboratory Animals</w:t>
      </w:r>
      <w:r w:rsidRPr="001F3FA9">
        <w:t xml:space="preserve">, 2014, </w:t>
      </w:r>
      <w:r w:rsidRPr="001F3FA9">
        <w:rPr>
          <w:b/>
        </w:rPr>
        <w:t>48</w:t>
      </w:r>
      <w:r w:rsidRPr="001F3FA9">
        <w:t>, 178-192.</w:t>
      </w:r>
    </w:p>
    <w:p w14:paraId="78E0D884" w14:textId="77777777" w:rsidR="00C0337D" w:rsidRPr="001F3FA9" w:rsidRDefault="00C0337D" w:rsidP="001F3FA9">
      <w:pPr>
        <w:pStyle w:val="EndNoteBibliography"/>
        <w:spacing w:after="0"/>
        <w:ind w:left="720" w:hanging="720"/>
      </w:pPr>
      <w:r>
        <w:t>14</w:t>
      </w:r>
      <w:r w:rsidRPr="001F3FA9">
        <w:tab/>
        <w:t xml:space="preserve">W. Nicklas, P. Baneux, R. Boot, T. Decelle, A. A. Deeny, M. Fumanelli, B. Illgen-Wilcke and F. W. G. H. </w:t>
      </w:r>
      <w:r w:rsidRPr="001F3FA9">
        <w:rPr>
          <w:i/>
        </w:rPr>
        <w:t>Laboratory Animals</w:t>
      </w:r>
      <w:r w:rsidRPr="001F3FA9">
        <w:t xml:space="preserve">, 2002, </w:t>
      </w:r>
      <w:r w:rsidRPr="001F3FA9">
        <w:rPr>
          <w:b/>
        </w:rPr>
        <w:t>36</w:t>
      </w:r>
      <w:r w:rsidRPr="001F3FA9">
        <w:t>, 20-42.</w:t>
      </w:r>
    </w:p>
    <w:p w14:paraId="64DF3EE1" w14:textId="77777777" w:rsidR="00C0337D" w:rsidRPr="001F3FA9" w:rsidRDefault="00C0337D" w:rsidP="001F3FA9">
      <w:pPr>
        <w:pStyle w:val="EndNoteBibliography"/>
        <w:spacing w:after="0"/>
        <w:ind w:left="720" w:hanging="720"/>
      </w:pPr>
      <w:r>
        <w:t>15</w:t>
      </w:r>
      <w:r w:rsidRPr="001F3FA9">
        <w:tab/>
        <w:t xml:space="preserve">R. C. Team, </w:t>
      </w:r>
      <w:r w:rsidRPr="001F3FA9">
        <w:rPr>
          <w:i/>
        </w:rPr>
        <w:t>Journal</w:t>
      </w:r>
      <w:r w:rsidRPr="001F3FA9">
        <w:t>, 2013.</w:t>
      </w:r>
    </w:p>
    <w:p w14:paraId="637C328D" w14:textId="77777777" w:rsidR="00C0337D" w:rsidRPr="001F3FA9" w:rsidRDefault="00C0337D" w:rsidP="001F3FA9">
      <w:pPr>
        <w:pStyle w:val="EndNoteBibliography"/>
        <w:spacing w:after="0"/>
        <w:ind w:left="720" w:hanging="720"/>
      </w:pPr>
      <w:r>
        <w:t>16</w:t>
      </w:r>
      <w:r w:rsidRPr="001F3FA9">
        <w:tab/>
        <w:t xml:space="preserve">D. Chessel, A. B. Dufour and J. Thioulouse, </w:t>
      </w:r>
      <w:r w:rsidRPr="001F3FA9">
        <w:rPr>
          <w:i/>
        </w:rPr>
        <w:t>Journal</w:t>
      </w:r>
      <w:r w:rsidRPr="001F3FA9">
        <w:t xml:space="preserve">, 2004, </w:t>
      </w:r>
      <w:r w:rsidRPr="001F3FA9">
        <w:rPr>
          <w:b/>
        </w:rPr>
        <w:t>4</w:t>
      </w:r>
      <w:r w:rsidRPr="001F3FA9">
        <w:t>, 5-10.</w:t>
      </w:r>
    </w:p>
    <w:p w14:paraId="2EAC2BE2" w14:textId="77777777" w:rsidR="00C0337D" w:rsidRPr="001F3FA9" w:rsidRDefault="00C0337D" w:rsidP="001F3FA9">
      <w:pPr>
        <w:pStyle w:val="EndNoteBibliography"/>
        <w:spacing w:after="0"/>
        <w:ind w:left="720" w:hanging="720"/>
      </w:pPr>
      <w:r>
        <w:t>17</w:t>
      </w:r>
      <w:r w:rsidRPr="001F3FA9">
        <w:tab/>
        <w:t xml:space="preserve">R. Martin, A. J. Nauta, K. Ben Amor, L. M. J. Knippels, J. Knol and J. Garssen, </w:t>
      </w:r>
      <w:r w:rsidRPr="001F3FA9">
        <w:rPr>
          <w:i/>
        </w:rPr>
        <w:t>Beneficial Microbes</w:t>
      </w:r>
      <w:r w:rsidRPr="001F3FA9">
        <w:t xml:space="preserve">, 2010, </w:t>
      </w:r>
      <w:r w:rsidRPr="001F3FA9">
        <w:rPr>
          <w:b/>
        </w:rPr>
        <w:t>1</w:t>
      </w:r>
      <w:r w:rsidRPr="001F3FA9">
        <w:t>, 367-382.</w:t>
      </w:r>
    </w:p>
    <w:p w14:paraId="1E1C3CB8" w14:textId="77777777" w:rsidR="00C0337D" w:rsidRPr="001F3FA9" w:rsidRDefault="00C0337D" w:rsidP="001F3FA9">
      <w:pPr>
        <w:pStyle w:val="EndNoteBibliography"/>
        <w:spacing w:after="0"/>
        <w:ind w:left="720" w:hanging="720"/>
      </w:pPr>
      <w:r>
        <w:t>18</w:t>
      </w:r>
      <w:r w:rsidRPr="001F3FA9">
        <w:tab/>
        <w:t xml:space="preserve">M. Amarasekera, S. L. Prescott and D. J. Palmer, </w:t>
      </w:r>
      <w:r w:rsidRPr="001F3FA9">
        <w:rPr>
          <w:i/>
        </w:rPr>
        <w:t>Asian Pacific Journal of Allergy and Immunology</w:t>
      </w:r>
      <w:r w:rsidRPr="001F3FA9">
        <w:t xml:space="preserve">, 2013, </w:t>
      </w:r>
      <w:r w:rsidRPr="001F3FA9">
        <w:rPr>
          <w:b/>
        </w:rPr>
        <w:t>31</w:t>
      </w:r>
      <w:r w:rsidRPr="001F3FA9">
        <w:t>, 175-182.</w:t>
      </w:r>
    </w:p>
    <w:p w14:paraId="3C521A7D" w14:textId="77777777" w:rsidR="00C0337D" w:rsidRPr="001F3FA9" w:rsidRDefault="00C0337D" w:rsidP="001F3FA9">
      <w:pPr>
        <w:pStyle w:val="EndNoteBibliography"/>
        <w:spacing w:after="0"/>
        <w:ind w:left="720" w:hanging="720"/>
      </w:pPr>
      <w:r>
        <w:t>19</w:t>
      </w:r>
      <w:r w:rsidRPr="001F3FA9">
        <w:tab/>
        <w:t xml:space="preserve">A. L. Kozyrskyj and D. M. Sloboda, </w:t>
      </w:r>
      <w:r w:rsidRPr="001F3FA9">
        <w:rPr>
          <w:i/>
        </w:rPr>
        <w:t>Journal of Developmental Origins of Health and Disease</w:t>
      </w:r>
      <w:r w:rsidRPr="001F3FA9">
        <w:t xml:space="preserve">, 2016, </w:t>
      </w:r>
      <w:r w:rsidRPr="001F3FA9">
        <w:rPr>
          <w:b/>
        </w:rPr>
        <w:t>7</w:t>
      </w:r>
      <w:r w:rsidRPr="001F3FA9">
        <w:t>, 2-4.</w:t>
      </w:r>
    </w:p>
    <w:p w14:paraId="34CEF75E" w14:textId="77777777" w:rsidR="00C0337D" w:rsidRPr="001F3FA9" w:rsidRDefault="00C0337D" w:rsidP="001F3FA9">
      <w:pPr>
        <w:pStyle w:val="EndNoteBibliography"/>
        <w:spacing w:after="0"/>
        <w:ind w:left="720" w:hanging="720"/>
      </w:pPr>
      <w:r>
        <w:lastRenderedPageBreak/>
        <w:t>20</w:t>
      </w:r>
      <w:r w:rsidRPr="001F3FA9">
        <w:tab/>
        <w:t xml:space="preserve">S. M. Dillon, E. J. Lee, C. V. Kotter, G. L. Austin, S. Gianella, B. Siewe, D. M. Smith, A. L. Landay, M. C. McManus, C. E. Robertson, D. N. Frank, M. D. McCarter and C. C. Wilson, </w:t>
      </w:r>
      <w:r w:rsidRPr="001F3FA9">
        <w:rPr>
          <w:i/>
        </w:rPr>
        <w:t>Mucosal Immunology</w:t>
      </w:r>
      <w:r w:rsidRPr="001F3FA9">
        <w:t xml:space="preserve">, 2016, </w:t>
      </w:r>
      <w:r w:rsidRPr="001F3FA9">
        <w:rPr>
          <w:b/>
        </w:rPr>
        <w:t>9</w:t>
      </w:r>
      <w:r w:rsidRPr="001F3FA9">
        <w:t>, 24-37.</w:t>
      </w:r>
    </w:p>
    <w:p w14:paraId="02F48F58" w14:textId="77777777" w:rsidR="00C0337D" w:rsidRPr="001F3FA9" w:rsidRDefault="00C0337D" w:rsidP="001F3FA9">
      <w:pPr>
        <w:pStyle w:val="EndNoteBibliography"/>
        <w:spacing w:after="0"/>
        <w:ind w:left="720" w:hanging="720"/>
      </w:pPr>
      <w:r>
        <w:t>21</w:t>
      </w:r>
      <w:r w:rsidRPr="001F3FA9">
        <w:tab/>
        <w:t xml:space="preserve">T. Olszak, J. F. Neves, C. M. Dowds, K. Baker, J. Glickman, N. O. Davidson, C.-S. Lin, C. Jobin, S. Brand, K. Sotlar, K. Wada, K. Katayama, A. Nakajima, H. Mizuguchi, K. Kawasaki, K. Nagata, W. Mueller, S. B. Snapper, S. Schreiber, A. Kaser, </w:t>
      </w:r>
      <w:r>
        <w:t xml:space="preserve">S. Zeissig and R. S. Blumberg, </w:t>
      </w:r>
      <w:r w:rsidRPr="001F3FA9">
        <w:rPr>
          <w:i/>
        </w:rPr>
        <w:t>Nature</w:t>
      </w:r>
      <w:r w:rsidRPr="001F3FA9">
        <w:t xml:space="preserve">, 2014, </w:t>
      </w:r>
      <w:r w:rsidRPr="001F3FA9">
        <w:rPr>
          <w:b/>
        </w:rPr>
        <w:t>509</w:t>
      </w:r>
      <w:r>
        <w:t>, 497</w:t>
      </w:r>
      <w:r w:rsidRPr="001F3FA9">
        <w:t>.</w:t>
      </w:r>
    </w:p>
    <w:p w14:paraId="7B2BCD4D" w14:textId="77777777" w:rsidR="00C0337D" w:rsidRPr="001F3FA9" w:rsidRDefault="00C0337D" w:rsidP="001F3FA9">
      <w:pPr>
        <w:pStyle w:val="EndNoteBibliography"/>
        <w:spacing w:after="0"/>
        <w:ind w:left="720" w:hanging="720"/>
      </w:pPr>
      <w:r>
        <w:t>22</w:t>
      </w:r>
      <w:r w:rsidRPr="001F3FA9">
        <w:tab/>
        <w:t xml:space="preserve">C. M. Dowds, R. S. Blumberg and S. Zeissig, </w:t>
      </w:r>
      <w:r w:rsidRPr="001F3FA9">
        <w:rPr>
          <w:i/>
        </w:rPr>
        <w:t>Clinical Immunology</w:t>
      </w:r>
      <w:r w:rsidRPr="001F3FA9">
        <w:t xml:space="preserve">, 2015, </w:t>
      </w:r>
      <w:r w:rsidRPr="001F3FA9">
        <w:rPr>
          <w:b/>
        </w:rPr>
        <w:t>159</w:t>
      </w:r>
      <w:r w:rsidRPr="001F3FA9">
        <w:t>, 128-133.</w:t>
      </w:r>
    </w:p>
    <w:p w14:paraId="5A6FF4DD" w14:textId="77777777" w:rsidR="00C0337D" w:rsidRPr="001F3FA9" w:rsidRDefault="00C0337D" w:rsidP="001F3FA9">
      <w:pPr>
        <w:pStyle w:val="EndNoteBibliography"/>
        <w:ind w:left="720" w:hanging="720"/>
      </w:pPr>
      <w:r>
        <w:t>23</w:t>
      </w:r>
      <w:r w:rsidRPr="001F3FA9">
        <w:tab/>
        <w:t xml:space="preserve">Y. Obata, Y. Furusawa and K. Hase, </w:t>
      </w:r>
      <w:r w:rsidRPr="001F3FA9">
        <w:rPr>
          <w:i/>
        </w:rPr>
        <w:t>Immunology and Cell Biology</w:t>
      </w:r>
      <w:r w:rsidRPr="001F3FA9">
        <w:t xml:space="preserve">, 2015, </w:t>
      </w:r>
      <w:r w:rsidRPr="001F3FA9">
        <w:rPr>
          <w:b/>
        </w:rPr>
        <w:t>93</w:t>
      </w:r>
      <w:r w:rsidRPr="001F3FA9">
        <w:t>, 226-232.</w:t>
      </w:r>
    </w:p>
    <w:p w14:paraId="1411B6CD" w14:textId="77777777" w:rsidR="00C0337D" w:rsidRPr="00561ED2" w:rsidRDefault="00C0337D" w:rsidP="00C57553">
      <w:pPr>
        <w:spacing w:after="0" w:line="480" w:lineRule="auto"/>
        <w:jc w:val="both"/>
        <w:rPr>
          <w:b/>
          <w:lang w:val="en-US"/>
        </w:rPr>
      </w:pPr>
    </w:p>
    <w:p w14:paraId="069E9B43" w14:textId="77777777" w:rsidR="00C0337D" w:rsidRDefault="00C0337D" w:rsidP="00561ED2">
      <w:pPr>
        <w:spacing w:after="0" w:line="480" w:lineRule="auto"/>
        <w:jc w:val="both"/>
        <w:rPr>
          <w:lang w:val="en-US"/>
        </w:rPr>
      </w:pPr>
    </w:p>
    <w:p w14:paraId="0DB70314" w14:textId="77777777" w:rsidR="00C0337D" w:rsidRDefault="00C0337D" w:rsidP="00561ED2">
      <w:pPr>
        <w:spacing w:after="0" w:line="480" w:lineRule="auto"/>
        <w:jc w:val="both"/>
        <w:rPr>
          <w:lang w:val="en-US"/>
        </w:rPr>
      </w:pPr>
    </w:p>
    <w:p w14:paraId="40FDD069" w14:textId="77777777" w:rsidR="00C0337D" w:rsidRDefault="00C0337D" w:rsidP="00561ED2">
      <w:pPr>
        <w:spacing w:after="0" w:line="480" w:lineRule="auto"/>
        <w:jc w:val="both"/>
        <w:rPr>
          <w:lang w:val="en-US"/>
        </w:rPr>
      </w:pPr>
    </w:p>
    <w:p w14:paraId="6431242F" w14:textId="77777777" w:rsidR="00C0337D" w:rsidRDefault="00C0337D">
      <w:pPr>
        <w:rPr>
          <w:lang w:val="en-US"/>
        </w:rPr>
      </w:pPr>
      <w:r>
        <w:rPr>
          <w:lang w:val="en-US"/>
        </w:rPr>
        <w:br w:type="page"/>
      </w:r>
    </w:p>
    <w:p w14:paraId="4C460952" w14:textId="77777777" w:rsidR="00C0337D" w:rsidRPr="00561ED2" w:rsidRDefault="00C0337D" w:rsidP="00E25CAC">
      <w:pPr>
        <w:spacing w:after="0" w:line="240" w:lineRule="auto"/>
        <w:jc w:val="both"/>
        <w:rPr>
          <w:lang w:val="en-US"/>
        </w:rPr>
      </w:pPr>
      <w:r w:rsidRPr="00AA3533">
        <w:rPr>
          <w:noProof/>
          <w:lang w:val="fi-FI" w:eastAsia="fi-FI"/>
        </w:rPr>
        <w:lastRenderedPageBreak/>
        <w:drawing>
          <wp:inline distT="0" distB="0" distL="0" distR="0" wp14:anchorId="0F60C019" wp14:editId="0DB627C6">
            <wp:extent cx="6120765" cy="7138594"/>
            <wp:effectExtent l="19050" t="0" r="0" b="0"/>
            <wp:docPr id="1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srcRect/>
                    <a:stretch>
                      <a:fillRect/>
                    </a:stretch>
                  </pic:blipFill>
                  <pic:spPr bwMode="auto">
                    <a:xfrm>
                      <a:off x="0" y="0"/>
                      <a:ext cx="6120765" cy="7138594"/>
                    </a:xfrm>
                    <a:prstGeom prst="rect">
                      <a:avLst/>
                    </a:prstGeom>
                    <a:noFill/>
                    <a:ln w="9525">
                      <a:noFill/>
                      <a:miter lim="800000"/>
                      <a:headEnd/>
                      <a:tailEnd/>
                    </a:ln>
                  </pic:spPr>
                </pic:pic>
              </a:graphicData>
            </a:graphic>
          </wp:inline>
        </w:drawing>
      </w:r>
      <w:r w:rsidRPr="00561ED2">
        <w:rPr>
          <w:lang w:val="en-US"/>
        </w:rPr>
        <w:t xml:space="preserve">Figure 1. </w:t>
      </w:r>
      <w:r w:rsidRPr="00561ED2">
        <w:rPr>
          <w:lang w:val="en-US"/>
        </w:rPr>
        <w:lastRenderedPageBreak/>
        <w:t>Heat map and cluster of the different subjects. Samples from normal lactation (NL) group were represented in red, from infant formula-feeding were represented in purple (IF), and from infant formula supplemented with low amount of polyamines (T1) and high amount of polyamines (T2) were represented in green and blue respectively. Samples were clustered according to feeding practices and polyamine supplementation.</w:t>
      </w:r>
    </w:p>
    <w:p w14:paraId="35E07E5C" w14:textId="77777777" w:rsidR="00C0337D" w:rsidRPr="00561ED2" w:rsidRDefault="00C0337D" w:rsidP="00561ED2">
      <w:pPr>
        <w:spacing w:after="0" w:line="480" w:lineRule="auto"/>
        <w:jc w:val="both"/>
        <w:rPr>
          <w:lang w:val="en-US"/>
        </w:rPr>
      </w:pPr>
      <w:r w:rsidRPr="009A7CFD">
        <w:rPr>
          <w:noProof/>
          <w:lang w:val="fi-FI" w:eastAsia="fi-FI"/>
        </w:rPr>
        <w:drawing>
          <wp:inline distT="0" distB="0" distL="0" distR="0" wp14:anchorId="20207C3F" wp14:editId="194B41E6">
            <wp:extent cx="6120765" cy="4699093"/>
            <wp:effectExtent l="19050" t="0" r="0" b="0"/>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6120765" cy="4699093"/>
                    </a:xfrm>
                    <a:prstGeom prst="rect">
                      <a:avLst/>
                    </a:prstGeom>
                    <a:noFill/>
                    <a:ln w="9525">
                      <a:noFill/>
                      <a:miter lim="800000"/>
                      <a:headEnd/>
                      <a:tailEnd/>
                    </a:ln>
                  </pic:spPr>
                </pic:pic>
              </a:graphicData>
            </a:graphic>
          </wp:inline>
        </w:drawing>
      </w:r>
    </w:p>
    <w:p w14:paraId="005C54A9" w14:textId="77777777" w:rsidR="00C0337D" w:rsidRPr="00FD5AEA" w:rsidRDefault="00C0337D" w:rsidP="00FD5AEA">
      <w:pPr>
        <w:jc w:val="both"/>
        <w:rPr>
          <w:lang w:val="en-US"/>
        </w:rPr>
      </w:pPr>
      <w:r w:rsidRPr="00561ED2">
        <w:rPr>
          <w:lang w:val="en-US"/>
        </w:rPr>
        <w:lastRenderedPageBreak/>
        <w:t xml:space="preserve">Figure 2. Impact of different diets and polyamine intake during lactation on gastrointestinal microbiota populations, lymphocyte population and gene expression. A) Results from the principal component analysis. B) 1D representation of Gauss scores of the first principal component in the PCA. C) 1D representation of Gauss scores of the second principal component in the PCA. </w:t>
      </w:r>
      <w:r w:rsidRPr="005357F1">
        <w:rPr>
          <w:lang w:val="en-US"/>
        </w:rPr>
        <w:t>NL=</w:t>
      </w:r>
      <w:r w:rsidRPr="005357F1">
        <w:rPr>
          <w:bCs/>
          <w:lang w:val="en-US"/>
        </w:rPr>
        <w:t xml:space="preserve"> normal lactation group; IF-group fed with commercial infant formula; T1- group fed with an infant formula supplemented with low polyamine concentration; T2-group fed with an infant formula supplemented with high polyamine concentration.</w:t>
      </w:r>
    </w:p>
    <w:p w14:paraId="71288493" w14:textId="77777777" w:rsidR="00C0337D" w:rsidRPr="0041193A" w:rsidRDefault="00C0337D" w:rsidP="00A956FF">
      <w:pPr>
        <w:spacing w:after="0" w:line="480" w:lineRule="auto"/>
        <w:jc w:val="both"/>
        <w:rPr>
          <w:lang w:val="en-US"/>
        </w:rPr>
      </w:pPr>
    </w:p>
    <w:p w14:paraId="3A72E98D" w14:textId="77777777" w:rsidR="00C0337D" w:rsidRPr="0041193A" w:rsidRDefault="00C0337D" w:rsidP="0041193A">
      <w:pPr>
        <w:spacing w:after="0" w:line="480" w:lineRule="auto"/>
        <w:jc w:val="center"/>
        <w:rPr>
          <w:lang w:val="en-US"/>
        </w:rPr>
      </w:pPr>
    </w:p>
    <w:p w14:paraId="65768888" w14:textId="77777777" w:rsidR="0087592C" w:rsidRPr="00FA71A7" w:rsidRDefault="0087592C">
      <w:pPr>
        <w:rPr>
          <w:lang w:val="en-GB"/>
        </w:rPr>
      </w:pPr>
    </w:p>
    <w:sectPr w:rsidR="0087592C" w:rsidRPr="00FA71A7" w:rsidSect="005F3E28">
      <w:head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89B3FC" w14:textId="77777777" w:rsidR="005A1E9E" w:rsidRDefault="005A1E9E">
      <w:pPr>
        <w:spacing w:after="0" w:line="240" w:lineRule="auto"/>
      </w:pPr>
      <w:r>
        <w:separator/>
      </w:r>
    </w:p>
  </w:endnote>
  <w:endnote w:type="continuationSeparator" w:id="0">
    <w:p w14:paraId="05A37E06" w14:textId="77777777" w:rsidR="005A1E9E" w:rsidRDefault="005A1E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auto"/>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0309BD" w14:textId="77777777" w:rsidR="005A1E9E" w:rsidRDefault="005A1E9E">
      <w:pPr>
        <w:spacing w:after="0" w:line="240" w:lineRule="auto"/>
      </w:pPr>
      <w:r>
        <w:separator/>
      </w:r>
    </w:p>
  </w:footnote>
  <w:footnote w:type="continuationSeparator" w:id="0">
    <w:p w14:paraId="6FAF8CA7" w14:textId="77777777" w:rsidR="005A1E9E" w:rsidRDefault="005A1E9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661639"/>
      <w:docPartObj>
        <w:docPartGallery w:val="Page Numbers (Top of Page)"/>
        <w:docPartUnique/>
      </w:docPartObj>
    </w:sdtPr>
    <w:sdtEndPr/>
    <w:sdtContent>
      <w:p w14:paraId="5BDFDA3B" w14:textId="1C58528D" w:rsidR="00561ED2" w:rsidRDefault="00387AD1">
        <w:pPr>
          <w:pStyle w:val="Header"/>
          <w:jc w:val="right"/>
        </w:pPr>
        <w:r>
          <w:fldChar w:fldCharType="begin"/>
        </w:r>
        <w:r>
          <w:instrText xml:space="preserve"> PAGE   \* MERGEFORMAT </w:instrText>
        </w:r>
        <w:r>
          <w:fldChar w:fldCharType="separate"/>
        </w:r>
        <w:r w:rsidR="004F332C">
          <w:rPr>
            <w:noProof/>
          </w:rPr>
          <w:t>1</w:t>
        </w:r>
        <w:r>
          <w:rPr>
            <w:noProof/>
          </w:rPr>
          <w:fldChar w:fldCharType="end"/>
        </w:r>
      </w:p>
    </w:sdtContent>
  </w:sdt>
  <w:p w14:paraId="35C3F21C" w14:textId="77777777" w:rsidR="00561ED2" w:rsidRDefault="005A1E9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B30467F"/>
    <w:multiLevelType w:val="multilevel"/>
    <w:tmpl w:val="7EDC64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C0337D"/>
    <w:rsid w:val="00387AD1"/>
    <w:rsid w:val="00433E7A"/>
    <w:rsid w:val="004F332C"/>
    <w:rsid w:val="005202EA"/>
    <w:rsid w:val="005278A6"/>
    <w:rsid w:val="005A1E9E"/>
    <w:rsid w:val="007259FC"/>
    <w:rsid w:val="00802EF8"/>
    <w:rsid w:val="008246DE"/>
    <w:rsid w:val="0087592C"/>
    <w:rsid w:val="009D6FEB"/>
    <w:rsid w:val="00C0337D"/>
    <w:rsid w:val="00DD2CFF"/>
    <w:rsid w:val="00E91166"/>
    <w:rsid w:val="00F00E44"/>
    <w:rsid w:val="00F430F0"/>
    <w:rsid w:val="00FA71A7"/>
    <w:rsid w:val="00FB2814"/>
    <w:rsid w:val="00FF02D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897E9"/>
  <w15:chartTrackingRefBased/>
  <w15:docId w15:val="{41C1B8B1-5BE8-46C1-9190-C941BBC47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337D"/>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0337D"/>
    <w:pPr>
      <w:ind w:left="720"/>
      <w:contextualSpacing/>
    </w:pPr>
  </w:style>
  <w:style w:type="character" w:styleId="Hyperlink">
    <w:name w:val="Hyperlink"/>
    <w:basedOn w:val="DefaultParagraphFont"/>
    <w:uiPriority w:val="99"/>
    <w:unhideWhenUsed/>
    <w:rsid w:val="00C0337D"/>
    <w:rPr>
      <w:color w:val="0563C1" w:themeColor="hyperlink"/>
      <w:u w:val="single"/>
    </w:rPr>
  </w:style>
  <w:style w:type="paragraph" w:styleId="Header">
    <w:name w:val="header"/>
    <w:basedOn w:val="Normal"/>
    <w:link w:val="HeaderChar"/>
    <w:uiPriority w:val="99"/>
    <w:unhideWhenUsed/>
    <w:rsid w:val="00C0337D"/>
    <w:pPr>
      <w:tabs>
        <w:tab w:val="center" w:pos="4252"/>
        <w:tab w:val="right" w:pos="8504"/>
      </w:tabs>
      <w:spacing w:after="0" w:line="240" w:lineRule="auto"/>
    </w:pPr>
  </w:style>
  <w:style w:type="character" w:customStyle="1" w:styleId="HeaderChar">
    <w:name w:val="Header Char"/>
    <w:basedOn w:val="DefaultParagraphFont"/>
    <w:link w:val="Header"/>
    <w:uiPriority w:val="99"/>
    <w:rsid w:val="00C0337D"/>
  </w:style>
  <w:style w:type="paragraph" w:styleId="Footer">
    <w:name w:val="footer"/>
    <w:basedOn w:val="Normal"/>
    <w:link w:val="FooterChar"/>
    <w:uiPriority w:val="99"/>
    <w:semiHidden/>
    <w:unhideWhenUsed/>
    <w:rsid w:val="00C0337D"/>
    <w:pPr>
      <w:tabs>
        <w:tab w:val="center" w:pos="4252"/>
        <w:tab w:val="right" w:pos="8504"/>
      </w:tabs>
      <w:spacing w:after="0" w:line="240" w:lineRule="auto"/>
    </w:pPr>
  </w:style>
  <w:style w:type="character" w:customStyle="1" w:styleId="FooterChar">
    <w:name w:val="Footer Char"/>
    <w:basedOn w:val="DefaultParagraphFont"/>
    <w:link w:val="Footer"/>
    <w:uiPriority w:val="99"/>
    <w:semiHidden/>
    <w:rsid w:val="00C0337D"/>
  </w:style>
  <w:style w:type="paragraph" w:customStyle="1" w:styleId="EndNoteBibliographyTitle">
    <w:name w:val="EndNote Bibliography Title"/>
    <w:basedOn w:val="Normal"/>
    <w:link w:val="EndNoteBibliographyTitleCar"/>
    <w:rsid w:val="00C0337D"/>
    <w:pPr>
      <w:spacing w:after="0"/>
      <w:jc w:val="center"/>
    </w:pPr>
    <w:rPr>
      <w:rFonts w:ascii="Calibri" w:hAnsi="Calibri"/>
      <w:noProof/>
      <w:lang w:val="en-US"/>
    </w:rPr>
  </w:style>
  <w:style w:type="character" w:customStyle="1" w:styleId="EndNoteBibliographyTitleCar">
    <w:name w:val="EndNote Bibliography Title Car"/>
    <w:basedOn w:val="DefaultParagraphFont"/>
    <w:link w:val="EndNoteBibliographyTitle"/>
    <w:rsid w:val="00C0337D"/>
    <w:rPr>
      <w:rFonts w:ascii="Calibri" w:hAnsi="Calibri"/>
      <w:noProof/>
      <w:lang w:val="en-US"/>
    </w:rPr>
  </w:style>
  <w:style w:type="paragraph" w:customStyle="1" w:styleId="EndNoteBibliography">
    <w:name w:val="EndNote Bibliography"/>
    <w:basedOn w:val="Normal"/>
    <w:link w:val="EndNoteBibliographyCar"/>
    <w:rsid w:val="00C0337D"/>
    <w:pPr>
      <w:spacing w:line="240" w:lineRule="auto"/>
      <w:jc w:val="both"/>
    </w:pPr>
    <w:rPr>
      <w:rFonts w:ascii="Calibri" w:hAnsi="Calibri"/>
      <w:noProof/>
      <w:lang w:val="en-US"/>
    </w:rPr>
  </w:style>
  <w:style w:type="character" w:customStyle="1" w:styleId="EndNoteBibliographyCar">
    <w:name w:val="EndNote Bibliography Car"/>
    <w:basedOn w:val="DefaultParagraphFont"/>
    <w:link w:val="EndNoteBibliography"/>
    <w:rsid w:val="00C0337D"/>
    <w:rPr>
      <w:rFonts w:ascii="Calibri" w:hAnsi="Calibri"/>
      <w:noProof/>
      <w:lang w:val="en-US"/>
    </w:rPr>
  </w:style>
  <w:style w:type="character" w:styleId="CommentReference">
    <w:name w:val="annotation reference"/>
    <w:basedOn w:val="DefaultParagraphFont"/>
    <w:uiPriority w:val="99"/>
    <w:semiHidden/>
    <w:unhideWhenUsed/>
    <w:rsid w:val="00C0337D"/>
    <w:rPr>
      <w:sz w:val="16"/>
      <w:szCs w:val="16"/>
    </w:rPr>
  </w:style>
  <w:style w:type="paragraph" w:styleId="CommentText">
    <w:name w:val="annotation text"/>
    <w:basedOn w:val="Normal"/>
    <w:link w:val="CommentTextChar"/>
    <w:uiPriority w:val="99"/>
    <w:semiHidden/>
    <w:unhideWhenUsed/>
    <w:rsid w:val="00C0337D"/>
    <w:pPr>
      <w:spacing w:line="240" w:lineRule="auto"/>
    </w:pPr>
    <w:rPr>
      <w:sz w:val="20"/>
      <w:szCs w:val="20"/>
    </w:rPr>
  </w:style>
  <w:style w:type="character" w:customStyle="1" w:styleId="CommentTextChar">
    <w:name w:val="Comment Text Char"/>
    <w:basedOn w:val="DefaultParagraphFont"/>
    <w:link w:val="CommentText"/>
    <w:uiPriority w:val="99"/>
    <w:semiHidden/>
    <w:rsid w:val="00C0337D"/>
    <w:rPr>
      <w:sz w:val="20"/>
      <w:szCs w:val="20"/>
    </w:rPr>
  </w:style>
  <w:style w:type="paragraph" w:styleId="CommentSubject">
    <w:name w:val="annotation subject"/>
    <w:basedOn w:val="CommentText"/>
    <w:next w:val="CommentText"/>
    <w:link w:val="CommentSubjectChar"/>
    <w:uiPriority w:val="99"/>
    <w:semiHidden/>
    <w:unhideWhenUsed/>
    <w:rsid w:val="00C0337D"/>
    <w:rPr>
      <w:b/>
      <w:bCs/>
    </w:rPr>
  </w:style>
  <w:style w:type="character" w:customStyle="1" w:styleId="CommentSubjectChar">
    <w:name w:val="Comment Subject Char"/>
    <w:basedOn w:val="CommentTextChar"/>
    <w:link w:val="CommentSubject"/>
    <w:uiPriority w:val="99"/>
    <w:semiHidden/>
    <w:rsid w:val="00C0337D"/>
    <w:rPr>
      <w:b/>
      <w:bCs/>
      <w:sz w:val="20"/>
      <w:szCs w:val="20"/>
    </w:rPr>
  </w:style>
  <w:style w:type="paragraph" w:styleId="BalloonText">
    <w:name w:val="Balloon Text"/>
    <w:basedOn w:val="Normal"/>
    <w:link w:val="BalloonTextChar"/>
    <w:uiPriority w:val="99"/>
    <w:semiHidden/>
    <w:unhideWhenUsed/>
    <w:rsid w:val="00C033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337D"/>
    <w:rPr>
      <w:rFonts w:ascii="Tahoma" w:hAnsi="Tahoma" w:cs="Tahoma"/>
      <w:sz w:val="16"/>
      <w:szCs w:val="16"/>
    </w:rPr>
  </w:style>
  <w:style w:type="paragraph" w:styleId="NormalWeb">
    <w:name w:val="Normal (Web)"/>
    <w:basedOn w:val="Normal"/>
    <w:uiPriority w:val="99"/>
    <w:semiHidden/>
    <w:unhideWhenUsed/>
    <w:rsid w:val="00C0337D"/>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Emphasis">
    <w:name w:val="Emphasis"/>
    <w:basedOn w:val="DefaultParagraphFont"/>
    <w:uiPriority w:val="20"/>
    <w:qFormat/>
    <w:rsid w:val="00C0337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1809</Words>
  <Characters>14658</Characters>
  <Application>Microsoft Office Word</Application>
  <DocSecurity>0</DocSecurity>
  <Lines>122</Lines>
  <Paragraphs>32</Paragraphs>
  <ScaleCrop>false</ScaleCrop>
  <HeadingPairs>
    <vt:vector size="6" baseType="variant">
      <vt:variant>
        <vt:lpstr>Title</vt:lpstr>
      </vt:variant>
      <vt:variant>
        <vt:i4>1</vt:i4>
      </vt:variant>
      <vt:variant>
        <vt:lpstr>Título</vt:lpstr>
      </vt:variant>
      <vt:variant>
        <vt:i4>1</vt:i4>
      </vt:variant>
      <vt:variant>
        <vt:lpstr>Otsikko</vt:lpstr>
      </vt:variant>
      <vt:variant>
        <vt:i4>1</vt:i4>
      </vt:variant>
    </vt:vector>
  </HeadingPairs>
  <TitlesOfParts>
    <vt:vector size="3" baseType="lpstr">
      <vt:lpstr/>
      <vt:lpstr/>
      <vt:lpstr/>
    </vt:vector>
  </TitlesOfParts>
  <Company/>
  <LinksUpToDate>false</LinksUpToDate>
  <CharactersWithSpaces>16435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Gómez Gallego</dc:creator>
  <cp:keywords/>
  <dc:description/>
  <cp:lastModifiedBy>Kimmo Niukko</cp:lastModifiedBy>
  <cp:revision>2</cp:revision>
  <dcterms:created xsi:type="dcterms:W3CDTF">2018-01-08T11:39:00Z</dcterms:created>
  <dcterms:modified xsi:type="dcterms:W3CDTF">2018-01-08T11:39:00Z</dcterms:modified>
</cp:coreProperties>
</file>