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4DB3" w:rsidRPr="00E567AE" w:rsidRDefault="00054DB3" w:rsidP="00CD715A">
      <w:pPr>
        <w:spacing w:line="360" w:lineRule="auto"/>
        <w:rPr>
          <w:rFonts w:ascii="Times New Roman" w:hAnsi="Times New Roman"/>
          <w:sz w:val="24"/>
          <w:szCs w:val="24"/>
          <w:lang w:val="en-US"/>
        </w:rPr>
      </w:pPr>
      <w:r w:rsidRPr="00E567AE">
        <w:rPr>
          <w:rFonts w:ascii="Times New Roman" w:hAnsi="Times New Roman"/>
          <w:sz w:val="24"/>
          <w:szCs w:val="24"/>
          <w:lang w:val="en-US"/>
        </w:rPr>
        <w:t>Book review</w:t>
      </w:r>
    </w:p>
    <w:p w:rsidR="00054DB3" w:rsidRPr="00E567AE" w:rsidRDefault="00054DB3" w:rsidP="00CD715A">
      <w:pPr>
        <w:spacing w:line="360" w:lineRule="auto"/>
        <w:rPr>
          <w:rFonts w:ascii="Times New Roman" w:hAnsi="Times New Roman"/>
          <w:sz w:val="24"/>
          <w:szCs w:val="24"/>
          <w:lang w:val="en-US"/>
        </w:rPr>
      </w:pPr>
      <w:r w:rsidRPr="00227197">
        <w:rPr>
          <w:rFonts w:ascii="Times New Roman" w:hAnsi="Times New Roman"/>
          <w:sz w:val="24"/>
          <w:szCs w:val="24"/>
          <w:lang w:val="en-US"/>
        </w:rPr>
        <w:t>Anu Laukkanen</w:t>
      </w:r>
    </w:p>
    <w:p w:rsidR="00054DB3" w:rsidRPr="00227197" w:rsidRDefault="00054DB3" w:rsidP="00CD715A">
      <w:pPr>
        <w:spacing w:after="240" w:line="360" w:lineRule="auto"/>
        <w:rPr>
          <w:rFonts w:ascii="Times New Roman" w:hAnsi="Times New Roman"/>
          <w:sz w:val="24"/>
          <w:szCs w:val="24"/>
          <w:lang w:val="en-US"/>
        </w:rPr>
      </w:pPr>
      <w:bookmarkStart w:id="0" w:name="_GoBack"/>
      <w:r>
        <w:rPr>
          <w:rFonts w:ascii="Times New Roman" w:hAnsi="Times New Roman"/>
          <w:sz w:val="24"/>
          <w:szCs w:val="24"/>
          <w:lang w:val="en-US"/>
        </w:rPr>
        <w:t>Feminine possibilities</w:t>
      </w:r>
    </w:p>
    <w:bookmarkEnd w:id="0"/>
    <w:p w:rsidR="00054DB3" w:rsidRDefault="00054DB3" w:rsidP="006E37CC">
      <w:pPr>
        <w:spacing w:after="240" w:line="360" w:lineRule="auto"/>
        <w:rPr>
          <w:rFonts w:ascii="Times New Roman" w:hAnsi="Times New Roman"/>
          <w:sz w:val="24"/>
          <w:szCs w:val="24"/>
          <w:lang w:val="en-US"/>
        </w:rPr>
      </w:pPr>
      <w:r w:rsidRPr="00227197">
        <w:rPr>
          <w:rFonts w:ascii="Times New Roman" w:hAnsi="Times New Roman"/>
          <w:sz w:val="24"/>
          <w:szCs w:val="24"/>
          <w:lang w:val="en-US"/>
        </w:rPr>
        <w:t xml:space="preserve">Högström, Karin 2010: </w:t>
      </w:r>
      <w:r w:rsidRPr="00227197">
        <w:rPr>
          <w:rFonts w:ascii="Times New Roman" w:hAnsi="Times New Roman"/>
          <w:i/>
          <w:sz w:val="24"/>
          <w:szCs w:val="24"/>
          <w:lang w:val="en-US"/>
        </w:rPr>
        <w:t>Orientalisk dans i Stockholm. Femininiteter, möjligheter och begränsningar.</w:t>
      </w:r>
      <w:r w:rsidRPr="00227197">
        <w:rPr>
          <w:rFonts w:ascii="Times New Roman" w:hAnsi="Times New Roman"/>
          <w:sz w:val="24"/>
          <w:szCs w:val="24"/>
          <w:lang w:val="en-US"/>
        </w:rPr>
        <w:t xml:space="preserve"> Stockholm, Acta Universitatis Stockholmiensis, Stockholm Studies in Ethnology 4. 301 pages, ISBN </w:t>
      </w:r>
      <w:r>
        <w:rPr>
          <w:rFonts w:ascii="Times New Roman" w:hAnsi="Times New Roman"/>
          <w:sz w:val="24"/>
          <w:szCs w:val="24"/>
          <w:lang w:val="en-US"/>
        </w:rPr>
        <w:t xml:space="preserve"> 978-91-86071-34-9</w:t>
      </w:r>
      <w:r w:rsidRPr="00227197">
        <w:rPr>
          <w:rFonts w:ascii="Times New Roman" w:hAnsi="Times New Roman"/>
          <w:sz w:val="24"/>
          <w:szCs w:val="24"/>
          <w:lang w:val="en-US"/>
        </w:rPr>
        <w:t>.</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Default="00054DB3" w:rsidP="00CD715A">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t xml:space="preserve">In this dissertation submitted in the department of Ethnology at the University of Stockholm, Karin Högström explores the appeal of Oriental dancing for women of Swedish or other Nordic descent. How do they “seek, create and defend values such as femininity, authenticity, empowerment and respectability in and through their dancing?” How does the dance change them? The book is based on ethnographic research among Swedish dancers in Stockholm, where she has conducted participant observation in dance classes, shows and festivals, and interviews among the dancers. Also, she uses her own experiences as a dancer as a starting point for further exploration. </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Default="00054DB3" w:rsidP="00CD715A">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t xml:space="preserve">In the first chapter Högström creates the theoretical and methodological setting for the study. </w:t>
      </w:r>
      <w:r w:rsidRPr="00A305F2">
        <w:rPr>
          <w:rFonts w:ascii="Times New Roman" w:hAnsi="Times New Roman"/>
          <w:sz w:val="24"/>
          <w:szCs w:val="24"/>
          <w:lang w:val="en-US"/>
        </w:rPr>
        <w:t>Pierre Bourdieu’s understanding of habitus as social</w:t>
      </w:r>
      <w:r>
        <w:rPr>
          <w:rFonts w:ascii="Times New Roman" w:hAnsi="Times New Roman"/>
          <w:sz w:val="24"/>
          <w:szCs w:val="24"/>
          <w:lang w:val="en-US"/>
        </w:rPr>
        <w:t>ized and often unreflected</w:t>
      </w:r>
      <w:r w:rsidRPr="003A7558">
        <w:rPr>
          <w:rFonts w:ascii="Times New Roman" w:hAnsi="Times New Roman"/>
          <w:sz w:val="24"/>
          <w:szCs w:val="24"/>
          <w:lang w:val="en-US"/>
        </w:rPr>
        <w:t xml:space="preserve"> norms or tendencies that guide behaviour and thinking </w:t>
      </w:r>
      <w:r>
        <w:rPr>
          <w:rFonts w:ascii="Times New Roman" w:hAnsi="Times New Roman"/>
          <w:sz w:val="24"/>
          <w:szCs w:val="24"/>
          <w:lang w:val="en-US"/>
        </w:rPr>
        <w:t xml:space="preserve">works as the starting point for Högström’s analysis. With the concept of habitus it is possible to highlight the interplay of structures and agency that takes place in Oriental dancing. To emphasise the subjective side of the dance experience and to show how dancing transforms the body and its dispositions Högström turns to Maurice Merleau-Ponty’s idea of Body Schema. When dancers learn new movements in dance lessons, they simultaneously modify their Body Schema according to the visual, aural, kinesthetic and emotional aspects available in the dance class. By learning new style of moving and also experiencing one’s body in a new way as hyper-feminine, for example, one’s habitus may gradually change. </w:t>
      </w:r>
    </w:p>
    <w:p w:rsidR="00054DB3" w:rsidRPr="00977364" w:rsidRDefault="00054DB3" w:rsidP="00CD715A">
      <w:pPr>
        <w:autoSpaceDE w:val="0"/>
        <w:autoSpaceDN w:val="0"/>
        <w:adjustRightInd w:val="0"/>
        <w:spacing w:after="0" w:line="360" w:lineRule="auto"/>
        <w:rPr>
          <w:rFonts w:ascii="Times New Roman" w:hAnsi="Times New Roman"/>
          <w:sz w:val="24"/>
          <w:szCs w:val="24"/>
          <w:lang w:val="en-US"/>
        </w:rPr>
      </w:pPr>
    </w:p>
    <w:p w:rsidR="00054DB3" w:rsidRPr="00A305F2" w:rsidRDefault="00054DB3" w:rsidP="00CD715A">
      <w:pPr>
        <w:autoSpaceDE w:val="0"/>
        <w:autoSpaceDN w:val="0"/>
        <w:adjustRightInd w:val="0"/>
        <w:spacing w:after="0" w:line="360" w:lineRule="auto"/>
        <w:rPr>
          <w:rFonts w:ascii="Times New Roman" w:hAnsi="Times New Roman"/>
          <w:sz w:val="24"/>
          <w:szCs w:val="24"/>
          <w:lang w:val="en-US"/>
        </w:rPr>
      </w:pPr>
      <w:r w:rsidRPr="00A305F2">
        <w:rPr>
          <w:rFonts w:ascii="Times New Roman" w:hAnsi="Times New Roman"/>
          <w:sz w:val="24"/>
          <w:szCs w:val="24"/>
          <w:lang w:val="en-US"/>
        </w:rPr>
        <w:t>Femininity, or femininities are understood as constructions</w:t>
      </w:r>
      <w:r>
        <w:rPr>
          <w:rFonts w:ascii="Times New Roman" w:hAnsi="Times New Roman"/>
          <w:sz w:val="24"/>
          <w:szCs w:val="24"/>
          <w:lang w:val="en-US"/>
        </w:rPr>
        <w:t xml:space="preserve"> not necessarily related to biological or anatomical sex. These ideas concerning gender are drawn from Simone de Beuavoir, Toril Moi and Judith Butler. As de Beauvoir and Iris Marion Young have argued, the female body in a male-dominated society is defined as the Other, and women do not have the same access to subjectivity, autonomy and creativity as men. According to Young, women often experience their bodies as being more fragile or open to objectification. However, objectification can have enjoyable sides, if </w:t>
      </w:r>
      <w:r>
        <w:rPr>
          <w:rFonts w:ascii="Times New Roman" w:hAnsi="Times New Roman"/>
          <w:sz w:val="24"/>
          <w:szCs w:val="24"/>
          <w:lang w:val="en-US"/>
        </w:rPr>
        <w:lastRenderedPageBreak/>
        <w:t>the situation is otherwise based on equality and respect, like philosopher Martha Nussbaum claims. Högström illustrates both sides of being an object/objectified and an active subject in her analysis.</w:t>
      </w:r>
    </w:p>
    <w:p w:rsidR="00054DB3" w:rsidRDefault="00054DB3" w:rsidP="00F51612">
      <w:pPr>
        <w:autoSpaceDE w:val="0"/>
        <w:autoSpaceDN w:val="0"/>
        <w:adjustRightInd w:val="0"/>
        <w:spacing w:after="0" w:line="360" w:lineRule="auto"/>
        <w:rPr>
          <w:rFonts w:ascii="Times New Roman" w:hAnsi="Times New Roman"/>
          <w:sz w:val="24"/>
          <w:szCs w:val="24"/>
          <w:lang w:val="en-US"/>
        </w:rPr>
      </w:pPr>
    </w:p>
    <w:p w:rsidR="00054DB3" w:rsidRDefault="00054DB3" w:rsidP="00F51612">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t xml:space="preserve">Femininities – and at some case masculinities – that are performed and experienced in Oriental dancing are seen as aspects of habitus, and also as modes of cultural capital. Sociologist Beverley Skeggs has written on class and gender and Högström draws on her concept of respectability to valorize the ambivalence concerning the value of femininity performed in Oriental dance. The Oriental dancers in Sweden are mostly middle-class white women with a good education and established position in work life, while Oriental dancing with its glittery and often revealing costumes, flirtatious gestures and sensual movements has connotations to “cheap” working-class femininity, or even to sex work. Thus seeking for respectability in their dancing is an issue for many, even though in the every-day life these women’s respectability is not threatened. </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Default="00054DB3" w:rsidP="00CD715A">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t xml:space="preserve">In the second chapter, the author guides the readers to the world of Oriental dancing as it has been described and researched by previous scholars, and explains how Oriental dancing is practiced in Stockholm. </w:t>
      </w:r>
      <w:r w:rsidRPr="00A305F2">
        <w:rPr>
          <w:rFonts w:ascii="Times New Roman" w:hAnsi="Times New Roman"/>
          <w:sz w:val="24"/>
          <w:szCs w:val="24"/>
          <w:lang w:val="en-US"/>
        </w:rPr>
        <w:t xml:space="preserve">The </w:t>
      </w:r>
      <w:r>
        <w:rPr>
          <w:rFonts w:ascii="Times New Roman" w:hAnsi="Times New Roman"/>
          <w:sz w:val="24"/>
          <w:szCs w:val="24"/>
          <w:lang w:val="en-US"/>
        </w:rPr>
        <w:t xml:space="preserve">following chapters are based on the original ethnographical material and Högström’s descriptions, analysis and interpretation of it. </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Pr="001E657F" w:rsidRDefault="00054DB3" w:rsidP="00BD517F">
      <w:pPr>
        <w:autoSpaceDE w:val="0"/>
        <w:autoSpaceDN w:val="0"/>
        <w:adjustRightInd w:val="0"/>
        <w:spacing w:after="0" w:line="360" w:lineRule="auto"/>
        <w:rPr>
          <w:rFonts w:ascii="Times New Roman" w:hAnsi="Times New Roman"/>
          <w:sz w:val="24"/>
          <w:szCs w:val="24"/>
          <w:lang w:val="en-US"/>
        </w:rPr>
      </w:pPr>
      <w:r w:rsidRPr="00995A06">
        <w:rPr>
          <w:rFonts w:ascii="Times New Roman" w:hAnsi="Times New Roman"/>
          <w:sz w:val="24"/>
          <w:szCs w:val="24"/>
          <w:lang w:val="en-US"/>
        </w:rPr>
        <w:t>Chapter</w:t>
      </w:r>
      <w:r>
        <w:rPr>
          <w:rFonts w:ascii="Times New Roman" w:hAnsi="Times New Roman"/>
          <w:sz w:val="24"/>
          <w:szCs w:val="24"/>
          <w:lang w:val="en-US"/>
        </w:rPr>
        <w:t xml:space="preserve"> three focuses on the Middle Eastern dance class and we may read how the beginners work hard to learn the suitable movements, expressions and attitudes. The gradual transformation of the dancers’ habitus and Body Schema is well-documented and argued and </w:t>
      </w:r>
      <w:r w:rsidRPr="001E657F">
        <w:rPr>
          <w:rFonts w:ascii="Times New Roman" w:hAnsi="Times New Roman"/>
          <w:sz w:val="24"/>
          <w:szCs w:val="24"/>
          <w:lang w:val="en-US"/>
        </w:rPr>
        <w:t>this aspect creates the most exciting part of the work.</w:t>
      </w:r>
      <w:r>
        <w:rPr>
          <w:rFonts w:ascii="Times New Roman" w:hAnsi="Times New Roman"/>
          <w:sz w:val="24"/>
          <w:szCs w:val="24"/>
          <w:lang w:val="en-US"/>
        </w:rPr>
        <w:t xml:space="preserve"> The dancers see Oriental dance as profoundly feminine practice due to its movement qualities, the body parts used and its emotional expression. However, there is not only one kind of femininity that is performed or expressed, but many. The teachers transmit these qualities of expression and movement by showing and verbally by using a lot of metaphors. The dance lessons are experienced as free-zones from the daily duties and objectifying male gaze. </w:t>
      </w:r>
    </w:p>
    <w:p w:rsidR="00054DB3" w:rsidRPr="001E657F" w:rsidRDefault="00054DB3" w:rsidP="00CD715A">
      <w:pPr>
        <w:autoSpaceDE w:val="0"/>
        <w:autoSpaceDN w:val="0"/>
        <w:adjustRightInd w:val="0"/>
        <w:spacing w:after="0" w:line="360" w:lineRule="auto"/>
        <w:rPr>
          <w:rFonts w:ascii="Times New Roman" w:hAnsi="Times New Roman"/>
          <w:sz w:val="24"/>
          <w:szCs w:val="24"/>
          <w:lang w:val="en-US"/>
        </w:rPr>
      </w:pPr>
    </w:p>
    <w:p w:rsidR="00054DB3" w:rsidRPr="00210F2A" w:rsidRDefault="00054DB3" w:rsidP="00BD517F">
      <w:pPr>
        <w:autoSpaceDE w:val="0"/>
        <w:autoSpaceDN w:val="0"/>
        <w:adjustRightInd w:val="0"/>
        <w:spacing w:after="0" w:line="360" w:lineRule="auto"/>
        <w:rPr>
          <w:rFonts w:ascii="Times New Roman" w:hAnsi="Times New Roman"/>
          <w:sz w:val="24"/>
          <w:szCs w:val="24"/>
          <w:lang w:val="en-US"/>
        </w:rPr>
      </w:pPr>
      <w:r w:rsidRPr="00995A06">
        <w:rPr>
          <w:rFonts w:ascii="Times New Roman" w:hAnsi="Times New Roman"/>
          <w:sz w:val="24"/>
          <w:szCs w:val="24"/>
          <w:lang w:val="en-US"/>
        </w:rPr>
        <w:t>The fourth chapter brings</w:t>
      </w:r>
      <w:r>
        <w:rPr>
          <w:rFonts w:ascii="Times New Roman" w:hAnsi="Times New Roman"/>
          <w:sz w:val="24"/>
          <w:szCs w:val="24"/>
          <w:lang w:val="en-US"/>
        </w:rPr>
        <w:t xml:space="preserve"> us from the intimate dance class to the student shows, where dancers of all levels show their skills in a safe and supporting environment. In the student shows it is easier to experience oneself as an attractive and hyper-feminine dancer and even play with the fantasies of Orient than in more public and professional venues. For example, the Oriental dancers performing in restaurants emphasize their professionality and want to keep their private persons separate from the role of Oriental dancer. They also think that there is a need to defend themselves against </w:t>
      </w:r>
      <w:r>
        <w:rPr>
          <w:rFonts w:ascii="Times New Roman" w:hAnsi="Times New Roman"/>
          <w:sz w:val="24"/>
          <w:szCs w:val="24"/>
          <w:lang w:val="en-US"/>
        </w:rPr>
        <w:lastRenderedPageBreak/>
        <w:t>prejudices concerning Oriental dance, and educational work that the dancers have done has succeeded at least up to a point.</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Default="00054DB3" w:rsidP="00E300F1">
      <w:pPr>
        <w:autoSpaceDE w:val="0"/>
        <w:autoSpaceDN w:val="0"/>
        <w:adjustRightInd w:val="0"/>
        <w:spacing w:after="0" w:line="360" w:lineRule="auto"/>
        <w:rPr>
          <w:rFonts w:ascii="Times New Roman" w:hAnsi="Times New Roman"/>
          <w:sz w:val="24"/>
          <w:szCs w:val="24"/>
          <w:lang w:val="en-US"/>
        </w:rPr>
      </w:pPr>
      <w:r w:rsidRPr="007D7B80">
        <w:rPr>
          <w:rFonts w:ascii="Times New Roman" w:hAnsi="Times New Roman"/>
          <w:sz w:val="24"/>
          <w:szCs w:val="24"/>
          <w:lang w:val="en-US"/>
        </w:rPr>
        <w:t>Högström shows</w:t>
      </w:r>
      <w:r>
        <w:rPr>
          <w:rFonts w:ascii="Times New Roman" w:hAnsi="Times New Roman"/>
          <w:sz w:val="24"/>
          <w:szCs w:val="24"/>
          <w:lang w:val="en-US"/>
        </w:rPr>
        <w:t xml:space="preserve"> with the rich and detailed ethnographic material, that Oriental dancers in Stockholm need to balance on the one hand with the view of belly dancing where the performing dancer is seen merely a sex object, and on the other hand with the dancer’s own view and experience of the dance form as an empowering and fun way of moving, which makes them feel active, strong and beautiful women with subject status. This ambivalence is dealt with various strategies: downplaying those aspects of the dance that can be interpreted as sexualizing and objectifying, emphasizing the authenticity of the dance as a long-time tradition in the Middle East or distancing oneself from the hyper-feminine or sexual aspects with irony and playfulness. </w:t>
      </w:r>
    </w:p>
    <w:p w:rsidR="00054DB3" w:rsidRDefault="00054DB3" w:rsidP="009F03F8">
      <w:pPr>
        <w:autoSpaceDE w:val="0"/>
        <w:autoSpaceDN w:val="0"/>
        <w:adjustRightInd w:val="0"/>
        <w:spacing w:after="0" w:line="360" w:lineRule="auto"/>
        <w:rPr>
          <w:rFonts w:ascii="Times New Roman" w:hAnsi="Times New Roman"/>
          <w:sz w:val="24"/>
          <w:szCs w:val="24"/>
          <w:lang w:val="en-US"/>
        </w:rPr>
      </w:pPr>
    </w:p>
    <w:p w:rsidR="00054DB3" w:rsidRPr="007C2364" w:rsidRDefault="00054DB3" w:rsidP="009F03F8">
      <w:pPr>
        <w:autoSpaceDE w:val="0"/>
        <w:autoSpaceDN w:val="0"/>
        <w:adjustRightInd w:val="0"/>
        <w:spacing w:after="0" w:line="360" w:lineRule="auto"/>
        <w:rPr>
          <w:rFonts w:ascii="Times New Roman" w:hAnsi="Times New Roman"/>
          <w:sz w:val="24"/>
          <w:szCs w:val="24"/>
          <w:lang w:val="en-US"/>
        </w:rPr>
      </w:pPr>
      <w:r w:rsidRPr="007D7B80">
        <w:rPr>
          <w:rFonts w:ascii="Times New Roman" w:hAnsi="Times New Roman"/>
          <w:sz w:val="24"/>
          <w:szCs w:val="24"/>
          <w:lang w:val="en-US"/>
        </w:rPr>
        <w:t>In the fifth chapter</w:t>
      </w:r>
      <w:r>
        <w:rPr>
          <w:rFonts w:ascii="Times New Roman" w:hAnsi="Times New Roman"/>
          <w:sz w:val="24"/>
          <w:szCs w:val="24"/>
          <w:lang w:val="en-US"/>
        </w:rPr>
        <w:t>,</w:t>
      </w:r>
      <w:r w:rsidRPr="007D7B80">
        <w:rPr>
          <w:rFonts w:ascii="Times New Roman" w:hAnsi="Times New Roman"/>
          <w:sz w:val="24"/>
          <w:szCs w:val="24"/>
          <w:lang w:val="en-US"/>
        </w:rPr>
        <w:t xml:space="preserve"> Högström </w:t>
      </w:r>
      <w:r>
        <w:rPr>
          <w:rFonts w:ascii="Times New Roman" w:hAnsi="Times New Roman"/>
          <w:sz w:val="24"/>
          <w:szCs w:val="24"/>
          <w:lang w:val="en-US"/>
        </w:rPr>
        <w:t xml:space="preserve">demonstrates how Oriental dancers become often more interested in Middle Eastern cultures as they become more involved in the dance practice. This attraction can be catered in Stockholm in various Middle Eastern restaurants, which offer regular belly dance performances, and in clubs with Middle Eastern dance music. These venues create space for a performed Orient with exotic decoration, food, music and dance, where the idea of Orient as exotic, warm and mystic can be consumed without a risk to be confronted with unintelligible cultural differences. These venues may also fail in not being ‘enough’ Oriental; too much lights, not enough glamour, too skinny belly dancer without right kind of expression. The ‘real’ Middle East is encountered also when dancers meet people with a background in the Middle East or when dancers travel to Egypt, Lebanon or other countries, where belly dancing is practised. </w:t>
      </w:r>
    </w:p>
    <w:p w:rsidR="00054DB3" w:rsidRDefault="00054DB3" w:rsidP="009F03F8">
      <w:pPr>
        <w:autoSpaceDE w:val="0"/>
        <w:autoSpaceDN w:val="0"/>
        <w:adjustRightInd w:val="0"/>
        <w:spacing w:after="0" w:line="360" w:lineRule="auto"/>
        <w:rPr>
          <w:rFonts w:ascii="Times New Roman" w:hAnsi="Times New Roman"/>
          <w:sz w:val="24"/>
          <w:szCs w:val="24"/>
          <w:lang w:val="en-US"/>
        </w:rPr>
      </w:pPr>
    </w:p>
    <w:p w:rsidR="00054DB3" w:rsidRPr="00227197" w:rsidRDefault="00054DB3" w:rsidP="009F03F8">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t>The ambivalence created in the encounters with potentially conflicting views concerning e.g. the women’s position in the Middle East is handled with several strategies. One of them is to</w:t>
      </w:r>
    </w:p>
    <w:p w:rsidR="00054DB3" w:rsidRDefault="00054DB3" w:rsidP="009F03F8">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t xml:space="preserve">generate alternative explanations for such behaviour that does not fit with one’s own values. Accordingly, a common tactic is to relativize the practices under suspicion with the practices taking place in Sweden, as in the case when honour-related violence is aligned with other types of violence in Sweden. A central concept of the research is positively loaded Orientalism, which serves also as one way to cope with differences. It may include positive and stereotypical views on the other, such as highlighting the warm communality of the Middle Easterns. Simultaneously, one’s own society is valued as a cold community with lonely individuals. Thus, Orientalist attitudes tell actually more about “Swedishness” than about the Other. </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Default="00054DB3" w:rsidP="00CD715A">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lastRenderedPageBreak/>
        <w:t xml:space="preserve">The dissertation creates a complex view on the values of Oriental dancers, which Högström describes as a continuum between fantasies, hopes and needs concerning the ideas of the Middle East or Orient and experiences and “facts” of the realities of that area. The picture is completed in chapter six by taking a look at Egyptian dance, which is a dance style very different from the Oriental dance. Egyptian dance was developed by London-based Suraya Hilal and it shares some movement qualities and expressive elements of modern dance. Egyptian dancers take even more distance from the Orientalist figure of belly dancer than Oriental dancers for example by wearing simple, covering dresses with a head scarf. This contrast brings the class aspect to the study: such femininity that is represented in the Oriental dance is valued by Egyptian dancers as too glittery or superficial, which interprets as bad taste when compared with middle-class femininity with a certain dignity, class and style. </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Default="00054DB3" w:rsidP="00CD715A">
      <w:pPr>
        <w:autoSpaceDE w:val="0"/>
        <w:autoSpaceDN w:val="0"/>
        <w:adjustRightInd w:val="0"/>
        <w:spacing w:after="0" w:line="360" w:lineRule="auto"/>
        <w:rPr>
          <w:rFonts w:ascii="Times New Roman" w:hAnsi="Times New Roman"/>
          <w:sz w:val="24"/>
          <w:szCs w:val="24"/>
          <w:lang w:val="en-US"/>
        </w:rPr>
      </w:pPr>
      <w:r w:rsidRPr="00E03E19">
        <w:rPr>
          <w:rFonts w:ascii="Times New Roman" w:hAnsi="Times New Roman"/>
          <w:sz w:val="24"/>
          <w:szCs w:val="24"/>
          <w:lang w:val="en-US"/>
        </w:rPr>
        <w:t>Even as the study under review is very</w:t>
      </w:r>
      <w:r>
        <w:rPr>
          <w:rFonts w:ascii="Times New Roman" w:hAnsi="Times New Roman"/>
          <w:sz w:val="24"/>
          <w:szCs w:val="24"/>
          <w:lang w:val="en-US"/>
        </w:rPr>
        <w:t xml:space="preserve"> convincing in its argument, its scope of</w:t>
      </w:r>
      <w:r w:rsidRPr="00E03E19">
        <w:rPr>
          <w:rFonts w:ascii="Times New Roman" w:hAnsi="Times New Roman"/>
          <w:sz w:val="24"/>
          <w:szCs w:val="24"/>
          <w:lang w:val="en-US"/>
        </w:rPr>
        <w:t xml:space="preserve"> empirical material</w:t>
      </w:r>
      <w:r>
        <w:rPr>
          <w:rFonts w:ascii="Times New Roman" w:hAnsi="Times New Roman"/>
          <w:sz w:val="24"/>
          <w:szCs w:val="24"/>
          <w:lang w:val="en-US"/>
        </w:rPr>
        <w:t xml:space="preserve"> and the output of the rich, even contradictory values and view that the Oriental and Egyptian dancers hold, one must give a critical note to the theoretical outline of the dissertation. There must be a good reason for Karin </w:t>
      </w:r>
      <w:r w:rsidRPr="007C2364">
        <w:rPr>
          <w:rFonts w:ascii="Times New Roman" w:hAnsi="Times New Roman"/>
          <w:sz w:val="24"/>
          <w:szCs w:val="24"/>
          <w:lang w:val="en-US"/>
        </w:rPr>
        <w:t>Högström not to explicitly position herself to some quite well-established schools of thought as phenomenology or feminist theory.</w:t>
      </w:r>
      <w:r>
        <w:rPr>
          <w:rFonts w:ascii="Times New Roman" w:hAnsi="Times New Roman"/>
          <w:sz w:val="24"/>
          <w:szCs w:val="24"/>
          <w:lang w:val="en-US"/>
        </w:rPr>
        <w:t xml:space="preserve"> What is explicit is that the central theoretical concepts come from certain thinkers (Merleau-Ponty, Bourdieu, de Beauvoir, Young, Skeggs, Nussbaum), but the theoretical linkages between those concepts and the lineage of thought are implicit. </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Default="00054DB3" w:rsidP="00CD715A">
      <w:pPr>
        <w:autoSpaceDE w:val="0"/>
        <w:autoSpaceDN w:val="0"/>
        <w:adjustRightInd w:val="0"/>
        <w:spacing w:after="0" w:line="360" w:lineRule="auto"/>
        <w:rPr>
          <w:rFonts w:ascii="Times New Roman" w:hAnsi="Times New Roman"/>
          <w:sz w:val="24"/>
          <w:szCs w:val="24"/>
          <w:lang w:val="en-US"/>
        </w:rPr>
      </w:pPr>
      <w:r w:rsidRPr="00995A06">
        <w:rPr>
          <w:rFonts w:ascii="Times New Roman" w:hAnsi="Times New Roman"/>
          <w:sz w:val="24"/>
          <w:szCs w:val="24"/>
          <w:lang w:val="en-US"/>
        </w:rPr>
        <w:t>For example, a more thorough examination of the relationship between Bourdieu and phenomenology</w:t>
      </w:r>
      <w:r w:rsidRPr="00CC5DFC">
        <w:rPr>
          <w:rFonts w:ascii="Times New Roman" w:hAnsi="Times New Roman"/>
          <w:sz w:val="24"/>
          <w:szCs w:val="24"/>
          <w:lang w:val="en-US"/>
        </w:rPr>
        <w:t xml:space="preserve"> </w:t>
      </w:r>
      <w:r>
        <w:rPr>
          <w:rFonts w:ascii="Times New Roman" w:hAnsi="Times New Roman"/>
          <w:sz w:val="24"/>
          <w:szCs w:val="24"/>
          <w:lang w:val="en-US"/>
        </w:rPr>
        <w:t xml:space="preserve">would have given strength to Högström’s argument on how to balance the view of human subject as an intentional, conscious agent and the view of the power of structures’ hold on human subjectivity. </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Default="00054DB3" w:rsidP="00CD715A">
      <w:pPr>
        <w:autoSpaceDE w:val="0"/>
        <w:autoSpaceDN w:val="0"/>
        <w:adjustRightInd w:val="0"/>
        <w:spacing w:after="0" w:line="360" w:lineRule="auto"/>
        <w:rPr>
          <w:rFonts w:ascii="Times New Roman" w:hAnsi="Times New Roman"/>
          <w:sz w:val="24"/>
          <w:szCs w:val="24"/>
          <w:lang w:val="en-US"/>
        </w:rPr>
      </w:pPr>
      <w:r w:rsidRPr="00E567AE">
        <w:rPr>
          <w:rFonts w:ascii="Times New Roman" w:hAnsi="Times New Roman"/>
          <w:sz w:val="24"/>
          <w:szCs w:val="24"/>
          <w:lang w:val="en-US"/>
        </w:rPr>
        <w:t>The writer seeks for a contribution to the understand</w:t>
      </w:r>
      <w:r>
        <w:rPr>
          <w:rFonts w:ascii="Times New Roman" w:hAnsi="Times New Roman"/>
          <w:sz w:val="24"/>
          <w:szCs w:val="24"/>
          <w:lang w:val="en-US"/>
        </w:rPr>
        <w:t>ing of gender, or more explicit</w:t>
      </w:r>
      <w:r w:rsidRPr="00E567AE">
        <w:rPr>
          <w:rFonts w:ascii="Times New Roman" w:hAnsi="Times New Roman"/>
          <w:sz w:val="24"/>
          <w:szCs w:val="24"/>
          <w:lang w:val="en-US"/>
        </w:rPr>
        <w:t xml:space="preserve">ly the </w:t>
      </w:r>
      <w:r>
        <w:rPr>
          <w:rFonts w:ascii="Times New Roman" w:hAnsi="Times New Roman"/>
          <w:sz w:val="24"/>
          <w:szCs w:val="24"/>
          <w:lang w:val="en-US"/>
        </w:rPr>
        <w:t>construction of femininities in t</w:t>
      </w:r>
      <w:r w:rsidRPr="00E567AE">
        <w:rPr>
          <w:rFonts w:ascii="Times New Roman" w:hAnsi="Times New Roman"/>
          <w:sz w:val="24"/>
          <w:szCs w:val="24"/>
          <w:lang w:val="en-US"/>
        </w:rPr>
        <w:t>h</w:t>
      </w:r>
      <w:r>
        <w:rPr>
          <w:rFonts w:ascii="Times New Roman" w:hAnsi="Times New Roman"/>
          <w:sz w:val="24"/>
          <w:szCs w:val="24"/>
          <w:lang w:val="en-US"/>
        </w:rPr>
        <w:t>e</w:t>
      </w:r>
      <w:r w:rsidRPr="00E567AE">
        <w:rPr>
          <w:rFonts w:ascii="Times New Roman" w:hAnsi="Times New Roman"/>
          <w:sz w:val="24"/>
          <w:szCs w:val="24"/>
          <w:lang w:val="en-US"/>
        </w:rPr>
        <w:t xml:space="preserve"> fiel</w:t>
      </w:r>
      <w:r>
        <w:rPr>
          <w:rFonts w:ascii="Times New Roman" w:hAnsi="Times New Roman"/>
          <w:sz w:val="24"/>
          <w:szCs w:val="24"/>
          <w:lang w:val="en-US"/>
        </w:rPr>
        <w:t>d</w:t>
      </w:r>
      <w:r w:rsidRPr="00E567AE">
        <w:rPr>
          <w:rFonts w:ascii="Times New Roman" w:hAnsi="Times New Roman"/>
          <w:sz w:val="24"/>
          <w:szCs w:val="24"/>
          <w:lang w:val="en-US"/>
        </w:rPr>
        <w:t xml:space="preserve"> of </w:t>
      </w:r>
      <w:r>
        <w:rPr>
          <w:rFonts w:ascii="Times New Roman" w:hAnsi="Times New Roman"/>
          <w:sz w:val="24"/>
          <w:szCs w:val="24"/>
          <w:lang w:val="en-US"/>
        </w:rPr>
        <w:t>Oriental</w:t>
      </w:r>
      <w:r w:rsidRPr="00E567AE">
        <w:rPr>
          <w:rFonts w:ascii="Times New Roman" w:hAnsi="Times New Roman"/>
          <w:sz w:val="24"/>
          <w:szCs w:val="24"/>
          <w:lang w:val="en-US"/>
        </w:rPr>
        <w:t xml:space="preserve"> dance</w:t>
      </w:r>
      <w:r>
        <w:rPr>
          <w:rFonts w:ascii="Times New Roman" w:hAnsi="Times New Roman"/>
          <w:sz w:val="24"/>
          <w:szCs w:val="24"/>
          <w:lang w:val="en-US"/>
        </w:rPr>
        <w:t xml:space="preserve">. Well-known feminist writers such as Simone de Beauvoir, Toril Moi, Susan Bordo, Iris Marion Young, Beverley Skeggs and Judith Butler work as a reference point for the understanding of the gendered character of dancing, but feminist theory is hardly mentioned in the book, which I read as a decontextualizing and dehistoricizing act. According to Högström, some feminists (or feminist movement, in singular) put too much emphasis on the negative and repressive sides of women’s possibilities to act as subjects and resist patriarchal system. However, I find Högström doing sophisticated feminist analysis in her dissertation, as she critically takes into account the gendered character of dancing. </w:t>
      </w:r>
    </w:p>
    <w:p w:rsidR="00054DB3" w:rsidRDefault="00054DB3" w:rsidP="004E4867">
      <w:pPr>
        <w:autoSpaceDE w:val="0"/>
        <w:autoSpaceDN w:val="0"/>
        <w:adjustRightInd w:val="0"/>
        <w:spacing w:after="0" w:line="360" w:lineRule="auto"/>
        <w:rPr>
          <w:rFonts w:ascii="Times New Roman" w:hAnsi="Times New Roman"/>
          <w:sz w:val="24"/>
          <w:szCs w:val="24"/>
          <w:lang w:val="en-US"/>
        </w:rPr>
      </w:pPr>
    </w:p>
    <w:p w:rsidR="00054DB3" w:rsidRDefault="00054DB3" w:rsidP="004E4867">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t>Högström explains her theoretical choices explicitly only when discussing post-colonial theory. In the first chapter, she tells how post-colonial theory at first seemed as a suitable and interesting framework for this study, but after doing fieldwork the theory did not seem to fit with the “reality</w:t>
      </w:r>
      <w:r w:rsidRPr="00DD56F5">
        <w:rPr>
          <w:rFonts w:ascii="Times New Roman" w:hAnsi="Times New Roman"/>
          <w:sz w:val="24"/>
          <w:szCs w:val="24"/>
          <w:lang w:val="en-US"/>
        </w:rPr>
        <w:t>”</w:t>
      </w:r>
      <w:r>
        <w:rPr>
          <w:rFonts w:ascii="Times New Roman" w:hAnsi="Times New Roman"/>
          <w:sz w:val="24"/>
          <w:szCs w:val="24"/>
          <w:lang w:val="en-US"/>
        </w:rPr>
        <w:t xml:space="preserve">. According to Högström, post-colonial research puts too much emphasis on the repressive and negative aspects of othering, excoticizing and negative Orientalism. </w:t>
      </w:r>
      <w:r w:rsidRPr="00DD56F5">
        <w:rPr>
          <w:rFonts w:ascii="Times New Roman" w:hAnsi="Times New Roman"/>
          <w:sz w:val="24"/>
          <w:szCs w:val="24"/>
          <w:lang w:val="en-US"/>
        </w:rPr>
        <w:t xml:space="preserve">Eve Kosofsky Sedgwick </w:t>
      </w:r>
      <w:r w:rsidRPr="00F52C85">
        <w:rPr>
          <w:rFonts w:ascii="Times New Roman" w:hAnsi="Times New Roman"/>
          <w:sz w:val="24"/>
          <w:szCs w:val="24"/>
          <w:lang w:val="en-US"/>
        </w:rPr>
        <w:t>(2003)</w:t>
      </w:r>
      <w:r>
        <w:rPr>
          <w:rFonts w:ascii="Times New Roman" w:hAnsi="Times New Roman"/>
          <w:sz w:val="24"/>
          <w:szCs w:val="24"/>
          <w:lang w:val="en-US"/>
        </w:rPr>
        <w:t xml:space="preserve"> calls this tend</w:t>
      </w:r>
      <w:r w:rsidRPr="00DD56F5">
        <w:rPr>
          <w:rFonts w:ascii="Times New Roman" w:hAnsi="Times New Roman"/>
          <w:sz w:val="24"/>
          <w:szCs w:val="24"/>
          <w:lang w:val="en-US"/>
        </w:rPr>
        <w:t xml:space="preserve">ency in </w:t>
      </w:r>
      <w:r>
        <w:rPr>
          <w:rFonts w:ascii="Times New Roman" w:hAnsi="Times New Roman"/>
          <w:sz w:val="24"/>
          <w:szCs w:val="24"/>
          <w:lang w:val="en-US"/>
        </w:rPr>
        <w:t>queer</w:t>
      </w:r>
      <w:r w:rsidRPr="00DD56F5">
        <w:rPr>
          <w:rFonts w:ascii="Times New Roman" w:hAnsi="Times New Roman"/>
          <w:sz w:val="24"/>
          <w:szCs w:val="24"/>
          <w:lang w:val="en-US"/>
        </w:rPr>
        <w:t xml:space="preserve"> studies as paranoid reading, </w:t>
      </w:r>
      <w:r>
        <w:rPr>
          <w:rFonts w:ascii="Times New Roman" w:hAnsi="Times New Roman"/>
          <w:sz w:val="24"/>
          <w:szCs w:val="24"/>
          <w:lang w:val="en-US"/>
        </w:rPr>
        <w:t>which seeks to uncover oppressing systems such as sexism, homophobia and racism. T</w:t>
      </w:r>
      <w:r w:rsidRPr="00DD56F5">
        <w:rPr>
          <w:rFonts w:ascii="Times New Roman" w:hAnsi="Times New Roman"/>
          <w:sz w:val="24"/>
          <w:szCs w:val="24"/>
          <w:lang w:val="en-US"/>
        </w:rPr>
        <w:t>his is what I see that Högström seeks to avoid. As a response to such repressive readings</w:t>
      </w:r>
      <w:r>
        <w:rPr>
          <w:rFonts w:ascii="Times New Roman" w:hAnsi="Times New Roman"/>
          <w:sz w:val="24"/>
          <w:szCs w:val="24"/>
          <w:lang w:val="en-US"/>
        </w:rPr>
        <w:t>,</w:t>
      </w:r>
      <w:r w:rsidRPr="00DD56F5">
        <w:rPr>
          <w:rFonts w:ascii="Times New Roman" w:hAnsi="Times New Roman"/>
          <w:sz w:val="24"/>
          <w:szCs w:val="24"/>
          <w:lang w:val="en-US"/>
        </w:rPr>
        <w:t xml:space="preserve"> Högström follows Magnus Be</w:t>
      </w:r>
      <w:r>
        <w:rPr>
          <w:rFonts w:ascii="Times New Roman" w:hAnsi="Times New Roman"/>
          <w:sz w:val="24"/>
          <w:szCs w:val="24"/>
          <w:lang w:val="en-US"/>
        </w:rPr>
        <w:t>rg’s view on positively loaded O</w:t>
      </w:r>
      <w:r w:rsidRPr="00DD56F5">
        <w:rPr>
          <w:rFonts w:ascii="Times New Roman" w:hAnsi="Times New Roman"/>
          <w:sz w:val="24"/>
          <w:szCs w:val="24"/>
          <w:lang w:val="en-US"/>
        </w:rPr>
        <w:t xml:space="preserve">rientalism. </w:t>
      </w:r>
      <w:r>
        <w:rPr>
          <w:rFonts w:ascii="Times New Roman" w:hAnsi="Times New Roman"/>
          <w:sz w:val="24"/>
          <w:szCs w:val="24"/>
          <w:lang w:val="en-US"/>
        </w:rPr>
        <w:t>Sedgwick suggested, that we should seek for reparative readings that would take seriously also the positive and enjoyable aspects of the phenomenon we study.</w:t>
      </w:r>
      <w:r w:rsidRPr="00DD56F5">
        <w:rPr>
          <w:rFonts w:ascii="Times New Roman" w:hAnsi="Times New Roman"/>
          <w:sz w:val="24"/>
          <w:szCs w:val="24"/>
          <w:lang w:val="en-US"/>
        </w:rPr>
        <w:t xml:space="preserve"> </w:t>
      </w:r>
      <w:r>
        <w:rPr>
          <w:rFonts w:ascii="Times New Roman" w:hAnsi="Times New Roman"/>
          <w:sz w:val="24"/>
          <w:szCs w:val="24"/>
          <w:lang w:val="en-US"/>
        </w:rPr>
        <w:t xml:space="preserve">I would agree with Sedgwick, that we must not lose sight of the possibilities of transformation and change in affective and emotional encounters – of which Oriental dancing is one example. </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Pr="00696683" w:rsidRDefault="00054DB3" w:rsidP="009F03F8">
      <w:pPr>
        <w:autoSpaceDE w:val="0"/>
        <w:autoSpaceDN w:val="0"/>
        <w:adjustRightInd w:val="0"/>
        <w:spacing w:after="0" w:line="360" w:lineRule="auto"/>
        <w:rPr>
          <w:rFonts w:ascii="Times New Roman" w:hAnsi="Times New Roman"/>
          <w:sz w:val="24"/>
          <w:szCs w:val="24"/>
          <w:lang w:val="en-US"/>
        </w:rPr>
      </w:pPr>
      <w:r w:rsidRPr="00696683">
        <w:rPr>
          <w:rFonts w:ascii="Times New Roman" w:hAnsi="Times New Roman"/>
          <w:sz w:val="24"/>
          <w:szCs w:val="24"/>
          <w:lang w:val="en-US"/>
        </w:rPr>
        <w:t>The book covers in a thorough manner the ideas and values that dancers relate to their activity</w:t>
      </w:r>
      <w:r>
        <w:rPr>
          <w:rFonts w:ascii="Times New Roman" w:hAnsi="Times New Roman"/>
          <w:sz w:val="24"/>
          <w:szCs w:val="24"/>
          <w:lang w:val="en-US"/>
        </w:rPr>
        <w:t xml:space="preserve">, and the more descriptive phases interlace beautifully with the more theoretical interpretations of the studied phenomenon. The argumentation is easy to follow, and the bodily aspects of dancing come vividly alive. Högström writes in a respecting way of her research subjects but is also able to keep a critical distance to the views the dancers present in the interviews or other dance-related events. </w:t>
      </w:r>
    </w:p>
    <w:p w:rsidR="00054DB3" w:rsidRDefault="00054DB3" w:rsidP="009F03F8">
      <w:pPr>
        <w:autoSpaceDE w:val="0"/>
        <w:autoSpaceDN w:val="0"/>
        <w:adjustRightInd w:val="0"/>
        <w:spacing w:after="0" w:line="360" w:lineRule="auto"/>
        <w:rPr>
          <w:rFonts w:ascii="Times New Roman" w:hAnsi="Times New Roman"/>
          <w:sz w:val="24"/>
          <w:szCs w:val="24"/>
          <w:lang w:val="en-US"/>
        </w:rPr>
      </w:pPr>
    </w:p>
    <w:p w:rsidR="00054DB3" w:rsidRDefault="00054DB3" w:rsidP="00CD715A">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t xml:space="preserve">I would recommend this study to students and scholar interested in embodied and kinesthetic aspects of human lives, and who seek to understand cultural change on an individual level. This volume is a good example of ethnography, where the author is able to make the phenomenon studied alive and moving without losing her analytical grip of the subject. </w:t>
      </w:r>
    </w:p>
    <w:p w:rsidR="00054DB3" w:rsidRDefault="00054DB3" w:rsidP="00CD715A">
      <w:pPr>
        <w:autoSpaceDE w:val="0"/>
        <w:autoSpaceDN w:val="0"/>
        <w:adjustRightInd w:val="0"/>
        <w:spacing w:after="0" w:line="360" w:lineRule="auto"/>
        <w:rPr>
          <w:rFonts w:ascii="Times New Roman" w:hAnsi="Times New Roman"/>
          <w:sz w:val="24"/>
          <w:szCs w:val="24"/>
          <w:lang w:val="en-US"/>
        </w:rPr>
      </w:pPr>
    </w:p>
    <w:p w:rsidR="00054DB3" w:rsidRDefault="00054DB3" w:rsidP="00CD715A">
      <w:pPr>
        <w:autoSpaceDE w:val="0"/>
        <w:autoSpaceDN w:val="0"/>
        <w:adjustRightInd w:val="0"/>
        <w:spacing w:after="0" w:line="360" w:lineRule="auto"/>
        <w:rPr>
          <w:rFonts w:ascii="Times New Roman" w:hAnsi="Times New Roman"/>
          <w:sz w:val="24"/>
          <w:szCs w:val="24"/>
          <w:lang w:val="en-US"/>
        </w:rPr>
      </w:pPr>
      <w:r>
        <w:rPr>
          <w:rFonts w:ascii="Times New Roman" w:hAnsi="Times New Roman"/>
          <w:sz w:val="24"/>
          <w:szCs w:val="24"/>
          <w:lang w:val="en-US"/>
        </w:rPr>
        <w:t>References</w:t>
      </w:r>
    </w:p>
    <w:p w:rsidR="00054DB3" w:rsidRDefault="00054DB3" w:rsidP="002F1672">
      <w:pPr>
        <w:autoSpaceDE w:val="0"/>
        <w:autoSpaceDN w:val="0"/>
        <w:adjustRightInd w:val="0"/>
        <w:spacing w:after="0" w:line="240" w:lineRule="auto"/>
        <w:rPr>
          <w:rFonts w:ascii="Times New Roman" w:hAnsi="Times New Roman"/>
          <w:sz w:val="24"/>
          <w:szCs w:val="24"/>
          <w:lang w:val="en-US"/>
        </w:rPr>
      </w:pPr>
    </w:p>
    <w:p w:rsidR="00054DB3" w:rsidRPr="0071176E" w:rsidRDefault="00054DB3" w:rsidP="002F1672">
      <w:pPr>
        <w:autoSpaceDE w:val="0"/>
        <w:autoSpaceDN w:val="0"/>
        <w:adjustRightInd w:val="0"/>
        <w:spacing w:after="0" w:line="240" w:lineRule="auto"/>
        <w:rPr>
          <w:rFonts w:ascii="Times New Roman" w:hAnsi="Times New Roman"/>
          <w:bCs/>
          <w:sz w:val="24"/>
          <w:szCs w:val="24"/>
          <w:lang w:val="en-US"/>
        </w:rPr>
      </w:pPr>
      <w:r>
        <w:rPr>
          <w:rFonts w:ascii="Times New Roman" w:hAnsi="Times New Roman"/>
          <w:sz w:val="24"/>
          <w:szCs w:val="24"/>
          <w:lang w:val="en-US"/>
        </w:rPr>
        <w:t>Sedgwick, Eve Kosofsk</w:t>
      </w:r>
      <w:r w:rsidRPr="004C4506">
        <w:rPr>
          <w:rFonts w:ascii="Times New Roman" w:hAnsi="Times New Roman"/>
          <w:sz w:val="24"/>
          <w:szCs w:val="24"/>
          <w:lang w:val="en-US"/>
        </w:rPr>
        <w:t xml:space="preserve">y 2003: </w:t>
      </w:r>
      <w:r w:rsidRPr="004C4506">
        <w:rPr>
          <w:rStyle w:val="apple-style-span"/>
          <w:rFonts w:ascii="Times New Roman" w:hAnsi="Times New Roman"/>
          <w:i/>
          <w:iCs/>
          <w:sz w:val="24"/>
          <w:szCs w:val="24"/>
          <w:lang w:val="en-US"/>
        </w:rPr>
        <w:t>Touching Feeling: Affect, Pedagogy, Performativity</w:t>
      </w:r>
      <w:r w:rsidRPr="004C4506">
        <w:rPr>
          <w:rStyle w:val="apple-style-span"/>
          <w:rFonts w:ascii="Times New Roman" w:hAnsi="Times New Roman"/>
          <w:sz w:val="24"/>
          <w:szCs w:val="24"/>
          <w:lang w:val="en-US"/>
        </w:rPr>
        <w:t xml:space="preserve">. Durham, NC: Duke University Press, </w:t>
      </w:r>
      <w:r w:rsidRPr="0026110C">
        <w:rPr>
          <w:rStyle w:val="apple-style-span"/>
          <w:rFonts w:ascii="Times New Roman" w:hAnsi="Times New Roman"/>
          <w:sz w:val="24"/>
          <w:szCs w:val="24"/>
          <w:lang w:val="en-US"/>
        </w:rPr>
        <w:t>123–151.</w:t>
      </w:r>
    </w:p>
    <w:sectPr w:rsidR="00054DB3" w:rsidRPr="0071176E" w:rsidSect="00216D21">
      <w:footerReference w:type="even" r:id="rId7"/>
      <w:footerReference w:type="default" r:id="rId8"/>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1B37" w:rsidRDefault="00FD1B37">
      <w:r>
        <w:separator/>
      </w:r>
    </w:p>
  </w:endnote>
  <w:endnote w:type="continuationSeparator" w:id="0">
    <w:p w:rsidR="00FD1B37" w:rsidRDefault="00FD1B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4DB3" w:rsidRDefault="00054DB3" w:rsidP="002742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54DB3" w:rsidRDefault="00054DB3" w:rsidP="00E044B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4DB3" w:rsidRDefault="00054DB3" w:rsidP="002742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7212A">
      <w:rPr>
        <w:rStyle w:val="PageNumber"/>
        <w:noProof/>
      </w:rPr>
      <w:t>1</w:t>
    </w:r>
    <w:r>
      <w:rPr>
        <w:rStyle w:val="PageNumber"/>
      </w:rPr>
      <w:fldChar w:fldCharType="end"/>
    </w:r>
  </w:p>
  <w:p w:rsidR="00054DB3" w:rsidRDefault="00054DB3" w:rsidP="00E044B5">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1B37" w:rsidRDefault="00FD1B37">
      <w:r>
        <w:separator/>
      </w:r>
    </w:p>
  </w:footnote>
  <w:footnote w:type="continuationSeparator" w:id="0">
    <w:p w:rsidR="00FD1B37" w:rsidRDefault="00FD1B3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371A2"/>
    <w:multiLevelType w:val="hybridMultilevel"/>
    <w:tmpl w:val="EB7ED278"/>
    <w:lvl w:ilvl="0" w:tplc="1B4EBED8">
      <w:numFmt w:val="bullet"/>
      <w:lvlText w:val="-"/>
      <w:lvlJc w:val="left"/>
      <w:pPr>
        <w:ind w:left="720" w:hanging="360"/>
      </w:pPr>
      <w:rPr>
        <w:rFonts w:ascii="Times New Roman" w:eastAsia="Times New Roman" w:hAnsi="Times New Roman"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6065389"/>
    <w:multiLevelType w:val="hybridMultilevel"/>
    <w:tmpl w:val="3E56B7A2"/>
    <w:lvl w:ilvl="0" w:tplc="56E62BEA">
      <w:start w:val="15"/>
      <w:numFmt w:val="bullet"/>
      <w:lvlText w:val="-"/>
      <w:lvlJc w:val="left"/>
      <w:pPr>
        <w:ind w:left="720" w:hanging="360"/>
      </w:pPr>
      <w:rPr>
        <w:rFonts w:ascii="Times New Roman" w:eastAsia="Times New Roman" w:hAnsi="Times New Roman"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15AC26B4"/>
    <w:multiLevelType w:val="hybridMultilevel"/>
    <w:tmpl w:val="07D26392"/>
    <w:lvl w:ilvl="0" w:tplc="50AC3260">
      <w:start w:val="1"/>
      <w:numFmt w:val="bullet"/>
      <w:lvlText w:val="-"/>
      <w:lvlJc w:val="left"/>
      <w:pPr>
        <w:ind w:left="720" w:hanging="360"/>
      </w:pPr>
      <w:rPr>
        <w:rFonts w:ascii="Times New Roman" w:eastAsia="Times New Roman" w:hAnsi="Times New Roman"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2590500A"/>
    <w:multiLevelType w:val="hybridMultilevel"/>
    <w:tmpl w:val="DDBE513A"/>
    <w:lvl w:ilvl="0" w:tplc="9D625A54">
      <w:start w:val="1"/>
      <w:numFmt w:val="decimal"/>
      <w:lvlText w:val="%1."/>
      <w:lvlJc w:val="left"/>
      <w:pPr>
        <w:ind w:left="1665" w:hanging="360"/>
      </w:pPr>
      <w:rPr>
        <w:rFonts w:cs="Times New Roman" w:hint="default"/>
      </w:rPr>
    </w:lvl>
    <w:lvl w:ilvl="1" w:tplc="040B0019" w:tentative="1">
      <w:start w:val="1"/>
      <w:numFmt w:val="lowerLetter"/>
      <w:lvlText w:val="%2."/>
      <w:lvlJc w:val="left"/>
      <w:pPr>
        <w:ind w:left="2385" w:hanging="360"/>
      </w:pPr>
      <w:rPr>
        <w:rFonts w:cs="Times New Roman"/>
      </w:rPr>
    </w:lvl>
    <w:lvl w:ilvl="2" w:tplc="040B001B" w:tentative="1">
      <w:start w:val="1"/>
      <w:numFmt w:val="lowerRoman"/>
      <w:lvlText w:val="%3."/>
      <w:lvlJc w:val="right"/>
      <w:pPr>
        <w:ind w:left="3105" w:hanging="180"/>
      </w:pPr>
      <w:rPr>
        <w:rFonts w:cs="Times New Roman"/>
      </w:rPr>
    </w:lvl>
    <w:lvl w:ilvl="3" w:tplc="040B000F" w:tentative="1">
      <w:start w:val="1"/>
      <w:numFmt w:val="decimal"/>
      <w:lvlText w:val="%4."/>
      <w:lvlJc w:val="left"/>
      <w:pPr>
        <w:ind w:left="3825" w:hanging="360"/>
      </w:pPr>
      <w:rPr>
        <w:rFonts w:cs="Times New Roman"/>
      </w:rPr>
    </w:lvl>
    <w:lvl w:ilvl="4" w:tplc="040B0019" w:tentative="1">
      <w:start w:val="1"/>
      <w:numFmt w:val="lowerLetter"/>
      <w:lvlText w:val="%5."/>
      <w:lvlJc w:val="left"/>
      <w:pPr>
        <w:ind w:left="4545" w:hanging="360"/>
      </w:pPr>
      <w:rPr>
        <w:rFonts w:cs="Times New Roman"/>
      </w:rPr>
    </w:lvl>
    <w:lvl w:ilvl="5" w:tplc="040B001B" w:tentative="1">
      <w:start w:val="1"/>
      <w:numFmt w:val="lowerRoman"/>
      <w:lvlText w:val="%6."/>
      <w:lvlJc w:val="right"/>
      <w:pPr>
        <w:ind w:left="5265" w:hanging="180"/>
      </w:pPr>
      <w:rPr>
        <w:rFonts w:cs="Times New Roman"/>
      </w:rPr>
    </w:lvl>
    <w:lvl w:ilvl="6" w:tplc="040B000F" w:tentative="1">
      <w:start w:val="1"/>
      <w:numFmt w:val="decimal"/>
      <w:lvlText w:val="%7."/>
      <w:lvlJc w:val="left"/>
      <w:pPr>
        <w:ind w:left="5985" w:hanging="360"/>
      </w:pPr>
      <w:rPr>
        <w:rFonts w:cs="Times New Roman"/>
      </w:rPr>
    </w:lvl>
    <w:lvl w:ilvl="7" w:tplc="040B0019" w:tentative="1">
      <w:start w:val="1"/>
      <w:numFmt w:val="lowerLetter"/>
      <w:lvlText w:val="%8."/>
      <w:lvlJc w:val="left"/>
      <w:pPr>
        <w:ind w:left="6705" w:hanging="360"/>
      </w:pPr>
      <w:rPr>
        <w:rFonts w:cs="Times New Roman"/>
      </w:rPr>
    </w:lvl>
    <w:lvl w:ilvl="8" w:tplc="040B001B" w:tentative="1">
      <w:start w:val="1"/>
      <w:numFmt w:val="lowerRoman"/>
      <w:lvlText w:val="%9."/>
      <w:lvlJc w:val="right"/>
      <w:pPr>
        <w:ind w:left="7425" w:hanging="180"/>
      </w:pPr>
      <w:rPr>
        <w:rFonts w:cs="Times New Roman"/>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F8F"/>
    <w:rsid w:val="000000A7"/>
    <w:rsid w:val="00012273"/>
    <w:rsid w:val="00054855"/>
    <w:rsid w:val="00054DB3"/>
    <w:rsid w:val="000854EC"/>
    <w:rsid w:val="00091A86"/>
    <w:rsid w:val="00092AD7"/>
    <w:rsid w:val="0009556F"/>
    <w:rsid w:val="00096DA6"/>
    <w:rsid w:val="000F0C28"/>
    <w:rsid w:val="000F73A9"/>
    <w:rsid w:val="00110740"/>
    <w:rsid w:val="00116721"/>
    <w:rsid w:val="00122ECB"/>
    <w:rsid w:val="00186502"/>
    <w:rsid w:val="001B5B8D"/>
    <w:rsid w:val="001C2986"/>
    <w:rsid w:val="001D0B53"/>
    <w:rsid w:val="001D228C"/>
    <w:rsid w:val="001D39A9"/>
    <w:rsid w:val="001E1AAE"/>
    <w:rsid w:val="001E657F"/>
    <w:rsid w:val="00205B07"/>
    <w:rsid w:val="00210F2A"/>
    <w:rsid w:val="00216D21"/>
    <w:rsid w:val="00227197"/>
    <w:rsid w:val="002343CD"/>
    <w:rsid w:val="00236613"/>
    <w:rsid w:val="002547AF"/>
    <w:rsid w:val="0025743D"/>
    <w:rsid w:val="0026110C"/>
    <w:rsid w:val="0026254D"/>
    <w:rsid w:val="00267029"/>
    <w:rsid w:val="002742DB"/>
    <w:rsid w:val="002C1516"/>
    <w:rsid w:val="002D1281"/>
    <w:rsid w:val="002D41BA"/>
    <w:rsid w:val="002F01FE"/>
    <w:rsid w:val="002F1672"/>
    <w:rsid w:val="00323C05"/>
    <w:rsid w:val="00326235"/>
    <w:rsid w:val="00332213"/>
    <w:rsid w:val="003408FC"/>
    <w:rsid w:val="003714FC"/>
    <w:rsid w:val="0037565F"/>
    <w:rsid w:val="00381C7B"/>
    <w:rsid w:val="00387A2F"/>
    <w:rsid w:val="00387E0F"/>
    <w:rsid w:val="00393FBD"/>
    <w:rsid w:val="00394C8B"/>
    <w:rsid w:val="003A7558"/>
    <w:rsid w:val="003A797A"/>
    <w:rsid w:val="003C45FD"/>
    <w:rsid w:val="003E4B16"/>
    <w:rsid w:val="003E4C9B"/>
    <w:rsid w:val="003F76EB"/>
    <w:rsid w:val="00405272"/>
    <w:rsid w:val="00440C9F"/>
    <w:rsid w:val="00442269"/>
    <w:rsid w:val="004754FD"/>
    <w:rsid w:val="0048095E"/>
    <w:rsid w:val="00484A2C"/>
    <w:rsid w:val="004A3C1E"/>
    <w:rsid w:val="004C4506"/>
    <w:rsid w:val="004E4867"/>
    <w:rsid w:val="004F28BF"/>
    <w:rsid w:val="004F35EA"/>
    <w:rsid w:val="004F5DE4"/>
    <w:rsid w:val="00505F27"/>
    <w:rsid w:val="00520E48"/>
    <w:rsid w:val="00524F50"/>
    <w:rsid w:val="0053396F"/>
    <w:rsid w:val="00537722"/>
    <w:rsid w:val="00540FCE"/>
    <w:rsid w:val="00545FA9"/>
    <w:rsid w:val="00550299"/>
    <w:rsid w:val="00553FB0"/>
    <w:rsid w:val="00560822"/>
    <w:rsid w:val="00586F75"/>
    <w:rsid w:val="00587862"/>
    <w:rsid w:val="005972D1"/>
    <w:rsid w:val="005A19FC"/>
    <w:rsid w:val="005A5E6B"/>
    <w:rsid w:val="005B5967"/>
    <w:rsid w:val="005B6A2F"/>
    <w:rsid w:val="005F0D06"/>
    <w:rsid w:val="00616628"/>
    <w:rsid w:val="00623A72"/>
    <w:rsid w:val="006423DE"/>
    <w:rsid w:val="00644816"/>
    <w:rsid w:val="00652E4F"/>
    <w:rsid w:val="00661ECF"/>
    <w:rsid w:val="00696683"/>
    <w:rsid w:val="006A2D62"/>
    <w:rsid w:val="006A7077"/>
    <w:rsid w:val="006B3083"/>
    <w:rsid w:val="006B59F1"/>
    <w:rsid w:val="006B6B7A"/>
    <w:rsid w:val="006C15BB"/>
    <w:rsid w:val="006C4A56"/>
    <w:rsid w:val="006D0B75"/>
    <w:rsid w:val="006E167B"/>
    <w:rsid w:val="006E37CC"/>
    <w:rsid w:val="006E3E5E"/>
    <w:rsid w:val="00704EA5"/>
    <w:rsid w:val="0071176E"/>
    <w:rsid w:val="007235A8"/>
    <w:rsid w:val="00732739"/>
    <w:rsid w:val="0073371F"/>
    <w:rsid w:val="00737C02"/>
    <w:rsid w:val="00745E3E"/>
    <w:rsid w:val="00747FC4"/>
    <w:rsid w:val="007976D8"/>
    <w:rsid w:val="007A7C96"/>
    <w:rsid w:val="007B2073"/>
    <w:rsid w:val="007B3A07"/>
    <w:rsid w:val="007C2364"/>
    <w:rsid w:val="007D7B80"/>
    <w:rsid w:val="007E2BC1"/>
    <w:rsid w:val="007F2BFA"/>
    <w:rsid w:val="0083626C"/>
    <w:rsid w:val="00842F05"/>
    <w:rsid w:val="008439D2"/>
    <w:rsid w:val="00850263"/>
    <w:rsid w:val="00851DF4"/>
    <w:rsid w:val="00857BF5"/>
    <w:rsid w:val="008605BF"/>
    <w:rsid w:val="0086568E"/>
    <w:rsid w:val="0087212A"/>
    <w:rsid w:val="00873544"/>
    <w:rsid w:val="0087556B"/>
    <w:rsid w:val="008849C1"/>
    <w:rsid w:val="008859C7"/>
    <w:rsid w:val="008865FD"/>
    <w:rsid w:val="0089715B"/>
    <w:rsid w:val="008A36AD"/>
    <w:rsid w:val="008A55DE"/>
    <w:rsid w:val="008B749D"/>
    <w:rsid w:val="008C32E1"/>
    <w:rsid w:val="008C659B"/>
    <w:rsid w:val="008E2372"/>
    <w:rsid w:val="008E264B"/>
    <w:rsid w:val="008F504E"/>
    <w:rsid w:val="00903071"/>
    <w:rsid w:val="009202E1"/>
    <w:rsid w:val="009231D0"/>
    <w:rsid w:val="00927FC4"/>
    <w:rsid w:val="00935F55"/>
    <w:rsid w:val="00935F8F"/>
    <w:rsid w:val="00943E60"/>
    <w:rsid w:val="00947D7C"/>
    <w:rsid w:val="00977364"/>
    <w:rsid w:val="00984B36"/>
    <w:rsid w:val="009942E6"/>
    <w:rsid w:val="00995A06"/>
    <w:rsid w:val="009C187A"/>
    <w:rsid w:val="009C42AA"/>
    <w:rsid w:val="009D6320"/>
    <w:rsid w:val="009E1815"/>
    <w:rsid w:val="009F03F8"/>
    <w:rsid w:val="009F46AF"/>
    <w:rsid w:val="00A04DE5"/>
    <w:rsid w:val="00A10F46"/>
    <w:rsid w:val="00A305F2"/>
    <w:rsid w:val="00A3360D"/>
    <w:rsid w:val="00A36C52"/>
    <w:rsid w:val="00A42D53"/>
    <w:rsid w:val="00A506DF"/>
    <w:rsid w:val="00A51589"/>
    <w:rsid w:val="00A57CDF"/>
    <w:rsid w:val="00A67C9F"/>
    <w:rsid w:val="00A84F49"/>
    <w:rsid w:val="00A93C77"/>
    <w:rsid w:val="00A95A14"/>
    <w:rsid w:val="00AA5663"/>
    <w:rsid w:val="00AC034A"/>
    <w:rsid w:val="00AC111C"/>
    <w:rsid w:val="00AC5807"/>
    <w:rsid w:val="00AD070A"/>
    <w:rsid w:val="00B0016C"/>
    <w:rsid w:val="00B00C5D"/>
    <w:rsid w:val="00B02E27"/>
    <w:rsid w:val="00B0415F"/>
    <w:rsid w:val="00B047E9"/>
    <w:rsid w:val="00B316E5"/>
    <w:rsid w:val="00B4128D"/>
    <w:rsid w:val="00B42F2B"/>
    <w:rsid w:val="00B525B7"/>
    <w:rsid w:val="00B55FF3"/>
    <w:rsid w:val="00B61C6C"/>
    <w:rsid w:val="00B64D03"/>
    <w:rsid w:val="00B65780"/>
    <w:rsid w:val="00B95F80"/>
    <w:rsid w:val="00BA6B55"/>
    <w:rsid w:val="00BC6B02"/>
    <w:rsid w:val="00BD517F"/>
    <w:rsid w:val="00BE08E5"/>
    <w:rsid w:val="00BF09E7"/>
    <w:rsid w:val="00BF46B7"/>
    <w:rsid w:val="00C000F9"/>
    <w:rsid w:val="00C203D9"/>
    <w:rsid w:val="00C2045D"/>
    <w:rsid w:val="00C21774"/>
    <w:rsid w:val="00C51F3D"/>
    <w:rsid w:val="00C72BF7"/>
    <w:rsid w:val="00C76602"/>
    <w:rsid w:val="00CA3660"/>
    <w:rsid w:val="00CB445B"/>
    <w:rsid w:val="00CB4F7A"/>
    <w:rsid w:val="00CC5DFC"/>
    <w:rsid w:val="00CD19DB"/>
    <w:rsid w:val="00CD715A"/>
    <w:rsid w:val="00CE36B5"/>
    <w:rsid w:val="00CE6580"/>
    <w:rsid w:val="00D2067D"/>
    <w:rsid w:val="00D24F77"/>
    <w:rsid w:val="00D264D0"/>
    <w:rsid w:val="00D6258A"/>
    <w:rsid w:val="00D73BF9"/>
    <w:rsid w:val="00D83350"/>
    <w:rsid w:val="00D8444B"/>
    <w:rsid w:val="00D8615B"/>
    <w:rsid w:val="00D952CD"/>
    <w:rsid w:val="00DA4B4A"/>
    <w:rsid w:val="00DA7BEA"/>
    <w:rsid w:val="00DB5374"/>
    <w:rsid w:val="00DC4858"/>
    <w:rsid w:val="00DD315C"/>
    <w:rsid w:val="00DD56F5"/>
    <w:rsid w:val="00E03E19"/>
    <w:rsid w:val="00E044B5"/>
    <w:rsid w:val="00E15A47"/>
    <w:rsid w:val="00E2102D"/>
    <w:rsid w:val="00E300F1"/>
    <w:rsid w:val="00E30821"/>
    <w:rsid w:val="00E567AE"/>
    <w:rsid w:val="00E571EE"/>
    <w:rsid w:val="00E63051"/>
    <w:rsid w:val="00E7331F"/>
    <w:rsid w:val="00EB2DC5"/>
    <w:rsid w:val="00ED2E82"/>
    <w:rsid w:val="00EE3E26"/>
    <w:rsid w:val="00EF080F"/>
    <w:rsid w:val="00EF6A26"/>
    <w:rsid w:val="00F17C89"/>
    <w:rsid w:val="00F32719"/>
    <w:rsid w:val="00F3733D"/>
    <w:rsid w:val="00F449A4"/>
    <w:rsid w:val="00F45615"/>
    <w:rsid w:val="00F51612"/>
    <w:rsid w:val="00F51639"/>
    <w:rsid w:val="00F52C85"/>
    <w:rsid w:val="00F55827"/>
    <w:rsid w:val="00F57305"/>
    <w:rsid w:val="00F61741"/>
    <w:rsid w:val="00F857DD"/>
    <w:rsid w:val="00F93231"/>
    <w:rsid w:val="00FA4492"/>
    <w:rsid w:val="00FB1BB0"/>
    <w:rsid w:val="00FD1B37"/>
    <w:rsid w:val="00FD7F38"/>
    <w:rsid w:val="00FE4D55"/>
    <w:rsid w:val="00FF0D73"/>
    <w:rsid w:val="00FF30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5:docId w15:val="{3D2058E4-188B-644F-A93B-DE4A1A838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6D21"/>
    <w:pPr>
      <w:spacing w:after="200" w:line="276" w:lineRule="auto"/>
    </w:pPr>
    <w:rPr>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9D6320"/>
    <w:pPr>
      <w:ind w:left="720"/>
      <w:contextualSpacing/>
    </w:pPr>
  </w:style>
  <w:style w:type="character" w:styleId="CommentReference">
    <w:name w:val="annotation reference"/>
    <w:basedOn w:val="DefaultParagraphFont"/>
    <w:uiPriority w:val="99"/>
    <w:semiHidden/>
    <w:rsid w:val="00394C8B"/>
    <w:rPr>
      <w:rFonts w:cs="Times New Roman"/>
      <w:sz w:val="16"/>
      <w:szCs w:val="16"/>
    </w:rPr>
  </w:style>
  <w:style w:type="paragraph" w:styleId="CommentText">
    <w:name w:val="annotation text"/>
    <w:basedOn w:val="Normal"/>
    <w:link w:val="CommentTextChar"/>
    <w:uiPriority w:val="99"/>
    <w:semiHidden/>
    <w:rsid w:val="00394C8B"/>
    <w:pPr>
      <w:spacing w:line="240" w:lineRule="auto"/>
    </w:pPr>
    <w:rPr>
      <w:sz w:val="20"/>
      <w:szCs w:val="20"/>
    </w:rPr>
  </w:style>
  <w:style w:type="character" w:customStyle="1" w:styleId="CommentTextChar">
    <w:name w:val="Comment Text Char"/>
    <w:basedOn w:val="DefaultParagraphFont"/>
    <w:link w:val="CommentText"/>
    <w:uiPriority w:val="99"/>
    <w:semiHidden/>
    <w:locked/>
    <w:rsid w:val="00394C8B"/>
    <w:rPr>
      <w:rFonts w:cs="Times New Roman"/>
      <w:sz w:val="20"/>
      <w:szCs w:val="20"/>
      <w:lang w:val="fi-FI"/>
    </w:rPr>
  </w:style>
  <w:style w:type="paragraph" w:styleId="CommentSubject">
    <w:name w:val="annotation subject"/>
    <w:basedOn w:val="CommentText"/>
    <w:next w:val="CommentText"/>
    <w:link w:val="CommentSubjectChar"/>
    <w:uiPriority w:val="99"/>
    <w:semiHidden/>
    <w:rsid w:val="00394C8B"/>
    <w:rPr>
      <w:b/>
      <w:bCs/>
    </w:rPr>
  </w:style>
  <w:style w:type="character" w:customStyle="1" w:styleId="CommentSubjectChar">
    <w:name w:val="Comment Subject Char"/>
    <w:basedOn w:val="CommentTextChar"/>
    <w:link w:val="CommentSubject"/>
    <w:uiPriority w:val="99"/>
    <w:semiHidden/>
    <w:locked/>
    <w:rsid w:val="00394C8B"/>
    <w:rPr>
      <w:rFonts w:cs="Times New Roman"/>
      <w:b/>
      <w:bCs/>
      <w:sz w:val="20"/>
      <w:szCs w:val="20"/>
      <w:lang w:val="fi-FI"/>
    </w:rPr>
  </w:style>
  <w:style w:type="paragraph" w:styleId="BalloonText">
    <w:name w:val="Balloon Text"/>
    <w:basedOn w:val="Normal"/>
    <w:link w:val="BalloonTextChar"/>
    <w:uiPriority w:val="99"/>
    <w:semiHidden/>
    <w:rsid w:val="00394C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4C8B"/>
    <w:rPr>
      <w:rFonts w:ascii="Tahoma" w:hAnsi="Tahoma" w:cs="Tahoma"/>
      <w:sz w:val="16"/>
      <w:szCs w:val="16"/>
      <w:lang w:val="fi-FI"/>
    </w:rPr>
  </w:style>
  <w:style w:type="character" w:customStyle="1" w:styleId="apple-style-span">
    <w:name w:val="apple-style-span"/>
    <w:basedOn w:val="DefaultParagraphFont"/>
    <w:uiPriority w:val="99"/>
    <w:rsid w:val="004C4506"/>
    <w:rPr>
      <w:rFonts w:cs="Times New Roman"/>
    </w:rPr>
  </w:style>
  <w:style w:type="paragraph" w:styleId="Footer">
    <w:name w:val="footer"/>
    <w:basedOn w:val="Normal"/>
    <w:link w:val="FooterChar"/>
    <w:uiPriority w:val="99"/>
    <w:rsid w:val="00E044B5"/>
    <w:pPr>
      <w:tabs>
        <w:tab w:val="center" w:pos="4320"/>
        <w:tab w:val="right" w:pos="8640"/>
      </w:tabs>
    </w:pPr>
  </w:style>
  <w:style w:type="character" w:customStyle="1" w:styleId="FooterChar">
    <w:name w:val="Footer Char"/>
    <w:basedOn w:val="DefaultParagraphFont"/>
    <w:link w:val="Footer"/>
    <w:uiPriority w:val="99"/>
    <w:semiHidden/>
    <w:rsid w:val="00B30861"/>
    <w:rPr>
      <w:lang w:val="fi-FI"/>
    </w:rPr>
  </w:style>
  <w:style w:type="character" w:styleId="PageNumber">
    <w:name w:val="page number"/>
    <w:basedOn w:val="DefaultParagraphFont"/>
    <w:uiPriority w:val="99"/>
    <w:rsid w:val="00E044B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1990</Words>
  <Characters>10932</Characters>
  <Application>Microsoft Office Word</Application>
  <DocSecurity>4</DocSecurity>
  <Lines>91</Lines>
  <Paragraphs>25</Paragraphs>
  <ScaleCrop>false</ScaleCrop>
  <HeadingPairs>
    <vt:vector size="2" baseType="variant">
      <vt:variant>
        <vt:lpstr>Title</vt:lpstr>
      </vt:variant>
      <vt:variant>
        <vt:i4>1</vt:i4>
      </vt:variant>
    </vt:vector>
  </HeadingPairs>
  <TitlesOfParts>
    <vt:vector size="1" baseType="lpstr">
      <vt:lpstr>Book review</vt:lpstr>
    </vt:vector>
  </TitlesOfParts>
  <Company/>
  <LinksUpToDate>false</LinksUpToDate>
  <CharactersWithSpaces>12897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Book review</dc:title>
  <dc:subject/>
  <dc:creator>kotikone</dc:creator>
  <cp:keywords/>
  <dc:description/>
  <cp:lastModifiedBy>Anna-Kaarina Linna</cp:lastModifiedBy>
  <cp:revision>2</cp:revision>
  <cp:lastPrinted>2010-10-01T13:57:00Z</cp:lastPrinted>
  <dcterms:created xsi:type="dcterms:W3CDTF">2018-07-02T11:36:00Z</dcterms:created>
  <dcterms:modified xsi:type="dcterms:W3CDTF">2018-07-02T11:36:00Z</dcterms:modified>
</cp:coreProperties>
</file>