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D0B5CE" w14:textId="77777777" w:rsidR="00C2768C" w:rsidRDefault="00C2768C" w:rsidP="00C2768C">
      <w:pPr>
        <w:pStyle w:val="Otsikko2"/>
      </w:pPr>
      <w:bookmarkStart w:id="0" w:name="_GoBack"/>
      <w:bookmarkEnd w:id="0"/>
      <w:r>
        <w:t>Liitteet</w:t>
      </w:r>
    </w:p>
    <w:p w14:paraId="3BDB5C9A" w14:textId="77777777" w:rsidR="00C2768C" w:rsidRPr="00755E5B" w:rsidRDefault="00C2768C" w:rsidP="00C2768C">
      <w:pPr>
        <w:pStyle w:val="Otsikko2"/>
      </w:pPr>
      <w:r>
        <w:t>FTHHI – indeksin laskenta</w:t>
      </w:r>
    </w:p>
    <w:p w14:paraId="697C65B2" w14:textId="26277DBB" w:rsidR="00C2768C" w:rsidRDefault="00C2768C" w:rsidP="00C2768C">
      <w:r>
        <w:t xml:space="preserve">Odotetuista markkinaosuuksista laskettu Herfindahl-Hirschman –indeksi, </w:t>
      </w:r>
      <w:r w:rsidRPr="004174F5">
        <w:rPr>
          <w:i/>
        </w:rPr>
        <w:t>FTHHI</w:t>
      </w:r>
      <w:r w:rsidRPr="004174F5">
        <w:rPr>
          <w:i/>
          <w:vertAlign w:val="subscript"/>
        </w:rPr>
        <w:t>i</w:t>
      </w:r>
      <w:r>
        <w:t xml:space="preserve"> (Dunn&amp; </w:t>
      </w:r>
      <w:r w:rsidR="00A146F2">
        <w:t>al.</w:t>
      </w:r>
      <w:r>
        <w:t xml:space="preserve"> 2014), on yleislääkärin i kohtaaman markkinoiden keskittyneisyyden mittari. Sen muodostamisen vaiheet o</w:t>
      </w:r>
      <w:r w:rsidR="00A146F2">
        <w:t>livat</w:t>
      </w:r>
      <w:r>
        <w:t xml:space="preserve"> seuraavat: Potilaan kulkema etäisyys estimoitiin potilaan ja lääkärin postinumeroalueiden geometristen keskipisteiden väliseksi linnuntie-etäisyydeksi. Seuraavaksi määriteltiin etäisyys, jonka yli potilaan ei uskottu matkustavan lääkärin vastaanotolle. Maksimietäisyys, </w:t>
      </w:r>
      <w:r w:rsidRPr="004174F5">
        <w:rPr>
          <w:i/>
        </w:rPr>
        <w:t>k</w:t>
      </w:r>
      <w:r w:rsidRPr="004174F5">
        <w:rPr>
          <w:i/>
          <w:vertAlign w:val="subscript"/>
        </w:rPr>
        <w:t>max</w:t>
      </w:r>
      <w:r>
        <w:t xml:space="preserve">, asetettiin kolmelle eri tasolle, joille laskettiin vaihtoehtoisen indeksit. </w:t>
      </w:r>
    </w:p>
    <w:p w14:paraId="64565120" w14:textId="77777777" w:rsidR="00C2768C" w:rsidRDefault="00C2768C" w:rsidP="00C2768C"/>
    <w:p w14:paraId="5E73354E" w14:textId="5C1CE103" w:rsidR="00C2768C" w:rsidRDefault="00C2768C" w:rsidP="00C2768C">
      <w:r>
        <w:t xml:space="preserve">Lyhimmillään säde asetettiin n. 72 kilometriin sisältäen 95,00 prosenttia aineiston toteutuneista matkustusetäisyyksistä. 150 kilometrin maksimisäde mukaili Dunnin </w:t>
      </w:r>
      <w:r w:rsidR="00A146F2">
        <w:t xml:space="preserve">&amp; al. </w:t>
      </w:r>
      <w:r>
        <w:t>(2014) määrittämää 80 minuutin maksimimatkustusaikaa huomioiden Suomen tyypillisesti pitkät etäisyydet</w:t>
      </w:r>
      <w:r w:rsidR="00A146F2">
        <w:t>.</w:t>
      </w:r>
      <w:r>
        <w:t xml:space="preserve"> Tämä säde sisälsi 97,21 prosenttia toteutuneista matkustusetäisyyksistä. Suurimmillaan säde k</w:t>
      </w:r>
      <w:r>
        <w:rPr>
          <w:vertAlign w:val="subscript"/>
        </w:rPr>
        <w:t>max</w:t>
      </w:r>
      <w:r>
        <w:t xml:space="preserve"> asetettiin 200 kilometriin, joka sisälsi yli 98 prosenttia (98,04 %) kaikista yleislääkärille toteutuneista matkustusetäisyyksistä. Sädettä ei suoraan asetettu havaitun maksimisetäisyyden mukaan, koska osan potilaista on vaihtanut asuinpaikkakuntaa vuoden aikana</w:t>
      </w:r>
      <w:r w:rsidR="00A146F2">
        <w:t xml:space="preserve"> tai osa</w:t>
      </w:r>
      <w:r>
        <w:t xml:space="preserve"> käynneistä</w:t>
      </w:r>
      <w:r w:rsidR="00A146F2">
        <w:t xml:space="preserve"> on</w:t>
      </w:r>
      <w:r>
        <w:t xml:space="preserve"> tehty </w:t>
      </w:r>
      <w:r w:rsidR="00A146F2">
        <w:t xml:space="preserve">esimerkiksi Lapin lomamatkan </w:t>
      </w:r>
      <w:r>
        <w:t xml:space="preserve">yhteydessä. Tällöin kuljettu etäisyys ei kuvaa toivottua asiaa, eli matkustamista lääkärin vastaanotolle hakeutumisen vuoksi. </w:t>
      </w:r>
    </w:p>
    <w:p w14:paraId="04D0D4C5" w14:textId="77777777" w:rsidR="00C2768C" w:rsidRDefault="00C2768C" w:rsidP="00C2768C"/>
    <w:p w14:paraId="5A7F3E77" w14:textId="77777777" w:rsidR="00C2768C" w:rsidRDefault="00C2768C" w:rsidP="00C2768C">
      <w:r>
        <w:t xml:space="preserve">Seuraavaksi postinumeroalueen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</m:oMath>
      <w:r>
        <w:t xml:space="preserve"> asukkaille laskettiin lääkärin etäisyyteen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x</m:t>
                </m:r>
              </m:e>
              <m:sub>
                <m:r>
                  <w:rPr>
                    <w:rFonts w:ascii="Cambria Math" w:hAnsi="Cambria Math"/>
                  </w:rPr>
                  <m:t>0</m:t>
                </m:r>
              </m:sub>
            </m:sSub>
            <m:r>
              <w:rPr>
                <w:rFonts w:ascii="Cambria Math" w:hAnsi="Cambria Math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x</m:t>
                </m:r>
              </m:e>
              <m:sub>
                <m:r>
                  <w:rPr>
                    <w:rFonts w:ascii="Cambria Math" w:hAnsi="Cambria Math"/>
                  </w:rPr>
                  <m:t>i</m:t>
                </m:r>
              </m:sub>
            </m:sSub>
          </m:sub>
        </m:sSub>
        <m:r>
          <w:rPr>
            <w:rFonts w:ascii="Cambria Math" w:hAnsi="Cambria Math"/>
          </w:rPr>
          <m:t xml:space="preserve"> </m:t>
        </m:r>
      </m:oMath>
      <w:r>
        <w:t xml:space="preserve">perustuva matkustamishalukkuus </w:t>
      </w:r>
      <m:oMath>
        <m:func>
          <m:funcPr>
            <m:ctrlPr>
              <w:rPr>
                <w:rFonts w:ascii="Cambria Math" w:hAnsi="Cambria Math"/>
              </w:rPr>
            </m:ctrlPr>
          </m:funcPr>
          <m:fName>
            <m:r>
              <w:rPr>
                <w:rFonts w:ascii="Cambria Math" w:hAnsi="Cambria Math"/>
              </w:rPr>
              <m:t>Pr</m:t>
            </m:r>
          </m:fName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e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i0</m:t>
                    </m:r>
                  </m:sub>
                </m:sSub>
                <m:r>
                  <w:rPr>
                    <w:rFonts w:ascii="Cambria Math" w:hAnsi="Cambria Math"/>
                  </w:rPr>
                  <m:t>&gt;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k</m:t>
                    </m:r>
                  </m:e>
                  <m:sub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i</m:t>
                        </m:r>
                      </m:sub>
                    </m:sSub>
                  </m:sub>
                </m:sSub>
              </m:e>
            </m:d>
          </m:e>
        </m:func>
      </m:oMath>
      <w:r w:rsidDel="0055365D">
        <w:t xml:space="preserve"> </w:t>
      </w:r>
      <w:r>
        <w:t xml:space="preserve"> kaikille säteen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 w:hAnsi="Cambria Math"/>
              </w:rPr>
              <m:t>max</m:t>
            </m:r>
          </m:sub>
        </m:sSub>
      </m:oMath>
      <w:r>
        <w:t xml:space="preserve"> sisällä toimivien lääkäreiden vastaanottojen sijainneille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  <w:r w:rsidRPr="006B15F4">
        <w:t xml:space="preserve"> </w:t>
      </w:r>
      <w:r>
        <w:t>postinumeroalueittain.</w:t>
      </w:r>
    </w:p>
    <w:p w14:paraId="5E8C3E36" w14:textId="77777777" w:rsidR="00C2768C" w:rsidRPr="00104A7F" w:rsidRDefault="00A01EFA" w:rsidP="00C2768C">
      <w:pPr>
        <w:jc w:val="center"/>
      </w:pPr>
      <m:oMathPara>
        <m:oMath>
          <m:func>
            <m:funcPr>
              <m:ctrlPr>
                <w:rPr>
                  <w:rFonts w:ascii="Cambria Math" w:hAnsi="Cambria Math"/>
                </w:rPr>
              </m:ctrlPr>
            </m:funcPr>
            <m:fName>
              <m:r>
                <w:rPr>
                  <w:rFonts w:ascii="Cambria Math" w:hAnsi="Cambria Math"/>
                </w:rPr>
                <m:t>Pr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e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i0</m:t>
                      </m:r>
                    </m:sub>
                  </m:sSub>
                  <m:r>
                    <w:rPr>
                      <w:rFonts w:ascii="Cambria Math" w:hAnsi="Cambria Math"/>
                    </w:rPr>
                    <m:t>&gt;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k</m:t>
                      </m:r>
                    </m:e>
                    <m:sub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i</m:t>
                          </m:r>
                        </m:sub>
                      </m:sSub>
                    </m:sub>
                  </m:sSub>
                </m:e>
              </m:d>
            </m:e>
          </m:func>
          <m:r>
            <w:rPr>
              <w:rFonts w:ascii="Cambria Math" w:hAnsi="Cambria Math"/>
            </w:rPr>
            <m:t>=</m:t>
          </m:r>
          <m:d>
            <m:dPr>
              <m:begChr m:val="{"/>
              <m:endChr m:val=""/>
              <m:ctrlPr>
                <w:rPr>
                  <w:rFonts w:ascii="Cambria Math" w:hAnsi="Cambria Math"/>
                  <w:i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</w:rPr>
                  </m:ctrlPr>
                </m:eqArrPr>
                <m:e>
                  <m:r>
                    <w:rPr>
                      <w:rFonts w:ascii="Cambria Math" w:hAnsi="Cambria Math"/>
                    </w:rPr>
                    <m:t>1 –</m:t>
                  </m:r>
                  <m:f>
                    <m:fPr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</w:rPr>
                            <m:t>k</m:t>
                          </m:r>
                        </m:e>
                        <m:sub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</w:rPr>
                                <m:t>0</m:t>
                              </m:r>
                            </m:sub>
                          </m:sSub>
                          <m:r>
                            <w:rPr>
                              <w:rFonts w:ascii="Cambria Math" w:hAnsi="Cambria Math"/>
                            </w:rPr>
                            <m:t>-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</w:rPr>
                                <m:t>i</m:t>
                              </m:r>
                            </m:sub>
                          </m:sSub>
                        </m:sub>
                      </m:sSub>
                    </m:num>
                    <m:den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</w:rPr>
                            <m:t>k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max</m:t>
                          </m:r>
                        </m:sub>
                      </m:sSub>
                    </m:den>
                  </m:f>
                  <m:r>
                    <w:rPr>
                      <w:rFonts w:ascii="Cambria Math" w:hAnsi="Cambria Math"/>
                    </w:rPr>
                    <m:t xml:space="preserve">    , jos 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k</m:t>
                      </m:r>
                    </m:e>
                    <m:sub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i</m:t>
                          </m:r>
                        </m:sub>
                      </m:sSub>
                    </m:sub>
                  </m:sSub>
                  <m:r>
                    <w:rPr>
                      <w:rFonts w:ascii="Cambria Math" w:hAnsi="Cambria Math"/>
                    </w:rPr>
                    <m:t>≤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k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max</m:t>
                      </m:r>
                    </m:sub>
                  </m:sSub>
                </m:e>
                <m:e>
                  <m:r>
                    <w:rPr>
                      <w:rFonts w:ascii="Cambria Math" w:hAnsi="Cambria Math"/>
                    </w:rPr>
                    <m:t xml:space="preserve">0                   , jos 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k</m:t>
                      </m:r>
                    </m:e>
                    <m:sub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i</m:t>
                          </m:r>
                        </m:sub>
                      </m:sSub>
                    </m:sub>
                  </m:sSub>
                  <m:r>
                    <w:rPr>
                      <w:rFonts w:ascii="Cambria Math" w:hAnsi="Cambria Math"/>
                    </w:rPr>
                    <m:t>&gt;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k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max</m:t>
                      </m:r>
                    </m:sub>
                  </m:sSub>
                </m:e>
              </m:eqArr>
            </m:e>
          </m:d>
        </m:oMath>
      </m:oMathPara>
    </w:p>
    <w:p w14:paraId="453B756F" w14:textId="77777777" w:rsidR="00C2768C" w:rsidRDefault="00C2768C" w:rsidP="00C2768C">
      <w:r>
        <w:t xml:space="preserve">Lääkärin i odotettu markkinaosuus </w:t>
      </w:r>
      <m:oMath>
        <m:r>
          <w:rPr>
            <w:rFonts w:ascii="Cambria Math" w:hAnsi="Cambria Math"/>
          </w:rPr>
          <m:t xml:space="preserve">E 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S</m:t>
                </m:r>
              </m:e>
              <m:sub>
                <m:r>
                  <w:rPr>
                    <w:rFonts w:ascii="Cambria Math" w:hAnsi="Cambria Math"/>
                  </w:rPr>
                  <m:t>i</m:t>
                </m:r>
              </m:sub>
            </m:sSub>
          </m:e>
        </m:d>
      </m:oMath>
      <w:r>
        <w:t xml:space="preserve"> alueen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</m:oMath>
      <w:r>
        <w:t xml:space="preserve"> asukkaista laskettiin suhteuttamalla lääkärin sijaintiin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  <w:r w:rsidRPr="006B15F4">
        <w:t xml:space="preserve"> </w:t>
      </w:r>
      <w:r>
        <w:t xml:space="preserve">liittyvä matkustushalukkuus kaikkiin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 w:hAnsi="Cambria Math"/>
              </w:rPr>
              <m:t>max</m:t>
            </m:r>
          </m:sub>
        </m:sSub>
      </m:oMath>
      <w:r>
        <w:t xml:space="preserve"> säteen sisällä sijaitsevien lääkärien</w:t>
      </w:r>
      <w:r w:rsidDel="00476399">
        <w:t xml:space="preserve"> </w:t>
      </w:r>
      <w:r>
        <w:t>matkustushalukkuuksien summaan.</w:t>
      </w:r>
    </w:p>
    <w:p w14:paraId="1514F8AC" w14:textId="77777777" w:rsidR="00C2768C" w:rsidRPr="00E16F76" w:rsidRDefault="00C2768C" w:rsidP="00C2768C">
      <w:pPr>
        <w:jc w:val="center"/>
      </w:pPr>
      <m:oMathPara>
        <m:oMath>
          <m:r>
            <w:rPr>
              <w:rFonts w:ascii="Cambria Math" w:hAnsi="Cambria Math"/>
            </w:rPr>
            <m:t xml:space="preserve">E 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S</m:t>
                  </m:r>
                </m:e>
                <m:sub>
                  <m:r>
                    <w:rPr>
                      <w:rFonts w:ascii="Cambria Math" w:hAnsi="Cambria Math"/>
                    </w:rPr>
                    <m:t>i</m:t>
                  </m:r>
                </m:sub>
              </m:sSub>
            </m:e>
          </m:d>
          <m:r>
            <w:rPr>
              <w:rFonts w:ascii="Cambria Math" w:hAnsi="Cambria Math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 xml:space="preserve"> </m:t>
              </m:r>
              <m:func>
                <m:funcPr>
                  <m:ctrlPr>
                    <w:rPr>
                      <w:rFonts w:ascii="Cambria Math" w:hAnsi="Cambria Math"/>
                    </w:rPr>
                  </m:ctrlPr>
                </m:funcPr>
                <m:fName>
                  <m:r>
                    <w:rPr>
                      <w:rFonts w:ascii="Cambria Math" w:hAnsi="Cambria Math"/>
                    </w:rPr>
                    <m:t>Pr</m:t>
                  </m:r>
                </m:fName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</w:rPr>
                            <m:t>e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i0</m:t>
                          </m:r>
                        </m:sub>
                      </m:sSub>
                      <m:r>
                        <w:rPr>
                          <w:rFonts w:ascii="Cambria Math" w:hAnsi="Cambria Math"/>
                        </w:rPr>
                        <m:t>&gt;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</w:rPr>
                            <m:t>k</m:t>
                          </m:r>
                        </m:e>
                        <m:sub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x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</w:rPr>
                                <m:t>i</m:t>
                              </m:r>
                            </m:sub>
                          </m:sSub>
                        </m:sub>
                      </m:sSub>
                    </m:e>
                  </m:d>
                </m:e>
              </m:func>
            </m:num>
            <m:den>
              <m:nary>
                <m:naryPr>
                  <m:chr m:val="∑"/>
                  <m:limLoc m:val="undOvr"/>
                  <m:supHide m:val="1"/>
                  <m:ctrlPr>
                    <w:rPr>
                      <w:rFonts w:ascii="Cambria Math" w:hAnsi="Cambria Math"/>
                      <w:i/>
                    </w:rPr>
                  </m:ctrlPr>
                </m:naryPr>
                <m:sub>
                  <m:r>
                    <w:rPr>
                      <w:rFonts w:ascii="Cambria Math" w:hAnsi="Cambria Math"/>
                    </w:rPr>
                    <m:t>j</m:t>
                  </m:r>
                </m:sub>
                <m:sup/>
                <m:e>
                  <m:r>
                    <w:rPr>
                      <w:rFonts w:ascii="Cambria Math" w:hAnsi="Cambria Math"/>
                    </w:rPr>
                    <m:t xml:space="preserve"> </m:t>
                  </m:r>
                  <m:func>
                    <m:funcPr>
                      <m:ctrlPr>
                        <w:rPr>
                          <w:rFonts w:ascii="Cambria Math" w:hAnsi="Cambria Math"/>
                        </w:rPr>
                      </m:ctrlPr>
                    </m:funcPr>
                    <m:fName>
                      <m:r>
                        <w:rPr>
                          <w:rFonts w:ascii="Cambria Math" w:hAnsi="Cambria Math"/>
                        </w:rPr>
                        <m:t>Pr</m:t>
                      </m:r>
                    </m:fName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e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</w:rPr>
                                <m:t>j0</m:t>
                              </m:r>
                            </m:sub>
                          </m:sSub>
                          <m:r>
                            <w:rPr>
                              <w:rFonts w:ascii="Cambria Math" w:hAnsi="Cambria Math"/>
                            </w:rPr>
                            <m:t>&gt;</m:t>
                          </m:r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k</m:t>
                              </m:r>
                            </m:e>
                            <m:sub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</w:rPr>
                                    <m:t>x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</w:rPr>
                                    <m:t>j</m:t>
                                  </m:r>
                                </m:sub>
                              </m:sSub>
                            </m:sub>
                          </m:sSub>
                        </m:e>
                      </m:d>
                    </m:e>
                  </m:func>
                </m:e>
              </m:nary>
            </m:den>
          </m:f>
        </m:oMath>
      </m:oMathPara>
    </w:p>
    <w:p w14:paraId="011A3142" w14:textId="18505014" w:rsidR="00C2768C" w:rsidRDefault="00C2768C" w:rsidP="00C2768C">
      <w:r>
        <w:t xml:space="preserve">Postinumeroaluekohtaisista odotetuista markkinaosuuksista muodostetaan keskittyneisyysindeksi korottamalla alueittaiset markkinaosuudet toiseen ja summaamalla ne yhteen.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HHI</m:t>
            </m:r>
          </m:e>
          <m:sub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x</m:t>
                </m:r>
              </m:e>
              <m:sub>
                <m:r>
                  <w:rPr>
                    <w:rFonts w:ascii="Cambria Math" w:hAnsi="Cambria Math"/>
                  </w:rPr>
                  <m:t>0</m:t>
                </m:r>
              </m:sub>
            </m:sSub>
          </m:sub>
        </m:sSub>
      </m:oMath>
      <w:r>
        <w:t xml:space="preserve"> -indeksit lasketaan kullekin potilaan sijainnille ja indeksi saa arvoja nollan ja yhden välillä.</w:t>
      </w:r>
    </w:p>
    <w:p w14:paraId="64E069D8" w14:textId="77777777" w:rsidR="00C2768C" w:rsidRPr="00E16F76" w:rsidRDefault="00A01EFA" w:rsidP="00C2768C"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HHI</m:t>
              </m:r>
            </m:e>
            <m:sub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</w:rPr>
                    <m:t>0</m:t>
                  </m:r>
                </m:sub>
              </m:sSub>
              <m:r>
                <w:rPr>
                  <w:rFonts w:ascii="Cambria Math" w:hAnsi="Cambria Math"/>
                </w:rPr>
                <m:t xml:space="preserve">, </m:t>
              </m:r>
            </m:sub>
          </m:sSub>
          <m:r>
            <w:rPr>
              <w:rFonts w:ascii="Cambria Math" w:hAnsi="Cambria Math"/>
            </w:rPr>
            <m:t>=</m:t>
          </m:r>
          <m:nary>
            <m:naryPr>
              <m:chr m:val="∑"/>
              <m:limLoc m:val="undOvr"/>
              <m:ctrlPr>
                <w:rPr>
                  <w:rFonts w:ascii="Cambria Math" w:hAnsi="Cambria Math"/>
                  <w:i/>
                </w:rPr>
              </m:ctrlPr>
            </m:naryPr>
            <m:sub>
              <m:r>
                <w:rPr>
                  <w:rFonts w:ascii="Cambria Math" w:hAnsi="Cambria Math"/>
                </w:rPr>
                <m:t>i=1</m:t>
              </m:r>
            </m:sub>
            <m:sup>
              <m:r>
                <w:rPr>
                  <w:rFonts w:ascii="Cambria Math" w:hAnsi="Cambria Math"/>
                </w:rPr>
                <m:t>N</m:t>
              </m:r>
            </m:sup>
            <m:e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 xml:space="preserve">E </m:t>
                  </m:r>
                  <m:d>
                    <m:dPr>
                      <m:ctrlPr>
                        <w:rPr>
                          <w:rFonts w:ascii="Cambria Math" w:hAnsi="Cambria Math"/>
                          <w:i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</w:rPr>
                            <m:t>S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i</m:t>
                          </m:r>
                        </m:sub>
                      </m:sSub>
                    </m:e>
                  </m:d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e>
          </m:nary>
          <m:r>
            <w:rPr>
              <w:rFonts w:ascii="Cambria Math" w:hAnsi="Cambria Math"/>
            </w:rPr>
            <m:t>,</m:t>
          </m:r>
        </m:oMath>
      </m:oMathPara>
    </w:p>
    <w:p w14:paraId="6E86E38B" w14:textId="77777777" w:rsidR="00C2768C" w:rsidRDefault="00C2768C" w:rsidP="00C2768C">
      <w:r>
        <w:t xml:space="preserve">Tämä keskittyneisyysindeksi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HHI</m:t>
            </m:r>
          </m:e>
          <m:sub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x</m:t>
                </m:r>
              </m:e>
              <m:sub>
                <m:r>
                  <w:rPr>
                    <w:rFonts w:ascii="Cambria Math" w:hAnsi="Cambria Math"/>
                  </w:rPr>
                  <m:t>0</m:t>
                </m:r>
              </m:sub>
            </m:sSub>
          </m:sub>
        </m:sSub>
      </m:oMath>
      <w:r>
        <w:t xml:space="preserve"> kuvastaa postinumeroalueella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</m:oMath>
      <w:r>
        <w:t xml:space="preserve"> sijaitsevasta potilaasta käytävän kilpailun kireyttä maksimisäteen sisällä toimivien lääkäreiden välillä.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HHI</m:t>
            </m:r>
          </m:e>
          <m:sub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x</m:t>
                </m:r>
              </m:e>
              <m:sub>
                <m:r>
                  <w:rPr>
                    <w:rFonts w:ascii="Cambria Math" w:hAnsi="Cambria Math"/>
                  </w:rPr>
                  <m:t>0</m:t>
                </m:r>
              </m:sub>
            </m:sSub>
          </m:sub>
        </m:sSub>
      </m:oMath>
      <w:r>
        <w:t>Indeksejä laskettiin eri maksimietäisyyksillä, mutta indeksin laskentatavan vuoksi erot olivat hyvin pieniä: matkustushalukkuus pienenee etäisyyden kasvaessa, joten alueen reunoilla sijaitsevien lääkäreiden odotettu markkinaosuus jää tyypillisesti hyvin pieneksi ja toiseen korottaminen edelleen pienentää pienten markkinaosuuksien vaikutusta. Päätimme lopulta käyttää 150 km maksimietäisyyttä.</w:t>
      </w:r>
    </w:p>
    <w:p w14:paraId="31C2D951" w14:textId="77777777" w:rsidR="00C2768C" w:rsidRDefault="00C2768C" w:rsidP="00C2768C">
      <w:r>
        <w:t xml:space="preserve">Lopulta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FTHHI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  <w:r>
        <w:t xml:space="preserve">  -indeksi laskettiin painottamalla potilassijaintien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HHI</m:t>
            </m:r>
          </m:e>
          <m:sub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x</m:t>
                </m:r>
              </m:e>
              <m:sub>
                <m:r>
                  <w:rPr>
                    <w:rFonts w:ascii="Cambria Math" w:hAnsi="Cambria Math"/>
                  </w:rPr>
                  <m:t>0</m:t>
                </m:r>
              </m:sub>
            </m:sSub>
          </m:sub>
        </m:sSub>
      </m:oMath>
      <w:r>
        <w:t>- indeksit samassa suhteessa, kuin mistä lääkärin potilaat olivat hänen vastaanotolle matkustaneet vuonna 2014.</w:t>
      </w:r>
      <w:r w:rsidRPr="00443244">
        <w:t xml:space="preserve"> </w:t>
      </w:r>
      <w:r>
        <w:t>Laskennassa olivat mukana kaiken mittaiset vastaanottokäynnit ja kaikki potilaat ja kukin käynti sai saman painon.</w:t>
      </w:r>
    </w:p>
    <w:p w14:paraId="1C6821F9" w14:textId="77777777" w:rsidR="00652CC5" w:rsidRDefault="00A01EFA"/>
    <w:sectPr w:rsidR="00652CC5">
      <w:headerReference w:type="default" r:id="rId6"/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D5DEE1C" w14:textId="77777777" w:rsidR="00434A49" w:rsidRDefault="00434A49">
      <w:r>
        <w:separator/>
      </w:r>
    </w:p>
  </w:endnote>
  <w:endnote w:type="continuationSeparator" w:id="0">
    <w:p w14:paraId="54EC1743" w14:textId="77777777" w:rsidR="00434A49" w:rsidRDefault="00434A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B344F8A" w14:textId="77777777" w:rsidR="00434A49" w:rsidRDefault="00434A49">
      <w:r>
        <w:separator/>
      </w:r>
    </w:p>
  </w:footnote>
  <w:footnote w:type="continuationSeparator" w:id="0">
    <w:p w14:paraId="44F00347" w14:textId="77777777" w:rsidR="00434A49" w:rsidRDefault="00434A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90328182"/>
      <w:docPartObj>
        <w:docPartGallery w:val="Page Numbers (Top of Page)"/>
        <w:docPartUnique/>
      </w:docPartObj>
    </w:sdtPr>
    <w:sdtEndPr>
      <w:rPr>
        <w:noProof/>
      </w:rPr>
    </w:sdtEndPr>
    <w:sdtContent>
      <w:p w14:paraId="73627290" w14:textId="77777777" w:rsidR="001F381F" w:rsidRDefault="00C2768C">
        <w:pPr>
          <w:pStyle w:val="Yltunniste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01EF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2D1F1A1" w14:textId="77777777" w:rsidR="001F381F" w:rsidRDefault="00A01EFA">
    <w:pPr>
      <w:pStyle w:val="Yltunnis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20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768C"/>
    <w:rsid w:val="00143284"/>
    <w:rsid w:val="0028317E"/>
    <w:rsid w:val="0036698F"/>
    <w:rsid w:val="004174F5"/>
    <w:rsid w:val="00434A49"/>
    <w:rsid w:val="00725518"/>
    <w:rsid w:val="00951083"/>
    <w:rsid w:val="00A01EFA"/>
    <w:rsid w:val="00A146F2"/>
    <w:rsid w:val="00C2768C"/>
    <w:rsid w:val="00D54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1EBE2"/>
  <w15:chartTrackingRefBased/>
  <w15:docId w15:val="{973EA8B9-307A-4687-95FB-3491D2CA59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ali">
    <w:name w:val="Normal"/>
    <w:qFormat/>
    <w:rsid w:val="00C276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i-FI" w:eastAsia="fi-FI"/>
    </w:rPr>
  </w:style>
  <w:style w:type="paragraph" w:styleId="Otsikko2">
    <w:name w:val="heading 2"/>
    <w:basedOn w:val="Normaali"/>
    <w:next w:val="Normaali"/>
    <w:link w:val="Otsikko2Char"/>
    <w:uiPriority w:val="9"/>
    <w:unhideWhenUsed/>
    <w:qFormat/>
    <w:rsid w:val="00C2768C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2Char">
    <w:name w:val="Otsikko 2 Char"/>
    <w:basedOn w:val="Kappaleenoletusfontti"/>
    <w:link w:val="Otsikko2"/>
    <w:uiPriority w:val="9"/>
    <w:rsid w:val="00C2768C"/>
    <w:rPr>
      <w:rFonts w:ascii="Cambria" w:eastAsia="Times New Roman" w:hAnsi="Cambria" w:cs="Times New Roman"/>
      <w:b/>
      <w:bCs/>
      <w:color w:val="4F81BD"/>
      <w:sz w:val="26"/>
      <w:szCs w:val="26"/>
      <w:lang w:val="fi-FI" w:eastAsia="fi-FI"/>
    </w:rPr>
  </w:style>
  <w:style w:type="character" w:styleId="Kommentinviite">
    <w:name w:val="annotation reference"/>
    <w:uiPriority w:val="99"/>
    <w:semiHidden/>
    <w:unhideWhenUsed/>
    <w:rsid w:val="00C2768C"/>
    <w:rPr>
      <w:sz w:val="16"/>
      <w:szCs w:val="16"/>
    </w:rPr>
  </w:style>
  <w:style w:type="paragraph" w:styleId="Kommentinteksti">
    <w:name w:val="annotation text"/>
    <w:basedOn w:val="Normaali"/>
    <w:link w:val="KommentintekstiChar"/>
    <w:uiPriority w:val="99"/>
    <w:semiHidden/>
    <w:unhideWhenUsed/>
    <w:rsid w:val="00C2768C"/>
    <w:rPr>
      <w:sz w:val="20"/>
      <w:szCs w:val="20"/>
    </w:rPr>
  </w:style>
  <w:style w:type="character" w:customStyle="1" w:styleId="KommentintekstiChar">
    <w:name w:val="Kommentin teksti Char"/>
    <w:basedOn w:val="Kappaleenoletusfontti"/>
    <w:link w:val="Kommentinteksti"/>
    <w:uiPriority w:val="99"/>
    <w:semiHidden/>
    <w:rsid w:val="00C2768C"/>
    <w:rPr>
      <w:rFonts w:ascii="Times New Roman" w:eastAsia="Times New Roman" w:hAnsi="Times New Roman" w:cs="Times New Roman"/>
      <w:sz w:val="20"/>
      <w:szCs w:val="20"/>
      <w:lang w:val="fi-FI" w:eastAsia="fi-FI"/>
    </w:rPr>
  </w:style>
  <w:style w:type="paragraph" w:styleId="Yltunniste">
    <w:name w:val="header"/>
    <w:basedOn w:val="Normaali"/>
    <w:link w:val="YltunnisteChar"/>
    <w:uiPriority w:val="99"/>
    <w:unhideWhenUsed/>
    <w:rsid w:val="00C2768C"/>
    <w:pPr>
      <w:tabs>
        <w:tab w:val="center" w:pos="4819"/>
        <w:tab w:val="right" w:pos="9638"/>
      </w:tabs>
    </w:pPr>
  </w:style>
  <w:style w:type="character" w:customStyle="1" w:styleId="YltunnisteChar">
    <w:name w:val="Ylätunniste Char"/>
    <w:basedOn w:val="Kappaleenoletusfontti"/>
    <w:link w:val="Yltunniste"/>
    <w:uiPriority w:val="99"/>
    <w:rsid w:val="00C2768C"/>
    <w:rPr>
      <w:rFonts w:ascii="Times New Roman" w:eastAsia="Times New Roman" w:hAnsi="Times New Roman" w:cs="Times New Roman"/>
      <w:sz w:val="24"/>
      <w:szCs w:val="24"/>
      <w:lang w:val="fi-FI" w:eastAsia="fi-FI"/>
    </w:rPr>
  </w:style>
  <w:style w:type="paragraph" w:styleId="Seliteteksti">
    <w:name w:val="Balloon Text"/>
    <w:basedOn w:val="Normaali"/>
    <w:link w:val="SelitetekstiChar"/>
    <w:uiPriority w:val="99"/>
    <w:semiHidden/>
    <w:unhideWhenUsed/>
    <w:rsid w:val="00C2768C"/>
    <w:rPr>
      <w:rFonts w:ascii="Segoe UI" w:hAnsi="Segoe UI" w:cs="Segoe UI"/>
      <w:sz w:val="18"/>
      <w:szCs w:val="18"/>
    </w:rPr>
  </w:style>
  <w:style w:type="character" w:customStyle="1" w:styleId="SelitetekstiChar">
    <w:name w:val="Seliteteksti Char"/>
    <w:basedOn w:val="Kappaleenoletusfontti"/>
    <w:link w:val="Seliteteksti"/>
    <w:uiPriority w:val="99"/>
    <w:semiHidden/>
    <w:rsid w:val="00C2768C"/>
    <w:rPr>
      <w:rFonts w:ascii="Segoe UI" w:eastAsia="Times New Roman" w:hAnsi="Segoe UI" w:cs="Segoe UI"/>
      <w:sz w:val="18"/>
      <w:szCs w:val="18"/>
      <w:lang w:val="fi-FI" w:eastAsia="fi-F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376</Words>
  <Characters>3049</Characters>
  <Application>Microsoft Office Word</Application>
  <DocSecurity>4</DocSecurity>
  <Lines>25</Lines>
  <Paragraphs>6</Paragraphs>
  <ScaleCrop>false</ScaleCrop>
  <HeadingPairs>
    <vt:vector size="4" baseType="variant">
      <vt:variant>
        <vt:lpstr>Otsikko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Turun yliopisto</Company>
  <LinksUpToDate>false</LinksUpToDate>
  <CharactersWithSpaces>3419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Jouko Miettinen</dc:creator>
  <cp:keywords/>
  <dc:description/>
  <cp:lastModifiedBy>Jouko Miettinen</cp:lastModifiedBy>
  <cp:revision>2</cp:revision>
  <dcterms:created xsi:type="dcterms:W3CDTF">2018-02-08T06:15:00Z</dcterms:created>
  <dcterms:modified xsi:type="dcterms:W3CDTF">2018-02-08T06:15:00Z</dcterms:modified>
</cp:coreProperties>
</file>