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330B" w:rsidRDefault="0041330B">
      <w:pPr>
        <w:pStyle w:val="ERY-Title"/>
      </w:pPr>
      <w:bookmarkStart w:id="0" w:name="_GoBack"/>
      <w:bookmarkEnd w:id="0"/>
      <w:r>
        <w:t>Lausetyyppien sekoittuminen edistyneessä oppijansuomessa – näkökulmana eksistentiaalilause</w:t>
      </w:r>
    </w:p>
    <w:p w:rsidR="0041330B" w:rsidRDefault="0041330B">
      <w:pPr>
        <w:pStyle w:val="Leipteksti"/>
        <w:ind w:firstLine="0"/>
      </w:pPr>
      <w:r>
        <w:rPr>
          <w:b/>
        </w:rPr>
        <w:t>Tiivistelmä.</w:t>
      </w:r>
      <w:r>
        <w:t xml:space="preserve"> Kielenoppijoiden syntaksia tarkasteltaessa päädytää</w:t>
      </w:r>
      <w:r w:rsidR="00FB7F07">
        <w:t xml:space="preserve">n </w:t>
      </w:r>
      <w:r w:rsidR="003D172D">
        <w:t>usein</w:t>
      </w:r>
      <w:r w:rsidR="00FB7F07">
        <w:t xml:space="preserve"> lausetyypp</w:t>
      </w:r>
      <w:r w:rsidR="003D172D">
        <w:t>eihin nojaavaan</w:t>
      </w:r>
      <w:r>
        <w:t xml:space="preserve"> tarkastelutapaan. Tarkastelutavan etuna on sen kattavuus, pedagoginen sovellettavuus ja kielen luonnollisten omaksumismallien huomioonottaminen. Todellisen kielen tekstilauseet eivät ole millään lailla selvärajaisia kategorioita, vaan niissä sekoittuu usein piirteitä useista eri lausetyypeistä. Oppijankielessä ilmenevä epäidiomaattisuus voidaan kuitenkin monesti nähdä koko rakenteen epäidiomaattisuutena, joka puolestaan juontaa eri lausetyypeille ominaisten elementtien yhdistymisestä yhdessä lauseessa. Tässä artikkelissa tarkastellaan oppijansuomen lausetyyppejä ja lausetyyppien välistä sekoittumista. Tarkastelun lähtökohtana on olemassaoloa kuvaava eksistentiaalilause. Artikkelissa erotellaan kolme lausetyyppien sekoittumisen alalajia: 1) jonkin jäsenen kontekstiin nähden epäidiomaattinen muoto, 2) joidenkin jäsenien kontekstiin nähden epäidiomaattinen järjestys ja 3) jonkin kontekstin vaatiman jäsenen puuttuminen. Ilmiöiden kontekstisidonnaisuudella tarkoitetaan sitä, että kulloinkin kyseessä </w:t>
      </w:r>
      <w:r w:rsidR="003D172D">
        <w:t xml:space="preserve">olevan tapauksen idiomaattisuuteen jossain toisessa esiintymisympäristössä ei oteta kantaa. </w:t>
      </w:r>
      <w:r>
        <w:t xml:space="preserve">Oppijansuomen syntaksille on tyypillistä, että näistä </w:t>
      </w:r>
      <w:r w:rsidR="009C1D85">
        <w:t xml:space="preserve">alalajeista </w:t>
      </w:r>
      <w:r>
        <w:t>esiintyy epäidiomaattisissa lauseissa samanaikaisesti useita. Tulokset osoittavat, että syntaksin epäidiomaattisuutta kannattaa useimmiten lähestyä koko rakenteen epäidiomaattisuutena ennemmin kuin yksittäisen muotopiirteen epäidiomaattisuutena. Artikkeli pohtii myös metodin ja tulosten sovellettavuutta annotoidulla korpuksella tehtävään tutkimukseen.</w:t>
      </w:r>
    </w:p>
    <w:p w:rsidR="0041330B" w:rsidRDefault="0041330B">
      <w:pPr>
        <w:ind w:firstLine="0"/>
        <w:jc w:val="both"/>
        <w:rPr>
          <w:lang w:val="fi-FI"/>
        </w:rPr>
      </w:pPr>
    </w:p>
    <w:p w:rsidR="0041330B" w:rsidRDefault="0041330B">
      <w:pPr>
        <w:ind w:firstLine="0"/>
        <w:jc w:val="both"/>
      </w:pPr>
      <w:r>
        <w:rPr>
          <w:b/>
          <w:lang w:val="fi-FI"/>
        </w:rPr>
        <w:t>Asiasanat:</w:t>
      </w:r>
      <w:r>
        <w:rPr>
          <w:lang w:val="fi-FI"/>
        </w:rPr>
        <w:t xml:space="preserve"> oppijankieli, suomi toisena kielenä, syntaksi, syntaktiset lausetyypit, korpustutkimus, eksistentiaalilause</w:t>
      </w:r>
    </w:p>
    <w:p w:rsidR="0041330B" w:rsidRDefault="0041330B">
      <w:pPr>
        <w:ind w:firstLine="0"/>
        <w:jc w:val="both"/>
        <w:rPr>
          <w:lang w:val="fi-FI"/>
        </w:rPr>
      </w:pPr>
    </w:p>
    <w:p w:rsidR="0041330B" w:rsidRDefault="0041330B">
      <w:pPr>
        <w:pStyle w:val="ERY-Subheading1"/>
      </w:pPr>
      <w:r>
        <w:t>1. Johdanto</w:t>
      </w:r>
    </w:p>
    <w:p w:rsidR="0041330B" w:rsidRDefault="007D29AC" w:rsidP="007D29AC">
      <w:pPr>
        <w:pStyle w:val="Leipteksti"/>
      </w:pPr>
      <w:r>
        <w:t>Kun tarkastellaan maailman eri kielistä tehtyjä lausetyyppikuvauksia, huomataan, että niitä on kehitetty usein juuri sellaisista kielistä, joita ei-ensikieliset puhujat harrastavat (</w:t>
      </w:r>
      <w:r w:rsidR="009C1D85">
        <w:t>ks. esim</w:t>
      </w:r>
      <w:r>
        <w:t xml:space="preserve">. Inaba 1996: 12–13). Niin ikään tarkasteltaessa </w:t>
      </w:r>
      <w:r w:rsidR="0041330B">
        <w:t>kieleno</w:t>
      </w:r>
      <w:r>
        <w:t xml:space="preserve">ppijoiden tuottamaa suomea (S2) </w:t>
      </w:r>
      <w:r w:rsidR="0041330B">
        <w:t xml:space="preserve">syntaksin ja sen idiomaattisuuden kannalta, </w:t>
      </w:r>
      <w:r w:rsidR="0041330B">
        <w:lastRenderedPageBreak/>
        <w:t>päädytään monesti lausetyyppilähtöiseen näkemykseen.</w:t>
      </w:r>
      <w:r w:rsidR="00B111DE">
        <w:t xml:space="preserve"> Lausetyyppilähtöinen lähestyminen syntaksiin ei toki ole itsessään millään lailla ensisijainen tapa toimia S2-alalla.</w:t>
      </w:r>
      <w:r w:rsidR="0041330B">
        <w:t xml:space="preserve"> Lähestymistä </w:t>
      </w:r>
      <w:r w:rsidR="00B111DE">
        <w:t xml:space="preserve">kuitenkin </w:t>
      </w:r>
      <w:r w:rsidR="0041330B">
        <w:t>puolustaa moni seikka. Pedagogiselta kannalta lausetyypit tarjoavat niin kielenoppijalle kuin -opettajallekin kattavan ja muuttujiltaan rajallisen keinon tarkastella syntaksin kaltaista abstraktia ilmiövyyhtiä</w:t>
      </w:r>
      <w:r w:rsidR="00AB1F9C">
        <w:t>.</w:t>
      </w:r>
      <w:r w:rsidR="0041330B">
        <w:t xml:space="preserve"> (</w:t>
      </w:r>
      <w:r w:rsidR="00AB1F9C">
        <w:t>K</w:t>
      </w:r>
      <w:r w:rsidR="00FD567F">
        <w:t>s</w:t>
      </w:r>
      <w:r w:rsidR="0041330B">
        <w:t>. esim. Norman M. 1993: 1</w:t>
      </w:r>
      <w:r w:rsidR="00AB1F9C">
        <w:t>35–136; Siitonen 1993: 118–119.)</w:t>
      </w:r>
      <w:r w:rsidR="0041330B">
        <w:t xml:space="preserve"> Samanaikaisesti lausetyyppi-lähtöinen tarkastelu soveltuu hyvin ajatukseen kielen omaksumisesta ympäristön </w:t>
      </w:r>
      <w:r w:rsidR="0053151E">
        <w:t>tarjoaman</w:t>
      </w:r>
      <w:r w:rsidR="0041330B">
        <w:t xml:space="preserve"> lingvistisen</w:t>
      </w:r>
      <w:r w:rsidR="00677CCD">
        <w:t xml:space="preserve"> – niin</w:t>
      </w:r>
      <w:r w:rsidR="0041330B">
        <w:t xml:space="preserve"> laadullisen </w:t>
      </w:r>
      <w:r w:rsidR="00677CCD">
        <w:t>kuin</w:t>
      </w:r>
      <w:r w:rsidR="0041330B">
        <w:t xml:space="preserve"> määrällisen</w:t>
      </w:r>
      <w:r w:rsidR="00677CCD">
        <w:t>kin –</w:t>
      </w:r>
      <w:r w:rsidR="0041330B">
        <w:t xml:space="preserve"> kokemuksen kautta (engl. </w:t>
      </w:r>
      <w:r w:rsidR="0041330B">
        <w:rPr>
          <w:i/>
        </w:rPr>
        <w:t>Usage-based Models</w:t>
      </w:r>
      <w:r w:rsidR="0041330B">
        <w:t xml:space="preserve">; ks. esim. Kemmer–Barlow 2000; Tomasello 2003). Lausetyypit ovat kielestä itsestään kumpuavien rakenteiden frekventeimpiä ja luontaisimpia ilmenemiä. (ks. esim. </w:t>
      </w:r>
      <w:r w:rsidR="00824AE0">
        <w:t xml:space="preserve">Elman </w:t>
      </w:r>
      <w:r w:rsidR="0041330B">
        <w:t xml:space="preserve">ym. 1996.) Toisen kielen syntaksia käsittelevän korpustutkimuksen kannalta lausetyypit ovat niin ikään mielekäs tapa tarkastella lauseoppia. Prototyyppinen rakenne tarjoaa lähtökohdan hakuehtojen määrittelemiseen, ja variaatiota voidaan tarkastella hallitusti hakuehtoja yksittäin muokkaamalla (ks. esim. Ivaska 2010b). Tarkastelu vastaa monilta osin konstruktiokieliopin ajatusta skemaattisista rakenteista, jotka voivat sekoittua todellisessa kielenkäytössä keskenään (konstruktiokieliopista ks. esim. Croft 2001; rakenteiden sekoittumisesta suomen lausetyypeissä ks. esim. ISK: 848). </w:t>
      </w:r>
    </w:p>
    <w:p w:rsidR="0041330B" w:rsidRDefault="0041330B">
      <w:pPr>
        <w:pStyle w:val="Leipteksti"/>
      </w:pPr>
      <w:r>
        <w:t>Tarkastelen tässä artikkelissa edistyneiden suomenoppijoiden kirjoituksessa esiintyviä lausetyyppejä. Pyrin osoittamaan, että lausetyyppeihin perustuva lähestyminen soveltuu erinomaisesti oppijansuomen syntaksin erityispiirteiden tarkasteluun ja että oppijansuomen laadullinen ja määrällinen epäidiomaattisuus voidaan usein nähdä nimenomaan eri lausetyyppien keskinäisen sekoittumisen tai lausetyyppien kohdekielestä poikkeavien roolien ilmentyminä. Todellisen kielen neutraalissa ja kohdekielen kannalta täysin idiomaattisissa tekstilauseissa on usein piirteitä useista eri lausetyypeistä, mikä ei itsessään ole minkäänlainen merkki epäidiomaattisuudesta. Oppijankielen laadullinen epä</w:t>
      </w:r>
      <w:r w:rsidR="005C5333">
        <w:t xml:space="preserve">idiomaattisuus on kuitenkin </w:t>
      </w:r>
      <w:r>
        <w:t xml:space="preserve">tämän tutkimuksen </w:t>
      </w:r>
      <w:r w:rsidR="00AB1F9C">
        <w:t>tulosten valossa</w:t>
      </w:r>
      <w:r>
        <w:t xml:space="preserve"> usein osa koko konstruktion epäidiomaattisuutta. Käsittelen eri lausetyyppien välisen rajankäynnin ilmenemistä oppijansuomessa ns. eksistentiaalilauseen kannalta (esim. Tiainen 1997 esittää eksistentiaalilauseesta ja sitä käsittelevästä monipolvisesta keskustelusta yhteenvedon). Ehdotan sen perusteella lausetyyppien sekoittumiselle kolmea eri ilmenemismuotoa. Tutkimus on osa Turun yliopistossa tehtävää Edistyneiden suomenoppijoiden korpus -tutkimushanketta </w:t>
      </w:r>
      <w:r>
        <w:lastRenderedPageBreak/>
        <w:t>(LAS2). Oppijankielen eksistentiaalisia lauseita on käsitelty aiemmin LAS2:n kahdessa aikaisemmassa julkaisussa (Ivaska 2010a; Ivaska 2010b), joiden jatkoksi tämä artikkeli niveltyy.</w:t>
      </w:r>
    </w:p>
    <w:p w:rsidR="0041330B" w:rsidRDefault="0041330B" w:rsidP="00AB1F9C">
      <w:pPr>
        <w:pStyle w:val="Leipteksti"/>
        <w:ind w:firstLine="0"/>
        <w:jc w:val="both"/>
        <w:rPr>
          <w:lang w:val="fi-FI"/>
        </w:rPr>
      </w:pPr>
    </w:p>
    <w:p w:rsidR="0041330B" w:rsidRDefault="0041330B">
      <w:pPr>
        <w:pStyle w:val="ERY-Subheading1"/>
      </w:pPr>
      <w:r>
        <w:t>2. Teoria</w:t>
      </w:r>
    </w:p>
    <w:p w:rsidR="0041330B" w:rsidRDefault="0041330B">
      <w:pPr>
        <w:pStyle w:val="ERY-Subheading1"/>
      </w:pPr>
      <w:r>
        <w:t>2.1. Lausetyyppi, toisen kielen tutkimus ja korpustutkimus</w:t>
      </w:r>
    </w:p>
    <w:p w:rsidR="0041330B" w:rsidRDefault="0041330B">
      <w:pPr>
        <w:pStyle w:val="Leipteksti"/>
        <w:ind w:firstLine="0"/>
      </w:pPr>
      <w:r>
        <w:t>Tässä artikkelissa tehtävä tarkastelu nojautuu</w:t>
      </w:r>
      <w:r w:rsidR="00AB1F9C">
        <w:t xml:space="preserve"> ajatukseen lauseiden jaottelusta</w:t>
      </w:r>
      <w:r>
        <w:t xml:space="preserve"> eri tyyppeihin niiden rakenteen perusteella. Lähestymiseni vastaa monilta osin ns. konstruktiokieliopin ajatusta rakenteista skemaattisina kielenyksikköinä ja rakenteiden ja merkityksen välisten vastaavuuksien keskeisyyttä kielen peruselementteinä (ks. esim. Goldberg 1995). En pidä lauseiden syntaktista funktiota itsessään lausetyypin määrittäjänä, vaan uskon lausetyyppien (kuten rakenteiden ylipäätään) hahmottuvan todellisen kielenkäytön ilmaisujen – kirjoitetussa kielessä ns. tekstilauseiden – frekventeimpinä ja toisistaan erotettavissa olevina konstruktioina (frekvenssiin nojaavasta kielenomaksumisesta ks. esim. Tomasello 2003: 5–6). Toisen kielen omaksumisen tutkimuksessa tätä lähestymistapaa on soveltanut esimerkiksi Nick C. Ellis (2002) assosiatiivis-kognitiiviseksi kutsumassaan ajatusmallissa. </w:t>
      </w:r>
    </w:p>
    <w:p w:rsidR="0041330B" w:rsidRDefault="0041330B" w:rsidP="00AB1F9C">
      <w:pPr>
        <w:pStyle w:val="Leipteksti"/>
        <w:ind w:firstLine="0"/>
      </w:pPr>
      <w:r>
        <w:tab/>
        <w:t>Muodon ja merkityksen välisen yhteyden keskeisyyden vuoksi lausetyypin käsitettä ja sen merkitystä toisen kielen tutkimuksen kontekstissa onkin luontevaa tarkastella korpustutkimuksen näkökulmasta – valintapreferenssien, myötäesiintymien ja esiintymisehtojen (termeistä ks. Jantunen 2004: 15, 19) ilmentyminä. Vastaavaa lähestymistapaa soveltaa esimerkiksi Mintz tarkastellessaan kielenomaksumisessa ilmeneviä konstruktioita</w:t>
      </w:r>
      <w:r w:rsidR="007343FC">
        <w:t xml:space="preserve">, niiden osia ja näiden </w:t>
      </w:r>
      <w:r>
        <w:t>myötäesiintymiä</w:t>
      </w:r>
      <w:r w:rsidR="00BA0BFE">
        <w:t xml:space="preserve"> ja esiintymisehtoja</w:t>
      </w:r>
      <w:r w:rsidR="001B12C8">
        <w:t xml:space="preserve"> sekä </w:t>
      </w:r>
      <w:r w:rsidR="00BA0BFE">
        <w:t>pohtiessaan</w:t>
      </w:r>
      <w:r>
        <w:t xml:space="preserve"> </w:t>
      </w:r>
      <w:r w:rsidR="00580BED">
        <w:t>konstruktioiden</w:t>
      </w:r>
      <w:r>
        <w:t xml:space="preserve"> </w:t>
      </w:r>
      <w:r w:rsidR="00806647">
        <w:t>keskinäisiä suhteita</w:t>
      </w:r>
      <w:r>
        <w:t xml:space="preserve"> (Mintz 2006).</w:t>
      </w:r>
    </w:p>
    <w:p w:rsidR="0041330B" w:rsidRDefault="0041330B">
      <w:pPr>
        <w:pStyle w:val="Leipteksti"/>
      </w:pPr>
      <w:r>
        <w:t xml:space="preserve">Kielenomaksumisessa yleensä edelläkuvattu lausetyyppien ilmeneminen tarkoittaa kielestä itsestään nousevien luonnollisten konstruktioiden kehittymistä abstraktimmiksi rakennekokonaisuuksiksi. Nämä morfologisten ja syntaktisten piirteiden osajärjestelmät muodostavat lausetyyppien kaltaisia, eri osajärjestelmien yhteisesiintymien todennäköisyyksien määrittelemiä kokonaisuuksia. (Ks. esim. Tomasello 2003: 98–112.) Oppijankielen järjestelmä on tyypillisesti jatkuvassa muutoksessa. Oppija pyrkii yhtäältä muotojen ja merkityksen väliseen yhdenmukaisuuteen, mutta samanaikaisesti oppijan välikieleen omaksumat uudet </w:t>
      </w:r>
      <w:r>
        <w:lastRenderedPageBreak/>
        <w:t xml:space="preserve">muodot vaativat merkitys-funktioiden jakamista uusiin, usein entistä spesifimpiin kategorioihin. Tämä prosessi voi synnyttää välikieleen vapaan variaatioin tilanteita muotojen ja niiden merkitysten välille. (Ellis, R. 1985: 195–196.) Näin ollen äidinkielisen kielenkäyttäjän lausetyyppien käyttöä ohjaa omaksuttujen todennäköisyyksien muokkaama idiomaattisuus (engl. </w:t>
      </w:r>
      <w:r>
        <w:rPr>
          <w:i/>
        </w:rPr>
        <w:t>Idiom Principle</w:t>
      </w:r>
      <w:r>
        <w:t xml:space="preserve">), kun taas kielenoppijalla tilanne on lähempänä vapaata valintaa (engl. </w:t>
      </w:r>
      <w:r>
        <w:rPr>
          <w:i/>
        </w:rPr>
        <w:t>Open-Choice Principle</w:t>
      </w:r>
      <w:r>
        <w:t>) (Sinclair 1991: 109–110).</w:t>
      </w:r>
    </w:p>
    <w:p w:rsidR="0041330B" w:rsidRDefault="0041330B">
      <w:pPr>
        <w:spacing w:line="360" w:lineRule="auto"/>
        <w:ind w:firstLine="0"/>
        <w:jc w:val="both"/>
        <w:rPr>
          <w:lang w:val="fi-FI"/>
        </w:rPr>
      </w:pPr>
    </w:p>
    <w:p w:rsidR="0041330B" w:rsidRDefault="0041330B">
      <w:pPr>
        <w:pStyle w:val="ERY-Subheading1"/>
        <w:rPr>
          <w:snapToGrid w:val="0"/>
        </w:rPr>
      </w:pPr>
      <w:r>
        <w:rPr>
          <w:snapToGrid w:val="0"/>
        </w:rPr>
        <w:t>2.2 Lausetyypit S2-tutkimuksessa ja eksistentiaalilause</w:t>
      </w:r>
    </w:p>
    <w:p w:rsidR="0041330B" w:rsidRDefault="0041330B">
      <w:pPr>
        <w:pStyle w:val="Leipteksti"/>
        <w:rPr>
          <w:snapToGrid w:val="0"/>
        </w:rPr>
      </w:pPr>
      <w:r>
        <w:rPr>
          <w:snapToGrid w:val="0"/>
          <w:lang w:val="fi-FI"/>
        </w:rPr>
        <w:t>Suomen lausetyypeistä puhuttaessa keskustelu on karkeasti ottaen jakautunut kahteen toisistaan osin poikkeavaan näkemykseen, joita kutsun kaksiarvoiseksi ja moniarvoiseksi näkemykseksi. Kaksiarvoinen näkemys pitää suomen syntaksille perustavanlaatuisena piirteenä lauseiden jakautumista normaalilauseisiin ja eksistentiaalilauseisiin (ks. esim. Hakanen 1972), joskin näkemys kahden ääripään välisestä</w:t>
      </w:r>
      <w:r w:rsidR="00301602">
        <w:rPr>
          <w:snapToGrid w:val="0"/>
          <w:lang w:val="fi-FI"/>
        </w:rPr>
        <w:t xml:space="preserve"> jatkumosta (</w:t>
      </w:r>
      <w:r>
        <w:rPr>
          <w:snapToGrid w:val="0"/>
          <w:lang w:val="fi-FI"/>
        </w:rPr>
        <w:t xml:space="preserve">Huumo–Perko 1993) lienee nykyisin yleisempi. Moniarvoinen näkemys katsoo suomen lauseopin rakentuvan useista keskenään samanarvoisista lausetyypeistä (ks. esim. Hakulinen–Karlsson 1979; ISK: 848–849). </w:t>
      </w:r>
      <w:r w:rsidR="005F680D">
        <w:rPr>
          <w:snapToGrid w:val="0"/>
          <w:lang w:val="fi-FI"/>
        </w:rPr>
        <w:t>Rajanveto ei kuitenkaan usein ole todellisuudessa näin jyrkkää, sillä kaksiarvoisesta jaostaan huolimatta esimerkiksi Hakanen erottelee kummassakin kategoriassa alatyyppejä, jotka ovat hyvin samankaltaisia Hakulisen ja Karlssonin ehdottaman moniarvoisen jaon lausetyyppien kanssa.</w:t>
      </w:r>
      <w:r>
        <w:rPr>
          <w:snapToGrid w:val="0"/>
          <w:lang w:val="fi-FI"/>
        </w:rPr>
        <w:t xml:space="preserve"> S2-alalla lausetyyppikeskustelulla ja lausetyyppien käytöllä</w:t>
      </w:r>
      <w:r w:rsidR="000E64B1">
        <w:rPr>
          <w:snapToGrid w:val="0"/>
          <w:lang w:val="fi-FI"/>
        </w:rPr>
        <w:t xml:space="preserve"> on usein ollut</w:t>
      </w:r>
      <w:r>
        <w:rPr>
          <w:snapToGrid w:val="0"/>
          <w:lang w:val="fi-FI"/>
        </w:rPr>
        <w:t xml:space="preserve"> pedagoginen pohjavire (ks. esim. Siitonen 1993; Vähämäki 1993; White 1993: 276–294; Karlsson 2009: 98–102), joskin samat tutkijat ovat usein ottaneet osaa myös suomen lausetyypeistä käytävään yleiseen keskusteluun (ks. esim. Vähämäki 1987).</w:t>
      </w:r>
    </w:p>
    <w:p w:rsidR="0041330B" w:rsidRPr="00964C42" w:rsidRDefault="0041330B" w:rsidP="00964C42">
      <w:pPr>
        <w:pStyle w:val="Leipteksti"/>
        <w:rPr>
          <w:lang w:val="fi-FI"/>
        </w:rPr>
      </w:pPr>
      <w:r>
        <w:rPr>
          <w:lang w:val="fi-FI"/>
        </w:rPr>
        <w:t>Ottamatta kantaa koko lausetyyppien kirjoa kattavaan näkemykseen voidaan keskustelusta abstrahoida kolme eksistentiaalilauseelle tyypillistä muotopiirrettä: 1) lauseen subjektiksikin kutsutun e-NP:n mahdollinen partitiivisijaisuus (e-NP:n subjektiu</w:t>
      </w:r>
      <w:r w:rsidR="000110B1">
        <w:rPr>
          <w:lang w:val="fi-FI"/>
        </w:rPr>
        <w:t xml:space="preserve">desta ks. esim. Helasvuo 1996: </w:t>
      </w:r>
      <w:r>
        <w:rPr>
          <w:lang w:val="fi-FI"/>
        </w:rPr>
        <w:t xml:space="preserve">348–349; Helasvuo–Huumo 2010: 191–192), 2), e-NP:n ja predikaatin välinen inkongruenssi ja predikaatin intransitiivisuus ja 3) prototyyppisen </w:t>
      </w:r>
      <w:r w:rsidR="00964C42">
        <w:rPr>
          <w:lang w:val="fi-FI"/>
        </w:rPr>
        <w:t>eksistentiaali</w:t>
      </w:r>
      <w:r>
        <w:rPr>
          <w:lang w:val="fi-FI"/>
        </w:rPr>
        <w:t xml:space="preserve">lauseen V–e-NP-sanajärjestys. (Ks. esim. Hakanen 1972: 42–43; Vähämäki 1987: 186.) ISK pitää näiden tekijöiden lisäksi tyypillisenä sitä, että predikaattina on </w:t>
      </w:r>
      <w:r>
        <w:rPr>
          <w:i/>
          <w:lang w:val="fi-FI"/>
        </w:rPr>
        <w:t>olla</w:t>
      </w:r>
      <w:r>
        <w:rPr>
          <w:lang w:val="fi-FI"/>
        </w:rPr>
        <w:t>-verbi, että lauseessa on teemapaikkainen paikanilmaus ja että e-</w:t>
      </w:r>
      <w:r>
        <w:rPr>
          <w:lang w:val="fi-FI"/>
        </w:rPr>
        <w:lastRenderedPageBreak/>
        <w:t xml:space="preserve">NP on aiemmin mainitsematon (ISK: 850). Esimerkki 1 on Hakasen esittämä prototyyppinen eksistentiaalilause ja esimerkki 2 on tutkimusaineistosta poimittu eksistentiaalinen lause, joka vastaa prototyyppisen lausetyypin muotopiirteitä. Käytän rinnakkain termejä </w:t>
      </w:r>
      <w:r>
        <w:rPr>
          <w:i/>
          <w:lang w:val="fi-FI"/>
        </w:rPr>
        <w:t xml:space="preserve">eksistentiaalilause </w:t>
      </w:r>
      <w:r>
        <w:rPr>
          <w:lang w:val="fi-FI"/>
        </w:rPr>
        <w:t>ja</w:t>
      </w:r>
      <w:r>
        <w:rPr>
          <w:i/>
          <w:lang w:val="fi-FI"/>
        </w:rPr>
        <w:t xml:space="preserve"> eksistentiaalinen lause</w:t>
      </w:r>
      <w:r>
        <w:rPr>
          <w:lang w:val="fi-FI"/>
        </w:rPr>
        <w:t>. Näistä ensimmäinen tarkoittaa prototyyppistä ja abstraktia olemassaolemista kuvaavaa lausetyyppiä (</w:t>
      </w:r>
      <w:r w:rsidR="00964C42">
        <w:rPr>
          <w:lang w:val="fi-FI"/>
        </w:rPr>
        <w:t xml:space="preserve">tässä merkityksessä käsitteen </w:t>
      </w:r>
      <w:r w:rsidR="00964C42">
        <w:rPr>
          <w:i/>
          <w:lang w:val="fi-FI"/>
        </w:rPr>
        <w:t>Existential Sentence</w:t>
      </w:r>
      <w:r w:rsidR="00964C42">
        <w:rPr>
          <w:lang w:val="fi-FI"/>
        </w:rPr>
        <w:t xml:space="preserve"> lanseerasi Jespersen 1924: 154–156; suomen kielioppiin termin </w:t>
      </w:r>
      <w:r w:rsidR="00964C42">
        <w:rPr>
          <w:i/>
          <w:lang w:val="fi-FI"/>
        </w:rPr>
        <w:t>eksistentiaalilause</w:t>
      </w:r>
      <w:r w:rsidR="00964C42">
        <w:rPr>
          <w:lang w:val="fi-FI"/>
        </w:rPr>
        <w:t xml:space="preserve"> toi Ikola 1954: 224–226) </w:t>
      </w:r>
      <w:r>
        <w:rPr>
          <w:lang w:val="fi-FI"/>
        </w:rPr>
        <w:t>ja jälkimmäinen todellisen kielenkäyttäjän tuottamaa rakennetta. (Ks. tarkemmin Ivaska 2010a: 68.) Koodi tutkimusaineiston esimerkkilauseiden lopussa kertoo kunkin lauseen sijainnin LAS2-korpuksessa.</w:t>
      </w:r>
    </w:p>
    <w:p w:rsidR="0041330B" w:rsidRDefault="0041330B">
      <w:pPr>
        <w:pStyle w:val="ERY-Example"/>
      </w:pPr>
      <w:r>
        <w:t xml:space="preserve">(1) </w:t>
      </w:r>
      <w:r>
        <w:rPr>
          <w:i/>
        </w:rPr>
        <w:t>Huoneessa on pöytä</w:t>
      </w:r>
      <w:r>
        <w:t>.</w:t>
      </w:r>
    </w:p>
    <w:p w:rsidR="0041330B" w:rsidRDefault="0041330B">
      <w:pPr>
        <w:pStyle w:val="ERY-Example"/>
      </w:pPr>
      <w:r>
        <w:t xml:space="preserve">(2) Kun kyseessä on toimintatilanne, </w:t>
      </w:r>
      <w:r>
        <w:rPr>
          <w:i/>
        </w:rPr>
        <w:t xml:space="preserve">lauseessa on </w:t>
      </w:r>
      <w:r>
        <w:rPr>
          <w:b/>
          <w:i/>
        </w:rPr>
        <w:t>agentt</w:t>
      </w:r>
      <w:r>
        <w:rPr>
          <w:i/>
        </w:rPr>
        <w:t xml:space="preserve">i </w:t>
      </w:r>
      <w:r>
        <w:t>ja lause on silloin transitiivinen. (las2-7tt01te06)</w:t>
      </w:r>
    </w:p>
    <w:p w:rsidR="0041330B" w:rsidRDefault="0041330B">
      <w:pPr>
        <w:pStyle w:val="Leipteksti"/>
      </w:pPr>
    </w:p>
    <w:p w:rsidR="0041330B" w:rsidRDefault="0041330B">
      <w:pPr>
        <w:pStyle w:val="Leipteksti"/>
      </w:pPr>
      <w:r>
        <w:rPr>
          <w:lang w:val="fi-FI"/>
        </w:rPr>
        <w:t xml:space="preserve">Ivaska on tarkastellut aiemmin oppijansuomen eksistentiaalisia lauseita niiden e-NP:n sijamerkinnän (2010a) sekä e-NP:n ja verbin välisen sanajärjestyksen (2010b) kannalta, ja Siitonen (2010) on esitellyt fennougristikongressissa 2010 edistyneiden suomenoppijoiden </w:t>
      </w:r>
      <w:r>
        <w:rPr>
          <w:i/>
          <w:lang w:val="fi-FI"/>
        </w:rPr>
        <w:t>olla-</w:t>
      </w:r>
      <w:r>
        <w:rPr>
          <w:lang w:val="fi-FI"/>
        </w:rPr>
        <w:t>verbillisiä lauserakenteita.</w:t>
      </w:r>
    </w:p>
    <w:p w:rsidR="0041330B" w:rsidRDefault="0041330B">
      <w:pPr>
        <w:pStyle w:val="Leipteksti"/>
        <w:rPr>
          <w:snapToGrid w:val="0"/>
          <w:lang w:val="fi-FI"/>
        </w:rPr>
      </w:pPr>
      <w:r>
        <w:rPr>
          <w:snapToGrid w:val="0"/>
          <w:lang w:val="fi-FI"/>
        </w:rPr>
        <w:t xml:space="preserve">Tarkastelen tässä artikkelissa eksistentiaalilauseen inkongruenssin ilmenemismuotoja oppijansuomessa ja lausetyyppien sekoittumista omana, eri osatekijöistä koostuvana ilmiönään. </w:t>
      </w:r>
    </w:p>
    <w:p w:rsidR="0041330B" w:rsidRDefault="0041330B">
      <w:pPr>
        <w:pStyle w:val="Leipteksti"/>
        <w:rPr>
          <w:snapToGrid w:val="0"/>
        </w:rPr>
      </w:pPr>
    </w:p>
    <w:p w:rsidR="0041330B" w:rsidRDefault="0041330B">
      <w:pPr>
        <w:pStyle w:val="ERY-Subheading1"/>
        <w:rPr>
          <w:snapToGrid w:val="0"/>
        </w:rPr>
      </w:pPr>
      <w:r>
        <w:rPr>
          <w:snapToGrid w:val="0"/>
        </w:rPr>
        <w:t>2.3. Lausetyyppien sekoittuminen ja sen alalajit</w:t>
      </w:r>
    </w:p>
    <w:p w:rsidR="0041330B" w:rsidRDefault="0041330B">
      <w:pPr>
        <w:pStyle w:val="Leipteksti"/>
        <w:rPr>
          <w:snapToGrid w:val="0"/>
          <w:lang w:val="fi-FI"/>
        </w:rPr>
      </w:pPr>
      <w:r>
        <w:rPr>
          <w:snapToGrid w:val="0"/>
          <w:lang w:val="fi-FI"/>
        </w:rPr>
        <w:t xml:space="preserve">Kuten esimerkiksi Häkkinen kirjoittaa, suomen tekstilauseet saattavat edustaa samanaikaisesti useita eri lausetyyppejä (Häkkinen 2005: 61). Samaa näkemystä korostaa myös Inaba todetessaan, että lausetyyppejä toisistaan erottelevat kriteerit ovat ainoastaan samanaikaisesti toimivia konstruktion ja sen eri osien suhteita määrittäviä osajärjestelmiä (Inaba 1996: 34). Näiden osajärjestelmien vaikutukset lausetyypin analysoimiseen ovat lisäksi usein monitulkintaisia. Esimerkiksi Vilkuna toteaa, että lauseiden epäprototyyppinen sanajärjestys voi olla joko esiintymisympäristöstä johtuvaa inversiota tai puhdasta </w:t>
      </w:r>
      <w:r w:rsidR="000110B1">
        <w:rPr>
          <w:snapToGrid w:val="0"/>
          <w:lang w:val="fi-FI"/>
        </w:rPr>
        <w:t xml:space="preserve">suomen </w:t>
      </w:r>
      <w:r>
        <w:rPr>
          <w:snapToGrid w:val="0"/>
          <w:lang w:val="fi-FI"/>
        </w:rPr>
        <w:t>sanajärjestyksen jousta</w:t>
      </w:r>
      <w:r w:rsidR="000A0963">
        <w:rPr>
          <w:snapToGrid w:val="0"/>
          <w:lang w:val="fi-FI"/>
        </w:rPr>
        <w:t>vuutta vailla suoraa motivoijaa. (Vilkuna 1989: 188–189.)</w:t>
      </w:r>
    </w:p>
    <w:p w:rsidR="0041330B" w:rsidRDefault="00C67374">
      <w:pPr>
        <w:pStyle w:val="Leipteksti"/>
        <w:rPr>
          <w:snapToGrid w:val="0"/>
          <w:lang w:val="fi-FI"/>
        </w:rPr>
      </w:pPr>
      <w:r>
        <w:rPr>
          <w:snapToGrid w:val="0"/>
          <w:lang w:val="fi-FI"/>
        </w:rPr>
        <w:lastRenderedPageBreak/>
        <w:t>T</w:t>
      </w:r>
      <w:r w:rsidR="0041330B">
        <w:rPr>
          <w:snapToGrid w:val="0"/>
          <w:lang w:val="fi-FI"/>
        </w:rPr>
        <w:t>arkoitan lausetyyppien sekoittumisella sitä, että aineistossa olevassa tekstilauseessa yhdistyy piirteitä useista eri lausetyypeistä. Suomen eksistentiaalilausetta ja oppijansuomen eksistentiaalisia lauseita tarkastellessa Inaban mainitsemia osajärjestelmiä ovat e-NP:n sijamerkintä (ks. Ivaska 2010a), verbin ja e-NP:n välinen sanajärjestys (Ivaska 2010b) ja e-NP:n ja verbin välisen kongruenssin puuttuminen. Nämä osajärjestelmät eivät missään tapauksessa välttämättä aina noudata todellisissa tekstilauseissa eksistentiaalilauseelle prototyyppisiä variantteja idiomaattisessakaan suomessa. Eri osajärjestelmien osittainen autonomis</w:t>
      </w:r>
      <w:r w:rsidR="00981DAB">
        <w:rPr>
          <w:snapToGrid w:val="0"/>
          <w:lang w:val="fi-FI"/>
        </w:rPr>
        <w:t>uus ja monitulkintaisuus edistävät</w:t>
      </w:r>
      <w:r w:rsidR="0041330B">
        <w:rPr>
          <w:snapToGrid w:val="0"/>
          <w:lang w:val="fi-FI"/>
        </w:rPr>
        <w:t xml:space="preserve"> osaltaan usean eri lausetyypin piirteiden sekoittumista oppijansuomen tekstilauseissa. Tämä puolestaan voi synnyttää epäidiomaattisia lauserakenteita vielä edistyneilläkin suomenoppijoilla, mistä syystä lausetyyppien sekoittumista on perusteltua tarkastella kunkin yksittäisen osatekijän lisäksi myös omana kategorianaan.</w:t>
      </w:r>
    </w:p>
    <w:p w:rsidR="0041330B" w:rsidRDefault="0041330B">
      <w:pPr>
        <w:pStyle w:val="Leipteksti"/>
        <w:rPr>
          <w:snapToGrid w:val="0"/>
        </w:rPr>
      </w:pPr>
    </w:p>
    <w:p w:rsidR="0041330B" w:rsidRDefault="0041330B">
      <w:pPr>
        <w:pStyle w:val="ERY-Subheading1"/>
        <w:rPr>
          <w:snapToGrid w:val="0"/>
        </w:rPr>
      </w:pPr>
      <w:r>
        <w:rPr>
          <w:snapToGrid w:val="0"/>
        </w:rPr>
        <w:t>3. LAS2-korpus ja käytettävä aineisto</w:t>
      </w:r>
    </w:p>
    <w:p w:rsidR="0041330B" w:rsidRDefault="0041330B">
      <w:pPr>
        <w:pStyle w:val="Leipteksti"/>
        <w:rPr>
          <w:snapToGrid w:val="0"/>
        </w:rPr>
      </w:pPr>
      <w:r>
        <w:rPr>
          <w:snapToGrid w:val="0"/>
        </w:rPr>
        <w:t xml:space="preserve">Tämä tutkimus on osa LAS2-tutkimushanketta, ja käytetty aineisto on kokonaisuudessaan osa LAS2-korpuksen tenttivastausaineistoa (korpuksesta tarkemmin ks. esim. Ivaska–Siitonen 2009; Jantunen–Piltonen 2009). </w:t>
      </w:r>
      <w:r>
        <w:rPr>
          <w:snapToGrid w:val="0"/>
          <w:lang w:val="fi-FI"/>
        </w:rPr>
        <w:t>Tenttivastauksia voidaan pitää autenttisena ja toisen kielen tutkimukseen soveltuvana aineistona siinä mielessä, ett</w:t>
      </w:r>
      <w:r w:rsidR="004A6498">
        <w:rPr>
          <w:snapToGrid w:val="0"/>
          <w:lang w:val="fi-FI"/>
        </w:rPr>
        <w:t>ä vastauksia ei ole kirjoitettu</w:t>
      </w:r>
      <w:r>
        <w:rPr>
          <w:snapToGrid w:val="0"/>
          <w:lang w:val="fi-FI"/>
        </w:rPr>
        <w:t xml:space="preserve"> kielentutkimuksen aineistoksi (ks. esim. Granger 2010: 8). Aineistoa on yhdeksältä informantilta (LAS2-1...LAS2-9), ja sitä on yhteensä 2575 virkeriviä (virke tai virkkeen kaltainen tekstuaalinen kokonaisuus), jotka jakautuvat yhteensä 4028 lauseeseen. Osalta informanteista aineistoa on yli vuoden ajalta, mutta tässä artikkelissa keskitytään lausetyyppien sekoittumisen eri tapoihin ja ilmiön yleiseen luonteeseen, ei niinkään pitkittäismuutoksen tarkasteluun. Valmistuessaan LAS-korpus on kattavasti annotoitu niin morfologian kuin syntaksinkin osalta. Tätä artikkelia kirjoitettaessa annotoitu aineisto ei kuitenkaan ole vielä käytettävissä. Analyysissa käytettäviä metodeja voidaan käyttää luontevasti myös korpuksen tulevien hakutyökalujen kanssa, mutta tämän artikkelin analyysi on tehty digitalisoidusta raakatekstistä.</w:t>
      </w:r>
    </w:p>
    <w:p w:rsidR="0041330B" w:rsidRDefault="0041330B">
      <w:pPr>
        <w:pStyle w:val="Leipteksti"/>
        <w:rPr>
          <w:lang w:val="fi-FI"/>
        </w:rPr>
      </w:pPr>
      <w:r>
        <w:rPr>
          <w:lang w:val="fi-FI"/>
        </w:rPr>
        <w:t>T</w:t>
      </w:r>
      <w:r w:rsidR="004A6498">
        <w:rPr>
          <w:lang w:val="fi-FI"/>
        </w:rPr>
        <w:t>utkimuksen yhdeksän informantin ryhmä on</w:t>
      </w:r>
      <w:r>
        <w:rPr>
          <w:lang w:val="fi-FI"/>
        </w:rPr>
        <w:t xml:space="preserve"> hyvin heterogeeninen; ensikielet ovat englanti (LAS2-8), komi (LAS2-6), liettua (LAS2-5, LAS2-9), ruotsi (LAS2-3), </w:t>
      </w:r>
      <w:r>
        <w:rPr>
          <w:lang w:val="fi-FI"/>
        </w:rPr>
        <w:lastRenderedPageBreak/>
        <w:t>tšekki (LAS2-2), venäjä (LAS2-1, LAS2-7) ja viro (LAS2-4).</w:t>
      </w:r>
      <w:r w:rsidR="004A6498">
        <w:rPr>
          <w:lang w:val="fi-FI"/>
        </w:rPr>
        <w:t xml:space="preserve"> Sulkeissa oleva tunnus on informantin tunnistekoodi korpuksessa.</w:t>
      </w:r>
      <w:r>
        <w:rPr>
          <w:lang w:val="fi-FI"/>
        </w:rPr>
        <w:t xml:space="preserve"> Kaikki informantit ovat aineiston keruuhetkellä opiskelleet Turun yliopistossa suomea jossain ei-ensikielisille suomenpuhujille tarkoitetussa koulutusohjelmassa (aineiston luonteesta tarkemmin ks. Ivaska–Siitonen 2009: 56–57). Heterogeeninen informanttiryhmä mahdollistaa tutkimuksen fokuksen keskittämisen </w:t>
      </w:r>
      <w:r w:rsidR="00355161">
        <w:rPr>
          <w:lang w:val="fi-FI"/>
        </w:rPr>
        <w:t xml:space="preserve">lähtökielten siirtovaikutusten sijaan </w:t>
      </w:r>
      <w:r>
        <w:rPr>
          <w:lang w:val="fi-FI"/>
        </w:rPr>
        <w:t>nimenomaan oppijansuomeen ja sen erityispiirteisiin.</w:t>
      </w:r>
    </w:p>
    <w:p w:rsidR="0041330B" w:rsidRDefault="0041330B">
      <w:pPr>
        <w:spacing w:line="360" w:lineRule="auto"/>
        <w:ind w:firstLine="0"/>
        <w:jc w:val="both"/>
        <w:rPr>
          <w:lang w:val="fi-FI"/>
        </w:rPr>
      </w:pPr>
    </w:p>
    <w:p w:rsidR="0041330B" w:rsidRDefault="0041330B">
      <w:pPr>
        <w:pStyle w:val="ERY-Subheading1"/>
      </w:pPr>
      <w:r>
        <w:t>4. Lausetyyppien sekoittuminen tutkimusaineistossa</w:t>
      </w:r>
    </w:p>
    <w:p w:rsidR="0041330B" w:rsidRDefault="0041330B">
      <w:pPr>
        <w:pStyle w:val="Leipteksti"/>
      </w:pPr>
      <w:r>
        <w:t>Lausetyyppien sekoittumisen lähtökohtainen kategoriattomuus – tai paremminkin tällaisten tekstilauseiden eri osien kuuluminen keskenään eri kategorioihin – tekee ilmiön yleisestä rakenteeseen perustuvasta tarkastelusta ongelmallista ja osin myös paradoksaalista (vrt. Inaba 1996: 34). Etenkin ilmiön kvantitatiivinen tarkastelu on hankalaa, ja se on luontevaa lähinnä yksittäisten osajärjestelmien osalta. Niinpä tarkastelu kohdistuukin tässä nimenomaan niihin esiintymistapoihin, joiden kautta lausetyyppien sekoittuminen eksistentiaalisissa lauseissa ilmenee. Ei myöskään ole mitään syytä ajatella, että nämä esiintymistavat eivät pätisi muissa lausetyypeissä tai rakenteiden välisissä rajankäynneissä.</w:t>
      </w:r>
    </w:p>
    <w:p w:rsidR="0041330B" w:rsidRDefault="0041330B">
      <w:pPr>
        <w:pStyle w:val="Leipteksti"/>
      </w:pPr>
      <w:r>
        <w:t>Esittelen tässä luvussa lausetyyppien keskinäisen sekoittumisen kolme eri muotoa. Lausetyyppien sekoittumisen tyypilliset ilmenemismuodot ovat: 1) kontekstin kannalta epäidiomaattinen lauseenjäsenen muoto, 2) kontekstin kannalta epäidiomaattinen lauseenjäsenten välinen järjestys ja 3) kontekstin kannalta välttämättömän lauseenjäsenen puuttuminen. Tarkoitan näiden ilmiöiden kontekstisidonnaisuudella sitä, että kulloinkin kyseessä olevan ilmiön epäidiomaattisuuteen jossakin toisessa kontekstissa ei oteta kantaa. Nostan analyysin tueksi esimerkkejä tarpeen mukaan. Kuljetan lisäksi läpi tarkastelun esimerkkilausetta 3, jossa ilmenevät kaikki edellämainitut kolme ilmiötä. Kunkin esimerkin alla on lisäksi esitetty oletettu tavoiterakenne</w:t>
      </w:r>
      <w:r w:rsidR="006530BC">
        <w:t xml:space="preserve"> silloin, kun sellaisen esittäminen on mahdollista</w:t>
      </w:r>
      <w:r>
        <w:t xml:space="preserve"> (tässä 3').</w:t>
      </w:r>
    </w:p>
    <w:p w:rsidR="0041330B" w:rsidRDefault="0041330B">
      <w:pPr>
        <w:pStyle w:val="ERY-Example"/>
      </w:pPr>
      <w:r>
        <w:t xml:space="preserve">(3) </w:t>
      </w:r>
      <w:r>
        <w:rPr>
          <w:i/>
        </w:rPr>
        <w:t xml:space="preserve">Jos sanat ovat vastineina muissa saman kielikunnassa </w:t>
      </w:r>
      <w:r>
        <w:t>ja voidaan rekonstruoida kantakieleksi sitä pidetään omaperäisenä. (las2-8tt01te07)</w:t>
      </w:r>
    </w:p>
    <w:p w:rsidR="0041330B" w:rsidRDefault="0041330B">
      <w:pPr>
        <w:pStyle w:val="ERY-Example"/>
      </w:pPr>
      <w:r>
        <w:t xml:space="preserve">(3') </w:t>
      </w:r>
      <w:r>
        <w:rPr>
          <w:i/>
        </w:rPr>
        <w:t xml:space="preserve">Jos sanoilla on vastineita muissa saman kielikunnan [kielissä] </w:t>
      </w:r>
      <w:r>
        <w:t xml:space="preserve">[…] </w:t>
      </w:r>
    </w:p>
    <w:p w:rsidR="0041330B" w:rsidRDefault="0041330B">
      <w:pPr>
        <w:spacing w:line="360" w:lineRule="auto"/>
        <w:ind w:firstLine="0"/>
        <w:jc w:val="both"/>
        <w:rPr>
          <w:lang w:val="fi-FI"/>
        </w:rPr>
      </w:pPr>
    </w:p>
    <w:p w:rsidR="0041330B" w:rsidRDefault="0041330B">
      <w:pPr>
        <w:pStyle w:val="Leipteksti"/>
      </w:pPr>
      <w:r>
        <w:lastRenderedPageBreak/>
        <w:t>Tulokset yhdistävät aiempia huomioita edistyneen oppijansuomen e-NP:n muodosta ja verbin ja e-NP:n välisestä sanajärjestyksestä nyt esiteltäviin tuloksiin e-NP:n ja verbin välisestä kongruenssista. Aineiston 2575 virkeriviä sisältävät yhteensä 443 sellaista eksistentiaalista lausetta, jotka mahdollistavat lausetyyppien mahdollisen sekoittumisen tarkastelun.</w:t>
      </w:r>
    </w:p>
    <w:p w:rsidR="0041330B" w:rsidRDefault="0041330B">
      <w:pPr>
        <w:pStyle w:val="Leipteksti"/>
      </w:pPr>
    </w:p>
    <w:p w:rsidR="0041330B" w:rsidRDefault="0041330B">
      <w:pPr>
        <w:pStyle w:val="ERY-Subheading1"/>
      </w:pPr>
      <w:r>
        <w:t>4.1. Lauseenjäsenen muoto</w:t>
      </w:r>
    </w:p>
    <w:p w:rsidR="0041330B" w:rsidRDefault="0041330B">
      <w:pPr>
        <w:pStyle w:val="Leipteksti"/>
      </w:pPr>
      <w:r>
        <w:t>Ensimmäinen lausetyyppien välisen sekoittumisen alaryhmä on lauseet, joiden jokin jäsen on kontekstin kannalta epäidiomaattisessa muodossa. Edistyneiden suomenoppijoiden eksistentiaalisissa lauseissa tyypillisiä tapauksia ovat e-NP:n epäidiomaattinen sijamerkintä (n. 11 %:ssa eksistentiaalisista lauseista, Ivaska 2010a: 76) ja odotuksenvastainen kongruenssi e-NP:n ja verbin välillä. Aineiston 443 eksistentiaalisesta lauseesta 19:ssä on odotuksenvastaisesti kongruoiva predikaatti, eli kongruenssi ilmenee 4,5 prosentissa aineiston eksistentiaali</w:t>
      </w:r>
      <w:r w:rsidR="0072302C">
        <w:t>si</w:t>
      </w:r>
      <w:r>
        <w:t>sta lauseista.</w:t>
      </w:r>
    </w:p>
    <w:p w:rsidR="0041330B" w:rsidRDefault="0041330B">
      <w:pPr>
        <w:pStyle w:val="Leipteksti"/>
      </w:pPr>
      <w:r>
        <w:t xml:space="preserve">On kuitenkin syytä muistaa, että mahdollinen kongruenssi voi näkyä vain niissä lauseissa, joissa on monikollinen e-NP. Tällaisia lauseita on 45 prosenttia aineiston eksistentiaalisista lauseista, joten odotuksenvastainen kongruenssi voi implisiittisesti olla </w:t>
      </w:r>
      <w:r w:rsidR="00255D17">
        <w:t>likimain</w:t>
      </w:r>
      <w:r>
        <w:t xml:space="preserve"> kaksi kertaa yhtä yleistä kuin edellämainitut luvut antavat ymmärtää. Esimerkit 4 ja 5 kuvaavat e-NP:n ja verbin odotuksenvastaista kongruenssia.</w:t>
      </w:r>
    </w:p>
    <w:p w:rsidR="0041330B" w:rsidRDefault="0041330B">
      <w:pPr>
        <w:pStyle w:val="ERY-Example"/>
      </w:pPr>
      <w:r>
        <w:t>(4)</w:t>
      </w:r>
      <w:r>
        <w:rPr>
          <w:i/>
        </w:rPr>
        <w:t xml:space="preserve"> lauseopissa </w:t>
      </w:r>
      <w:r>
        <w:rPr>
          <w:i/>
          <w:u w:val="single"/>
        </w:rPr>
        <w:t xml:space="preserve">ovat saattaneet </w:t>
      </w:r>
      <w:r>
        <w:rPr>
          <w:i/>
        </w:rPr>
        <w:t xml:space="preserve">tapahtua muiden kielten vaikutuksesta </w:t>
      </w:r>
      <w:r>
        <w:rPr>
          <w:b/>
          <w:i/>
        </w:rPr>
        <w:t>monet muutokset</w:t>
      </w:r>
      <w:r>
        <w:t>, suomenärjestys SVO on eri kuin kantakielelle oletettu SOV, mutta esiintyy myös vain suomalais ugrilaisille kielille tyypilliset ilmiöt: rektiot: {esimerkki} löytää jostakin, mennä kalaan/marjaan yksikössä. (las2-2tt01te04)</w:t>
      </w:r>
    </w:p>
    <w:p w:rsidR="0041330B" w:rsidRDefault="0041330B">
      <w:pPr>
        <w:pStyle w:val="ERY-Example"/>
      </w:pPr>
      <w:r>
        <w:t xml:space="preserve">(4') </w:t>
      </w:r>
      <w:r>
        <w:rPr>
          <w:i/>
        </w:rPr>
        <w:t xml:space="preserve">lauseopissa </w:t>
      </w:r>
      <w:r>
        <w:rPr>
          <w:i/>
          <w:u w:val="single"/>
        </w:rPr>
        <w:t>on saattanut</w:t>
      </w:r>
      <w:r>
        <w:rPr>
          <w:i/>
        </w:rPr>
        <w:t xml:space="preserve"> tapahtua muiden kielten vaikutuksesta </w:t>
      </w:r>
      <w:r>
        <w:rPr>
          <w:b/>
          <w:i/>
        </w:rPr>
        <w:t>monia muutoksia</w:t>
      </w:r>
      <w:r>
        <w:t>[...]</w:t>
      </w:r>
    </w:p>
    <w:p w:rsidR="0041330B" w:rsidRDefault="0041330B">
      <w:pPr>
        <w:pStyle w:val="ERY-Example"/>
      </w:pPr>
      <w:r>
        <w:t xml:space="preserve"> (5) </w:t>
      </w:r>
      <w:r>
        <w:rPr>
          <w:i/>
        </w:rPr>
        <w:t xml:space="preserve">Varhaiskantasuomessa sanojen takavokaaleina </w:t>
      </w:r>
      <w:r>
        <w:rPr>
          <w:i/>
          <w:u w:val="single"/>
        </w:rPr>
        <w:t xml:space="preserve">alkoivat olla </w:t>
      </w:r>
      <w:r>
        <w:rPr>
          <w:i/>
        </w:rPr>
        <w:t xml:space="preserve">myös </w:t>
      </w:r>
      <w:r>
        <w:rPr>
          <w:b/>
          <w:i/>
        </w:rPr>
        <w:t>muut vokaalit</w:t>
      </w:r>
      <w:r>
        <w:t>. (las2-5tt01te07)</w:t>
      </w:r>
    </w:p>
    <w:p w:rsidR="0041330B" w:rsidRDefault="0041330B">
      <w:pPr>
        <w:pStyle w:val="ERY-Example"/>
      </w:pPr>
      <w:r>
        <w:t xml:space="preserve">(5') </w:t>
      </w:r>
      <w:r>
        <w:rPr>
          <w:i/>
        </w:rPr>
        <w:t xml:space="preserve">Varhaiskantasuomessa sanojen takavokaaleina </w:t>
      </w:r>
      <w:r>
        <w:rPr>
          <w:i/>
          <w:u w:val="single"/>
        </w:rPr>
        <w:t>alkoi olla</w:t>
      </w:r>
      <w:r>
        <w:rPr>
          <w:i/>
        </w:rPr>
        <w:t xml:space="preserve"> myös </w:t>
      </w:r>
      <w:r>
        <w:rPr>
          <w:b/>
          <w:i/>
        </w:rPr>
        <w:t>muita vokaaleja</w:t>
      </w:r>
      <w:r>
        <w:rPr>
          <w:i/>
        </w:rPr>
        <w:t>.</w:t>
      </w:r>
    </w:p>
    <w:p w:rsidR="0041330B" w:rsidRDefault="0041330B">
      <w:pPr>
        <w:pStyle w:val="Leipteksti"/>
      </w:pPr>
    </w:p>
    <w:p w:rsidR="0041330B" w:rsidRDefault="0041330B">
      <w:pPr>
        <w:pStyle w:val="Leipteksti"/>
      </w:pPr>
      <w:r>
        <w:t>Esimerkkien 4 ja 5 l</w:t>
      </w:r>
      <w:r w:rsidR="00B3339C">
        <w:t>auseet ovat kongruenssia lukuun</w:t>
      </w:r>
      <w:r>
        <w:t xml:space="preserve">ottamatta selvästi eksistentiaalisia lauseita niin merkitykseltään kuin rakenteeltaankin. Niissä on kuitenkin nominatiivisijainen e-NP, mikä on mahdollinen kaikkien lausetyyppien subjekteille. Molemmissa tapauksissa nominatiivisijaisuus on lisäksi epäidiomaattinen valinta e-NP:lle. Voidaankin ajatella, että informantit LAS2-2 ja LAS2-5 ovat </w:t>
      </w:r>
      <w:r>
        <w:lastRenderedPageBreak/>
        <w:t>hahmottaneet kyseiset lauseet ensikieleltään suomenkielisten intuitiosta poikkeavasti. Esimerkin 4 voi nähdä muistuttavan sanajärjestykseltään epäprototyyppistä mutta kaikin puolin hyväksyttävää ei-eksistentiaalista lausetta. E-NP:n selvä indefiniittisyys  yhdessä lauseen semantiikan staattisuuden kanssa kuitenkin edellyttävät eksistentiaalista rakennetta. Lauseet ovat myös keskenään hyvin samankaltaisia, minkä voidaan osaltaan ajatella tukevan ajatusta siitä, että lauseet vastaavat informanttien välikielissä keskenään samaa lausetyyppiä. Ne kuvastavat niin ikään laajempaa lausetyyppien sekoittumisen tendenssiä – sitä, että useat epäidiomaatiset seikat lankeavat yhteen ja lisäävät toistensa todennäköisyyttä.</w:t>
      </w:r>
    </w:p>
    <w:p w:rsidR="0041330B" w:rsidRDefault="0041330B">
      <w:pPr>
        <w:pStyle w:val="Leipteksti"/>
      </w:pPr>
      <w:r>
        <w:t>Muodoltaan epäidiomaattisten lauseenjäsenten ryhmään kuuluvat myös tapaukset, joissa lauseen semanttinen e-NP ei saa sille kuuluvaa sijamerkintää (nominatiivi tai partitiivi), vaan esimerkiksi essiivin. Aiemmin esitelty esimerkki 3 kuvastaa tätä ilmiötä:</w:t>
      </w:r>
    </w:p>
    <w:p w:rsidR="0041330B" w:rsidRDefault="0041330B">
      <w:pPr>
        <w:pStyle w:val="ERY-Example"/>
      </w:pPr>
      <w:r>
        <w:t xml:space="preserve">(3) </w:t>
      </w:r>
      <w:r>
        <w:rPr>
          <w:i/>
        </w:rPr>
        <w:t xml:space="preserve">Jos sanat ovat vastineina muissa saman kielikunnassa </w:t>
      </w:r>
      <w:r>
        <w:t>ja voidaan rekonstruoida kantakieleksi sitä pidetään omaperäisenä. (las2-8tt01te07)</w:t>
      </w:r>
    </w:p>
    <w:p w:rsidR="0041330B" w:rsidRDefault="0041330B">
      <w:pPr>
        <w:pStyle w:val="ERY-Example"/>
      </w:pPr>
      <w:r>
        <w:t xml:space="preserve">(3') </w:t>
      </w:r>
      <w:r>
        <w:rPr>
          <w:i/>
        </w:rPr>
        <w:t>Jos sanoilla on vastineita muissa saman kielikunnan [kielissä]</w:t>
      </w:r>
      <w:r>
        <w:t xml:space="preserve"> [...]</w:t>
      </w:r>
    </w:p>
    <w:p w:rsidR="0041330B" w:rsidRDefault="0041330B">
      <w:pPr>
        <w:pStyle w:val="Leipteksti"/>
      </w:pPr>
    </w:p>
    <w:p w:rsidR="0041330B" w:rsidRDefault="0041330B">
      <w:pPr>
        <w:pStyle w:val="Leipteksti"/>
      </w:pPr>
      <w:r>
        <w:t xml:space="preserve">Esimerkin eksistentiaalisen lauseen essiivisijainen </w:t>
      </w:r>
      <w:r>
        <w:rPr>
          <w:i/>
        </w:rPr>
        <w:t>vastineina</w:t>
      </w:r>
      <w:r>
        <w:t xml:space="preserve"> tuntuu odotuksenmukaiselta e-NP:ltä. Lause on kuitenkin rakenteeltaan monilta osin ei-eksistentiaalinen, minkä mukaisesti syntaktiseksi subjektiksi on jäsentynyt </w:t>
      </w:r>
      <w:r>
        <w:rPr>
          <w:i/>
        </w:rPr>
        <w:t>sanat</w:t>
      </w:r>
      <w:r>
        <w:t xml:space="preserve"> (oletetussa rakenteessa adessiivisijainen adverbiaali </w:t>
      </w:r>
      <w:r>
        <w:rPr>
          <w:i/>
        </w:rPr>
        <w:t>sanoilla</w:t>
      </w:r>
      <w:r>
        <w:t xml:space="preserve"> tai vaihtoehtoisesti allatiivisijainen </w:t>
      </w:r>
      <w:r>
        <w:rPr>
          <w:i/>
        </w:rPr>
        <w:t>sanoille</w:t>
      </w:r>
      <w:r>
        <w:t>). Vaikuttaa siltä, että subjekti tai e-NP on käsitetty lauseelle välttämättömäksi jäseneksi, mutta lause sisältää silti elementtejä useasta eri lausetyypistä.</w:t>
      </w:r>
    </w:p>
    <w:p w:rsidR="0041330B" w:rsidRDefault="0041330B">
      <w:pPr>
        <w:pStyle w:val="Leipteksti"/>
      </w:pPr>
      <w:r>
        <w:t xml:space="preserve"> Aineistossa on lisäksi 7 sellaista lausetta, joissa on jokin eksistentiaaliselle lauseelle ominainen muotopiirre tai muotopiirteitä mutta joita joko ei voida pitää yksiselitteisesti eksistentiaalisina lauseina tai lauseen tyyppiin on mahdotonta ottaa minkäänlaista lopullista kantaa. Kuudessa tapauksessa lauseessa on subjektiksi/e-NP:ksi jäsentyvä partitiivisijainen NP ja yhdessä tapauksessa subjektin/e-NP:n ja predikaatin väliltä puuttuu lisäksi kongruenssi.  Esimerkit 6 ja 7 kuvaavat tapauksia, joissa on subjektiksi/e-NP:ksi jäsentyvä partitiivisijainen jäsen, esimerkeissä 7 ja 8 subjektin/e-NP:n ja predikaatin väliltä puuttuu kongruenssi.</w:t>
      </w:r>
    </w:p>
    <w:p w:rsidR="0041330B" w:rsidRDefault="0041330B">
      <w:pPr>
        <w:pStyle w:val="ERY-Example"/>
      </w:pPr>
      <w:r>
        <w:lastRenderedPageBreak/>
        <w:t>(6)</w:t>
      </w:r>
      <w:r>
        <w:rPr>
          <w:b/>
        </w:rPr>
        <w:t xml:space="preserve"> </w:t>
      </w:r>
      <w:r>
        <w:rPr>
          <w:b/>
          <w:i/>
        </w:rPr>
        <w:t xml:space="preserve">Erityispiirteitä </w:t>
      </w:r>
      <w:r>
        <w:rPr>
          <w:i/>
        </w:rPr>
        <w:t>näillä käsitteillä ovat kuitenkin niin sumeita</w:t>
      </w:r>
      <w:r>
        <w:t>, että monet tutkijat pitävät esimerkiksi ja tuotenimen yhtenä ja samana käsitteenä. (las2-1tt01te05)</w:t>
      </w:r>
    </w:p>
    <w:p w:rsidR="0041330B" w:rsidRDefault="0041330B">
      <w:pPr>
        <w:pStyle w:val="ERY-Example"/>
      </w:pPr>
      <w:r>
        <w:t xml:space="preserve">(6') </w:t>
      </w:r>
      <w:r>
        <w:rPr>
          <w:i/>
        </w:rPr>
        <w:t xml:space="preserve">Näiden käsitteiden </w:t>
      </w:r>
      <w:r>
        <w:rPr>
          <w:b/>
          <w:i/>
        </w:rPr>
        <w:t xml:space="preserve">erityispiirteet </w:t>
      </w:r>
      <w:r>
        <w:rPr>
          <w:i/>
        </w:rPr>
        <w:t>ovat kuitenkin niin sumeita</w:t>
      </w:r>
      <w:r>
        <w:t>[…]</w:t>
      </w:r>
    </w:p>
    <w:p w:rsidR="0041330B" w:rsidRDefault="0041330B">
      <w:pPr>
        <w:pStyle w:val="ERY-Example"/>
      </w:pPr>
      <w:r>
        <w:t xml:space="preserve">(6') </w:t>
      </w:r>
      <w:r>
        <w:rPr>
          <w:i/>
        </w:rPr>
        <w:t xml:space="preserve">Näillä käsitteillä on kuitenkin niin sumeita </w:t>
      </w:r>
      <w:r>
        <w:rPr>
          <w:b/>
          <w:i/>
        </w:rPr>
        <w:t>erityispiirteitä</w:t>
      </w:r>
      <w:r>
        <w:t>[...]</w:t>
      </w:r>
    </w:p>
    <w:p w:rsidR="0041330B" w:rsidRDefault="0041330B">
      <w:pPr>
        <w:pStyle w:val="ERY-Example"/>
      </w:pPr>
      <w:r>
        <w:t xml:space="preserve">(7) Myöhemmin ymmärrettiin, että </w:t>
      </w:r>
      <w:r>
        <w:rPr>
          <w:b/>
          <w:i/>
        </w:rPr>
        <w:t xml:space="preserve">joiden sanojen yhtäläisuuksia </w:t>
      </w:r>
      <w:r>
        <w:rPr>
          <w:i/>
        </w:rPr>
        <w:t xml:space="preserve">oli vain satunnainen </w:t>
      </w:r>
      <w:r>
        <w:t>tarkammin tarvittiin. (las2-8tt01te07)</w:t>
      </w:r>
    </w:p>
    <w:p w:rsidR="0041330B" w:rsidRDefault="0041330B">
      <w:pPr>
        <w:pStyle w:val="ERY-Example"/>
      </w:pPr>
      <w:r>
        <w:t xml:space="preserve">(7') […] </w:t>
      </w:r>
      <w:r>
        <w:rPr>
          <w:b/>
          <w:i/>
        </w:rPr>
        <w:t>joidenkin sanojen yhtäläisyydet</w:t>
      </w:r>
      <w:r>
        <w:rPr>
          <w:i/>
        </w:rPr>
        <w:t xml:space="preserve"> olivat vain satunnaisia </w:t>
      </w:r>
      <w:r>
        <w:t>[…]</w:t>
      </w:r>
    </w:p>
    <w:p w:rsidR="0041330B" w:rsidRDefault="0041330B">
      <w:pPr>
        <w:pStyle w:val="ERY-Example"/>
      </w:pPr>
      <w:r>
        <w:t xml:space="preserve">(7') […] </w:t>
      </w:r>
      <w:r>
        <w:rPr>
          <w:b/>
          <w:i/>
        </w:rPr>
        <w:t>joissakin sanoissa yhtäläisyyksiä</w:t>
      </w:r>
      <w:r>
        <w:rPr>
          <w:i/>
        </w:rPr>
        <w:t xml:space="preserve"> oli vain satunnaisesti </w:t>
      </w:r>
      <w:r>
        <w:t>[...]</w:t>
      </w:r>
    </w:p>
    <w:p w:rsidR="0041330B" w:rsidRDefault="0041330B">
      <w:pPr>
        <w:spacing w:line="360" w:lineRule="auto"/>
        <w:ind w:firstLine="0"/>
        <w:jc w:val="both"/>
        <w:rPr>
          <w:lang w:val="fi-FI"/>
        </w:rPr>
      </w:pPr>
    </w:p>
    <w:p w:rsidR="0041330B" w:rsidRDefault="0041330B">
      <w:pPr>
        <w:pStyle w:val="Leipteksti"/>
      </w:pPr>
      <w:r>
        <w:t xml:space="preserve"> Esimerkissä 6 on partitiivisijainen </w:t>
      </w:r>
      <w:r>
        <w:rPr>
          <w:i/>
        </w:rPr>
        <w:t>sumeita</w:t>
      </w:r>
      <w:r>
        <w:t xml:space="preserve">, joka vaikuttaa niin sanajärjestyksen, sijamerkinnän kuin sanan semantiikankin kannalta predikatiivilta. Näin ollen kyseinen tekstilause vaikuttaa olevan niin merkitykseltään kuin rakenteeltaankin lähinnä predikatiivilausetta, jonka subjektilla on </w:t>
      </w:r>
      <w:r w:rsidR="00DD7501">
        <w:t>odotuksenvastaisesti</w:t>
      </w:r>
      <w:r>
        <w:t xml:space="preserve"> e-NP:lle ominainen sijamerkintä. Mahdollinen subjektin epäidiomaattisen sijamerkinnän motivoija saattaa olla adverbiaaliksi merkitty </w:t>
      </w:r>
      <w:r>
        <w:rPr>
          <w:i/>
        </w:rPr>
        <w:t>näillä käsitteillä</w:t>
      </w:r>
      <w:r>
        <w:t xml:space="preserve">, joka hahmottuu semanttisesti ennemmin subjektin määritteeksi. Tämän tulkinnan mukaan lauseen subjekti jäsentyisi muotoon </w:t>
      </w:r>
      <w:r>
        <w:rPr>
          <w:i/>
        </w:rPr>
        <w:t>näiden käsitteiden erityispiirteet</w:t>
      </w:r>
      <w:r>
        <w:t xml:space="preserve">. Lauseessa on kuitenkin kaikki eksistentiaalisen lauseen elementit – partitiivisijainen e-NP, lokatiivisijainen adverbiaali ja </w:t>
      </w:r>
      <w:r>
        <w:rPr>
          <w:i/>
        </w:rPr>
        <w:t>olla-</w:t>
      </w:r>
      <w:r>
        <w:t>verbi – mikä on omiaan hämärtämään tekstilauseen suhdetta mihinkään yksittäiseen lausetyyppiin.</w:t>
      </w:r>
    </w:p>
    <w:p w:rsidR="0041330B" w:rsidRDefault="0041330B">
      <w:pPr>
        <w:pStyle w:val="Leipteksti"/>
      </w:pPr>
      <w:r>
        <w:t xml:space="preserve">Esimerkin 7 tapauksessa lauseen alussa oleva </w:t>
      </w:r>
      <w:r>
        <w:rPr>
          <w:i/>
        </w:rPr>
        <w:t xml:space="preserve">joiden sanojen yhtälaisuuksia </w:t>
      </w:r>
      <w:r>
        <w:t xml:space="preserve">on luontevaa tulkita subjektiksi ja predikaatin jälkeinen </w:t>
      </w:r>
      <w:r>
        <w:rPr>
          <w:i/>
        </w:rPr>
        <w:t xml:space="preserve">satunnainen </w:t>
      </w:r>
      <w:r>
        <w:t xml:space="preserve">predikatiiviksi. Saattaa myös olla, että kontekstissa aiemmin esiintynyt virke on osaltaan motivoinut lauseen rakennetta ja lauseenalkuisen lausekkeen partitiivisijaisuutta. Mahdollinen motivoiva lause on kuitenkin niin etäällä, että tämä on epätodennäköistä eikä </w:t>
      </w:r>
      <w:r w:rsidR="00F84D49">
        <w:t>miss</w:t>
      </w:r>
      <w:r>
        <w:t>ään tapauksessa idiomaattista.</w:t>
      </w:r>
    </w:p>
    <w:p w:rsidR="0041330B" w:rsidRDefault="0041330B">
      <w:pPr>
        <w:pStyle w:val="ERY-Example"/>
      </w:pPr>
      <w:r>
        <w:t xml:space="preserve">(8) Merkitysparafraasien avulla 1900-luvulla voidaan erottaa siinä, mitkä ovat teettoverbeja, vaikka ei aina voi erottaa </w:t>
      </w:r>
      <w:r>
        <w:rPr>
          <w:i/>
        </w:rPr>
        <w:t xml:space="preserve">koska </w:t>
      </w:r>
      <w:r>
        <w:rPr>
          <w:b/>
          <w:i/>
        </w:rPr>
        <w:t xml:space="preserve">kuratiivisia verbeja </w:t>
      </w:r>
      <w:r>
        <w:rPr>
          <w:i/>
        </w:rPr>
        <w:t xml:space="preserve">on melko lähellä </w:t>
      </w:r>
      <w:r>
        <w:t>. (las2-8tt01te05)</w:t>
      </w:r>
    </w:p>
    <w:p w:rsidR="0041330B" w:rsidRDefault="0041330B">
      <w:pPr>
        <w:pStyle w:val="ERY-Example"/>
      </w:pPr>
      <w:r>
        <w:t xml:space="preserve">(8') […] </w:t>
      </w:r>
      <w:r>
        <w:rPr>
          <w:b/>
          <w:i/>
        </w:rPr>
        <w:t xml:space="preserve">kuratiiviset verbit </w:t>
      </w:r>
      <w:r>
        <w:rPr>
          <w:i/>
        </w:rPr>
        <w:t xml:space="preserve">ovat melko lähellä [teettoverbejä] </w:t>
      </w:r>
      <w:r>
        <w:t xml:space="preserve">[…] </w:t>
      </w:r>
    </w:p>
    <w:p w:rsidR="0041330B" w:rsidRDefault="0041330B"/>
    <w:p w:rsidR="0041330B" w:rsidRDefault="0041330B">
      <w:pPr>
        <w:pStyle w:val="Leipteksti"/>
      </w:pPr>
      <w:r>
        <w:rPr>
          <w:lang w:val="fi-FI"/>
        </w:rPr>
        <w:t xml:space="preserve">Esimerkissä 8 partitiivisijainen </w:t>
      </w:r>
      <w:r>
        <w:rPr>
          <w:i/>
          <w:lang w:val="fi-FI"/>
        </w:rPr>
        <w:t xml:space="preserve">kuratiivisia verbejä </w:t>
      </w:r>
      <w:r>
        <w:rPr>
          <w:lang w:val="fi-FI"/>
        </w:rPr>
        <w:t xml:space="preserve">ja </w:t>
      </w:r>
      <w:r w:rsidR="00B3339C">
        <w:t>kongruenssia noudattamaton</w:t>
      </w:r>
      <w:r>
        <w:t xml:space="preserve"> predikaatti ohjaavat tulkitsemaan lauseen eksistentiaaliseksi. Lauseen semantiikkaa tarkastellessa tämä tuntuu kuitenkin epätodennäköiseltä. Lause voidaankin tulkita intransitiivilauseeksi, jonka adverbiaalilausekkeesta </w:t>
      </w:r>
      <w:r>
        <w:rPr>
          <w:i/>
        </w:rPr>
        <w:t xml:space="preserve">melko lähellä </w:t>
      </w:r>
      <w:r>
        <w:t xml:space="preserve">puuttuu jotakin. Lausekkeeseen voisi tulla esimerkiksi </w:t>
      </w:r>
      <w:r>
        <w:rPr>
          <w:i/>
        </w:rPr>
        <w:t xml:space="preserve">teettoverbejä </w:t>
      </w:r>
      <w:r>
        <w:t xml:space="preserve">tai jokin näihin viittaava, partitiivisijainen pronomini. Sanan puuttuessa lauseen kaikki elementit </w:t>
      </w:r>
      <w:r>
        <w:lastRenderedPageBreak/>
        <w:t xml:space="preserve">viittaavat eksistentiaaliseen lauseeseen, mikä on saattanut motivoida lausekkeen </w:t>
      </w:r>
      <w:r>
        <w:rPr>
          <w:i/>
        </w:rPr>
        <w:t>kuratiivisia verbeja</w:t>
      </w:r>
      <w:r>
        <w:t xml:space="preserve"> partitiivisijaisuuden ja tämä edelleen predikaatin kongruoimattomuuden.</w:t>
      </w:r>
    </w:p>
    <w:p w:rsidR="0041330B" w:rsidRDefault="0041330B">
      <w:pPr>
        <w:pStyle w:val="Leipteksti"/>
        <w:rPr>
          <w:snapToGrid w:val="0"/>
        </w:rPr>
      </w:pPr>
      <w:r>
        <w:rPr>
          <w:snapToGrid w:val="0"/>
        </w:rPr>
        <w:t>Lauseiden tulkinta on monilla tavoin hyvin tapauskohtaista ja kokonaisuuden kannalta osin jopa periferistä. Yksittäistapausten analysointi on kuitenkin välttämätöntä, kun halutaan tarkastella lausetyyppien sekoittumista ilmiönä ja sitä, miten tämä ilmiö näkyy edistyneiden suomenoppijoiden eksistentiaalisten lauseiden suhteessa muihin lausetyyppeihin.</w:t>
      </w:r>
    </w:p>
    <w:p w:rsidR="0041330B" w:rsidRDefault="0041330B">
      <w:pPr>
        <w:rPr>
          <w:snapToGrid w:val="0"/>
        </w:rPr>
      </w:pPr>
    </w:p>
    <w:p w:rsidR="0041330B" w:rsidRDefault="0041330B">
      <w:pPr>
        <w:pStyle w:val="ERY-Subheading1"/>
        <w:rPr>
          <w:snapToGrid w:val="0"/>
        </w:rPr>
      </w:pPr>
      <w:r>
        <w:rPr>
          <w:snapToGrid w:val="0"/>
        </w:rPr>
        <w:t>4.2. Lauseenjäsenten järjestys</w:t>
      </w:r>
    </w:p>
    <w:p w:rsidR="00EF23C1" w:rsidRDefault="0041330B">
      <w:pPr>
        <w:pStyle w:val="Leipteksti"/>
        <w:rPr>
          <w:snapToGrid w:val="0"/>
        </w:rPr>
      </w:pPr>
      <w:r>
        <w:rPr>
          <w:snapToGrid w:val="0"/>
        </w:rPr>
        <w:t>Toinen lausetyyppien välisen sekoittumisen alaryhmä on lauseet, joiden jotkin jäsenet ovat lauseen esiintymiskontekstin kannalta epäidiomaattisessa järjestyksessä. Kuten Hakanen kirjoittaa, pelkkä sanajärjestys voi vaikuttaa sanojen syntaktiseen tulkintaan ja joissakin tilanteissa se on ainoa eksistentiaalisen lauseen ja normaalilauseen erottava toisistaan erottava tekijä (Hakanen 1972: 46).</w:t>
      </w:r>
      <w:r w:rsidR="00EF23C1">
        <w:rPr>
          <w:snapToGrid w:val="0"/>
        </w:rPr>
        <w:t xml:space="preserve"> Toisaalta esimerkiksi Vilkuna huomauttaa, että verbin ja objektin muodostamat parit ovat </w:t>
      </w:r>
      <w:r w:rsidR="00161729">
        <w:rPr>
          <w:snapToGrid w:val="0"/>
        </w:rPr>
        <w:t xml:space="preserve">semantiikaltaan </w:t>
      </w:r>
      <w:r w:rsidR="00EF23C1">
        <w:rPr>
          <w:snapToGrid w:val="0"/>
        </w:rPr>
        <w:t>huomattavasti enemmän samankaltaisia intransitiivisten lauseiden subjektin ja verbin kanssa kuin transitiivisten lauseiden subjektin ja objektin kanssa (Vilkuna 1989: 156).</w:t>
      </w:r>
      <w:r w:rsidR="00DF19DA">
        <w:rPr>
          <w:snapToGrid w:val="0"/>
        </w:rPr>
        <w:t xml:space="preserve"> Näiden tekijöiden huomioonottaminen on ensiarvoisen tärkeää lauseenjäsenten järjestystä tarkasteltaessa.</w:t>
      </w:r>
    </w:p>
    <w:p w:rsidR="0041330B" w:rsidRDefault="0041330B">
      <w:pPr>
        <w:pStyle w:val="Leipteksti"/>
        <w:rPr>
          <w:snapToGrid w:val="0"/>
        </w:rPr>
      </w:pPr>
      <w:r>
        <w:rPr>
          <w:snapToGrid w:val="0"/>
        </w:rPr>
        <w:t>Eksistentiaalisten ja ei-eksistentiaalisten lauseiden sekoittumista tarkastellessa keskeinen tekijä on e-NP:n ja predikaatin välinen järjestys. Tutkimusaineiston eksistentiaalisista lauseista 42:ssa (10 %:ssa) on epäprototyyppinen e-NP–V-sanajärjestys, mutta näistä vain 12 tapauksessa (3 %:ssa) ei voida osoittaa kontekstista sellaista tekijää, joka motivoisi epäprototyyppisen sanajärjestyksen (Ivaska 2010b: 43–45). Odotuksenvastaisen kongruenssin ja kontekstissaan epäidiomaattisen sanajärjestyksen yhteisesiintyminen ei ole aineistossa yleistä. Ilmiötä esiintyy kuitenkin Informantin LAS2-8 välikielessä, ja tapausten epäidiomaattisuuden on helppo nähdä liittyvän lausetyyppien sekoittumiseen. Esimerkki 9 kuvaa tällaista tapausta.</w:t>
      </w:r>
    </w:p>
    <w:p w:rsidR="0041330B" w:rsidRDefault="0041330B">
      <w:pPr>
        <w:pStyle w:val="ERY-Example"/>
      </w:pPr>
      <w:r>
        <w:lastRenderedPageBreak/>
        <w:t xml:space="preserve">(9) </w:t>
      </w:r>
      <w:r>
        <w:rPr>
          <w:b/>
          <w:i/>
        </w:rPr>
        <w:t xml:space="preserve">Baltilaislainat </w:t>
      </w:r>
      <w:r>
        <w:rPr>
          <w:i/>
          <w:u w:val="single"/>
        </w:rPr>
        <w:t>ovatkin</w:t>
      </w:r>
      <w:r>
        <w:rPr>
          <w:i/>
        </w:rPr>
        <w:t xml:space="preserve"> suomessa </w:t>
      </w:r>
      <w:r>
        <w:t>vaikka arkeologian mukaan suomen kielen esipuhujat eivät asuneet Baltiassa. (las2-8tt01te07)</w:t>
      </w:r>
    </w:p>
    <w:p w:rsidR="0041330B" w:rsidRDefault="0041330B">
      <w:pPr>
        <w:pStyle w:val="ERY-Example"/>
      </w:pPr>
      <w:r>
        <w:t xml:space="preserve">(9') </w:t>
      </w:r>
      <w:r>
        <w:rPr>
          <w:i/>
        </w:rPr>
        <w:t xml:space="preserve">Suomessa </w:t>
      </w:r>
      <w:r>
        <w:rPr>
          <w:i/>
          <w:u w:val="single"/>
        </w:rPr>
        <w:t>onkin</w:t>
      </w:r>
      <w:r>
        <w:rPr>
          <w:i/>
        </w:rPr>
        <w:t xml:space="preserve"> </w:t>
      </w:r>
      <w:r>
        <w:rPr>
          <w:b/>
          <w:i/>
        </w:rPr>
        <w:t>baltilaislainoja</w:t>
      </w:r>
      <w:r>
        <w:t xml:space="preserve"> […] </w:t>
      </w:r>
    </w:p>
    <w:p w:rsidR="0041330B" w:rsidRDefault="0041330B">
      <w:pPr>
        <w:pStyle w:val="Leipteksti"/>
      </w:pPr>
    </w:p>
    <w:p w:rsidR="0041330B" w:rsidRDefault="0041330B">
      <w:pPr>
        <w:pStyle w:val="Leipteksti"/>
        <w:rPr>
          <w:snapToGrid w:val="0"/>
        </w:rPr>
      </w:pPr>
      <w:r>
        <w:rPr>
          <w:snapToGrid w:val="0"/>
        </w:rPr>
        <w:t xml:space="preserve">Lause on muotopiirteiltään prototyyppinen intransitiivinen lause, joiden predikaattina on </w:t>
      </w:r>
      <w:r>
        <w:rPr>
          <w:i/>
          <w:snapToGrid w:val="0"/>
        </w:rPr>
        <w:t>olla</w:t>
      </w:r>
      <w:r>
        <w:rPr>
          <w:snapToGrid w:val="0"/>
        </w:rPr>
        <w:t>-verbi. Semanttisen sisällön tarkastelu kuitenkin osoittaa, että se rinnastuu rakenteellisesta epäprototyyppisyydestään huolimatta ennemmin eksistentiaalilauseeseen. On huomionarvoista, että esimerkissä lankeaa yhteen sekä muodon että järjestyksen epäidiomaattisuus. Tämäkin puoltaa osaltaan ajatusta lausetyyppien sekoittumisen eri osa-alueiden yhteisesiintymistä ja edelleen lausetyyppien sekoittumisen keskeistä roolia tekstilauseen epäidiomaattisuuden selittäjänä.</w:t>
      </w:r>
    </w:p>
    <w:p w:rsidR="0041330B" w:rsidRDefault="0041330B">
      <w:pPr>
        <w:pStyle w:val="ERY-Example"/>
      </w:pPr>
      <w:r>
        <w:t xml:space="preserve">(3) </w:t>
      </w:r>
      <w:r>
        <w:rPr>
          <w:i/>
        </w:rPr>
        <w:t xml:space="preserve">Jos sanat ovat vastineina muissa saman kielikunnassa </w:t>
      </w:r>
      <w:r>
        <w:t>ja voidaan rekonstruoida kantakieleksi sitä pidetään omaperäisenä. (las2-8tt01te07)</w:t>
      </w:r>
    </w:p>
    <w:p w:rsidR="0041330B" w:rsidRDefault="0041330B">
      <w:pPr>
        <w:pStyle w:val="ERY-Example"/>
      </w:pPr>
      <w:r>
        <w:t xml:space="preserve">(3') </w:t>
      </w:r>
      <w:r>
        <w:rPr>
          <w:i/>
        </w:rPr>
        <w:t>Jos sanoilla on vastineita muissa saman kielikunnan [kielissä]</w:t>
      </w:r>
      <w:r>
        <w:t xml:space="preserve"> […] </w:t>
      </w:r>
    </w:p>
    <w:p w:rsidR="0041330B" w:rsidRDefault="0041330B">
      <w:pPr>
        <w:pStyle w:val="Leipteksti"/>
      </w:pPr>
    </w:p>
    <w:p w:rsidR="0041330B" w:rsidRDefault="0041330B">
      <w:pPr>
        <w:pStyle w:val="Leipteksti"/>
        <w:rPr>
          <w:snapToGrid w:val="0"/>
        </w:rPr>
      </w:pPr>
      <w:r>
        <w:rPr>
          <w:snapToGrid w:val="0"/>
          <w:lang w:val="fi-FI"/>
        </w:rPr>
        <w:t xml:space="preserve">Esimerkin 3 sanajärjestyksessä ei ole itsessään mitään epäidiomaattista. Predikaattia edeltävä, informantin sijamerkinnän ja sanajärjestyksen perusteella </w:t>
      </w:r>
      <w:r w:rsidR="002A08FE">
        <w:rPr>
          <w:snapToGrid w:val="0"/>
          <w:lang w:val="fi-FI"/>
        </w:rPr>
        <w:t xml:space="preserve">ei-eksistentiaalisen lauseen </w:t>
      </w:r>
      <w:r>
        <w:rPr>
          <w:snapToGrid w:val="0"/>
          <w:lang w:val="fi-FI"/>
        </w:rPr>
        <w:t xml:space="preserve">subjektiksi koodaama </w:t>
      </w:r>
      <w:r>
        <w:rPr>
          <w:i/>
          <w:snapToGrid w:val="0"/>
          <w:lang w:val="fi-FI"/>
        </w:rPr>
        <w:t>sanat</w:t>
      </w:r>
      <w:r>
        <w:rPr>
          <w:snapToGrid w:val="0"/>
          <w:lang w:val="fi-FI"/>
        </w:rPr>
        <w:t xml:space="preserve"> on silti epäprototyyppinen lauseessa jonka merkitys on selvästi eksistentiaalinen. Yleisesti vaikuttaa siltä, että idiomaattisuudesta riippumatta </w:t>
      </w:r>
      <w:r w:rsidR="00FD00D8">
        <w:rPr>
          <w:snapToGrid w:val="0"/>
          <w:lang w:val="fi-FI"/>
        </w:rPr>
        <w:t>tekstilauseen</w:t>
      </w:r>
      <w:r>
        <w:rPr>
          <w:snapToGrid w:val="0"/>
          <w:lang w:val="fi-FI"/>
        </w:rPr>
        <w:t xml:space="preserve"> epäprototyyppinen sanajärjestys on yksi lausetyyppien hämärtymistä edistävä tekijä vielä edistyneilläkin suomenoppijoilla.</w:t>
      </w:r>
    </w:p>
    <w:p w:rsidR="0041330B" w:rsidRDefault="0041330B">
      <w:pPr>
        <w:pStyle w:val="Leipteksti"/>
        <w:rPr>
          <w:lang w:val="fi-FI"/>
        </w:rPr>
      </w:pPr>
      <w:r>
        <w:rPr>
          <w:lang w:val="fi-FI"/>
        </w:rPr>
        <w:t>Aineistossa on lisäksi 5 sellaista lausetta, jotka eivät lähtökohtaisesti vaikuta eksistentiaalisilta lauseilta mutta joissa verbi edeltää subjektiksi jäsentyvää NP:a. Esimerkit 10 ja 11 kuvaavat tätä ilmiötä.</w:t>
      </w:r>
    </w:p>
    <w:p w:rsidR="0041330B" w:rsidRDefault="0041330B">
      <w:pPr>
        <w:pStyle w:val="ERY-Example"/>
      </w:pPr>
      <w:r>
        <w:rPr>
          <w:sz w:val="16"/>
        </w:rPr>
        <w:t xml:space="preserve">(10) </w:t>
      </w:r>
      <w:r>
        <w:rPr>
          <w:i/>
        </w:rPr>
        <w:t xml:space="preserve">Varhaiskantasuomena perinteisia sanarakenteita muutti myös lainasanoja </w:t>
      </w:r>
      <w:r>
        <w:t>(varsinkin balttilais ja germaniset lainat). (las2-5tt01te03)</w:t>
      </w:r>
    </w:p>
    <w:p w:rsidR="0041330B" w:rsidRDefault="0041330B">
      <w:pPr>
        <w:rPr>
          <w:sz w:val="20"/>
          <w:szCs w:val="20"/>
        </w:rPr>
      </w:pPr>
    </w:p>
    <w:p w:rsidR="0041330B" w:rsidRDefault="0041330B">
      <w:pPr>
        <w:pStyle w:val="ERY-Example"/>
      </w:pPr>
      <w:r>
        <w:rPr>
          <w:sz w:val="16"/>
        </w:rPr>
        <w:t xml:space="preserve">(11) </w:t>
      </w:r>
      <w:r>
        <w:rPr>
          <w:i/>
        </w:rPr>
        <w:t xml:space="preserve">Suomalaisugrilaisen kantakielen systeemiä muodosti </w:t>
      </w:r>
      <w:r>
        <w:rPr>
          <w:b/>
          <w:i/>
        </w:rPr>
        <w:t>ns. alkuperäinen tunnusmerkitön preesens ja tunnusmerkillinen yksi menneen ajan tempus (eli preteritti)</w:t>
      </w:r>
      <w:r>
        <w:t>. (las2-5tt01te05)</w:t>
      </w:r>
    </w:p>
    <w:p w:rsidR="0041330B" w:rsidRDefault="0041330B"/>
    <w:p w:rsidR="0041330B" w:rsidRDefault="0041330B">
      <w:pPr>
        <w:pStyle w:val="Leipteksti"/>
      </w:pPr>
      <w:r>
        <w:rPr>
          <w:lang w:val="fi-FI"/>
        </w:rPr>
        <w:t xml:space="preserve">Esimerkkien 10 ja 11 vaikeatulkintaisuus liittyy ennen kaikkea niiden </w:t>
      </w:r>
      <w:r>
        <w:t xml:space="preserve">verbinetisiin partitiivisijaisiin lausekkeisiin sekä predikaattien kongruoimattomuuteen. Kumpikin lause on kuitenkin tulkittavissa transitiiviseksi lauseeksi. Esimerkissä 10 sekä verbinetinen lauseke </w:t>
      </w:r>
      <w:r>
        <w:rPr>
          <w:i/>
        </w:rPr>
        <w:t xml:space="preserve">perinteisia sanarakenteita </w:t>
      </w:r>
      <w:r>
        <w:t xml:space="preserve">että verbiä seuraava </w:t>
      </w:r>
      <w:r>
        <w:rPr>
          <w:i/>
        </w:rPr>
        <w:t xml:space="preserve">lainasanoja </w:t>
      </w:r>
      <w:r>
        <w:t xml:space="preserve">voidaan tulkita lauseen subjektiksi. Tulkinta riippuu siitä, käsitetäänkö lauseen </w:t>
      </w:r>
      <w:r>
        <w:lastRenderedPageBreak/>
        <w:t xml:space="preserve">merkitykseksi ’perinteiset sanarakenteet muuttivat myös lainasanoja’ vai ’myös lainasanat muuttivat perinteisiä sanarakenteita’. Valitettavasti edes kontekstin tarkastelu ei selvennä tätä seikkaa, sillä uuden kappaleen aloittavan lauseen lausekkeiden vaikutussuhde toisiinsa voidaan tulkita kummin päin tahansa. Tästä syystä lauseille ei myöskään tarjota oletettua tavoiterakennetta. Seuraavan virkkeen perusteella </w:t>
      </w:r>
      <w:r>
        <w:rPr>
          <w:i/>
        </w:rPr>
        <w:t xml:space="preserve">lainasanoja </w:t>
      </w:r>
      <w:r>
        <w:t>vaikuttaa todennäköisemmältä subjektilta, mutta lopullista varmuutta tähän ei saada. Muodollisesti tarkastellen lauseesta puuttuu subjektijäsen ja semanttisesti kumpikin lauseke voi toimia lauseen subjektina tai objektina. Molemmat lausekkeet ovat sitä paitsi monikollisia, mistä syystä subjektin pitäisi joka tapauksessa laukaista verbin kongruenssi.</w:t>
      </w:r>
    </w:p>
    <w:p w:rsidR="0041330B" w:rsidRDefault="0041330B">
      <w:pPr>
        <w:pStyle w:val="Leipteksti"/>
      </w:pPr>
      <w:r>
        <w:t xml:space="preserve">Käsitän esimerkin 11 subjektiksi lausekkeen </w:t>
      </w:r>
      <w:r>
        <w:rPr>
          <w:i/>
        </w:rPr>
        <w:t>ns. alkuperäinen tunnusmerkitön preesens ja tunnusmerkillinen yksi menneen ajan tempus (eli preteritti)</w:t>
      </w:r>
      <w:r>
        <w:t xml:space="preserve">. Se, että tämä lauseke on lauseessa vasta predikaatin jälkeisessä asemassa, on kuitenkin saattanut aiheuttaa sen, että subjekti ei ole laukaissut verbin kongruenssia tai että subjektiksi on käsitetty verbinetinen, partitiivissa oleva lauseke </w:t>
      </w:r>
      <w:r>
        <w:rPr>
          <w:i/>
        </w:rPr>
        <w:t>suomalaisugrilaisen kantakielen systeemiä</w:t>
      </w:r>
      <w:r>
        <w:t>. Lause läheneekin muotopiirteiltään eksistentiaalilausetta, vaikka se on semantiikaltaan selvästi ei-eksistentiaalinen lause.</w:t>
      </w:r>
    </w:p>
    <w:p w:rsidR="0041330B" w:rsidRDefault="0041330B">
      <w:pPr>
        <w:spacing w:line="360" w:lineRule="auto"/>
        <w:rPr>
          <w:snapToGrid w:val="0"/>
          <w:lang w:val="fi-FI"/>
        </w:rPr>
      </w:pPr>
    </w:p>
    <w:p w:rsidR="0041330B" w:rsidRDefault="0041330B">
      <w:pPr>
        <w:pStyle w:val="ERY-Subheading1"/>
        <w:rPr>
          <w:snapToGrid w:val="0"/>
        </w:rPr>
      </w:pPr>
      <w:r>
        <w:rPr>
          <w:snapToGrid w:val="0"/>
        </w:rPr>
        <w:t>4.3. Lauseenjäsenen puuttuminen</w:t>
      </w:r>
    </w:p>
    <w:p w:rsidR="0041330B" w:rsidRDefault="0041330B">
      <w:pPr>
        <w:pStyle w:val="Leipteksti"/>
        <w:rPr>
          <w:snapToGrid w:val="0"/>
        </w:rPr>
      </w:pPr>
      <w:r>
        <w:rPr>
          <w:snapToGrid w:val="0"/>
        </w:rPr>
        <w:t>Kolmas lausetyyppien välisen sekoittumisen alaryhmä on lauseet, joista puuttuu jokin kyseessä olevassa kontekstissa välttämätön lauseenjäsen. On syytä todeta, että tämä ilmiö saattaa olla osin tekstilajikohtainen, sillä esimerkiksi aineistona olevat tenttivastaukset ovat luonteeltaan hyvin viimeistelemättömiä tekstejä. Olipa lauseenjäsenen puuttumisen syynä sitten huolimattomuus tai jokin muu syy, lauseesta uupuva mutta sille välttämätön lauseenjäsen edistää niin ikään omalta osaltaan lausetyyppien keskinäistä sekoittumista.</w:t>
      </w:r>
    </w:p>
    <w:p w:rsidR="0041330B" w:rsidRDefault="0041330B">
      <w:pPr>
        <w:pStyle w:val="ERY-Example"/>
      </w:pPr>
      <w:r>
        <w:t xml:space="preserve">(3) </w:t>
      </w:r>
      <w:r>
        <w:rPr>
          <w:i/>
        </w:rPr>
        <w:t xml:space="preserve">Jos sanat ovat vastineina muissa saman kielikunnassa </w:t>
      </w:r>
      <w:r>
        <w:t>ja voidaan rekonstruoida kantakieleksi sitä pidetään omaperäisenä. (las2-8tt01te07)</w:t>
      </w:r>
    </w:p>
    <w:p w:rsidR="0041330B" w:rsidRDefault="0041330B">
      <w:pPr>
        <w:pStyle w:val="ERY-Example"/>
      </w:pPr>
      <w:r>
        <w:t xml:space="preserve">(3') </w:t>
      </w:r>
      <w:r>
        <w:rPr>
          <w:i/>
        </w:rPr>
        <w:t>Jos sanoilla on vastineita muissa saman kielikunnan [kielissä]</w:t>
      </w:r>
      <w:r>
        <w:t xml:space="preserve"> […]</w:t>
      </w:r>
    </w:p>
    <w:p w:rsidR="0041330B" w:rsidRDefault="0041330B">
      <w:pPr>
        <w:pStyle w:val="Leipteksti"/>
      </w:pPr>
    </w:p>
    <w:p w:rsidR="0041330B" w:rsidRDefault="0041330B">
      <w:pPr>
        <w:pStyle w:val="Leipteksti"/>
        <w:rPr>
          <w:snapToGrid w:val="0"/>
        </w:rPr>
      </w:pPr>
      <w:r>
        <w:rPr>
          <w:snapToGrid w:val="0"/>
        </w:rPr>
        <w:t xml:space="preserve">Esimerkin 3 adverbiaalilausekkeesta </w:t>
      </w:r>
      <w:r>
        <w:rPr>
          <w:i/>
          <w:snapToGrid w:val="0"/>
        </w:rPr>
        <w:t>muissa saman kielikunnassa</w:t>
      </w:r>
      <w:r>
        <w:rPr>
          <w:snapToGrid w:val="0"/>
        </w:rPr>
        <w:t xml:space="preserve"> vaikuttaa puuttuvan sen semanttinen pääsana, jonka voidaan olettaa olevan likimain 'kielissä'. Puutteen vuoksi lauseen semanttinen sisältö hämärtyy huomattavasti, mikä puolestaan </w:t>
      </w:r>
      <w:r>
        <w:rPr>
          <w:snapToGrid w:val="0"/>
        </w:rPr>
        <w:lastRenderedPageBreak/>
        <w:t>on omiaan edistämään lausetyyppien välistä sekoittumista.</w:t>
      </w:r>
    </w:p>
    <w:p w:rsidR="00924D29" w:rsidRDefault="00924D29" w:rsidP="00924D29">
      <w:pPr>
        <w:pStyle w:val="Leipteksti"/>
      </w:pPr>
      <w:r>
        <w:t>Puuttuvien lauseenjäsenten ryhmä on luonnollisesti hyvin altis tulkinnan subjektiivisuudelle, sillä mahdollisesti puuttuvien elementtien olettaminen tai olettamatta jättäminen on jo lähtökohtaisesti hyvin tilannekohtaista. Lisäksi puuttuvien elementtien tutkiminen eksplisiittisiin muotopiirteisiin perustuvalla tutkimusmetodilla on vaikeaa. Jonkin lauseenjäsenen mahdollinen puuttuminen on kuitenkin ehdottomasti muistettava ottaa huomioon pohdittaessa oppijankielen syntaksia lausetyyppien kannalta.</w:t>
      </w:r>
    </w:p>
    <w:p w:rsidR="0041330B" w:rsidRDefault="0041330B">
      <w:pPr>
        <w:ind w:firstLine="0"/>
        <w:jc w:val="both"/>
        <w:rPr>
          <w:snapToGrid w:val="0"/>
          <w:lang w:val="fi-FI"/>
        </w:rPr>
      </w:pPr>
    </w:p>
    <w:p w:rsidR="0041330B" w:rsidRDefault="0041330B">
      <w:pPr>
        <w:pStyle w:val="ERY-Subheading1"/>
        <w:rPr>
          <w:snapToGrid w:val="0"/>
        </w:rPr>
      </w:pPr>
      <w:r>
        <w:rPr>
          <w:snapToGrid w:val="0"/>
        </w:rPr>
        <w:t>5. Tulkinta</w:t>
      </w:r>
    </w:p>
    <w:p w:rsidR="0041330B" w:rsidRDefault="0041330B" w:rsidP="00DF0862">
      <w:pPr>
        <w:pStyle w:val="Leipteksti"/>
        <w:rPr>
          <w:snapToGrid w:val="0"/>
        </w:rPr>
      </w:pPr>
      <w:r>
        <w:rPr>
          <w:snapToGrid w:val="0"/>
        </w:rPr>
        <w:t xml:space="preserve">Aineiston tarkastelu osoittaa, että edistyneen oppijansuomen syntaktinen epäidiomaattisuus voidaan useimmiten nähdä luontevasti osana koko rakenteen epäidiomaattisuutta, tarkemmin sanottuna lausetyyppien sekoittumista. Tämä ajatus vastaa ainakin osin ns. radikaalin konstruktiokieliopin ajatusta siitä, että konstruktion eri elementit ovat suhteessa nimenomaan konstruktioon itseensä (Croft 2001: 203). Lausetyyppien sekoittumisella tarkoitetaan tässä sitä, että yhdessä luonnollisessa tekstilauseessa on samanaikaisesti piirteitä useasta eri lausetyypistä ja </w:t>
      </w:r>
      <w:r w:rsidR="00067339">
        <w:rPr>
          <w:snapToGrid w:val="0"/>
        </w:rPr>
        <w:t>koko rakenteen epäidiomaattisuudella tarkoitetaan</w:t>
      </w:r>
      <w:r w:rsidR="00DF0862">
        <w:rPr>
          <w:snapToGrid w:val="0"/>
        </w:rPr>
        <w:t xml:space="preserve"> näiden erilaisten piirteiden yhteisvaikutusta lauseen epäidiomaattisuudessa. </w:t>
      </w:r>
      <w:r>
        <w:rPr>
          <w:snapToGrid w:val="0"/>
        </w:rPr>
        <w:t>Toisin sanoen rakenteen jäsenten muotoon tai järjestykseen perustuva tulkinta lauseen epäidiomaattisuudesta kohdekielen kannalta perustuu nimenomaan rakenteen epäidiomaattisuuteen.</w:t>
      </w:r>
    </w:p>
    <w:p w:rsidR="0041330B" w:rsidRDefault="0041330B">
      <w:pPr>
        <w:pStyle w:val="Leipteksti"/>
        <w:rPr>
          <w:snapToGrid w:val="0"/>
        </w:rPr>
      </w:pPr>
      <w:r>
        <w:rPr>
          <w:snapToGrid w:val="0"/>
        </w:rPr>
        <w:t xml:space="preserve">Edistyneiden suomenoppijoiden eksistentiaalisten lauseiden tarkastelun perusteella lausetyyppien edelläkuvatun kaltaisen sekoittumisen voi jakaa kolmeen tyypilliseen ilmenemismuotoon: 1) lauseenjäsenen kontekstissaan epäidiomaattiseen muotoon, 2) lauseenjäsenten kontekstissaan epäidiomaattisen järjestykseen ja 3) kontekstin vaatiman lauseenjäsenen puuttumiseen. Tutkimusaineiston eksistentiaalisissa lauseissa muodon epäidiomaattisuutta ilmenee ennen kaikkea lauseiden e-NP:iden sijamerkinnässä ja lauseiden odotuksenvastaisesti kongruenssia </w:t>
      </w:r>
      <w:r w:rsidR="00555D73">
        <w:rPr>
          <w:snapToGrid w:val="0"/>
        </w:rPr>
        <w:t>noudattavissa</w:t>
      </w:r>
      <w:r>
        <w:rPr>
          <w:snapToGrid w:val="0"/>
        </w:rPr>
        <w:t xml:space="preserve"> verbeissä. Sanajärjestyksen osalta lausetyypit </w:t>
      </w:r>
      <w:r w:rsidR="00B0699E">
        <w:rPr>
          <w:snapToGrid w:val="0"/>
        </w:rPr>
        <w:t xml:space="preserve">voivat sekoittua </w:t>
      </w:r>
      <w:r>
        <w:rPr>
          <w:snapToGrid w:val="0"/>
        </w:rPr>
        <w:t>tutkimusaineistossa e-NP:iden ja verbien välisen sanajärjestyksen odotuksenvastaisen järjestyksen myötä. Puuttumisen osalta aineistosta ei ole osoitettavissa mitään yksittäistä tyypillistä ilmenemismuotoa tai paikkaa, mutta puuttumisen mahdollisuus on syytä ottaa huomioon lausetyyppien välistä sekoittumista tarkasteltaessa.</w:t>
      </w:r>
    </w:p>
    <w:p w:rsidR="0041330B" w:rsidRDefault="0041330B">
      <w:pPr>
        <w:pStyle w:val="Leipteksti"/>
        <w:rPr>
          <w:snapToGrid w:val="0"/>
        </w:rPr>
      </w:pPr>
      <w:r>
        <w:rPr>
          <w:snapToGrid w:val="0"/>
        </w:rPr>
        <w:lastRenderedPageBreak/>
        <w:t>On syytä huomata, että lausetyyppien sekoittumisen eri muodot lankeavat usein yhteen – esimerkiksi tutkimusaineiston odotuksenvastaisesti kongruoivissa lauseissa on poikkeuksetta myös sijamerkinnältään epäidiomaattinen e-NP. Tämä puoltaa hypoteesia siitä, että oppijankielen syntaktinen epäidiomaattisuus on yhteydessä kokonaisten rakenteiden epäidiomaattisuuteen. Tämä puolestaan puoltaa sitä näkemystä, että lausetyyppien sekoittuminen voi selittää epäidiomaattisuuden laukaisevaa mekanismia, ei vain mahdollista sen kuvaamista. Näin ollen onkin loogista puhua lausetyyppien sekoittumisesta, ei yksittäisten morfosyntaktisten tekijöiden epäidiomaattisista esiintymistä tai normipoikkeamista.</w:t>
      </w:r>
    </w:p>
    <w:p w:rsidR="0041330B" w:rsidRDefault="0041330B">
      <w:pPr>
        <w:pStyle w:val="Leipteksti"/>
        <w:rPr>
          <w:snapToGrid w:val="0"/>
        </w:rPr>
      </w:pPr>
      <w:r>
        <w:rPr>
          <w:snapToGrid w:val="0"/>
        </w:rPr>
        <w:t xml:space="preserve">Se, että lauseiden epäidiomaattisuus liittyy nimenomaan eksistentiaalilauseelle </w:t>
      </w:r>
      <w:r>
        <w:rPr>
          <w:snapToGrid w:val="0"/>
          <w:lang w:val="fi-FI"/>
        </w:rPr>
        <w:t xml:space="preserve">ominaisina pidetyissä muotopiirteissä esiintyvään variaatioon, </w:t>
      </w:r>
      <w:r w:rsidR="00CC54B8">
        <w:rPr>
          <w:snapToGrid w:val="0"/>
          <w:lang w:val="fi-FI"/>
        </w:rPr>
        <w:t>tukee</w:t>
      </w:r>
      <w:r>
        <w:rPr>
          <w:snapToGrid w:val="0"/>
          <w:lang w:val="fi-FI"/>
        </w:rPr>
        <w:t xml:space="preserve"> vahvasti eksistentiaalilauseen asemaa suomen lausetyyppinä. Näiden muotopiirteiden synnyttämä lausetyyppien sekoittuminen ja merkityksen hämärtyminen osoittanevat osaltaan myös eksistentiaalilauseen olemassaolon omana kognitiivisena kategorianaan. Kun kategorian yhteydet sille läheisiin kategorioihin poikkeavat välikielessä kohdekielen yhteyksistä, syntyy aineistossa nähtävää, kohdekielen kannalta epäidiomaattista variaatiota.</w:t>
      </w:r>
    </w:p>
    <w:p w:rsidR="0041330B" w:rsidRDefault="0041330B">
      <w:pPr>
        <w:ind w:firstLine="0"/>
        <w:jc w:val="both"/>
        <w:rPr>
          <w:lang w:val="fi-FI"/>
        </w:rPr>
      </w:pPr>
    </w:p>
    <w:p w:rsidR="00FD5382" w:rsidRDefault="00FD5382" w:rsidP="00FD5382">
      <w:pPr>
        <w:pStyle w:val="ERY-Subheading1"/>
        <w:rPr>
          <w:snapToGrid w:val="0"/>
        </w:rPr>
      </w:pPr>
      <w:r>
        <w:rPr>
          <w:snapToGrid w:val="0"/>
        </w:rPr>
        <w:t>6. Annotoidun korpuksen mahdollisuudet konstruktioiden tarkastelussa</w:t>
      </w:r>
    </w:p>
    <w:p w:rsidR="0041330B" w:rsidRDefault="0041330B">
      <w:pPr>
        <w:pStyle w:val="Leipteksti"/>
      </w:pPr>
      <w:r>
        <w:t>Tämä artikkeli tarjoaa konkreettisia välineitä oppijankielen syntaktisten ominaispiirteiden tarkasteluun. Lausetyyppien keskinäisen sekoittumisen kolme alatyyppiä voivat toimia lähtökohtana oppijankielen syntaksin korpusvetoiseen tutkimukseen. Yhdessä kattavasti annotoidun</w:t>
      </w:r>
      <w:r w:rsidR="0097441C">
        <w:t xml:space="preserve"> </w:t>
      </w:r>
      <w:r w:rsidR="0097441C">
        <w:rPr>
          <w:snapToGrid w:val="0"/>
        </w:rPr>
        <w:t>(muotojen ja funktioiden mukaan merkityn)</w:t>
      </w:r>
      <w:r>
        <w:t xml:space="preserve"> korpusaineiston kanssa lausetyyppien sekoittuminen on luonteva lähtökohta ns. avainrakenneanalyysille, jossa etsitään korpuksen avulla oppijankieltä ja ensikielisesti käytettyä kieltä toisistaan erottavia syntaktisia tendenssejä (avainrakenneanalyysista ks. Ivaska–Siitonen: tulossa).</w:t>
      </w:r>
    </w:p>
    <w:p w:rsidR="0041330B" w:rsidRDefault="0041330B">
      <w:pPr>
        <w:pStyle w:val="Leipteksti"/>
      </w:pPr>
      <w:r>
        <w:t>Tässä esitellyn kvalitatiivisen epäidiomaattisuuden lisäksi ei ole mitään syytä</w:t>
      </w:r>
      <w:r w:rsidR="003B7799">
        <w:t xml:space="preserve"> ajatella</w:t>
      </w:r>
      <w:r>
        <w:t xml:space="preserve">, että lausetyyppien sekoittumisen eri alalajit eivät voisi vaikuttaa osaltaan myös oppijankielen kvantitatiiviseen epäidiomaattisuuteen – vaikkapa jonkin lausetyypin epätyypillisen, joskin ehkä kvalitatiivisesti idiomaattisen muotovariantin yliyleistymiseen oppijankielessä. Lausetyypit antavat avainrakenneanalyysille kattavan vertailupinnan ja muodollisen lähtökohdan, jonka pohjalta hakuehtoja </w:t>
      </w:r>
      <w:r>
        <w:lastRenderedPageBreak/>
        <w:t>voidaan muokata. Variaation tavoittamiseksi voidaan edelleen laventaa yhtä hakuehtoa kerrallaan ja näin tavoittaa tässä artikkelissa kuvatun kaltaisia lausetyypin sekoittumisen eri muotoja.</w:t>
      </w:r>
    </w:p>
    <w:p w:rsidR="0041330B" w:rsidRDefault="0041330B">
      <w:pPr>
        <w:pStyle w:val="ERY-Subheading1"/>
      </w:pPr>
      <w:r>
        <w:t>Lähteet</w:t>
      </w:r>
    </w:p>
    <w:p w:rsidR="0041330B" w:rsidRPr="003D172D" w:rsidRDefault="0041330B">
      <w:pPr>
        <w:pStyle w:val="Default"/>
        <w:rPr>
          <w:sz w:val="22"/>
          <w:szCs w:val="22"/>
          <w:lang w:val="fi-FI"/>
        </w:rPr>
      </w:pPr>
    </w:p>
    <w:p w:rsidR="0041330B" w:rsidRDefault="0041330B">
      <w:pPr>
        <w:pStyle w:val="ERY-Reference"/>
      </w:pPr>
      <w:r>
        <w:t xml:space="preserve">LAS2 = Edistyneiden suomenoppijoiden korpus. Suomen kielen oppiaine, kieli-ja käännöstieteiden laitos, Turun yliopisto. </w:t>
      </w:r>
    </w:p>
    <w:p w:rsidR="0041330B" w:rsidRDefault="0041330B">
      <w:pPr>
        <w:pStyle w:val="ERY-Reference"/>
      </w:pPr>
    </w:p>
    <w:p w:rsidR="0041330B" w:rsidRDefault="0041330B"/>
    <w:p w:rsidR="0041330B" w:rsidRDefault="0041330B">
      <w:pPr>
        <w:pStyle w:val="ERY-Reference"/>
      </w:pPr>
      <w:r>
        <w:t>Croft, William 2001. Radical Construction Grammar: Syntactic Theory in Typological Perspective. Oxford: Oxford University Press.</w:t>
      </w:r>
    </w:p>
    <w:p w:rsidR="0041330B" w:rsidRDefault="0041330B">
      <w:pPr>
        <w:pStyle w:val="ERY-Reference"/>
      </w:pPr>
      <w:r>
        <w:t>Ellis, Nick</w:t>
      </w:r>
      <w:r>
        <w:rPr>
          <w:smallCaps/>
        </w:rPr>
        <w:t xml:space="preserve"> C. 2002. </w:t>
      </w:r>
      <w:r>
        <w:t>Frequency effects in language processing: A review with implications for theories of implicit and explicit language acquisition. – Studies in Second Language Acquisition 24, 143–188.</w:t>
      </w:r>
    </w:p>
    <w:p w:rsidR="0041330B" w:rsidRDefault="0041330B">
      <w:pPr>
        <w:pStyle w:val="ERY-Reference"/>
      </w:pPr>
      <w:r>
        <w:t>Elman, J. L., E. A. Bates, M. H. Johnson, A. Karmiloff-Smith, D. Parisi, K. Plunkett 1996. Rethinking Innateness: A connectionist perspective on development. Cambridge, MA: MIT Press.</w:t>
      </w:r>
    </w:p>
    <w:p w:rsidR="0041330B" w:rsidRDefault="009C560C">
      <w:pPr>
        <w:pStyle w:val="ERY-Reference"/>
      </w:pPr>
      <w:r>
        <w:t>Gold</w:t>
      </w:r>
      <w:r w:rsidR="0041330B">
        <w:t>berg, A. 1995. Constructions: A Construction Grammar Approach to Argument Structure. Chicago: The University of Chicago Press.</w:t>
      </w:r>
    </w:p>
    <w:p w:rsidR="0041330B" w:rsidRDefault="0041330B">
      <w:pPr>
        <w:pStyle w:val="ERY-Reference"/>
      </w:pPr>
      <w:r>
        <w:t>Granger, S. 2002. A Bird’s-eye view of learner corpus research. – S. Granger, J.Hung, S. Petch-Tyson (Toim.). Computer Learner Corpora, Second Language Acquisition and Foreign Language Teaching. Amsterdam: Benjamins, 3–33.</w:t>
      </w:r>
    </w:p>
    <w:p w:rsidR="0041330B" w:rsidRDefault="0041330B">
      <w:pPr>
        <w:pStyle w:val="ERY-Reference"/>
      </w:pPr>
      <w:r>
        <w:t>Hakanen, A. 1972. Normaalilause ja eksistentiaalilause. – Sananjalka 14</w:t>
      </w:r>
      <w:r>
        <w:rPr>
          <w:i/>
        </w:rPr>
        <w:t xml:space="preserve">, </w:t>
      </w:r>
      <w:r>
        <w:t>36–76.</w:t>
      </w:r>
    </w:p>
    <w:p w:rsidR="0041330B" w:rsidRDefault="0041330B">
      <w:pPr>
        <w:pStyle w:val="ERY-Reference"/>
      </w:pPr>
      <w:r>
        <w:t>Hakulinen, A., F. Karlsson 1979. Nykysuomen lauseoppia. Suomalaisen Kirjallisuuden Seuran Toimituksia 350. Helsinki: Suomalaisen Kirjallisuuden Seura.</w:t>
      </w:r>
    </w:p>
    <w:p w:rsidR="0041330B" w:rsidRDefault="0041330B">
      <w:pPr>
        <w:pStyle w:val="ERY-Reference"/>
      </w:pPr>
      <w:r>
        <w:t>Helasvuo, M.-L. 1996. Ollako vai eikö olla – eksistentiaalilauseen subjektin kohtalonkysymys. – Virittäjä 100, 340–356.</w:t>
      </w:r>
    </w:p>
    <w:p w:rsidR="0041330B" w:rsidRDefault="003B7799">
      <w:pPr>
        <w:pStyle w:val="ERY-Reference"/>
      </w:pPr>
      <w:r>
        <w:t>Helasvuo, M.-L.,</w:t>
      </w:r>
      <w:r w:rsidR="0041330B">
        <w:t xml:space="preserve"> </w:t>
      </w:r>
      <w:r>
        <w:t>T. Huumo</w:t>
      </w:r>
      <w:r w:rsidR="0041330B">
        <w:t xml:space="preserve"> 2010. Mikä subjekti on? – Virittäjä 114, 165–194.</w:t>
      </w:r>
    </w:p>
    <w:p w:rsidR="0041330B" w:rsidRDefault="0041330B">
      <w:pPr>
        <w:pStyle w:val="ERY-Reference"/>
        <w:ind w:left="733"/>
      </w:pPr>
      <w:r>
        <w:t>Huumo, T., J. Perko 1993. Eksistentiaalilause lokaalisuuden ilmaisijana. – Virittäjä 97</w:t>
      </w:r>
      <w:r>
        <w:rPr>
          <w:i/>
        </w:rPr>
        <w:t xml:space="preserve">, </w:t>
      </w:r>
      <w:r>
        <w:t>380–399.</w:t>
      </w:r>
    </w:p>
    <w:p w:rsidR="0002156F" w:rsidRDefault="0041330B" w:rsidP="0002156F">
      <w:pPr>
        <w:pStyle w:val="ERY-Reference"/>
      </w:pPr>
      <w:r>
        <w:t>Häkkinen, Kaisa 2005. Punainen jättiläinen on syntynyt. Tieteessä tapahtuu 5/2005. Helsinki: Tieteellisten seurain valtuuskunta, 56–62.</w:t>
      </w:r>
    </w:p>
    <w:p w:rsidR="0002156F" w:rsidRDefault="0002156F">
      <w:pPr>
        <w:pStyle w:val="ERY-Reference"/>
      </w:pPr>
      <w:r>
        <w:rPr>
          <w:lang w:val="fi-FI"/>
        </w:rPr>
        <w:t>Ikola, Osmo 1954.</w:t>
      </w:r>
      <w:r w:rsidRPr="0002156F">
        <w:rPr>
          <w:lang w:val="fi-FI"/>
        </w:rPr>
        <w:t xml:space="preserve"> Suomen lauseopin ongelmia I–III.</w:t>
      </w:r>
      <w:r>
        <w:rPr>
          <w:lang w:val="fi-FI"/>
        </w:rPr>
        <w:t xml:space="preserve"> –</w:t>
      </w:r>
      <w:r w:rsidRPr="0002156F">
        <w:rPr>
          <w:lang w:val="fi-FI"/>
        </w:rPr>
        <w:t xml:space="preserve"> </w:t>
      </w:r>
      <w:r w:rsidRPr="0002156F">
        <w:rPr>
          <w:iCs/>
          <w:lang w:val="fi-FI"/>
        </w:rPr>
        <w:t>Vir</w:t>
      </w:r>
      <w:r>
        <w:rPr>
          <w:iCs/>
          <w:lang w:val="fi-FI"/>
        </w:rPr>
        <w:t>ittäjä</w:t>
      </w:r>
      <w:r w:rsidR="00983C28">
        <w:rPr>
          <w:iCs/>
          <w:lang w:val="fi-FI"/>
        </w:rPr>
        <w:t xml:space="preserve"> 58</w:t>
      </w:r>
      <w:r w:rsidRPr="0002156F">
        <w:rPr>
          <w:iCs/>
          <w:lang w:val="fi-FI"/>
        </w:rPr>
        <w:t>,</w:t>
      </w:r>
      <w:r w:rsidRPr="0002156F">
        <w:rPr>
          <w:lang w:val="fi-FI"/>
        </w:rPr>
        <w:t xml:space="preserve"> 209–245.</w:t>
      </w:r>
    </w:p>
    <w:p w:rsidR="0041330B" w:rsidRDefault="0041330B">
      <w:pPr>
        <w:pStyle w:val="ERY-Reference"/>
      </w:pPr>
      <w:r>
        <w:t>Inaba, Nobufumi 1996. Suomen kielen lausetyyppikuvaukseen liittyviä ongelmia: suomalainen 'oleminen' ja suomalainen 'omistaminen'. Julkaisematon pro gradu tutkielma. Turun yliopisto.</w:t>
      </w:r>
    </w:p>
    <w:p w:rsidR="0041330B" w:rsidRDefault="0041330B">
      <w:pPr>
        <w:pStyle w:val="ERY-Reference"/>
      </w:pPr>
      <w:r>
        <w:t>ISK = Hakulinen, A., M. Vilkuna, R. Korhonen, V. Koivisto, T. R. Heinonen, &amp; I. Alho 2004: Iso suomen kielioppi. Suomalaisen Kirjallisuuden Seuran Toimituksia 950. Helsinki: Suomalaisen Kirjallisuuden Seura.</w:t>
      </w:r>
    </w:p>
    <w:p w:rsidR="0041330B" w:rsidRDefault="0041330B">
      <w:pPr>
        <w:pStyle w:val="ERY-Reference"/>
      </w:pPr>
      <w:r>
        <w:t>Ivaska, Ilmari 2010a.</w:t>
      </w:r>
      <w:r>
        <w:rPr>
          <w:smallCaps/>
        </w:rPr>
        <w:t xml:space="preserve"> </w:t>
      </w:r>
      <w:r>
        <w:t xml:space="preserve">Eksistentiaalilauseen subjektijäsen edistyneiden suomenoppijoiden kirjoituksessa. – </w:t>
      </w:r>
      <w:r>
        <w:rPr>
          <w:i/>
        </w:rPr>
        <w:t>Sananjalka 52,</w:t>
      </w:r>
      <w:r>
        <w:t xml:space="preserve"> 67–88.</w:t>
      </w:r>
    </w:p>
    <w:p w:rsidR="0041330B" w:rsidRDefault="0041330B">
      <w:pPr>
        <w:pStyle w:val="ERY-Reference"/>
      </w:pPr>
      <w:r>
        <w:t>–––––– 2010b. Mitä syntaktisesti koodattu korpus voi kertoa sanajärjestyksestä Predikaatti ja subjekti edistyneiden suomenoppijoiden eksistentiaalisissa lauseissa. – Pille Eslon, Katre Õim (Toim.). Korpusuuring ja meetodid. Tallinna: Tallinna u</w:t>
      </w:r>
      <w:r>
        <w:rPr>
          <w:rFonts w:ascii="Tahoma" w:hAnsi="Tahoma" w:cs="Tahoma"/>
        </w:rPr>
        <w:t>̈</w:t>
      </w:r>
      <w:r>
        <w:t>likooli eesti keele ja kultuuri instituudi toimetised 12,  37–58.</w:t>
      </w:r>
    </w:p>
    <w:p w:rsidR="0041330B" w:rsidRDefault="0041330B">
      <w:pPr>
        <w:pStyle w:val="ERY-Reference"/>
      </w:pPr>
      <w:r>
        <w:t xml:space="preserve">Ivaska, Ilmari, Kirsti Siitonen </w:t>
      </w:r>
      <w:r w:rsidR="00961438">
        <w:t>2009</w:t>
      </w:r>
      <w:r>
        <w:t xml:space="preserve">. Syntaktisesti koodattu oppijankielen korpus: mahdollisuuksia ja ongelmia. – Eslon, Katre Õim (Toim.). </w:t>
      </w:r>
      <w:r w:rsidR="003437B6">
        <w:t>Korpusuuringute m</w:t>
      </w:r>
      <w:r>
        <w:t>etodoloogia ja märgendamise probleemid. Tallinna: Tallinna Ülikooli Eesti Keele ja Kultuuri Instituudi toimetised 11,  54–71.</w:t>
      </w:r>
    </w:p>
    <w:p w:rsidR="0041330B" w:rsidRDefault="0041330B">
      <w:pPr>
        <w:pStyle w:val="ERY-Reference"/>
      </w:pPr>
      <w:r>
        <w:t>——— tulossa. Avainrakenneanalyysi: tapa tutkia oppijankielen lauserakennetta korpusvetoisesti.</w:t>
      </w:r>
    </w:p>
    <w:p w:rsidR="0041330B" w:rsidRDefault="0041330B">
      <w:pPr>
        <w:pStyle w:val="ERY-Reference"/>
      </w:pPr>
      <w:r>
        <w:lastRenderedPageBreak/>
        <w:t>Jantunen, J. H. 2004. Synonymia ja käännössuomi: korpusnäkökulma samamerkityksisyyden kontekstuaalisuuteen ja käännöskielen leksikaalisiin erityispiirteisiin. Joensuu: Joensuun yliopiston humanistisia julkaisuja.</w:t>
      </w:r>
    </w:p>
    <w:p w:rsidR="0041330B" w:rsidRDefault="0041330B">
      <w:pPr>
        <w:pStyle w:val="ERY-Reference"/>
      </w:pPr>
      <w:r>
        <w:t>Jantunen, J. H., S. Piltonen 2009. Oppijansuomen ja viron sähköiset tutkimusaineistot. Virittäjä 113, 449–458.</w:t>
      </w:r>
    </w:p>
    <w:p w:rsidR="0041330B" w:rsidRDefault="0041330B">
      <w:pPr>
        <w:pStyle w:val="ERY-Reference"/>
      </w:pPr>
      <w:r>
        <w:t>Jespersen, Otto . Philosophy of Grammar. Lontoo: George Allen &amp; Unwin ltd.</w:t>
      </w:r>
    </w:p>
    <w:p w:rsidR="0041330B" w:rsidRDefault="0041330B">
      <w:pPr>
        <w:pStyle w:val="ERY-Reference"/>
      </w:pPr>
      <w:r>
        <w:t>Karlsson, Fred 2009. Suomen peruskielioppi. 4., laajennettu ja uudistettu painos. Suomalaisen Kirjallisuuden Seuran Toimituksia 378. Helsinki: Suomalaisen Kirjallisuuden Seura.</w:t>
      </w:r>
    </w:p>
    <w:p w:rsidR="0041330B" w:rsidRDefault="0041330B">
      <w:pPr>
        <w:pStyle w:val="ERY-Reference"/>
      </w:pPr>
      <w:r>
        <w:t xml:space="preserve">Kemmer, S., </w:t>
      </w:r>
      <w:r w:rsidR="003437B6">
        <w:t xml:space="preserve">G. </w:t>
      </w:r>
      <w:r>
        <w:t xml:space="preserve">Barlow 2000. Introduction: A usage-based conception of language. – </w:t>
      </w:r>
      <w:r w:rsidR="003437B6">
        <w:t xml:space="preserve">G. Barlow, S. Kemmer (Toim.). </w:t>
      </w:r>
      <w:r>
        <w:t>Usage-based Models of Language. Stanford: CSLI, vii–xxvii.</w:t>
      </w:r>
    </w:p>
    <w:p w:rsidR="0041330B" w:rsidRDefault="0041330B">
      <w:pPr>
        <w:pStyle w:val="ERY-Reference"/>
      </w:pPr>
      <w:r>
        <w:t xml:space="preserve">Mintz, Toben H. 2006. Frequent frames: Simple co-occurrence constructions and their links to linguistic structure. </w:t>
      </w:r>
      <w:r w:rsidR="00747793">
        <w:t xml:space="preserve">– Eve V. Clark, Barbara F. Kelly (Toim.). Constructions in Acquisition. </w:t>
      </w:r>
      <w:r>
        <w:t>CSLI Lecture notes 174. Stanford: CSLI Publications.</w:t>
      </w:r>
    </w:p>
    <w:p w:rsidR="0041330B" w:rsidRDefault="0041330B">
      <w:pPr>
        <w:pStyle w:val="ERY-Reference"/>
      </w:pPr>
      <w:r>
        <w:t xml:space="preserve">Norman, Marjatta 1993. Eksistentiaalilauseiden opetuksesta norjalaisten tenttivastausten valossa. – </w:t>
      </w:r>
      <w:r w:rsidR="00CD2EA2">
        <w:t xml:space="preserve">Jyrki Kalliokoski, Kirsti Siitonen (Toim.). Suomeksi </w:t>
      </w:r>
      <w:r>
        <w:t>maailmalla. Kirjoituksia Suomen kielen ja kulttuurin opettamisesta. Castrenianumin toimitteita 44. Helsinki : Helsingin yliopiston suomen kielen laitos, Helsingin yliopiston suomalais-ugrilainen laitos ja Suomalais-Ugrilainen Seura,  132–141.</w:t>
      </w:r>
    </w:p>
    <w:p w:rsidR="0041330B" w:rsidRDefault="0041330B">
      <w:pPr>
        <w:pStyle w:val="ERY-Reference"/>
      </w:pPr>
      <w:r>
        <w:t xml:space="preserve">Siitonen, Kirsti 1993. Peruslausetyypeistä johdettuja subjektittomia lauseita. </w:t>
      </w:r>
      <w:r w:rsidR="006A3BA0">
        <w:t xml:space="preserve">– Jyrki Kalliokoski, Kirsti Siitonen (Toim.). Suomeksi maailmalla. Kirjoituksia Suomen kielen ja kulttuurin opettamisesta. </w:t>
      </w:r>
      <w:r>
        <w:t>Castrenianumin toimitteita 44. Helsinki : Helsingin yliopiston suomen kielen laitos, Helsingin yliopiston suomalais-ugrilainen laitos ja Suomalais-Ugrilainen Seura, 118–131.</w:t>
      </w:r>
    </w:p>
    <w:p w:rsidR="0041330B" w:rsidRDefault="00B84682">
      <w:pPr>
        <w:pStyle w:val="ERY-Reference"/>
      </w:pPr>
      <w:r>
        <w:t>———</w:t>
      </w:r>
      <w:r w:rsidR="0041330B">
        <w:t xml:space="preserve"> 2010. Mitä pitkittäistutkimus paljastaa edistyneiden oppijoiden kielitaidosta. Esitelmä fenno-ugristikongressissa 10.8.2010. Piliscsaba, Unkari.</w:t>
      </w:r>
    </w:p>
    <w:p w:rsidR="0041330B" w:rsidRDefault="0041330B">
      <w:pPr>
        <w:pStyle w:val="ERY-Reference"/>
      </w:pPr>
      <w:r>
        <w:t>Sinclair, John 1991. Corpus, Concordance, Collocation. Oxford: Oxford University Press.</w:t>
      </w:r>
    </w:p>
    <w:p w:rsidR="0041330B" w:rsidRDefault="0041330B">
      <w:pPr>
        <w:pStyle w:val="ERY-Reference"/>
      </w:pPr>
      <w:r>
        <w:t>Tiainen, Outi 1997. Suomen eksistentiaalilause – päättymätön tarina. – Virittäjä 101, 563–571</w:t>
      </w:r>
      <w:r>
        <w:rPr>
          <w:sz w:val="24"/>
        </w:rPr>
        <w:t>.</w:t>
      </w:r>
    </w:p>
    <w:p w:rsidR="0041330B" w:rsidRDefault="0041330B">
      <w:pPr>
        <w:pStyle w:val="ERY-Reference"/>
      </w:pPr>
      <w:r>
        <w:t>Tomasello, Michael 2003. Constructing a Language: A Usage-Based Theory of Language Acquisition. Harward: Harward University Press.</w:t>
      </w:r>
    </w:p>
    <w:p w:rsidR="0041330B" w:rsidRDefault="0041330B">
      <w:pPr>
        <w:pStyle w:val="ERY-Reference"/>
      </w:pPr>
      <w:r w:rsidRPr="004E1B0A">
        <w:t>White, Leila 1993. Suomen kielioppia ulkomaalaisille. Helsinki: Finn Lectura.</w:t>
      </w:r>
    </w:p>
    <w:p w:rsidR="004E1B0A" w:rsidRPr="004E1B0A" w:rsidRDefault="004E1B0A">
      <w:pPr>
        <w:pStyle w:val="ERY-Reference"/>
      </w:pPr>
      <w:r>
        <w:t>Vilkuna, Maria 1989. Free Word Order in Finnish. Its Syntax and Dinscourse Functions.</w:t>
      </w:r>
      <w:r w:rsidR="005F20F9">
        <w:t xml:space="preserve"> Helsinki: Suomalaisen Kirjallisuuden Seura.</w:t>
      </w:r>
    </w:p>
    <w:p w:rsidR="0041330B" w:rsidRDefault="0041330B">
      <w:pPr>
        <w:pStyle w:val="ERY-Reference"/>
      </w:pPr>
      <w:r>
        <w:t>Vähämäki, Börje . On defining basic sentences in Finnish. – Mauno Koski, Eeva Lähdemäki, Kaisa Häkkinen (Toim.). festiva in honorem Göran Karlss</w:t>
      </w:r>
      <w:r w:rsidR="00483A2C">
        <w:t>on. Turku: Åbo Akademis förlag,</w:t>
      </w:r>
      <w:r>
        <w:t xml:space="preserve"> 174–188</w:t>
      </w:r>
    </w:p>
    <w:p w:rsidR="0041330B" w:rsidRDefault="0041330B">
      <w:pPr>
        <w:pStyle w:val="ERY-Reference"/>
      </w:pPr>
      <w:r>
        <w:t>——— 1993. Suomen kielen peruslauseet opetuksen apuna. – Suomeksi maailmalla. Kirjoituksia Suomen kielen ja kulttuurin opettamisesta. Jyrki Kalliokoski, Kirsti Siitonen (Toim.). Castrenianumin toimitteita 44. Helsingin yliopiston suomen kielen laitos, Helsinki: Helsingin yliopiston suomalais-ugrilainen laitos ja Suomalais-Ugrilainen Seura, 112–117.</w:t>
      </w:r>
    </w:p>
    <w:p w:rsidR="0041330B" w:rsidRDefault="0041330B">
      <w:pPr>
        <w:pStyle w:val="ERY-Reference"/>
      </w:pPr>
    </w:p>
    <w:p w:rsidR="0041330B" w:rsidRDefault="0041330B">
      <w:pPr>
        <w:pStyle w:val="ERY-Reference"/>
      </w:pPr>
    </w:p>
    <w:p w:rsidR="0041330B" w:rsidRDefault="0041330B">
      <w:pPr>
        <w:pStyle w:val="Leipteksti"/>
        <w:ind w:firstLine="0"/>
        <w:rPr>
          <w:b/>
          <w:bCs/>
        </w:rPr>
      </w:pPr>
      <w:r>
        <w:br w:type="page"/>
      </w:r>
      <w:r>
        <w:rPr>
          <w:b/>
          <w:bCs/>
        </w:rPr>
        <w:lastRenderedPageBreak/>
        <w:t>Clause type confusion in advanced Learner Finnish – Existential sentence as our perspective</w:t>
      </w:r>
    </w:p>
    <w:p w:rsidR="0041330B" w:rsidRDefault="0041330B">
      <w:pPr>
        <w:pStyle w:val="Leipteksti"/>
        <w:ind w:firstLine="0"/>
      </w:pPr>
      <w:r>
        <w:t xml:space="preserve">Clause type -based approach is a common framework in the studies of the syntax of Learner Language. The advantages of this approach include its comprehensibility, pedagogical applicability and its adaptability in terms of the natural acquisition theories of language, such as </w:t>
      </w:r>
      <w:r w:rsidR="00B70050">
        <w:t>different usaga-based models</w:t>
      </w:r>
      <w:r>
        <w:t>. This paper discusses the clause types of Learner Finnish and the phenomenon of mixing up features of several clause types in one actual sentence.</w:t>
      </w:r>
      <w:r w:rsidR="001B736E">
        <w:t xml:space="preserve"> The phenomenon of mixing up t</w:t>
      </w:r>
      <w:r w:rsidR="0048070D">
        <w:t xml:space="preserve">he features of different clause </w:t>
      </w:r>
      <w:r w:rsidR="001B736E">
        <w:t>types is typical in native-speakers’ Finnish but is also a source of unidiomatic structures of learner Finnish.</w:t>
      </w:r>
      <w:r>
        <w:t xml:space="preserve"> The existential sentence of Finnish serves as basis for this observation. Based on our observations, we propose three different subtypes of this mixing-up: 1) formal unidiomacy of a given constituent in the given context, 2) unidiomatic order of two given constituents in the given context and 3) the lack of a constituent mandatory in the given context. It is typical for the syntax of Learner Finnish that several of these subtypes occur simultaneously. The results show that the syntactical unidiomacy of Learner Finnish should be seen as unidiomacy of the whole structure rather than that of its single constituents. The paper also discusses the applicability of the method and of the results. It suggests they could serve the purposes of corpus-driven learner language studies.</w:t>
      </w:r>
    </w:p>
    <w:p w:rsidR="0041330B" w:rsidRDefault="0041330B" w:rsidP="00076A04">
      <w:pPr>
        <w:pStyle w:val="Leipteksti"/>
        <w:ind w:firstLine="0"/>
        <w:rPr>
          <w:rFonts w:ascii="Arial" w:hAnsi="Arial" w:cs="Arial"/>
          <w:b/>
          <w:bCs/>
          <w:caps/>
          <w:sz w:val="28"/>
          <w:szCs w:val="28"/>
        </w:rPr>
      </w:pPr>
    </w:p>
    <w:p w:rsidR="00076A04" w:rsidRDefault="00076A04" w:rsidP="00076A04">
      <w:pPr>
        <w:spacing w:after="120"/>
        <w:ind w:firstLine="0"/>
        <w:jc w:val="both"/>
        <w:rPr>
          <w:snapToGrid w:val="0"/>
        </w:rPr>
      </w:pPr>
      <w:r w:rsidRPr="003D172D">
        <w:rPr>
          <w:b/>
          <w:snapToGrid w:val="0"/>
          <w:lang w:val="en-US"/>
        </w:rPr>
        <w:t>Keywords:</w:t>
      </w:r>
      <w:r w:rsidRPr="003D172D">
        <w:rPr>
          <w:snapToGrid w:val="0"/>
          <w:lang w:val="en-US"/>
        </w:rPr>
        <w:t xml:space="preserve"> Learner Language, Finnish as a Second Language, Syntax, Syntactical Clause Types, Corpus research, Existential Sentence</w:t>
      </w:r>
    </w:p>
    <w:p w:rsidR="00076A04" w:rsidRDefault="00076A04" w:rsidP="00076A04">
      <w:pPr>
        <w:pStyle w:val="Leipteksti"/>
        <w:ind w:firstLine="0"/>
        <w:rPr>
          <w:snapToGrid w:val="0"/>
        </w:rPr>
      </w:pPr>
    </w:p>
    <w:sectPr w:rsidR="00076A04">
      <w:type w:val="continuous"/>
      <w:pgSz w:w="11906" w:h="16838"/>
      <w:pgMar w:top="1440" w:right="1797" w:bottom="1440" w:left="1797" w:header="708" w:footer="708" w:gutter="0"/>
      <w:cols w:space="708"/>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decorative"/>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embedSystemFonts/>
  <w:bordersDoNotSurroundHeader/>
  <w:bordersDoNotSurroundFooter/>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4069"/>
    <w:rsid w:val="000110B1"/>
    <w:rsid w:val="0002156F"/>
    <w:rsid w:val="00067339"/>
    <w:rsid w:val="00076A04"/>
    <w:rsid w:val="000A0963"/>
    <w:rsid w:val="000E64B1"/>
    <w:rsid w:val="00161729"/>
    <w:rsid w:val="001B12C8"/>
    <w:rsid w:val="001B736E"/>
    <w:rsid w:val="00255D17"/>
    <w:rsid w:val="002A08FE"/>
    <w:rsid w:val="00301602"/>
    <w:rsid w:val="003437B6"/>
    <w:rsid w:val="00355161"/>
    <w:rsid w:val="003661AB"/>
    <w:rsid w:val="003B7799"/>
    <w:rsid w:val="003D172D"/>
    <w:rsid w:val="0041330B"/>
    <w:rsid w:val="0048070D"/>
    <w:rsid w:val="00483A2C"/>
    <w:rsid w:val="004A6498"/>
    <w:rsid w:val="004E1B0A"/>
    <w:rsid w:val="00523E2D"/>
    <w:rsid w:val="0053151E"/>
    <w:rsid w:val="00555D73"/>
    <w:rsid w:val="00580BED"/>
    <w:rsid w:val="005C5333"/>
    <w:rsid w:val="005F20F9"/>
    <w:rsid w:val="005F680D"/>
    <w:rsid w:val="006530BC"/>
    <w:rsid w:val="00677CCD"/>
    <w:rsid w:val="006A3BA0"/>
    <w:rsid w:val="0072302C"/>
    <w:rsid w:val="007343FC"/>
    <w:rsid w:val="00747793"/>
    <w:rsid w:val="007D29AC"/>
    <w:rsid w:val="00806647"/>
    <w:rsid w:val="00824AE0"/>
    <w:rsid w:val="00924D29"/>
    <w:rsid w:val="00961438"/>
    <w:rsid w:val="00964C42"/>
    <w:rsid w:val="0097441C"/>
    <w:rsid w:val="00981DAB"/>
    <w:rsid w:val="00983C28"/>
    <w:rsid w:val="009C1D85"/>
    <w:rsid w:val="009C560C"/>
    <w:rsid w:val="00AB1F9C"/>
    <w:rsid w:val="00B0699E"/>
    <w:rsid w:val="00B111DE"/>
    <w:rsid w:val="00B3339C"/>
    <w:rsid w:val="00B70050"/>
    <w:rsid w:val="00B83D7F"/>
    <w:rsid w:val="00B84682"/>
    <w:rsid w:val="00BA0BFE"/>
    <w:rsid w:val="00C67374"/>
    <w:rsid w:val="00CC54B8"/>
    <w:rsid w:val="00CD2EA2"/>
    <w:rsid w:val="00D0626C"/>
    <w:rsid w:val="00DD7501"/>
    <w:rsid w:val="00DF0862"/>
    <w:rsid w:val="00DF19DA"/>
    <w:rsid w:val="00EF23C1"/>
    <w:rsid w:val="00F04069"/>
    <w:rsid w:val="00F84D49"/>
    <w:rsid w:val="00FB7F07"/>
    <w:rsid w:val="00FD00D8"/>
    <w:rsid w:val="00FD5382"/>
    <w:rsid w:val="00FD567F"/>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efaultImageDpi w14:val="0"/>
  <w15:docId w15:val="{08848805-8D53-D843-A576-CBFB375670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fi-FI" w:eastAsia="fi-FI"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ali">
    <w:name w:val="Normal"/>
    <w:qFormat/>
    <w:pPr>
      <w:widowControl w:val="0"/>
      <w:autoSpaceDE w:val="0"/>
      <w:autoSpaceDN w:val="0"/>
      <w:adjustRightInd w:val="0"/>
      <w:ind w:firstLine="720"/>
    </w:pPr>
    <w:rPr>
      <w:lang w:val="et-EE" w:eastAsia="en-US"/>
    </w:rPr>
  </w:style>
  <w:style w:type="paragraph" w:styleId="Otsikko1">
    <w:name w:val="heading 1"/>
    <w:basedOn w:val="Normaali"/>
    <w:next w:val="Normaali"/>
    <w:link w:val="Otsikko1Char"/>
    <w:uiPriority w:val="99"/>
    <w:qFormat/>
    <w:pPr>
      <w:keepNext/>
      <w:spacing w:before="240" w:after="60"/>
      <w:outlineLvl w:val="0"/>
    </w:pPr>
    <w:rPr>
      <w:rFonts w:ascii="Arial" w:hAnsi="Arial" w:cs="Arial"/>
      <w:b/>
      <w:bCs/>
      <w:sz w:val="32"/>
      <w:szCs w:val="32"/>
    </w:rPr>
  </w:style>
  <w:style w:type="paragraph" w:styleId="Otsikko2">
    <w:name w:val="heading 2"/>
    <w:basedOn w:val="Normaali"/>
    <w:next w:val="Normaali"/>
    <w:link w:val="Otsikko2Char"/>
    <w:uiPriority w:val="99"/>
    <w:qFormat/>
    <w:pPr>
      <w:keepNext/>
      <w:spacing w:before="240" w:after="60"/>
      <w:outlineLvl w:val="1"/>
    </w:pPr>
    <w:rPr>
      <w:rFonts w:ascii="Arial" w:hAnsi="Arial" w:cs="Arial"/>
      <w:b/>
      <w:bCs/>
      <w:i/>
      <w:iCs/>
      <w:sz w:val="28"/>
      <w:szCs w:val="28"/>
    </w:rPr>
  </w:style>
  <w:style w:type="paragraph" w:styleId="Otsikko3">
    <w:name w:val="heading 3"/>
    <w:basedOn w:val="Normaali"/>
    <w:next w:val="Normaali"/>
    <w:link w:val="Otsikko3Char"/>
    <w:uiPriority w:val="99"/>
    <w:qFormat/>
    <w:pPr>
      <w:keepNext/>
      <w:spacing w:before="240" w:after="60"/>
      <w:ind w:left="907" w:firstLine="0"/>
      <w:outlineLvl w:val="2"/>
    </w:pPr>
    <w:rPr>
      <w:bCs/>
      <w:sz w:val="20"/>
      <w:szCs w:val="20"/>
      <w:lang w:val="fi-FI"/>
    </w:rPr>
  </w:style>
  <w:style w:type="character" w:default="1" w:styleId="Kappaleenoletusfontti">
    <w:name w:val="Default Paragraph Font"/>
    <w:uiPriority w:val="99"/>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2Char">
    <w:name w:val="Otsikko 2 Char"/>
    <w:basedOn w:val="Kappaleenoletusfontti"/>
    <w:link w:val="Otsikko2"/>
    <w:uiPriority w:val="99"/>
    <w:semiHidden/>
    <w:locked/>
    <w:rPr>
      <w:rFonts w:ascii="Calibri" w:eastAsia="Times New Roman" w:hAnsi="Calibri" w:cs="Times New Roman"/>
      <w:b/>
      <w:bCs/>
      <w:i/>
      <w:iCs/>
      <w:sz w:val="28"/>
      <w:szCs w:val="28"/>
      <w:lang w:val="et-EE" w:eastAsia="x-none"/>
    </w:rPr>
  </w:style>
  <w:style w:type="character" w:customStyle="1" w:styleId="Otsikko3Char">
    <w:name w:val="Otsikko 3 Char"/>
    <w:basedOn w:val="Kappaleenoletusfontti"/>
    <w:link w:val="Otsikko3"/>
    <w:uiPriority w:val="99"/>
    <w:semiHidden/>
    <w:locked/>
    <w:rPr>
      <w:rFonts w:ascii="Calibri" w:eastAsia="Times New Roman" w:hAnsi="Calibri" w:cs="Times New Roman"/>
      <w:b/>
      <w:bCs/>
      <w:sz w:val="26"/>
      <w:szCs w:val="26"/>
      <w:lang w:val="et-EE" w:eastAsia="x-none"/>
    </w:rPr>
  </w:style>
  <w:style w:type="paragraph" w:customStyle="1" w:styleId="Heading">
    <w:name w:val="Heading"/>
    <w:basedOn w:val="Normaali"/>
    <w:next w:val="Leipteksti"/>
    <w:uiPriority w:val="99"/>
    <w:pPr>
      <w:keepNext/>
      <w:spacing w:before="240" w:after="120"/>
    </w:pPr>
    <w:rPr>
      <w:rFonts w:ascii="Arial" w:eastAsia="Arial Unicode MS" w:hAnsi="Arial" w:cs="Arial Unicode MS"/>
      <w:sz w:val="28"/>
      <w:szCs w:val="28"/>
    </w:rPr>
  </w:style>
  <w:style w:type="character" w:customStyle="1" w:styleId="Otsikko1Char">
    <w:name w:val="Otsikko 1 Char"/>
    <w:basedOn w:val="Kappaleenoletusfontti"/>
    <w:link w:val="Otsikko1"/>
    <w:uiPriority w:val="99"/>
    <w:locked/>
    <w:rPr>
      <w:rFonts w:ascii="Calibri" w:eastAsia="Times New Roman" w:hAnsi="Calibri" w:cs="Times New Roman"/>
      <w:b/>
      <w:bCs/>
      <w:kern w:val="32"/>
      <w:sz w:val="32"/>
      <w:szCs w:val="32"/>
      <w:lang w:val="et-EE" w:eastAsia="x-none"/>
    </w:rPr>
  </w:style>
  <w:style w:type="paragraph" w:styleId="Leipteksti">
    <w:name w:val="Body Text"/>
    <w:basedOn w:val="Normaali"/>
    <w:link w:val="LeiptekstiChar"/>
    <w:uiPriority w:val="99"/>
    <w:pPr>
      <w:spacing w:after="120" w:line="360" w:lineRule="auto"/>
    </w:pPr>
  </w:style>
  <w:style w:type="paragraph" w:styleId="Luettelo">
    <w:name w:val="List"/>
    <w:basedOn w:val="Leipteksti"/>
    <w:uiPriority w:val="99"/>
  </w:style>
  <w:style w:type="character" w:customStyle="1" w:styleId="LeiptekstiChar">
    <w:name w:val="Leipäteksti Char"/>
    <w:basedOn w:val="Kappaleenoletusfontti"/>
    <w:link w:val="Leipteksti"/>
    <w:uiPriority w:val="99"/>
    <w:semiHidden/>
    <w:locked/>
    <w:rPr>
      <w:rFonts w:cs="Times New Roman"/>
      <w:sz w:val="24"/>
      <w:szCs w:val="24"/>
      <w:lang w:val="et-EE" w:eastAsia="x-none"/>
    </w:rPr>
  </w:style>
  <w:style w:type="paragraph" w:styleId="Kuvaotsikko">
    <w:name w:val="caption"/>
    <w:basedOn w:val="Normaali"/>
    <w:uiPriority w:val="99"/>
    <w:qFormat/>
    <w:pPr>
      <w:spacing w:before="120" w:after="120"/>
    </w:pPr>
    <w:rPr>
      <w:i/>
      <w:iCs/>
    </w:rPr>
  </w:style>
  <w:style w:type="paragraph" w:customStyle="1" w:styleId="Index">
    <w:name w:val="Index"/>
    <w:basedOn w:val="Normaali"/>
    <w:uiPriority w:val="99"/>
  </w:style>
  <w:style w:type="paragraph" w:customStyle="1" w:styleId="Heading1">
    <w:name w:val="Heading1"/>
    <w:basedOn w:val="Normaali"/>
    <w:next w:val="Leipteksti"/>
    <w:uiPriority w:val="99"/>
    <w:pPr>
      <w:keepNext/>
      <w:spacing w:before="240" w:after="120"/>
    </w:pPr>
    <w:rPr>
      <w:rFonts w:ascii="Arial" w:eastAsia="Arial Unicode MS" w:hAnsi="Arial" w:cs="Arial"/>
      <w:sz w:val="28"/>
      <w:szCs w:val="28"/>
    </w:rPr>
  </w:style>
  <w:style w:type="paragraph" w:customStyle="1" w:styleId="Index1">
    <w:name w:val="Index1"/>
    <w:basedOn w:val="Normaali"/>
    <w:uiPriority w:val="99"/>
  </w:style>
  <w:style w:type="paragraph" w:customStyle="1" w:styleId="WW-Heading">
    <w:name w:val="WW-Heading"/>
    <w:basedOn w:val="Normaali"/>
    <w:next w:val="Leipteksti"/>
    <w:uiPriority w:val="99"/>
    <w:pPr>
      <w:keepNext/>
      <w:spacing w:before="240" w:after="120"/>
    </w:pPr>
    <w:rPr>
      <w:rFonts w:ascii="Arial" w:eastAsia="Arial Unicode MS" w:hAnsi="Arial" w:cs="Arial"/>
      <w:sz w:val="28"/>
      <w:szCs w:val="28"/>
    </w:rPr>
  </w:style>
  <w:style w:type="paragraph" w:customStyle="1" w:styleId="WW-caption">
    <w:name w:val="WW-caption"/>
    <w:basedOn w:val="Normaali"/>
    <w:uiPriority w:val="99"/>
    <w:pPr>
      <w:spacing w:before="120" w:after="120"/>
    </w:pPr>
    <w:rPr>
      <w:i/>
      <w:iCs/>
    </w:rPr>
  </w:style>
  <w:style w:type="paragraph" w:customStyle="1" w:styleId="WW-Index">
    <w:name w:val="WW-Index"/>
    <w:basedOn w:val="Normaali"/>
    <w:uiPriority w:val="99"/>
  </w:style>
  <w:style w:type="paragraph" w:customStyle="1" w:styleId="ERY-Title">
    <w:name w:val="ERY-Title"/>
    <w:basedOn w:val="Otsikko1"/>
    <w:uiPriority w:val="99"/>
    <w:pPr>
      <w:spacing w:after="400"/>
      <w:ind w:firstLine="0"/>
      <w:outlineLvl w:val="9"/>
    </w:pPr>
    <w:rPr>
      <w:caps/>
      <w:sz w:val="28"/>
      <w:szCs w:val="28"/>
    </w:rPr>
  </w:style>
  <w:style w:type="paragraph" w:customStyle="1" w:styleId="ERY-Subheading1">
    <w:name w:val="ERY-Subheading1"/>
    <w:basedOn w:val="Otsikko3"/>
    <w:uiPriority w:val="99"/>
    <w:pPr>
      <w:ind w:left="0"/>
      <w:outlineLvl w:val="9"/>
    </w:pPr>
    <w:rPr>
      <w:rFonts w:ascii="Arial" w:hAnsi="Arial" w:cs="Arial"/>
      <w:b/>
      <w:sz w:val="24"/>
      <w:szCs w:val="24"/>
    </w:rPr>
  </w:style>
  <w:style w:type="paragraph" w:styleId="Alaviitteenteksti">
    <w:name w:val="footnote text"/>
    <w:basedOn w:val="Normaali"/>
    <w:link w:val="AlaviitteentekstiChar"/>
    <w:uiPriority w:val="99"/>
    <w:rPr>
      <w:sz w:val="20"/>
      <w:szCs w:val="20"/>
    </w:rPr>
  </w:style>
  <w:style w:type="paragraph" w:customStyle="1" w:styleId="ERY-Subheading2">
    <w:name w:val="ERY-Subheading2"/>
    <w:basedOn w:val="Otsikko3"/>
    <w:uiPriority w:val="99"/>
    <w:pPr>
      <w:ind w:left="0"/>
      <w:outlineLvl w:val="9"/>
    </w:pPr>
    <w:rPr>
      <w:sz w:val="22"/>
      <w:szCs w:val="22"/>
    </w:rPr>
  </w:style>
  <w:style w:type="character" w:customStyle="1" w:styleId="AlaviitteentekstiChar">
    <w:name w:val="Alaviitteen teksti Char"/>
    <w:basedOn w:val="Kappaleenoletusfontti"/>
    <w:link w:val="Alaviitteenteksti"/>
    <w:uiPriority w:val="99"/>
    <w:semiHidden/>
    <w:locked/>
    <w:rPr>
      <w:rFonts w:cs="Times New Roman"/>
      <w:sz w:val="24"/>
      <w:szCs w:val="24"/>
      <w:lang w:val="et-EE" w:eastAsia="x-none"/>
    </w:rPr>
  </w:style>
  <w:style w:type="paragraph" w:customStyle="1" w:styleId="ERY-Author">
    <w:name w:val="ERY-Author"/>
    <w:basedOn w:val="ERY-Title"/>
    <w:uiPriority w:val="99"/>
    <w:pPr>
      <w:spacing w:before="100" w:after="200"/>
    </w:pPr>
    <w:rPr>
      <w:caps w:val="0"/>
      <w:sz w:val="22"/>
      <w:szCs w:val="22"/>
    </w:rPr>
  </w:style>
  <w:style w:type="paragraph" w:customStyle="1" w:styleId="ERY-Caption-Figure">
    <w:name w:val="ERY-Caption-Figure"/>
    <w:basedOn w:val="Normaali"/>
    <w:uiPriority w:val="99"/>
    <w:pPr>
      <w:spacing w:before="60" w:after="160"/>
    </w:pPr>
    <w:rPr>
      <w:sz w:val="22"/>
      <w:szCs w:val="22"/>
    </w:rPr>
  </w:style>
  <w:style w:type="paragraph" w:customStyle="1" w:styleId="ERY-Note">
    <w:name w:val="ERY-Note"/>
    <w:basedOn w:val="Normaali"/>
    <w:uiPriority w:val="99"/>
    <w:pPr>
      <w:spacing w:before="60" w:after="60"/>
      <w:ind w:left="567" w:firstLine="0"/>
    </w:pPr>
    <w:rPr>
      <w:sz w:val="22"/>
      <w:szCs w:val="22"/>
    </w:rPr>
  </w:style>
  <w:style w:type="paragraph" w:customStyle="1" w:styleId="ERY-Keywords">
    <w:name w:val="ERY-Keywords"/>
    <w:basedOn w:val="Normaali"/>
    <w:uiPriority w:val="99"/>
    <w:pPr>
      <w:spacing w:before="200" w:after="600"/>
    </w:pPr>
    <w:rPr>
      <w:sz w:val="22"/>
      <w:szCs w:val="22"/>
    </w:rPr>
  </w:style>
  <w:style w:type="paragraph" w:customStyle="1" w:styleId="ERY-Abstract">
    <w:name w:val="ERY-Abstract"/>
    <w:basedOn w:val="Normaali"/>
    <w:uiPriority w:val="99"/>
    <w:pPr>
      <w:jc w:val="both"/>
    </w:pPr>
    <w:rPr>
      <w:sz w:val="22"/>
      <w:szCs w:val="22"/>
    </w:rPr>
  </w:style>
  <w:style w:type="paragraph" w:customStyle="1" w:styleId="ERY-Caption-Table">
    <w:name w:val="ERY-Caption-Table"/>
    <w:basedOn w:val="ERY-Caption-Figure"/>
    <w:uiPriority w:val="99"/>
    <w:pPr>
      <w:spacing w:before="160" w:after="60"/>
    </w:pPr>
  </w:style>
  <w:style w:type="paragraph" w:customStyle="1" w:styleId="ERY-Example">
    <w:name w:val="ERY-Example"/>
    <w:basedOn w:val="Otsikko3"/>
    <w:uiPriority w:val="99"/>
    <w:pPr>
      <w:spacing w:before="0" w:after="100"/>
      <w:outlineLvl w:val="9"/>
    </w:pPr>
  </w:style>
  <w:style w:type="paragraph" w:customStyle="1" w:styleId="ERY-Reference">
    <w:name w:val="ERY-Reference"/>
    <w:basedOn w:val="Normaali"/>
    <w:uiPriority w:val="99"/>
    <w:pPr>
      <w:ind w:left="720" w:hanging="720"/>
    </w:pPr>
    <w:rPr>
      <w:sz w:val="22"/>
      <w:szCs w:val="22"/>
    </w:rPr>
  </w:style>
  <w:style w:type="paragraph" w:customStyle="1" w:styleId="ERY-Resyme-Title">
    <w:name w:val="ERY-Resyme-Title"/>
    <w:basedOn w:val="ERY-Subheading1"/>
    <w:uiPriority w:val="99"/>
    <w:pPr>
      <w:jc w:val="center"/>
    </w:pPr>
  </w:style>
  <w:style w:type="paragraph" w:customStyle="1" w:styleId="ERY-Resyme-Author">
    <w:name w:val="ERY-Resyme-Author"/>
    <w:basedOn w:val="ERY-Author"/>
    <w:uiPriority w:val="99"/>
    <w:rPr>
      <w:caps/>
    </w:rPr>
  </w:style>
  <w:style w:type="paragraph" w:customStyle="1" w:styleId="ERY-About">
    <w:name w:val="ERY-About"/>
    <w:basedOn w:val="ERY-Abstract"/>
    <w:uiPriority w:val="99"/>
    <w:pPr>
      <w:jc w:val="left"/>
    </w:pPr>
  </w:style>
  <w:style w:type="paragraph" w:customStyle="1" w:styleId="ERY-Pealkiri">
    <w:name w:val="ERY-Pealkiri"/>
    <w:basedOn w:val="Otsikko1"/>
    <w:uiPriority w:val="99"/>
    <w:pPr>
      <w:spacing w:after="400"/>
      <w:ind w:firstLine="0"/>
      <w:outlineLvl w:val="9"/>
    </w:pPr>
    <w:rPr>
      <w:caps/>
      <w:sz w:val="28"/>
      <w:szCs w:val="28"/>
    </w:rPr>
  </w:style>
  <w:style w:type="paragraph" w:customStyle="1" w:styleId="ERY-Vaheplk1">
    <w:name w:val="ERY-Vaheplk1"/>
    <w:basedOn w:val="Otsikko3"/>
    <w:uiPriority w:val="99"/>
    <w:pPr>
      <w:ind w:left="0"/>
      <w:outlineLvl w:val="9"/>
    </w:pPr>
    <w:rPr>
      <w:sz w:val="24"/>
      <w:szCs w:val="24"/>
    </w:rPr>
  </w:style>
  <w:style w:type="paragraph" w:customStyle="1" w:styleId="ERY-Tutvustus">
    <w:name w:val="ERY-Tutvustus"/>
    <w:basedOn w:val="Normaali"/>
    <w:uiPriority w:val="99"/>
    <w:pPr>
      <w:spacing w:before="200"/>
      <w:ind w:firstLine="0"/>
      <w:jc w:val="both"/>
    </w:pPr>
    <w:rPr>
      <w:sz w:val="22"/>
      <w:szCs w:val="22"/>
    </w:rPr>
  </w:style>
  <w:style w:type="paragraph" w:customStyle="1" w:styleId="StyleERY-AboutBold">
    <w:name w:val="Style ERY-About + Bold"/>
    <w:basedOn w:val="ERY-About"/>
    <w:uiPriority w:val="99"/>
    <w:rPr>
      <w:b/>
      <w:bCs/>
    </w:rPr>
  </w:style>
  <w:style w:type="paragraph" w:customStyle="1" w:styleId="Default">
    <w:name w:val="Default"/>
    <w:basedOn w:val="Normaali"/>
    <w:uiPriority w:val="99"/>
    <w:pPr>
      <w:ind w:firstLine="0"/>
    </w:pPr>
    <w:rPr>
      <w:color w:val="000000"/>
      <w:lang w:val="en-US" w:eastAsia="zh-CN"/>
    </w:rPr>
  </w:style>
  <w:style w:type="paragraph" w:customStyle="1" w:styleId="Pa23">
    <w:name w:val="Pa23"/>
    <w:basedOn w:val="Default"/>
    <w:next w:val="Default"/>
    <w:uiPriority w:val="99"/>
    <w:pPr>
      <w:spacing w:line="181" w:lineRule="atLeast"/>
    </w:pPr>
    <w:rPr>
      <w:rFonts w:eastAsia="Arial Unicode MS"/>
      <w:color w:val="auto"/>
    </w:rPr>
  </w:style>
  <w:style w:type="paragraph" w:customStyle="1" w:styleId="ERY-Kirjandus">
    <w:name w:val="ERY-Kirjandus"/>
    <w:basedOn w:val="Normaali"/>
    <w:uiPriority w:val="99"/>
    <w:pPr>
      <w:ind w:left="720" w:hanging="720"/>
    </w:pPr>
  </w:style>
  <w:style w:type="character" w:customStyle="1" w:styleId="Absatz-Standardschriftart">
    <w:name w:val="Absatz-Standardschriftart"/>
    <w:uiPriority w:val="99"/>
    <w:rPr>
      <w:rFonts w:eastAsia="Arial Unicode MS"/>
      <w:lang w:val="x-none" w:eastAsia="zh-CN"/>
    </w:rPr>
  </w:style>
  <w:style w:type="character" w:customStyle="1" w:styleId="WW8Num2z0">
    <w:name w:val="WW8Num2z0"/>
    <w:uiPriority w:val="99"/>
    <w:rPr>
      <w:rFonts w:eastAsia="Arial Unicode MS"/>
      <w:sz w:val="20"/>
      <w:lang w:val="x-none" w:eastAsia="zh-CN"/>
    </w:rPr>
  </w:style>
  <w:style w:type="character" w:customStyle="1" w:styleId="WW8Num4z0">
    <w:name w:val="WW8Num4z0"/>
    <w:uiPriority w:val="99"/>
    <w:rPr>
      <w:rFonts w:ascii="Symbol" w:eastAsia="Arial Unicode MS" w:hAnsi="Symbol"/>
      <w:lang w:val="x-none" w:eastAsia="zh-CN"/>
    </w:rPr>
  </w:style>
  <w:style w:type="character" w:customStyle="1" w:styleId="Internetlink">
    <w:name w:val="Internet link"/>
    <w:basedOn w:val="Kappaleenoletusfontti"/>
    <w:uiPriority w:val="99"/>
    <w:rPr>
      <w:rFonts w:eastAsia="Arial Unicode MS" w:cs="Times New Roman"/>
      <w:color w:val="0000FF"/>
      <w:u w:val="single"/>
      <w:lang w:val="x-none" w:eastAsia="zh-CN"/>
    </w:rPr>
  </w:style>
  <w:style w:type="character" w:customStyle="1" w:styleId="FootnoteSymbol">
    <w:name w:val="Footnote Symbol"/>
    <w:basedOn w:val="Kappaleenoletusfontti"/>
    <w:uiPriority w:val="99"/>
    <w:rPr>
      <w:rFonts w:eastAsia="Arial Unicode MS" w:cs="Times New Roman"/>
      <w:position w:val="10"/>
      <w:lang w:val="x-none" w:eastAsia="zh-CN"/>
    </w:rPr>
  </w:style>
  <w:style w:type="character" w:customStyle="1" w:styleId="StrongEmphasis">
    <w:name w:val="Strong Emphasis"/>
    <w:basedOn w:val="Kappaleenoletusfontti"/>
    <w:uiPriority w:val="99"/>
    <w:rPr>
      <w:rFonts w:eastAsia="Arial Unicode MS" w:cs="Times New Roman"/>
      <w:b/>
      <w:bCs/>
      <w:lang w:val="x-none" w:eastAsia="zh-CN"/>
    </w:rPr>
  </w:style>
  <w:style w:type="character" w:customStyle="1" w:styleId="ERY-AbstractChar">
    <w:name w:val="ERY-Abstract Char"/>
    <w:basedOn w:val="Kappaleenoletusfontti"/>
    <w:uiPriority w:val="99"/>
    <w:rPr>
      <w:rFonts w:eastAsia="Arial Unicode MS" w:cs="Times New Roman"/>
      <w:sz w:val="22"/>
      <w:szCs w:val="22"/>
      <w:lang w:val="et-EE" w:eastAsia="x-none"/>
    </w:rPr>
  </w:style>
  <w:style w:type="character" w:customStyle="1" w:styleId="ERY-AboutChar">
    <w:name w:val="ERY-About Char"/>
    <w:basedOn w:val="ERY-AbstractChar"/>
    <w:uiPriority w:val="99"/>
    <w:rPr>
      <w:rFonts w:eastAsia="Arial Unicode MS" w:cs="Times New Roman"/>
      <w:sz w:val="22"/>
      <w:szCs w:val="22"/>
      <w:lang w:val="et-EE" w:eastAsia="x-none"/>
    </w:rPr>
  </w:style>
  <w:style w:type="character" w:customStyle="1" w:styleId="StyleERY-AboutBoldChar">
    <w:name w:val="Style ERY-About + Bold Char"/>
    <w:basedOn w:val="ERY-AboutChar"/>
    <w:uiPriority w:val="99"/>
    <w:rPr>
      <w:rFonts w:eastAsia="Arial Unicode MS" w:cs="Times New Roman"/>
      <w:b/>
      <w:bCs/>
      <w:sz w:val="22"/>
      <w:szCs w:val="22"/>
      <w:lang w:val="et-EE" w:eastAsia="x-none"/>
    </w:rPr>
  </w:style>
  <w:style w:type="character" w:customStyle="1" w:styleId="NumberingSymbols">
    <w:name w:val="Numbering Symbols"/>
    <w:uiPriority w:val="99"/>
    <w:rPr>
      <w:rFonts w:eastAsia="Arial Unicode MS"/>
      <w:lang w:val="x-none"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18</Pages>
  <Words>4728</Words>
  <Characters>38303</Characters>
  <Application>Microsoft Office Word</Application>
  <DocSecurity>0</DocSecurity>
  <Lines>319</Lines>
  <Paragraphs>85</Paragraphs>
  <ScaleCrop>false</ScaleCrop>
  <Company/>
  <LinksUpToDate>false</LinksUpToDate>
  <CharactersWithSpaces>42946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[Kaast� esileht (eeskujuks TRAMES)]</dc:title>
  <dc:subject/>
  <dc:creator>Margit</dc:creator>
  <cp:keywords/>
  <dc:description/>
  <cp:lastModifiedBy>Ilmari Ivaska</cp:lastModifiedBy>
  <cp:revision>2</cp:revision>
  <cp:lastPrinted>2004-10-20T09:39:00Z</cp:lastPrinted>
  <dcterms:created xsi:type="dcterms:W3CDTF">2018-06-10T13:01:00Z</dcterms:created>
  <dcterms:modified xsi:type="dcterms:W3CDTF">2018-06-10T13:01:00Z</dcterms:modified>
</cp:coreProperties>
</file>