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058FEC" w14:textId="77777777" w:rsidR="00C76728" w:rsidRPr="006666C4" w:rsidRDefault="00C76728" w:rsidP="00C76728">
      <w:pPr>
        <w:spacing w:line="480" w:lineRule="auto"/>
        <w:rPr>
          <w:b/>
          <w:lang w:val="en-US"/>
        </w:rPr>
      </w:pPr>
      <w:bookmarkStart w:id="0" w:name="_GoBack"/>
      <w:bookmarkEnd w:id="0"/>
      <w:r w:rsidRPr="006666C4">
        <w:rPr>
          <w:b/>
          <w:lang w:val="en-US"/>
        </w:rPr>
        <w:t>Title page</w:t>
      </w:r>
    </w:p>
    <w:p w14:paraId="6A6F3343" w14:textId="77777777" w:rsidR="00C76728" w:rsidRPr="006666C4" w:rsidRDefault="00C76728" w:rsidP="00C76728">
      <w:pPr>
        <w:spacing w:line="480" w:lineRule="auto"/>
        <w:rPr>
          <w:b/>
          <w:lang w:val="en-US"/>
        </w:rPr>
      </w:pPr>
    </w:p>
    <w:p w14:paraId="470E8C13" w14:textId="77777777" w:rsidR="00C76728" w:rsidRPr="00637936" w:rsidRDefault="00C76728" w:rsidP="00C76728">
      <w:pPr>
        <w:spacing w:line="480" w:lineRule="auto"/>
        <w:rPr>
          <w:b/>
          <w:lang w:val="en-GB"/>
        </w:rPr>
      </w:pPr>
      <w:r w:rsidRPr="00637936">
        <w:rPr>
          <w:b/>
          <w:lang w:val="en-GB"/>
        </w:rPr>
        <w:t xml:space="preserve">Immunological </w:t>
      </w:r>
      <w:r>
        <w:rPr>
          <w:b/>
          <w:lang w:val="en-GB"/>
        </w:rPr>
        <w:t xml:space="preserve">reconstitution in </w:t>
      </w:r>
      <w:r w:rsidRPr="00637936">
        <w:rPr>
          <w:b/>
          <w:lang w:val="en-GB"/>
        </w:rPr>
        <w:t>children after complet</w:t>
      </w:r>
      <w:r>
        <w:rPr>
          <w:b/>
          <w:lang w:val="en-GB"/>
        </w:rPr>
        <w:t>ing conventional chemotherapy</w:t>
      </w:r>
      <w:r w:rsidRPr="00637936">
        <w:rPr>
          <w:b/>
          <w:lang w:val="en-GB"/>
        </w:rPr>
        <w:t xml:space="preserve"> </w:t>
      </w:r>
      <w:r>
        <w:rPr>
          <w:b/>
          <w:lang w:val="en-GB"/>
        </w:rPr>
        <w:t>of</w:t>
      </w:r>
      <w:r w:rsidRPr="00637936">
        <w:rPr>
          <w:b/>
          <w:lang w:val="en-GB"/>
        </w:rPr>
        <w:t xml:space="preserve"> acute lymphoblastic leukaemia </w:t>
      </w:r>
      <w:r>
        <w:rPr>
          <w:b/>
          <w:lang w:val="en-GB"/>
        </w:rPr>
        <w:t>is marked by impaired B cell compartment</w:t>
      </w:r>
    </w:p>
    <w:p w14:paraId="14207C9D" w14:textId="77777777" w:rsidR="00C76728" w:rsidRDefault="00C76728" w:rsidP="00C76728">
      <w:pPr>
        <w:spacing w:line="480" w:lineRule="auto"/>
      </w:pPr>
      <w:r w:rsidRPr="00637936">
        <w:t>Koskenvuo Minna</w:t>
      </w:r>
      <w:r>
        <w:t>, MD, PhD</w:t>
      </w:r>
      <w:r w:rsidRPr="00637936">
        <w:rPr>
          <w:vertAlign w:val="superscript"/>
        </w:rPr>
        <w:t>1</w:t>
      </w:r>
      <w:r>
        <w:rPr>
          <w:vertAlign w:val="superscript"/>
        </w:rPr>
        <w:t>, 4</w:t>
      </w:r>
      <w:r w:rsidRPr="00637936">
        <w:t xml:space="preserve">, </w:t>
      </w:r>
      <w:r w:rsidRPr="00A8130E">
        <w:t>Ilse Ekman</w:t>
      </w:r>
      <w:r>
        <w:t>, PhD student</w:t>
      </w:r>
      <w:r w:rsidRPr="00A8130E">
        <w:rPr>
          <w:vertAlign w:val="superscript"/>
        </w:rPr>
        <w:t>5</w:t>
      </w:r>
      <w:r>
        <w:t>, Emmi Saha, MD student</w:t>
      </w:r>
      <w:r w:rsidRPr="006666C4">
        <w:rPr>
          <w:vertAlign w:val="superscript"/>
        </w:rPr>
        <w:t>1</w:t>
      </w:r>
      <w:r>
        <w:t xml:space="preserve">, </w:t>
      </w:r>
      <w:r w:rsidRPr="00637936">
        <w:t>Salokannel Ellinoora</w:t>
      </w:r>
      <w:r>
        <w:t>, MD</w:t>
      </w:r>
      <w:r w:rsidRPr="00637936">
        <w:rPr>
          <w:vertAlign w:val="superscript"/>
        </w:rPr>
        <w:t>1</w:t>
      </w:r>
      <w:r w:rsidRPr="00637936">
        <w:t>,</w:t>
      </w:r>
      <w:r>
        <w:t xml:space="preserve"> Jaakko Matomäki, PhD</w:t>
      </w:r>
      <w:r>
        <w:rPr>
          <w:vertAlign w:val="superscript"/>
        </w:rPr>
        <w:t>2</w:t>
      </w:r>
      <w:r>
        <w:t>, Jorma Ilonen, MD, PhD</w:t>
      </w:r>
      <w:r>
        <w:rPr>
          <w:vertAlign w:val="superscript"/>
        </w:rPr>
        <w:t>5</w:t>
      </w:r>
      <w:r>
        <w:t xml:space="preserve">, </w:t>
      </w:r>
      <w:r w:rsidRPr="00637936">
        <w:t>Kainulainen Leena</w:t>
      </w:r>
      <w:r>
        <w:t>, MD, PhD</w:t>
      </w:r>
      <w:r w:rsidRPr="00637936">
        <w:rPr>
          <w:vertAlign w:val="superscript"/>
        </w:rPr>
        <w:t>1</w:t>
      </w:r>
      <w:r>
        <w:t>, Arola Mikko, MD, PhD</w:t>
      </w:r>
      <w:r>
        <w:rPr>
          <w:vertAlign w:val="superscript"/>
        </w:rPr>
        <w:t>3</w:t>
      </w:r>
      <w:r w:rsidRPr="00637936">
        <w:t>, Lähteenmäki Päivi Maria</w:t>
      </w:r>
      <w:r>
        <w:t>, MD, PhD</w:t>
      </w:r>
      <w:r w:rsidRPr="00637936">
        <w:rPr>
          <w:vertAlign w:val="superscript"/>
        </w:rPr>
        <w:t>1</w:t>
      </w:r>
      <w:r w:rsidRPr="00637936">
        <w:t>.</w:t>
      </w:r>
    </w:p>
    <w:p w14:paraId="3D593FFE" w14:textId="77777777" w:rsidR="00C76728" w:rsidRPr="00637936" w:rsidRDefault="00C76728" w:rsidP="00C76728">
      <w:pPr>
        <w:spacing w:line="480" w:lineRule="auto"/>
      </w:pPr>
    </w:p>
    <w:p w14:paraId="23F8CC84" w14:textId="77777777" w:rsidR="00C76728" w:rsidRDefault="00C76728" w:rsidP="00C76728">
      <w:pPr>
        <w:numPr>
          <w:ilvl w:val="0"/>
          <w:numId w:val="2"/>
        </w:numPr>
        <w:spacing w:line="480" w:lineRule="auto"/>
        <w:ind w:left="714" w:hanging="357"/>
        <w:rPr>
          <w:lang w:val="en-GB"/>
        </w:rPr>
      </w:pPr>
      <w:r w:rsidRPr="00944FBF">
        <w:rPr>
          <w:lang w:val="en-GB"/>
        </w:rPr>
        <w:t xml:space="preserve">Department of Pediatrics, </w:t>
      </w:r>
      <w:r>
        <w:rPr>
          <w:lang w:val="en-GB"/>
        </w:rPr>
        <w:t>Division of Pediatric H</w:t>
      </w:r>
      <w:r w:rsidRPr="00637936">
        <w:rPr>
          <w:lang w:val="en-GB"/>
        </w:rPr>
        <w:t xml:space="preserve">ematology and Oncology, </w:t>
      </w:r>
      <w:r w:rsidRPr="00944FBF">
        <w:rPr>
          <w:lang w:val="en-GB"/>
        </w:rPr>
        <w:t>University of Turku and Turku University Hospital</w:t>
      </w:r>
      <w:r>
        <w:rPr>
          <w:lang w:val="en-GB"/>
        </w:rPr>
        <w:t xml:space="preserve">, </w:t>
      </w:r>
      <w:r w:rsidRPr="00637936">
        <w:rPr>
          <w:lang w:val="en-GB"/>
        </w:rPr>
        <w:t>Turku, Finland</w:t>
      </w:r>
    </w:p>
    <w:p w14:paraId="1ACAA43F" w14:textId="77777777" w:rsidR="00C76728" w:rsidRPr="00637936" w:rsidRDefault="00C76728" w:rsidP="00C76728">
      <w:pPr>
        <w:numPr>
          <w:ilvl w:val="0"/>
          <w:numId w:val="2"/>
        </w:numPr>
        <w:spacing w:line="480" w:lineRule="auto"/>
        <w:ind w:left="714" w:hanging="357"/>
        <w:rPr>
          <w:lang w:val="en-GB"/>
        </w:rPr>
      </w:pPr>
      <w:r w:rsidRPr="00CE15CA">
        <w:rPr>
          <w:lang w:val="en-GB"/>
        </w:rPr>
        <w:t>Clinical Research Centre,  Turku University Hospital</w:t>
      </w:r>
    </w:p>
    <w:p w14:paraId="6B0BB284" w14:textId="77777777" w:rsidR="00C76728" w:rsidRDefault="00C76728" w:rsidP="00C76728">
      <w:pPr>
        <w:numPr>
          <w:ilvl w:val="0"/>
          <w:numId w:val="2"/>
        </w:numPr>
        <w:spacing w:line="480" w:lineRule="auto"/>
        <w:ind w:left="714" w:hanging="357"/>
        <w:rPr>
          <w:lang w:val="en-GB"/>
        </w:rPr>
      </w:pPr>
      <w:r>
        <w:rPr>
          <w:lang w:val="en-GB"/>
        </w:rPr>
        <w:t>Department of P</w:t>
      </w:r>
      <w:r w:rsidRPr="00637936">
        <w:rPr>
          <w:lang w:val="en-GB"/>
        </w:rPr>
        <w:t>edia</w:t>
      </w:r>
      <w:r>
        <w:rPr>
          <w:lang w:val="en-GB"/>
        </w:rPr>
        <w:t>trics, Division of Pediatric H</w:t>
      </w:r>
      <w:r w:rsidRPr="00637936">
        <w:rPr>
          <w:lang w:val="en-GB"/>
        </w:rPr>
        <w:t>ematology and Oncology, Tampere University Hospital, Tampere, Finland</w:t>
      </w:r>
    </w:p>
    <w:p w14:paraId="3ACC638C" w14:textId="77777777" w:rsidR="00C76728" w:rsidRDefault="00C76728" w:rsidP="00C76728">
      <w:pPr>
        <w:numPr>
          <w:ilvl w:val="0"/>
          <w:numId w:val="2"/>
        </w:numPr>
        <w:spacing w:line="480" w:lineRule="auto"/>
        <w:ind w:left="714" w:hanging="357"/>
        <w:rPr>
          <w:lang w:val="en-GB"/>
        </w:rPr>
      </w:pPr>
      <w:r>
        <w:rPr>
          <w:lang w:val="en-GB"/>
        </w:rPr>
        <w:t>Department of Pediatrics, Division of Pediatric Hematology and Oncology and Stem Cell Transplantatio, Children’s Hospital, University of Helsinki, Helsinki, Finland</w:t>
      </w:r>
    </w:p>
    <w:p w14:paraId="4E13B36C" w14:textId="77777777" w:rsidR="00C76728" w:rsidRPr="00A336C9" w:rsidRDefault="00C76728" w:rsidP="00C76728">
      <w:pPr>
        <w:numPr>
          <w:ilvl w:val="0"/>
          <w:numId w:val="2"/>
        </w:numPr>
        <w:spacing w:line="480" w:lineRule="auto"/>
        <w:ind w:left="714" w:hanging="357"/>
        <w:rPr>
          <w:lang w:val="en-GB"/>
        </w:rPr>
      </w:pPr>
      <w:r w:rsidRPr="006666C4">
        <w:rPr>
          <w:lang w:val="en-US"/>
        </w:rPr>
        <w:t>Immunogenetics Laboratory, University of Turku, Turku, Finland</w:t>
      </w:r>
    </w:p>
    <w:p w14:paraId="64D70D99" w14:textId="77777777" w:rsidR="00C76728" w:rsidRPr="00637936" w:rsidRDefault="00C76728" w:rsidP="00C76728">
      <w:pPr>
        <w:spacing w:line="480" w:lineRule="auto"/>
        <w:rPr>
          <w:b/>
          <w:lang w:val="en-GB"/>
        </w:rPr>
      </w:pPr>
      <w:r w:rsidRPr="00637936">
        <w:rPr>
          <w:b/>
          <w:lang w:val="en-GB"/>
        </w:rPr>
        <w:t>Corresponding author:</w:t>
      </w:r>
    </w:p>
    <w:p w14:paraId="29319ED8" w14:textId="77777777" w:rsidR="00C76728" w:rsidRPr="00637936" w:rsidRDefault="00C76728" w:rsidP="00C76728">
      <w:pPr>
        <w:spacing w:line="360" w:lineRule="auto"/>
        <w:rPr>
          <w:lang w:val="en-GB"/>
        </w:rPr>
      </w:pPr>
      <w:r w:rsidRPr="00637936">
        <w:rPr>
          <w:lang w:val="en-GB"/>
        </w:rPr>
        <w:t>Minna Koskenvuo, MD, PhD</w:t>
      </w:r>
    </w:p>
    <w:p w14:paraId="6FA78C66" w14:textId="77777777" w:rsidR="00C76728" w:rsidRPr="00637936" w:rsidRDefault="00C76728" w:rsidP="00C76728">
      <w:pPr>
        <w:spacing w:line="360" w:lineRule="auto"/>
        <w:rPr>
          <w:lang w:val="en-GB"/>
        </w:rPr>
      </w:pPr>
      <w:r>
        <w:rPr>
          <w:lang w:val="en-GB"/>
        </w:rPr>
        <w:lastRenderedPageBreak/>
        <w:t>Division of Pediatric H</w:t>
      </w:r>
      <w:r w:rsidRPr="00637936">
        <w:rPr>
          <w:lang w:val="en-GB"/>
        </w:rPr>
        <w:t>ematology and Oncology</w:t>
      </w:r>
      <w:r>
        <w:rPr>
          <w:lang w:val="en-GB"/>
        </w:rPr>
        <w:t xml:space="preserve"> and Stem Cell Transplantation</w:t>
      </w:r>
    </w:p>
    <w:p w14:paraId="09C20D49" w14:textId="77777777" w:rsidR="00C76728" w:rsidRPr="00637936" w:rsidRDefault="00C76728" w:rsidP="00C76728">
      <w:pPr>
        <w:spacing w:line="360" w:lineRule="auto"/>
        <w:rPr>
          <w:lang w:val="en-GB"/>
        </w:rPr>
      </w:pPr>
      <w:r>
        <w:rPr>
          <w:lang w:val="en-GB"/>
        </w:rPr>
        <w:t>Children’s Hospital, University of Helsinki</w:t>
      </w:r>
    </w:p>
    <w:p w14:paraId="7484501B" w14:textId="77777777" w:rsidR="00C76728" w:rsidRPr="006666C4" w:rsidRDefault="00C76728" w:rsidP="00C76728">
      <w:pPr>
        <w:spacing w:line="360" w:lineRule="auto"/>
        <w:rPr>
          <w:lang w:val="en-US"/>
        </w:rPr>
      </w:pPr>
      <w:r w:rsidRPr="006666C4">
        <w:rPr>
          <w:lang w:val="en-US"/>
        </w:rPr>
        <w:t>Stenbäckinkatu 11, 00290 Helsinki, Finland</w:t>
      </w:r>
    </w:p>
    <w:p w14:paraId="13020A8E" w14:textId="77777777" w:rsidR="00C76728" w:rsidRPr="006666C4" w:rsidRDefault="00C76728" w:rsidP="00C76728">
      <w:pPr>
        <w:spacing w:line="360" w:lineRule="auto"/>
        <w:rPr>
          <w:lang w:val="en-US"/>
        </w:rPr>
      </w:pPr>
      <w:r w:rsidRPr="006666C4">
        <w:rPr>
          <w:lang w:val="en-US"/>
        </w:rPr>
        <w:t xml:space="preserve">phone: +358 9 471 72720, gsm: </w:t>
      </w:r>
      <w:r>
        <w:rPr>
          <w:lang w:val="en-US"/>
        </w:rPr>
        <w:t xml:space="preserve">+358 </w:t>
      </w:r>
      <w:r w:rsidRPr="006666C4">
        <w:rPr>
          <w:lang w:val="en-US"/>
        </w:rPr>
        <w:t>50</w:t>
      </w:r>
      <w:r>
        <w:rPr>
          <w:lang w:val="en-US"/>
        </w:rPr>
        <w:t xml:space="preserve"> </w:t>
      </w:r>
      <w:r w:rsidRPr="006666C4">
        <w:rPr>
          <w:lang w:val="en-US"/>
        </w:rPr>
        <w:t>427</w:t>
      </w:r>
      <w:r>
        <w:rPr>
          <w:lang w:val="en-US"/>
        </w:rPr>
        <w:t xml:space="preserve"> </w:t>
      </w:r>
      <w:r w:rsidRPr="006666C4">
        <w:rPr>
          <w:lang w:val="en-US"/>
        </w:rPr>
        <w:t>0424, fax: +358 9 471 74707</w:t>
      </w:r>
    </w:p>
    <w:p w14:paraId="505BAF0B" w14:textId="77777777" w:rsidR="00C76728" w:rsidRDefault="00C76728" w:rsidP="00C76728">
      <w:pPr>
        <w:spacing w:line="360" w:lineRule="auto"/>
        <w:rPr>
          <w:lang w:val="en-US"/>
        </w:rPr>
      </w:pPr>
      <w:r w:rsidRPr="006666C4">
        <w:rPr>
          <w:lang w:val="en-US"/>
        </w:rPr>
        <w:t xml:space="preserve">Email </w:t>
      </w:r>
      <w:hyperlink r:id="rId5" w:history="1">
        <w:r w:rsidRPr="00A017C8">
          <w:rPr>
            <w:rStyle w:val="Hyperlink"/>
            <w:lang w:val="en-US"/>
          </w:rPr>
          <w:t>minna.koskenvuo@hus.fi</w:t>
        </w:r>
      </w:hyperlink>
    </w:p>
    <w:p w14:paraId="68572172" w14:textId="77777777" w:rsidR="00C76728" w:rsidRDefault="00C76728" w:rsidP="00C76728">
      <w:pPr>
        <w:spacing w:line="360" w:lineRule="auto"/>
        <w:rPr>
          <w:lang w:val="en-US"/>
        </w:rPr>
      </w:pPr>
    </w:p>
    <w:p w14:paraId="71AAF431" w14:textId="77777777" w:rsidR="00C76728" w:rsidRDefault="00C76728" w:rsidP="00C76728">
      <w:pPr>
        <w:spacing w:line="360" w:lineRule="auto"/>
        <w:rPr>
          <w:lang w:val="en-US"/>
        </w:rPr>
      </w:pPr>
      <w:r w:rsidRPr="007D37CD">
        <w:rPr>
          <w:b/>
          <w:lang w:val="en-US"/>
        </w:rPr>
        <w:t>Word counts:</w:t>
      </w:r>
      <w:r>
        <w:rPr>
          <w:lang w:val="en-US"/>
        </w:rPr>
        <w:t xml:space="preserve"> Abstract 90, main text 1261</w:t>
      </w:r>
    </w:p>
    <w:p w14:paraId="4666FD94" w14:textId="77777777" w:rsidR="00C76728" w:rsidRPr="006666C4" w:rsidRDefault="00C76728" w:rsidP="00C76728">
      <w:pPr>
        <w:spacing w:line="360" w:lineRule="auto"/>
        <w:rPr>
          <w:lang w:val="en-US"/>
        </w:rPr>
      </w:pPr>
      <w:r w:rsidRPr="007D37CD">
        <w:rPr>
          <w:b/>
          <w:lang w:val="en-US"/>
        </w:rPr>
        <w:t>Tables and figures:</w:t>
      </w:r>
      <w:r>
        <w:rPr>
          <w:lang w:val="en-US"/>
        </w:rPr>
        <w:t xml:space="preserve"> 2 figures, 1 supplemental figure, 1 supplemental table</w:t>
      </w:r>
    </w:p>
    <w:p w14:paraId="781AE151" w14:textId="77777777" w:rsidR="00C76728" w:rsidRDefault="00C76728" w:rsidP="00C76728">
      <w:pPr>
        <w:spacing w:line="480" w:lineRule="auto"/>
        <w:rPr>
          <w:lang w:val="en-US"/>
        </w:rPr>
      </w:pPr>
      <w:r w:rsidRPr="006666C4">
        <w:rPr>
          <w:b/>
          <w:lang w:val="en-US"/>
        </w:rPr>
        <w:t>Key words:</w:t>
      </w:r>
      <w:r w:rsidRPr="006666C4">
        <w:rPr>
          <w:lang w:val="en-US"/>
        </w:rPr>
        <w:t xml:space="preserve"> leukemia, chemotherapy, immune recovery, </w:t>
      </w:r>
      <w:r>
        <w:rPr>
          <w:lang w:val="en-US"/>
        </w:rPr>
        <w:t>B cell, T cell</w:t>
      </w:r>
    </w:p>
    <w:p w14:paraId="3C4CD2C4" w14:textId="51E4C03E" w:rsidR="0013605E" w:rsidRPr="00C76728" w:rsidRDefault="00C76728" w:rsidP="00710BC3">
      <w:pPr>
        <w:spacing w:line="480" w:lineRule="auto"/>
        <w:rPr>
          <w:lang w:val="en-US"/>
        </w:rPr>
      </w:pPr>
      <w:r w:rsidRPr="006666C4">
        <w:rPr>
          <w:b/>
          <w:lang w:val="en-US"/>
        </w:rPr>
        <w:t xml:space="preserve">Running title: </w:t>
      </w:r>
      <w:r w:rsidRPr="00026E6C">
        <w:rPr>
          <w:lang w:val="en-US"/>
        </w:rPr>
        <w:t>Immune recovery of children with standard and intermediate risk ALL.</w:t>
      </w:r>
    </w:p>
    <w:p w14:paraId="180BA0DD" w14:textId="77777777" w:rsidR="00710BC3" w:rsidRPr="00637936" w:rsidRDefault="00710BC3" w:rsidP="00710BC3">
      <w:pPr>
        <w:spacing w:line="480" w:lineRule="auto"/>
        <w:rPr>
          <w:b/>
          <w:lang w:val="en-GB"/>
        </w:rPr>
      </w:pPr>
      <w:r w:rsidRPr="00637936">
        <w:rPr>
          <w:b/>
          <w:lang w:val="en-GB"/>
        </w:rPr>
        <w:t>Abstract</w:t>
      </w:r>
    </w:p>
    <w:p w14:paraId="1127009A" w14:textId="77777777" w:rsidR="00710BC3" w:rsidRDefault="00710BC3" w:rsidP="00710BC3">
      <w:pPr>
        <w:spacing w:line="480" w:lineRule="auto"/>
        <w:rPr>
          <w:lang w:val="en-GB"/>
        </w:rPr>
      </w:pPr>
      <w:r>
        <w:rPr>
          <w:lang w:val="en-GB"/>
        </w:rPr>
        <w:t>Humoral and cellular immunity were studied in 28 children completing conventional treatment of standard or intermediate risk ALL</w:t>
      </w:r>
      <w:r w:rsidR="00C17D54">
        <w:rPr>
          <w:lang w:val="en-GB"/>
        </w:rPr>
        <w:t xml:space="preserve">. </w:t>
      </w:r>
      <w:r>
        <w:rPr>
          <w:lang w:val="en-GB"/>
        </w:rPr>
        <w:t xml:space="preserve">Both naïve and memory B cells were most severely affected and showed slow recovery during the two-year follow-up while T cell compartment showed only minor changes. Immunoglobulins and their subclasses, complements and antibodies against vaccine-preventable diseases were not significantly affected. </w:t>
      </w:r>
      <w:r w:rsidR="00C17D54">
        <w:rPr>
          <w:lang w:val="en-GB"/>
        </w:rPr>
        <w:t>In conclusion, i</w:t>
      </w:r>
      <w:r>
        <w:rPr>
          <w:lang w:val="en-GB"/>
        </w:rPr>
        <w:t xml:space="preserve">mmune recovery after conventional chemotherapy for standard and intermediate risk acute lymphoblastic leukemia is marked by B cell depletion but otherwise did not show any severe deficiencies in lymphocyte function. </w:t>
      </w:r>
    </w:p>
    <w:p w14:paraId="204EBDE8" w14:textId="77777777" w:rsidR="00710BC3" w:rsidRDefault="00C17D54" w:rsidP="00C17D54">
      <w:pPr>
        <w:rPr>
          <w:lang w:val="en-GB"/>
        </w:rPr>
      </w:pPr>
      <w:r>
        <w:rPr>
          <w:lang w:val="en-GB"/>
        </w:rPr>
        <w:br w:type="page"/>
      </w:r>
    </w:p>
    <w:p w14:paraId="07D83C56" w14:textId="77777777" w:rsidR="00710BC3" w:rsidRPr="001E3FA1" w:rsidRDefault="00710BC3" w:rsidP="00710BC3">
      <w:pPr>
        <w:spacing w:line="480" w:lineRule="auto"/>
        <w:ind w:left="284"/>
        <w:rPr>
          <w:b/>
          <w:lang w:val="en-GB"/>
        </w:rPr>
      </w:pPr>
      <w:r w:rsidRPr="001E3FA1">
        <w:rPr>
          <w:b/>
          <w:lang w:val="en-GB"/>
        </w:rPr>
        <w:lastRenderedPageBreak/>
        <w:t>Introduction</w:t>
      </w:r>
    </w:p>
    <w:p w14:paraId="0D8F548F" w14:textId="77777777" w:rsidR="00710BC3" w:rsidRDefault="00710BC3" w:rsidP="00710BC3">
      <w:pPr>
        <w:spacing w:line="480" w:lineRule="auto"/>
        <w:ind w:left="284"/>
        <w:rPr>
          <w:lang w:val="en-US"/>
        </w:rPr>
      </w:pPr>
      <w:r>
        <w:rPr>
          <w:lang w:val="en-US"/>
        </w:rPr>
        <w:t xml:space="preserve">The </w:t>
      </w:r>
      <w:r w:rsidRPr="001E3FA1">
        <w:rPr>
          <w:lang w:val="en-US"/>
        </w:rPr>
        <w:t xml:space="preserve">consequences of currently used </w:t>
      </w:r>
      <w:r w:rsidR="00D748DE">
        <w:rPr>
          <w:lang w:val="en-US"/>
        </w:rPr>
        <w:t xml:space="preserve">pediatric </w:t>
      </w:r>
      <w:r w:rsidRPr="001E3FA1">
        <w:rPr>
          <w:lang w:val="en-US"/>
        </w:rPr>
        <w:t>ALL treatment protocols on immune recovery are largel</w:t>
      </w:r>
      <w:r w:rsidR="00816E03">
        <w:rPr>
          <w:lang w:val="en-US"/>
        </w:rPr>
        <w:t>y unknown. There are reports of</w:t>
      </w:r>
      <w:r w:rsidRPr="001E3FA1">
        <w:rPr>
          <w:lang w:val="en-US"/>
        </w:rPr>
        <w:t xml:space="preserve"> reduction in naïve T cells while the memory compartment survives relatively we</w:t>
      </w:r>
      <w:r>
        <w:rPr>
          <w:lang w:val="en-US"/>
        </w:rPr>
        <w:t xml:space="preserve">ll resulting in only mild defect in overall number of T cells </w:t>
      </w:r>
      <w:r w:rsidR="00363F12">
        <w:rPr>
          <w:lang w:val="en-US"/>
        </w:rPr>
        <w:sym w:font="Symbol" w:char="F05B"/>
      </w:r>
      <w:r w:rsidR="000E247A">
        <w:rPr>
          <w:lang w:val="en-US"/>
        </w:rPr>
        <w:t>1-4</w:t>
      </w:r>
      <w:r w:rsidR="00363F12">
        <w:rPr>
          <w:lang w:val="en-US"/>
        </w:rPr>
        <w:sym w:font="Symbol" w:char="F05D"/>
      </w:r>
      <w:r>
        <w:rPr>
          <w:lang w:val="en-US"/>
        </w:rPr>
        <w:t xml:space="preserve">. </w:t>
      </w:r>
      <w:r w:rsidR="00664888">
        <w:rPr>
          <w:lang w:val="en-US"/>
        </w:rPr>
        <w:t>T</w:t>
      </w:r>
      <w:r>
        <w:rPr>
          <w:lang w:val="en-US"/>
        </w:rPr>
        <w:t xml:space="preserve">he data on B-cell recovery are sparse. </w:t>
      </w:r>
      <w:r w:rsidRPr="001E3FA1">
        <w:rPr>
          <w:lang w:val="en-US"/>
        </w:rPr>
        <w:t xml:space="preserve">Previous studies have shown considerable B cell decline both in bone marrow and </w:t>
      </w:r>
      <w:r w:rsidRPr="00B41CA1">
        <w:rPr>
          <w:lang w:val="en-US"/>
        </w:rPr>
        <w:t xml:space="preserve">peripheral </w:t>
      </w:r>
      <w:r w:rsidRPr="001E3FA1">
        <w:rPr>
          <w:lang w:val="en-US"/>
        </w:rPr>
        <w:t>blood followed by rapid recovery a</w:t>
      </w:r>
      <w:r>
        <w:rPr>
          <w:lang w:val="en-US"/>
        </w:rPr>
        <w:t xml:space="preserve">fter cessation of chemotherapy </w:t>
      </w:r>
      <w:r w:rsidR="00363F12">
        <w:rPr>
          <w:lang w:val="en-US"/>
        </w:rPr>
        <w:sym w:font="Symbol" w:char="F05B"/>
      </w:r>
      <w:r w:rsidR="000E247A">
        <w:rPr>
          <w:lang w:val="en-US"/>
        </w:rPr>
        <w:t>5-6</w:t>
      </w:r>
      <w:r w:rsidR="00363F12">
        <w:rPr>
          <w:lang w:val="en-US"/>
        </w:rPr>
        <w:sym w:font="Symbol" w:char="F05D"/>
      </w:r>
      <w:r w:rsidRPr="001E3FA1">
        <w:rPr>
          <w:lang w:val="en-US"/>
        </w:rPr>
        <w:t xml:space="preserve">. </w:t>
      </w:r>
      <w:r>
        <w:rPr>
          <w:lang w:val="en-US"/>
        </w:rPr>
        <w:t xml:space="preserve">On the other hand, there are reports suggesting long-term impairment of particular B-cell subpopulations leading to significant defects in B-cell function and humoral immunity even years after the ALL treatment </w:t>
      </w:r>
      <w:r w:rsidR="00363F12">
        <w:rPr>
          <w:lang w:val="en-US"/>
        </w:rPr>
        <w:sym w:font="Symbol" w:char="F05B"/>
      </w:r>
      <w:r w:rsidR="000E247A">
        <w:rPr>
          <w:lang w:val="en-US"/>
        </w:rPr>
        <w:t>7</w:t>
      </w:r>
      <w:r w:rsidR="00363F12">
        <w:rPr>
          <w:lang w:val="en-US"/>
        </w:rPr>
        <w:sym w:font="Symbol" w:char="F05D"/>
      </w:r>
      <w:r>
        <w:rPr>
          <w:lang w:val="en-US"/>
        </w:rPr>
        <w:t xml:space="preserve">. </w:t>
      </w:r>
    </w:p>
    <w:p w14:paraId="4EABB6F5" w14:textId="77777777" w:rsidR="00710BC3" w:rsidRPr="001E3FA1" w:rsidRDefault="00710BC3" w:rsidP="00710BC3">
      <w:pPr>
        <w:spacing w:line="480" w:lineRule="auto"/>
        <w:ind w:left="284"/>
        <w:rPr>
          <w:lang w:val="en-US"/>
        </w:rPr>
      </w:pPr>
      <w:r w:rsidRPr="001E3FA1">
        <w:rPr>
          <w:lang w:val="en-US"/>
        </w:rPr>
        <w:t xml:space="preserve">The aim of our </w:t>
      </w:r>
      <w:r>
        <w:rPr>
          <w:lang w:val="en-US"/>
        </w:rPr>
        <w:t xml:space="preserve">two-year prospective </w:t>
      </w:r>
      <w:r w:rsidRPr="001E3FA1">
        <w:rPr>
          <w:lang w:val="en-US"/>
        </w:rPr>
        <w:t>study was to e</w:t>
      </w:r>
      <w:r>
        <w:rPr>
          <w:lang w:val="en-US"/>
        </w:rPr>
        <w:t xml:space="preserve">valuate the rate and quality of the immunological recovery </w:t>
      </w:r>
      <w:r w:rsidRPr="001E3FA1">
        <w:rPr>
          <w:lang w:val="en-US"/>
        </w:rPr>
        <w:t xml:space="preserve">of children </w:t>
      </w:r>
      <w:r>
        <w:rPr>
          <w:lang w:val="en-US"/>
        </w:rPr>
        <w:t xml:space="preserve">after cessation of conventional treatment for standard and intermediate risk ALL. </w:t>
      </w:r>
    </w:p>
    <w:p w14:paraId="2C96BA02" w14:textId="77777777" w:rsidR="00710BC3" w:rsidRDefault="00710BC3" w:rsidP="00710BC3">
      <w:pPr>
        <w:spacing w:line="480" w:lineRule="auto"/>
        <w:rPr>
          <w:lang w:val="en-GB"/>
        </w:rPr>
      </w:pPr>
    </w:p>
    <w:p w14:paraId="2D6AB2DF" w14:textId="77777777" w:rsidR="00710BC3" w:rsidRPr="001E3FA1" w:rsidRDefault="004718DD" w:rsidP="004718DD">
      <w:pPr>
        <w:spacing w:line="480" w:lineRule="auto"/>
        <w:ind w:firstLine="284"/>
        <w:rPr>
          <w:lang w:val="en-GB"/>
        </w:rPr>
      </w:pPr>
      <w:r>
        <w:rPr>
          <w:b/>
          <w:lang w:val="en-GB"/>
        </w:rPr>
        <w:t>Results</w:t>
      </w:r>
      <w:r>
        <w:rPr>
          <w:b/>
          <w:lang w:val="en-GB"/>
        </w:rPr>
        <w:tab/>
      </w:r>
    </w:p>
    <w:p w14:paraId="715CEE2C" w14:textId="77777777" w:rsidR="00710BC3" w:rsidRPr="001E3FA1" w:rsidRDefault="00710BC3" w:rsidP="00710BC3">
      <w:pPr>
        <w:spacing w:line="480" w:lineRule="auto"/>
        <w:ind w:firstLine="284"/>
        <w:rPr>
          <w:i/>
          <w:lang w:val="en-GB"/>
        </w:rPr>
      </w:pPr>
      <w:r w:rsidRPr="001E3FA1">
        <w:rPr>
          <w:i/>
          <w:lang w:val="en-GB"/>
        </w:rPr>
        <w:t>Patients</w:t>
      </w:r>
    </w:p>
    <w:p w14:paraId="152A1409" w14:textId="72A55C9F" w:rsidR="00710BC3" w:rsidRPr="001E3FA1" w:rsidRDefault="00710BC3" w:rsidP="003C0D55">
      <w:pPr>
        <w:spacing w:line="480" w:lineRule="auto"/>
        <w:ind w:left="284"/>
        <w:rPr>
          <w:lang w:val="en-GB"/>
        </w:rPr>
      </w:pPr>
      <w:r w:rsidRPr="001E3FA1">
        <w:rPr>
          <w:lang w:val="en-GB"/>
        </w:rPr>
        <w:t xml:space="preserve">Between </w:t>
      </w:r>
      <w:r>
        <w:rPr>
          <w:lang w:val="en-GB"/>
        </w:rPr>
        <w:t>November 2008 and August 2011 28</w:t>
      </w:r>
      <w:r w:rsidRPr="001E3FA1">
        <w:rPr>
          <w:lang w:val="en-GB"/>
        </w:rPr>
        <w:t xml:space="preserve"> children </w:t>
      </w:r>
      <w:r w:rsidR="00723110">
        <w:rPr>
          <w:lang w:val="en-GB"/>
        </w:rPr>
        <w:t>(</w:t>
      </w:r>
      <w:r w:rsidR="00723110" w:rsidRPr="001E3FA1">
        <w:rPr>
          <w:lang w:val="en-GB"/>
        </w:rPr>
        <w:t>m</w:t>
      </w:r>
      <w:r w:rsidR="00723110">
        <w:rPr>
          <w:lang w:val="en-GB"/>
        </w:rPr>
        <w:t>ean age 8.5 years, range 4.3 – 19.2</w:t>
      </w:r>
      <w:r w:rsidR="003C0D55">
        <w:rPr>
          <w:lang w:val="en-GB"/>
        </w:rPr>
        <w:t xml:space="preserve"> years</w:t>
      </w:r>
      <w:r w:rsidR="00723110">
        <w:rPr>
          <w:lang w:val="en-GB"/>
        </w:rPr>
        <w:t>)</w:t>
      </w:r>
      <w:r w:rsidR="003C0D55">
        <w:rPr>
          <w:lang w:val="en-GB"/>
        </w:rPr>
        <w:t xml:space="preserve"> </w:t>
      </w:r>
      <w:r w:rsidRPr="001E3FA1">
        <w:rPr>
          <w:lang w:val="en-GB"/>
        </w:rPr>
        <w:t>with precursor-B-ALL treated according to the NOPHO ALL-2000 and NOPHO ALL-2008 protocol</w:t>
      </w:r>
      <w:r w:rsidR="00664888">
        <w:rPr>
          <w:lang w:val="en-GB"/>
        </w:rPr>
        <w:t>s</w:t>
      </w:r>
      <w:r w:rsidRPr="001E3FA1">
        <w:rPr>
          <w:lang w:val="en-GB"/>
        </w:rPr>
        <w:t xml:space="preserve"> at two centres in Finland, Turku and Tampere University Hospitals, </w:t>
      </w:r>
      <w:r w:rsidRPr="001E3FA1">
        <w:rPr>
          <w:lang w:val="en-GB"/>
        </w:rPr>
        <w:lastRenderedPageBreak/>
        <w:t xml:space="preserve">were prospectively analysed for their immune </w:t>
      </w:r>
      <w:r>
        <w:rPr>
          <w:lang w:val="en-GB"/>
        </w:rPr>
        <w:t xml:space="preserve">recovery after </w:t>
      </w:r>
      <w:r w:rsidRPr="001E3FA1">
        <w:rPr>
          <w:lang w:val="en-GB"/>
        </w:rPr>
        <w:t xml:space="preserve">completing the </w:t>
      </w:r>
      <w:r>
        <w:rPr>
          <w:lang w:val="en-GB"/>
        </w:rPr>
        <w:t xml:space="preserve">conventional </w:t>
      </w:r>
      <w:r w:rsidRPr="001E3FA1">
        <w:rPr>
          <w:lang w:val="en-GB"/>
        </w:rPr>
        <w:t>chemotherapy</w:t>
      </w:r>
      <w:r>
        <w:rPr>
          <w:lang w:val="en-GB"/>
        </w:rPr>
        <w:t xml:space="preserve"> for standard (SR) and intermediate risk (IR) ALL. </w:t>
      </w:r>
      <w:r w:rsidRPr="001E3FA1">
        <w:rPr>
          <w:lang w:val="en-GB"/>
        </w:rPr>
        <w:t>The immunological status was evaluated at the time of cessation of chemotherapy</w:t>
      </w:r>
      <w:r>
        <w:rPr>
          <w:lang w:val="en-GB"/>
        </w:rPr>
        <w:t xml:space="preserve"> and 3-monthly during the first year and 6-monthy during the second year post-ALL treatment</w:t>
      </w:r>
      <w:r w:rsidR="00C11611" w:rsidRPr="00C11611">
        <w:rPr>
          <w:lang w:val="en-GB"/>
        </w:rPr>
        <w:t>.</w:t>
      </w:r>
      <w:r w:rsidRPr="001E3FA1">
        <w:rPr>
          <w:lang w:val="en-GB"/>
        </w:rPr>
        <w:t xml:space="preserve">The study was approved by the Ethics Committee of Turku University Hospital. Informed consent was obtained from all patients and their guardians. </w:t>
      </w:r>
    </w:p>
    <w:p w14:paraId="0A4F4F1A" w14:textId="77777777" w:rsidR="00710BC3" w:rsidRPr="001E3FA1" w:rsidRDefault="00710BC3" w:rsidP="00710BC3">
      <w:pPr>
        <w:spacing w:line="480" w:lineRule="auto"/>
        <w:rPr>
          <w:lang w:val="en-GB"/>
        </w:rPr>
      </w:pPr>
    </w:p>
    <w:p w14:paraId="1F9A43E8" w14:textId="77777777" w:rsidR="00710BC3" w:rsidRDefault="00710BC3" w:rsidP="00710BC3">
      <w:pPr>
        <w:spacing w:line="480" w:lineRule="auto"/>
        <w:ind w:firstLine="284"/>
        <w:rPr>
          <w:i/>
          <w:lang w:val="en-GB"/>
        </w:rPr>
      </w:pPr>
      <w:r w:rsidRPr="001E3FA1">
        <w:rPr>
          <w:i/>
          <w:lang w:val="en-GB"/>
        </w:rPr>
        <w:t>Evaluation of cellular immunity</w:t>
      </w:r>
    </w:p>
    <w:p w14:paraId="7C2BDC3E" w14:textId="0253327B" w:rsidR="00723110" w:rsidRDefault="00723110" w:rsidP="00723110">
      <w:pPr>
        <w:spacing w:line="480" w:lineRule="auto"/>
        <w:ind w:left="284"/>
        <w:rPr>
          <w:lang w:val="en-GB"/>
        </w:rPr>
      </w:pPr>
      <w:r>
        <w:rPr>
          <w:lang w:val="en-GB"/>
        </w:rPr>
        <w:t>N</w:t>
      </w:r>
      <w:r w:rsidRPr="001E3FA1">
        <w:rPr>
          <w:lang w:val="en-GB"/>
        </w:rPr>
        <w:t xml:space="preserve">one </w:t>
      </w:r>
      <w:r>
        <w:rPr>
          <w:lang w:val="en-GB"/>
        </w:rPr>
        <w:t xml:space="preserve">of the patients had </w:t>
      </w:r>
      <w:r w:rsidR="004E7793">
        <w:rPr>
          <w:lang w:val="en-GB"/>
        </w:rPr>
        <w:t>severe neutropenia (neut &lt; 0.5</w:t>
      </w:r>
      <w:r>
        <w:rPr>
          <w:lang w:val="en-GB"/>
        </w:rPr>
        <w:t xml:space="preserve"> 10E9/l), and </w:t>
      </w:r>
      <w:r w:rsidR="004E7793">
        <w:rPr>
          <w:lang w:val="en-GB"/>
        </w:rPr>
        <w:t xml:space="preserve">the median </w:t>
      </w:r>
      <w:r>
        <w:rPr>
          <w:lang w:val="en-GB"/>
        </w:rPr>
        <w:t xml:space="preserve">lymphocyte counts </w:t>
      </w:r>
      <w:r w:rsidR="004E7793">
        <w:rPr>
          <w:lang w:val="en-GB"/>
        </w:rPr>
        <w:t xml:space="preserve">stayed </w:t>
      </w:r>
      <w:r>
        <w:rPr>
          <w:lang w:val="en-GB"/>
        </w:rPr>
        <w:t>within normal range (median 1.14 x 10E9/l in SR and 1.12 in IR) during the whole two-year follow-up</w:t>
      </w:r>
      <w:r w:rsidR="004E7793">
        <w:rPr>
          <w:lang w:val="en-GB"/>
        </w:rPr>
        <w:t xml:space="preserve">, although some children in both risk groups had lymphopenia in single time-points during the first year of the follow-up </w:t>
      </w:r>
      <w:r w:rsidR="00991EED">
        <w:rPr>
          <w:lang w:val="en-GB"/>
        </w:rPr>
        <w:t>(Supple</w:t>
      </w:r>
      <w:r w:rsidR="002B661B">
        <w:rPr>
          <w:lang w:val="en-GB"/>
        </w:rPr>
        <w:t>mental Table I</w:t>
      </w:r>
      <w:r w:rsidR="00991EED">
        <w:rPr>
          <w:lang w:val="en-GB"/>
        </w:rPr>
        <w:t>)</w:t>
      </w:r>
      <w:r>
        <w:rPr>
          <w:lang w:val="en-GB"/>
        </w:rPr>
        <w:t xml:space="preserve">. </w:t>
      </w:r>
    </w:p>
    <w:p w14:paraId="39AD22DF" w14:textId="77777777" w:rsidR="00723110" w:rsidRDefault="00723110" w:rsidP="00656F53">
      <w:pPr>
        <w:spacing w:line="480" w:lineRule="auto"/>
        <w:ind w:left="284"/>
        <w:rPr>
          <w:lang w:val="en-GB"/>
        </w:rPr>
      </w:pPr>
    </w:p>
    <w:p w14:paraId="421F91AA" w14:textId="77777777" w:rsidR="00723110" w:rsidRDefault="00723110" w:rsidP="00991EED">
      <w:pPr>
        <w:spacing w:line="480" w:lineRule="auto"/>
        <w:ind w:left="284"/>
        <w:rPr>
          <w:lang w:val="en-GB"/>
        </w:rPr>
      </w:pPr>
      <w:r>
        <w:rPr>
          <w:lang w:val="en-GB"/>
        </w:rPr>
        <w:t xml:space="preserve">Analysis </w:t>
      </w:r>
      <w:r w:rsidR="00710BC3" w:rsidRPr="001E3FA1">
        <w:rPr>
          <w:lang w:val="en-GB"/>
        </w:rPr>
        <w:t>of lymphocytes was performed using conjugated monoclonal antibodies (</w:t>
      </w:r>
      <w:r w:rsidR="00710BC3">
        <w:rPr>
          <w:lang w:val="en-GB"/>
        </w:rPr>
        <w:t>BioLegend, San Diego, CA</w:t>
      </w:r>
      <w:r>
        <w:rPr>
          <w:lang w:val="en-GB"/>
        </w:rPr>
        <w:t xml:space="preserve">) </w:t>
      </w:r>
      <w:r w:rsidR="00710BC3" w:rsidRPr="001E3FA1">
        <w:rPr>
          <w:lang w:val="en-GB"/>
        </w:rPr>
        <w:t xml:space="preserve">specific for CD4, CD8, </w:t>
      </w:r>
      <w:r w:rsidR="00710BC3" w:rsidRPr="00833527">
        <w:rPr>
          <w:lang w:val="en-GB"/>
        </w:rPr>
        <w:t>CD45RA,</w:t>
      </w:r>
      <w:r w:rsidR="00710BC3">
        <w:rPr>
          <w:lang w:val="en-GB"/>
        </w:rPr>
        <w:t xml:space="preserve"> CD25, CD27, CCR7, </w:t>
      </w:r>
      <w:r w:rsidR="00710BC3" w:rsidRPr="001E3FA1">
        <w:rPr>
          <w:lang w:val="en-GB"/>
        </w:rPr>
        <w:t xml:space="preserve">CD19 and </w:t>
      </w:r>
      <w:r w:rsidR="00710BC3">
        <w:rPr>
          <w:lang w:val="en-GB"/>
        </w:rPr>
        <w:t>CD127</w:t>
      </w:r>
      <w:r w:rsidR="00710BC3" w:rsidRPr="001E3FA1">
        <w:rPr>
          <w:lang w:val="en-GB"/>
        </w:rPr>
        <w:t xml:space="preserve"> cells. </w:t>
      </w:r>
    </w:p>
    <w:p w14:paraId="5023F9A1" w14:textId="3905260C" w:rsidR="00723110" w:rsidRDefault="00723110" w:rsidP="00723110">
      <w:pPr>
        <w:spacing w:line="480" w:lineRule="auto"/>
        <w:ind w:left="284"/>
        <w:rPr>
          <w:lang w:val="en-GB"/>
        </w:rPr>
      </w:pPr>
      <w:r>
        <w:rPr>
          <w:lang w:val="en-GB"/>
        </w:rPr>
        <w:t>The absolute cell counts of lymphocyte subpopulations are presented in the Figure 1 and 2</w:t>
      </w:r>
      <w:r w:rsidR="002B661B">
        <w:rPr>
          <w:lang w:val="en-GB"/>
        </w:rPr>
        <w:t xml:space="preserve"> and in the supplemental Figure 3</w:t>
      </w:r>
      <w:r>
        <w:rPr>
          <w:lang w:val="en-GB"/>
        </w:rPr>
        <w:t xml:space="preserve">.  </w:t>
      </w:r>
      <w:r w:rsidR="00C11611" w:rsidRPr="00C11611">
        <w:rPr>
          <w:highlight w:val="yellow"/>
          <w:lang w:val="en-GB"/>
        </w:rPr>
        <w:t xml:space="preserve">Due to lymphopenia and due to prospective approach of </w:t>
      </w:r>
      <w:r w:rsidR="00C11611" w:rsidRPr="00C11611">
        <w:rPr>
          <w:highlight w:val="yellow"/>
          <w:lang w:val="en-GB"/>
        </w:rPr>
        <w:lastRenderedPageBreak/>
        <w:t>the study we could not analyse all the samples per time-points. The number of the patients analysed per time-point were 18/28 (0 m), 23/28 (3 m), 24/28 (6 m), 23/28 (9 m), 22/28 (12 m), 19/28 (18 m) and 14/28 (24 m).</w:t>
      </w:r>
      <w:r w:rsidR="00C11611">
        <w:rPr>
          <w:lang w:val="en-GB"/>
        </w:rPr>
        <w:t xml:space="preserve"> </w:t>
      </w:r>
      <w:r>
        <w:rPr>
          <w:lang w:val="en-GB"/>
        </w:rPr>
        <w:t>At the time of the cessation of leukemia treatment, children in SR group had significantly higher naïve CD4+ and CD8+ T cell counts compared to IR group</w:t>
      </w:r>
      <w:r w:rsidR="00AA4AA5">
        <w:rPr>
          <w:lang w:val="en-GB"/>
        </w:rPr>
        <w:t xml:space="preserve"> (p= 0.005 and p= 0.02)</w:t>
      </w:r>
      <w:r>
        <w:rPr>
          <w:lang w:val="en-GB"/>
        </w:rPr>
        <w:t xml:space="preserve">. After that, there were no significant differences between the two groups in any of the following time-points in any T cell subpopulations studied and there were no differences according to the time either. </w:t>
      </w:r>
    </w:p>
    <w:p w14:paraId="0F2C6B49" w14:textId="77777777" w:rsidR="00723110" w:rsidRDefault="00723110" w:rsidP="00723110">
      <w:pPr>
        <w:spacing w:line="480" w:lineRule="auto"/>
        <w:ind w:left="284"/>
        <w:rPr>
          <w:lang w:val="en-GB"/>
        </w:rPr>
      </w:pPr>
    </w:p>
    <w:p w14:paraId="361C822C" w14:textId="77777777" w:rsidR="00723110" w:rsidRDefault="00723110" w:rsidP="00723110">
      <w:pPr>
        <w:spacing w:line="480" w:lineRule="auto"/>
        <w:ind w:left="284"/>
        <w:rPr>
          <w:lang w:val="en-GB"/>
        </w:rPr>
      </w:pPr>
      <w:r>
        <w:rPr>
          <w:lang w:val="en-GB"/>
        </w:rPr>
        <w:t xml:space="preserve">In the CD19+ B-cell population, the absolute cell counts of the total CD19+ B-cells, naïve B-cells (CD19+CD27low), and the memory B-cells (CD19+CD27+) were notably low during the whole study period, and significantly lower in IR group compared to SR group (p &lt; 0.001 in each population) (Figure 2). The increase of the B cell populations over the follow-up time was statistically significant (p &lt; 0.001) for both of the patient populations. </w:t>
      </w:r>
    </w:p>
    <w:p w14:paraId="7EBAA3BA" w14:textId="77777777" w:rsidR="00723110" w:rsidRPr="001E3FA1" w:rsidRDefault="00723110" w:rsidP="00656F53">
      <w:pPr>
        <w:spacing w:line="480" w:lineRule="auto"/>
        <w:ind w:left="284"/>
        <w:rPr>
          <w:lang w:val="en-GB"/>
        </w:rPr>
      </w:pPr>
    </w:p>
    <w:p w14:paraId="59281D4A" w14:textId="77777777" w:rsidR="00710BC3" w:rsidRPr="001E3FA1" w:rsidRDefault="00710BC3" w:rsidP="00710BC3">
      <w:pPr>
        <w:spacing w:line="480" w:lineRule="auto"/>
        <w:rPr>
          <w:lang w:val="en-GB"/>
        </w:rPr>
      </w:pPr>
    </w:p>
    <w:p w14:paraId="72F8907F" w14:textId="77777777" w:rsidR="00710BC3" w:rsidRPr="001E3FA1" w:rsidRDefault="00710BC3" w:rsidP="00710BC3">
      <w:pPr>
        <w:spacing w:line="480" w:lineRule="auto"/>
        <w:ind w:left="284"/>
        <w:rPr>
          <w:i/>
          <w:lang w:val="en-GB"/>
        </w:rPr>
      </w:pPr>
      <w:r w:rsidRPr="001E3FA1">
        <w:rPr>
          <w:i/>
          <w:lang w:val="en-GB"/>
        </w:rPr>
        <w:t>Evaluation of humoral immunity</w:t>
      </w:r>
    </w:p>
    <w:p w14:paraId="44CC5890" w14:textId="24F18F76" w:rsidR="00991EED" w:rsidRDefault="00991EED" w:rsidP="00991EED">
      <w:pPr>
        <w:spacing w:line="480" w:lineRule="auto"/>
        <w:ind w:left="284"/>
        <w:rPr>
          <w:lang w:val="en-GB"/>
        </w:rPr>
      </w:pPr>
      <w:r>
        <w:rPr>
          <w:lang w:val="en-GB"/>
        </w:rPr>
        <w:t xml:space="preserve">By the 3-month time-point, all the children in SR group reached the normal </w:t>
      </w:r>
      <w:r w:rsidR="003C0D55">
        <w:rPr>
          <w:lang w:val="en-GB"/>
        </w:rPr>
        <w:t xml:space="preserve">age-related </w:t>
      </w:r>
      <w:r>
        <w:rPr>
          <w:lang w:val="en-GB"/>
        </w:rPr>
        <w:t>levels in IgG, IgA, IgM, and IgG subclasses</w:t>
      </w:r>
      <w:r w:rsidR="0094391E">
        <w:rPr>
          <w:lang w:val="en-GB"/>
        </w:rPr>
        <w:t xml:space="preserve"> 1-4</w:t>
      </w:r>
      <w:r>
        <w:rPr>
          <w:lang w:val="en-GB"/>
        </w:rPr>
        <w:t xml:space="preserve"> (</w:t>
      </w:r>
      <w:r w:rsidRPr="001E3FA1">
        <w:rPr>
          <w:lang w:val="en-GB"/>
        </w:rPr>
        <w:t xml:space="preserve">Central Laboratory of Turku and </w:t>
      </w:r>
      <w:r>
        <w:rPr>
          <w:lang w:val="en-GB"/>
        </w:rPr>
        <w:t>Tampere</w:t>
      </w:r>
      <w:r w:rsidRPr="001E3FA1">
        <w:rPr>
          <w:lang w:val="en-GB"/>
        </w:rPr>
        <w:t xml:space="preserve"> </w:t>
      </w:r>
      <w:r w:rsidRPr="001E3FA1">
        <w:rPr>
          <w:lang w:val="en-GB"/>
        </w:rPr>
        <w:lastRenderedPageBreak/>
        <w:t>University Hospitals</w:t>
      </w:r>
      <w:r>
        <w:rPr>
          <w:lang w:val="en-GB"/>
        </w:rPr>
        <w:t>). In the IR group, the n</w:t>
      </w:r>
      <w:r w:rsidR="0094391E">
        <w:rPr>
          <w:lang w:val="en-GB"/>
        </w:rPr>
        <w:t xml:space="preserve">ormal levels in IgG and IgG </w:t>
      </w:r>
      <w:r>
        <w:rPr>
          <w:lang w:val="en-GB"/>
        </w:rPr>
        <w:t xml:space="preserve">subclasses </w:t>
      </w:r>
      <w:r w:rsidR="0094391E">
        <w:rPr>
          <w:lang w:val="en-GB"/>
        </w:rPr>
        <w:t xml:space="preserve">1-4 </w:t>
      </w:r>
      <w:r>
        <w:rPr>
          <w:lang w:val="en-GB"/>
        </w:rPr>
        <w:t>were reached by 3-month time-point while in IgA and IgM by 6-month time-point. The levels of the immunoglobulins and their subclasses s</w:t>
      </w:r>
      <w:r w:rsidR="000E247A">
        <w:rPr>
          <w:lang w:val="en-GB"/>
        </w:rPr>
        <w:t xml:space="preserve">ignificantly increased over </w:t>
      </w:r>
      <w:r w:rsidR="005F13AF">
        <w:rPr>
          <w:lang w:val="en-GB"/>
        </w:rPr>
        <w:t xml:space="preserve">the </w:t>
      </w:r>
      <w:r>
        <w:rPr>
          <w:lang w:val="en-GB"/>
        </w:rPr>
        <w:t xml:space="preserve">time, except the IgG3 levels </w:t>
      </w:r>
      <w:r w:rsidR="005F13AF">
        <w:rPr>
          <w:lang w:val="en-GB"/>
        </w:rPr>
        <w:t xml:space="preserve">(p </w:t>
      </w:r>
      <w:r w:rsidR="005F13AF">
        <w:rPr>
          <w:lang w:val="en-GB"/>
        </w:rPr>
        <w:sym w:font="Symbol" w:char="F03C"/>
      </w:r>
      <w:r w:rsidR="005F13AF">
        <w:rPr>
          <w:lang w:val="en-GB"/>
        </w:rPr>
        <w:t xml:space="preserve"> 0.05) </w:t>
      </w:r>
      <w:r w:rsidR="002B661B">
        <w:rPr>
          <w:lang w:val="en-GB"/>
        </w:rPr>
        <w:t>(Supplemental Table I</w:t>
      </w:r>
      <w:r>
        <w:rPr>
          <w:lang w:val="en-GB"/>
        </w:rPr>
        <w:t>).</w:t>
      </w:r>
    </w:p>
    <w:p w14:paraId="6E6E7309" w14:textId="77777777" w:rsidR="00991EED" w:rsidRPr="001E3FA1" w:rsidRDefault="00991EED" w:rsidP="00991EED">
      <w:pPr>
        <w:spacing w:line="480" w:lineRule="auto"/>
        <w:ind w:left="284"/>
        <w:rPr>
          <w:lang w:val="en-GB"/>
        </w:rPr>
      </w:pPr>
    </w:p>
    <w:p w14:paraId="1E402199" w14:textId="77777777" w:rsidR="00991EED" w:rsidRDefault="00991EED" w:rsidP="00991EED">
      <w:pPr>
        <w:spacing w:line="480" w:lineRule="auto"/>
        <w:ind w:left="284"/>
        <w:rPr>
          <w:lang w:val="en-GB"/>
        </w:rPr>
      </w:pPr>
      <w:r>
        <w:rPr>
          <w:lang w:val="en-GB"/>
        </w:rPr>
        <w:t xml:space="preserve">All </w:t>
      </w:r>
      <w:r w:rsidRPr="001E3FA1">
        <w:rPr>
          <w:lang w:val="en-GB"/>
        </w:rPr>
        <w:t>the patients had protective leve</w:t>
      </w:r>
      <w:r>
        <w:rPr>
          <w:lang w:val="en-GB"/>
        </w:rPr>
        <w:t xml:space="preserve">ls of antibodies against </w:t>
      </w:r>
      <w:r w:rsidRPr="00143330">
        <w:rPr>
          <w:i/>
          <w:lang w:val="en-GB"/>
        </w:rPr>
        <w:t>Clostridium tetani</w:t>
      </w:r>
      <w:r w:rsidRPr="001E3FA1">
        <w:rPr>
          <w:lang w:val="en-GB"/>
        </w:rPr>
        <w:t xml:space="preserve"> </w:t>
      </w:r>
      <w:r w:rsidR="00103A08">
        <w:rPr>
          <w:lang w:val="en-GB"/>
        </w:rPr>
        <w:t>(</w:t>
      </w:r>
      <w:r w:rsidR="00103A08">
        <w:rPr>
          <w:lang w:val="en-GB"/>
        </w:rPr>
        <w:sym w:font="Symbol" w:char="F03E"/>
      </w:r>
      <w:r w:rsidR="00103A08">
        <w:rPr>
          <w:lang w:val="en-GB"/>
        </w:rPr>
        <w:t xml:space="preserve"> 0.1 IU/ml) </w:t>
      </w:r>
      <w:r w:rsidRPr="001E3FA1">
        <w:rPr>
          <w:lang w:val="en-GB"/>
        </w:rPr>
        <w:t>but the antibod</w:t>
      </w:r>
      <w:r>
        <w:rPr>
          <w:lang w:val="en-GB"/>
        </w:rPr>
        <w:t>y levels against</w:t>
      </w:r>
      <w:r w:rsidRPr="001E3FA1">
        <w:rPr>
          <w:lang w:val="en-GB"/>
        </w:rPr>
        <w:t xml:space="preserve"> </w:t>
      </w:r>
      <w:r>
        <w:rPr>
          <w:i/>
          <w:lang w:val="en-GB"/>
        </w:rPr>
        <w:t>Corynebacterium d</w:t>
      </w:r>
      <w:r w:rsidRPr="00143330">
        <w:rPr>
          <w:i/>
          <w:lang w:val="en-GB"/>
        </w:rPr>
        <w:t>iphteriae</w:t>
      </w:r>
      <w:r>
        <w:rPr>
          <w:lang w:val="en-GB"/>
        </w:rPr>
        <w:t xml:space="preserve"> </w:t>
      </w:r>
      <w:r w:rsidR="00241EBC">
        <w:rPr>
          <w:lang w:val="en-GB"/>
        </w:rPr>
        <w:t>(</w:t>
      </w:r>
      <w:r w:rsidR="00103A08">
        <w:rPr>
          <w:lang w:val="en-GB"/>
        </w:rPr>
        <w:sym w:font="Symbol" w:char="F03E"/>
      </w:r>
      <w:r w:rsidR="00103A08">
        <w:rPr>
          <w:lang w:val="en-GB"/>
        </w:rPr>
        <w:t xml:space="preserve"> 0.1 IU/ml) </w:t>
      </w:r>
      <w:r w:rsidRPr="001E3FA1">
        <w:rPr>
          <w:lang w:val="en-GB"/>
        </w:rPr>
        <w:t xml:space="preserve">and </w:t>
      </w:r>
      <w:r w:rsidRPr="001E3FA1">
        <w:rPr>
          <w:i/>
          <w:lang w:val="en-GB"/>
        </w:rPr>
        <w:t>Bordetella pertussis</w:t>
      </w:r>
      <w:r w:rsidRPr="001E3FA1">
        <w:rPr>
          <w:lang w:val="en-GB"/>
        </w:rPr>
        <w:t xml:space="preserve"> </w:t>
      </w:r>
      <w:r w:rsidR="00F10039">
        <w:rPr>
          <w:lang w:val="en-GB"/>
        </w:rPr>
        <w:t>(</w:t>
      </w:r>
      <w:r w:rsidR="00F10039">
        <w:rPr>
          <w:lang w:val="en-GB"/>
        </w:rPr>
        <w:sym w:font="Symbol" w:char="F03E"/>
      </w:r>
      <w:r w:rsidR="00F10039">
        <w:rPr>
          <w:lang w:val="en-GB"/>
        </w:rPr>
        <w:t xml:space="preserve"> 50 IU/ml) </w:t>
      </w:r>
      <w:r w:rsidRPr="001E3FA1">
        <w:rPr>
          <w:lang w:val="en-GB"/>
        </w:rPr>
        <w:t>resulted in non-protective levels in 79% and 76% of the patients</w:t>
      </w:r>
      <w:r>
        <w:rPr>
          <w:lang w:val="en-GB"/>
        </w:rPr>
        <w:t xml:space="preserve"> vaccinated before the leukemia occurred (</w:t>
      </w:r>
      <w:r w:rsidRPr="001E3FA1">
        <w:rPr>
          <w:lang w:val="en-GB"/>
        </w:rPr>
        <w:t>Department of Microbiology of Turku Un</w:t>
      </w:r>
      <w:r>
        <w:rPr>
          <w:lang w:val="en-GB"/>
        </w:rPr>
        <w:t>iversity by EIA)</w:t>
      </w:r>
      <w:r w:rsidRPr="001E3FA1">
        <w:rPr>
          <w:lang w:val="en-GB"/>
        </w:rPr>
        <w:t>. There were no differences b</w:t>
      </w:r>
      <w:r>
        <w:rPr>
          <w:lang w:val="en-GB"/>
        </w:rPr>
        <w:t>etween the risk groups</w:t>
      </w:r>
      <w:r w:rsidR="00E6087C">
        <w:rPr>
          <w:lang w:val="en-GB"/>
        </w:rPr>
        <w:t xml:space="preserve"> (data not shown)</w:t>
      </w:r>
      <w:r w:rsidRPr="001E3FA1">
        <w:rPr>
          <w:lang w:val="en-GB"/>
        </w:rPr>
        <w:t xml:space="preserve">. </w:t>
      </w:r>
      <w:r>
        <w:rPr>
          <w:lang w:val="en-GB"/>
        </w:rPr>
        <w:t>Between 6 and 12 months after the cessation of leukemia treatment, nine childre</w:t>
      </w:r>
      <w:r w:rsidR="003C0D55">
        <w:rPr>
          <w:lang w:val="en-GB"/>
        </w:rPr>
        <w:t xml:space="preserve">n got pneumococcal vaccination </w:t>
      </w:r>
      <w:r>
        <w:rPr>
          <w:lang w:val="en-GB"/>
        </w:rPr>
        <w:t>(7 valent pneumococcal conjugate vaccine Prevenar</w:t>
      </w:r>
      <w:r>
        <w:rPr>
          <w:lang w:val="en-GB"/>
        </w:rPr>
        <w:sym w:font="Symbol" w:char="F0E2"/>
      </w:r>
      <w:r>
        <w:rPr>
          <w:lang w:val="en-GB"/>
        </w:rPr>
        <w:t>), and all of them developed protective levels of the antibodies against the vaccine serotypes</w:t>
      </w:r>
      <w:r w:rsidR="00241EBC">
        <w:rPr>
          <w:lang w:val="en-GB"/>
        </w:rPr>
        <w:t xml:space="preserve"> (</w:t>
      </w:r>
      <w:r w:rsidR="00241EBC">
        <w:rPr>
          <w:lang w:val="en-GB"/>
        </w:rPr>
        <w:sym w:font="Symbol" w:char="F03E"/>
      </w:r>
      <w:r w:rsidR="00241EBC">
        <w:rPr>
          <w:lang w:val="en-GB"/>
        </w:rPr>
        <w:t xml:space="preserve"> 0.2 </w:t>
      </w:r>
      <w:r w:rsidR="00241EBC">
        <w:rPr>
          <w:lang w:val="en-GB"/>
        </w:rPr>
        <w:sym w:font="Symbol" w:char="F06D"/>
      </w:r>
      <w:r w:rsidR="00241EBC">
        <w:rPr>
          <w:lang w:val="en-GB"/>
        </w:rPr>
        <w:t>g/ml)</w:t>
      </w:r>
      <w:r>
        <w:rPr>
          <w:lang w:val="en-GB"/>
        </w:rPr>
        <w:t xml:space="preserve">. </w:t>
      </w:r>
    </w:p>
    <w:p w14:paraId="1D55B1D7" w14:textId="77777777" w:rsidR="00710BC3" w:rsidRDefault="00710BC3" w:rsidP="00991EED">
      <w:pPr>
        <w:spacing w:line="480" w:lineRule="auto"/>
        <w:rPr>
          <w:lang w:val="en-GB"/>
        </w:rPr>
      </w:pPr>
    </w:p>
    <w:p w14:paraId="7B9454FA" w14:textId="77777777" w:rsidR="00710BC3" w:rsidRDefault="00710BC3" w:rsidP="00710BC3">
      <w:pPr>
        <w:spacing w:line="480" w:lineRule="auto"/>
        <w:ind w:left="284"/>
        <w:rPr>
          <w:i/>
          <w:lang w:val="en-GB"/>
        </w:rPr>
      </w:pPr>
      <w:r w:rsidRPr="009A5C4C">
        <w:rPr>
          <w:i/>
          <w:lang w:val="en-GB"/>
        </w:rPr>
        <w:t>Complement pathways</w:t>
      </w:r>
    </w:p>
    <w:p w14:paraId="048CECCA" w14:textId="77777777" w:rsidR="00991EED" w:rsidRPr="00C17D54" w:rsidRDefault="00991EED" w:rsidP="00991EED">
      <w:pPr>
        <w:spacing w:line="480" w:lineRule="auto"/>
        <w:ind w:left="284"/>
        <w:rPr>
          <w:lang w:val="en-US"/>
        </w:rPr>
      </w:pPr>
      <w:r>
        <w:rPr>
          <w:lang w:val="en-US"/>
        </w:rPr>
        <w:t xml:space="preserve">Lectine deficiency was found in 4 children out of 27 (15%) by gene test. There was no difference in the activity of different complement pathways according to the time or between </w:t>
      </w:r>
      <w:r>
        <w:rPr>
          <w:lang w:val="en-US"/>
        </w:rPr>
        <w:lastRenderedPageBreak/>
        <w:t xml:space="preserve">the two groups at any of the time-points. </w:t>
      </w:r>
      <w:r w:rsidR="007B5F8F" w:rsidRPr="007B5F8F">
        <w:rPr>
          <w:lang w:val="en-US"/>
        </w:rPr>
        <w:t>Altogether 8 children had activities under the normal 60% in alternative pathway in the first measurement time-p</w:t>
      </w:r>
      <w:r w:rsidR="007B5F8F">
        <w:rPr>
          <w:lang w:val="en-US"/>
        </w:rPr>
        <w:t xml:space="preserve">oint </w:t>
      </w:r>
      <w:r w:rsidR="007B5F8F" w:rsidRPr="007B5F8F">
        <w:rPr>
          <w:lang w:val="en-US"/>
        </w:rPr>
        <w:t>but all these activities normalized during the study period (Department of Medical Microbiology and Immunology, University of Turku, Finland) [8]</w:t>
      </w:r>
      <w:r w:rsidR="007B5F8F">
        <w:rPr>
          <w:lang w:val="en-US"/>
        </w:rPr>
        <w:t xml:space="preserve">. </w:t>
      </w:r>
      <w:r w:rsidRPr="00BE3C01">
        <w:rPr>
          <w:lang w:val="en-GB"/>
        </w:rPr>
        <w:t>Complement activity was assessed by measuring neoantigen of the terminal complex using monoclonal, enzyme-linked antibody (COMPL 300 Wielisa kit, Wieslab, Lund, Sweden)</w:t>
      </w:r>
      <w:r w:rsidR="007B5F8F">
        <w:rPr>
          <w:lang w:val="en-GB"/>
        </w:rPr>
        <w:t>.</w:t>
      </w:r>
    </w:p>
    <w:p w14:paraId="2D64BF80" w14:textId="77777777" w:rsidR="00710BC3" w:rsidRPr="00C17D54" w:rsidRDefault="00710BC3" w:rsidP="00710BC3">
      <w:pPr>
        <w:spacing w:line="480" w:lineRule="auto"/>
        <w:rPr>
          <w:lang w:val="en-US"/>
        </w:rPr>
      </w:pPr>
    </w:p>
    <w:p w14:paraId="16773756" w14:textId="77777777" w:rsidR="002B661B" w:rsidRDefault="002B661B" w:rsidP="00710BC3">
      <w:pPr>
        <w:spacing w:line="480" w:lineRule="auto"/>
        <w:ind w:firstLine="284"/>
        <w:rPr>
          <w:i/>
          <w:lang w:val="en-GB"/>
        </w:rPr>
      </w:pPr>
    </w:p>
    <w:p w14:paraId="0D135B3C" w14:textId="77777777" w:rsidR="00710BC3" w:rsidRPr="001E3FA1" w:rsidRDefault="00710BC3" w:rsidP="00710BC3">
      <w:pPr>
        <w:spacing w:line="480" w:lineRule="auto"/>
        <w:ind w:firstLine="284"/>
        <w:rPr>
          <w:i/>
          <w:lang w:val="en-GB"/>
        </w:rPr>
      </w:pPr>
      <w:r w:rsidRPr="001E3FA1">
        <w:rPr>
          <w:i/>
          <w:lang w:val="en-GB"/>
        </w:rPr>
        <w:t>Statistical methods</w:t>
      </w:r>
    </w:p>
    <w:p w14:paraId="3A9FB615" w14:textId="77777777" w:rsidR="00710BC3" w:rsidRDefault="00710BC3" w:rsidP="00710BC3">
      <w:pPr>
        <w:spacing w:line="480" w:lineRule="auto"/>
        <w:ind w:left="284"/>
        <w:rPr>
          <w:lang w:val="en-GB"/>
        </w:rPr>
      </w:pPr>
      <w:r w:rsidRPr="006124A5">
        <w:rPr>
          <w:lang w:val="en-GB"/>
        </w:rPr>
        <w:t>Continuous variables were compared using mixed models repeated measures analysis with time, risk group and interaction between time and risk group as predictor variables. Right skewed response variables were transformed before the analysis using log-transformation</w:t>
      </w:r>
      <w:r>
        <w:rPr>
          <w:lang w:val="en-GB"/>
        </w:rPr>
        <w:t xml:space="preserve">. </w:t>
      </w:r>
      <w:r w:rsidRPr="006124A5">
        <w:rPr>
          <w:lang w:val="en-GB"/>
        </w:rPr>
        <w:t>Comparisons between two categorical variables were done using Fisher's exact test. Differences were considered statistically significant w</w:t>
      </w:r>
      <w:r w:rsidR="00C878D3">
        <w:rPr>
          <w:lang w:val="en-GB"/>
        </w:rPr>
        <w:t>hen p value was &lt; 0.05. Data were</w:t>
      </w:r>
      <w:r w:rsidRPr="006124A5">
        <w:rPr>
          <w:lang w:val="en-GB"/>
        </w:rPr>
        <w:t xml:space="preserve"> analysed using SAS.</w:t>
      </w:r>
      <w:r>
        <w:rPr>
          <w:lang w:val="en-GB"/>
        </w:rPr>
        <w:t xml:space="preserve"> </w:t>
      </w:r>
    </w:p>
    <w:p w14:paraId="1C1920B1" w14:textId="77777777" w:rsidR="00C878D3" w:rsidRDefault="00C878D3" w:rsidP="00710BC3">
      <w:pPr>
        <w:spacing w:line="480" w:lineRule="auto"/>
        <w:ind w:left="284"/>
        <w:rPr>
          <w:lang w:val="en-GB"/>
        </w:rPr>
      </w:pPr>
    </w:p>
    <w:p w14:paraId="0B07F0B5" w14:textId="77777777" w:rsidR="00710BC3" w:rsidRPr="001E3FA1" w:rsidRDefault="00710BC3" w:rsidP="00710BC3">
      <w:pPr>
        <w:spacing w:line="480" w:lineRule="auto"/>
        <w:ind w:firstLine="284"/>
        <w:rPr>
          <w:b/>
          <w:lang w:val="en-US"/>
        </w:rPr>
      </w:pPr>
      <w:r w:rsidRPr="001E3FA1">
        <w:rPr>
          <w:b/>
          <w:lang w:val="en-US"/>
        </w:rPr>
        <w:t xml:space="preserve">Discussion </w:t>
      </w:r>
    </w:p>
    <w:p w14:paraId="4AAA1164" w14:textId="77777777" w:rsidR="00710BC3" w:rsidRDefault="00710BC3" w:rsidP="00710BC3">
      <w:pPr>
        <w:spacing w:line="480" w:lineRule="auto"/>
        <w:ind w:left="284"/>
        <w:rPr>
          <w:lang w:val="en-GB"/>
        </w:rPr>
      </w:pPr>
      <w:r>
        <w:rPr>
          <w:lang w:val="en-US"/>
        </w:rPr>
        <w:lastRenderedPageBreak/>
        <w:t>In the present study, we report 28</w:t>
      </w:r>
      <w:r w:rsidRPr="001E3FA1">
        <w:rPr>
          <w:lang w:val="en-US"/>
        </w:rPr>
        <w:t xml:space="preserve"> children </w:t>
      </w:r>
      <w:r>
        <w:rPr>
          <w:lang w:val="en-US"/>
        </w:rPr>
        <w:t xml:space="preserve">with standard or intermediate risk leukemia </w:t>
      </w:r>
      <w:r w:rsidR="0035208D">
        <w:rPr>
          <w:lang w:val="en-US"/>
        </w:rPr>
        <w:t xml:space="preserve">(ALL) </w:t>
      </w:r>
      <w:r w:rsidRPr="001E3FA1">
        <w:rPr>
          <w:lang w:val="en-US"/>
        </w:rPr>
        <w:t xml:space="preserve">completing the conventional chemotherapy and their immunological </w:t>
      </w:r>
      <w:r>
        <w:rPr>
          <w:lang w:val="en-US"/>
        </w:rPr>
        <w:t>recovery during the two-year follow-up. Substantially, both</w:t>
      </w:r>
      <w:r>
        <w:rPr>
          <w:lang w:val="en-GB"/>
        </w:rPr>
        <w:t xml:space="preserve"> naïve and memory B cells were severely affected and showed slow recovery during the two-year follow-up while T cell compartment showed only minor changes. Immunoglobulins and their subclasses, complement activity, and antibodies against </w:t>
      </w:r>
      <w:r w:rsidR="0035208D" w:rsidRPr="0035208D">
        <w:rPr>
          <w:lang w:val="en-GB"/>
        </w:rPr>
        <w:t xml:space="preserve">previously given tetanus </w:t>
      </w:r>
      <w:r w:rsidR="003C0D55">
        <w:rPr>
          <w:lang w:val="en-GB"/>
        </w:rPr>
        <w:t xml:space="preserve">and conjugated pneumococcal </w:t>
      </w:r>
      <w:r w:rsidR="0035208D" w:rsidRPr="0035208D">
        <w:rPr>
          <w:lang w:val="en-GB"/>
        </w:rPr>
        <w:t>vaccine</w:t>
      </w:r>
      <w:r w:rsidR="003C0D55">
        <w:rPr>
          <w:lang w:val="en-GB"/>
        </w:rPr>
        <w:t>s</w:t>
      </w:r>
      <w:r w:rsidR="0035208D" w:rsidRPr="0035208D">
        <w:rPr>
          <w:lang w:val="en-GB"/>
        </w:rPr>
        <w:t xml:space="preserve"> </w:t>
      </w:r>
      <w:r>
        <w:rPr>
          <w:lang w:val="en-GB"/>
        </w:rPr>
        <w:t xml:space="preserve">were not significantly affected or showed rapid recovery after the cessation of leukemia treatment. The rate of the immune recovery did not differ markedly between the standard or intermediate risk groups. </w:t>
      </w:r>
    </w:p>
    <w:p w14:paraId="796A07A9" w14:textId="77777777" w:rsidR="00710BC3" w:rsidRDefault="00710BC3" w:rsidP="00E9252A">
      <w:pPr>
        <w:spacing w:line="480" w:lineRule="auto"/>
        <w:rPr>
          <w:lang w:val="en-GB"/>
        </w:rPr>
      </w:pPr>
    </w:p>
    <w:p w14:paraId="73B4D288" w14:textId="77777777" w:rsidR="00F1687D" w:rsidRDefault="00710BC3" w:rsidP="00710BC3">
      <w:pPr>
        <w:spacing w:line="480" w:lineRule="auto"/>
        <w:ind w:left="284"/>
        <w:rPr>
          <w:lang w:val="en-GB"/>
        </w:rPr>
      </w:pPr>
      <w:r>
        <w:rPr>
          <w:lang w:val="en-GB"/>
        </w:rPr>
        <w:t xml:space="preserve">While T-cell recovery in both children and adults after antineoplastic treatment, specifically after stem cell transplantations, has been studied intensively, only few reports have been available regarding the B-cell compartment. </w:t>
      </w:r>
      <w:r w:rsidR="002F4C13">
        <w:rPr>
          <w:lang w:val="en-GB"/>
        </w:rPr>
        <w:t xml:space="preserve">Recently, Wiegering and co-workers </w:t>
      </w:r>
      <w:r>
        <w:rPr>
          <w:lang w:val="en-GB"/>
        </w:rPr>
        <w:t xml:space="preserve">found significant reduction in B-cells, specifically in naïve B-cells, during and after the </w:t>
      </w:r>
      <w:r w:rsidR="002F4C13">
        <w:rPr>
          <w:lang w:val="en-GB"/>
        </w:rPr>
        <w:t>standard and medium risk ALL</w:t>
      </w:r>
      <w:r>
        <w:rPr>
          <w:lang w:val="en-GB"/>
        </w:rPr>
        <w:t xml:space="preserve"> treatment</w:t>
      </w:r>
      <w:r w:rsidR="002F4C13">
        <w:rPr>
          <w:lang w:val="en-GB"/>
        </w:rPr>
        <w:t xml:space="preserve"> </w:t>
      </w:r>
      <w:r w:rsidR="002F4C13">
        <w:rPr>
          <w:lang w:val="en-US"/>
        </w:rPr>
        <w:sym w:font="Symbol" w:char="F05B"/>
      </w:r>
      <w:r w:rsidR="000E247A">
        <w:rPr>
          <w:lang w:val="en-GB"/>
        </w:rPr>
        <w:t>7</w:t>
      </w:r>
      <w:r w:rsidR="002F4C13">
        <w:rPr>
          <w:lang w:val="en-US"/>
        </w:rPr>
        <w:sym w:font="Symbol" w:char="F05D"/>
      </w:r>
      <w:r>
        <w:rPr>
          <w:lang w:val="en-GB"/>
        </w:rPr>
        <w:t xml:space="preserve">. The abnormal B-cell distribution and on-going reconstitution was still found 5 years after the end of the therapy. </w:t>
      </w:r>
    </w:p>
    <w:p w14:paraId="7AFD9A39" w14:textId="77777777" w:rsidR="00685A19" w:rsidRDefault="00685A19" w:rsidP="00710BC3">
      <w:pPr>
        <w:spacing w:line="480" w:lineRule="auto"/>
        <w:ind w:left="284"/>
        <w:rPr>
          <w:lang w:val="en-GB"/>
        </w:rPr>
      </w:pPr>
    </w:p>
    <w:p w14:paraId="6E126F6B" w14:textId="77777777" w:rsidR="00710BC3" w:rsidRDefault="00710BC3" w:rsidP="00710BC3">
      <w:pPr>
        <w:spacing w:line="480" w:lineRule="auto"/>
        <w:ind w:left="284"/>
        <w:rPr>
          <w:lang w:val="en-GB"/>
        </w:rPr>
      </w:pPr>
      <w:r>
        <w:rPr>
          <w:lang w:val="en-GB"/>
        </w:rPr>
        <w:lastRenderedPageBreak/>
        <w:t xml:space="preserve">The defects in B-cell immunity have major clinical significance leading to the increased susceptibility of viral and bacterial infections, or incomplete antibody response to vaccinations. </w:t>
      </w:r>
    </w:p>
    <w:p w14:paraId="54495FAB" w14:textId="0D833AFB" w:rsidR="00710BC3" w:rsidRPr="00997C68" w:rsidRDefault="00710BC3" w:rsidP="00E9252A">
      <w:pPr>
        <w:spacing w:line="480" w:lineRule="auto"/>
        <w:ind w:left="284"/>
        <w:rPr>
          <w:lang w:val="en-US"/>
        </w:rPr>
      </w:pPr>
      <w:r>
        <w:rPr>
          <w:lang w:val="en-GB"/>
        </w:rPr>
        <w:t xml:space="preserve">Recently, guidelines on vaccinations in pediatric hematology and oncology patients were reviewed by Cesaro and co-workers </w:t>
      </w:r>
      <w:r w:rsidR="00363F12">
        <w:rPr>
          <w:lang w:val="en-US"/>
        </w:rPr>
        <w:sym w:font="Symbol" w:char="F05B"/>
      </w:r>
      <w:r w:rsidR="000E247A">
        <w:rPr>
          <w:lang w:val="en-GB"/>
        </w:rPr>
        <w:t>9</w:t>
      </w:r>
      <w:r w:rsidR="00363F12">
        <w:rPr>
          <w:lang w:val="en-US"/>
        </w:rPr>
        <w:sym w:font="Symbol" w:char="F05D"/>
      </w:r>
      <w:r>
        <w:rPr>
          <w:lang w:val="en-GB"/>
        </w:rPr>
        <w:t>. Their recommendation was to start booster vaccinations after 6 months f</w:t>
      </w:r>
      <w:r w:rsidR="00883EDF">
        <w:rPr>
          <w:lang w:val="en-GB"/>
        </w:rPr>
        <w:t xml:space="preserve">rom the end of cancer treatment. </w:t>
      </w:r>
      <w:r w:rsidRPr="00883EDF">
        <w:rPr>
          <w:highlight w:val="yellow"/>
          <w:lang w:val="en-US"/>
        </w:rPr>
        <w:t xml:space="preserve">Requirement for a successful revaccination is sufficient B cell recovery and presenting CD4 T-helper cells </w:t>
      </w:r>
      <w:r w:rsidR="00363F12" w:rsidRPr="00883EDF">
        <w:rPr>
          <w:highlight w:val="yellow"/>
          <w:lang w:val="en-US"/>
        </w:rPr>
        <w:sym w:font="Symbol" w:char="F05B"/>
      </w:r>
      <w:r w:rsidR="00883EDF" w:rsidRPr="00883EDF">
        <w:rPr>
          <w:highlight w:val="yellow"/>
          <w:lang w:val="en-US"/>
        </w:rPr>
        <w:t>9</w:t>
      </w:r>
      <w:r w:rsidR="000E247A" w:rsidRPr="00883EDF">
        <w:rPr>
          <w:highlight w:val="yellow"/>
          <w:lang w:val="en-US"/>
        </w:rPr>
        <w:t>-11</w:t>
      </w:r>
      <w:r w:rsidR="00363F12" w:rsidRPr="00883EDF">
        <w:rPr>
          <w:highlight w:val="yellow"/>
          <w:lang w:val="en-US"/>
        </w:rPr>
        <w:sym w:font="Symbol" w:char="F05D"/>
      </w:r>
      <w:r w:rsidRPr="00883EDF">
        <w:rPr>
          <w:highlight w:val="yellow"/>
          <w:lang w:val="en-US"/>
        </w:rPr>
        <w:t>.</w:t>
      </w:r>
      <w:r>
        <w:rPr>
          <w:lang w:val="en-US"/>
        </w:rPr>
        <w:t xml:space="preserve"> </w:t>
      </w:r>
      <w:r w:rsidR="00E9252A">
        <w:rPr>
          <w:lang w:val="en-US"/>
        </w:rPr>
        <w:t xml:space="preserve"> </w:t>
      </w:r>
      <w:r w:rsidRPr="001E3FA1">
        <w:rPr>
          <w:lang w:val="en-US"/>
        </w:rPr>
        <w:t>On the other hand, Lehrnbecher et al sug</w:t>
      </w:r>
      <w:r w:rsidR="003C0D55">
        <w:rPr>
          <w:lang w:val="en-US"/>
        </w:rPr>
        <w:t>gest that children with ALL should</w:t>
      </w:r>
      <w:r w:rsidRPr="001E3FA1">
        <w:rPr>
          <w:lang w:val="en-US"/>
        </w:rPr>
        <w:t xml:space="preserve"> be revaccinated with non-live vaccines as early as </w:t>
      </w:r>
      <w:r>
        <w:rPr>
          <w:lang w:val="en-US"/>
        </w:rPr>
        <w:t xml:space="preserve">3 months after chemotherapy </w:t>
      </w:r>
      <w:r w:rsidR="00363F12">
        <w:rPr>
          <w:lang w:val="en-US"/>
        </w:rPr>
        <w:sym w:font="Symbol" w:char="F05B"/>
      </w:r>
      <w:r w:rsidR="00481A5A">
        <w:rPr>
          <w:lang w:val="en-US"/>
        </w:rPr>
        <w:t>10</w:t>
      </w:r>
      <w:r w:rsidR="00363F12">
        <w:rPr>
          <w:lang w:val="en-US"/>
        </w:rPr>
        <w:sym w:font="Symbol" w:char="F05D"/>
      </w:r>
      <w:r w:rsidRPr="001E3FA1">
        <w:rPr>
          <w:lang w:val="en-US"/>
        </w:rPr>
        <w:t xml:space="preserve">. </w:t>
      </w:r>
      <w:r w:rsidR="002C10BE" w:rsidRPr="00883EDF">
        <w:rPr>
          <w:highlight w:val="yellow"/>
          <w:lang w:val="en-US"/>
        </w:rPr>
        <w:t>In our study, T-cell compartment wa</w:t>
      </w:r>
      <w:r w:rsidRPr="00883EDF">
        <w:rPr>
          <w:highlight w:val="yellow"/>
          <w:lang w:val="en-US"/>
        </w:rPr>
        <w:t>s relatively well preserved</w:t>
      </w:r>
      <w:r w:rsidR="002C10BE" w:rsidRPr="00883EDF">
        <w:rPr>
          <w:highlight w:val="yellow"/>
          <w:lang w:val="en-US"/>
        </w:rPr>
        <w:t xml:space="preserve"> but </w:t>
      </w:r>
      <w:r w:rsidRPr="00883EDF">
        <w:rPr>
          <w:highlight w:val="yellow"/>
          <w:lang w:val="en-US"/>
        </w:rPr>
        <w:t>it took 3 to 6 months for the B-cell compartment to recover based on serum immunoglobulin leve</w:t>
      </w:r>
      <w:r w:rsidR="00685A19" w:rsidRPr="00883EDF">
        <w:rPr>
          <w:highlight w:val="yellow"/>
          <w:lang w:val="en-US"/>
        </w:rPr>
        <w:t xml:space="preserve">ls and normal antibody responses </w:t>
      </w:r>
      <w:r w:rsidRPr="00883EDF">
        <w:rPr>
          <w:highlight w:val="yellow"/>
          <w:lang w:val="en-US"/>
        </w:rPr>
        <w:t xml:space="preserve">against conjugated pneumococcal vaccinations. </w:t>
      </w:r>
      <w:r w:rsidR="00883EDF">
        <w:rPr>
          <w:highlight w:val="yellow"/>
          <w:lang w:val="en-US"/>
        </w:rPr>
        <w:t xml:space="preserve">Because of the limited number of the patients </w:t>
      </w:r>
      <w:r w:rsidR="00883EDF" w:rsidRPr="00883EDF">
        <w:rPr>
          <w:highlight w:val="yellow"/>
          <w:lang w:val="en-US"/>
        </w:rPr>
        <w:t>we can not make any recommendations for re-vaccination after completing conventional leukemia treatment in children</w:t>
      </w:r>
      <w:r w:rsidR="00883EDF">
        <w:rPr>
          <w:lang w:val="en-US"/>
        </w:rPr>
        <w:t xml:space="preserve">. </w:t>
      </w:r>
    </w:p>
    <w:p w14:paraId="1DE81072" w14:textId="77777777" w:rsidR="001A1F61" w:rsidRDefault="001A1F61" w:rsidP="001A1F61">
      <w:pPr>
        <w:spacing w:line="480" w:lineRule="auto"/>
        <w:rPr>
          <w:lang w:val="en-US"/>
        </w:rPr>
      </w:pPr>
    </w:p>
    <w:p w14:paraId="6ACB9969" w14:textId="77777777" w:rsidR="00710BC3" w:rsidRPr="00637936" w:rsidRDefault="00710BC3" w:rsidP="001A1F61">
      <w:pPr>
        <w:spacing w:line="480" w:lineRule="auto"/>
        <w:ind w:firstLine="284"/>
        <w:rPr>
          <w:b/>
          <w:lang w:val="en-US"/>
        </w:rPr>
      </w:pPr>
      <w:r w:rsidRPr="00637936">
        <w:rPr>
          <w:b/>
          <w:lang w:val="en-US"/>
        </w:rPr>
        <w:t>Conclusion</w:t>
      </w:r>
      <w:r>
        <w:rPr>
          <w:b/>
          <w:lang w:val="en-US"/>
        </w:rPr>
        <w:t>s</w:t>
      </w:r>
    </w:p>
    <w:p w14:paraId="1FC95399" w14:textId="77777777" w:rsidR="00710BC3" w:rsidRDefault="00710BC3" w:rsidP="00710BC3">
      <w:pPr>
        <w:spacing w:line="480" w:lineRule="auto"/>
        <w:ind w:left="284"/>
        <w:rPr>
          <w:lang w:val="en-US"/>
        </w:rPr>
      </w:pPr>
      <w:r w:rsidRPr="00637936">
        <w:rPr>
          <w:lang w:val="en-US"/>
        </w:rPr>
        <w:t>In</w:t>
      </w:r>
      <w:r>
        <w:rPr>
          <w:lang w:val="en-US"/>
        </w:rPr>
        <w:t xml:space="preserve"> conclusion, our study showed that the immune</w:t>
      </w:r>
      <w:r>
        <w:rPr>
          <w:lang w:val="en-GB"/>
        </w:rPr>
        <w:t xml:space="preserve"> recovery after conventional chemotherapy for standard and intermediate risk acute lymphoblastic leukemia is marked by B cell depletion but otherwise it did not show any severe deficiencies </w:t>
      </w:r>
      <w:r w:rsidR="00685A19">
        <w:rPr>
          <w:lang w:val="en-GB"/>
        </w:rPr>
        <w:t xml:space="preserve">in </w:t>
      </w:r>
      <w:r>
        <w:rPr>
          <w:lang w:val="en-GB"/>
        </w:rPr>
        <w:t xml:space="preserve">lymphocyte functions. </w:t>
      </w:r>
    </w:p>
    <w:p w14:paraId="0998D134" w14:textId="77777777" w:rsidR="00710BC3" w:rsidRDefault="00710BC3" w:rsidP="00710BC3">
      <w:pPr>
        <w:spacing w:line="480" w:lineRule="auto"/>
        <w:rPr>
          <w:b/>
          <w:lang w:val="en-GB"/>
        </w:rPr>
      </w:pPr>
    </w:p>
    <w:p w14:paraId="469E6958" w14:textId="77777777" w:rsidR="00710BC3" w:rsidRPr="00637936" w:rsidRDefault="00710BC3" w:rsidP="00710BC3">
      <w:pPr>
        <w:spacing w:line="480" w:lineRule="auto"/>
        <w:ind w:firstLine="284"/>
        <w:rPr>
          <w:b/>
          <w:lang w:val="en-US"/>
        </w:rPr>
      </w:pPr>
      <w:r w:rsidRPr="00637936">
        <w:rPr>
          <w:b/>
          <w:lang w:val="en-US"/>
        </w:rPr>
        <w:t>Acknowledgements</w:t>
      </w:r>
    </w:p>
    <w:p w14:paraId="463C2A50" w14:textId="77777777" w:rsidR="00710BC3" w:rsidRPr="00637936" w:rsidRDefault="00710BC3" w:rsidP="00710BC3">
      <w:pPr>
        <w:spacing w:line="480" w:lineRule="auto"/>
        <w:ind w:left="284"/>
        <w:rPr>
          <w:lang w:val="en-US"/>
        </w:rPr>
      </w:pPr>
      <w:r w:rsidRPr="00637936">
        <w:rPr>
          <w:lang w:val="en-US"/>
        </w:rPr>
        <w:t>We thank the Foundation of Pediatric Research in Finland</w:t>
      </w:r>
      <w:r>
        <w:rPr>
          <w:lang w:val="en-US"/>
        </w:rPr>
        <w:t>,</w:t>
      </w:r>
      <w:r w:rsidRPr="00637936">
        <w:rPr>
          <w:lang w:val="en-US"/>
        </w:rPr>
        <w:t xml:space="preserve"> Finnish Cancer Society</w:t>
      </w:r>
      <w:r>
        <w:rPr>
          <w:lang w:val="en-US"/>
        </w:rPr>
        <w:t>, and</w:t>
      </w:r>
      <w:r w:rsidRPr="00637936">
        <w:rPr>
          <w:lang w:val="en-US"/>
        </w:rPr>
        <w:t xml:space="preserve"> Foundation of Cancer Research of Moikoinen, Turku, Finland</w:t>
      </w:r>
      <w:r>
        <w:rPr>
          <w:lang w:val="en-US"/>
        </w:rPr>
        <w:t xml:space="preserve"> for their financial support</w:t>
      </w:r>
      <w:r w:rsidRPr="00637936">
        <w:rPr>
          <w:lang w:val="en-US"/>
        </w:rPr>
        <w:t xml:space="preserve">. </w:t>
      </w:r>
      <w:r w:rsidR="003C67D5">
        <w:rPr>
          <w:lang w:val="en-US"/>
        </w:rPr>
        <w:t xml:space="preserve">We also thank the research nurse Merja Vuorinen for assisting to carry out the study protocol. </w:t>
      </w:r>
    </w:p>
    <w:p w14:paraId="0D3014A2" w14:textId="77777777" w:rsidR="00710BC3" w:rsidRPr="00637936" w:rsidRDefault="00710BC3" w:rsidP="00710BC3">
      <w:pPr>
        <w:spacing w:line="480" w:lineRule="auto"/>
        <w:rPr>
          <w:lang w:val="en-US"/>
        </w:rPr>
      </w:pPr>
    </w:p>
    <w:p w14:paraId="08944EF7" w14:textId="77777777" w:rsidR="00710BC3" w:rsidRDefault="00710BC3" w:rsidP="00710BC3">
      <w:pPr>
        <w:spacing w:line="480" w:lineRule="auto"/>
        <w:ind w:firstLine="284"/>
        <w:rPr>
          <w:b/>
          <w:lang w:val="en-US"/>
        </w:rPr>
      </w:pPr>
      <w:r w:rsidRPr="00637936">
        <w:rPr>
          <w:b/>
          <w:lang w:val="en-US"/>
        </w:rPr>
        <w:t xml:space="preserve">Declaration of </w:t>
      </w:r>
      <w:r w:rsidR="0035208D" w:rsidRPr="0035208D">
        <w:rPr>
          <w:b/>
          <w:lang w:val="en-US"/>
        </w:rPr>
        <w:t xml:space="preserve">conflicts of </w:t>
      </w:r>
      <w:r>
        <w:rPr>
          <w:b/>
          <w:lang w:val="en-US"/>
        </w:rPr>
        <w:t>interest</w:t>
      </w:r>
    </w:p>
    <w:p w14:paraId="3CA6117A" w14:textId="77777777" w:rsidR="00710BC3" w:rsidRPr="00F0309B" w:rsidRDefault="00710BC3" w:rsidP="00710BC3">
      <w:pPr>
        <w:spacing w:line="480" w:lineRule="auto"/>
        <w:ind w:left="284"/>
        <w:rPr>
          <w:lang w:val="en-US"/>
        </w:rPr>
      </w:pPr>
      <w:r>
        <w:rPr>
          <w:lang w:val="en-US"/>
        </w:rPr>
        <w:t xml:space="preserve">The authors declare no conflicts of interest. </w:t>
      </w:r>
    </w:p>
    <w:p w14:paraId="49F9548E" w14:textId="77777777" w:rsidR="00710BC3" w:rsidRPr="00637936" w:rsidRDefault="00710BC3" w:rsidP="00710BC3">
      <w:pPr>
        <w:spacing w:line="480" w:lineRule="auto"/>
        <w:rPr>
          <w:lang w:val="en-US"/>
        </w:rPr>
      </w:pPr>
    </w:p>
    <w:p w14:paraId="7D2DA040" w14:textId="77777777" w:rsidR="00710BC3" w:rsidRDefault="00710BC3" w:rsidP="00710BC3">
      <w:pPr>
        <w:spacing w:line="480" w:lineRule="auto"/>
        <w:rPr>
          <w:b/>
          <w:lang w:val="en-US"/>
        </w:rPr>
      </w:pPr>
    </w:p>
    <w:p w14:paraId="5A69C131" w14:textId="77777777" w:rsidR="00710BC3" w:rsidRDefault="00710BC3" w:rsidP="00710BC3">
      <w:pPr>
        <w:spacing w:line="480" w:lineRule="auto"/>
        <w:rPr>
          <w:b/>
          <w:lang w:val="en-US"/>
        </w:rPr>
      </w:pPr>
    </w:p>
    <w:p w14:paraId="26255E14" w14:textId="77777777" w:rsidR="00710BC3" w:rsidRDefault="00710BC3" w:rsidP="00710BC3">
      <w:pPr>
        <w:spacing w:line="480" w:lineRule="auto"/>
        <w:rPr>
          <w:b/>
          <w:lang w:val="en-US"/>
        </w:rPr>
      </w:pPr>
    </w:p>
    <w:p w14:paraId="0296E09D" w14:textId="77777777" w:rsidR="00710BC3" w:rsidRDefault="00710BC3" w:rsidP="00710BC3">
      <w:pPr>
        <w:spacing w:line="480" w:lineRule="auto"/>
        <w:rPr>
          <w:b/>
          <w:lang w:val="en-US"/>
        </w:rPr>
      </w:pPr>
    </w:p>
    <w:p w14:paraId="7133951D" w14:textId="77777777" w:rsidR="00710BC3" w:rsidRDefault="00710BC3" w:rsidP="00710BC3">
      <w:pPr>
        <w:spacing w:line="480" w:lineRule="auto"/>
        <w:rPr>
          <w:b/>
          <w:lang w:val="en-US"/>
        </w:rPr>
      </w:pPr>
    </w:p>
    <w:p w14:paraId="62EC6E93" w14:textId="77777777" w:rsidR="00710BC3" w:rsidRDefault="00710BC3" w:rsidP="00710BC3">
      <w:pPr>
        <w:spacing w:line="480" w:lineRule="auto"/>
        <w:rPr>
          <w:b/>
          <w:lang w:val="en-US"/>
        </w:rPr>
      </w:pPr>
    </w:p>
    <w:p w14:paraId="235AE3AE" w14:textId="77777777" w:rsidR="00363F12" w:rsidRDefault="00363F12">
      <w:pPr>
        <w:rPr>
          <w:b/>
          <w:lang w:val="en-US"/>
        </w:rPr>
      </w:pPr>
      <w:r>
        <w:rPr>
          <w:b/>
          <w:lang w:val="en-US"/>
        </w:rPr>
        <w:br w:type="page"/>
      </w:r>
    </w:p>
    <w:p w14:paraId="70DD61B9" w14:textId="77777777" w:rsidR="00710BC3" w:rsidRPr="00637936" w:rsidRDefault="00710BC3" w:rsidP="00710BC3">
      <w:pPr>
        <w:spacing w:line="480" w:lineRule="auto"/>
        <w:rPr>
          <w:b/>
          <w:lang w:val="en-US"/>
        </w:rPr>
      </w:pPr>
      <w:r w:rsidRPr="00637936">
        <w:rPr>
          <w:b/>
          <w:lang w:val="en-US"/>
        </w:rPr>
        <w:lastRenderedPageBreak/>
        <w:t>References</w:t>
      </w:r>
    </w:p>
    <w:p w14:paraId="77FAFC67"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 xml:space="preserve">Van Tilburg CM, van der Velden VHJ, Sanders EAM, Wolfs TFW, Gaiser JF, de Haas V, </w:t>
      </w:r>
      <w:r w:rsidR="001865F6" w:rsidRPr="001865F6">
        <w:rPr>
          <w:b w:val="0"/>
          <w:sz w:val="24"/>
          <w:szCs w:val="24"/>
          <w:lang w:val="en"/>
        </w:rPr>
        <w:t>P</w:t>
      </w:r>
      <w:r w:rsidR="001865F6">
        <w:rPr>
          <w:b w:val="0"/>
          <w:sz w:val="24"/>
          <w:szCs w:val="24"/>
          <w:lang w:val="en"/>
        </w:rPr>
        <w:t>ieters R, Bloem AC, Bierings MB</w:t>
      </w:r>
      <w:r>
        <w:rPr>
          <w:b w:val="0"/>
          <w:sz w:val="24"/>
          <w:szCs w:val="24"/>
          <w:lang w:val="en"/>
        </w:rPr>
        <w:t>. Reduced versus intensive chemotherapy for childhood acute lymphoblastic leukemia: Impact on lymphocyte compartment composition. Leukemia Research 2011;35:484-491.</w:t>
      </w:r>
    </w:p>
    <w:p w14:paraId="72B1E18B"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 xml:space="preserve">Van Tilburg CM, van Gent R, Bierings MB, Otto SA, Sanders EAM, Nibbelke EE, </w:t>
      </w:r>
      <w:r w:rsidR="001865F6" w:rsidRPr="001865F6">
        <w:rPr>
          <w:b w:val="0"/>
          <w:sz w:val="24"/>
          <w:szCs w:val="24"/>
          <w:lang w:val="en"/>
        </w:rPr>
        <w:t>Gaiser JF, Janssens-Korpela PL, Wolfs TF, Bloem AC, Borghans JA, Tesselaar K</w:t>
      </w:r>
      <w:r>
        <w:rPr>
          <w:b w:val="0"/>
          <w:sz w:val="24"/>
          <w:szCs w:val="24"/>
          <w:lang w:val="en"/>
        </w:rPr>
        <w:t>. Immune reconstitution in children following chemotherapy for haematological malignancies: a long-term follow-up. British Journal of Haematology 2010;152:201-210.</w:t>
      </w:r>
    </w:p>
    <w:p w14:paraId="2D268184"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Eyrich M, Wiegering V, Lim A, Schrauder A, Winkler B, Schlegel PG. Immune function in children under chemotherapy for standard risk acute lymphoblastic leukaemia – a prospective study of 20 paediatric patients. British Journal of Haematology 2009;147:360-370.</w:t>
      </w:r>
    </w:p>
    <w:p w14:paraId="39436DB6" w14:textId="77777777" w:rsidR="000E605F" w:rsidRPr="000E605F" w:rsidRDefault="000E605F" w:rsidP="000E605F">
      <w:pPr>
        <w:pStyle w:val="Heading1"/>
        <w:numPr>
          <w:ilvl w:val="0"/>
          <w:numId w:val="1"/>
        </w:numPr>
        <w:tabs>
          <w:tab w:val="clear" w:pos="720"/>
          <w:tab w:val="num" w:pos="1637"/>
        </w:tabs>
        <w:spacing w:line="480" w:lineRule="auto"/>
        <w:ind w:left="714" w:hanging="357"/>
        <w:rPr>
          <w:b w:val="0"/>
          <w:sz w:val="24"/>
          <w:szCs w:val="24"/>
          <w:lang w:val="en-GB"/>
        </w:rPr>
      </w:pPr>
      <w:r w:rsidRPr="00637936">
        <w:rPr>
          <w:rStyle w:val="citation-flpages"/>
          <w:b w:val="0"/>
          <w:sz w:val="24"/>
          <w:szCs w:val="24"/>
          <w:lang w:val="en"/>
        </w:rPr>
        <w:t xml:space="preserve">Haining WN, Neuberg DS, Keczkemethy HL, Evans JW, Rivoli S, Gelman R, Rosenblatt HM, Shearer WT, Guenaga J, Douek DC, Silverman LB, Sallan </w:t>
      </w:r>
      <w:r>
        <w:rPr>
          <w:rStyle w:val="citation-flpages"/>
          <w:b w:val="0"/>
          <w:sz w:val="24"/>
          <w:szCs w:val="24"/>
          <w:lang w:val="en"/>
        </w:rPr>
        <w:t xml:space="preserve">SE, Guinan EC, Nadler LM. </w:t>
      </w:r>
      <w:r w:rsidRPr="00637936">
        <w:rPr>
          <w:rStyle w:val="citation-flpages"/>
          <w:b w:val="0"/>
          <w:sz w:val="24"/>
          <w:szCs w:val="24"/>
          <w:lang w:val="en"/>
        </w:rPr>
        <w:t>Antigen-specific T-cell memory is preserved in children treated for acut</w:t>
      </w:r>
      <w:r>
        <w:rPr>
          <w:rStyle w:val="citation-flpages"/>
          <w:b w:val="0"/>
          <w:sz w:val="24"/>
          <w:szCs w:val="24"/>
          <w:lang w:val="en"/>
        </w:rPr>
        <w:t xml:space="preserve">e lymphoblastic leukemia. </w:t>
      </w:r>
      <w:r w:rsidRPr="00F0309B">
        <w:rPr>
          <w:rStyle w:val="citation-flpages"/>
          <w:b w:val="0"/>
          <w:i/>
          <w:sz w:val="24"/>
          <w:szCs w:val="24"/>
          <w:lang w:val="en"/>
        </w:rPr>
        <w:t>Blood</w:t>
      </w:r>
      <w:r>
        <w:rPr>
          <w:rStyle w:val="citation-flpages"/>
          <w:b w:val="0"/>
          <w:sz w:val="24"/>
          <w:szCs w:val="24"/>
          <w:lang w:val="en"/>
        </w:rPr>
        <w:t>. 2005;</w:t>
      </w:r>
      <w:r w:rsidRPr="00637936">
        <w:rPr>
          <w:rStyle w:val="citation-flpages"/>
          <w:b w:val="0"/>
          <w:sz w:val="24"/>
          <w:szCs w:val="24"/>
          <w:lang w:val="en"/>
        </w:rPr>
        <w:t>106:1749-54.</w:t>
      </w:r>
    </w:p>
    <w:p w14:paraId="6AD4A0E7"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sidRPr="007F599F">
        <w:rPr>
          <w:b w:val="0"/>
          <w:sz w:val="24"/>
          <w:szCs w:val="24"/>
        </w:rPr>
        <w:lastRenderedPageBreak/>
        <w:t xml:space="preserve">Alanko S, Pelliniemi TT, Salmi TT. </w:t>
      </w:r>
      <w:r w:rsidRPr="007F599F">
        <w:rPr>
          <w:b w:val="0"/>
          <w:sz w:val="24"/>
          <w:szCs w:val="24"/>
          <w:lang w:val="en"/>
        </w:rPr>
        <w:t xml:space="preserve">Recovery of blood B-lymphocytes and serum immunoglobulins after chemotherapy for childhood acute lymphoblastic leukemia. </w:t>
      </w:r>
      <w:r w:rsidRPr="00A16237">
        <w:rPr>
          <w:b w:val="0"/>
          <w:sz w:val="24"/>
          <w:szCs w:val="24"/>
          <w:lang w:val="en"/>
        </w:rPr>
        <w:t>Cancer</w:t>
      </w:r>
      <w:r>
        <w:rPr>
          <w:b w:val="0"/>
          <w:sz w:val="24"/>
          <w:szCs w:val="24"/>
          <w:lang w:val="en"/>
        </w:rPr>
        <w:t xml:space="preserve"> </w:t>
      </w:r>
      <w:r w:rsidRPr="007F599F">
        <w:rPr>
          <w:b w:val="0"/>
          <w:sz w:val="24"/>
          <w:szCs w:val="24"/>
          <w:lang w:val="en"/>
        </w:rPr>
        <w:t>1992;69:1481-86.</w:t>
      </w:r>
    </w:p>
    <w:p w14:paraId="7A2DAA30" w14:textId="77777777" w:rsidR="00710BC3" w:rsidRPr="00637936" w:rsidRDefault="00710BC3" w:rsidP="00710BC3">
      <w:pPr>
        <w:pStyle w:val="Heading1"/>
        <w:numPr>
          <w:ilvl w:val="0"/>
          <w:numId w:val="1"/>
        </w:numPr>
        <w:tabs>
          <w:tab w:val="clear" w:pos="720"/>
          <w:tab w:val="num" w:pos="1637"/>
        </w:tabs>
        <w:spacing w:line="480" w:lineRule="auto"/>
        <w:ind w:left="714" w:hanging="357"/>
        <w:rPr>
          <w:rStyle w:val="citation-flpages"/>
          <w:b w:val="0"/>
          <w:sz w:val="24"/>
          <w:szCs w:val="24"/>
          <w:lang w:val="en-GB"/>
        </w:rPr>
      </w:pPr>
      <w:r w:rsidRPr="00637936">
        <w:rPr>
          <w:rStyle w:val="citation-flpages"/>
          <w:b w:val="0"/>
          <w:sz w:val="24"/>
          <w:szCs w:val="24"/>
          <w:lang w:val="en"/>
        </w:rPr>
        <w:t>van Wering ER, van der Linden-Schrever BE, Szczepanski T, Willemse MJ, Baars EA, Wijngaarde-Schm</w:t>
      </w:r>
      <w:r>
        <w:rPr>
          <w:rStyle w:val="citation-flpages"/>
          <w:b w:val="0"/>
          <w:sz w:val="24"/>
          <w:szCs w:val="24"/>
          <w:lang w:val="en"/>
        </w:rPr>
        <w:t xml:space="preserve">itz HM, Kamps WA, van Dongen JJ. </w:t>
      </w:r>
      <w:r w:rsidRPr="00637936">
        <w:rPr>
          <w:rStyle w:val="citation-flpages"/>
          <w:b w:val="0"/>
          <w:sz w:val="24"/>
          <w:szCs w:val="24"/>
          <w:lang w:val="en"/>
        </w:rPr>
        <w:t xml:space="preserve">Regenerating normal B-cell precursors during and after treatment of acute lymphoblastic leukemia: implications for monitoring of minimal residual disease. </w:t>
      </w:r>
      <w:r w:rsidRPr="00A16237">
        <w:rPr>
          <w:rStyle w:val="citation-flpages"/>
          <w:b w:val="0"/>
          <w:sz w:val="24"/>
          <w:szCs w:val="24"/>
          <w:lang w:val="en"/>
        </w:rPr>
        <w:t>Br J Haematol. 2000</w:t>
      </w:r>
      <w:r>
        <w:rPr>
          <w:rStyle w:val="citation-flpages"/>
          <w:b w:val="0"/>
          <w:sz w:val="24"/>
          <w:szCs w:val="24"/>
          <w:lang w:val="en"/>
        </w:rPr>
        <w:t>;</w:t>
      </w:r>
      <w:r w:rsidRPr="00637936">
        <w:rPr>
          <w:rStyle w:val="citation-flpages"/>
          <w:b w:val="0"/>
          <w:sz w:val="24"/>
          <w:szCs w:val="24"/>
          <w:lang w:val="en"/>
        </w:rPr>
        <w:t>110:139-146.</w:t>
      </w:r>
    </w:p>
    <w:p w14:paraId="44E6DF69"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Wiegering V, Frank J, Freudenberg S, Morbach H, Schlegel PG, Eyrich M, Winkler B. Impared B-cell reconstitution in children after chemotherapy for standard or medium risk acute precursor B-lymphoblastic leukemia. Leuk Lymphoma 2014;55:870-875.</w:t>
      </w:r>
    </w:p>
    <w:p w14:paraId="68158F3E" w14:textId="77777777" w:rsidR="000E605F" w:rsidRDefault="000E605F" w:rsidP="000E605F">
      <w:pPr>
        <w:pStyle w:val="Heading1"/>
        <w:numPr>
          <w:ilvl w:val="0"/>
          <w:numId w:val="1"/>
        </w:numPr>
        <w:tabs>
          <w:tab w:val="clear" w:pos="720"/>
          <w:tab w:val="num" w:pos="1637"/>
        </w:tabs>
        <w:spacing w:line="480" w:lineRule="auto"/>
        <w:ind w:left="714" w:hanging="357"/>
        <w:rPr>
          <w:b w:val="0"/>
          <w:sz w:val="24"/>
          <w:szCs w:val="24"/>
          <w:lang w:val="en"/>
        </w:rPr>
      </w:pPr>
      <w:r w:rsidRPr="00BE3C01">
        <w:rPr>
          <w:b w:val="0"/>
          <w:sz w:val="24"/>
          <w:szCs w:val="24"/>
          <w:lang w:val="en"/>
        </w:rPr>
        <w:t>Seelen</w:t>
      </w:r>
      <w:r>
        <w:rPr>
          <w:b w:val="0"/>
          <w:sz w:val="24"/>
          <w:szCs w:val="24"/>
          <w:lang w:val="en"/>
        </w:rPr>
        <w:t xml:space="preserve"> MA</w:t>
      </w:r>
      <w:r w:rsidRPr="00BE3C01">
        <w:rPr>
          <w:b w:val="0"/>
          <w:sz w:val="24"/>
          <w:szCs w:val="24"/>
          <w:lang w:val="en"/>
        </w:rPr>
        <w:t>, Roos</w:t>
      </w:r>
      <w:r>
        <w:rPr>
          <w:b w:val="0"/>
          <w:sz w:val="24"/>
          <w:szCs w:val="24"/>
          <w:lang w:val="en"/>
        </w:rPr>
        <w:t xml:space="preserve"> A</w:t>
      </w:r>
      <w:r w:rsidRPr="00BE3C01">
        <w:rPr>
          <w:b w:val="0"/>
          <w:sz w:val="24"/>
          <w:szCs w:val="24"/>
          <w:lang w:val="en"/>
        </w:rPr>
        <w:t>, Wieslander</w:t>
      </w:r>
      <w:r>
        <w:rPr>
          <w:b w:val="0"/>
          <w:sz w:val="24"/>
          <w:szCs w:val="24"/>
          <w:lang w:val="en"/>
        </w:rPr>
        <w:t xml:space="preserve"> J</w:t>
      </w:r>
      <w:r w:rsidRPr="00BE3C01">
        <w:rPr>
          <w:b w:val="0"/>
          <w:sz w:val="24"/>
          <w:szCs w:val="24"/>
          <w:lang w:val="en"/>
        </w:rPr>
        <w:t>, Mollnes</w:t>
      </w:r>
      <w:r>
        <w:rPr>
          <w:b w:val="0"/>
          <w:sz w:val="24"/>
          <w:szCs w:val="24"/>
          <w:lang w:val="en"/>
        </w:rPr>
        <w:t xml:space="preserve"> TE</w:t>
      </w:r>
      <w:r w:rsidRPr="00BE3C01">
        <w:rPr>
          <w:b w:val="0"/>
          <w:sz w:val="24"/>
          <w:szCs w:val="24"/>
          <w:lang w:val="en"/>
        </w:rPr>
        <w:t>, Sjöholm</w:t>
      </w:r>
      <w:r>
        <w:rPr>
          <w:b w:val="0"/>
          <w:sz w:val="24"/>
          <w:szCs w:val="24"/>
          <w:lang w:val="en"/>
        </w:rPr>
        <w:t xml:space="preserve"> AG</w:t>
      </w:r>
      <w:r w:rsidRPr="00BE3C01">
        <w:rPr>
          <w:b w:val="0"/>
          <w:sz w:val="24"/>
          <w:szCs w:val="24"/>
          <w:lang w:val="en"/>
        </w:rPr>
        <w:t>, Wurzner</w:t>
      </w:r>
      <w:r>
        <w:rPr>
          <w:b w:val="0"/>
          <w:sz w:val="24"/>
          <w:szCs w:val="24"/>
          <w:lang w:val="en"/>
        </w:rPr>
        <w:t xml:space="preserve"> R</w:t>
      </w:r>
      <w:r w:rsidRPr="00BE3C01">
        <w:rPr>
          <w:b w:val="0"/>
          <w:sz w:val="24"/>
          <w:szCs w:val="24"/>
          <w:lang w:val="en"/>
        </w:rPr>
        <w:t xml:space="preserve">, </w:t>
      </w:r>
      <w:r w:rsidRPr="001135BF">
        <w:rPr>
          <w:b w:val="0"/>
          <w:sz w:val="24"/>
          <w:szCs w:val="24"/>
          <w:lang w:val="en"/>
        </w:rPr>
        <w:t>Loos M, Tedesco F, Sim RB, Garred P, Alexopoulos E, Turner MW, Daha MR.</w:t>
      </w:r>
      <w:r w:rsidRPr="00BE3C01">
        <w:rPr>
          <w:b w:val="0"/>
          <w:sz w:val="24"/>
          <w:szCs w:val="24"/>
          <w:lang w:val="en"/>
        </w:rPr>
        <w:t xml:space="preserve"> Functional analysis of the classical, alternative, and MBL pathways of the complement system: standardization and validation of a simple ELISA. J Immunol Methods</w:t>
      </w:r>
      <w:r>
        <w:rPr>
          <w:b w:val="0"/>
          <w:sz w:val="24"/>
          <w:szCs w:val="24"/>
          <w:lang w:val="en"/>
        </w:rPr>
        <w:t xml:space="preserve"> 2005;</w:t>
      </w:r>
      <w:r w:rsidRPr="00BE3C01">
        <w:rPr>
          <w:b w:val="0"/>
          <w:sz w:val="24"/>
          <w:szCs w:val="24"/>
          <w:lang w:val="en"/>
        </w:rPr>
        <w:t xml:space="preserve"> 296</w:t>
      </w:r>
      <w:r>
        <w:rPr>
          <w:b w:val="0"/>
          <w:sz w:val="24"/>
          <w:szCs w:val="24"/>
          <w:lang w:val="en"/>
        </w:rPr>
        <w:t>:</w:t>
      </w:r>
      <w:r w:rsidRPr="00BE3C01">
        <w:rPr>
          <w:b w:val="0"/>
          <w:sz w:val="24"/>
          <w:szCs w:val="24"/>
          <w:lang w:val="en"/>
        </w:rPr>
        <w:t>187-198</w:t>
      </w:r>
    </w:p>
    <w:p w14:paraId="1E251E09"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lastRenderedPageBreak/>
        <w:t xml:space="preserve">Cesaro S, Giacchino M, Fioredda F, Barone A, Battisti L, Bezzio S, </w:t>
      </w:r>
      <w:r w:rsidR="001135BF">
        <w:rPr>
          <w:b w:val="0"/>
          <w:sz w:val="24"/>
          <w:szCs w:val="24"/>
          <w:lang w:val="en"/>
        </w:rPr>
        <w:t>Frenos S, De Santis R, Livadiotti S, Marinello S, Zanazzo AG, Caselli D</w:t>
      </w:r>
      <w:r w:rsidR="001135BF" w:rsidRPr="001135BF">
        <w:rPr>
          <w:b w:val="0"/>
          <w:sz w:val="24"/>
          <w:szCs w:val="24"/>
          <w:lang w:val="en"/>
        </w:rPr>
        <w:t xml:space="preserve">. </w:t>
      </w:r>
      <w:r>
        <w:rPr>
          <w:b w:val="0"/>
          <w:sz w:val="24"/>
          <w:szCs w:val="24"/>
          <w:lang w:val="en"/>
        </w:rPr>
        <w:t xml:space="preserve">Guidelines on vaccinations in paediatric haematology and oncology patients. BioMed Res Int </w:t>
      </w:r>
      <w:r w:rsidRPr="00DB68EA">
        <w:rPr>
          <w:b w:val="0"/>
          <w:sz w:val="24"/>
          <w:szCs w:val="24"/>
          <w:lang w:val="en"/>
        </w:rPr>
        <w:t>2014;2014:707691</w:t>
      </w:r>
      <w:r>
        <w:rPr>
          <w:b w:val="0"/>
          <w:sz w:val="24"/>
          <w:szCs w:val="24"/>
          <w:lang w:val="en"/>
        </w:rPr>
        <w:t>.</w:t>
      </w:r>
    </w:p>
    <w:p w14:paraId="10FDF0F3" w14:textId="77777777" w:rsidR="00710BC3" w:rsidRPr="00637936" w:rsidRDefault="00710BC3" w:rsidP="00710BC3">
      <w:pPr>
        <w:pStyle w:val="Heading1"/>
        <w:numPr>
          <w:ilvl w:val="0"/>
          <w:numId w:val="1"/>
        </w:numPr>
        <w:tabs>
          <w:tab w:val="clear" w:pos="720"/>
          <w:tab w:val="num" w:pos="1637"/>
        </w:tabs>
        <w:spacing w:line="480" w:lineRule="auto"/>
        <w:ind w:left="714" w:hanging="357"/>
        <w:rPr>
          <w:b w:val="0"/>
          <w:sz w:val="24"/>
          <w:szCs w:val="24"/>
          <w:lang w:val="en-GB"/>
        </w:rPr>
      </w:pPr>
      <w:r w:rsidRPr="00637936">
        <w:rPr>
          <w:b w:val="0"/>
          <w:sz w:val="24"/>
          <w:szCs w:val="24"/>
          <w:lang w:val="en-GB"/>
        </w:rPr>
        <w:t>Lehrnbecher T, Schubert R, Allwinn R, Doga</w:t>
      </w:r>
      <w:r>
        <w:rPr>
          <w:b w:val="0"/>
          <w:sz w:val="24"/>
          <w:szCs w:val="24"/>
          <w:lang w:val="en-GB"/>
        </w:rPr>
        <w:t>n K, Koehl U, Grüttner HP</w:t>
      </w:r>
      <w:r w:rsidRPr="00637936">
        <w:rPr>
          <w:b w:val="0"/>
          <w:sz w:val="24"/>
          <w:szCs w:val="24"/>
          <w:lang w:val="en-GB"/>
        </w:rPr>
        <w:t xml:space="preserve">. Revaccination of children after completing of standard chemotherapy for acute lymphoblastic leukaemia: a pilot study comparing different schedules. </w:t>
      </w:r>
      <w:r w:rsidRPr="00A16237">
        <w:rPr>
          <w:b w:val="0"/>
          <w:sz w:val="24"/>
          <w:szCs w:val="24"/>
          <w:lang w:val="en-GB"/>
        </w:rPr>
        <w:t xml:space="preserve">Br J Haematol. </w:t>
      </w:r>
      <w:r>
        <w:rPr>
          <w:b w:val="0"/>
          <w:sz w:val="24"/>
          <w:szCs w:val="24"/>
          <w:lang w:val="en-GB"/>
        </w:rPr>
        <w:t>2011;</w:t>
      </w:r>
      <w:r w:rsidRPr="00637936">
        <w:rPr>
          <w:b w:val="0"/>
          <w:sz w:val="24"/>
          <w:szCs w:val="24"/>
          <w:lang w:val="en-GB"/>
        </w:rPr>
        <w:t xml:space="preserve"> 152:754-57.</w:t>
      </w:r>
    </w:p>
    <w:p w14:paraId="79115E29" w14:textId="77777777" w:rsidR="00710BC3" w:rsidRDefault="00710BC3" w:rsidP="00710BC3">
      <w:pPr>
        <w:pStyle w:val="Heading1"/>
        <w:numPr>
          <w:ilvl w:val="0"/>
          <w:numId w:val="1"/>
        </w:numPr>
        <w:tabs>
          <w:tab w:val="clear" w:pos="720"/>
          <w:tab w:val="num" w:pos="1637"/>
        </w:tabs>
        <w:spacing w:line="480" w:lineRule="auto"/>
        <w:ind w:left="714" w:hanging="357"/>
        <w:rPr>
          <w:b w:val="0"/>
          <w:sz w:val="24"/>
          <w:szCs w:val="24"/>
          <w:lang w:val="en-GB"/>
        </w:rPr>
      </w:pPr>
      <w:r w:rsidRPr="00637936">
        <w:rPr>
          <w:b w:val="0"/>
          <w:sz w:val="24"/>
          <w:szCs w:val="24"/>
          <w:lang w:val="en-GB"/>
        </w:rPr>
        <w:t>Patel SR, Ortin M, Cohen BJ, Borrow R, Irvi</w:t>
      </w:r>
      <w:r>
        <w:rPr>
          <w:b w:val="0"/>
          <w:sz w:val="24"/>
          <w:szCs w:val="24"/>
          <w:lang w:val="en-GB"/>
        </w:rPr>
        <w:t>ng D, Sheldon J, Heath PT.</w:t>
      </w:r>
      <w:r w:rsidRPr="00637936">
        <w:rPr>
          <w:b w:val="0"/>
          <w:sz w:val="24"/>
          <w:szCs w:val="24"/>
          <w:lang w:val="en-GB"/>
        </w:rPr>
        <w:t xml:space="preserve"> Revaccination of children after completion of standard chemotherapy for acute leukemia. </w:t>
      </w:r>
      <w:r w:rsidRPr="00A16237">
        <w:rPr>
          <w:rStyle w:val="jrnl"/>
          <w:b w:val="0"/>
          <w:sz w:val="24"/>
          <w:szCs w:val="24"/>
          <w:lang w:val="en-GB"/>
        </w:rPr>
        <w:t>Clin Infect Dis</w:t>
      </w:r>
      <w:r>
        <w:rPr>
          <w:rStyle w:val="jrnl"/>
          <w:b w:val="0"/>
          <w:sz w:val="24"/>
          <w:szCs w:val="24"/>
          <w:lang w:val="en-GB"/>
        </w:rPr>
        <w:t xml:space="preserve"> 2007;</w:t>
      </w:r>
      <w:r w:rsidRPr="00637936">
        <w:rPr>
          <w:b w:val="0"/>
          <w:sz w:val="24"/>
          <w:szCs w:val="24"/>
          <w:lang w:val="en-GB"/>
        </w:rPr>
        <w:t xml:space="preserve"> 44:635-42. </w:t>
      </w:r>
    </w:p>
    <w:p w14:paraId="2A563A77" w14:textId="77777777" w:rsidR="000E605F" w:rsidRDefault="000E605F" w:rsidP="000E605F">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Morbach H, Eichhorn EM, Liese JG, Girschick HJ. Reference values for B cell subpopulations from infancy to adulthood. Clinical and Experimental Immunology 2010;162:271-279.</w:t>
      </w:r>
    </w:p>
    <w:p w14:paraId="490DAC8A" w14:textId="77777777" w:rsidR="000E605F" w:rsidRDefault="000E605F" w:rsidP="000E605F">
      <w:pPr>
        <w:pStyle w:val="Heading1"/>
        <w:numPr>
          <w:ilvl w:val="0"/>
          <w:numId w:val="1"/>
        </w:numPr>
        <w:tabs>
          <w:tab w:val="clear" w:pos="720"/>
          <w:tab w:val="num" w:pos="1637"/>
        </w:tabs>
        <w:spacing w:line="480" w:lineRule="auto"/>
        <w:ind w:left="714" w:hanging="357"/>
        <w:rPr>
          <w:b w:val="0"/>
          <w:sz w:val="24"/>
          <w:szCs w:val="24"/>
          <w:lang w:val="en"/>
        </w:rPr>
      </w:pPr>
      <w:r>
        <w:rPr>
          <w:b w:val="0"/>
          <w:sz w:val="24"/>
          <w:szCs w:val="24"/>
          <w:lang w:val="en"/>
        </w:rPr>
        <w:t>Van Gent R, van Tilburg CM, Nibbelke EE, Otto SA, Gaiser JF, Janssens-Korpela PL, Sanders EAM, Borghans JAM, Wulffraat NM, Bierings MB, Bloem AC, Tesselaar K. Refined characterization and reference values of the pediatric T- and B-cell compartments. Clinical Immunology 2009;133:95-107.</w:t>
      </w:r>
    </w:p>
    <w:p w14:paraId="2CA104A6" w14:textId="77777777" w:rsidR="000E605F" w:rsidRDefault="000E605F">
      <w:pPr>
        <w:rPr>
          <w:bCs/>
          <w:color w:val="000000"/>
          <w:kern w:val="36"/>
          <w:lang w:val="en"/>
        </w:rPr>
      </w:pPr>
      <w:r>
        <w:rPr>
          <w:b/>
          <w:lang w:val="en"/>
        </w:rPr>
        <w:lastRenderedPageBreak/>
        <w:br w:type="page"/>
      </w:r>
    </w:p>
    <w:p w14:paraId="383C17F7" w14:textId="77777777" w:rsidR="006569B2" w:rsidRDefault="006569B2" w:rsidP="006569B2">
      <w:pPr>
        <w:spacing w:line="480" w:lineRule="auto"/>
        <w:rPr>
          <w:lang w:val="en-GB"/>
        </w:rPr>
      </w:pPr>
    </w:p>
    <w:p w14:paraId="74703964" w14:textId="21A1CF64" w:rsidR="000E605F" w:rsidRDefault="000E605F" w:rsidP="006569B2">
      <w:pPr>
        <w:spacing w:line="480" w:lineRule="auto"/>
        <w:ind w:left="284"/>
        <w:rPr>
          <w:lang w:val="en-GB"/>
        </w:rPr>
      </w:pPr>
      <w:r>
        <w:rPr>
          <w:b/>
          <w:lang w:val="en-GB"/>
        </w:rPr>
        <w:t>Figure 1</w:t>
      </w:r>
      <w:r w:rsidR="006569B2" w:rsidRPr="007A6AA2">
        <w:rPr>
          <w:b/>
          <w:lang w:val="en-GB"/>
        </w:rPr>
        <w:t xml:space="preserve">. </w:t>
      </w:r>
      <w:r w:rsidR="006569B2">
        <w:rPr>
          <w:lang w:val="en-GB"/>
        </w:rPr>
        <w:t xml:space="preserve">The absolute cell counts of different </w:t>
      </w:r>
      <w:r>
        <w:rPr>
          <w:lang w:val="en-GB"/>
        </w:rPr>
        <w:t xml:space="preserve">CD4+ </w:t>
      </w:r>
      <w:r w:rsidR="00747121">
        <w:rPr>
          <w:lang w:val="en-GB"/>
        </w:rPr>
        <w:t xml:space="preserve">T cell </w:t>
      </w:r>
      <w:r w:rsidR="006569B2">
        <w:rPr>
          <w:lang w:val="en-GB"/>
        </w:rPr>
        <w:t>subpopulations according to the time presented separately by stan</w:t>
      </w:r>
      <w:r w:rsidR="00747121">
        <w:rPr>
          <w:lang w:val="en-GB"/>
        </w:rPr>
        <w:t xml:space="preserve">dard (SR) and intermediate </w:t>
      </w:r>
      <w:r w:rsidR="006569B2">
        <w:rPr>
          <w:lang w:val="en-GB"/>
        </w:rPr>
        <w:t xml:space="preserve">(IR) </w:t>
      </w:r>
      <w:r w:rsidR="00747121">
        <w:rPr>
          <w:lang w:val="en-GB"/>
        </w:rPr>
        <w:t xml:space="preserve">risk </w:t>
      </w:r>
      <w:r w:rsidR="006569B2">
        <w:rPr>
          <w:lang w:val="en-GB"/>
        </w:rPr>
        <w:t xml:space="preserve">groups. SR group is shown as clear boxes and IR group as dark grey boxes. The following cell populations are shown: </w:t>
      </w:r>
      <w:r w:rsidR="006569B2" w:rsidRPr="009A5C4C">
        <w:rPr>
          <w:lang w:val="en-GB"/>
        </w:rPr>
        <w:t>naïve CD4+ T cells (CD4+CD45RA+CCR7+)</w:t>
      </w:r>
      <w:r w:rsidR="006569B2">
        <w:rPr>
          <w:lang w:val="en-GB"/>
        </w:rPr>
        <w:t xml:space="preserve">, </w:t>
      </w:r>
      <w:r w:rsidR="006569B2" w:rsidRPr="009A5C4C">
        <w:rPr>
          <w:lang w:val="en-GB"/>
        </w:rPr>
        <w:t>central memory CD4+ T cells (CD4+CD45RA-CCR7+)</w:t>
      </w:r>
      <w:r w:rsidR="006569B2">
        <w:rPr>
          <w:lang w:val="en-GB"/>
        </w:rPr>
        <w:t xml:space="preserve">, </w:t>
      </w:r>
      <w:r w:rsidR="006569B2" w:rsidRPr="009A5C4C">
        <w:rPr>
          <w:lang w:val="en-GB"/>
        </w:rPr>
        <w:t>effector memory CD4+ T cells (CD4+CD45RA-CCR7-)</w:t>
      </w:r>
      <w:r w:rsidR="006569B2">
        <w:rPr>
          <w:lang w:val="en-GB"/>
        </w:rPr>
        <w:t xml:space="preserve">, </w:t>
      </w:r>
      <w:r w:rsidR="006569B2" w:rsidRPr="009A5C4C">
        <w:rPr>
          <w:lang w:val="en-GB"/>
        </w:rPr>
        <w:t xml:space="preserve">late effector memory </w:t>
      </w:r>
      <w:r w:rsidR="006569B2">
        <w:rPr>
          <w:lang w:val="en-GB"/>
        </w:rPr>
        <w:t>CD4+ T cells (CD4+CD45RA+CCR</w:t>
      </w:r>
      <w:r w:rsidR="008D3494">
        <w:rPr>
          <w:lang w:val="en-GB"/>
        </w:rPr>
        <w:t xml:space="preserve">7-), Treg (CD4+CD25+ CD127low). </w:t>
      </w:r>
      <w:r w:rsidR="00747121">
        <w:rPr>
          <w:lang w:val="en-GB"/>
        </w:rPr>
        <w:t>The counts are presented as 10</w:t>
      </w:r>
      <w:r w:rsidR="00747121" w:rsidRPr="00747121">
        <w:rPr>
          <w:vertAlign w:val="superscript"/>
          <w:lang w:val="en-GB"/>
        </w:rPr>
        <w:t>9</w:t>
      </w:r>
      <w:r w:rsidR="00747121">
        <w:rPr>
          <w:lang w:val="en-GB"/>
        </w:rPr>
        <w:t>/l in blood</w:t>
      </w:r>
      <w:r w:rsidR="00A4597A">
        <w:rPr>
          <w:lang w:val="en-GB"/>
        </w:rPr>
        <w:t xml:space="preserve"> for the total CD+ counts</w:t>
      </w:r>
      <w:r w:rsidR="00747121">
        <w:rPr>
          <w:lang w:val="en-GB"/>
        </w:rPr>
        <w:t xml:space="preserve">. </w:t>
      </w:r>
      <w:r w:rsidR="004D586A" w:rsidRPr="004D586A">
        <w:rPr>
          <w:highlight w:val="yellow"/>
          <w:lang w:val="en-GB"/>
        </w:rPr>
        <w:t>T</w:t>
      </w:r>
      <w:r w:rsidR="004D586A">
        <w:rPr>
          <w:highlight w:val="yellow"/>
          <w:lang w:val="en-GB"/>
        </w:rPr>
        <w:t>he number of the patients analys</w:t>
      </w:r>
      <w:r w:rsidR="004D586A" w:rsidRPr="004D586A">
        <w:rPr>
          <w:highlight w:val="yellow"/>
          <w:lang w:val="en-GB"/>
        </w:rPr>
        <w:t>ed per time-point are 18/28 (0 m), 23/28 (3 m), 24/28 (6 m), 23/28 (9 m), 22/28 (12 m), 19/28 (18 m) and 14/28 (24 m).</w:t>
      </w:r>
      <w:r w:rsidR="004D586A">
        <w:rPr>
          <w:lang w:val="en-GB"/>
        </w:rPr>
        <w:t xml:space="preserve"> </w:t>
      </w:r>
      <w:r w:rsidR="008D3494">
        <w:rPr>
          <w:lang w:val="en-GB"/>
        </w:rPr>
        <w:t>The blue line re</w:t>
      </w:r>
      <w:r w:rsidR="00A4597A">
        <w:rPr>
          <w:lang w:val="en-GB"/>
        </w:rPr>
        <w:t xml:space="preserve">presents the estimated normal mean value and the red line the lowest range of healthy children between 6 and 10 years of age </w:t>
      </w:r>
      <w:r w:rsidR="00A4597A">
        <w:rPr>
          <w:lang w:val="en-GB"/>
        </w:rPr>
        <w:sym w:font="Symbol" w:char="F05B"/>
      </w:r>
      <w:r w:rsidR="00A4597A">
        <w:rPr>
          <w:lang w:val="en-GB"/>
        </w:rPr>
        <w:t>12 -13</w:t>
      </w:r>
      <w:r w:rsidR="004626B2">
        <w:rPr>
          <w:lang w:val="en-GB"/>
        </w:rPr>
        <w:sym w:font="Symbol" w:char="F05D"/>
      </w:r>
      <w:r w:rsidR="004626B2">
        <w:rPr>
          <w:lang w:val="en-GB"/>
        </w:rPr>
        <w:t xml:space="preserve">. </w:t>
      </w:r>
    </w:p>
    <w:p w14:paraId="1056A94B" w14:textId="77777777" w:rsidR="000E605F" w:rsidRDefault="000E605F" w:rsidP="006569B2">
      <w:pPr>
        <w:spacing w:line="480" w:lineRule="auto"/>
        <w:ind w:left="284"/>
        <w:rPr>
          <w:lang w:val="en-GB"/>
        </w:rPr>
      </w:pPr>
    </w:p>
    <w:p w14:paraId="67A94E60" w14:textId="77777777" w:rsidR="006569B2" w:rsidRPr="009A5C4C" w:rsidRDefault="000E605F" w:rsidP="006569B2">
      <w:pPr>
        <w:spacing w:line="480" w:lineRule="auto"/>
        <w:ind w:left="284"/>
        <w:rPr>
          <w:lang w:val="en-GB"/>
        </w:rPr>
      </w:pPr>
      <w:r w:rsidRPr="00747121">
        <w:rPr>
          <w:b/>
          <w:lang w:val="en-GB"/>
        </w:rPr>
        <w:t>Figure 2.</w:t>
      </w:r>
      <w:r>
        <w:rPr>
          <w:lang w:val="en-GB"/>
        </w:rPr>
        <w:t xml:space="preserve"> The absolute cell counts of </w:t>
      </w:r>
      <w:r w:rsidR="00747121">
        <w:rPr>
          <w:lang w:val="en-GB"/>
        </w:rPr>
        <w:t xml:space="preserve">total CD19+ B cells, </w:t>
      </w:r>
      <w:r w:rsidR="006569B2" w:rsidRPr="009A5C4C">
        <w:rPr>
          <w:lang w:val="en-GB"/>
        </w:rPr>
        <w:t>naïve B cells (CD19+CD27-)</w:t>
      </w:r>
      <w:r w:rsidR="006569B2">
        <w:rPr>
          <w:lang w:val="en-GB"/>
        </w:rPr>
        <w:t xml:space="preserve"> and </w:t>
      </w:r>
    </w:p>
    <w:p w14:paraId="6530B88D" w14:textId="6C033B32" w:rsidR="006569B2" w:rsidRDefault="006569B2" w:rsidP="00747121">
      <w:pPr>
        <w:spacing w:line="480" w:lineRule="auto"/>
        <w:ind w:left="284"/>
        <w:rPr>
          <w:lang w:val="en-GB"/>
        </w:rPr>
      </w:pPr>
      <w:r>
        <w:rPr>
          <w:lang w:val="en-GB"/>
        </w:rPr>
        <w:t>memory B cells (CD19+CD27)</w:t>
      </w:r>
      <w:r w:rsidR="00747121">
        <w:rPr>
          <w:lang w:val="en-GB"/>
        </w:rPr>
        <w:t xml:space="preserve"> according to the time are presented separately by standard (SR) and intermediate (IR) risk groups</w:t>
      </w:r>
      <w:r>
        <w:rPr>
          <w:lang w:val="en-GB"/>
        </w:rPr>
        <w:t>. The counts are presented as 10</w:t>
      </w:r>
      <w:r w:rsidRPr="0033394F">
        <w:rPr>
          <w:vertAlign w:val="superscript"/>
          <w:lang w:val="en-GB"/>
        </w:rPr>
        <w:t>9</w:t>
      </w:r>
      <w:r>
        <w:rPr>
          <w:lang w:val="en-GB"/>
        </w:rPr>
        <w:t>/l in blood</w:t>
      </w:r>
      <w:r w:rsidR="00A4597A">
        <w:rPr>
          <w:lang w:val="en-GB"/>
        </w:rPr>
        <w:t xml:space="preserve"> for the total CD19+ cell counts</w:t>
      </w:r>
      <w:r>
        <w:rPr>
          <w:lang w:val="en-GB"/>
        </w:rPr>
        <w:t xml:space="preserve">. </w:t>
      </w:r>
      <w:r w:rsidR="004D586A" w:rsidRPr="004D586A">
        <w:rPr>
          <w:highlight w:val="yellow"/>
          <w:lang w:val="en-GB"/>
        </w:rPr>
        <w:t>T</w:t>
      </w:r>
      <w:r w:rsidR="004D586A">
        <w:rPr>
          <w:highlight w:val="yellow"/>
          <w:lang w:val="en-GB"/>
        </w:rPr>
        <w:t>he number of the patients analys</w:t>
      </w:r>
      <w:r w:rsidR="004D586A" w:rsidRPr="004D586A">
        <w:rPr>
          <w:highlight w:val="yellow"/>
          <w:lang w:val="en-GB"/>
        </w:rPr>
        <w:t>ed per time-point are 18/28 (0 m), 23/28 (3 m), 24/28 (6 m), 23/28 (9 m), 22/28 (12 m), 19/28 (18 m) and 14/28 (24 m).</w:t>
      </w:r>
      <w:r w:rsidR="004D586A">
        <w:rPr>
          <w:lang w:val="en-GB"/>
        </w:rPr>
        <w:t xml:space="preserve"> </w:t>
      </w:r>
      <w:r w:rsidR="007323AF">
        <w:rPr>
          <w:lang w:val="en-GB"/>
        </w:rPr>
        <w:t xml:space="preserve">The </w:t>
      </w:r>
      <w:r w:rsidR="007323AF">
        <w:rPr>
          <w:lang w:val="en-GB"/>
        </w:rPr>
        <w:lastRenderedPageBreak/>
        <w:t>b</w:t>
      </w:r>
      <w:r w:rsidR="00A4597A">
        <w:rPr>
          <w:lang w:val="en-GB"/>
        </w:rPr>
        <w:t>lue</w:t>
      </w:r>
      <w:r w:rsidR="007323AF">
        <w:rPr>
          <w:lang w:val="en-GB"/>
        </w:rPr>
        <w:t xml:space="preserve"> line represents the estimated normal </w:t>
      </w:r>
      <w:r w:rsidR="00A4597A">
        <w:rPr>
          <w:lang w:val="en-GB"/>
        </w:rPr>
        <w:t xml:space="preserve">mean </w:t>
      </w:r>
      <w:r w:rsidR="007323AF">
        <w:rPr>
          <w:lang w:val="en-GB"/>
        </w:rPr>
        <w:t xml:space="preserve">value </w:t>
      </w:r>
      <w:r w:rsidR="00A4597A">
        <w:rPr>
          <w:lang w:val="en-GB"/>
        </w:rPr>
        <w:t xml:space="preserve">and the red line the lowest range </w:t>
      </w:r>
      <w:r w:rsidR="007323AF">
        <w:rPr>
          <w:lang w:val="en-GB"/>
        </w:rPr>
        <w:t xml:space="preserve">of healthy children between 6 and 10 years of age </w:t>
      </w:r>
      <w:r w:rsidR="007323AF">
        <w:rPr>
          <w:lang w:val="en-GB"/>
        </w:rPr>
        <w:sym w:font="Symbol" w:char="F05B"/>
      </w:r>
      <w:r w:rsidR="007323AF">
        <w:rPr>
          <w:lang w:val="en-GB"/>
        </w:rPr>
        <w:t>12 - 13</w:t>
      </w:r>
      <w:r w:rsidR="007323AF">
        <w:rPr>
          <w:lang w:val="en-GB"/>
        </w:rPr>
        <w:sym w:font="Symbol" w:char="F05D"/>
      </w:r>
      <w:r w:rsidR="007323AF">
        <w:rPr>
          <w:lang w:val="en-GB"/>
        </w:rPr>
        <w:t>.</w:t>
      </w:r>
    </w:p>
    <w:p w14:paraId="2553A781" w14:textId="77777777" w:rsidR="008D3494" w:rsidRDefault="008D3494" w:rsidP="00747121">
      <w:pPr>
        <w:spacing w:line="480" w:lineRule="auto"/>
        <w:ind w:left="284"/>
        <w:rPr>
          <w:lang w:val="en-GB"/>
        </w:rPr>
      </w:pPr>
    </w:p>
    <w:p w14:paraId="1924E6D8" w14:textId="3C6E27BC" w:rsidR="00892875" w:rsidRDefault="008D3494" w:rsidP="00BE280F">
      <w:pPr>
        <w:spacing w:line="480" w:lineRule="auto"/>
        <w:ind w:left="284"/>
        <w:rPr>
          <w:lang w:val="en-GB"/>
        </w:rPr>
      </w:pPr>
      <w:r w:rsidRPr="008D3494">
        <w:rPr>
          <w:b/>
          <w:lang w:val="en-GB"/>
        </w:rPr>
        <w:t xml:space="preserve">Supplemental Figure 3. </w:t>
      </w:r>
      <w:r>
        <w:rPr>
          <w:lang w:val="en-GB"/>
        </w:rPr>
        <w:t xml:space="preserve">The absolute cell counts of different CD8+ T cell subpopulations according to the time presented separately by standard (SR) and intermediate (IR) risk groups. SR group is shown as clear boxes and IR group as dark grey boxes. The following cell populations are shown: </w:t>
      </w:r>
      <w:r w:rsidRPr="009A5C4C">
        <w:rPr>
          <w:lang w:val="en-GB"/>
        </w:rPr>
        <w:t>naïve CD8+ T cells (CD8+CD45RA+CCR7+)</w:t>
      </w:r>
      <w:r>
        <w:rPr>
          <w:lang w:val="en-GB"/>
        </w:rPr>
        <w:t xml:space="preserve">, </w:t>
      </w:r>
      <w:r w:rsidRPr="009A5C4C">
        <w:rPr>
          <w:lang w:val="en-GB"/>
        </w:rPr>
        <w:t>central me</w:t>
      </w:r>
      <w:r>
        <w:rPr>
          <w:lang w:val="en-GB"/>
        </w:rPr>
        <w:t xml:space="preserve">mory CD8+ T cell (CD8+CD45RA-CCR7+), </w:t>
      </w:r>
      <w:r w:rsidRPr="009A5C4C">
        <w:rPr>
          <w:lang w:val="en-GB"/>
        </w:rPr>
        <w:t>effector memory CD8+ T cells (CD8+CD45RA-CCR7-)</w:t>
      </w:r>
      <w:r>
        <w:rPr>
          <w:lang w:val="en-GB"/>
        </w:rPr>
        <w:t xml:space="preserve">, </w:t>
      </w:r>
      <w:r w:rsidRPr="009A5C4C">
        <w:rPr>
          <w:lang w:val="en-GB"/>
        </w:rPr>
        <w:t>late effector memory CD8+ T cells (CD8+CD45RA+CCR7-)</w:t>
      </w:r>
      <w:r>
        <w:rPr>
          <w:lang w:val="en-GB"/>
        </w:rPr>
        <w:t>. The counts are presented as 10</w:t>
      </w:r>
      <w:r w:rsidRPr="00747121">
        <w:rPr>
          <w:vertAlign w:val="superscript"/>
          <w:lang w:val="en-GB"/>
        </w:rPr>
        <w:t>9</w:t>
      </w:r>
      <w:r>
        <w:rPr>
          <w:lang w:val="en-GB"/>
        </w:rPr>
        <w:t xml:space="preserve">/l in blood for the total CD+ counts. </w:t>
      </w:r>
      <w:r w:rsidR="004D586A" w:rsidRPr="004D586A">
        <w:rPr>
          <w:highlight w:val="yellow"/>
          <w:lang w:val="en-GB"/>
        </w:rPr>
        <w:t>T</w:t>
      </w:r>
      <w:r w:rsidR="004D586A">
        <w:rPr>
          <w:highlight w:val="yellow"/>
          <w:lang w:val="en-GB"/>
        </w:rPr>
        <w:t>he number of the patients analys</w:t>
      </w:r>
      <w:r w:rsidR="004D586A" w:rsidRPr="004D586A">
        <w:rPr>
          <w:highlight w:val="yellow"/>
          <w:lang w:val="en-GB"/>
        </w:rPr>
        <w:t>ed per time-point are 18/28 (0 m), 23/28 (3 m), 24/28 (6 m), 23/28 (9 m), 22/28 (12 m), 19/28 (18 m) and 14/28 (24 m).</w:t>
      </w:r>
      <w:r w:rsidR="004D586A">
        <w:rPr>
          <w:lang w:val="en-GB"/>
        </w:rPr>
        <w:t xml:space="preserve"> </w:t>
      </w:r>
      <w:r>
        <w:rPr>
          <w:lang w:val="en-GB"/>
        </w:rPr>
        <w:t xml:space="preserve">The blue line represents the estimated normal mean value and the red line the lowest range of healthy children between 6 and 10 years of age </w:t>
      </w:r>
      <w:r>
        <w:rPr>
          <w:lang w:val="en-GB"/>
        </w:rPr>
        <w:sym w:font="Symbol" w:char="F05B"/>
      </w:r>
      <w:r>
        <w:rPr>
          <w:lang w:val="en-GB"/>
        </w:rPr>
        <w:t>12 -13</w:t>
      </w:r>
      <w:r>
        <w:rPr>
          <w:lang w:val="en-GB"/>
        </w:rPr>
        <w:sym w:font="Symbol" w:char="F05D"/>
      </w:r>
      <w:r>
        <w:rPr>
          <w:lang w:val="en-GB"/>
        </w:rPr>
        <w:t xml:space="preserve">. </w:t>
      </w:r>
    </w:p>
    <w:p w14:paraId="035F3CE8" w14:textId="77777777" w:rsidR="004D586A" w:rsidRDefault="004D586A" w:rsidP="00BE280F">
      <w:pPr>
        <w:spacing w:line="480" w:lineRule="auto"/>
        <w:ind w:left="284"/>
        <w:rPr>
          <w:lang w:val="en-GB"/>
        </w:rPr>
      </w:pPr>
    </w:p>
    <w:p w14:paraId="37B8BC58" w14:textId="4F488119" w:rsidR="00892875" w:rsidRDefault="00892875" w:rsidP="00892875">
      <w:pPr>
        <w:spacing w:line="480" w:lineRule="auto"/>
        <w:ind w:left="284"/>
        <w:rPr>
          <w:lang w:val="en-GB"/>
        </w:rPr>
      </w:pPr>
      <w:r w:rsidRPr="00892875">
        <w:rPr>
          <w:b/>
          <w:lang w:val="en-GB"/>
        </w:rPr>
        <w:t>Supplemen</w:t>
      </w:r>
      <w:r w:rsidR="00530F5A">
        <w:rPr>
          <w:b/>
          <w:lang w:val="en-GB"/>
        </w:rPr>
        <w:t>tal</w:t>
      </w:r>
      <w:r>
        <w:rPr>
          <w:lang w:val="en-GB"/>
        </w:rPr>
        <w:t xml:space="preserve"> </w:t>
      </w:r>
      <w:r w:rsidRPr="001B4528">
        <w:rPr>
          <w:b/>
          <w:lang w:val="en-GB"/>
        </w:rPr>
        <w:t xml:space="preserve">Table I. </w:t>
      </w:r>
      <w:r>
        <w:rPr>
          <w:b/>
          <w:lang w:val="en-GB"/>
        </w:rPr>
        <w:t xml:space="preserve"> </w:t>
      </w:r>
      <w:r w:rsidRPr="00CE15CA">
        <w:rPr>
          <w:lang w:val="en-GB"/>
        </w:rPr>
        <w:t>The median</w:t>
      </w:r>
      <w:r>
        <w:rPr>
          <w:b/>
          <w:lang w:val="en-GB"/>
        </w:rPr>
        <w:t xml:space="preserve"> </w:t>
      </w:r>
      <w:r>
        <w:rPr>
          <w:lang w:val="en-GB"/>
        </w:rPr>
        <w:t xml:space="preserve">peripheral blood cell counts and immunoglobulin levels including the subclasses according to the time (0, 3, 6, 9, 12, 18, and 24 months after cessation of the leukemia treatment) of standard risk (SR) and intermediate risk (IR) children with </w:t>
      </w:r>
      <w:r>
        <w:rPr>
          <w:lang w:val="en-GB"/>
        </w:rPr>
        <w:lastRenderedPageBreak/>
        <w:t xml:space="preserve">leukemia. The ranges are presented within ( ). The n – value represents the number of the samples per time-point (some patients had more than one sample). </w:t>
      </w:r>
    </w:p>
    <w:p w14:paraId="451E4792" w14:textId="77777777" w:rsidR="00892875" w:rsidRDefault="00892875" w:rsidP="00747121">
      <w:pPr>
        <w:spacing w:line="480" w:lineRule="auto"/>
        <w:ind w:left="284"/>
        <w:rPr>
          <w:lang w:val="en-GB"/>
        </w:rPr>
      </w:pPr>
    </w:p>
    <w:p w14:paraId="35AC9072" w14:textId="77777777" w:rsidR="006569B2" w:rsidRDefault="006569B2" w:rsidP="006569B2">
      <w:pPr>
        <w:spacing w:line="480" w:lineRule="auto"/>
        <w:ind w:firstLine="284"/>
        <w:rPr>
          <w:lang w:val="en-GB"/>
        </w:rPr>
      </w:pPr>
    </w:p>
    <w:p w14:paraId="382E282D" w14:textId="77777777" w:rsidR="006569B2" w:rsidRPr="00C17D54" w:rsidRDefault="006569B2">
      <w:pPr>
        <w:rPr>
          <w:lang w:val="en-GB"/>
        </w:rPr>
      </w:pPr>
    </w:p>
    <w:sectPr w:rsidR="006569B2" w:rsidRPr="00C17D54" w:rsidSect="00B73418">
      <w:pgSz w:w="11900" w:h="16840"/>
      <w:pgMar w:top="1418" w:right="1134" w:bottom="1418" w:left="1134"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F6F5566"/>
    <w:multiLevelType w:val="hybridMultilevel"/>
    <w:tmpl w:val="783AB65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 w15:restartNumberingAfterBreak="0">
    <w:nsid w:val="7918701C"/>
    <w:multiLevelType w:val="hybridMultilevel"/>
    <w:tmpl w:val="9E8248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drawingGridHorizontalSpacing w:val="12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BC3"/>
    <w:rsid w:val="000A54FA"/>
    <w:rsid w:val="000E247A"/>
    <w:rsid w:val="000E605F"/>
    <w:rsid w:val="00103A08"/>
    <w:rsid w:val="001135BF"/>
    <w:rsid w:val="0013605E"/>
    <w:rsid w:val="00142E71"/>
    <w:rsid w:val="001865F6"/>
    <w:rsid w:val="001A1F61"/>
    <w:rsid w:val="001E7ECA"/>
    <w:rsid w:val="00241EBC"/>
    <w:rsid w:val="00271901"/>
    <w:rsid w:val="002B661B"/>
    <w:rsid w:val="002C10BE"/>
    <w:rsid w:val="002F4C13"/>
    <w:rsid w:val="0035208D"/>
    <w:rsid w:val="00363F12"/>
    <w:rsid w:val="003C0D55"/>
    <w:rsid w:val="003C67D5"/>
    <w:rsid w:val="003F58E2"/>
    <w:rsid w:val="004626B2"/>
    <w:rsid w:val="004718DD"/>
    <w:rsid w:val="00481A5A"/>
    <w:rsid w:val="004C3BE9"/>
    <w:rsid w:val="004D586A"/>
    <w:rsid w:val="004E7793"/>
    <w:rsid w:val="00530F5A"/>
    <w:rsid w:val="00537645"/>
    <w:rsid w:val="005910AE"/>
    <w:rsid w:val="005B1A88"/>
    <w:rsid w:val="005F13AF"/>
    <w:rsid w:val="006569B2"/>
    <w:rsid w:val="00656F53"/>
    <w:rsid w:val="00664888"/>
    <w:rsid w:val="00685A19"/>
    <w:rsid w:val="006B6B34"/>
    <w:rsid w:val="006D6F4E"/>
    <w:rsid w:val="00710BC3"/>
    <w:rsid w:val="00723110"/>
    <w:rsid w:val="00730AE9"/>
    <w:rsid w:val="007323AF"/>
    <w:rsid w:val="00747121"/>
    <w:rsid w:val="007A6A6B"/>
    <w:rsid w:val="007B5F8F"/>
    <w:rsid w:val="00816657"/>
    <w:rsid w:val="00816E03"/>
    <w:rsid w:val="00883EDF"/>
    <w:rsid w:val="00892875"/>
    <w:rsid w:val="008D3494"/>
    <w:rsid w:val="008D3F8B"/>
    <w:rsid w:val="0094391E"/>
    <w:rsid w:val="00991EED"/>
    <w:rsid w:val="009E7403"/>
    <w:rsid w:val="00A4597A"/>
    <w:rsid w:val="00A90905"/>
    <w:rsid w:val="00AA4AA5"/>
    <w:rsid w:val="00AF0DE2"/>
    <w:rsid w:val="00B73418"/>
    <w:rsid w:val="00BB1E86"/>
    <w:rsid w:val="00BE280F"/>
    <w:rsid w:val="00C11611"/>
    <w:rsid w:val="00C17D54"/>
    <w:rsid w:val="00C62088"/>
    <w:rsid w:val="00C76728"/>
    <w:rsid w:val="00C878D3"/>
    <w:rsid w:val="00D748DE"/>
    <w:rsid w:val="00DF0AFD"/>
    <w:rsid w:val="00E6087C"/>
    <w:rsid w:val="00E9252A"/>
    <w:rsid w:val="00F10039"/>
    <w:rsid w:val="00F1687D"/>
    <w:rsid w:val="00F66E0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C5C0FF"/>
  <w14:defaultImageDpi w14:val="300"/>
  <w15:docId w15:val="{A0AD975B-5786-4205-A3D6-2E34B1306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0BC3"/>
    <w:rPr>
      <w:rFonts w:ascii="Times New Roman" w:eastAsia="Times New Roman" w:hAnsi="Times New Roman" w:cs="Times New Roman"/>
    </w:rPr>
  </w:style>
  <w:style w:type="paragraph" w:styleId="Heading1">
    <w:name w:val="heading 1"/>
    <w:basedOn w:val="Normal"/>
    <w:link w:val="Heading1Char"/>
    <w:qFormat/>
    <w:rsid w:val="00710BC3"/>
    <w:pPr>
      <w:spacing w:before="240" w:after="120"/>
      <w:outlineLvl w:val="0"/>
    </w:pPr>
    <w:rPr>
      <w:b/>
      <w:bCs/>
      <w:color w:val="000000"/>
      <w:kern w:val="36"/>
      <w:sz w:val="33"/>
      <w:szCs w:val="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10BC3"/>
    <w:rPr>
      <w:rFonts w:ascii="Times New Roman" w:eastAsia="Times New Roman" w:hAnsi="Times New Roman" w:cs="Times New Roman"/>
      <w:b/>
      <w:bCs/>
      <w:color w:val="000000"/>
      <w:kern w:val="36"/>
      <w:sz w:val="33"/>
      <w:szCs w:val="33"/>
    </w:rPr>
  </w:style>
  <w:style w:type="character" w:customStyle="1" w:styleId="highlight2">
    <w:name w:val="highlight2"/>
    <w:basedOn w:val="DefaultParagraphFont"/>
    <w:rsid w:val="00710BC3"/>
  </w:style>
  <w:style w:type="character" w:customStyle="1" w:styleId="citation-abbreviation">
    <w:name w:val="citation-abbreviation"/>
    <w:basedOn w:val="DefaultParagraphFont"/>
    <w:rsid w:val="00710BC3"/>
  </w:style>
  <w:style w:type="character" w:customStyle="1" w:styleId="citation-volume">
    <w:name w:val="citation-volume"/>
    <w:basedOn w:val="DefaultParagraphFont"/>
    <w:rsid w:val="00710BC3"/>
  </w:style>
  <w:style w:type="character" w:customStyle="1" w:styleId="citation-flpages">
    <w:name w:val="citation-flpages"/>
    <w:basedOn w:val="DefaultParagraphFont"/>
    <w:rsid w:val="00710BC3"/>
  </w:style>
  <w:style w:type="character" w:customStyle="1" w:styleId="jrnl">
    <w:name w:val="jrnl"/>
    <w:basedOn w:val="DefaultParagraphFont"/>
    <w:rsid w:val="00710BC3"/>
  </w:style>
  <w:style w:type="character" w:styleId="LineNumber">
    <w:name w:val="line number"/>
    <w:basedOn w:val="DefaultParagraphFont"/>
    <w:uiPriority w:val="99"/>
    <w:semiHidden/>
    <w:unhideWhenUsed/>
    <w:rsid w:val="00B73418"/>
  </w:style>
  <w:style w:type="character" w:styleId="Hyperlink">
    <w:name w:val="Hyperlink"/>
    <w:basedOn w:val="DefaultParagraphFont"/>
    <w:uiPriority w:val="99"/>
    <w:unhideWhenUsed/>
    <w:rsid w:val="00C767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nna.koskenvuo@hus.fi" TargetMode="Externa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1892</Words>
  <Characters>15327</Characters>
  <Application>Microsoft Office Word</Application>
  <DocSecurity>0</DocSecurity>
  <Lines>127</Lines>
  <Paragraphs>34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Stanford University</Company>
  <LinksUpToDate>false</LinksUpToDate>
  <CharactersWithSpaces>17185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Minna Koskenvuo</dc:creator>
  <cp:lastModifiedBy>Kimmo Niukko</cp:lastModifiedBy>
  <cp:revision>2</cp:revision>
  <cp:lastPrinted>2016-01-28T18:13:00Z</cp:lastPrinted>
  <dcterms:created xsi:type="dcterms:W3CDTF">2017-03-20T11:09:00Z</dcterms:created>
  <dcterms:modified xsi:type="dcterms:W3CDTF">2017-03-20T11:09:00Z</dcterms:modified>
</cp:coreProperties>
</file>