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511E" w:rsidRDefault="0034511E" w:rsidP="0034511E">
      <w:pPr>
        <w:sectPr w:rsidR="0034511E">
          <w:headerReference w:type="default" r:id="rId11"/>
          <w:footerReference w:type="default" r:id="rId12"/>
          <w:pgSz w:w="11906" w:h="16838"/>
          <w:pgMar w:top="1440" w:right="1800" w:bottom="1440" w:left="1800" w:header="851" w:footer="992" w:gutter="0"/>
          <w:cols w:space="425"/>
          <w:docGrid w:type="lines" w:linePitch="312"/>
        </w:sectPr>
      </w:pPr>
      <w:bookmarkStart w:id="0" w:name="OLE_LINK5"/>
      <w:bookmarkStart w:id="1" w:name="OLE_LINK7"/>
    </w:p>
    <w:p w:rsidR="0034511E" w:rsidRDefault="0034511E" w:rsidP="0034511E">
      <w:r>
        <w:lastRenderedPageBreak/>
        <w:t xml:space="preserve">Effects of Task Instructions and Topic Signaling on Text Processing Among Adult Readers with Different Reading </w:t>
      </w:r>
      <w:bookmarkEnd w:id="0"/>
      <w:bookmarkEnd w:id="1"/>
      <w:r>
        <w:t>Styles: An Eye-Tracking Study</w:t>
      </w:r>
    </w:p>
    <w:p w:rsidR="001B2973" w:rsidRPr="003D5D6F" w:rsidRDefault="001B2973" w:rsidP="003D5D6F">
      <w:pPr>
        <w:rPr>
          <w:rFonts w:eastAsia="Arial Unicode MS"/>
          <w:kern w:val="2"/>
          <w:u w:color="000000"/>
          <w:lang w:val="en-US" w:eastAsia="zh-CN"/>
        </w:rPr>
      </w:pPr>
      <w:r>
        <w:rPr>
          <w:b/>
          <w:sz w:val="22"/>
        </w:rPr>
        <w:br w:type="page"/>
      </w:r>
    </w:p>
    <w:p w:rsidR="001B2973" w:rsidRPr="001B2973" w:rsidRDefault="001B2973" w:rsidP="003D5D6F">
      <w:pPr>
        <w:pStyle w:val="A0"/>
        <w:tabs>
          <w:tab w:val="left" w:pos="8280"/>
        </w:tabs>
        <w:adjustRightInd w:val="0"/>
        <w:snapToGrid w:val="0"/>
        <w:spacing w:after="160" w:line="480" w:lineRule="auto"/>
        <w:jc w:val="center"/>
        <w:rPr>
          <w:rFonts w:ascii="Times New Roman" w:hAnsi="Times New Roman" w:cs="Times New Roman"/>
          <w:b/>
          <w:sz w:val="24"/>
          <w:szCs w:val="24"/>
        </w:rPr>
      </w:pPr>
      <w:r w:rsidRPr="001B2973">
        <w:rPr>
          <w:rFonts w:ascii="Times New Roman" w:hAnsi="Times New Roman" w:cs="Times New Roman"/>
          <w:color w:val="auto"/>
          <w:sz w:val="24"/>
          <w:szCs w:val="24"/>
        </w:rPr>
        <w:lastRenderedPageBreak/>
        <w:t>Dexiang Zhang</w:t>
      </w:r>
      <w:r w:rsidRPr="001B2973">
        <w:rPr>
          <w:rFonts w:ascii="Times New Roman" w:hAnsi="Times New Roman" w:cs="Times New Roman"/>
          <w:color w:val="auto"/>
          <w:sz w:val="24"/>
          <w:szCs w:val="24"/>
          <w:vertAlign w:val="superscript"/>
        </w:rPr>
        <w:t>1</w:t>
      </w:r>
      <w:r w:rsidRPr="001B2973">
        <w:rPr>
          <w:rFonts w:ascii="Times New Roman" w:hAnsi="Times New Roman" w:cs="Times New Roman"/>
          <w:color w:val="auto"/>
          <w:sz w:val="24"/>
          <w:szCs w:val="24"/>
        </w:rPr>
        <w:t>, Jukka Hyönä</w:t>
      </w:r>
      <w:r w:rsidRPr="001B2973">
        <w:rPr>
          <w:rFonts w:ascii="Times New Roman" w:hAnsi="Times New Roman" w:cs="Times New Roman"/>
          <w:color w:val="auto"/>
          <w:sz w:val="24"/>
          <w:szCs w:val="24"/>
          <w:vertAlign w:val="superscript"/>
        </w:rPr>
        <w:t>2</w:t>
      </w:r>
      <w:proofErr w:type="gramStart"/>
      <w:r w:rsidRPr="001B2973">
        <w:rPr>
          <w:rFonts w:ascii="Times New Roman" w:hAnsi="Times New Roman" w:cs="Times New Roman"/>
          <w:color w:val="auto"/>
          <w:sz w:val="24"/>
          <w:szCs w:val="24"/>
          <w:vertAlign w:val="superscript"/>
        </w:rPr>
        <w:t>,3</w:t>
      </w:r>
      <w:proofErr w:type="gramEnd"/>
      <w:r w:rsidRPr="001B2973">
        <w:rPr>
          <w:rFonts w:ascii="Times New Roman" w:hAnsi="Times New Roman" w:cs="Times New Roman"/>
          <w:color w:val="auto"/>
          <w:sz w:val="24"/>
          <w:szCs w:val="24"/>
        </w:rPr>
        <w:t>, Lei Cui</w:t>
      </w:r>
      <w:r w:rsidRPr="001B2973">
        <w:rPr>
          <w:rFonts w:ascii="Times New Roman" w:hAnsi="Times New Roman" w:cs="Times New Roman"/>
          <w:color w:val="auto"/>
          <w:sz w:val="24"/>
          <w:szCs w:val="24"/>
          <w:vertAlign w:val="superscript"/>
        </w:rPr>
        <w:t>1</w:t>
      </w:r>
      <w:r w:rsidRPr="001B2973">
        <w:rPr>
          <w:rFonts w:ascii="Times New Roman" w:hAnsi="Times New Roman" w:cs="Times New Roman"/>
          <w:color w:val="auto"/>
          <w:sz w:val="24"/>
          <w:szCs w:val="24"/>
        </w:rPr>
        <w:t xml:space="preserve">, </w:t>
      </w:r>
      <w:proofErr w:type="spellStart"/>
      <w:r w:rsidRPr="001B2973">
        <w:rPr>
          <w:rFonts w:ascii="Times New Roman" w:hAnsi="Times New Roman" w:cs="Times New Roman"/>
          <w:color w:val="auto"/>
          <w:sz w:val="24"/>
          <w:szCs w:val="24"/>
        </w:rPr>
        <w:t>Zhaoxia</w:t>
      </w:r>
      <w:proofErr w:type="spellEnd"/>
      <w:r w:rsidRPr="001B2973">
        <w:rPr>
          <w:rFonts w:ascii="Times New Roman" w:hAnsi="Times New Roman" w:cs="Times New Roman"/>
          <w:color w:val="auto"/>
          <w:sz w:val="24"/>
          <w:szCs w:val="24"/>
        </w:rPr>
        <w:t xml:space="preserve"> Zhu</w:t>
      </w:r>
      <w:r w:rsidRPr="001B2973">
        <w:rPr>
          <w:rFonts w:ascii="Times New Roman" w:hAnsi="Times New Roman" w:cs="Times New Roman"/>
          <w:color w:val="auto"/>
          <w:sz w:val="24"/>
          <w:szCs w:val="24"/>
          <w:vertAlign w:val="superscript"/>
        </w:rPr>
        <w:t>1</w:t>
      </w:r>
      <w:r w:rsidRPr="001B2973">
        <w:rPr>
          <w:rFonts w:ascii="Times New Roman" w:hAnsi="Times New Roman" w:cs="Times New Roman"/>
          <w:color w:val="auto"/>
          <w:sz w:val="24"/>
          <w:szCs w:val="24"/>
        </w:rPr>
        <w:t xml:space="preserve">, </w:t>
      </w:r>
      <w:proofErr w:type="spellStart"/>
      <w:r w:rsidRPr="001B2973">
        <w:rPr>
          <w:rFonts w:ascii="Times New Roman" w:hAnsi="Times New Roman" w:cs="Times New Roman"/>
          <w:color w:val="auto"/>
          <w:sz w:val="24"/>
          <w:szCs w:val="24"/>
        </w:rPr>
        <w:t>Shouxin</w:t>
      </w:r>
      <w:proofErr w:type="spellEnd"/>
      <w:r w:rsidRPr="001B2973">
        <w:rPr>
          <w:rFonts w:ascii="Times New Roman" w:hAnsi="Times New Roman" w:cs="Times New Roman"/>
          <w:color w:val="auto"/>
          <w:sz w:val="24"/>
          <w:szCs w:val="24"/>
        </w:rPr>
        <w:t xml:space="preserve"> Li</w:t>
      </w:r>
      <w:r w:rsidRPr="001B2973">
        <w:rPr>
          <w:rFonts w:ascii="Times New Roman" w:hAnsi="Times New Roman" w:cs="Times New Roman"/>
          <w:color w:val="auto"/>
          <w:sz w:val="24"/>
          <w:szCs w:val="24"/>
          <w:vertAlign w:val="superscript"/>
        </w:rPr>
        <w:t>1</w:t>
      </w:r>
    </w:p>
    <w:p w:rsidR="001B2973" w:rsidRPr="001B2973" w:rsidRDefault="001B2973" w:rsidP="003D5D6F">
      <w:pPr>
        <w:pStyle w:val="A0"/>
        <w:tabs>
          <w:tab w:val="left" w:pos="8280"/>
        </w:tabs>
        <w:adjustRightInd w:val="0"/>
        <w:snapToGrid w:val="0"/>
        <w:spacing w:after="160" w:line="480" w:lineRule="auto"/>
        <w:jc w:val="center"/>
        <w:rPr>
          <w:rFonts w:ascii="Times New Roman" w:hAnsi="Times New Roman" w:cs="Times New Roman"/>
          <w:color w:val="auto"/>
          <w:sz w:val="24"/>
          <w:szCs w:val="24"/>
        </w:rPr>
      </w:pPr>
      <w:r w:rsidRPr="001B2973">
        <w:rPr>
          <w:rFonts w:ascii="Times New Roman" w:hAnsi="Times New Roman" w:cs="Times New Roman"/>
          <w:sz w:val="24"/>
          <w:szCs w:val="24"/>
          <w:vertAlign w:val="superscript"/>
        </w:rPr>
        <w:t>1</w:t>
      </w:r>
      <w:r w:rsidRPr="001B2973">
        <w:rPr>
          <w:rFonts w:ascii="Times New Roman" w:hAnsi="Times New Roman" w:cs="Times New Roman"/>
          <w:sz w:val="24"/>
          <w:szCs w:val="24"/>
        </w:rPr>
        <w:t>Department of Psychology, Shandong Normal University, Jinan, China</w:t>
      </w:r>
    </w:p>
    <w:p w:rsidR="001B2973" w:rsidRDefault="001B2973" w:rsidP="003D5D6F">
      <w:pPr>
        <w:jc w:val="center"/>
      </w:pPr>
      <w:r w:rsidRPr="001B2973">
        <w:rPr>
          <w:vertAlign w:val="superscript"/>
        </w:rPr>
        <w:t>2</w:t>
      </w:r>
      <w:r w:rsidRPr="001B2973">
        <w:t>Department of Psychology, Univ</w:t>
      </w:r>
      <w:r>
        <w:t>ersity of Turku, Turku, Finland</w:t>
      </w:r>
    </w:p>
    <w:p w:rsidR="0034511E" w:rsidRDefault="001B2973" w:rsidP="003D5D6F">
      <w:pPr>
        <w:jc w:val="center"/>
      </w:pPr>
      <w:r w:rsidRPr="001B2973">
        <w:rPr>
          <w:vertAlign w:val="superscript"/>
        </w:rPr>
        <w:t>3</w:t>
      </w:r>
      <w:r w:rsidRPr="001B2973">
        <w:t>Tomsk State University, Russia</w:t>
      </w:r>
    </w:p>
    <w:p w:rsidR="001E5DFB" w:rsidRDefault="001E5DFB" w:rsidP="001B2973"/>
    <w:p w:rsidR="001E5DFB" w:rsidRDefault="001E5DFB" w:rsidP="001B2973">
      <w:r>
        <w:t>Accepted for publication in Learning &amp; Instruction</w:t>
      </w:r>
    </w:p>
    <w:p w:rsidR="0034511E" w:rsidRDefault="0034511E" w:rsidP="0034511E">
      <w:pPr>
        <w:pStyle w:val="A0"/>
        <w:tabs>
          <w:tab w:val="left" w:pos="8280"/>
        </w:tabs>
        <w:adjustRightInd w:val="0"/>
        <w:snapToGrid w:val="0"/>
        <w:spacing w:after="160" w:line="480" w:lineRule="auto"/>
        <w:ind w:firstLineChars="200" w:firstLine="480"/>
        <w:jc w:val="center"/>
        <w:rPr>
          <w:rFonts w:ascii="Times New Roman" w:hAnsi="Times New Roman" w:cs="Times New Roman"/>
          <w:color w:val="auto"/>
          <w:sz w:val="24"/>
          <w:szCs w:val="24"/>
        </w:rPr>
      </w:pPr>
    </w:p>
    <w:p w:rsidR="0034511E" w:rsidRDefault="0034511E" w:rsidP="0034511E">
      <w:pPr>
        <w:pStyle w:val="A0"/>
        <w:tabs>
          <w:tab w:val="left" w:pos="8280"/>
        </w:tabs>
        <w:adjustRightInd w:val="0"/>
        <w:snapToGrid w:val="0"/>
        <w:spacing w:after="160" w:line="480" w:lineRule="auto"/>
        <w:ind w:firstLineChars="200" w:firstLine="480"/>
        <w:jc w:val="center"/>
        <w:rPr>
          <w:rFonts w:ascii="Times New Roman" w:hAnsi="Times New Roman" w:cs="Times New Roman"/>
          <w:color w:val="auto"/>
          <w:sz w:val="24"/>
          <w:szCs w:val="24"/>
        </w:rPr>
      </w:pPr>
    </w:p>
    <w:p w:rsidR="0034511E" w:rsidRDefault="0034511E" w:rsidP="0034511E">
      <w:pPr>
        <w:pStyle w:val="A0"/>
        <w:tabs>
          <w:tab w:val="left" w:pos="8280"/>
        </w:tabs>
        <w:adjustRightInd w:val="0"/>
        <w:snapToGrid w:val="0"/>
        <w:spacing w:after="160" w:line="480" w:lineRule="auto"/>
        <w:ind w:firstLineChars="200" w:firstLine="480"/>
        <w:jc w:val="center"/>
        <w:rPr>
          <w:rFonts w:ascii="Times New Roman" w:hAnsi="Times New Roman" w:cs="Times New Roman"/>
          <w:color w:val="auto"/>
          <w:sz w:val="24"/>
          <w:szCs w:val="24"/>
        </w:rPr>
      </w:pPr>
    </w:p>
    <w:p w:rsidR="0034511E" w:rsidRDefault="0034511E" w:rsidP="0034511E">
      <w:pPr>
        <w:pStyle w:val="A0"/>
        <w:tabs>
          <w:tab w:val="left" w:pos="8280"/>
        </w:tabs>
        <w:adjustRightInd w:val="0"/>
        <w:snapToGrid w:val="0"/>
        <w:spacing w:after="160" w:line="480" w:lineRule="auto"/>
        <w:ind w:firstLineChars="200" w:firstLine="480"/>
        <w:jc w:val="center"/>
        <w:rPr>
          <w:rFonts w:ascii="Times New Roman" w:hAnsi="Times New Roman" w:cs="Times New Roman"/>
          <w:color w:val="auto"/>
          <w:sz w:val="24"/>
          <w:szCs w:val="24"/>
        </w:rPr>
      </w:pPr>
    </w:p>
    <w:p w:rsidR="001B2973" w:rsidRDefault="001B2973">
      <w:pPr>
        <w:rPr>
          <w:b/>
          <w:sz w:val="22"/>
        </w:rPr>
      </w:pPr>
      <w:bookmarkStart w:id="2" w:name="OLE_LINK92"/>
      <w:bookmarkStart w:id="3" w:name="OLE_LINK78"/>
      <w:r>
        <w:rPr>
          <w:b/>
          <w:sz w:val="22"/>
        </w:rPr>
        <w:br w:type="page"/>
      </w:r>
    </w:p>
    <w:p w:rsidR="004D2580" w:rsidRDefault="0034511E">
      <w:pPr>
        <w:spacing w:line="480" w:lineRule="auto"/>
        <w:jc w:val="center"/>
        <w:rPr>
          <w:b/>
          <w:sz w:val="22"/>
        </w:rPr>
      </w:pPr>
      <w:r>
        <w:rPr>
          <w:b/>
          <w:sz w:val="22"/>
        </w:rPr>
        <w:lastRenderedPageBreak/>
        <w:t>Abstract</w:t>
      </w:r>
    </w:p>
    <w:p w:rsidR="004D2580" w:rsidRDefault="0034511E">
      <w:pPr>
        <w:spacing w:line="480" w:lineRule="auto"/>
        <w:rPr>
          <w:sz w:val="22"/>
        </w:rPr>
      </w:pPr>
      <w:r>
        <w:rPr>
          <w:sz w:val="22"/>
        </w:rPr>
        <w:t xml:space="preserve">Effects of task instructions and topic </w:t>
      </w:r>
      <w:proofErr w:type="spellStart"/>
      <w:r>
        <w:rPr>
          <w:sz w:val="22"/>
        </w:rPr>
        <w:t>signaling</w:t>
      </w:r>
      <w:proofErr w:type="spellEnd"/>
      <w:r>
        <w:rPr>
          <w:sz w:val="22"/>
        </w:rPr>
        <w:t xml:space="preserve"> on text processing among adult readers with different reading styles were studied by eye-tracking. In Experiment 1, readers read two multiple-topic expository texts guided either by a summary or a verification task. In Experiment 2, readers read a text with or without the topic sentences underlined. Four types of readers emerged: topic structure processors (TSPs), fast linear readers (FLRs), slow linear </w:t>
      </w:r>
      <w:proofErr w:type="gramStart"/>
      <w:r>
        <w:rPr>
          <w:sz w:val="22"/>
        </w:rPr>
        <w:t>readers</w:t>
      </w:r>
      <w:proofErr w:type="gramEnd"/>
      <w:r>
        <w:rPr>
          <w:sz w:val="22"/>
        </w:rPr>
        <w:t xml:space="preserve"> (SLRs), and nonselective reviewers (NSRs). TSPs paid ample fixation time on topic sentences regardless of their </w:t>
      </w:r>
      <w:proofErr w:type="spellStart"/>
      <w:r>
        <w:rPr>
          <w:sz w:val="22"/>
        </w:rPr>
        <w:t>signaling</w:t>
      </w:r>
      <w:proofErr w:type="spellEnd"/>
      <w:r>
        <w:rPr>
          <w:sz w:val="22"/>
        </w:rPr>
        <w:t xml:space="preserve">. FLRs were characterized by fast first-pass reading, little rereading of previous text, and some signs of structure processing. The common feature of SLRs and NSRs was their slow first-pass reading. They differed from each other in that NSRs are characterized by spending ample time also during second-pass reading. They only showed some signs of topic structure processing when cued by task instructions or topic </w:t>
      </w:r>
      <w:proofErr w:type="spellStart"/>
      <w:r>
        <w:rPr>
          <w:sz w:val="22"/>
        </w:rPr>
        <w:t>signaling</w:t>
      </w:r>
      <w:proofErr w:type="spellEnd"/>
      <w:r>
        <w:rPr>
          <w:sz w:val="22"/>
        </w:rPr>
        <w:t xml:space="preserve">. </w:t>
      </w:r>
    </w:p>
    <w:p w:rsidR="004D2580" w:rsidRDefault="0034511E">
      <w:pPr>
        <w:pStyle w:val="A0"/>
        <w:spacing w:line="480" w:lineRule="auto"/>
        <w:rPr>
          <w:rFonts w:ascii="Times New Roman" w:eastAsiaTheme="minorEastAsia" w:hAnsi="Times New Roman" w:cs="Times New Roman"/>
          <w:color w:val="auto"/>
          <w:sz w:val="22"/>
          <w:szCs w:val="22"/>
        </w:rPr>
      </w:pPr>
      <w:r>
        <w:rPr>
          <w:rFonts w:ascii="Times New Roman" w:hAnsi="Times New Roman" w:cs="Times New Roman"/>
          <w:i/>
          <w:iCs/>
          <w:color w:val="auto"/>
          <w:sz w:val="22"/>
          <w:szCs w:val="22"/>
        </w:rPr>
        <w:t>Keywords</w:t>
      </w:r>
      <w:r>
        <w:rPr>
          <w:rFonts w:ascii="Times New Roman" w:hAnsi="Times New Roman" w:cs="Times New Roman"/>
          <w:color w:val="auto"/>
          <w:sz w:val="22"/>
          <w:szCs w:val="22"/>
        </w:rPr>
        <w:t>: reading style</w:t>
      </w:r>
      <w:r>
        <w:rPr>
          <w:rFonts w:ascii="Times New Roman" w:eastAsiaTheme="minorEastAsia" w:hAnsi="Times New Roman" w:cs="Times New Roman"/>
          <w:color w:val="auto"/>
          <w:sz w:val="22"/>
          <w:szCs w:val="22"/>
        </w:rPr>
        <w:t>;</w:t>
      </w:r>
      <w:r>
        <w:rPr>
          <w:rFonts w:ascii="Times New Roman" w:hAnsi="Times New Roman" w:cs="Times New Roman"/>
          <w:color w:val="auto"/>
          <w:sz w:val="22"/>
          <w:szCs w:val="22"/>
        </w:rPr>
        <w:t xml:space="preserve"> task instruction</w:t>
      </w:r>
      <w:r>
        <w:rPr>
          <w:rFonts w:ascii="Times New Roman" w:eastAsiaTheme="minorEastAsia" w:hAnsi="Times New Roman" w:cs="Times New Roman"/>
          <w:color w:val="auto"/>
          <w:sz w:val="22"/>
          <w:szCs w:val="22"/>
        </w:rPr>
        <w:t>;</w:t>
      </w:r>
      <w:r>
        <w:rPr>
          <w:rFonts w:ascii="Times New Roman" w:hAnsi="Times New Roman" w:cs="Times New Roman"/>
          <w:color w:val="auto"/>
          <w:sz w:val="22"/>
          <w:szCs w:val="22"/>
        </w:rPr>
        <w:t xml:space="preserve"> topic signaling</w:t>
      </w:r>
      <w:r>
        <w:rPr>
          <w:rFonts w:ascii="Times New Roman" w:eastAsiaTheme="minorEastAsia" w:hAnsi="Times New Roman" w:cs="Times New Roman"/>
          <w:color w:val="auto"/>
          <w:sz w:val="22"/>
          <w:szCs w:val="22"/>
        </w:rPr>
        <w:t>;</w:t>
      </w:r>
      <w:r>
        <w:rPr>
          <w:rFonts w:ascii="Times New Roman" w:hAnsi="Times New Roman" w:cs="Times New Roman"/>
          <w:color w:val="auto"/>
          <w:sz w:val="22"/>
          <w:szCs w:val="22"/>
        </w:rPr>
        <w:t xml:space="preserve"> multiple-topic expository</w:t>
      </w:r>
      <w:r>
        <w:rPr>
          <w:rFonts w:ascii="Times New Roman" w:eastAsiaTheme="minorEastAsia" w:hAnsi="Times New Roman" w:cs="Times New Roman"/>
          <w:color w:val="auto"/>
          <w:sz w:val="22"/>
          <w:szCs w:val="22"/>
        </w:rPr>
        <w:t xml:space="preserve"> text reading; </w:t>
      </w:r>
      <w:r>
        <w:rPr>
          <w:rFonts w:ascii="Times New Roman" w:hAnsi="Times New Roman" w:cs="Times New Roman"/>
          <w:color w:val="auto"/>
          <w:sz w:val="22"/>
          <w:szCs w:val="22"/>
        </w:rPr>
        <w:t>eye-tracking</w:t>
      </w:r>
    </w:p>
    <w:p w:rsidR="0034511E" w:rsidRDefault="0034511E">
      <w:pPr>
        <w:rPr>
          <w:b/>
          <w:bCs/>
          <w:kern w:val="2"/>
          <w:sz w:val="22"/>
          <w:szCs w:val="22"/>
          <w:u w:color="000000"/>
          <w:lang w:val="en-US" w:eastAsia="zh-CN"/>
        </w:rPr>
      </w:pPr>
      <w:r>
        <w:rPr>
          <w:b/>
          <w:bCs/>
          <w:sz w:val="22"/>
          <w:szCs w:val="22"/>
        </w:rPr>
        <w:br w:type="page"/>
      </w:r>
    </w:p>
    <w:p w:rsidR="004D2580" w:rsidRDefault="0034511E">
      <w:pPr>
        <w:pStyle w:val="A0"/>
        <w:adjustRightInd w:val="0"/>
        <w:snapToGrid w:val="0"/>
        <w:spacing w:after="160" w:line="480" w:lineRule="auto"/>
        <w:rPr>
          <w:rFonts w:ascii="Times New Roman" w:hAnsi="Times New Roman" w:cs="Times New Roman"/>
          <w:color w:val="auto"/>
          <w:sz w:val="22"/>
          <w:szCs w:val="22"/>
        </w:rPr>
      </w:pPr>
      <w:r>
        <w:rPr>
          <w:rFonts w:ascii="Times New Roman" w:eastAsia="SimSun" w:hAnsi="Times New Roman" w:cs="Times New Roman"/>
          <w:b/>
          <w:bCs/>
          <w:color w:val="auto"/>
          <w:sz w:val="22"/>
          <w:szCs w:val="22"/>
        </w:rPr>
        <w:lastRenderedPageBreak/>
        <w:t>1.</w:t>
      </w:r>
      <w:r>
        <w:rPr>
          <w:rFonts w:ascii="Times New Roman" w:hAnsi="Times New Roman" w:cs="Times New Roman"/>
          <w:b/>
          <w:bCs/>
          <w:color w:val="auto"/>
          <w:sz w:val="22"/>
          <w:szCs w:val="22"/>
        </w:rPr>
        <w:t xml:space="preserve"> Introduction</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bookmarkStart w:id="4" w:name="OLE_LINK9"/>
      <w:bookmarkStart w:id="5" w:name="OLE_LINK145"/>
      <w:bookmarkStart w:id="6" w:name="OLE_LINK146"/>
      <w:bookmarkStart w:id="7" w:name="OLE_LINK12"/>
      <w:bookmarkStart w:id="8" w:name="OLE_LINK11"/>
      <w:bookmarkStart w:id="9" w:name="OLE_LINK125"/>
      <w:bookmarkStart w:id="10" w:name="OLE_LINK124"/>
      <w:bookmarkStart w:id="11" w:name="OLE_LINK165"/>
      <w:bookmarkStart w:id="12" w:name="OLE_LINK135"/>
      <w:bookmarkStart w:id="13" w:name="OLE_LINK172"/>
      <w:bookmarkStart w:id="14" w:name="OLE_LINK136"/>
      <w:r>
        <w:rPr>
          <w:rFonts w:ascii="Times New Roman" w:eastAsia="SimSun" w:hAnsi="Times New Roman" w:cs="Times New Roman"/>
          <w:color w:val="auto"/>
          <w:kern w:val="0"/>
          <w:sz w:val="22"/>
          <w:szCs w:val="22"/>
        </w:rPr>
        <w:t xml:space="preserve"> Text comprehension is an essential part of our everyday life with adequate text comprehension skills being a necessity for successful participation in society. </w:t>
      </w:r>
      <w:r>
        <w:rPr>
          <w:rFonts w:ascii="Times New Roman" w:hAnsi="Times New Roman" w:cs="Times New Roman"/>
          <w:color w:val="auto"/>
          <w:sz w:val="22"/>
          <w:szCs w:val="22"/>
        </w:rPr>
        <w:t>Comprehending a text is more than an ability to memorize a set of isolated facts. It requires that readers construct a coherent mental representation that, for example, can be applied to solving problems</w:t>
      </w:r>
      <w:r>
        <w:rPr>
          <w:rFonts w:ascii="Times New Roman" w:hAnsi="Times New Roman" w:cs="Times New Roman" w:hint="eastAsia"/>
          <w:color w:val="auto"/>
          <w:sz w:val="22"/>
          <w:szCs w:val="22"/>
        </w:rPr>
        <w:t xml:space="preserve"> </w:t>
      </w:r>
      <w:r>
        <w:rPr>
          <w:rFonts w:ascii="Times New Roman" w:hAnsi="Times New Roman" w:cs="Times New Roman"/>
          <w:color w:val="auto"/>
          <w:sz w:val="22"/>
          <w:szCs w:val="22"/>
        </w:rPr>
        <w:t>(</w:t>
      </w:r>
      <w:proofErr w:type="spellStart"/>
      <w:r>
        <w:rPr>
          <w:rFonts w:ascii="Times New Roman" w:hAnsi="Times New Roman" w:cs="Times New Roman"/>
          <w:color w:val="auto"/>
          <w:sz w:val="22"/>
          <w:szCs w:val="22"/>
        </w:rPr>
        <w:t>Kintsch</w:t>
      </w:r>
      <w:proofErr w:type="spellEnd"/>
      <w:r>
        <w:rPr>
          <w:rFonts w:ascii="Times New Roman" w:hAnsi="Times New Roman" w:cs="Times New Roman"/>
          <w:color w:val="auto"/>
          <w:sz w:val="22"/>
          <w:szCs w:val="22"/>
        </w:rPr>
        <w:t>, 1988, 1998).</w:t>
      </w:r>
      <w:bookmarkStart w:id="15" w:name="OLE_LINK64"/>
      <w:bookmarkStart w:id="16" w:name="OLE_LINK121"/>
      <w:bookmarkStart w:id="17" w:name="OLE_LINK119"/>
      <w:bookmarkEnd w:id="4"/>
      <w:r>
        <w:rPr>
          <w:rFonts w:ascii="Times New Roman" w:hAnsi="Times New Roman" w:cs="Times New Roman"/>
          <w:color w:val="auto"/>
          <w:sz w:val="22"/>
          <w:szCs w:val="22"/>
        </w:rPr>
        <w:t xml:space="preserve"> </w:t>
      </w:r>
      <w:r>
        <w:rPr>
          <w:rFonts w:ascii="Times New Roman" w:eastAsia="SimSun" w:hAnsi="Times New Roman" w:cs="Times New Roman"/>
          <w:color w:val="auto"/>
          <w:kern w:val="0"/>
          <w:sz w:val="22"/>
          <w:szCs w:val="22"/>
        </w:rPr>
        <w:t xml:space="preserve">Mental representation refers to an internal representation of the text elements (events, facts, etc.) </w:t>
      </w:r>
      <w:r>
        <w:rPr>
          <w:rFonts w:ascii="Times New Roman" w:hAnsi="Times New Roman" w:cs="Times New Roman"/>
          <w:color w:val="auto"/>
          <w:sz w:val="22"/>
          <w:szCs w:val="22"/>
        </w:rPr>
        <w:t xml:space="preserve">interconnected through </w:t>
      </w:r>
      <w:r>
        <w:rPr>
          <w:rFonts w:ascii="Times New Roman" w:eastAsia="SimSun" w:hAnsi="Times New Roman" w:cs="Times New Roman"/>
          <w:color w:val="auto"/>
          <w:kern w:val="0"/>
          <w:sz w:val="22"/>
          <w:szCs w:val="22"/>
        </w:rPr>
        <w:t>semantic relations and formed into an integrated whole (</w:t>
      </w:r>
      <w:proofErr w:type="spellStart"/>
      <w:r>
        <w:rPr>
          <w:rFonts w:ascii="Times New Roman" w:eastAsia="SimSun" w:hAnsi="Times New Roman" w:cs="Times New Roman"/>
          <w:color w:val="auto"/>
          <w:kern w:val="0"/>
          <w:sz w:val="22"/>
          <w:szCs w:val="22"/>
        </w:rPr>
        <w:t>Kintsch</w:t>
      </w:r>
      <w:proofErr w:type="spellEnd"/>
      <w:r>
        <w:rPr>
          <w:rFonts w:ascii="Times New Roman" w:eastAsia="SimSun" w:hAnsi="Times New Roman" w:cs="Times New Roman"/>
          <w:color w:val="auto"/>
          <w:kern w:val="0"/>
          <w:sz w:val="22"/>
          <w:szCs w:val="22"/>
        </w:rPr>
        <w:t xml:space="preserve"> &amp; Van </w:t>
      </w:r>
      <w:proofErr w:type="spellStart"/>
      <w:r>
        <w:rPr>
          <w:rFonts w:ascii="Times New Roman" w:eastAsia="SimSun" w:hAnsi="Times New Roman" w:cs="Times New Roman"/>
          <w:color w:val="auto"/>
          <w:kern w:val="0"/>
          <w:sz w:val="22"/>
          <w:szCs w:val="22"/>
        </w:rPr>
        <w:t>Dijk</w:t>
      </w:r>
      <w:proofErr w:type="spellEnd"/>
      <w:r>
        <w:rPr>
          <w:rFonts w:ascii="Times New Roman" w:eastAsia="SimSun" w:hAnsi="Times New Roman" w:cs="Times New Roman"/>
          <w:color w:val="auto"/>
          <w:kern w:val="0"/>
          <w:sz w:val="22"/>
          <w:szCs w:val="22"/>
        </w:rPr>
        <w:t xml:space="preserve">, 1978; van den </w:t>
      </w:r>
      <w:proofErr w:type="spellStart"/>
      <w:r>
        <w:rPr>
          <w:rFonts w:ascii="Times New Roman" w:eastAsia="SimSun" w:hAnsi="Times New Roman" w:cs="Times New Roman"/>
          <w:color w:val="auto"/>
          <w:kern w:val="0"/>
          <w:sz w:val="22"/>
          <w:szCs w:val="22"/>
        </w:rPr>
        <w:t>Broek</w:t>
      </w:r>
      <w:proofErr w:type="spellEnd"/>
      <w:r>
        <w:rPr>
          <w:rFonts w:ascii="Times New Roman" w:eastAsia="SimSun" w:hAnsi="Times New Roman" w:cs="Times New Roman"/>
          <w:color w:val="auto"/>
          <w:kern w:val="0"/>
          <w:sz w:val="22"/>
          <w:szCs w:val="22"/>
        </w:rPr>
        <w:t xml:space="preserve"> &amp; </w:t>
      </w:r>
      <w:proofErr w:type="spellStart"/>
      <w:r>
        <w:rPr>
          <w:rFonts w:ascii="Times New Roman" w:eastAsia="SimSun" w:hAnsi="Times New Roman" w:cs="Times New Roman"/>
          <w:color w:val="auto"/>
          <w:kern w:val="0"/>
          <w:sz w:val="22"/>
          <w:szCs w:val="22"/>
        </w:rPr>
        <w:t>Espin</w:t>
      </w:r>
      <w:proofErr w:type="spellEnd"/>
      <w:r>
        <w:rPr>
          <w:rFonts w:ascii="Times New Roman" w:eastAsia="SimSun" w:hAnsi="Times New Roman" w:cs="Times New Roman"/>
          <w:color w:val="auto"/>
          <w:kern w:val="0"/>
          <w:sz w:val="22"/>
          <w:szCs w:val="22"/>
        </w:rPr>
        <w:t xml:space="preserve">, 2012). </w:t>
      </w:r>
      <w:bookmarkStart w:id="18" w:name="OLE_LINK122"/>
      <w:bookmarkStart w:id="19" w:name="OLE_LINK148"/>
      <w:bookmarkStart w:id="20" w:name="OLE_LINK123"/>
      <w:bookmarkStart w:id="21" w:name="OLE_LINK147"/>
      <w:bookmarkEnd w:id="5"/>
      <w:bookmarkEnd w:id="6"/>
      <w:bookmarkEnd w:id="15"/>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hAnsi="Times New Roman" w:cs="Times New Roman"/>
          <w:color w:val="auto"/>
          <w:sz w:val="22"/>
          <w:szCs w:val="22"/>
        </w:rPr>
        <w:t>When reading expository texts, especially those that present information about multiple, hierarchically-organized topics, readers often construct</w:t>
      </w:r>
      <w:r>
        <w:rPr>
          <w:rFonts w:ascii="Times New Roman" w:eastAsia="SimSun" w:hAnsi="Times New Roman" w:cs="Times New Roman"/>
          <w:color w:val="auto"/>
          <w:sz w:val="22"/>
          <w:szCs w:val="22"/>
        </w:rPr>
        <w:t xml:space="preserve"> a mental</w:t>
      </w:r>
      <w:r>
        <w:rPr>
          <w:rFonts w:ascii="Times New Roman" w:hAnsi="Times New Roman" w:cs="Times New Roman"/>
          <w:color w:val="auto"/>
          <w:sz w:val="22"/>
          <w:szCs w:val="22"/>
        </w:rPr>
        <w:t xml:space="preserve"> representation of the text </w:t>
      </w:r>
      <w:r>
        <w:rPr>
          <w:rFonts w:ascii="Times New Roman" w:eastAsia="SimSun" w:hAnsi="Times New Roman" w:cs="Times New Roman"/>
          <w:color w:val="auto"/>
          <w:sz w:val="22"/>
          <w:szCs w:val="22"/>
        </w:rPr>
        <w:t xml:space="preserve">by using </w:t>
      </w:r>
      <w:r>
        <w:rPr>
          <w:rFonts w:ascii="Times New Roman" w:hAnsi="Times New Roman" w:cs="Times New Roman"/>
          <w:color w:val="auto"/>
          <w:sz w:val="22"/>
          <w:szCs w:val="22"/>
        </w:rPr>
        <w:t>the</w:t>
      </w:r>
      <w:r>
        <w:rPr>
          <w:rFonts w:ascii="Times New Roman" w:eastAsia="SimSun" w:hAnsi="Times New Roman" w:cs="Times New Roman"/>
          <w:color w:val="auto"/>
          <w:sz w:val="22"/>
          <w:szCs w:val="22"/>
        </w:rPr>
        <w:t xml:space="preserve"> text’s </w:t>
      </w:r>
      <w:r>
        <w:rPr>
          <w:rFonts w:ascii="Times New Roman" w:hAnsi="Times New Roman" w:cs="Times New Roman"/>
          <w:color w:val="auto"/>
          <w:sz w:val="22"/>
          <w:szCs w:val="22"/>
        </w:rPr>
        <w:t xml:space="preserve">topic structure </w:t>
      </w:r>
      <w:bookmarkEnd w:id="16"/>
      <w:bookmarkEnd w:id="17"/>
      <w:bookmarkEnd w:id="18"/>
      <w:bookmarkEnd w:id="19"/>
      <w:bookmarkEnd w:id="20"/>
      <w:bookmarkEnd w:id="21"/>
      <w:r>
        <w:rPr>
          <w:rFonts w:ascii="Times New Roman" w:hAnsi="Times New Roman" w:cs="Times New Roman"/>
          <w:color w:val="auto"/>
          <w:sz w:val="22"/>
          <w:szCs w:val="22"/>
        </w:rPr>
        <w:t xml:space="preserve">as their guide </w:t>
      </w:r>
      <w:r>
        <w:rPr>
          <w:rFonts w:ascii="Times New Roman" w:hAnsi="Times New Roman" w:cs="Times New Roman"/>
          <w:color w:val="auto"/>
          <w:sz w:val="22"/>
        </w:rPr>
        <w:t>(</w:t>
      </w:r>
      <w:proofErr w:type="spellStart"/>
      <w:r>
        <w:rPr>
          <w:rFonts w:ascii="Times New Roman" w:hAnsi="Times New Roman" w:cs="Times New Roman"/>
          <w:color w:val="auto"/>
          <w:sz w:val="22"/>
        </w:rPr>
        <w:t>Lemarié</w:t>
      </w:r>
      <w:proofErr w:type="spellEnd"/>
      <w:r>
        <w:rPr>
          <w:rFonts w:ascii="Times New Roman" w:hAnsi="Times New Roman" w:cs="Times New Roman"/>
          <w:color w:val="auto"/>
          <w:sz w:val="22"/>
        </w:rPr>
        <w:t xml:space="preserve">, </w:t>
      </w:r>
      <w:r>
        <w:rPr>
          <w:rFonts w:ascii="Times New Roman" w:hAnsi="Times New Roman"/>
          <w:color w:val="auto"/>
          <w:sz w:val="22"/>
        </w:rPr>
        <w:t>Lorch</w:t>
      </w:r>
      <w:r>
        <w:rPr>
          <w:rFonts w:ascii="Times New Roman" w:hAnsi="Times New Roman" w:cs="Times New Roman"/>
          <w:color w:val="auto"/>
          <w:sz w:val="22"/>
        </w:rPr>
        <w:t xml:space="preserve">, </w:t>
      </w:r>
      <w:proofErr w:type="spellStart"/>
      <w:r>
        <w:rPr>
          <w:rFonts w:ascii="Times New Roman" w:hAnsi="Times New Roman" w:cs="Times New Roman"/>
          <w:color w:val="auto"/>
          <w:sz w:val="22"/>
        </w:rPr>
        <w:t>Eyrolle</w:t>
      </w:r>
      <w:proofErr w:type="spellEnd"/>
      <w:r>
        <w:rPr>
          <w:rFonts w:ascii="Times New Roman" w:hAnsi="Times New Roman" w:cs="Times New Roman"/>
          <w:color w:val="auto"/>
          <w:sz w:val="22"/>
        </w:rPr>
        <w:t xml:space="preserve">, &amp; </w:t>
      </w:r>
      <w:proofErr w:type="spellStart"/>
      <w:r>
        <w:rPr>
          <w:rFonts w:ascii="Times New Roman" w:hAnsi="Times New Roman" w:cs="Times New Roman"/>
          <w:color w:val="auto"/>
          <w:sz w:val="22"/>
        </w:rPr>
        <w:t>Virbel</w:t>
      </w:r>
      <w:proofErr w:type="spellEnd"/>
      <w:r>
        <w:rPr>
          <w:rFonts w:ascii="Times New Roman" w:hAnsi="Times New Roman" w:cs="Times New Roman"/>
          <w:color w:val="auto"/>
          <w:sz w:val="22"/>
        </w:rPr>
        <w:t xml:space="preserve">, 2008; </w:t>
      </w:r>
      <w:r>
        <w:rPr>
          <w:rFonts w:ascii="Times New Roman" w:hAnsi="Times New Roman"/>
          <w:color w:val="auto"/>
          <w:sz w:val="22"/>
        </w:rPr>
        <w:t>Lorch</w:t>
      </w:r>
      <w:r>
        <w:rPr>
          <w:rFonts w:ascii="Times New Roman" w:hAnsi="Times New Roman" w:cs="Times New Roman"/>
          <w:color w:val="auto"/>
          <w:sz w:val="22"/>
        </w:rPr>
        <w:t xml:space="preserve">, </w:t>
      </w:r>
      <w:proofErr w:type="spellStart"/>
      <w:r>
        <w:rPr>
          <w:rFonts w:ascii="Times New Roman" w:hAnsi="Times New Roman" w:cs="Times New Roman"/>
          <w:color w:val="auto"/>
          <w:sz w:val="22"/>
        </w:rPr>
        <w:t>Lemarié</w:t>
      </w:r>
      <w:proofErr w:type="spellEnd"/>
      <w:r>
        <w:rPr>
          <w:rFonts w:ascii="Times New Roman" w:hAnsi="Times New Roman" w:cs="Times New Roman"/>
          <w:color w:val="auto"/>
          <w:sz w:val="22"/>
        </w:rPr>
        <w:t>, &amp; Chen, 2013; Ray &amp; Meyer, 2011)</w:t>
      </w:r>
      <w:r>
        <w:rPr>
          <w:rFonts w:ascii="Times New Roman" w:hAnsi="Times New Roman" w:cs="Times New Roman"/>
          <w:color w:val="auto"/>
          <w:sz w:val="22"/>
          <w:szCs w:val="22"/>
        </w:rPr>
        <w:t>.</w:t>
      </w:r>
      <w:bookmarkStart w:id="22" w:name="OLE_LINK126"/>
      <w:r>
        <w:rPr>
          <w:rFonts w:ascii="Times New Roman" w:hAnsi="Times New Roman" w:cs="Times New Roman"/>
          <w:color w:val="auto"/>
          <w:sz w:val="22"/>
          <w:szCs w:val="22"/>
        </w:rPr>
        <w:t xml:space="preserve"> Topic structure is defined as the arrangement of topics, subtopics and their interrelation (</w:t>
      </w:r>
      <w:r>
        <w:rPr>
          <w:rFonts w:ascii="Times New Roman" w:hAnsi="Times New Roman"/>
          <w:color w:val="auto"/>
          <w:sz w:val="22"/>
        </w:rPr>
        <w:t>Lorch</w:t>
      </w:r>
      <w:r>
        <w:rPr>
          <w:rFonts w:ascii="Times New Roman" w:hAnsi="Times New Roman" w:cs="Times New Roman"/>
          <w:color w:val="auto"/>
          <w:sz w:val="22"/>
          <w:szCs w:val="22"/>
        </w:rPr>
        <w:t xml:space="preserve">, Lorch, &amp; </w:t>
      </w:r>
      <w:proofErr w:type="spellStart"/>
      <w:r>
        <w:rPr>
          <w:rFonts w:ascii="Times New Roman" w:hAnsi="Times New Roman" w:cs="Times New Roman"/>
          <w:color w:val="auto"/>
          <w:sz w:val="22"/>
          <w:szCs w:val="22"/>
        </w:rPr>
        <w:t>Mogan</w:t>
      </w:r>
      <w:proofErr w:type="spellEnd"/>
      <w:r>
        <w:rPr>
          <w:rFonts w:ascii="Times New Roman" w:hAnsi="Times New Roman" w:cs="Times New Roman"/>
          <w:color w:val="auto"/>
          <w:sz w:val="22"/>
          <w:szCs w:val="22"/>
        </w:rPr>
        <w:t xml:space="preserve">, 1987). By identifying the text’s topic structure, readers can integrate subordinate information with its corresponding topic, integrate new topics with the previous topics, and eventually construct a topic structure representation of the text with the support of relevant prior knowledge </w:t>
      </w:r>
      <w:bookmarkEnd w:id="22"/>
      <w:r>
        <w:rPr>
          <w:rFonts w:ascii="Times New Roman" w:hAnsi="Times New Roman" w:cs="Times New Roman"/>
          <w:color w:val="auto"/>
          <w:sz w:val="22"/>
          <w:szCs w:val="22"/>
        </w:rPr>
        <w:t xml:space="preserve">(Hyönä &amp; </w:t>
      </w:r>
      <w:r>
        <w:rPr>
          <w:rFonts w:ascii="Times New Roman" w:hAnsi="Times New Roman"/>
          <w:color w:val="auto"/>
          <w:sz w:val="22"/>
        </w:rPr>
        <w:t>Lorch</w:t>
      </w:r>
      <w:r>
        <w:rPr>
          <w:rFonts w:ascii="Times New Roman" w:hAnsi="Times New Roman" w:cs="Times New Roman"/>
          <w:color w:val="auto"/>
          <w:sz w:val="22"/>
          <w:szCs w:val="22"/>
        </w:rPr>
        <w:t xml:space="preserve">, 2004; </w:t>
      </w:r>
      <w:r>
        <w:rPr>
          <w:rFonts w:ascii="Times New Roman" w:hAnsi="Times New Roman"/>
          <w:color w:val="auto"/>
          <w:sz w:val="22"/>
        </w:rPr>
        <w:t>Lorch</w:t>
      </w:r>
      <w:r>
        <w:rPr>
          <w:rFonts w:ascii="Times New Roman" w:hAnsi="Times New Roman" w:cs="Times New Roman"/>
          <w:color w:val="auto"/>
          <w:sz w:val="22"/>
          <w:szCs w:val="22"/>
        </w:rPr>
        <w:t>, Lorch, &amp; Inman, 1993).</w:t>
      </w:r>
      <w:bookmarkStart w:id="23" w:name="OLE_LINK101"/>
      <w:bookmarkStart w:id="24" w:name="OLE_LINK14"/>
      <w:bookmarkStart w:id="25" w:name="OLE_LINK18"/>
      <w:bookmarkEnd w:id="7"/>
      <w:bookmarkEnd w:id="8"/>
      <w:r>
        <w:rPr>
          <w:rFonts w:ascii="Times New Roman" w:eastAsia="SimSun" w:hAnsi="Times New Roman" w:cs="Times New Roman"/>
          <w:color w:val="auto"/>
          <w:sz w:val="22"/>
          <w:szCs w:val="22"/>
        </w:rPr>
        <w:t xml:space="preserve"> The constructed topic structure representation in turn supports upcoming reading activities (</w:t>
      </w:r>
      <w:r>
        <w:rPr>
          <w:rFonts w:ascii="Times New Roman" w:hAnsi="Times New Roman"/>
          <w:color w:val="auto"/>
          <w:sz w:val="22"/>
        </w:rPr>
        <w:t>Lorch</w:t>
      </w:r>
      <w:r>
        <w:rPr>
          <w:rFonts w:ascii="Times New Roman" w:eastAsia="SimSun" w:hAnsi="Times New Roman" w:cs="Times New Roman"/>
          <w:color w:val="auto"/>
          <w:sz w:val="22"/>
          <w:szCs w:val="22"/>
        </w:rPr>
        <w:t xml:space="preserve"> et al., 2013; van den </w:t>
      </w:r>
      <w:proofErr w:type="spellStart"/>
      <w:r>
        <w:rPr>
          <w:rFonts w:ascii="Times New Roman" w:eastAsia="SimSun" w:hAnsi="Times New Roman" w:cs="Times New Roman"/>
          <w:color w:val="auto"/>
          <w:sz w:val="22"/>
          <w:szCs w:val="22"/>
        </w:rPr>
        <w:t>Broek</w:t>
      </w:r>
      <w:proofErr w:type="spellEnd"/>
      <w:r>
        <w:rPr>
          <w:rFonts w:ascii="Times New Roman" w:eastAsia="SimSun" w:hAnsi="Times New Roman" w:cs="Times New Roman"/>
          <w:color w:val="auto"/>
          <w:sz w:val="22"/>
          <w:szCs w:val="22"/>
        </w:rPr>
        <w:t xml:space="preserve"> &amp; </w:t>
      </w:r>
      <w:proofErr w:type="spellStart"/>
      <w:r>
        <w:rPr>
          <w:rFonts w:ascii="Times New Roman" w:eastAsia="SimSun" w:hAnsi="Times New Roman" w:cs="Times New Roman"/>
          <w:color w:val="auto"/>
          <w:sz w:val="22"/>
          <w:szCs w:val="22"/>
        </w:rPr>
        <w:t>Espin</w:t>
      </w:r>
      <w:proofErr w:type="spellEnd"/>
      <w:r>
        <w:rPr>
          <w:rFonts w:ascii="Times New Roman" w:eastAsia="SimSun" w:hAnsi="Times New Roman" w:cs="Times New Roman"/>
          <w:color w:val="auto"/>
          <w:sz w:val="22"/>
          <w:szCs w:val="22"/>
        </w:rPr>
        <w:t xml:space="preserve">, 2012). </w:t>
      </w:r>
      <w:bookmarkEnd w:id="23"/>
      <w:r>
        <w:rPr>
          <w:rFonts w:ascii="Times New Roman" w:eastAsia="SimSun" w:hAnsi="Times New Roman" w:cs="Times New Roman"/>
          <w:color w:val="auto"/>
          <w:sz w:val="22"/>
          <w:szCs w:val="22"/>
        </w:rPr>
        <w:t>Consistent with this assumption readers are found to be much slower in reading sentences introducing a new topic than those continuing with the same topic (Hyönä, 1994, 1995; Lorch et al., 2013). This is referred to as the topic-shift effect.</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eastAsia="SimSun" w:hAnsi="Times New Roman" w:cs="Times New Roman"/>
          <w:color w:val="auto"/>
          <w:sz w:val="22"/>
          <w:szCs w:val="22"/>
        </w:rPr>
        <w:t>C</w:t>
      </w:r>
      <w:r>
        <w:rPr>
          <w:rFonts w:ascii="Times New Roman" w:hAnsi="Times New Roman" w:cs="Times New Roman"/>
          <w:color w:val="auto"/>
          <w:sz w:val="22"/>
          <w:szCs w:val="22"/>
        </w:rPr>
        <w:t xml:space="preserve">onstructing </w:t>
      </w:r>
      <w:r>
        <w:rPr>
          <w:rFonts w:ascii="Times New Roman" w:eastAsia="SimSun" w:hAnsi="Times New Roman" w:cs="Times New Roman"/>
          <w:color w:val="auto"/>
          <w:sz w:val="22"/>
          <w:szCs w:val="22"/>
        </w:rPr>
        <w:t>a</w:t>
      </w:r>
      <w:r>
        <w:rPr>
          <w:rFonts w:ascii="Times New Roman" w:hAnsi="Times New Roman" w:cs="Times New Roman"/>
          <w:color w:val="auto"/>
          <w:sz w:val="22"/>
          <w:szCs w:val="22"/>
        </w:rPr>
        <w:t xml:space="preserve"> comprehensive topic structure representation is a </w:t>
      </w:r>
      <w:bookmarkStart w:id="26" w:name="OLE_LINK118"/>
      <w:bookmarkStart w:id="27" w:name="OLE_LINK156"/>
      <w:r>
        <w:rPr>
          <w:rFonts w:ascii="Times New Roman" w:hAnsi="Times New Roman" w:cs="Times New Roman"/>
          <w:color w:val="auto"/>
          <w:sz w:val="22"/>
          <w:szCs w:val="22"/>
        </w:rPr>
        <w:t>demanding</w:t>
      </w:r>
      <w:bookmarkEnd w:id="26"/>
      <w:bookmarkEnd w:id="27"/>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task</w:t>
      </w:r>
      <w:r>
        <w:rPr>
          <w:rFonts w:ascii="Times New Roman" w:eastAsia="SimSun" w:hAnsi="Times New Roman" w:cs="Times New Roman"/>
          <w:color w:val="auto"/>
          <w:sz w:val="22"/>
          <w:szCs w:val="22"/>
        </w:rPr>
        <w:t>; even college students may fail to adequately monitor a text’s topic structure</w:t>
      </w:r>
      <w:bookmarkEnd w:id="24"/>
      <w:bookmarkEnd w:id="25"/>
      <w:r>
        <w:rPr>
          <w:rFonts w:ascii="Times New Roman" w:eastAsia="SimSun" w:hAnsi="Times New Roman" w:cs="Times New Roman"/>
          <w:color w:val="auto"/>
          <w:sz w:val="22"/>
          <w:szCs w:val="22"/>
        </w:rPr>
        <w:t xml:space="preserve"> (Hyönä, </w:t>
      </w:r>
      <w:r>
        <w:rPr>
          <w:rFonts w:ascii="Times New Roman" w:hAnsi="Times New Roman"/>
          <w:color w:val="auto"/>
          <w:sz w:val="22"/>
        </w:rPr>
        <w:t>Lorch</w:t>
      </w:r>
      <w:r>
        <w:rPr>
          <w:rFonts w:ascii="Times New Roman" w:eastAsia="SimSun" w:hAnsi="Times New Roman" w:cs="Times New Roman"/>
          <w:color w:val="auto"/>
          <w:sz w:val="22"/>
          <w:szCs w:val="22"/>
        </w:rPr>
        <w:t xml:space="preserve">, &amp; </w:t>
      </w:r>
      <w:proofErr w:type="spellStart"/>
      <w:r>
        <w:rPr>
          <w:rFonts w:ascii="Times New Roman" w:eastAsia="SimSun" w:hAnsi="Times New Roman" w:cs="Times New Roman"/>
          <w:color w:val="auto"/>
          <w:sz w:val="22"/>
          <w:szCs w:val="22"/>
        </w:rPr>
        <w:t>Kaakinen</w:t>
      </w:r>
      <w:proofErr w:type="spellEnd"/>
      <w:r>
        <w:rPr>
          <w:rFonts w:ascii="Times New Roman" w:eastAsia="SimSun" w:hAnsi="Times New Roman" w:cs="Times New Roman"/>
          <w:color w:val="auto"/>
          <w:sz w:val="22"/>
          <w:szCs w:val="22"/>
        </w:rPr>
        <w:t xml:space="preserve">, 2002; Hyönä &amp; Nurminen, 2006; </w:t>
      </w:r>
      <w:proofErr w:type="spellStart"/>
      <w:r>
        <w:rPr>
          <w:rFonts w:ascii="Times New Roman" w:eastAsia="SimSun" w:hAnsi="Times New Roman" w:cs="Times New Roman"/>
          <w:color w:val="auto"/>
          <w:sz w:val="22"/>
          <w:szCs w:val="22"/>
        </w:rPr>
        <w:t>Minguela</w:t>
      </w:r>
      <w:proofErr w:type="spellEnd"/>
      <w:r>
        <w:rPr>
          <w:rFonts w:ascii="Times New Roman" w:eastAsia="SimSun" w:hAnsi="Times New Roman" w:cs="Times New Roman"/>
          <w:color w:val="auto"/>
          <w:sz w:val="22"/>
          <w:szCs w:val="22"/>
        </w:rPr>
        <w:t xml:space="preserve">, </w:t>
      </w:r>
      <w:proofErr w:type="spellStart"/>
      <w:r>
        <w:rPr>
          <w:rFonts w:ascii="Times New Roman" w:eastAsia="SimSun" w:hAnsi="Times New Roman" w:cs="Times New Roman"/>
          <w:color w:val="auto"/>
          <w:sz w:val="22"/>
          <w:szCs w:val="22"/>
        </w:rPr>
        <w:t>Solé</w:t>
      </w:r>
      <w:proofErr w:type="spellEnd"/>
      <w:r>
        <w:rPr>
          <w:rFonts w:ascii="Times New Roman" w:eastAsia="SimSun" w:hAnsi="Times New Roman" w:cs="Times New Roman"/>
          <w:color w:val="auto"/>
          <w:sz w:val="22"/>
          <w:szCs w:val="22"/>
        </w:rPr>
        <w:t xml:space="preserve">, &amp; </w:t>
      </w:r>
      <w:proofErr w:type="spellStart"/>
      <w:r>
        <w:rPr>
          <w:rFonts w:ascii="Times New Roman" w:eastAsia="SimSun" w:hAnsi="Times New Roman" w:cs="Times New Roman"/>
          <w:color w:val="auto"/>
          <w:sz w:val="22"/>
          <w:szCs w:val="22"/>
        </w:rPr>
        <w:t>Pieschl</w:t>
      </w:r>
      <w:proofErr w:type="spellEnd"/>
      <w:r>
        <w:rPr>
          <w:rFonts w:ascii="Times New Roman" w:eastAsia="SimSun" w:hAnsi="Times New Roman" w:cs="Times New Roman"/>
          <w:color w:val="auto"/>
          <w:sz w:val="22"/>
          <w:szCs w:val="22"/>
        </w:rPr>
        <w:t>, 2015)</w:t>
      </w:r>
      <w:r>
        <w:rPr>
          <w:rFonts w:ascii="Times New Roman" w:hAnsi="Times New Roman" w:cs="Times New Roman"/>
          <w:color w:val="auto"/>
          <w:sz w:val="22"/>
          <w:szCs w:val="22"/>
        </w:rPr>
        <w:t xml:space="preserve">. </w:t>
      </w:r>
      <w:bookmarkStart w:id="28" w:name="OLE_LINK27"/>
      <w:bookmarkStart w:id="29" w:name="OLE_LINK63"/>
      <w:r>
        <w:rPr>
          <w:rFonts w:ascii="Times New Roman" w:hAnsi="Times New Roman" w:cs="Times New Roman"/>
          <w:color w:val="auto"/>
          <w:sz w:val="22"/>
          <w:szCs w:val="22"/>
        </w:rPr>
        <w:t xml:space="preserve">For example, Hyönä et al. (2002) found that only about 20% of their adult reader sample made extensive use of the text’s topic structure when reading a multiple-topic expository text. In order to help readers identify the text’s structure, authors of expository texts often use different ways to </w:t>
      </w:r>
      <w:r>
        <w:rPr>
          <w:rFonts w:ascii="Times New Roman" w:hAnsi="Times New Roman" w:cs="Times New Roman"/>
          <w:color w:val="auto"/>
          <w:sz w:val="22"/>
          <w:szCs w:val="22"/>
        </w:rPr>
        <w:lastRenderedPageBreak/>
        <w:t>make the topic structure more explicit (</w:t>
      </w:r>
      <w:proofErr w:type="spellStart"/>
      <w:r>
        <w:rPr>
          <w:rFonts w:ascii="Times New Roman" w:hAnsi="Times New Roman" w:cs="Times New Roman"/>
          <w:color w:val="auto"/>
          <w:sz w:val="22"/>
          <w:szCs w:val="22"/>
        </w:rPr>
        <w:t>Lemarié</w:t>
      </w:r>
      <w:proofErr w:type="spellEnd"/>
      <w:r>
        <w:rPr>
          <w:rFonts w:ascii="Times New Roman" w:hAnsi="Times New Roman" w:cs="Times New Roman"/>
          <w:color w:val="auto"/>
          <w:sz w:val="22"/>
          <w:szCs w:val="22"/>
        </w:rPr>
        <w:t xml:space="preserve"> et al., 2008; </w:t>
      </w:r>
      <w:proofErr w:type="spellStart"/>
      <w:r>
        <w:rPr>
          <w:rFonts w:ascii="Times New Roman" w:hAnsi="Times New Roman" w:cs="Times New Roman"/>
          <w:color w:val="auto"/>
          <w:sz w:val="22"/>
          <w:szCs w:val="22"/>
        </w:rPr>
        <w:t>Mautone</w:t>
      </w:r>
      <w:proofErr w:type="spellEnd"/>
      <w:r>
        <w:rPr>
          <w:rFonts w:ascii="Times New Roman" w:hAnsi="Times New Roman" w:cs="Times New Roman"/>
          <w:color w:val="auto"/>
          <w:sz w:val="22"/>
          <w:szCs w:val="22"/>
        </w:rPr>
        <w:t xml:space="preserve"> &amp; Mayer, 2001; Ray &amp; Meyer, 2011). The text’s topic structure may be signaled by topic headings that not only cue the topic of the subsequent text section but also signal topic boundaries, or by typographically highlighting (e.g., by underlining or bolding) key text contents. It also can be highlighted by explicit task instructions given ahead of reading, such as instructing readers to summarize the main points of a text (Hyönä &amp;</w:t>
      </w:r>
      <w:r>
        <w:rPr>
          <w:rFonts w:ascii="Times New Roman" w:hAnsi="Times New Roman"/>
          <w:color w:val="auto"/>
          <w:sz w:val="22"/>
        </w:rPr>
        <w:t xml:space="preserve"> Lorch</w:t>
      </w:r>
      <w:r>
        <w:rPr>
          <w:rFonts w:ascii="Times New Roman" w:hAnsi="Times New Roman" w:cs="Times New Roman"/>
          <w:color w:val="auto"/>
          <w:sz w:val="22"/>
          <w:szCs w:val="22"/>
        </w:rPr>
        <w:t xml:space="preserve">, 2004; </w:t>
      </w:r>
      <w:r>
        <w:rPr>
          <w:rFonts w:ascii="Times New Roman" w:hAnsi="Times New Roman"/>
          <w:color w:val="auto"/>
          <w:sz w:val="22"/>
        </w:rPr>
        <w:t>Lorch</w:t>
      </w:r>
      <w:r>
        <w:rPr>
          <w:rFonts w:ascii="Times New Roman" w:hAnsi="Times New Roman" w:cs="Times New Roman"/>
          <w:color w:val="auto"/>
          <w:sz w:val="22"/>
          <w:szCs w:val="22"/>
        </w:rPr>
        <w:t xml:space="preserve"> et al., 1987</w:t>
      </w:r>
      <w:r>
        <w:rPr>
          <w:rFonts w:ascii="Times New Roman" w:hAnsi="Times New Roman" w:cs="Times New Roman"/>
          <w:color w:val="auto"/>
          <w:sz w:val="22"/>
        </w:rPr>
        <w:t xml:space="preserve">; </w:t>
      </w:r>
      <w:r>
        <w:rPr>
          <w:rFonts w:ascii="Times New Roman" w:eastAsia="SimSun" w:hAnsi="Times New Roman" w:cs="Times New Roman"/>
          <w:color w:val="auto"/>
          <w:sz w:val="22"/>
          <w:szCs w:val="22"/>
        </w:rPr>
        <w:t>Wang, Sabatini, O’Reilly, &amp; Feng, 2017</w:t>
      </w:r>
      <w:r>
        <w:rPr>
          <w:rFonts w:ascii="Times New Roman" w:hAnsi="Times New Roman" w:cs="Times New Roman"/>
          <w:color w:val="auto"/>
          <w:sz w:val="22"/>
          <w:szCs w:val="22"/>
        </w:rPr>
        <w:t>).</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 xml:space="preserve">Typographical textual cues operate via the so-called exogenous attentional guidance mechanism. Via exogenous guidance attention is attracted to visually salient features of the text, such as highlighted or underlined text. Exogenous attentional guidance is assumed to work automatically without voluntary control. Reading instructions, on the other hand, operate via the endogenous attentional mechanism. It is voluntary, goal-directed behavior where attention is guided toward elements that are relevant to the reader’s goal, as defined by instructions or personal motives. </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eastAsia="SimSun" w:hAnsi="Times New Roman" w:cs="Times New Roman"/>
          <w:color w:val="auto"/>
          <w:kern w:val="0"/>
          <w:sz w:val="22"/>
          <w:szCs w:val="22"/>
          <w:lang w:val="en-GB" w:eastAsia="en-US"/>
        </w:rPr>
        <w:t xml:space="preserve">According to the goal-focus model </w:t>
      </w:r>
      <w:r>
        <w:rPr>
          <w:rFonts w:ascii="Times New Roman" w:hAnsi="Times New Roman" w:cs="Times New Roman"/>
          <w:color w:val="auto"/>
          <w:sz w:val="22"/>
          <w:szCs w:val="22"/>
        </w:rPr>
        <w:t>(</w:t>
      </w:r>
      <w:proofErr w:type="spellStart"/>
      <w:r>
        <w:rPr>
          <w:rFonts w:ascii="Times New Roman" w:hAnsi="Times New Roman" w:cs="Times New Roman"/>
          <w:color w:val="auto"/>
          <w:sz w:val="22"/>
          <w:szCs w:val="22"/>
        </w:rPr>
        <w:t>Bråten</w:t>
      </w:r>
      <w:proofErr w:type="spellEnd"/>
      <w:r>
        <w:rPr>
          <w:rFonts w:ascii="Times New Roman" w:hAnsi="Times New Roman" w:cs="Times New Roman"/>
          <w:color w:val="auto"/>
          <w:sz w:val="22"/>
          <w:szCs w:val="22"/>
        </w:rPr>
        <w:t xml:space="preserve">, </w:t>
      </w:r>
      <w:proofErr w:type="spellStart"/>
      <w:r>
        <w:rPr>
          <w:rFonts w:ascii="Times New Roman" w:hAnsi="Times New Roman" w:cs="Times New Roman"/>
          <w:color w:val="auto"/>
          <w:sz w:val="22"/>
          <w:szCs w:val="22"/>
        </w:rPr>
        <w:t>McCrudden</w:t>
      </w:r>
      <w:proofErr w:type="spellEnd"/>
      <w:r>
        <w:rPr>
          <w:rFonts w:ascii="Times New Roman" w:hAnsi="Times New Roman" w:cs="Times New Roman"/>
          <w:color w:val="auto"/>
          <w:sz w:val="22"/>
          <w:szCs w:val="22"/>
        </w:rPr>
        <w:t xml:space="preserve">, </w:t>
      </w:r>
      <w:proofErr w:type="spellStart"/>
      <w:r>
        <w:rPr>
          <w:rFonts w:ascii="Times New Roman" w:hAnsi="Times New Roman" w:cs="Times New Roman"/>
          <w:color w:val="auto"/>
          <w:sz w:val="22"/>
          <w:szCs w:val="22"/>
        </w:rPr>
        <w:t>Stang</w:t>
      </w:r>
      <w:proofErr w:type="spellEnd"/>
      <w:r>
        <w:rPr>
          <w:rFonts w:ascii="Times New Roman" w:hAnsi="Times New Roman" w:cs="Times New Roman"/>
          <w:color w:val="auto"/>
          <w:sz w:val="22"/>
          <w:szCs w:val="22"/>
        </w:rPr>
        <w:t xml:space="preserve"> Lund, </w:t>
      </w:r>
      <w:proofErr w:type="spellStart"/>
      <w:r>
        <w:rPr>
          <w:rFonts w:ascii="Times New Roman" w:hAnsi="Times New Roman" w:cs="Times New Roman"/>
          <w:color w:val="auto"/>
          <w:sz w:val="22"/>
          <w:szCs w:val="22"/>
        </w:rPr>
        <w:t>Brante</w:t>
      </w:r>
      <w:proofErr w:type="spellEnd"/>
      <w:r>
        <w:rPr>
          <w:rFonts w:ascii="Times New Roman" w:hAnsi="Times New Roman" w:cs="Times New Roman"/>
          <w:color w:val="auto"/>
          <w:sz w:val="22"/>
          <w:szCs w:val="22"/>
        </w:rPr>
        <w:t xml:space="preserve">, &amp; </w:t>
      </w:r>
      <w:proofErr w:type="spellStart"/>
      <w:r>
        <w:rPr>
          <w:rFonts w:ascii="Times New Roman" w:hAnsi="Times New Roman" w:cs="Times New Roman"/>
          <w:color w:val="auto"/>
          <w:sz w:val="22"/>
          <w:szCs w:val="22"/>
        </w:rPr>
        <w:t>Strømsø</w:t>
      </w:r>
      <w:proofErr w:type="spellEnd"/>
      <w:r>
        <w:rPr>
          <w:rFonts w:ascii="Times New Roman" w:hAnsi="Times New Roman" w:cs="Times New Roman"/>
          <w:color w:val="auto"/>
          <w:sz w:val="22"/>
          <w:szCs w:val="22"/>
        </w:rPr>
        <w:t xml:space="preserve">, 2017; </w:t>
      </w:r>
      <w:proofErr w:type="spellStart"/>
      <w:r>
        <w:rPr>
          <w:rFonts w:ascii="Times New Roman" w:hAnsi="Times New Roman" w:cs="Times New Roman"/>
          <w:color w:val="auto"/>
          <w:sz w:val="22"/>
          <w:szCs w:val="22"/>
        </w:rPr>
        <w:t>McCrudden</w:t>
      </w:r>
      <w:proofErr w:type="spellEnd"/>
      <w:r>
        <w:rPr>
          <w:rFonts w:ascii="Times New Roman" w:hAnsi="Times New Roman" w:cs="Times New Roman"/>
          <w:color w:val="auto"/>
          <w:sz w:val="22"/>
          <w:szCs w:val="22"/>
        </w:rPr>
        <w:t xml:space="preserve"> &amp; Schraw, 2007)</w:t>
      </w:r>
      <w:r>
        <w:rPr>
          <w:rFonts w:ascii="Times New Roman" w:eastAsia="SimSun" w:hAnsi="Times New Roman" w:cs="Times New Roman"/>
          <w:color w:val="auto"/>
          <w:kern w:val="0"/>
          <w:sz w:val="22"/>
          <w:szCs w:val="22"/>
          <w:lang w:val="en-GB" w:eastAsia="en-US"/>
        </w:rPr>
        <w:t xml:space="preserve">, both task instructions and text signals work as relevance cues that help readers focus on relevant text segments. </w:t>
      </w:r>
      <w:r>
        <w:rPr>
          <w:rFonts w:ascii="Times New Roman" w:hAnsi="Times New Roman"/>
          <w:color w:val="auto"/>
          <w:kern w:val="0"/>
          <w:sz w:val="22"/>
          <w:lang w:val="en-GB"/>
        </w:rPr>
        <w:t xml:space="preserve">They differ from each other in that </w:t>
      </w:r>
      <w:r>
        <w:rPr>
          <w:rFonts w:ascii="Times New Roman" w:eastAsia="SimSun" w:hAnsi="Times New Roman" w:cs="Times New Roman"/>
          <w:color w:val="auto"/>
          <w:kern w:val="0"/>
          <w:sz w:val="22"/>
          <w:szCs w:val="22"/>
          <w:lang w:val="en-GB" w:eastAsia="en-US"/>
        </w:rPr>
        <w:t>task instructions influence endogenous attentional guidance</w:t>
      </w:r>
      <w:r>
        <w:rPr>
          <w:rFonts w:ascii="Times New Roman" w:hAnsi="Times New Roman"/>
          <w:color w:val="auto"/>
          <w:kern w:val="0"/>
          <w:sz w:val="22"/>
          <w:lang w:val="en-GB"/>
        </w:rPr>
        <w:t>, as</w:t>
      </w:r>
      <w:r>
        <w:rPr>
          <w:rFonts w:ascii="Times New Roman" w:eastAsia="SimSun" w:hAnsi="Times New Roman" w:cs="Times New Roman"/>
          <w:color w:val="auto"/>
          <w:kern w:val="0"/>
          <w:sz w:val="22"/>
          <w:szCs w:val="22"/>
          <w:lang w:val="en-GB" w:eastAsia="en-US"/>
        </w:rPr>
        <w:t xml:space="preserve"> they require that the readers keep the reading goal active in their working memory, whereas text signals exert their effect via exogenous attentional guidance, as the signals appear as visually salient in the text (</w:t>
      </w:r>
      <w:r>
        <w:rPr>
          <w:rFonts w:ascii="Times New Roman" w:hAnsi="Times New Roman" w:cs="Times New Roman"/>
          <w:color w:val="auto"/>
          <w:sz w:val="22"/>
          <w:szCs w:val="22"/>
        </w:rPr>
        <w:t>Hyönä, 2010</w:t>
      </w:r>
      <w:r>
        <w:rPr>
          <w:rFonts w:ascii="Times New Roman" w:eastAsia="SimSun" w:hAnsi="Times New Roman" w:cs="Times New Roman"/>
          <w:color w:val="auto"/>
          <w:kern w:val="0"/>
          <w:sz w:val="22"/>
          <w:szCs w:val="22"/>
          <w:lang w:val="en-GB" w:eastAsia="en-US"/>
        </w:rPr>
        <w:t xml:space="preserve">). In goal-directed activity, these relevance cues provide criteria for readers to determine the relevancy of specific information to the reading task. Text information that coincides closely with the reading task or is visually </w:t>
      </w:r>
      <w:proofErr w:type="spellStart"/>
      <w:r>
        <w:rPr>
          <w:rFonts w:ascii="Times New Roman" w:eastAsia="SimSun" w:hAnsi="Times New Roman" w:cs="Times New Roman"/>
          <w:color w:val="auto"/>
          <w:kern w:val="0"/>
          <w:sz w:val="22"/>
          <w:szCs w:val="22"/>
          <w:lang w:val="en-GB" w:eastAsia="en-US"/>
        </w:rPr>
        <w:t>signaled</w:t>
      </w:r>
      <w:proofErr w:type="spellEnd"/>
      <w:r>
        <w:rPr>
          <w:rFonts w:ascii="Times New Roman" w:eastAsia="SimSun" w:hAnsi="Times New Roman" w:cs="Times New Roman"/>
          <w:color w:val="auto"/>
          <w:kern w:val="0"/>
          <w:sz w:val="22"/>
          <w:szCs w:val="22"/>
          <w:lang w:val="en-GB" w:eastAsia="en-US"/>
        </w:rPr>
        <w:t xml:space="preserve"> is more relevant than other information. Based on the criteria determined by the endogenous relevance cues, readers set a specific reading goal and generate a specific reading strategy. Reading strategy refers to a form of procedural knowledge that readers deliberately use to acquire, organize, or transform information as well as to reflect on and guide their text-based learning (</w:t>
      </w:r>
      <w:proofErr w:type="spellStart"/>
      <w:r>
        <w:rPr>
          <w:rFonts w:ascii="Times New Roman" w:hAnsi="Times New Roman" w:cs="Times New Roman"/>
          <w:color w:val="auto"/>
          <w:sz w:val="22"/>
          <w:szCs w:val="22"/>
        </w:rPr>
        <w:t>Afflerbach</w:t>
      </w:r>
      <w:proofErr w:type="spellEnd"/>
      <w:r>
        <w:rPr>
          <w:rFonts w:ascii="Times New Roman" w:hAnsi="Times New Roman" w:cs="Times New Roman"/>
          <w:color w:val="auto"/>
          <w:sz w:val="22"/>
          <w:szCs w:val="22"/>
        </w:rPr>
        <w:t xml:space="preserve">, Pearson, </w:t>
      </w:r>
      <w:r>
        <w:rPr>
          <w:rFonts w:ascii="Times New Roman" w:hAnsi="Times New Roman" w:cs="Times New Roman"/>
          <w:color w:val="auto"/>
          <w:sz w:val="22"/>
          <w:szCs w:val="22"/>
        </w:rPr>
        <w:lastRenderedPageBreak/>
        <w:t>&amp; Paris, 2008; Alexander, Graham, &amp; Harris, 1998</w:t>
      </w:r>
      <w:r>
        <w:rPr>
          <w:rFonts w:ascii="Times New Roman" w:eastAsia="SimSun" w:hAnsi="Times New Roman" w:cs="Times New Roman"/>
          <w:color w:val="auto"/>
          <w:kern w:val="0"/>
          <w:sz w:val="22"/>
          <w:szCs w:val="22"/>
          <w:lang w:val="en-GB" w:eastAsia="en-US"/>
        </w:rPr>
        <w:t xml:space="preserve">). By using a specific type of strategy, readers allocate their limited attentional resources to relevant information and develop a better understanding and memory of such information. </w:t>
      </w:r>
      <w:bookmarkEnd w:id="28"/>
      <w:bookmarkEnd w:id="29"/>
      <w:r>
        <w:rPr>
          <w:rFonts w:ascii="Times New Roman" w:eastAsia="SimSun" w:hAnsi="Times New Roman" w:cs="Times New Roman"/>
          <w:color w:val="auto"/>
          <w:kern w:val="0"/>
          <w:sz w:val="22"/>
          <w:szCs w:val="22"/>
          <w:lang w:val="en-GB" w:eastAsia="en-US"/>
        </w:rPr>
        <w:t>On the other hand, as visual signals operate via exogenous attention control, no internal guidance is required to devote particular attention to cue-relevant information.</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 xml:space="preserve">In the present study, we examined the effects of </w:t>
      </w:r>
      <w:r>
        <w:rPr>
          <w:rFonts w:ascii="Times New Roman" w:hAnsi="Times New Roman" w:cs="Times New Roman" w:hint="eastAsia"/>
          <w:color w:val="auto"/>
          <w:sz w:val="22"/>
          <w:szCs w:val="22"/>
        </w:rPr>
        <w:t xml:space="preserve">two types of </w:t>
      </w:r>
      <w:r>
        <w:rPr>
          <w:rFonts w:ascii="Times New Roman" w:hAnsi="Times New Roman" w:cs="Times New Roman"/>
          <w:color w:val="auto"/>
          <w:sz w:val="22"/>
          <w:szCs w:val="22"/>
        </w:rPr>
        <w:t xml:space="preserve">relevance cues on text processing among adult readers </w:t>
      </w:r>
      <w:r>
        <w:rPr>
          <w:rFonts w:ascii="Times New Roman" w:hAnsi="Times New Roman"/>
          <w:color w:val="auto"/>
          <w:sz w:val="22"/>
        </w:rPr>
        <w:t>with</w:t>
      </w:r>
      <w:r>
        <w:rPr>
          <w:rFonts w:ascii="Times New Roman" w:hAnsi="Times New Roman" w:cs="Times New Roman"/>
          <w:color w:val="auto"/>
          <w:sz w:val="22"/>
          <w:szCs w:val="22"/>
        </w:rPr>
        <w:t xml:space="preserve"> different reading </w:t>
      </w:r>
      <w:r>
        <w:rPr>
          <w:rFonts w:ascii="Times New Roman" w:hAnsi="Times New Roman"/>
          <w:color w:val="auto"/>
          <w:sz w:val="22"/>
        </w:rPr>
        <w:t>styles</w:t>
      </w:r>
      <w:r>
        <w:rPr>
          <w:rFonts w:ascii="Times New Roman" w:hAnsi="Times New Roman" w:cs="Times New Roman"/>
          <w:color w:val="auto"/>
          <w:sz w:val="22"/>
          <w:szCs w:val="22"/>
        </w:rPr>
        <w:t xml:space="preserve">. Readers’ eye movements were registered when they read multiple-topic expository texts with different task instructions (Experiment 1) and when the topic structure was signaled by underlining the topic sentences expressing the key points or when it was not typographically signaled (Experiment 2). We were particularly interested in individual differences in comprehension monitoring on the basis of task instructions and signaling of text structure. Eye-tracking is an attractive method to study individual differences in reading </w:t>
      </w:r>
      <w:r>
        <w:rPr>
          <w:rFonts w:ascii="Times New Roman" w:hAnsi="Times New Roman"/>
          <w:color w:val="auto"/>
          <w:sz w:val="22"/>
        </w:rPr>
        <w:t>styles</w:t>
      </w:r>
      <w:r>
        <w:rPr>
          <w:rFonts w:ascii="Times New Roman" w:hAnsi="Times New Roman" w:cs="Times New Roman"/>
          <w:color w:val="auto"/>
          <w:sz w:val="22"/>
          <w:szCs w:val="22"/>
        </w:rPr>
        <w:t xml:space="preserve">, as it provides a real-time protocol of the reading process as it evolves through time and space (Hyönä, 2010; Hyönä, Lorch, &amp; </w:t>
      </w:r>
      <w:proofErr w:type="spellStart"/>
      <w:r>
        <w:rPr>
          <w:rFonts w:ascii="Times New Roman" w:hAnsi="Times New Roman" w:cs="Times New Roman"/>
          <w:color w:val="auto"/>
          <w:sz w:val="22"/>
          <w:szCs w:val="22"/>
        </w:rPr>
        <w:t>Rinck</w:t>
      </w:r>
      <w:proofErr w:type="spellEnd"/>
      <w:r>
        <w:rPr>
          <w:rFonts w:ascii="Times New Roman" w:hAnsi="Times New Roman" w:cs="Times New Roman"/>
          <w:color w:val="auto"/>
          <w:sz w:val="22"/>
          <w:szCs w:val="22"/>
        </w:rPr>
        <w:t xml:space="preserve">, 2003). For example, it yields data on how much visual attention readers pay to topic sentences expressing the key points in text, as a function of reading task and signaling of topic sentences. Following Hyönä et al. (2002) and Hyönä and Nurminen (2006), we conducted a cluster analysis on the readers’ eye movement patterns to identify individual reading </w:t>
      </w:r>
      <w:r>
        <w:rPr>
          <w:rFonts w:ascii="Times New Roman" w:hAnsi="Times New Roman"/>
          <w:color w:val="auto"/>
          <w:sz w:val="22"/>
        </w:rPr>
        <w:t>styles</w:t>
      </w:r>
      <w:r>
        <w:rPr>
          <w:rFonts w:ascii="Times New Roman" w:hAnsi="Times New Roman" w:cs="Times New Roman"/>
          <w:color w:val="auto"/>
          <w:sz w:val="22"/>
          <w:szCs w:val="22"/>
        </w:rPr>
        <w:t xml:space="preserve"> in expository text comprehension. Before discussing the present study in more detail, we first review the literature on the effects of </w:t>
      </w:r>
      <w:r>
        <w:rPr>
          <w:rFonts w:ascii="Times New Roman" w:eastAsia="SimSun" w:hAnsi="Times New Roman" w:cs="Times New Roman"/>
          <w:color w:val="auto"/>
          <w:kern w:val="0"/>
          <w:sz w:val="22"/>
          <w:szCs w:val="22"/>
          <w:lang w:val="en-GB" w:eastAsia="en-US"/>
        </w:rPr>
        <w:t xml:space="preserve">task instructions and </w:t>
      </w:r>
      <w:proofErr w:type="spellStart"/>
      <w:r>
        <w:rPr>
          <w:rFonts w:ascii="Times New Roman" w:eastAsia="SimSun" w:hAnsi="Times New Roman" w:cs="Times New Roman"/>
          <w:color w:val="auto"/>
          <w:kern w:val="0"/>
          <w:sz w:val="22"/>
          <w:szCs w:val="22"/>
          <w:lang w:val="en-GB" w:eastAsia="en-US"/>
        </w:rPr>
        <w:t>signaling</w:t>
      </w:r>
      <w:proofErr w:type="spellEnd"/>
      <w:r>
        <w:rPr>
          <w:rFonts w:ascii="Times New Roman" w:eastAsia="SimSun" w:hAnsi="Times New Roman" w:cs="Times New Roman"/>
          <w:color w:val="auto"/>
          <w:kern w:val="0"/>
          <w:sz w:val="22"/>
          <w:szCs w:val="22"/>
          <w:lang w:val="en-GB" w:eastAsia="en-US"/>
        </w:rPr>
        <w:t xml:space="preserve"> devices </w:t>
      </w:r>
      <w:r>
        <w:rPr>
          <w:rFonts w:ascii="Times New Roman" w:hAnsi="Times New Roman" w:cs="Times New Roman"/>
          <w:color w:val="auto"/>
          <w:sz w:val="22"/>
          <w:szCs w:val="22"/>
        </w:rPr>
        <w:t>on reading.</w:t>
      </w:r>
    </w:p>
    <w:bookmarkEnd w:id="9"/>
    <w:bookmarkEnd w:id="10"/>
    <w:bookmarkEnd w:id="11"/>
    <w:p w:rsidR="004D2580" w:rsidRDefault="0034511E">
      <w:pPr>
        <w:pStyle w:val="A0"/>
        <w:adjustRightInd w:val="0"/>
        <w:snapToGrid w:val="0"/>
        <w:spacing w:after="160" w:line="480" w:lineRule="auto"/>
        <w:rPr>
          <w:rFonts w:ascii="Times New Roman" w:hAnsi="Times New Roman" w:cs="Times New Roman"/>
          <w:i/>
          <w:iCs/>
          <w:color w:val="auto"/>
          <w:sz w:val="22"/>
          <w:szCs w:val="22"/>
          <w:lang w:eastAsia="zh-TW"/>
        </w:rPr>
      </w:pPr>
      <w:r>
        <w:rPr>
          <w:rFonts w:ascii="Times New Roman" w:hAnsi="Times New Roman" w:cs="Times New Roman"/>
          <w:i/>
          <w:iCs/>
          <w:color w:val="auto"/>
          <w:sz w:val="22"/>
          <w:szCs w:val="22"/>
        </w:rPr>
        <w:t>1.1. E</w:t>
      </w:r>
      <w:r>
        <w:rPr>
          <w:rFonts w:ascii="Times New Roman" w:hAnsi="Times New Roman" w:cs="Times New Roman"/>
          <w:i/>
          <w:iCs/>
          <w:color w:val="auto"/>
          <w:sz w:val="22"/>
          <w:szCs w:val="22"/>
          <w:lang w:eastAsia="zh-TW"/>
        </w:rPr>
        <w:t xml:space="preserve">ffects </w:t>
      </w:r>
      <w:r>
        <w:rPr>
          <w:rFonts w:ascii="Times New Roman" w:hAnsi="Times New Roman" w:cs="Times New Roman"/>
          <w:i/>
          <w:iCs/>
          <w:color w:val="auto"/>
          <w:sz w:val="22"/>
          <w:szCs w:val="22"/>
        </w:rPr>
        <w:t xml:space="preserve">of task instructions on </w:t>
      </w:r>
      <w:r>
        <w:rPr>
          <w:rFonts w:ascii="Times New Roman" w:hAnsi="Times New Roman" w:cs="Times New Roman"/>
          <w:i/>
          <w:iCs/>
          <w:color w:val="auto"/>
          <w:sz w:val="22"/>
          <w:szCs w:val="22"/>
          <w:lang w:eastAsia="zh-TW"/>
        </w:rPr>
        <w:t>reading</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bookmarkStart w:id="30" w:name="OLE_LINK174"/>
      <w:bookmarkStart w:id="31" w:name="OLE_LINK173"/>
      <w:r>
        <w:rPr>
          <w:rFonts w:ascii="Times New Roman" w:eastAsia="SimSun" w:hAnsi="Times New Roman" w:cs="Times New Roman"/>
          <w:color w:val="auto"/>
          <w:sz w:val="22"/>
          <w:szCs w:val="22"/>
        </w:rPr>
        <w:t>T</w:t>
      </w:r>
      <w:r>
        <w:rPr>
          <w:rFonts w:ascii="Times New Roman" w:hAnsi="Times New Roman" w:cs="Times New Roman"/>
          <w:color w:val="auto"/>
          <w:sz w:val="22"/>
          <w:szCs w:val="22"/>
        </w:rPr>
        <w:t xml:space="preserve">ask </w:t>
      </w:r>
      <w:r>
        <w:rPr>
          <w:rFonts w:ascii="Times New Roman" w:eastAsia="SimSun" w:hAnsi="Times New Roman" w:cs="Times New Roman"/>
          <w:color w:val="auto"/>
          <w:sz w:val="22"/>
          <w:szCs w:val="22"/>
        </w:rPr>
        <w:t>instructions orient readers to the assigned reading task, such as instructing readers to summarize the main ideas of a text. The t</w:t>
      </w:r>
      <w:r>
        <w:rPr>
          <w:rFonts w:ascii="Times New Roman" w:hAnsi="Times New Roman" w:cs="Times New Roman"/>
          <w:color w:val="auto"/>
          <w:sz w:val="22"/>
          <w:szCs w:val="22"/>
        </w:rPr>
        <w:t>ask</w:t>
      </w:r>
      <w:r>
        <w:rPr>
          <w:rFonts w:ascii="Times New Roman" w:eastAsia="SimSun" w:hAnsi="Times New Roman" w:cs="Times New Roman"/>
          <w:color w:val="auto"/>
          <w:sz w:val="22"/>
          <w:szCs w:val="22"/>
        </w:rPr>
        <w:t xml:space="preserve"> cues </w:t>
      </w:r>
      <w:r>
        <w:rPr>
          <w:rFonts w:ascii="Times New Roman" w:hAnsi="Times New Roman" w:cs="Times New Roman"/>
          <w:color w:val="auto"/>
          <w:sz w:val="22"/>
          <w:szCs w:val="22"/>
        </w:rPr>
        <w:t>readers</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 xml:space="preserve">attention to </w:t>
      </w:r>
      <w:r>
        <w:rPr>
          <w:rFonts w:ascii="Times New Roman" w:eastAsia="SimSun" w:hAnsi="Times New Roman" w:cs="Times New Roman"/>
          <w:color w:val="auto"/>
          <w:sz w:val="22"/>
          <w:szCs w:val="22"/>
        </w:rPr>
        <w:t xml:space="preserve">specific </w:t>
      </w:r>
      <w:r>
        <w:rPr>
          <w:rFonts w:ascii="Times New Roman" w:hAnsi="Times New Roman" w:cs="Times New Roman"/>
          <w:color w:val="auto"/>
          <w:sz w:val="22"/>
          <w:szCs w:val="22"/>
        </w:rPr>
        <w:t>information</w:t>
      </w:r>
      <w:r>
        <w:rPr>
          <w:rFonts w:ascii="Times New Roman" w:eastAsia="SimSun" w:hAnsi="Times New Roman" w:cs="Times New Roman"/>
          <w:color w:val="auto"/>
          <w:sz w:val="22"/>
          <w:szCs w:val="22"/>
        </w:rPr>
        <w:t xml:space="preserve"> that is relevant to the task, which affects both their moment-to-moment online as well as their offline reading performances </w:t>
      </w:r>
      <w:r>
        <w:rPr>
          <w:rFonts w:ascii="Times New Roman" w:hAnsi="Times New Roman" w:cs="Times New Roman"/>
          <w:color w:val="auto"/>
          <w:sz w:val="22"/>
          <w:szCs w:val="22"/>
        </w:rPr>
        <w:t>(</w:t>
      </w:r>
      <w:proofErr w:type="spellStart"/>
      <w:r>
        <w:rPr>
          <w:rFonts w:ascii="Times New Roman" w:hAnsi="Times New Roman" w:cs="Times New Roman"/>
          <w:color w:val="auto"/>
          <w:sz w:val="22"/>
          <w:szCs w:val="22"/>
        </w:rPr>
        <w:t>Kaakinen</w:t>
      </w:r>
      <w:proofErr w:type="spellEnd"/>
      <w:r>
        <w:rPr>
          <w:rFonts w:ascii="Times New Roman" w:hAnsi="Times New Roman" w:cs="Times New Roman"/>
          <w:color w:val="auto"/>
          <w:sz w:val="22"/>
          <w:szCs w:val="22"/>
        </w:rPr>
        <w:t xml:space="preserve"> &amp; Hyönä, 2010, 2014; </w:t>
      </w:r>
      <w:proofErr w:type="spellStart"/>
      <w:r>
        <w:rPr>
          <w:rFonts w:ascii="Times New Roman" w:hAnsi="Times New Roman" w:cs="Times New Roman"/>
          <w:color w:val="auto"/>
          <w:sz w:val="22"/>
          <w:szCs w:val="22"/>
        </w:rPr>
        <w:t>McCrudden</w:t>
      </w:r>
      <w:proofErr w:type="spellEnd"/>
      <w:r>
        <w:rPr>
          <w:rFonts w:ascii="Times New Roman" w:hAnsi="Times New Roman" w:cs="Times New Roman"/>
          <w:color w:val="auto"/>
          <w:sz w:val="22"/>
          <w:szCs w:val="22"/>
        </w:rPr>
        <w:t xml:space="preserve">, </w:t>
      </w:r>
      <w:proofErr w:type="spellStart"/>
      <w:r>
        <w:rPr>
          <w:rFonts w:ascii="Times New Roman" w:hAnsi="Times New Roman" w:cs="Times New Roman"/>
          <w:color w:val="auto"/>
          <w:sz w:val="22"/>
          <w:szCs w:val="22"/>
        </w:rPr>
        <w:t>Magliano</w:t>
      </w:r>
      <w:proofErr w:type="spellEnd"/>
      <w:r>
        <w:rPr>
          <w:rFonts w:ascii="Times New Roman" w:hAnsi="Times New Roman" w:cs="Times New Roman"/>
          <w:color w:val="auto"/>
          <w:sz w:val="22"/>
          <w:szCs w:val="22"/>
        </w:rPr>
        <w:t xml:space="preserve">, &amp; Schraw, 2010; </w:t>
      </w:r>
      <w:proofErr w:type="spellStart"/>
      <w:r>
        <w:rPr>
          <w:rFonts w:ascii="Times New Roman" w:hAnsi="Times New Roman" w:cs="Times New Roman"/>
          <w:color w:val="auto"/>
          <w:sz w:val="22"/>
          <w:szCs w:val="22"/>
        </w:rPr>
        <w:t>McCrudden</w:t>
      </w:r>
      <w:proofErr w:type="spellEnd"/>
      <w:r>
        <w:rPr>
          <w:rFonts w:ascii="Times New Roman" w:hAnsi="Times New Roman" w:cs="Times New Roman"/>
          <w:color w:val="auto"/>
          <w:sz w:val="22"/>
          <w:szCs w:val="22"/>
        </w:rPr>
        <w:t xml:space="preserve"> &amp; Schraw, 2007)</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 xml:space="preserve">By using instructions from which to approach the reading task, readers devote more attention toward, and have better memory for, </w:t>
      </w:r>
      <w:r>
        <w:rPr>
          <w:rFonts w:ascii="Times New Roman" w:hAnsi="Times New Roman" w:cs="Times New Roman"/>
          <w:color w:val="auto"/>
          <w:sz w:val="22"/>
          <w:szCs w:val="22"/>
        </w:rPr>
        <w:lastRenderedPageBreak/>
        <w:t>task-relevant information than task-irrelevant information (</w:t>
      </w:r>
      <w:proofErr w:type="spellStart"/>
      <w:r>
        <w:rPr>
          <w:rFonts w:ascii="Times New Roman" w:hAnsi="Times New Roman" w:cs="Times New Roman"/>
          <w:color w:val="auto"/>
          <w:sz w:val="22"/>
          <w:szCs w:val="22"/>
        </w:rPr>
        <w:t>Bråten</w:t>
      </w:r>
      <w:proofErr w:type="spellEnd"/>
      <w:r>
        <w:rPr>
          <w:rFonts w:ascii="Times New Roman" w:hAnsi="Times New Roman" w:cs="Times New Roman"/>
          <w:color w:val="auto"/>
          <w:sz w:val="22"/>
          <w:szCs w:val="22"/>
        </w:rPr>
        <w:t xml:space="preserve"> et al., 2017; </w:t>
      </w:r>
      <w:proofErr w:type="spellStart"/>
      <w:r>
        <w:rPr>
          <w:rFonts w:ascii="Times New Roman" w:hAnsi="Times New Roman" w:cs="Times New Roman"/>
          <w:color w:val="auto"/>
          <w:sz w:val="22"/>
          <w:szCs w:val="22"/>
        </w:rPr>
        <w:t>Kaakinen</w:t>
      </w:r>
      <w:proofErr w:type="spellEnd"/>
      <w:r>
        <w:rPr>
          <w:rFonts w:ascii="Times New Roman" w:hAnsi="Times New Roman" w:cs="Times New Roman"/>
          <w:color w:val="auto"/>
          <w:sz w:val="22"/>
          <w:szCs w:val="22"/>
        </w:rPr>
        <w:t xml:space="preserve"> &amp; Hyönä, 2007, 2010; </w:t>
      </w:r>
      <w:proofErr w:type="spellStart"/>
      <w:r>
        <w:rPr>
          <w:rFonts w:ascii="Times New Roman" w:hAnsi="Times New Roman" w:cs="Times New Roman"/>
          <w:color w:val="auto"/>
          <w:sz w:val="22"/>
          <w:szCs w:val="22"/>
        </w:rPr>
        <w:t>McCrudden</w:t>
      </w:r>
      <w:proofErr w:type="spellEnd"/>
      <w:r>
        <w:rPr>
          <w:rFonts w:ascii="Times New Roman" w:hAnsi="Times New Roman" w:cs="Times New Roman"/>
          <w:color w:val="auto"/>
          <w:sz w:val="22"/>
          <w:szCs w:val="22"/>
        </w:rPr>
        <w:t xml:space="preserve"> &amp; Schraw, 2007), and they are more likely to build connections between that information and information in other texts (</w:t>
      </w:r>
      <w:proofErr w:type="spellStart"/>
      <w:r>
        <w:rPr>
          <w:rFonts w:ascii="Times New Roman" w:hAnsi="Times New Roman" w:cs="Times New Roman"/>
          <w:color w:val="auto"/>
          <w:sz w:val="22"/>
          <w:szCs w:val="22"/>
        </w:rPr>
        <w:t>Anmarkrud</w:t>
      </w:r>
      <w:proofErr w:type="spellEnd"/>
      <w:r>
        <w:rPr>
          <w:rFonts w:ascii="Times New Roman" w:hAnsi="Times New Roman" w:cs="Times New Roman"/>
          <w:color w:val="auto"/>
          <w:sz w:val="22"/>
          <w:szCs w:val="22"/>
        </w:rPr>
        <w:t xml:space="preserve">, </w:t>
      </w:r>
      <w:proofErr w:type="spellStart"/>
      <w:r>
        <w:rPr>
          <w:rFonts w:ascii="Times New Roman" w:hAnsi="Times New Roman" w:cs="Times New Roman"/>
          <w:color w:val="auto"/>
          <w:sz w:val="22"/>
          <w:szCs w:val="22"/>
        </w:rPr>
        <w:t>McCrudden</w:t>
      </w:r>
      <w:proofErr w:type="spellEnd"/>
      <w:r>
        <w:rPr>
          <w:rFonts w:ascii="Times New Roman" w:hAnsi="Times New Roman" w:cs="Times New Roman"/>
          <w:color w:val="auto"/>
          <w:sz w:val="22"/>
          <w:szCs w:val="22"/>
        </w:rPr>
        <w:t xml:space="preserve">, </w:t>
      </w:r>
      <w:proofErr w:type="spellStart"/>
      <w:r>
        <w:rPr>
          <w:rFonts w:ascii="Times New Roman" w:hAnsi="Times New Roman" w:cs="Times New Roman"/>
          <w:color w:val="auto"/>
          <w:sz w:val="22"/>
          <w:szCs w:val="22"/>
        </w:rPr>
        <w:t>Bråten</w:t>
      </w:r>
      <w:proofErr w:type="spellEnd"/>
      <w:r>
        <w:rPr>
          <w:rFonts w:ascii="Times New Roman" w:hAnsi="Times New Roman" w:cs="Times New Roman"/>
          <w:color w:val="auto"/>
          <w:sz w:val="22"/>
          <w:szCs w:val="22"/>
        </w:rPr>
        <w:t xml:space="preserve">, &amp; </w:t>
      </w:r>
      <w:proofErr w:type="spellStart"/>
      <w:r>
        <w:rPr>
          <w:rFonts w:ascii="Times New Roman" w:hAnsi="Times New Roman" w:cs="Times New Roman"/>
          <w:color w:val="auto"/>
          <w:sz w:val="22"/>
          <w:szCs w:val="22"/>
        </w:rPr>
        <w:t>Strømsø</w:t>
      </w:r>
      <w:proofErr w:type="spellEnd"/>
      <w:r>
        <w:rPr>
          <w:rFonts w:ascii="Times New Roman" w:hAnsi="Times New Roman" w:cs="Times New Roman"/>
          <w:color w:val="auto"/>
          <w:sz w:val="22"/>
          <w:szCs w:val="22"/>
        </w:rPr>
        <w:t>, 2013).</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eastAsia="SimSun" w:hAnsi="Times New Roman" w:cs="Times New Roman"/>
          <w:color w:val="auto"/>
          <w:sz w:val="22"/>
          <w:szCs w:val="22"/>
        </w:rPr>
        <w:t xml:space="preserve">Providing readers with different task instructions induces them to adopt different reading strategies that have consequences to online processing and its subsequent end results. </w:t>
      </w:r>
      <w:bookmarkStart w:id="32" w:name="_Hlk486165107"/>
      <w:r>
        <w:rPr>
          <w:rFonts w:ascii="Times New Roman" w:eastAsia="SimSun" w:hAnsi="Times New Roman" w:cs="Times New Roman"/>
          <w:color w:val="auto"/>
          <w:sz w:val="22"/>
          <w:szCs w:val="22"/>
        </w:rPr>
        <w:t>Readers with an outlining task perform better in processing and recalling the topic structure information than those given a true or false sentence verification task</w:t>
      </w:r>
      <w:bookmarkEnd w:id="32"/>
      <w:r>
        <w:rPr>
          <w:rFonts w:ascii="Times New Roman" w:eastAsia="SimSun" w:hAnsi="Times New Roman" w:cs="Times New Roman"/>
          <w:color w:val="auto"/>
          <w:sz w:val="22"/>
          <w:szCs w:val="22"/>
        </w:rPr>
        <w:t xml:space="preserve"> (</w:t>
      </w:r>
      <w:r>
        <w:rPr>
          <w:rFonts w:ascii="Times New Roman" w:hAnsi="Times New Roman"/>
          <w:color w:val="auto"/>
          <w:sz w:val="22"/>
        </w:rPr>
        <w:t>Lorch</w:t>
      </w:r>
      <w:r>
        <w:rPr>
          <w:rFonts w:ascii="Times New Roman" w:eastAsia="SimSun" w:hAnsi="Times New Roman" w:cs="Times New Roman"/>
          <w:color w:val="auto"/>
          <w:sz w:val="22"/>
          <w:szCs w:val="22"/>
        </w:rPr>
        <w:t xml:space="preserve"> et al., 1987). </w:t>
      </w:r>
      <w:r>
        <w:rPr>
          <w:rFonts w:ascii="Times New Roman" w:hAnsi="Times New Roman" w:cs="Times New Roman"/>
          <w:color w:val="auto"/>
          <w:sz w:val="22"/>
        </w:rPr>
        <w:t xml:space="preserve">Readers </w:t>
      </w:r>
      <w:r>
        <w:rPr>
          <w:rFonts w:ascii="Times New Roman" w:eastAsia="SimSun" w:hAnsi="Times New Roman" w:cs="Times New Roman"/>
          <w:color w:val="auto"/>
          <w:sz w:val="22"/>
          <w:szCs w:val="22"/>
        </w:rPr>
        <w:t>instructed to read for study purposes are more likely to use paraphrasing, repeating and evaluating strategies and focus more on coherence building than those reading for entertainment (</w:t>
      </w:r>
      <w:proofErr w:type="spellStart"/>
      <w:r>
        <w:rPr>
          <w:rFonts w:ascii="Times New Roman" w:eastAsia="SimSun" w:hAnsi="Times New Roman" w:cs="Times New Roman"/>
          <w:color w:val="auto"/>
          <w:sz w:val="22"/>
          <w:szCs w:val="22"/>
        </w:rPr>
        <w:t>Linderholm</w:t>
      </w:r>
      <w:proofErr w:type="spellEnd"/>
      <w:r>
        <w:rPr>
          <w:rFonts w:ascii="Times New Roman" w:eastAsia="SimSun" w:hAnsi="Times New Roman" w:cs="Times New Roman"/>
          <w:color w:val="auto"/>
          <w:sz w:val="22"/>
          <w:szCs w:val="22"/>
        </w:rPr>
        <w:t xml:space="preserve"> &amp; van den </w:t>
      </w:r>
      <w:proofErr w:type="spellStart"/>
      <w:r>
        <w:rPr>
          <w:rFonts w:ascii="Times New Roman" w:eastAsia="SimSun" w:hAnsi="Times New Roman" w:cs="Times New Roman"/>
          <w:color w:val="auto"/>
          <w:sz w:val="22"/>
          <w:szCs w:val="22"/>
        </w:rPr>
        <w:t>Broek</w:t>
      </w:r>
      <w:proofErr w:type="spellEnd"/>
      <w:r>
        <w:rPr>
          <w:rFonts w:ascii="Times New Roman" w:eastAsia="SimSun" w:hAnsi="Times New Roman" w:cs="Times New Roman"/>
          <w:color w:val="auto"/>
          <w:sz w:val="22"/>
          <w:szCs w:val="22"/>
        </w:rPr>
        <w:t xml:space="preserve">, 2002; Narvaez, van den </w:t>
      </w:r>
      <w:proofErr w:type="spellStart"/>
      <w:r>
        <w:rPr>
          <w:rFonts w:ascii="Times New Roman" w:eastAsia="SimSun" w:hAnsi="Times New Roman" w:cs="Times New Roman"/>
          <w:color w:val="auto"/>
          <w:sz w:val="22"/>
          <w:szCs w:val="22"/>
        </w:rPr>
        <w:t>Broek</w:t>
      </w:r>
      <w:proofErr w:type="spellEnd"/>
      <w:r>
        <w:rPr>
          <w:rFonts w:ascii="Times New Roman" w:eastAsia="SimSun" w:hAnsi="Times New Roman" w:cs="Times New Roman"/>
          <w:color w:val="auto"/>
          <w:sz w:val="22"/>
          <w:szCs w:val="22"/>
        </w:rPr>
        <w:t xml:space="preserve">, &amp; Ruiz, 1999; van den </w:t>
      </w:r>
      <w:proofErr w:type="spellStart"/>
      <w:r>
        <w:rPr>
          <w:rFonts w:ascii="Times New Roman" w:eastAsia="SimSun" w:hAnsi="Times New Roman" w:cs="Times New Roman"/>
          <w:color w:val="auto"/>
          <w:sz w:val="22"/>
          <w:szCs w:val="22"/>
        </w:rPr>
        <w:t>Broek</w:t>
      </w:r>
      <w:proofErr w:type="spellEnd"/>
      <w:r>
        <w:rPr>
          <w:rFonts w:ascii="Times New Roman" w:eastAsia="SimSun" w:hAnsi="Times New Roman" w:cs="Times New Roman"/>
          <w:color w:val="auto"/>
          <w:sz w:val="22"/>
          <w:szCs w:val="22"/>
        </w:rPr>
        <w:t xml:space="preserve">, Lorch, </w:t>
      </w:r>
      <w:proofErr w:type="spellStart"/>
      <w:r>
        <w:rPr>
          <w:rFonts w:ascii="Times New Roman" w:eastAsia="SimSun" w:hAnsi="Times New Roman" w:cs="Times New Roman"/>
          <w:color w:val="auto"/>
          <w:sz w:val="22"/>
          <w:szCs w:val="22"/>
        </w:rPr>
        <w:t>Linderholm</w:t>
      </w:r>
      <w:proofErr w:type="spellEnd"/>
      <w:r>
        <w:rPr>
          <w:rFonts w:ascii="Times New Roman" w:eastAsia="SimSun" w:hAnsi="Times New Roman" w:cs="Times New Roman"/>
          <w:color w:val="auto"/>
          <w:sz w:val="22"/>
          <w:szCs w:val="22"/>
        </w:rPr>
        <w:t xml:space="preserve">, &amp; Gustafson, 2001; </w:t>
      </w:r>
      <w:proofErr w:type="spellStart"/>
      <w:r>
        <w:rPr>
          <w:rFonts w:ascii="Times New Roman" w:eastAsia="SimSun" w:hAnsi="Times New Roman" w:cs="Times New Roman"/>
          <w:color w:val="auto"/>
          <w:sz w:val="22"/>
          <w:szCs w:val="22"/>
        </w:rPr>
        <w:t>Yeari</w:t>
      </w:r>
      <w:proofErr w:type="spellEnd"/>
      <w:r>
        <w:rPr>
          <w:rFonts w:ascii="Times New Roman" w:eastAsia="SimSun" w:hAnsi="Times New Roman" w:cs="Times New Roman"/>
          <w:color w:val="auto"/>
          <w:sz w:val="22"/>
          <w:szCs w:val="22"/>
        </w:rPr>
        <w:t xml:space="preserve">, van den </w:t>
      </w:r>
      <w:proofErr w:type="spellStart"/>
      <w:r>
        <w:rPr>
          <w:rFonts w:ascii="Times New Roman" w:eastAsia="SimSun" w:hAnsi="Times New Roman" w:cs="Times New Roman"/>
          <w:color w:val="auto"/>
          <w:sz w:val="22"/>
          <w:szCs w:val="22"/>
        </w:rPr>
        <w:t>Broek</w:t>
      </w:r>
      <w:proofErr w:type="spellEnd"/>
      <w:r>
        <w:rPr>
          <w:rFonts w:ascii="Times New Roman" w:eastAsia="SimSun" w:hAnsi="Times New Roman" w:cs="Times New Roman"/>
          <w:color w:val="auto"/>
          <w:sz w:val="22"/>
          <w:szCs w:val="22"/>
        </w:rPr>
        <w:t xml:space="preserve">, &amp; </w:t>
      </w:r>
      <w:proofErr w:type="spellStart"/>
      <w:r>
        <w:rPr>
          <w:rFonts w:ascii="Times New Roman" w:eastAsia="SimSun" w:hAnsi="Times New Roman" w:cs="Times New Roman"/>
          <w:color w:val="auto"/>
          <w:sz w:val="22"/>
          <w:szCs w:val="22"/>
        </w:rPr>
        <w:t>Oudega</w:t>
      </w:r>
      <w:proofErr w:type="spellEnd"/>
      <w:r>
        <w:rPr>
          <w:rFonts w:ascii="Times New Roman" w:eastAsia="SimSun" w:hAnsi="Times New Roman" w:cs="Times New Roman"/>
          <w:color w:val="auto"/>
          <w:sz w:val="22"/>
          <w:szCs w:val="22"/>
        </w:rPr>
        <w:t>, 2015). Preparing for a multiple-choice questionnaire that probes word-level surface features leads to less careful reading</w:t>
      </w:r>
      <w:r>
        <w:rPr>
          <w:rFonts w:ascii="Times New Roman" w:hAnsi="Times New Roman" w:cs="Times New Roman"/>
          <w:color w:val="auto"/>
          <w:sz w:val="22"/>
          <w:szCs w:val="22"/>
        </w:rPr>
        <w:t xml:space="preserve"> </w:t>
      </w:r>
      <w:r>
        <w:rPr>
          <w:rFonts w:ascii="Times New Roman" w:eastAsia="SimSun" w:hAnsi="Times New Roman" w:cs="Times New Roman"/>
          <w:color w:val="auto"/>
          <w:sz w:val="22"/>
          <w:szCs w:val="22"/>
        </w:rPr>
        <w:t xml:space="preserve">than preparing to answer questions targeting semantic relations (Radach, </w:t>
      </w:r>
      <w:proofErr w:type="spellStart"/>
      <w:r>
        <w:rPr>
          <w:rFonts w:ascii="Times New Roman" w:eastAsia="SimSun" w:hAnsi="Times New Roman" w:cs="Times New Roman"/>
          <w:color w:val="auto"/>
          <w:sz w:val="22"/>
          <w:szCs w:val="22"/>
        </w:rPr>
        <w:t>Huestegge</w:t>
      </w:r>
      <w:proofErr w:type="spellEnd"/>
      <w:r>
        <w:rPr>
          <w:rFonts w:ascii="Times New Roman" w:eastAsia="SimSun" w:hAnsi="Times New Roman" w:cs="Times New Roman"/>
          <w:color w:val="auto"/>
          <w:sz w:val="22"/>
          <w:szCs w:val="22"/>
        </w:rPr>
        <w:t xml:space="preserve">, &amp; Reilly, 2008). Finally, readers devote more attention to word-level orthographic and lexical-semantic processing in a proofreading task than in a comprehension task </w:t>
      </w:r>
      <w:r>
        <w:rPr>
          <w:rFonts w:ascii="Times New Roman" w:hAnsi="Times New Roman" w:cs="Times New Roman"/>
          <w:color w:val="auto"/>
          <w:sz w:val="22"/>
        </w:rPr>
        <w:t>(</w:t>
      </w:r>
      <w:proofErr w:type="spellStart"/>
      <w:r>
        <w:rPr>
          <w:rFonts w:ascii="Times New Roman" w:hAnsi="Times New Roman" w:cs="Times New Roman"/>
          <w:color w:val="auto"/>
          <w:sz w:val="22"/>
        </w:rPr>
        <w:t>Kaakinen</w:t>
      </w:r>
      <w:proofErr w:type="spellEnd"/>
      <w:r>
        <w:rPr>
          <w:rFonts w:ascii="Times New Roman" w:hAnsi="Times New Roman" w:cs="Times New Roman"/>
          <w:color w:val="auto"/>
          <w:sz w:val="22"/>
        </w:rPr>
        <w:t xml:space="preserve"> &amp; Hyönä, 2010; </w:t>
      </w:r>
      <w:proofErr w:type="spellStart"/>
      <w:r>
        <w:rPr>
          <w:rFonts w:ascii="Times New Roman" w:eastAsia="SimSun" w:hAnsi="Times New Roman" w:cs="Times New Roman"/>
          <w:color w:val="auto"/>
          <w:sz w:val="22"/>
          <w:szCs w:val="22"/>
        </w:rPr>
        <w:t>Schotter</w:t>
      </w:r>
      <w:proofErr w:type="spellEnd"/>
      <w:r>
        <w:rPr>
          <w:rFonts w:ascii="Times New Roman" w:eastAsia="SimSun" w:hAnsi="Times New Roman" w:cs="Times New Roman"/>
          <w:color w:val="auto"/>
          <w:sz w:val="22"/>
          <w:szCs w:val="22"/>
        </w:rPr>
        <w:t>, Bicknell, Howard, Levy, &amp; Rayner, 2014</w:t>
      </w:r>
      <w:r>
        <w:rPr>
          <w:rFonts w:ascii="Times New Roman" w:hAnsi="Times New Roman" w:cs="Times New Roman"/>
          <w:color w:val="auto"/>
          <w:sz w:val="22"/>
        </w:rPr>
        <w:t>)</w:t>
      </w:r>
      <w:r>
        <w:rPr>
          <w:rFonts w:ascii="Times New Roman" w:hAnsi="Times New Roman" w:cs="Times New Roman"/>
          <w:color w:val="auto"/>
          <w:sz w:val="22"/>
          <w:szCs w:val="22"/>
        </w:rPr>
        <w:t>.</w:t>
      </w:r>
      <w:bookmarkEnd w:id="30"/>
      <w:bookmarkEnd w:id="31"/>
    </w:p>
    <w:p w:rsidR="004D2580" w:rsidRDefault="0034511E">
      <w:pPr>
        <w:pStyle w:val="A0"/>
        <w:adjustRightInd w:val="0"/>
        <w:snapToGrid w:val="0"/>
        <w:spacing w:after="160" w:line="480" w:lineRule="auto"/>
        <w:rPr>
          <w:rFonts w:ascii="Times New Roman" w:hAnsi="Times New Roman" w:cs="Times New Roman"/>
          <w:i/>
          <w:iCs/>
          <w:color w:val="auto"/>
          <w:sz w:val="22"/>
          <w:szCs w:val="22"/>
        </w:rPr>
      </w:pPr>
      <w:r>
        <w:rPr>
          <w:rFonts w:ascii="Times New Roman" w:hAnsi="Times New Roman" w:cs="Times New Roman"/>
          <w:i/>
          <w:iCs/>
          <w:color w:val="auto"/>
          <w:sz w:val="22"/>
          <w:szCs w:val="22"/>
        </w:rPr>
        <w:t>1.2. E</w:t>
      </w:r>
      <w:r>
        <w:rPr>
          <w:rFonts w:ascii="Times New Roman" w:eastAsia="SimSun" w:hAnsi="Times New Roman" w:cs="Times New Roman"/>
          <w:i/>
          <w:iCs/>
          <w:color w:val="auto"/>
          <w:sz w:val="22"/>
          <w:szCs w:val="22"/>
        </w:rPr>
        <w:t>ffects of s</w:t>
      </w:r>
      <w:r>
        <w:rPr>
          <w:rFonts w:ascii="Times New Roman" w:hAnsi="Times New Roman" w:cs="Times New Roman"/>
          <w:i/>
          <w:iCs/>
          <w:color w:val="auto"/>
          <w:sz w:val="22"/>
          <w:szCs w:val="22"/>
        </w:rPr>
        <w:t>ignaling devices on reading</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bookmarkStart w:id="33" w:name="OLE_LINK134"/>
      <w:bookmarkStart w:id="34" w:name="OLE_LINK133"/>
      <w:r>
        <w:rPr>
          <w:rFonts w:ascii="Times New Roman" w:hAnsi="Times New Roman" w:cs="Times New Roman"/>
          <w:color w:val="auto"/>
          <w:sz w:val="22"/>
          <w:szCs w:val="22"/>
        </w:rPr>
        <w:t>Signaling device</w:t>
      </w:r>
      <w:r>
        <w:rPr>
          <w:rFonts w:ascii="Times New Roman" w:eastAsia="SimSun" w:hAnsi="Times New Roman" w:cs="Times New Roman"/>
          <w:color w:val="auto"/>
          <w:sz w:val="22"/>
          <w:szCs w:val="22"/>
        </w:rPr>
        <w:t>s</w:t>
      </w:r>
      <w:r>
        <w:rPr>
          <w:rFonts w:ascii="Times New Roman" w:hAnsi="Times New Roman" w:cs="Times New Roman"/>
          <w:color w:val="auto"/>
          <w:sz w:val="22"/>
          <w:szCs w:val="22"/>
        </w:rPr>
        <w:t xml:space="preserve"> </w:t>
      </w:r>
      <w:r>
        <w:rPr>
          <w:rFonts w:ascii="Times New Roman" w:eastAsia="SimSun" w:hAnsi="Times New Roman" w:cs="Times New Roman"/>
          <w:color w:val="auto"/>
          <w:sz w:val="22"/>
          <w:szCs w:val="22"/>
        </w:rPr>
        <w:t>are</w:t>
      </w:r>
      <w:r>
        <w:rPr>
          <w:rFonts w:ascii="Times New Roman" w:hAnsi="Times New Roman" w:cs="Times New Roman"/>
          <w:color w:val="auto"/>
          <w:sz w:val="22"/>
          <w:szCs w:val="22"/>
        </w:rPr>
        <w:t xml:space="preserve"> writing device</w:t>
      </w:r>
      <w:r>
        <w:rPr>
          <w:rFonts w:ascii="Times New Roman" w:eastAsia="SimSun" w:hAnsi="Times New Roman" w:cs="Times New Roman"/>
          <w:color w:val="auto"/>
          <w:sz w:val="22"/>
          <w:szCs w:val="22"/>
        </w:rPr>
        <w:t xml:space="preserve">s that are used by authors to emphasize </w:t>
      </w:r>
      <w:r>
        <w:rPr>
          <w:rFonts w:ascii="Times New Roman" w:hAnsi="Times New Roman" w:cs="Times New Roman"/>
          <w:color w:val="auto"/>
          <w:sz w:val="22"/>
          <w:szCs w:val="22"/>
        </w:rPr>
        <w:t>important content or to highlight the organizational structure of a text (</w:t>
      </w:r>
      <w:r>
        <w:rPr>
          <w:rFonts w:ascii="Times New Roman" w:hAnsi="Times New Roman"/>
          <w:color w:val="auto"/>
          <w:sz w:val="22"/>
        </w:rPr>
        <w:t>Lorch</w:t>
      </w:r>
      <w:r>
        <w:rPr>
          <w:rFonts w:ascii="Times New Roman" w:hAnsi="Times New Roman" w:cs="Times New Roman"/>
          <w:color w:val="auto"/>
          <w:sz w:val="22"/>
          <w:szCs w:val="22"/>
        </w:rPr>
        <w:t xml:space="preserve">, 1989; Meyer, 1975). </w:t>
      </w:r>
      <w:r>
        <w:rPr>
          <w:rFonts w:ascii="Times New Roman" w:hAnsi="Times New Roman"/>
          <w:color w:val="auto"/>
          <w:sz w:val="22"/>
        </w:rPr>
        <w:t>Lorch</w:t>
      </w:r>
      <w:r>
        <w:rPr>
          <w:rFonts w:ascii="Times New Roman" w:eastAsia="SimSun" w:hAnsi="Times New Roman" w:cs="Times New Roman"/>
          <w:color w:val="auto"/>
          <w:sz w:val="22"/>
          <w:szCs w:val="22"/>
        </w:rPr>
        <w:t xml:space="preserve"> (1989)</w:t>
      </w:r>
      <w:r>
        <w:rPr>
          <w:rFonts w:ascii="Times New Roman" w:hAnsi="Times New Roman" w:cs="Times New Roman"/>
          <w:color w:val="auto"/>
          <w:sz w:val="22"/>
          <w:szCs w:val="22"/>
        </w:rPr>
        <w:t xml:space="preserve"> </w:t>
      </w:r>
      <w:r>
        <w:rPr>
          <w:rFonts w:ascii="Times New Roman" w:eastAsia="SimSun" w:hAnsi="Times New Roman" w:cs="Times New Roman"/>
          <w:color w:val="auto"/>
          <w:kern w:val="0"/>
          <w:sz w:val="22"/>
          <w:szCs w:val="22"/>
          <w:lang w:eastAsia="en-US"/>
        </w:rPr>
        <w:t>categorizes</w:t>
      </w:r>
      <w:r>
        <w:rPr>
          <w:rFonts w:ascii="Times New Roman" w:eastAsia="SimSun" w:hAnsi="Times New Roman" w:cs="Times New Roman"/>
          <w:color w:val="auto"/>
          <w:kern w:val="0"/>
          <w:sz w:val="22"/>
          <w:szCs w:val="22"/>
        </w:rPr>
        <w:t xml:space="preserve"> </w:t>
      </w:r>
      <w:r>
        <w:rPr>
          <w:rFonts w:ascii="Times New Roman" w:eastAsia="SimSun" w:hAnsi="Times New Roman" w:cs="Times New Roman"/>
          <w:color w:val="auto"/>
          <w:sz w:val="22"/>
          <w:szCs w:val="22"/>
        </w:rPr>
        <w:t>s</w:t>
      </w:r>
      <w:r>
        <w:rPr>
          <w:rFonts w:ascii="Times New Roman" w:hAnsi="Times New Roman" w:cs="Times New Roman"/>
          <w:color w:val="auto"/>
          <w:sz w:val="22"/>
          <w:szCs w:val="22"/>
        </w:rPr>
        <w:t>ignaling device</w:t>
      </w:r>
      <w:r>
        <w:rPr>
          <w:rFonts w:ascii="Times New Roman" w:eastAsia="SimSun" w:hAnsi="Times New Roman" w:cs="Times New Roman"/>
          <w:color w:val="auto"/>
          <w:sz w:val="22"/>
          <w:szCs w:val="22"/>
        </w:rPr>
        <w:t xml:space="preserve">s into two </w:t>
      </w:r>
      <w:r>
        <w:rPr>
          <w:rFonts w:ascii="Times New Roman" w:hAnsi="Times New Roman" w:cs="Times New Roman"/>
          <w:color w:val="auto"/>
          <w:sz w:val="22"/>
          <w:szCs w:val="22"/>
        </w:rPr>
        <w:t xml:space="preserve">types: </w:t>
      </w:r>
      <w:bookmarkStart w:id="35" w:name="OLE_LINK76"/>
      <w:r>
        <w:rPr>
          <w:rFonts w:ascii="Times New Roman" w:hAnsi="Times New Roman" w:cs="Times New Roman"/>
          <w:color w:val="auto"/>
          <w:sz w:val="22"/>
          <w:szCs w:val="22"/>
        </w:rPr>
        <w:t>organization</w:t>
      </w:r>
      <w:bookmarkEnd w:id="35"/>
      <w:r>
        <w:rPr>
          <w:rFonts w:ascii="Times New Roman" w:hAnsi="Times New Roman" w:cs="Times New Roman"/>
          <w:color w:val="auto"/>
          <w:sz w:val="22"/>
          <w:szCs w:val="22"/>
        </w:rPr>
        <w:t>al and typographical signals. Organizational signals, such as heading</w:t>
      </w:r>
      <w:r>
        <w:rPr>
          <w:rFonts w:ascii="Times New Roman" w:eastAsia="SimSun" w:hAnsi="Times New Roman" w:cs="Times New Roman"/>
          <w:color w:val="auto"/>
          <w:sz w:val="22"/>
          <w:szCs w:val="22"/>
        </w:rPr>
        <w:t xml:space="preserve">s, preview sentences, </w:t>
      </w:r>
      <w:r>
        <w:rPr>
          <w:rFonts w:ascii="Times New Roman" w:hAnsi="Times New Roman" w:cs="Times New Roman"/>
          <w:color w:val="auto"/>
          <w:sz w:val="22"/>
          <w:szCs w:val="22"/>
        </w:rPr>
        <w:t>and summar</w:t>
      </w:r>
      <w:r>
        <w:rPr>
          <w:rFonts w:ascii="Times New Roman" w:eastAsia="SimSun" w:hAnsi="Times New Roman" w:cs="Times New Roman"/>
          <w:color w:val="auto"/>
          <w:sz w:val="22"/>
          <w:szCs w:val="22"/>
        </w:rPr>
        <w:t xml:space="preserve">ies, </w:t>
      </w:r>
      <w:r>
        <w:rPr>
          <w:rFonts w:ascii="Times New Roman" w:hAnsi="Times New Roman" w:cs="Times New Roman"/>
          <w:color w:val="auto"/>
          <w:sz w:val="22"/>
          <w:szCs w:val="22"/>
        </w:rPr>
        <w:t xml:space="preserve">emphasize the structure of a text. </w:t>
      </w:r>
      <w:bookmarkStart w:id="36" w:name="OLE_LINK16"/>
      <w:r>
        <w:rPr>
          <w:rFonts w:ascii="Times New Roman" w:hAnsi="Times New Roman" w:cs="Times New Roman"/>
          <w:color w:val="auto"/>
          <w:sz w:val="22"/>
          <w:szCs w:val="22"/>
        </w:rPr>
        <w:t>On the other hand, typographical signals</w:t>
      </w:r>
      <w:bookmarkEnd w:id="36"/>
      <w:r>
        <w:rPr>
          <w:rFonts w:ascii="Times New Roman" w:hAnsi="Times New Roman" w:cs="Times New Roman"/>
          <w:color w:val="auto"/>
          <w:sz w:val="22"/>
          <w:szCs w:val="22"/>
        </w:rPr>
        <w:t xml:space="preserve">, such as capitalization, boldface, and underlining, emphasize individual words or text sections.  </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eastAsia="SimSun" w:hAnsi="Times New Roman" w:cs="Times New Roman"/>
          <w:color w:val="auto"/>
          <w:sz w:val="22"/>
          <w:szCs w:val="22"/>
        </w:rPr>
        <w:t>Numerous studies have shown that o</w:t>
      </w:r>
      <w:r>
        <w:rPr>
          <w:rFonts w:ascii="Times New Roman" w:hAnsi="Times New Roman" w:cs="Times New Roman"/>
          <w:color w:val="auto"/>
          <w:kern w:val="0"/>
          <w:sz w:val="22"/>
          <w:szCs w:val="22"/>
        </w:rPr>
        <w:t xml:space="preserve">rganizational signals </w:t>
      </w:r>
      <w:r>
        <w:rPr>
          <w:rFonts w:ascii="Times New Roman" w:eastAsia="SimSun" w:hAnsi="Times New Roman" w:cs="Times New Roman"/>
          <w:color w:val="auto"/>
          <w:kern w:val="0"/>
          <w:sz w:val="22"/>
          <w:szCs w:val="22"/>
        </w:rPr>
        <w:t xml:space="preserve">benefit readers’ </w:t>
      </w:r>
      <w:r>
        <w:rPr>
          <w:rFonts w:ascii="Times New Roman" w:hAnsi="Times New Roman" w:cs="Times New Roman"/>
          <w:color w:val="auto"/>
          <w:kern w:val="0"/>
          <w:sz w:val="22"/>
          <w:szCs w:val="22"/>
        </w:rPr>
        <w:t>processing</w:t>
      </w:r>
      <w:r>
        <w:rPr>
          <w:rFonts w:ascii="Times New Roman" w:eastAsia="SimSun" w:hAnsi="Times New Roman" w:cs="Times New Roman"/>
          <w:color w:val="auto"/>
          <w:kern w:val="0"/>
          <w:sz w:val="22"/>
          <w:szCs w:val="22"/>
        </w:rPr>
        <w:t xml:space="preserve">, representation and memory </w:t>
      </w:r>
      <w:r>
        <w:rPr>
          <w:rFonts w:ascii="Times New Roman" w:hAnsi="Times New Roman" w:cs="Times New Roman"/>
          <w:color w:val="auto"/>
          <w:kern w:val="0"/>
          <w:sz w:val="22"/>
          <w:szCs w:val="22"/>
        </w:rPr>
        <w:t>of the text’s topic structure</w:t>
      </w:r>
      <w:r>
        <w:rPr>
          <w:rFonts w:ascii="Times New Roman" w:hAnsi="Times New Roman" w:cs="Times New Roman"/>
          <w:color w:val="auto"/>
          <w:sz w:val="22"/>
          <w:szCs w:val="22"/>
        </w:rPr>
        <w:t>.</w:t>
      </w:r>
      <w:r>
        <w:rPr>
          <w:rFonts w:ascii="Times New Roman" w:eastAsia="SimSun" w:hAnsi="Times New Roman" w:cs="Times New Roman"/>
          <w:color w:val="auto"/>
          <w:sz w:val="22"/>
          <w:szCs w:val="22"/>
        </w:rPr>
        <w:t xml:space="preserve"> </w:t>
      </w:r>
      <w:bookmarkStart w:id="37" w:name="OLE_LINK3"/>
      <w:bookmarkStart w:id="38" w:name="OLE_LINK21"/>
      <w:r>
        <w:rPr>
          <w:rFonts w:ascii="Times New Roman" w:eastAsia="SimSun" w:hAnsi="Times New Roman" w:cs="Times New Roman"/>
          <w:color w:val="auto"/>
          <w:sz w:val="22"/>
          <w:szCs w:val="22"/>
        </w:rPr>
        <w:t xml:space="preserve">In comparison to texts without </w:t>
      </w:r>
      <w:r>
        <w:rPr>
          <w:rFonts w:ascii="Times New Roman" w:eastAsia="SimSun" w:hAnsi="Times New Roman" w:cs="Times New Roman"/>
          <w:color w:val="auto"/>
          <w:sz w:val="22"/>
          <w:szCs w:val="22"/>
        </w:rPr>
        <w:lastRenderedPageBreak/>
        <w:t>signaling devices, those containing</w:t>
      </w:r>
      <w:r>
        <w:rPr>
          <w:rFonts w:ascii="Times New Roman" w:eastAsia="SimSun" w:hAnsi="Times New Roman" w:cs="Times New Roman"/>
          <w:color w:val="auto"/>
          <w:kern w:val="0"/>
          <w:sz w:val="22"/>
          <w:szCs w:val="22"/>
        </w:rPr>
        <w:t xml:space="preserve"> organizational signaling devices </w:t>
      </w:r>
      <w:r>
        <w:rPr>
          <w:rFonts w:ascii="Times New Roman" w:hAnsi="Times New Roman" w:cs="Times New Roman"/>
          <w:color w:val="auto"/>
          <w:kern w:val="0"/>
          <w:sz w:val="22"/>
          <w:szCs w:val="22"/>
        </w:rPr>
        <w:t>guide</w:t>
      </w:r>
      <w:r>
        <w:rPr>
          <w:rFonts w:ascii="Times New Roman" w:eastAsia="SimSun" w:hAnsi="Times New Roman" w:cs="Times New Roman"/>
          <w:color w:val="auto"/>
          <w:kern w:val="0"/>
          <w:sz w:val="22"/>
          <w:szCs w:val="22"/>
        </w:rPr>
        <w:t xml:space="preserve"> readers to </w:t>
      </w:r>
      <w:r>
        <w:rPr>
          <w:rFonts w:ascii="Times New Roman" w:hAnsi="Times New Roman" w:cs="Times New Roman"/>
          <w:color w:val="auto"/>
          <w:sz w:val="22"/>
          <w:szCs w:val="22"/>
        </w:rPr>
        <w:t xml:space="preserve">identify the text’s topics and facilitate their processing of the topic structure (Hyönä &amp; </w:t>
      </w:r>
      <w:r>
        <w:rPr>
          <w:rFonts w:ascii="Times New Roman" w:hAnsi="Times New Roman"/>
          <w:color w:val="auto"/>
          <w:sz w:val="22"/>
        </w:rPr>
        <w:t>Lorch</w:t>
      </w:r>
      <w:r>
        <w:rPr>
          <w:rFonts w:ascii="Times New Roman" w:hAnsi="Times New Roman" w:cs="Times New Roman"/>
          <w:color w:val="auto"/>
          <w:sz w:val="22"/>
          <w:szCs w:val="22"/>
        </w:rPr>
        <w:t xml:space="preserve">, 2004; </w:t>
      </w:r>
      <w:r>
        <w:rPr>
          <w:rFonts w:ascii="Times New Roman" w:hAnsi="Times New Roman"/>
          <w:color w:val="auto"/>
          <w:sz w:val="22"/>
        </w:rPr>
        <w:t>Lorch</w:t>
      </w:r>
      <w:r>
        <w:rPr>
          <w:rFonts w:ascii="Times New Roman" w:hAnsi="Times New Roman" w:cs="Times New Roman"/>
          <w:color w:val="auto"/>
          <w:sz w:val="22"/>
          <w:szCs w:val="22"/>
        </w:rPr>
        <w:t xml:space="preserve">, Chen, &amp; </w:t>
      </w:r>
      <w:proofErr w:type="spellStart"/>
      <w:r>
        <w:rPr>
          <w:rFonts w:ascii="Times New Roman" w:hAnsi="Times New Roman" w:cs="Times New Roman"/>
          <w:color w:val="auto"/>
          <w:sz w:val="22"/>
          <w:szCs w:val="22"/>
        </w:rPr>
        <w:t>Lemarié</w:t>
      </w:r>
      <w:proofErr w:type="spellEnd"/>
      <w:r>
        <w:rPr>
          <w:rFonts w:ascii="Times New Roman" w:hAnsi="Times New Roman" w:cs="Times New Roman"/>
          <w:color w:val="auto"/>
          <w:sz w:val="22"/>
          <w:szCs w:val="22"/>
        </w:rPr>
        <w:t xml:space="preserve">, 2012; </w:t>
      </w:r>
      <w:r>
        <w:rPr>
          <w:rFonts w:ascii="Times New Roman" w:hAnsi="Times New Roman"/>
          <w:color w:val="auto"/>
          <w:sz w:val="22"/>
        </w:rPr>
        <w:t>Lorch</w:t>
      </w:r>
      <w:r>
        <w:rPr>
          <w:rFonts w:ascii="Times New Roman" w:hAnsi="Times New Roman" w:cs="Times New Roman"/>
          <w:color w:val="auto"/>
          <w:sz w:val="22"/>
          <w:szCs w:val="22"/>
        </w:rPr>
        <w:t xml:space="preserve"> et al., 2013; </w:t>
      </w:r>
      <w:r>
        <w:rPr>
          <w:rFonts w:ascii="Times New Roman" w:hAnsi="Times New Roman"/>
          <w:color w:val="auto"/>
          <w:sz w:val="22"/>
        </w:rPr>
        <w:t>Lorch</w:t>
      </w:r>
      <w:r>
        <w:rPr>
          <w:rFonts w:ascii="Times New Roman" w:hAnsi="Times New Roman" w:cs="Times New Roman"/>
          <w:color w:val="auto"/>
          <w:sz w:val="22"/>
          <w:szCs w:val="22"/>
        </w:rPr>
        <w:t xml:space="preserve"> &amp; Lorch, 1996a; Sanchez, Lorch, &amp; </w:t>
      </w:r>
      <w:r>
        <w:rPr>
          <w:rFonts w:ascii="Times New Roman" w:hAnsi="Times New Roman"/>
          <w:color w:val="auto"/>
          <w:sz w:val="22"/>
        </w:rPr>
        <w:t>Lorch</w:t>
      </w:r>
      <w:r>
        <w:rPr>
          <w:rFonts w:ascii="Times New Roman" w:hAnsi="Times New Roman" w:cs="Times New Roman"/>
          <w:color w:val="auto"/>
          <w:sz w:val="22"/>
          <w:szCs w:val="22"/>
        </w:rPr>
        <w:t xml:space="preserve">, 2001). Headings as </w:t>
      </w:r>
      <w:r>
        <w:rPr>
          <w:rFonts w:ascii="Times New Roman" w:eastAsia="SimSun" w:hAnsi="Times New Roman" w:cs="Times New Roman"/>
          <w:color w:val="auto"/>
          <w:sz w:val="22"/>
          <w:szCs w:val="22"/>
        </w:rPr>
        <w:t>o</w:t>
      </w:r>
      <w:r>
        <w:rPr>
          <w:rFonts w:ascii="Times New Roman" w:eastAsia="SimSun" w:hAnsi="Times New Roman" w:cs="Times New Roman"/>
          <w:color w:val="auto"/>
          <w:kern w:val="0"/>
          <w:sz w:val="22"/>
          <w:szCs w:val="22"/>
        </w:rPr>
        <w:t>rganizational s</w:t>
      </w:r>
      <w:r>
        <w:rPr>
          <w:rFonts w:ascii="Times New Roman" w:hAnsi="Times New Roman" w:cs="Times New Roman"/>
          <w:color w:val="auto"/>
          <w:sz w:val="22"/>
          <w:szCs w:val="22"/>
        </w:rPr>
        <w:t>ignals have also been shown to support the identification of referents in a text and the integration of new information with previous knowledge (</w:t>
      </w:r>
      <w:proofErr w:type="spellStart"/>
      <w:r>
        <w:rPr>
          <w:rFonts w:ascii="Times New Roman" w:hAnsi="Times New Roman" w:cs="Times New Roman"/>
          <w:color w:val="auto"/>
          <w:sz w:val="22"/>
          <w:szCs w:val="22"/>
        </w:rPr>
        <w:t>Bransford</w:t>
      </w:r>
      <w:proofErr w:type="spellEnd"/>
      <w:r>
        <w:rPr>
          <w:rFonts w:ascii="Times New Roman" w:hAnsi="Times New Roman" w:cs="Times New Roman"/>
          <w:color w:val="auto"/>
          <w:sz w:val="22"/>
          <w:szCs w:val="22"/>
        </w:rPr>
        <w:t xml:space="preserve"> &amp; Johnson, 1972; Wiley &amp; Rayner, 2000).</w:t>
      </w:r>
      <w:r>
        <w:rPr>
          <w:rFonts w:ascii="Times New Roman" w:hAnsi="Times New Roman" w:cs="Times New Roman"/>
          <w:color w:val="auto"/>
          <w:kern w:val="0"/>
          <w:sz w:val="22"/>
          <w:szCs w:val="22"/>
        </w:rPr>
        <w:t xml:space="preserve"> </w:t>
      </w:r>
      <w:r>
        <w:rPr>
          <w:rFonts w:ascii="Times New Roman" w:hAnsi="Times New Roman" w:cs="Times New Roman"/>
          <w:color w:val="auto"/>
          <w:sz w:val="22"/>
          <w:szCs w:val="22"/>
        </w:rPr>
        <w:t xml:space="preserve">In addition, the presence of organizational signals facilitates the creation </w:t>
      </w:r>
      <w:bookmarkEnd w:id="37"/>
      <w:bookmarkEnd w:id="38"/>
      <w:r>
        <w:rPr>
          <w:rFonts w:ascii="Times New Roman" w:hAnsi="Times New Roman" w:cs="Times New Roman"/>
          <w:color w:val="auto"/>
          <w:sz w:val="22"/>
          <w:szCs w:val="22"/>
        </w:rPr>
        <w:t>of a more coherent and integrated representation of the text’s t</w:t>
      </w:r>
      <w:r>
        <w:rPr>
          <w:rFonts w:ascii="Times New Roman" w:eastAsia="SimSun" w:hAnsi="Times New Roman" w:cs="Times New Roman"/>
          <w:color w:val="auto"/>
          <w:sz w:val="22"/>
          <w:szCs w:val="22"/>
        </w:rPr>
        <w:t>opic</w:t>
      </w:r>
      <w:r>
        <w:rPr>
          <w:rFonts w:ascii="Times New Roman" w:hAnsi="Times New Roman" w:cs="Times New Roman"/>
          <w:color w:val="auto"/>
          <w:sz w:val="22"/>
          <w:szCs w:val="22"/>
        </w:rPr>
        <w:t xml:space="preserve"> structure (</w:t>
      </w:r>
      <w:r>
        <w:rPr>
          <w:rFonts w:ascii="Times New Roman" w:hAnsi="Times New Roman"/>
          <w:color w:val="auto"/>
          <w:sz w:val="22"/>
        </w:rPr>
        <w:t>Lorch</w:t>
      </w:r>
      <w:r>
        <w:rPr>
          <w:rFonts w:ascii="Times New Roman" w:hAnsi="Times New Roman" w:cs="Times New Roman"/>
          <w:color w:val="auto"/>
          <w:sz w:val="22"/>
          <w:szCs w:val="22"/>
        </w:rPr>
        <w:t xml:space="preserve"> et al., 2012; </w:t>
      </w:r>
      <w:r>
        <w:rPr>
          <w:rFonts w:ascii="Times New Roman" w:hAnsi="Times New Roman"/>
          <w:color w:val="auto"/>
          <w:sz w:val="22"/>
        </w:rPr>
        <w:t>Lorch</w:t>
      </w:r>
      <w:r>
        <w:rPr>
          <w:rFonts w:ascii="Times New Roman" w:hAnsi="Times New Roman" w:cs="Times New Roman"/>
          <w:color w:val="auto"/>
          <w:sz w:val="22"/>
          <w:szCs w:val="22"/>
        </w:rPr>
        <w:t xml:space="preserve">, </w:t>
      </w:r>
      <w:proofErr w:type="spellStart"/>
      <w:r>
        <w:rPr>
          <w:rFonts w:ascii="Times New Roman" w:hAnsi="Times New Roman" w:cs="Times New Roman"/>
          <w:color w:val="auto"/>
          <w:sz w:val="22"/>
          <w:szCs w:val="22"/>
        </w:rPr>
        <w:t>Lemarié</w:t>
      </w:r>
      <w:proofErr w:type="spellEnd"/>
      <w:r>
        <w:rPr>
          <w:rFonts w:ascii="Times New Roman" w:hAnsi="Times New Roman" w:cs="Times New Roman"/>
          <w:color w:val="auto"/>
          <w:sz w:val="22"/>
          <w:szCs w:val="22"/>
        </w:rPr>
        <w:t xml:space="preserve">, &amp; Grant, 2011a, 2011b; </w:t>
      </w:r>
      <w:r>
        <w:rPr>
          <w:rFonts w:ascii="Times New Roman" w:hAnsi="Times New Roman"/>
          <w:color w:val="auto"/>
          <w:sz w:val="22"/>
        </w:rPr>
        <w:t xml:space="preserve">Lorch </w:t>
      </w:r>
      <w:r>
        <w:rPr>
          <w:rFonts w:ascii="Times New Roman" w:hAnsi="Times New Roman" w:cs="Times New Roman"/>
          <w:color w:val="auto"/>
          <w:sz w:val="22"/>
          <w:szCs w:val="22"/>
        </w:rPr>
        <w:t>&amp; Lorch, 1996a, 1996b)</w:t>
      </w:r>
      <w:bookmarkStart w:id="39" w:name="OLE_LINK106"/>
      <w:bookmarkStart w:id="40" w:name="OLE_LINK105"/>
      <w:r>
        <w:rPr>
          <w:rFonts w:ascii="Times New Roman" w:hAnsi="Times New Roman" w:cs="Times New Roman"/>
          <w:color w:val="auto"/>
          <w:sz w:val="22"/>
          <w:szCs w:val="22"/>
        </w:rPr>
        <w:t xml:space="preserve"> and</w:t>
      </w:r>
      <w:r>
        <w:rPr>
          <w:rFonts w:ascii="Times New Roman" w:eastAsia="SimSun" w:hAnsi="Times New Roman" w:cs="Times New Roman"/>
          <w:color w:val="auto"/>
          <w:sz w:val="22"/>
          <w:szCs w:val="22"/>
        </w:rPr>
        <w:t xml:space="preserve"> improves the retrieval of </w:t>
      </w:r>
      <w:r>
        <w:rPr>
          <w:rFonts w:ascii="Times New Roman" w:eastAsia="SimSun" w:hAnsi="Times New Roman" w:cs="Times New Roman"/>
          <w:color w:val="auto"/>
          <w:kern w:val="0"/>
          <w:sz w:val="22"/>
          <w:szCs w:val="22"/>
        </w:rPr>
        <w:t>text</w:t>
      </w:r>
      <w:r>
        <w:rPr>
          <w:rFonts w:ascii="Times New Roman" w:eastAsia="SimSun" w:hAnsi="Times New Roman" w:cs="Times New Roman"/>
          <w:color w:val="auto"/>
          <w:sz w:val="22"/>
          <w:szCs w:val="22"/>
        </w:rPr>
        <w:t xml:space="preserve"> information</w:t>
      </w:r>
      <w:r>
        <w:rPr>
          <w:rFonts w:ascii="Times New Roman" w:eastAsia="SimSun" w:hAnsi="Times New Roman" w:cs="Times New Roman"/>
          <w:color w:val="auto"/>
          <w:kern w:val="0"/>
          <w:sz w:val="22"/>
          <w:szCs w:val="22"/>
        </w:rPr>
        <w:t xml:space="preserve"> from memory (Hyönä &amp; </w:t>
      </w:r>
      <w:r>
        <w:rPr>
          <w:rFonts w:ascii="Times New Roman" w:hAnsi="Times New Roman"/>
          <w:color w:val="auto"/>
          <w:kern w:val="0"/>
          <w:sz w:val="22"/>
        </w:rPr>
        <w:t>Lorch</w:t>
      </w:r>
      <w:r>
        <w:rPr>
          <w:rFonts w:ascii="Times New Roman" w:eastAsia="SimSun" w:hAnsi="Times New Roman" w:cs="Times New Roman"/>
          <w:color w:val="auto"/>
          <w:kern w:val="0"/>
          <w:sz w:val="22"/>
          <w:szCs w:val="22"/>
        </w:rPr>
        <w:t xml:space="preserve">, 2004; </w:t>
      </w:r>
      <w:r>
        <w:rPr>
          <w:rFonts w:ascii="Times New Roman" w:hAnsi="Times New Roman"/>
          <w:color w:val="auto"/>
          <w:kern w:val="0"/>
          <w:sz w:val="22"/>
        </w:rPr>
        <w:t>Lorch</w:t>
      </w:r>
      <w:r>
        <w:rPr>
          <w:rFonts w:ascii="Times New Roman" w:eastAsia="SimSun" w:hAnsi="Times New Roman" w:cs="Times New Roman"/>
          <w:color w:val="auto"/>
          <w:kern w:val="0"/>
          <w:sz w:val="22"/>
          <w:szCs w:val="22"/>
        </w:rPr>
        <w:t xml:space="preserve"> et al., 2012; </w:t>
      </w:r>
      <w:r>
        <w:rPr>
          <w:rFonts w:ascii="Times New Roman" w:hAnsi="Times New Roman"/>
          <w:color w:val="auto"/>
          <w:kern w:val="0"/>
          <w:sz w:val="22"/>
        </w:rPr>
        <w:t>Lorch</w:t>
      </w:r>
      <w:r>
        <w:rPr>
          <w:rFonts w:ascii="Times New Roman" w:eastAsia="SimSun" w:hAnsi="Times New Roman" w:cs="Times New Roman"/>
          <w:color w:val="auto"/>
          <w:kern w:val="0"/>
          <w:sz w:val="22"/>
          <w:szCs w:val="22"/>
        </w:rPr>
        <w:t xml:space="preserve"> et al., 2013; Ritchey, Schuster, &amp; Allen, 2008)</w:t>
      </w:r>
      <w:r>
        <w:rPr>
          <w:rFonts w:ascii="Times New Roman" w:hAnsi="Times New Roman" w:cs="Times New Roman"/>
          <w:color w:val="auto"/>
          <w:sz w:val="22"/>
          <w:szCs w:val="22"/>
        </w:rPr>
        <w:t>.</w:t>
      </w:r>
      <w:r>
        <w:rPr>
          <w:rFonts w:ascii="Times New Roman" w:eastAsia="SimSun" w:hAnsi="Times New Roman" w:cs="Times New Roman"/>
          <w:color w:val="auto"/>
          <w:sz w:val="22"/>
          <w:szCs w:val="22"/>
        </w:rPr>
        <w:t xml:space="preserve"> </w:t>
      </w:r>
      <w:bookmarkStart w:id="41" w:name="OLE_LINK170"/>
      <w:bookmarkStart w:id="42" w:name="OLE_LINK171"/>
      <w:bookmarkEnd w:id="33"/>
      <w:bookmarkEnd w:id="34"/>
    </w:p>
    <w:bookmarkEnd w:id="39"/>
    <w:bookmarkEnd w:id="40"/>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 xml:space="preserve">Typographical signals have been shown to benefit readers’ processing and memory of the signaled information; however, their effects are modulated by the quality of the devices and the structural importance of signaled and </w:t>
      </w:r>
      <w:proofErr w:type="spellStart"/>
      <w:r>
        <w:rPr>
          <w:rFonts w:ascii="Times New Roman" w:hAnsi="Times New Roman" w:cs="Times New Roman"/>
          <w:color w:val="auto"/>
          <w:sz w:val="22"/>
          <w:szCs w:val="22"/>
        </w:rPr>
        <w:t>unsignaled</w:t>
      </w:r>
      <w:proofErr w:type="spellEnd"/>
      <w:r>
        <w:rPr>
          <w:rFonts w:ascii="Times New Roman" w:hAnsi="Times New Roman" w:cs="Times New Roman"/>
          <w:color w:val="auto"/>
          <w:sz w:val="22"/>
          <w:szCs w:val="22"/>
        </w:rPr>
        <w:t xml:space="preserve"> information. A</w:t>
      </w:r>
      <w:r>
        <w:rPr>
          <w:rFonts w:ascii="Times New Roman" w:eastAsia="SimSun" w:hAnsi="Times New Roman" w:cs="Times New Roman"/>
          <w:color w:val="auto"/>
          <w:sz w:val="22"/>
          <w:szCs w:val="22"/>
        </w:rPr>
        <w:t>ppropriate</w:t>
      </w:r>
      <w:r>
        <w:rPr>
          <w:rFonts w:ascii="Times New Roman" w:hAnsi="Times New Roman" w:cs="Times New Roman"/>
          <w:color w:val="auto"/>
          <w:sz w:val="22"/>
          <w:szCs w:val="22"/>
        </w:rPr>
        <w:t xml:space="preserve"> </w:t>
      </w:r>
      <w:bookmarkStart w:id="43" w:name="OLE_LINK31"/>
      <w:bookmarkStart w:id="44" w:name="OLE_LINK32"/>
      <w:r>
        <w:rPr>
          <w:rFonts w:ascii="Times New Roman" w:hAnsi="Times New Roman" w:cs="Times New Roman"/>
          <w:color w:val="auto"/>
          <w:sz w:val="22"/>
          <w:szCs w:val="22"/>
        </w:rPr>
        <w:t>typographical signal</w:t>
      </w:r>
      <w:r>
        <w:rPr>
          <w:rFonts w:ascii="Times New Roman" w:eastAsia="SimSun" w:hAnsi="Times New Roman" w:cs="Times New Roman"/>
          <w:color w:val="auto"/>
          <w:sz w:val="22"/>
          <w:szCs w:val="22"/>
        </w:rPr>
        <w:t>s</w:t>
      </w:r>
      <w:bookmarkEnd w:id="43"/>
      <w:bookmarkEnd w:id="44"/>
      <w:r>
        <w:rPr>
          <w:rFonts w:ascii="Times New Roman" w:hAnsi="Times New Roman" w:cs="Times New Roman"/>
          <w:color w:val="auto"/>
          <w:sz w:val="22"/>
          <w:szCs w:val="22"/>
        </w:rPr>
        <w:t>, such as signaling important information</w:t>
      </w:r>
      <w:r>
        <w:rPr>
          <w:rStyle w:val="CommentReference"/>
          <w:rFonts w:ascii="Times New Roman" w:eastAsia="SimSun" w:hAnsi="Times New Roman" w:cs="Times New Roman"/>
          <w:color w:val="auto"/>
          <w:kern w:val="0"/>
          <w:sz w:val="22"/>
          <w:szCs w:val="22"/>
        </w:rPr>
        <w:t xml:space="preserve"> or concepts </w:t>
      </w:r>
      <w:r>
        <w:rPr>
          <w:rFonts w:ascii="Times New Roman" w:hAnsi="Times New Roman" w:cs="Times New Roman"/>
          <w:color w:val="auto"/>
          <w:sz w:val="22"/>
          <w:szCs w:val="22"/>
        </w:rPr>
        <w:t xml:space="preserve">in the body of a text </w:t>
      </w:r>
      <w:r>
        <w:rPr>
          <w:rStyle w:val="CommentReference"/>
          <w:rFonts w:ascii="Times New Roman" w:eastAsia="SimSun" w:hAnsi="Times New Roman" w:cs="Times New Roman"/>
          <w:color w:val="auto"/>
          <w:kern w:val="0"/>
          <w:sz w:val="22"/>
          <w:szCs w:val="22"/>
        </w:rPr>
        <w:t xml:space="preserve">with </w:t>
      </w:r>
      <w:r>
        <w:rPr>
          <w:rFonts w:ascii="Times New Roman" w:eastAsia="SimSun" w:hAnsi="Times New Roman" w:cs="Times New Roman"/>
          <w:color w:val="auto"/>
          <w:sz w:val="22"/>
          <w:szCs w:val="22"/>
        </w:rPr>
        <w:t xml:space="preserve">underlining, improve readers’ memory and </w:t>
      </w:r>
      <w:r>
        <w:rPr>
          <w:rFonts w:ascii="Times New Roman" w:hAnsi="Times New Roman" w:cs="Times New Roman"/>
          <w:color w:val="auto"/>
          <w:sz w:val="22"/>
          <w:szCs w:val="22"/>
        </w:rPr>
        <w:t xml:space="preserve">comprehension of the signaled information, while their memory and comprehension of the </w:t>
      </w:r>
      <w:proofErr w:type="spellStart"/>
      <w:r>
        <w:rPr>
          <w:rFonts w:ascii="Times New Roman" w:hAnsi="Times New Roman" w:cs="Times New Roman"/>
          <w:color w:val="auto"/>
          <w:sz w:val="22"/>
          <w:szCs w:val="22"/>
        </w:rPr>
        <w:t>unsignaled</w:t>
      </w:r>
      <w:proofErr w:type="spellEnd"/>
      <w:r>
        <w:rPr>
          <w:rFonts w:ascii="Times New Roman" w:hAnsi="Times New Roman" w:cs="Times New Roman"/>
          <w:color w:val="auto"/>
          <w:sz w:val="22"/>
          <w:szCs w:val="22"/>
        </w:rPr>
        <w:t xml:space="preserve"> information are unaffected (</w:t>
      </w:r>
      <w:r>
        <w:rPr>
          <w:rFonts w:ascii="Times New Roman" w:hAnsi="Times New Roman"/>
          <w:color w:val="auto"/>
          <w:sz w:val="22"/>
        </w:rPr>
        <w:t xml:space="preserve">Lorch, Lorch, &amp; </w:t>
      </w:r>
      <w:proofErr w:type="spellStart"/>
      <w:r>
        <w:rPr>
          <w:rFonts w:ascii="Times New Roman" w:hAnsi="Times New Roman"/>
          <w:color w:val="auto"/>
          <w:sz w:val="22"/>
        </w:rPr>
        <w:t>Klusewitz</w:t>
      </w:r>
      <w:proofErr w:type="spellEnd"/>
      <w:r>
        <w:rPr>
          <w:rFonts w:ascii="Times New Roman" w:hAnsi="Times New Roman"/>
          <w:color w:val="auto"/>
          <w:sz w:val="22"/>
        </w:rPr>
        <w:t>, 1995</w:t>
      </w:r>
      <w:r>
        <w:rPr>
          <w:rFonts w:ascii="Times New Roman" w:hAnsi="Times New Roman" w:cs="Times New Roman"/>
          <w:color w:val="auto"/>
          <w:sz w:val="22"/>
          <w:szCs w:val="22"/>
        </w:rPr>
        <w:t xml:space="preserve">; Ponce &amp; Mayer, 2014; </w:t>
      </w:r>
      <w:proofErr w:type="spellStart"/>
      <w:r>
        <w:rPr>
          <w:rFonts w:ascii="Times New Roman" w:hAnsi="Times New Roman" w:cs="Times New Roman"/>
          <w:color w:val="auto"/>
          <w:sz w:val="22"/>
          <w:szCs w:val="22"/>
        </w:rPr>
        <w:t>Scheiter</w:t>
      </w:r>
      <w:proofErr w:type="spellEnd"/>
      <w:r>
        <w:rPr>
          <w:rFonts w:ascii="Times New Roman" w:hAnsi="Times New Roman" w:cs="Times New Roman"/>
          <w:color w:val="auto"/>
          <w:sz w:val="22"/>
          <w:szCs w:val="22"/>
        </w:rPr>
        <w:t xml:space="preserve"> &amp; </w:t>
      </w:r>
      <w:proofErr w:type="spellStart"/>
      <w:r>
        <w:rPr>
          <w:rFonts w:ascii="Times New Roman" w:hAnsi="Times New Roman" w:cs="Times New Roman"/>
          <w:color w:val="auto"/>
          <w:sz w:val="22"/>
          <w:szCs w:val="22"/>
        </w:rPr>
        <w:t>Eitel</w:t>
      </w:r>
      <w:proofErr w:type="spellEnd"/>
      <w:r>
        <w:rPr>
          <w:rFonts w:ascii="Times New Roman" w:hAnsi="Times New Roman" w:cs="Times New Roman"/>
          <w:color w:val="auto"/>
          <w:sz w:val="22"/>
          <w:szCs w:val="22"/>
        </w:rPr>
        <w:t xml:space="preserve">, 2015; </w:t>
      </w:r>
      <w:proofErr w:type="spellStart"/>
      <w:r>
        <w:rPr>
          <w:rFonts w:ascii="Times New Roman" w:hAnsi="Times New Roman" w:cs="Times New Roman"/>
          <w:color w:val="auto"/>
          <w:sz w:val="22"/>
          <w:szCs w:val="22"/>
        </w:rPr>
        <w:t>Yeari</w:t>
      </w:r>
      <w:proofErr w:type="spellEnd"/>
      <w:r>
        <w:rPr>
          <w:rFonts w:ascii="Times New Roman" w:hAnsi="Times New Roman" w:cs="Times New Roman"/>
          <w:color w:val="auto"/>
          <w:sz w:val="22"/>
          <w:szCs w:val="22"/>
        </w:rPr>
        <w:t xml:space="preserve">, </w:t>
      </w:r>
      <w:proofErr w:type="spellStart"/>
      <w:r>
        <w:rPr>
          <w:rFonts w:ascii="Times New Roman" w:hAnsi="Times New Roman" w:cs="Times New Roman"/>
          <w:color w:val="auto"/>
          <w:sz w:val="22"/>
          <w:szCs w:val="22"/>
        </w:rPr>
        <w:t>Oudega</w:t>
      </w:r>
      <w:proofErr w:type="spellEnd"/>
      <w:r>
        <w:rPr>
          <w:rFonts w:ascii="Times New Roman" w:hAnsi="Times New Roman" w:cs="Times New Roman"/>
          <w:color w:val="auto"/>
          <w:sz w:val="22"/>
          <w:szCs w:val="22"/>
        </w:rPr>
        <w:t xml:space="preserve">, &amp; van den </w:t>
      </w:r>
      <w:proofErr w:type="spellStart"/>
      <w:r>
        <w:rPr>
          <w:rFonts w:ascii="Times New Roman" w:hAnsi="Times New Roman" w:cs="Times New Roman"/>
          <w:color w:val="auto"/>
          <w:sz w:val="22"/>
          <w:szCs w:val="22"/>
        </w:rPr>
        <w:t>Broek</w:t>
      </w:r>
      <w:proofErr w:type="spellEnd"/>
      <w:r>
        <w:rPr>
          <w:rFonts w:ascii="Times New Roman" w:hAnsi="Times New Roman" w:cs="Times New Roman"/>
          <w:color w:val="auto"/>
          <w:sz w:val="22"/>
          <w:szCs w:val="22"/>
        </w:rPr>
        <w:t>, 201</w:t>
      </w:r>
      <w:r>
        <w:rPr>
          <w:rFonts w:ascii="Times New Roman" w:eastAsiaTheme="minorEastAsia" w:hAnsi="Times New Roman" w:cs="Times New Roman" w:hint="eastAsia"/>
          <w:color w:val="auto"/>
          <w:sz w:val="22"/>
          <w:szCs w:val="22"/>
        </w:rPr>
        <w:t>7</w:t>
      </w:r>
      <w:r>
        <w:rPr>
          <w:rFonts w:ascii="Times New Roman" w:hAnsi="Times New Roman" w:cs="Times New Roman"/>
          <w:color w:val="auto"/>
          <w:sz w:val="22"/>
          <w:szCs w:val="22"/>
        </w:rPr>
        <w:t xml:space="preserve">). On the other hand, inappropriate signaling, such as highlighting task-irrelevant text </w:t>
      </w:r>
      <w:r>
        <w:rPr>
          <w:rFonts w:ascii="Times New Roman" w:eastAsia="SimSun" w:hAnsi="Times New Roman" w:cs="Times New Roman"/>
          <w:color w:val="auto"/>
          <w:sz w:val="22"/>
          <w:szCs w:val="22"/>
        </w:rPr>
        <w:t>disrupts the reading and recall of text information (</w:t>
      </w:r>
      <w:proofErr w:type="spellStart"/>
      <w:r>
        <w:rPr>
          <w:rFonts w:ascii="Times New Roman" w:eastAsia="SimSun" w:hAnsi="Times New Roman" w:cs="Times New Roman"/>
          <w:color w:val="auto"/>
          <w:sz w:val="22"/>
          <w:szCs w:val="22"/>
        </w:rPr>
        <w:t>Gier</w:t>
      </w:r>
      <w:proofErr w:type="spellEnd"/>
      <w:r>
        <w:rPr>
          <w:rFonts w:ascii="Times New Roman" w:eastAsia="SimSun" w:hAnsi="Times New Roman" w:cs="Times New Roman"/>
          <w:color w:val="auto"/>
          <w:sz w:val="22"/>
          <w:szCs w:val="22"/>
        </w:rPr>
        <w:t xml:space="preserve">, Herring, </w:t>
      </w:r>
      <w:proofErr w:type="spellStart"/>
      <w:r>
        <w:rPr>
          <w:rFonts w:ascii="Times New Roman" w:eastAsia="SimSun" w:hAnsi="Times New Roman" w:cs="Times New Roman"/>
          <w:color w:val="auto"/>
          <w:sz w:val="22"/>
          <w:szCs w:val="22"/>
        </w:rPr>
        <w:t>Hudnell</w:t>
      </w:r>
      <w:proofErr w:type="spellEnd"/>
      <w:r>
        <w:rPr>
          <w:rFonts w:ascii="Times New Roman" w:eastAsia="SimSun" w:hAnsi="Times New Roman" w:cs="Times New Roman"/>
          <w:color w:val="auto"/>
          <w:sz w:val="22"/>
          <w:szCs w:val="22"/>
        </w:rPr>
        <w:t xml:space="preserve">, Montoya, &amp; </w:t>
      </w:r>
      <w:proofErr w:type="spellStart"/>
      <w:r>
        <w:rPr>
          <w:rFonts w:ascii="Times New Roman" w:eastAsia="SimSun" w:hAnsi="Times New Roman" w:cs="Times New Roman"/>
          <w:color w:val="auto"/>
          <w:sz w:val="22"/>
          <w:szCs w:val="22"/>
        </w:rPr>
        <w:t>Kreiner</w:t>
      </w:r>
      <w:proofErr w:type="spellEnd"/>
      <w:r>
        <w:rPr>
          <w:rFonts w:ascii="Times New Roman" w:eastAsia="SimSun" w:hAnsi="Times New Roman" w:cs="Times New Roman"/>
          <w:color w:val="auto"/>
          <w:sz w:val="22"/>
          <w:szCs w:val="22"/>
        </w:rPr>
        <w:t xml:space="preserve">, 2010; </w:t>
      </w:r>
      <w:proofErr w:type="spellStart"/>
      <w:r>
        <w:rPr>
          <w:rFonts w:ascii="Times New Roman" w:eastAsia="SimSun" w:hAnsi="Times New Roman" w:cs="Times New Roman"/>
          <w:color w:val="auto"/>
          <w:sz w:val="22"/>
          <w:szCs w:val="22"/>
        </w:rPr>
        <w:t>Gier</w:t>
      </w:r>
      <w:proofErr w:type="spellEnd"/>
      <w:r>
        <w:rPr>
          <w:rFonts w:ascii="Times New Roman" w:eastAsia="SimSun" w:hAnsi="Times New Roman" w:cs="Times New Roman"/>
          <w:color w:val="auto"/>
          <w:sz w:val="22"/>
          <w:szCs w:val="22"/>
        </w:rPr>
        <w:t xml:space="preserve">, </w:t>
      </w:r>
      <w:proofErr w:type="spellStart"/>
      <w:r>
        <w:rPr>
          <w:rFonts w:ascii="Times New Roman" w:eastAsia="SimSun" w:hAnsi="Times New Roman" w:cs="Times New Roman"/>
          <w:color w:val="auto"/>
          <w:sz w:val="22"/>
          <w:szCs w:val="22"/>
        </w:rPr>
        <w:t>Kreiner</w:t>
      </w:r>
      <w:proofErr w:type="spellEnd"/>
      <w:r>
        <w:rPr>
          <w:rFonts w:ascii="Times New Roman" w:eastAsia="SimSun" w:hAnsi="Times New Roman" w:cs="Times New Roman"/>
          <w:color w:val="auto"/>
          <w:sz w:val="22"/>
          <w:szCs w:val="22"/>
        </w:rPr>
        <w:t xml:space="preserve">, </w:t>
      </w:r>
      <w:proofErr w:type="spellStart"/>
      <w:r>
        <w:rPr>
          <w:rFonts w:ascii="Times New Roman" w:eastAsia="SimSun" w:hAnsi="Times New Roman" w:cs="Times New Roman"/>
          <w:color w:val="auto"/>
          <w:sz w:val="22"/>
          <w:szCs w:val="22"/>
        </w:rPr>
        <w:t>Hudnell</w:t>
      </w:r>
      <w:proofErr w:type="spellEnd"/>
      <w:r>
        <w:rPr>
          <w:rFonts w:ascii="Times New Roman" w:eastAsia="SimSun" w:hAnsi="Times New Roman" w:cs="Times New Roman"/>
          <w:color w:val="auto"/>
          <w:sz w:val="22"/>
          <w:szCs w:val="22"/>
        </w:rPr>
        <w:t xml:space="preserve">, Montoya, &amp; Herring, 2011; </w:t>
      </w:r>
      <w:proofErr w:type="spellStart"/>
      <w:r>
        <w:rPr>
          <w:rFonts w:ascii="Times New Roman" w:eastAsia="SimSun" w:hAnsi="Times New Roman" w:cs="Times New Roman"/>
          <w:color w:val="auto"/>
          <w:sz w:val="22"/>
          <w:szCs w:val="22"/>
        </w:rPr>
        <w:t>Gier</w:t>
      </w:r>
      <w:proofErr w:type="spellEnd"/>
      <w:r>
        <w:rPr>
          <w:rFonts w:ascii="Times New Roman" w:eastAsia="SimSun" w:hAnsi="Times New Roman" w:cs="Times New Roman"/>
          <w:color w:val="auto"/>
          <w:sz w:val="22"/>
          <w:szCs w:val="22"/>
        </w:rPr>
        <w:t xml:space="preserve">, </w:t>
      </w:r>
      <w:proofErr w:type="spellStart"/>
      <w:r>
        <w:rPr>
          <w:rFonts w:ascii="Times New Roman" w:eastAsia="SimSun" w:hAnsi="Times New Roman" w:cs="Times New Roman"/>
          <w:color w:val="auto"/>
          <w:sz w:val="22"/>
          <w:szCs w:val="22"/>
        </w:rPr>
        <w:t>Kreiner</w:t>
      </w:r>
      <w:proofErr w:type="spellEnd"/>
      <w:r>
        <w:rPr>
          <w:rFonts w:ascii="Times New Roman" w:eastAsia="SimSun" w:hAnsi="Times New Roman" w:cs="Times New Roman"/>
          <w:color w:val="auto"/>
          <w:sz w:val="22"/>
          <w:szCs w:val="22"/>
        </w:rPr>
        <w:t xml:space="preserve">, &amp; </w:t>
      </w:r>
      <w:proofErr w:type="spellStart"/>
      <w:r>
        <w:rPr>
          <w:rFonts w:ascii="Times New Roman" w:eastAsia="SimSun" w:hAnsi="Times New Roman" w:cs="Times New Roman"/>
          <w:color w:val="auto"/>
          <w:sz w:val="22"/>
          <w:szCs w:val="22"/>
        </w:rPr>
        <w:t>Natz</w:t>
      </w:r>
      <w:proofErr w:type="spellEnd"/>
      <w:r>
        <w:rPr>
          <w:rFonts w:ascii="Times New Roman" w:eastAsia="SimSun" w:hAnsi="Times New Roman" w:cs="Times New Roman"/>
          <w:color w:val="auto"/>
          <w:sz w:val="22"/>
          <w:szCs w:val="22"/>
        </w:rPr>
        <w:t>-Gonzalez, 2009)</w:t>
      </w:r>
      <w:r>
        <w:rPr>
          <w:rFonts w:ascii="Times New Roman" w:hAnsi="Times New Roman" w:cs="Times New Roman"/>
          <w:color w:val="auto"/>
          <w:sz w:val="22"/>
          <w:szCs w:val="22"/>
        </w:rPr>
        <w:t>. In addition, highlighted structural information improves readers’ representation and memory of text by reducing reading of peripheral information. However, when peripheral information is highlighted, processing and memory of peripheral information are improved without affecting that of structural information (</w:t>
      </w:r>
      <w:proofErr w:type="spellStart"/>
      <w:r>
        <w:rPr>
          <w:rFonts w:ascii="Times New Roman" w:hAnsi="Times New Roman" w:cs="Times New Roman"/>
          <w:color w:val="auto"/>
          <w:sz w:val="22"/>
          <w:szCs w:val="22"/>
        </w:rPr>
        <w:t>Yeari</w:t>
      </w:r>
      <w:proofErr w:type="spellEnd"/>
      <w:r>
        <w:rPr>
          <w:rFonts w:ascii="Times New Roman" w:hAnsi="Times New Roman" w:cs="Times New Roman"/>
          <w:color w:val="auto"/>
          <w:sz w:val="22"/>
          <w:szCs w:val="22"/>
        </w:rPr>
        <w:t xml:space="preserve"> et al., 201</w:t>
      </w:r>
      <w:r>
        <w:rPr>
          <w:rFonts w:ascii="Times New Roman" w:hAnsi="Times New Roman" w:cs="Times New Roman" w:hint="eastAsia"/>
          <w:color w:val="auto"/>
          <w:sz w:val="22"/>
          <w:szCs w:val="22"/>
        </w:rPr>
        <w:t>7</w:t>
      </w:r>
      <w:r>
        <w:rPr>
          <w:rFonts w:ascii="Times New Roman" w:hAnsi="Times New Roman" w:cs="Times New Roman"/>
          <w:color w:val="auto"/>
          <w:sz w:val="22"/>
          <w:szCs w:val="22"/>
        </w:rPr>
        <w:t>).</w:t>
      </w:r>
    </w:p>
    <w:p w:rsidR="004D2580" w:rsidRDefault="0034511E">
      <w:pPr>
        <w:pStyle w:val="A0"/>
        <w:adjustRightInd w:val="0"/>
        <w:snapToGrid w:val="0"/>
        <w:spacing w:after="160" w:line="480" w:lineRule="auto"/>
        <w:rPr>
          <w:rFonts w:ascii="Times New Roman" w:eastAsia="SimSun" w:hAnsi="Times New Roman" w:cs="Times New Roman"/>
          <w:bCs/>
          <w:i/>
          <w:iCs/>
          <w:color w:val="auto"/>
          <w:sz w:val="22"/>
          <w:szCs w:val="22"/>
        </w:rPr>
      </w:pPr>
      <w:r>
        <w:rPr>
          <w:rFonts w:ascii="Times New Roman" w:eastAsia="SimSun" w:hAnsi="Times New Roman" w:cs="Times New Roman"/>
          <w:bCs/>
          <w:i/>
          <w:iCs/>
          <w:color w:val="auto"/>
          <w:sz w:val="22"/>
          <w:szCs w:val="22"/>
        </w:rPr>
        <w:t>1.3. Individual differences in reading</w:t>
      </w:r>
      <w:r>
        <w:rPr>
          <w:rFonts w:ascii="Times New Roman" w:hAnsi="Times New Roman"/>
          <w:i/>
          <w:color w:val="auto"/>
          <w:sz w:val="22"/>
        </w:rPr>
        <w:t xml:space="preserve"> styles</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eastAsia="SimSun" w:hAnsi="Times New Roman" w:cs="Times New Roman"/>
          <w:color w:val="auto"/>
          <w:sz w:val="22"/>
          <w:szCs w:val="22"/>
        </w:rPr>
        <w:t>As argued above</w:t>
      </w:r>
      <w:r>
        <w:rPr>
          <w:rFonts w:ascii="Times New Roman" w:hAnsi="Times New Roman" w:cs="Times New Roman"/>
          <w:color w:val="auto"/>
          <w:sz w:val="22"/>
          <w:szCs w:val="22"/>
        </w:rPr>
        <w:t>,</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 xml:space="preserve">when reading multiple-topic expository texts, it is important for readers to use the topic structure of the text to construct a coherent mental representation of </w:t>
      </w:r>
      <w:r>
        <w:rPr>
          <w:rFonts w:ascii="Times New Roman" w:hAnsi="Times New Roman" w:cs="Times New Roman"/>
          <w:color w:val="auto"/>
          <w:sz w:val="22"/>
          <w:szCs w:val="22"/>
        </w:rPr>
        <w:lastRenderedPageBreak/>
        <w:t xml:space="preserve">text’s core contents. However, several studies have demonstrated that readers differ in their reading </w:t>
      </w:r>
      <w:r>
        <w:rPr>
          <w:rFonts w:ascii="Times New Roman" w:hAnsi="Times New Roman"/>
          <w:color w:val="auto"/>
          <w:sz w:val="22"/>
        </w:rPr>
        <w:t xml:space="preserve">styles </w:t>
      </w:r>
      <w:r>
        <w:rPr>
          <w:rFonts w:ascii="Times New Roman" w:hAnsi="Times New Roman" w:cs="Times New Roman"/>
          <w:color w:val="auto"/>
          <w:sz w:val="22"/>
          <w:szCs w:val="22"/>
        </w:rPr>
        <w:t xml:space="preserve">(Goldman &amp; Saul, 1990; Hyönä et al., 2002; Hyönä &amp; Nurminen, 2006; </w:t>
      </w:r>
      <w:r>
        <w:rPr>
          <w:rFonts w:ascii="Times New Roman" w:eastAsia="SimSun" w:hAnsi="Times New Roman" w:cs="Times New Roman"/>
          <w:color w:val="auto"/>
          <w:sz w:val="22"/>
          <w:szCs w:val="22"/>
        </w:rPr>
        <w:t>Meyer, Brandt, &amp; Bluth, 1980</w:t>
      </w:r>
      <w:r>
        <w:rPr>
          <w:rFonts w:ascii="Times New Roman" w:hAnsi="Times New Roman" w:cs="Times New Roman"/>
          <w:color w:val="auto"/>
          <w:sz w:val="22"/>
          <w:szCs w:val="22"/>
        </w:rPr>
        <w:t xml:space="preserve">). For example, Meyer et al. (1980) asked readers to read an expository text to write down anything they could recall from the text. Based on these free recalls collected after reading, they </w:t>
      </w:r>
      <w:r>
        <w:rPr>
          <w:rFonts w:ascii="Times New Roman" w:hAnsi="Times New Roman"/>
          <w:color w:val="auto"/>
          <w:sz w:val="22"/>
        </w:rPr>
        <w:t>found that some of the r</w:t>
      </w:r>
      <w:r>
        <w:rPr>
          <w:rFonts w:ascii="Times New Roman" w:eastAsia="SimSun" w:hAnsi="Times New Roman" w:cs="Times New Roman"/>
          <w:color w:val="auto"/>
          <w:sz w:val="22"/>
          <w:szCs w:val="22"/>
        </w:rPr>
        <w:t xml:space="preserve">eaders </w:t>
      </w:r>
      <w:r>
        <w:rPr>
          <w:rFonts w:ascii="Times New Roman" w:hAnsi="Times New Roman" w:cs="Times New Roman"/>
          <w:color w:val="auto"/>
          <w:sz w:val="22"/>
        </w:rPr>
        <w:t>could</w:t>
      </w:r>
      <w:r>
        <w:rPr>
          <w:rFonts w:ascii="Times New Roman" w:hAnsi="Times New Roman"/>
          <w:color w:val="auto"/>
          <w:sz w:val="22"/>
        </w:rPr>
        <w:t xml:space="preserve"> follow</w:t>
      </w:r>
      <w:r>
        <w:rPr>
          <w:rFonts w:ascii="Times New Roman" w:hAnsi="Times New Roman" w:cs="Times New Roman"/>
          <w:color w:val="auto"/>
          <w:sz w:val="22"/>
        </w:rPr>
        <w:t xml:space="preserve"> the text’s structure and focus on the text’s main message,</w:t>
      </w:r>
      <w:r>
        <w:rPr>
          <w:rFonts w:ascii="Times New Roman" w:hAnsi="Times New Roman"/>
          <w:color w:val="auto"/>
          <w:sz w:val="22"/>
        </w:rPr>
        <w:t xml:space="preserve"> while the others</w:t>
      </w:r>
      <w:r>
        <w:rPr>
          <w:rFonts w:ascii="Times New Roman" w:hAnsi="Times New Roman" w:cs="Times New Roman"/>
          <w:color w:val="auto"/>
          <w:sz w:val="22"/>
        </w:rPr>
        <w:t xml:space="preserve"> encoded the text as a list of facts and simply tried to remember detailed facts </w:t>
      </w:r>
      <w:r>
        <w:rPr>
          <w:rFonts w:ascii="Times New Roman" w:eastAsia="SimSun" w:hAnsi="Times New Roman" w:cs="Times New Roman"/>
          <w:color w:val="auto"/>
          <w:sz w:val="22"/>
          <w:szCs w:val="22"/>
        </w:rPr>
        <w:t>from the text</w:t>
      </w:r>
      <w:r>
        <w:rPr>
          <w:rFonts w:ascii="Times New Roman" w:hAnsi="Times New Roman" w:cs="Times New Roman"/>
          <w:color w:val="auto"/>
          <w:sz w:val="22"/>
          <w:szCs w:val="22"/>
        </w:rPr>
        <w:t xml:space="preserve">. </w:t>
      </w:r>
      <w:r>
        <w:rPr>
          <w:rFonts w:ascii="Times New Roman" w:eastAsia="SimSun" w:hAnsi="Times New Roman" w:cs="Times New Roman"/>
          <w:color w:val="auto"/>
          <w:kern w:val="0"/>
          <w:sz w:val="22"/>
          <w:szCs w:val="22"/>
          <w:lang w:val="en-GB" w:eastAsia="en-US"/>
        </w:rPr>
        <w:t>Goldman and Saul (1990)</w:t>
      </w:r>
      <w:r>
        <w:rPr>
          <w:rFonts w:ascii="Times New Roman" w:hAnsi="Times New Roman" w:cs="Times New Roman"/>
          <w:color w:val="auto"/>
          <w:sz w:val="22"/>
          <w:szCs w:val="22"/>
        </w:rPr>
        <w:t xml:space="preserve"> studied individual reading </w:t>
      </w:r>
      <w:r>
        <w:rPr>
          <w:rFonts w:ascii="Times New Roman" w:hAnsi="Times New Roman"/>
          <w:color w:val="auto"/>
          <w:sz w:val="22"/>
        </w:rPr>
        <w:t xml:space="preserve">styles </w:t>
      </w:r>
      <w:r>
        <w:rPr>
          <w:rFonts w:ascii="Times New Roman" w:hAnsi="Times New Roman" w:cs="Times New Roman"/>
          <w:color w:val="auto"/>
          <w:sz w:val="22"/>
          <w:szCs w:val="22"/>
        </w:rPr>
        <w:t>by recording</w:t>
      </w:r>
      <w:r>
        <w:rPr>
          <w:rFonts w:ascii="Times New Roman" w:eastAsia="SimSun" w:hAnsi="Times New Roman" w:cs="Times New Roman"/>
          <w:color w:val="auto"/>
          <w:sz w:val="22"/>
          <w:szCs w:val="22"/>
        </w:rPr>
        <w:t xml:space="preserve"> traces of online reading behavior. They observed</w:t>
      </w:r>
      <w:r>
        <w:rPr>
          <w:rFonts w:ascii="Times New Roman" w:hAnsi="Times New Roman" w:cs="Times New Roman"/>
          <w:color w:val="auto"/>
          <w:sz w:val="22"/>
          <w:szCs w:val="22"/>
        </w:rPr>
        <w:t xml:space="preserve"> three different patterns of reading: once-through, review, and regress strategies. </w:t>
      </w:r>
      <w:r>
        <w:rPr>
          <w:rFonts w:ascii="Times New Roman" w:hAnsi="Times New Roman"/>
          <w:color w:val="auto"/>
          <w:sz w:val="22"/>
        </w:rPr>
        <w:t>R</w:t>
      </w:r>
      <w:r>
        <w:rPr>
          <w:rFonts w:ascii="Times New Roman" w:eastAsia="SimSun" w:hAnsi="Times New Roman" w:cs="Times New Roman"/>
          <w:color w:val="auto"/>
          <w:sz w:val="22"/>
          <w:szCs w:val="22"/>
        </w:rPr>
        <w:t>eaders</w:t>
      </w:r>
      <w:r>
        <w:rPr>
          <w:rFonts w:ascii="Times New Roman" w:hAnsi="Times New Roman" w:cs="Times New Roman"/>
          <w:color w:val="auto"/>
          <w:sz w:val="22"/>
          <w:szCs w:val="22"/>
        </w:rPr>
        <w:t xml:space="preserve"> </w:t>
      </w:r>
      <w:r>
        <w:rPr>
          <w:rFonts w:ascii="Times New Roman" w:hAnsi="Times New Roman"/>
          <w:color w:val="auto"/>
          <w:sz w:val="22"/>
        </w:rPr>
        <w:t xml:space="preserve">adopting the once-through reading style </w:t>
      </w:r>
      <w:r>
        <w:rPr>
          <w:rFonts w:ascii="Times New Roman" w:hAnsi="Times New Roman" w:cs="Times New Roman"/>
          <w:color w:val="auto"/>
          <w:sz w:val="22"/>
          <w:szCs w:val="22"/>
        </w:rPr>
        <w:t xml:space="preserve">read the </w:t>
      </w:r>
      <w:r>
        <w:rPr>
          <w:rFonts w:ascii="Times New Roman" w:eastAsia="SimSun" w:hAnsi="Times New Roman" w:cs="Times New Roman"/>
          <w:color w:val="auto"/>
          <w:sz w:val="22"/>
          <w:szCs w:val="22"/>
        </w:rPr>
        <w:t>texts</w:t>
      </w:r>
      <w:r>
        <w:rPr>
          <w:rFonts w:ascii="Times New Roman" w:hAnsi="Times New Roman" w:cs="Times New Roman"/>
          <w:color w:val="auto"/>
          <w:sz w:val="22"/>
          <w:szCs w:val="22"/>
        </w:rPr>
        <w:t xml:space="preserve"> straight through</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to</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the</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end without re</w:t>
      </w:r>
      <w:r>
        <w:rPr>
          <w:rFonts w:ascii="Times New Roman" w:eastAsia="SimSun" w:hAnsi="Times New Roman" w:cs="Times New Roman"/>
          <w:color w:val="auto"/>
          <w:sz w:val="22"/>
          <w:szCs w:val="22"/>
        </w:rPr>
        <w:t>reading</w:t>
      </w:r>
      <w:r>
        <w:rPr>
          <w:rFonts w:ascii="Times New Roman" w:hAnsi="Times New Roman" w:cs="Times New Roman"/>
          <w:color w:val="auto"/>
          <w:sz w:val="22"/>
          <w:szCs w:val="22"/>
        </w:rPr>
        <w:t xml:space="preserve">. </w:t>
      </w:r>
      <w:r>
        <w:rPr>
          <w:rFonts w:ascii="Times New Roman" w:hAnsi="Times New Roman"/>
          <w:color w:val="auto"/>
          <w:sz w:val="22"/>
        </w:rPr>
        <w:t xml:space="preserve">Using </w:t>
      </w:r>
      <w:r>
        <w:rPr>
          <w:rFonts w:ascii="Times New Roman" w:hAnsi="Times New Roman" w:cs="Times New Roman"/>
          <w:color w:val="auto"/>
          <w:sz w:val="22"/>
          <w:szCs w:val="22"/>
        </w:rPr>
        <w:t xml:space="preserve">the review </w:t>
      </w:r>
      <w:r>
        <w:rPr>
          <w:rFonts w:ascii="Times New Roman" w:hAnsi="Times New Roman"/>
          <w:color w:val="auto"/>
          <w:sz w:val="22"/>
        </w:rPr>
        <w:t>style</w:t>
      </w:r>
      <w:r>
        <w:rPr>
          <w:rFonts w:ascii="Times New Roman" w:hAnsi="Times New Roman" w:cs="Times New Roman"/>
          <w:color w:val="auto"/>
          <w:sz w:val="22"/>
          <w:szCs w:val="22"/>
        </w:rPr>
        <w:t xml:space="preserve">, readers selectively </w:t>
      </w:r>
      <w:r>
        <w:rPr>
          <w:rFonts w:ascii="Times New Roman" w:eastAsia="SimSun" w:hAnsi="Times New Roman" w:cs="Times New Roman"/>
          <w:color w:val="auto"/>
          <w:kern w:val="0"/>
          <w:sz w:val="22"/>
          <w:szCs w:val="22"/>
          <w:lang w:eastAsia="en-US"/>
        </w:rPr>
        <w:t>reread parts of the text information after reaching the end of the text for the first time</w:t>
      </w:r>
      <w:r>
        <w:rPr>
          <w:rFonts w:ascii="Times New Roman" w:hAnsi="Times New Roman" w:cs="Times New Roman"/>
          <w:color w:val="auto"/>
          <w:sz w:val="22"/>
          <w:szCs w:val="22"/>
        </w:rPr>
        <w:t xml:space="preserve">. </w:t>
      </w:r>
      <w:r>
        <w:rPr>
          <w:rFonts w:ascii="Times New Roman" w:hAnsi="Times New Roman"/>
          <w:color w:val="auto"/>
          <w:sz w:val="22"/>
        </w:rPr>
        <w:t>With</w:t>
      </w:r>
      <w:r>
        <w:rPr>
          <w:rFonts w:ascii="Times New Roman" w:hAnsi="Times New Roman" w:cs="Times New Roman"/>
          <w:color w:val="auto"/>
          <w:sz w:val="22"/>
          <w:szCs w:val="22"/>
        </w:rPr>
        <w:t xml:space="preserve"> the regress</w:t>
      </w:r>
      <w:r>
        <w:rPr>
          <w:rFonts w:ascii="Times New Roman" w:eastAsia="SimSun" w:hAnsi="Times New Roman" w:cs="Times New Roman"/>
          <w:color w:val="auto"/>
          <w:sz w:val="22"/>
          <w:szCs w:val="22"/>
        </w:rPr>
        <w:t xml:space="preserve"> </w:t>
      </w:r>
      <w:r>
        <w:rPr>
          <w:rFonts w:ascii="Times New Roman" w:hAnsi="Times New Roman"/>
          <w:color w:val="auto"/>
          <w:sz w:val="22"/>
        </w:rPr>
        <w:t>style</w:t>
      </w:r>
      <w:r>
        <w:rPr>
          <w:rFonts w:ascii="Times New Roman" w:eastAsia="SimSun" w:hAnsi="Times New Roman" w:cs="Times New Roman"/>
          <w:color w:val="auto"/>
          <w:sz w:val="22"/>
          <w:szCs w:val="22"/>
        </w:rPr>
        <w:t xml:space="preserve">, readers </w:t>
      </w:r>
      <w:r>
        <w:rPr>
          <w:rFonts w:ascii="Times New Roman" w:hAnsi="Times New Roman" w:cs="Times New Roman"/>
          <w:color w:val="auto"/>
          <w:sz w:val="22"/>
          <w:szCs w:val="22"/>
        </w:rPr>
        <w:t>selectively re</w:t>
      </w:r>
      <w:r>
        <w:rPr>
          <w:rFonts w:ascii="Times New Roman" w:eastAsia="SimSun" w:hAnsi="Times New Roman" w:cs="Times New Roman"/>
          <w:color w:val="auto"/>
          <w:sz w:val="22"/>
          <w:szCs w:val="22"/>
        </w:rPr>
        <w:t xml:space="preserve">read parts of the text information both prior to and after </w:t>
      </w:r>
      <w:r>
        <w:rPr>
          <w:rFonts w:ascii="Times New Roman" w:hAnsi="Times New Roman" w:cs="Times New Roman"/>
          <w:color w:val="auto"/>
          <w:sz w:val="22"/>
          <w:szCs w:val="22"/>
        </w:rPr>
        <w:t xml:space="preserve">reaching the end of the text. Goldman and Saul argue that readers who adopted the last two reading </w:t>
      </w:r>
      <w:r>
        <w:rPr>
          <w:rFonts w:ascii="Times New Roman" w:hAnsi="Times New Roman"/>
          <w:color w:val="auto"/>
          <w:sz w:val="22"/>
        </w:rPr>
        <w:t>styles</w:t>
      </w:r>
      <w:r>
        <w:rPr>
          <w:rFonts w:ascii="Times New Roman" w:hAnsi="Times New Roman" w:cs="Times New Roman"/>
          <w:color w:val="auto"/>
          <w:sz w:val="22"/>
          <w:szCs w:val="22"/>
        </w:rPr>
        <w:t xml:space="preserve"> </w:t>
      </w:r>
      <w:r>
        <w:rPr>
          <w:rFonts w:ascii="Times New Roman" w:eastAsia="SimSun" w:hAnsi="Times New Roman" w:cs="Times New Roman"/>
          <w:color w:val="auto"/>
          <w:sz w:val="22"/>
          <w:szCs w:val="22"/>
        </w:rPr>
        <w:t>read the text more flexibly, but they found n</w:t>
      </w:r>
      <w:r>
        <w:rPr>
          <w:rFonts w:ascii="Times New Roman" w:hAnsi="Times New Roman" w:cs="Times New Roman"/>
          <w:color w:val="auto"/>
          <w:sz w:val="22"/>
          <w:szCs w:val="22"/>
        </w:rPr>
        <w:t xml:space="preserve">o difference in </w:t>
      </w:r>
      <w:r>
        <w:rPr>
          <w:rFonts w:ascii="Times New Roman" w:eastAsia="SimSun" w:hAnsi="Times New Roman" w:cs="Times New Roman"/>
          <w:color w:val="auto"/>
          <w:sz w:val="22"/>
          <w:szCs w:val="22"/>
        </w:rPr>
        <w:t xml:space="preserve">recall </w:t>
      </w:r>
      <w:r>
        <w:rPr>
          <w:rFonts w:ascii="Times New Roman" w:hAnsi="Times New Roman" w:cs="Times New Roman"/>
          <w:color w:val="auto"/>
          <w:sz w:val="22"/>
          <w:szCs w:val="22"/>
        </w:rPr>
        <w:t>performance among the</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three groups</w:t>
      </w:r>
      <w:r>
        <w:rPr>
          <w:rFonts w:ascii="Times New Roman" w:eastAsia="SimSun" w:hAnsi="Times New Roman" w:cs="Times New Roman"/>
          <w:color w:val="auto"/>
          <w:sz w:val="22"/>
          <w:szCs w:val="22"/>
        </w:rPr>
        <w:t>.</w:t>
      </w:r>
      <w:bookmarkStart w:id="45" w:name="OLE_LINK130"/>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eastAsia="SimSun" w:hAnsi="Times New Roman" w:cs="Times New Roman"/>
          <w:color w:val="auto"/>
          <w:sz w:val="22"/>
          <w:szCs w:val="22"/>
        </w:rPr>
        <w:t xml:space="preserve">Most importantly for the present study, </w:t>
      </w:r>
      <w:bookmarkEnd w:id="45"/>
      <w:r>
        <w:rPr>
          <w:rFonts w:ascii="Times New Roman" w:hAnsi="Times New Roman" w:cs="Times New Roman"/>
          <w:color w:val="auto"/>
          <w:sz w:val="22"/>
          <w:szCs w:val="22"/>
        </w:rPr>
        <w:t>Hyönä et al. (2002)</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 xml:space="preserve">examined individual </w:t>
      </w:r>
      <w:r>
        <w:rPr>
          <w:rFonts w:ascii="Times New Roman" w:eastAsia="SimSun" w:hAnsi="Times New Roman" w:cs="Times New Roman"/>
          <w:color w:val="auto"/>
          <w:sz w:val="22"/>
          <w:szCs w:val="22"/>
        </w:rPr>
        <w:t>differences in</w:t>
      </w:r>
      <w:r>
        <w:rPr>
          <w:rFonts w:ascii="Times New Roman" w:hAnsi="Times New Roman" w:cs="Times New Roman"/>
          <w:color w:val="auto"/>
          <w:sz w:val="22"/>
          <w:szCs w:val="22"/>
        </w:rPr>
        <w:t xml:space="preserve"> reading </w:t>
      </w:r>
      <w:r>
        <w:rPr>
          <w:rFonts w:ascii="Times New Roman" w:hAnsi="Times New Roman"/>
          <w:color w:val="auto"/>
          <w:sz w:val="22"/>
        </w:rPr>
        <w:t xml:space="preserve">styles </w:t>
      </w:r>
      <w:r>
        <w:rPr>
          <w:rFonts w:ascii="Times New Roman" w:hAnsi="Times New Roman" w:cs="Times New Roman"/>
          <w:color w:val="auto"/>
          <w:sz w:val="22"/>
          <w:szCs w:val="22"/>
        </w:rPr>
        <w:t xml:space="preserve">among competent adult readers (university students) </w:t>
      </w:r>
      <w:r>
        <w:rPr>
          <w:rFonts w:ascii="Times New Roman" w:eastAsia="SimSun" w:hAnsi="Times New Roman" w:cs="Times New Roman"/>
          <w:color w:val="auto"/>
          <w:sz w:val="22"/>
          <w:szCs w:val="22"/>
        </w:rPr>
        <w:t>using the</w:t>
      </w:r>
      <w:r>
        <w:rPr>
          <w:rFonts w:ascii="Times New Roman" w:hAnsi="Times New Roman" w:cs="Times New Roman"/>
          <w:color w:val="auto"/>
          <w:sz w:val="22"/>
          <w:szCs w:val="22"/>
        </w:rPr>
        <w:t xml:space="preserve"> eye-tracking</w:t>
      </w:r>
      <w:r>
        <w:rPr>
          <w:rFonts w:ascii="Times New Roman" w:eastAsia="SimSun" w:hAnsi="Times New Roman" w:cs="Times New Roman"/>
          <w:color w:val="auto"/>
          <w:sz w:val="22"/>
          <w:szCs w:val="22"/>
        </w:rPr>
        <w:t xml:space="preserve"> methodology</w:t>
      </w:r>
      <w:r>
        <w:rPr>
          <w:rFonts w:ascii="Times New Roman" w:hAnsi="Times New Roman" w:cs="Times New Roman"/>
          <w:color w:val="auto"/>
          <w:sz w:val="22"/>
          <w:szCs w:val="22"/>
        </w:rPr>
        <w:t xml:space="preserve">. They were interested in characterizing different ways multiple-topic expository texts are read and the consequences of the adopted </w:t>
      </w:r>
      <w:r>
        <w:rPr>
          <w:rFonts w:ascii="Times New Roman" w:hAnsi="Times New Roman"/>
          <w:color w:val="auto"/>
          <w:sz w:val="22"/>
        </w:rPr>
        <w:t xml:space="preserve">style </w:t>
      </w:r>
      <w:r>
        <w:rPr>
          <w:rFonts w:ascii="Times New Roman" w:hAnsi="Times New Roman" w:cs="Times New Roman"/>
          <w:color w:val="auto"/>
          <w:sz w:val="22"/>
          <w:szCs w:val="22"/>
        </w:rPr>
        <w:t xml:space="preserve">to the constructed mental representation of the text. Readers’ eye fixation patterns were recorded while they read two multiple-topic expository texts for the purpose of summarizing the main ideas of the text. Using the cluster analysis, Hyönä et al. (2002) distinguished four groups of readers: fast linear readers (FLRs), slow linear readers (SLRs), nonselective reviewers (NSRs) and topic structure processors (TSPs). FLRs and SLRs read each text linearly without looking back to previous sentences. SLRs were distinguished from FLRs by frequently rereading parts of each sentence prior to moving to the next. Unlike linear readers, NSRs and TSPs frequently looked back to previous sentences after the first-pass reading. TSPs differed from NSRs by </w:t>
      </w:r>
      <w:r>
        <w:rPr>
          <w:rFonts w:ascii="Times New Roman" w:hAnsi="Times New Roman" w:cs="Times New Roman"/>
          <w:color w:val="auto"/>
          <w:sz w:val="22"/>
          <w:szCs w:val="22"/>
        </w:rPr>
        <w:lastRenderedPageBreak/>
        <w:t xml:space="preserve">paying close attention to the topic structure (topic sentences and topic headings) during the first- and second-pass reading, while NSRs extensively and non-selectively reread previous parts of the text. Among the four types of readers, TSPs had the highest working memory capacity and they were also the most efficient readers among the four groups, as reflected by their superior performance in summarizing the main text contents. Hyönä and Nurminen (2006) re-established the reading </w:t>
      </w:r>
      <w:r>
        <w:rPr>
          <w:rFonts w:ascii="Times New Roman" w:hAnsi="Times New Roman"/>
          <w:color w:val="auto"/>
          <w:sz w:val="22"/>
        </w:rPr>
        <w:t xml:space="preserve">styles </w:t>
      </w:r>
      <w:r>
        <w:rPr>
          <w:rFonts w:ascii="Times New Roman" w:hAnsi="Times New Roman" w:cs="Times New Roman"/>
          <w:color w:val="auto"/>
          <w:sz w:val="22"/>
          <w:szCs w:val="22"/>
        </w:rPr>
        <w:t>of TSPs, FLRs and SLRs using another sample of competent adult readers. Using a self-report questionnaire</w:t>
      </w:r>
      <w:r>
        <w:rPr>
          <w:rFonts w:ascii="Times New Roman" w:eastAsiaTheme="minorEastAsia" w:hAnsi="Times New Roman" w:cs="Times New Roman"/>
          <w:color w:val="auto"/>
          <w:sz w:val="22"/>
          <w:szCs w:val="22"/>
        </w:rPr>
        <w:t>,</w:t>
      </w:r>
      <w:r>
        <w:rPr>
          <w:rFonts w:ascii="Times New Roman" w:hAnsi="Times New Roman" w:cs="Times New Roman"/>
          <w:color w:val="auto"/>
          <w:sz w:val="22"/>
          <w:szCs w:val="22"/>
        </w:rPr>
        <w:t xml:space="preserve"> they also found that readers are to some degree aware of the</w:t>
      </w:r>
      <w:r>
        <w:rPr>
          <w:rFonts w:ascii="Times New Roman" w:hAnsi="Times New Roman"/>
          <w:color w:val="auto"/>
          <w:sz w:val="22"/>
        </w:rPr>
        <w:t>ir</w:t>
      </w:r>
      <w:r>
        <w:rPr>
          <w:rFonts w:ascii="Times New Roman" w:hAnsi="Times New Roman" w:cs="Times New Roman"/>
          <w:color w:val="auto"/>
          <w:sz w:val="22"/>
          <w:szCs w:val="22"/>
        </w:rPr>
        <w:t xml:space="preserve"> reading sty</w:t>
      </w:r>
      <w:r>
        <w:rPr>
          <w:rFonts w:ascii="Times New Roman" w:hAnsi="Times New Roman"/>
          <w:color w:val="auto"/>
          <w:sz w:val="22"/>
        </w:rPr>
        <w:t>le</w:t>
      </w:r>
      <w:r>
        <w:rPr>
          <w:rFonts w:ascii="Times New Roman" w:hAnsi="Times New Roman" w:cs="Times New Roman"/>
          <w:color w:val="auto"/>
          <w:sz w:val="22"/>
          <w:szCs w:val="22"/>
        </w:rPr>
        <w:t xml:space="preserve">, as reflected in their eye behavior. </w:t>
      </w:r>
    </w:p>
    <w:p w:rsidR="004D2580" w:rsidRDefault="0034511E">
      <w:pPr>
        <w:pStyle w:val="A0"/>
        <w:adjustRightInd w:val="0"/>
        <w:snapToGrid w:val="0"/>
        <w:spacing w:after="160" w:line="480" w:lineRule="auto"/>
        <w:rPr>
          <w:rFonts w:ascii="Times New Roman" w:eastAsia="SimSun" w:hAnsi="Times New Roman" w:cs="Times New Roman"/>
          <w:bCs/>
          <w:i/>
          <w:iCs/>
          <w:color w:val="auto"/>
          <w:sz w:val="22"/>
          <w:szCs w:val="22"/>
        </w:rPr>
      </w:pPr>
      <w:bookmarkStart w:id="46" w:name="OLE_LINK109"/>
      <w:bookmarkStart w:id="47" w:name="OLE_LINK111"/>
      <w:bookmarkEnd w:id="41"/>
      <w:bookmarkEnd w:id="42"/>
      <w:r>
        <w:rPr>
          <w:rFonts w:ascii="Times New Roman" w:eastAsia="SimSun" w:hAnsi="Times New Roman" w:cs="Times New Roman"/>
          <w:bCs/>
          <w:i/>
          <w:iCs/>
          <w:color w:val="auto"/>
          <w:sz w:val="22"/>
          <w:szCs w:val="22"/>
        </w:rPr>
        <w:t>1.4. The present study</w:t>
      </w:r>
    </w:p>
    <w:bookmarkEnd w:id="46"/>
    <w:bookmarkEnd w:id="47"/>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 xml:space="preserve"> The present study builds on the study of Hyönä et al. (2002) in that (a) eye-tracking combined with cluster analysis was used to identify different reading </w:t>
      </w:r>
      <w:r>
        <w:rPr>
          <w:rFonts w:ascii="Times New Roman" w:hAnsi="Times New Roman"/>
          <w:color w:val="auto"/>
          <w:sz w:val="22"/>
        </w:rPr>
        <w:t xml:space="preserve">styles </w:t>
      </w:r>
      <w:r>
        <w:rPr>
          <w:rFonts w:ascii="Times New Roman" w:hAnsi="Times New Roman" w:cs="Times New Roman"/>
          <w:color w:val="auto"/>
          <w:sz w:val="22"/>
          <w:szCs w:val="22"/>
        </w:rPr>
        <w:t xml:space="preserve">among adult readers and (b) reading of long, multi-topic expository texts was studied. One of its aims was to test whether the reading </w:t>
      </w:r>
      <w:r>
        <w:rPr>
          <w:rFonts w:ascii="Times New Roman" w:hAnsi="Times New Roman"/>
          <w:color w:val="auto"/>
          <w:sz w:val="22"/>
        </w:rPr>
        <w:t>styles</w:t>
      </w:r>
      <w:r>
        <w:rPr>
          <w:rFonts w:ascii="Times New Roman" w:hAnsi="Times New Roman" w:cs="Times New Roman"/>
          <w:color w:val="auto"/>
          <w:sz w:val="22"/>
          <w:szCs w:val="22"/>
        </w:rPr>
        <w:t xml:space="preserve"> identified by Hyönä et al. can be re-established with another sample of adult readers from a different educational culture (China). The study of Hyönä et al. was conducted with a sample of Finnish university students. As the Finnish teenage students are at the world-top in reading comprehension (Pisa = Program for International Student Achievement, OECD), it is not at all self-evident that the reading strategies observed by Hyönä et al. would necessarily generalize to other adult reader populations. </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 xml:space="preserve">The more newsworthy aspect of the present study is that it investigated individual differences in responding to task instructions and signaling of the text’s topic structure. </w:t>
      </w:r>
      <w:r>
        <w:rPr>
          <w:rFonts w:ascii="Times New Roman" w:eastAsia="SimSun" w:hAnsi="Times New Roman" w:cs="Times New Roman"/>
          <w:color w:val="auto"/>
          <w:sz w:val="22"/>
          <w:szCs w:val="22"/>
        </w:rPr>
        <w:t xml:space="preserve">In Experiment 1, </w:t>
      </w:r>
      <w:r>
        <w:rPr>
          <w:rFonts w:ascii="Times New Roman" w:hAnsi="Times New Roman" w:cs="Times New Roman"/>
          <w:color w:val="auto"/>
          <w:sz w:val="22"/>
          <w:szCs w:val="22"/>
        </w:rPr>
        <w:t>readers read two expository texts guided either by a summary task or a verification task.</w:t>
      </w:r>
      <w:r>
        <w:rPr>
          <w:rFonts w:ascii="Times New Roman" w:eastAsia="SimSun" w:hAnsi="Times New Roman" w:cs="Times New Roman"/>
          <w:color w:val="auto"/>
          <w:sz w:val="22"/>
          <w:szCs w:val="22"/>
        </w:rPr>
        <w:t xml:space="preserve"> In the summary task, they were instructed to read the texts to write down the main ideas mentioned in the texts. In the verification task, readers were instructed to read the texts to respond (true or false) to 12 verification statements. In Experiment 2, readers read two long </w:t>
      </w:r>
      <w:r>
        <w:rPr>
          <w:rFonts w:ascii="Times New Roman" w:hAnsi="Times New Roman" w:cs="Times New Roman"/>
          <w:color w:val="auto"/>
          <w:sz w:val="22"/>
          <w:szCs w:val="22"/>
        </w:rPr>
        <w:t xml:space="preserve">expository </w:t>
      </w:r>
      <w:r>
        <w:rPr>
          <w:rFonts w:ascii="Times New Roman" w:eastAsia="SimSun" w:hAnsi="Times New Roman" w:cs="Times New Roman"/>
          <w:color w:val="auto"/>
          <w:sz w:val="22"/>
          <w:szCs w:val="22"/>
        </w:rPr>
        <w:t>texts with the topic sentences either signaled with underlining or without any signaling. In Experiment 2, reading was done in preparation for summarizing the main ideas of the texts.</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lastRenderedPageBreak/>
        <w:t xml:space="preserve">With respect to Experiment 1 on the effects of task instructions, the following predictions were made. First, if we are to replicate the results of </w:t>
      </w:r>
      <w:r>
        <w:rPr>
          <w:rFonts w:ascii="Times New Roman" w:hAnsi="Times New Roman"/>
          <w:color w:val="auto"/>
          <w:sz w:val="22"/>
        </w:rPr>
        <w:t>Lorch</w:t>
      </w:r>
      <w:r>
        <w:rPr>
          <w:rFonts w:ascii="Times New Roman" w:hAnsi="Times New Roman" w:cs="Times New Roman"/>
          <w:color w:val="auto"/>
          <w:sz w:val="22"/>
          <w:szCs w:val="22"/>
        </w:rPr>
        <w:t xml:space="preserve"> et al. (1987), readers should pay more attention to topic sentences with the summary instructions than with the verification instructions. This is because the summary task encourages readers to identify topic sentences to formulate a topic structure representation of the text</w:t>
      </w:r>
      <w:r>
        <w:rPr>
          <w:rFonts w:ascii="Times New Roman" w:eastAsia="SimSun" w:hAnsi="Times New Roman" w:cs="Times New Roman"/>
          <w:color w:val="auto"/>
          <w:sz w:val="22"/>
          <w:szCs w:val="22"/>
        </w:rPr>
        <w:t xml:space="preserve">. In comparison, the verification task encourages readers to devote more attention to detailed information to respond to the verification statements. Second, readers are likely to write poorer summaries of the main text contents when reading the texts with verification than summary instructions. These results would demonstrate adult readers’ ability to adjust their reading behavior in response to task demands. With respect to the individual reading </w:t>
      </w:r>
      <w:r>
        <w:rPr>
          <w:rFonts w:ascii="Times New Roman" w:hAnsi="Times New Roman"/>
          <w:color w:val="auto"/>
          <w:sz w:val="22"/>
        </w:rPr>
        <w:t>styles</w:t>
      </w:r>
      <w:r>
        <w:rPr>
          <w:rFonts w:ascii="Times New Roman" w:eastAsia="SimSun" w:hAnsi="Times New Roman" w:cs="Times New Roman"/>
          <w:color w:val="auto"/>
          <w:sz w:val="22"/>
          <w:szCs w:val="22"/>
        </w:rPr>
        <w:t xml:space="preserve"> identified by Hyönä et al. (2002), structure process</w:t>
      </w:r>
      <w:r>
        <w:rPr>
          <w:rFonts w:ascii="Times New Roman" w:hAnsi="Times New Roman"/>
          <w:color w:val="auto"/>
          <w:sz w:val="22"/>
        </w:rPr>
        <w:t>ors</w:t>
      </w:r>
      <w:r>
        <w:rPr>
          <w:rFonts w:ascii="Times New Roman" w:eastAsia="SimSun" w:hAnsi="Times New Roman" w:cs="Times New Roman"/>
          <w:color w:val="auto"/>
          <w:sz w:val="22"/>
          <w:szCs w:val="22"/>
        </w:rPr>
        <w:t xml:space="preserve"> should emerge in the summary task but not necessarily in the verification task. Moreover, in the summary task, topic structure processors (if identified) should demonstrate most pervasive task effects.</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eastAsia="SimSun" w:hAnsi="Times New Roman" w:cs="Times New Roman"/>
          <w:color w:val="auto"/>
          <w:sz w:val="22"/>
          <w:szCs w:val="22"/>
        </w:rPr>
        <w:t>Explicit signaling devices studied in Experiment 2 alert readers to the highlighted topic information and help them to for</w:t>
      </w:r>
      <w:bookmarkStart w:id="48" w:name="_GoBack"/>
      <w:bookmarkEnd w:id="48"/>
      <w:r>
        <w:rPr>
          <w:rFonts w:ascii="Times New Roman" w:eastAsia="SimSun" w:hAnsi="Times New Roman" w:cs="Times New Roman"/>
          <w:color w:val="auto"/>
          <w:sz w:val="22"/>
          <w:szCs w:val="22"/>
        </w:rPr>
        <w:t>mulate a topic structure representation of the text compared to texts without signaling (</w:t>
      </w:r>
      <w:proofErr w:type="spellStart"/>
      <w:r>
        <w:rPr>
          <w:rFonts w:ascii="Times New Roman" w:eastAsia="SimSun" w:hAnsi="Times New Roman" w:cs="Times New Roman"/>
          <w:color w:val="auto"/>
          <w:sz w:val="22"/>
          <w:szCs w:val="22"/>
        </w:rPr>
        <w:t>Lemarié</w:t>
      </w:r>
      <w:proofErr w:type="spellEnd"/>
      <w:r>
        <w:rPr>
          <w:rFonts w:ascii="Times New Roman" w:eastAsia="SimSun" w:hAnsi="Times New Roman" w:cs="Times New Roman"/>
          <w:color w:val="auto"/>
          <w:sz w:val="22"/>
          <w:szCs w:val="22"/>
        </w:rPr>
        <w:t xml:space="preserve"> et al., 2008; Meyer et al., 1980; </w:t>
      </w:r>
      <w:proofErr w:type="spellStart"/>
      <w:r>
        <w:rPr>
          <w:rFonts w:ascii="Times New Roman" w:eastAsia="SimSun" w:hAnsi="Times New Roman" w:cs="Times New Roman"/>
          <w:color w:val="auto"/>
          <w:sz w:val="22"/>
          <w:szCs w:val="22"/>
        </w:rPr>
        <w:t>Yeari</w:t>
      </w:r>
      <w:proofErr w:type="spellEnd"/>
      <w:r>
        <w:rPr>
          <w:rFonts w:ascii="Times New Roman" w:eastAsia="SimSun" w:hAnsi="Times New Roman" w:cs="Times New Roman"/>
          <w:color w:val="auto"/>
          <w:sz w:val="22"/>
          <w:szCs w:val="22"/>
        </w:rPr>
        <w:t xml:space="preserve"> et al., 2017)</w:t>
      </w:r>
      <w:r>
        <w:rPr>
          <w:rFonts w:ascii="Times New Roman" w:hAnsi="Times New Roman" w:cs="Times New Roman"/>
          <w:color w:val="auto"/>
          <w:sz w:val="22"/>
          <w:szCs w:val="22"/>
        </w:rPr>
        <w:t xml:space="preserve">. More specifically, </w:t>
      </w:r>
      <w:r>
        <w:rPr>
          <w:rFonts w:ascii="Times New Roman" w:eastAsia="SimSun" w:hAnsi="Times New Roman" w:cs="Times New Roman"/>
          <w:color w:val="auto"/>
          <w:sz w:val="22"/>
          <w:szCs w:val="22"/>
        </w:rPr>
        <w:t xml:space="preserve">highlighting topic sentences with underlining should direct readers’ attention to the topic sentences to a greater extent than when they are </w:t>
      </w:r>
      <w:proofErr w:type="spellStart"/>
      <w:r>
        <w:rPr>
          <w:rFonts w:ascii="Times New Roman" w:eastAsia="SimSun" w:hAnsi="Times New Roman" w:cs="Times New Roman"/>
          <w:color w:val="auto"/>
          <w:sz w:val="22"/>
          <w:szCs w:val="22"/>
        </w:rPr>
        <w:t>unsignaled</w:t>
      </w:r>
      <w:proofErr w:type="spellEnd"/>
      <w:r>
        <w:rPr>
          <w:rFonts w:ascii="Times New Roman" w:eastAsia="SimSun" w:hAnsi="Times New Roman" w:cs="Times New Roman"/>
          <w:color w:val="auto"/>
          <w:sz w:val="22"/>
          <w:szCs w:val="22"/>
        </w:rPr>
        <w:t xml:space="preserve">. With respect to the reading </w:t>
      </w:r>
      <w:r>
        <w:rPr>
          <w:rFonts w:ascii="Times New Roman" w:hAnsi="Times New Roman"/>
          <w:color w:val="auto"/>
          <w:sz w:val="22"/>
        </w:rPr>
        <w:t>styles</w:t>
      </w:r>
      <w:r>
        <w:rPr>
          <w:rFonts w:ascii="Times New Roman" w:eastAsia="SimSun" w:hAnsi="Times New Roman" w:cs="Times New Roman"/>
          <w:color w:val="auto"/>
          <w:sz w:val="22"/>
          <w:szCs w:val="22"/>
        </w:rPr>
        <w:t xml:space="preserve"> identified by Hyönä et al. (2002), signaling may be beneficial for linear readers and non-selective reviewers (if such subgroups are identified in the present sample) who do not spontaneously pay extensive attention to the text’s topic structure, </w:t>
      </w:r>
      <w:r>
        <w:rPr>
          <w:rFonts w:ascii="Times New Roman" w:eastAsia="SimSun" w:hAnsi="Times New Roman" w:cs="Times New Roman" w:hint="eastAsia"/>
          <w:color w:val="auto"/>
          <w:sz w:val="22"/>
          <w:szCs w:val="22"/>
        </w:rPr>
        <w:t>while</w:t>
      </w:r>
      <w:r>
        <w:rPr>
          <w:rFonts w:ascii="Times New Roman" w:eastAsia="SimSun" w:hAnsi="Times New Roman" w:cs="Times New Roman"/>
          <w:color w:val="auto"/>
          <w:sz w:val="22"/>
          <w:szCs w:val="22"/>
        </w:rPr>
        <w:t xml:space="preserve"> topic structure processors might not be affected by signaling because they are endogenously guided to the text’s topic structure.</w:t>
      </w:r>
    </w:p>
    <w:bookmarkEnd w:id="2"/>
    <w:bookmarkEnd w:id="3"/>
    <w:bookmarkEnd w:id="12"/>
    <w:bookmarkEnd w:id="13"/>
    <w:bookmarkEnd w:id="14"/>
    <w:p w:rsidR="004D2580" w:rsidRDefault="0034511E">
      <w:pPr>
        <w:pStyle w:val="A0"/>
        <w:adjustRightInd w:val="0"/>
        <w:snapToGrid w:val="0"/>
        <w:spacing w:after="160" w:line="480" w:lineRule="auto"/>
        <w:rPr>
          <w:rFonts w:ascii="Times New Roman" w:hAnsi="Times New Roman" w:cs="Times New Roman"/>
          <w:b/>
          <w:bCs/>
          <w:color w:val="auto"/>
          <w:sz w:val="22"/>
          <w:szCs w:val="22"/>
        </w:rPr>
      </w:pPr>
      <w:r>
        <w:rPr>
          <w:rFonts w:ascii="Times New Roman" w:hAnsi="Times New Roman" w:cs="Times New Roman" w:hint="eastAsia"/>
          <w:b/>
          <w:bCs/>
          <w:color w:val="auto"/>
          <w:sz w:val="22"/>
          <w:szCs w:val="22"/>
        </w:rPr>
        <w:t>2</w:t>
      </w:r>
      <w:r>
        <w:rPr>
          <w:rFonts w:ascii="Times New Roman" w:hAnsi="Times New Roman" w:cs="Times New Roman"/>
          <w:b/>
          <w:bCs/>
          <w:color w:val="auto"/>
          <w:sz w:val="22"/>
          <w:szCs w:val="22"/>
        </w:rPr>
        <w:t>.</w:t>
      </w:r>
      <w:r>
        <w:rPr>
          <w:rFonts w:ascii="Times New Roman" w:hAnsi="Times New Roman" w:cs="Times New Roman" w:hint="eastAsia"/>
          <w:b/>
          <w:bCs/>
          <w:color w:val="auto"/>
          <w:sz w:val="22"/>
          <w:szCs w:val="22"/>
        </w:rPr>
        <w:t xml:space="preserve"> </w:t>
      </w:r>
      <w:r>
        <w:rPr>
          <w:rFonts w:ascii="Times New Roman" w:hAnsi="Times New Roman" w:cs="Times New Roman"/>
          <w:b/>
          <w:bCs/>
          <w:color w:val="auto"/>
          <w:sz w:val="22"/>
          <w:szCs w:val="22"/>
        </w:rPr>
        <w:t>Experiment 1</w:t>
      </w:r>
    </w:p>
    <w:p w:rsidR="004D2580" w:rsidRDefault="0034511E">
      <w:pPr>
        <w:pStyle w:val="A0"/>
        <w:adjustRightInd w:val="0"/>
        <w:snapToGrid w:val="0"/>
        <w:spacing w:after="160" w:line="480" w:lineRule="auto"/>
        <w:ind w:firstLineChars="200" w:firstLine="440"/>
        <w:rPr>
          <w:rFonts w:ascii="Times New Roman" w:hAnsi="Times New Roman" w:cs="Times New Roman"/>
          <w:bCs/>
          <w:color w:val="auto"/>
          <w:sz w:val="22"/>
          <w:szCs w:val="22"/>
        </w:rPr>
      </w:pPr>
      <w:r>
        <w:rPr>
          <w:rFonts w:ascii="Times New Roman" w:hAnsi="Times New Roman" w:cs="Times New Roman"/>
          <w:bCs/>
          <w:color w:val="auto"/>
          <w:sz w:val="22"/>
          <w:szCs w:val="22"/>
        </w:rPr>
        <w:t>I</w:t>
      </w:r>
      <w:r>
        <w:rPr>
          <w:rFonts w:ascii="Times New Roman" w:hAnsi="Times New Roman" w:cs="Times New Roman"/>
          <w:color w:val="auto"/>
          <w:sz w:val="22"/>
          <w:szCs w:val="22"/>
        </w:rPr>
        <w:t>n Expe</w:t>
      </w:r>
      <w:r>
        <w:rPr>
          <w:rFonts w:ascii="Times New Roman" w:hAnsi="Times New Roman" w:cs="Times New Roman"/>
          <w:bCs/>
          <w:color w:val="auto"/>
          <w:sz w:val="22"/>
          <w:szCs w:val="22"/>
        </w:rPr>
        <w:t xml:space="preserve">riment 1, adult readers read two </w:t>
      </w:r>
      <w:proofErr w:type="gramStart"/>
      <w:r>
        <w:rPr>
          <w:rFonts w:ascii="Times New Roman" w:hAnsi="Times New Roman" w:cs="Times New Roman"/>
          <w:bCs/>
          <w:color w:val="auto"/>
          <w:sz w:val="22"/>
          <w:szCs w:val="22"/>
        </w:rPr>
        <w:t>multiple-topic</w:t>
      </w:r>
      <w:proofErr w:type="gramEnd"/>
      <w:r>
        <w:rPr>
          <w:rFonts w:ascii="Times New Roman" w:hAnsi="Times New Roman" w:cs="Times New Roman"/>
          <w:bCs/>
          <w:color w:val="auto"/>
          <w:sz w:val="22"/>
          <w:szCs w:val="22"/>
        </w:rPr>
        <w:t xml:space="preserve">, hierarchically structured expository texts while their eye movements were recorded. The specific contents of the two experimental texts, </w:t>
      </w:r>
      <w:r>
        <w:rPr>
          <w:rFonts w:ascii="Times New Roman" w:eastAsia="SimSun" w:hAnsi="Times New Roman" w:cs="Times New Roman"/>
          <w:color w:val="auto"/>
          <w:sz w:val="22"/>
          <w:szCs w:val="22"/>
        </w:rPr>
        <w:t xml:space="preserve">the Energy and Endangered Species text, were unfamiliar to the </w:t>
      </w:r>
      <w:r>
        <w:rPr>
          <w:rFonts w:ascii="Times New Roman" w:eastAsia="SimSun" w:hAnsi="Times New Roman" w:cs="Times New Roman"/>
          <w:color w:val="auto"/>
          <w:sz w:val="22"/>
          <w:szCs w:val="22"/>
        </w:rPr>
        <w:lastRenderedPageBreak/>
        <w:t xml:space="preserve">participants. </w:t>
      </w:r>
      <w:r>
        <w:rPr>
          <w:rFonts w:ascii="Times New Roman" w:hAnsi="Times New Roman" w:cs="Times New Roman"/>
          <w:bCs/>
          <w:color w:val="auto"/>
          <w:sz w:val="22"/>
          <w:szCs w:val="22"/>
        </w:rPr>
        <w:t xml:space="preserve">Half of the participants read the texts to write a summary of the main points of the text, while the other half of the participants were asked to read the texts to answer true or false verification statements. </w:t>
      </w:r>
      <w:r>
        <w:rPr>
          <w:rFonts w:ascii="Times New Roman" w:hAnsi="Times New Roman" w:cs="Times New Roman"/>
          <w:color w:val="auto"/>
          <w:sz w:val="22"/>
          <w:szCs w:val="22"/>
        </w:rPr>
        <w:t xml:space="preserve">A cluster analysis was performed on the eye movement data to distinguish </w:t>
      </w:r>
      <w:r>
        <w:rPr>
          <w:rFonts w:ascii="Times New Roman" w:eastAsia="SimSun" w:hAnsi="Times New Roman" w:cs="Times New Roman"/>
          <w:color w:val="auto"/>
          <w:sz w:val="22"/>
          <w:szCs w:val="22"/>
        </w:rPr>
        <w:t>systematic</w:t>
      </w:r>
      <w:r>
        <w:rPr>
          <w:rFonts w:ascii="Times New Roman" w:hAnsi="Times New Roman" w:cs="Times New Roman"/>
          <w:color w:val="auto"/>
          <w:sz w:val="22"/>
          <w:szCs w:val="22"/>
        </w:rPr>
        <w:t xml:space="preserve"> individual reading </w:t>
      </w:r>
      <w:r>
        <w:rPr>
          <w:rFonts w:ascii="Times New Roman" w:hAnsi="Times New Roman"/>
          <w:color w:val="auto"/>
          <w:sz w:val="22"/>
        </w:rPr>
        <w:t>styles</w:t>
      </w:r>
      <w:r>
        <w:rPr>
          <w:rFonts w:ascii="Times New Roman" w:hAnsi="Times New Roman" w:cs="Times New Roman"/>
          <w:color w:val="auto"/>
          <w:sz w:val="22"/>
          <w:szCs w:val="22"/>
        </w:rPr>
        <w:t>.</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It groups together individuals who are maximally similar to each other in selected characteristics and distinguishes groups that differ in their mean profiles (</w:t>
      </w:r>
      <w:proofErr w:type="spellStart"/>
      <w:r>
        <w:rPr>
          <w:rFonts w:ascii="Times New Roman" w:hAnsi="Times New Roman" w:cs="Times New Roman"/>
          <w:color w:val="auto"/>
          <w:sz w:val="22"/>
          <w:szCs w:val="22"/>
        </w:rPr>
        <w:t>Everitt</w:t>
      </w:r>
      <w:proofErr w:type="spellEnd"/>
      <w:r>
        <w:rPr>
          <w:rFonts w:ascii="Times New Roman" w:hAnsi="Times New Roman" w:cs="Times New Roman"/>
          <w:color w:val="auto"/>
          <w:sz w:val="22"/>
          <w:szCs w:val="22"/>
        </w:rPr>
        <w:t xml:space="preserve">, Landau, </w:t>
      </w:r>
      <w:proofErr w:type="spellStart"/>
      <w:r>
        <w:rPr>
          <w:rFonts w:ascii="Times New Roman" w:hAnsi="Times New Roman" w:cs="Times New Roman"/>
          <w:color w:val="auto"/>
          <w:sz w:val="22"/>
          <w:szCs w:val="22"/>
        </w:rPr>
        <w:t>Leese</w:t>
      </w:r>
      <w:proofErr w:type="spellEnd"/>
      <w:r>
        <w:rPr>
          <w:rFonts w:ascii="Times New Roman" w:hAnsi="Times New Roman" w:cs="Times New Roman"/>
          <w:color w:val="auto"/>
          <w:sz w:val="22"/>
          <w:szCs w:val="22"/>
        </w:rPr>
        <w:t xml:space="preserve">, &amp; Stahl, 2001). It has shown to be an effective method to distinguish individual reading </w:t>
      </w:r>
      <w:r>
        <w:rPr>
          <w:rFonts w:ascii="Times New Roman" w:hAnsi="Times New Roman"/>
          <w:color w:val="auto"/>
          <w:sz w:val="22"/>
        </w:rPr>
        <w:t xml:space="preserve">styles </w:t>
      </w:r>
      <w:r>
        <w:rPr>
          <w:rFonts w:ascii="Times New Roman" w:hAnsi="Times New Roman" w:cs="Times New Roman"/>
          <w:color w:val="auto"/>
          <w:sz w:val="22"/>
          <w:szCs w:val="22"/>
        </w:rPr>
        <w:t>based on eye movement data (Hyönä et al., 2002; Hyönä &amp; Nurminen, 2006). The summary task was given to both groups after reading of the two texts (for the readers in the verification task, it came as a surprise). It was used to measure the mental representation constructed of the main points of the texts.</w:t>
      </w:r>
    </w:p>
    <w:p w:rsidR="004D2580" w:rsidRDefault="0034511E">
      <w:pPr>
        <w:pStyle w:val="A0"/>
        <w:adjustRightInd w:val="0"/>
        <w:snapToGrid w:val="0"/>
        <w:spacing w:after="160" w:line="480" w:lineRule="auto"/>
        <w:rPr>
          <w:rFonts w:ascii="Times New Roman" w:hAnsi="Times New Roman" w:cs="Times New Roman"/>
          <w:i/>
          <w:iCs/>
          <w:color w:val="auto"/>
          <w:sz w:val="22"/>
          <w:szCs w:val="22"/>
        </w:rPr>
      </w:pPr>
      <w:r>
        <w:rPr>
          <w:rFonts w:ascii="Times New Roman" w:hAnsi="Times New Roman" w:cs="Times New Roman"/>
          <w:i/>
          <w:iCs/>
          <w:color w:val="auto"/>
          <w:sz w:val="22"/>
          <w:szCs w:val="22"/>
        </w:rPr>
        <w:t>2.1. Method</w:t>
      </w:r>
    </w:p>
    <w:p w:rsidR="004D2580" w:rsidRDefault="0034511E">
      <w:pPr>
        <w:pStyle w:val="A0"/>
        <w:adjustRightInd w:val="0"/>
        <w:snapToGrid w:val="0"/>
        <w:spacing w:after="160" w:line="480" w:lineRule="auto"/>
        <w:rPr>
          <w:rFonts w:ascii="Times New Roman" w:hAnsi="Times New Roman" w:cs="Times New Roman"/>
          <w:i/>
          <w:iCs/>
          <w:color w:val="auto"/>
          <w:sz w:val="22"/>
          <w:szCs w:val="22"/>
        </w:rPr>
      </w:pPr>
      <w:r>
        <w:rPr>
          <w:rFonts w:ascii="Times New Roman" w:hAnsi="Times New Roman" w:cs="Times New Roman"/>
          <w:i/>
          <w:iCs/>
          <w:color w:val="auto"/>
          <w:sz w:val="22"/>
          <w:szCs w:val="22"/>
        </w:rPr>
        <w:t>2.1.1.</w:t>
      </w:r>
      <w:r>
        <w:rPr>
          <w:rFonts w:ascii="Times New Roman" w:hAnsi="Times New Roman" w:cs="Times New Roman" w:hint="eastAsia"/>
          <w:i/>
          <w:iCs/>
          <w:color w:val="auto"/>
          <w:sz w:val="22"/>
          <w:szCs w:val="22"/>
        </w:rPr>
        <w:t xml:space="preserve"> </w:t>
      </w:r>
      <w:r>
        <w:rPr>
          <w:rFonts w:ascii="Times New Roman" w:hAnsi="Times New Roman" w:cs="Times New Roman"/>
          <w:i/>
          <w:iCs/>
          <w:color w:val="auto"/>
          <w:sz w:val="22"/>
          <w:szCs w:val="22"/>
        </w:rPr>
        <w:t>Participants</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eastAsia="SimSun" w:hAnsi="Times New Roman" w:cs="Times New Roman"/>
          <w:color w:val="auto"/>
          <w:sz w:val="22"/>
          <w:szCs w:val="22"/>
        </w:rPr>
        <w:t xml:space="preserve">Ninety </w:t>
      </w:r>
      <w:r>
        <w:rPr>
          <w:rFonts w:ascii="Times New Roman" w:hAnsi="Times New Roman" w:cs="Times New Roman"/>
          <w:color w:val="auto"/>
          <w:sz w:val="22"/>
          <w:szCs w:val="22"/>
        </w:rPr>
        <w:t>university students</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(55 women; age range 19-22 years</w:t>
      </w:r>
      <w:r>
        <w:rPr>
          <w:rFonts w:ascii="Times New Roman" w:eastAsia="SimSun" w:hAnsi="Times New Roman" w:cs="Times New Roman"/>
          <w:color w:val="auto"/>
          <w:sz w:val="22"/>
          <w:szCs w:val="22"/>
        </w:rPr>
        <w:t>)</w:t>
      </w:r>
      <w:r>
        <w:rPr>
          <w:rFonts w:ascii="Times New Roman" w:hAnsi="Times New Roman" w:cs="Times New Roman"/>
          <w:color w:val="auto"/>
          <w:sz w:val="22"/>
          <w:szCs w:val="22"/>
        </w:rPr>
        <w:t xml:space="preserve"> from the Department of Psychology in </w:t>
      </w:r>
      <w:r>
        <w:rPr>
          <w:rFonts w:ascii="Times New Roman" w:eastAsiaTheme="minorEastAsia" w:hAnsi="Times New Roman" w:cs="Times New Roman" w:hint="eastAsia"/>
          <w:color w:val="auto"/>
          <w:sz w:val="22"/>
          <w:szCs w:val="22"/>
        </w:rPr>
        <w:t>a u</w:t>
      </w:r>
      <w:r>
        <w:rPr>
          <w:rFonts w:ascii="Times New Roman" w:hAnsi="Times New Roman" w:cs="Times New Roman"/>
          <w:color w:val="auto"/>
          <w:sz w:val="22"/>
          <w:szCs w:val="22"/>
        </w:rPr>
        <w:t xml:space="preserve">niversity </w:t>
      </w:r>
      <w:r>
        <w:rPr>
          <w:rFonts w:ascii="Times New Roman" w:eastAsiaTheme="minorEastAsia" w:hAnsi="Times New Roman" w:cs="Times New Roman" w:hint="eastAsia"/>
          <w:color w:val="auto"/>
          <w:sz w:val="22"/>
          <w:szCs w:val="22"/>
        </w:rPr>
        <w:t xml:space="preserve">in the east of China </w:t>
      </w:r>
      <w:r>
        <w:rPr>
          <w:rFonts w:ascii="Times New Roman" w:hAnsi="Times New Roman" w:cs="Times New Roman"/>
          <w:color w:val="auto"/>
          <w:sz w:val="22"/>
          <w:szCs w:val="22"/>
        </w:rPr>
        <w:t>participated in the experiment</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for course credit or monetary compensation.</w:t>
      </w:r>
      <w:r>
        <w:rPr>
          <w:rFonts w:ascii="Times New Roman" w:eastAsia="SimSun" w:hAnsi="Times New Roman" w:cs="Times New Roman"/>
          <w:color w:val="auto"/>
          <w:sz w:val="22"/>
          <w:szCs w:val="22"/>
        </w:rPr>
        <w:t xml:space="preserve"> Participants</w:t>
      </w:r>
      <w:r>
        <w:rPr>
          <w:rFonts w:ascii="Times New Roman" w:hAnsi="Times New Roman" w:cs="Times New Roman"/>
          <w:color w:val="auto"/>
          <w:sz w:val="22"/>
          <w:szCs w:val="22"/>
        </w:rPr>
        <w:t xml:space="preserve"> were native Chinese speakers who all had normal or</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corrected-to-normal vision.</w:t>
      </w:r>
      <w:r>
        <w:rPr>
          <w:rFonts w:ascii="Times New Roman" w:eastAsia="SimSun" w:hAnsi="Times New Roman" w:cs="Times New Roman"/>
          <w:color w:val="auto"/>
          <w:sz w:val="22"/>
          <w:szCs w:val="22"/>
        </w:rPr>
        <w:t xml:space="preserve"> All participants reported that they were not familiar with the reading materials. The participants were recruited by randomly choosing them from a student list and asking their willingness to take part in the study.</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hAnsi="Times New Roman" w:cs="Times New Roman"/>
          <w:color w:val="auto"/>
          <w:sz w:val="22"/>
          <w:szCs w:val="22"/>
        </w:rPr>
        <w:t>To ensure sufficient statistical power, the required sample size was calculated by a power analysis based on the predicted effect size using G* Power 3.1 (</w:t>
      </w:r>
      <w:proofErr w:type="spellStart"/>
      <w:r>
        <w:rPr>
          <w:rFonts w:ascii="Times New Roman" w:hAnsi="Times New Roman" w:cs="Times New Roman"/>
          <w:color w:val="auto"/>
          <w:sz w:val="22"/>
          <w:szCs w:val="22"/>
        </w:rPr>
        <w:t>Faul</w:t>
      </w:r>
      <w:proofErr w:type="spellEnd"/>
      <w:r>
        <w:rPr>
          <w:rFonts w:ascii="Times New Roman" w:hAnsi="Times New Roman" w:cs="Times New Roman"/>
          <w:color w:val="auto"/>
          <w:sz w:val="22"/>
          <w:szCs w:val="22"/>
        </w:rPr>
        <w:t xml:space="preserve">, </w:t>
      </w:r>
      <w:proofErr w:type="spellStart"/>
      <w:r>
        <w:rPr>
          <w:rFonts w:ascii="Times New Roman" w:hAnsi="Times New Roman" w:cs="Times New Roman"/>
          <w:color w:val="auto"/>
          <w:sz w:val="22"/>
          <w:szCs w:val="22"/>
        </w:rPr>
        <w:t>Erdfelder</w:t>
      </w:r>
      <w:proofErr w:type="spellEnd"/>
      <w:r>
        <w:rPr>
          <w:rFonts w:ascii="Times New Roman" w:hAnsi="Times New Roman" w:cs="Times New Roman"/>
          <w:color w:val="auto"/>
          <w:sz w:val="22"/>
          <w:szCs w:val="22"/>
        </w:rPr>
        <w:t>, Buchner, &amp; Lang, 2009). We predicted a medium effect size (</w:t>
      </w:r>
      <w:r>
        <w:rPr>
          <w:rFonts w:ascii="Times New Roman" w:hAnsi="Times New Roman" w:cs="Times New Roman"/>
          <w:i/>
          <w:iCs/>
          <w:color w:val="auto"/>
          <w:sz w:val="22"/>
          <w:szCs w:val="22"/>
        </w:rPr>
        <w:t>η</w:t>
      </w:r>
      <w:r>
        <w:rPr>
          <w:rFonts w:ascii="Times New Roman" w:hAnsi="Times New Roman" w:cs="Times New Roman"/>
          <w:i/>
          <w:iCs/>
          <w:color w:val="auto"/>
          <w:sz w:val="22"/>
          <w:szCs w:val="22"/>
          <w:vertAlign w:val="subscript"/>
        </w:rPr>
        <w:t>p</w:t>
      </w:r>
      <w:r>
        <w:rPr>
          <w:rFonts w:ascii="Times New Roman" w:hAnsi="Times New Roman" w:cs="Times New Roman"/>
          <w:color w:val="auto"/>
          <w:sz w:val="22"/>
          <w:szCs w:val="22"/>
          <w:vertAlign w:val="superscript"/>
        </w:rPr>
        <w:t>2</w:t>
      </w:r>
      <w:r>
        <w:rPr>
          <w:rFonts w:ascii="Times New Roman" w:hAnsi="Times New Roman" w:cs="Times New Roman"/>
          <w:color w:val="auto"/>
          <w:sz w:val="22"/>
          <w:szCs w:val="22"/>
        </w:rPr>
        <w:t xml:space="preserve"> = 0.25) for our experimental design. With 95% power at the .05 significance level, the suggested sample size was approximately 40 individuals for both Experiments 1 and 2. To ensure that the sample size was large enough for running the cluster analysis, we also calculated the sample size based on </w:t>
      </w:r>
      <w:proofErr w:type="spellStart"/>
      <w:r>
        <w:rPr>
          <w:rFonts w:ascii="Times New Roman" w:hAnsi="Times New Roman" w:cs="Times New Roman"/>
          <w:color w:val="auto"/>
          <w:sz w:val="22"/>
          <w:szCs w:val="22"/>
        </w:rPr>
        <w:t>Formann</w:t>
      </w:r>
      <w:proofErr w:type="spellEnd"/>
      <w:r>
        <w:rPr>
          <w:rFonts w:ascii="Times New Roman" w:hAnsi="Times New Roman" w:cs="Times New Roman"/>
          <w:color w:val="auto"/>
          <w:sz w:val="22"/>
          <w:szCs w:val="22"/>
        </w:rPr>
        <w:t xml:space="preserve"> (1984) who suggests the minimal sample size to include no less than 2</w:t>
      </w:r>
      <w:r>
        <w:rPr>
          <w:rFonts w:ascii="Times New Roman" w:hAnsi="Times New Roman" w:cs="Times New Roman"/>
          <w:color w:val="auto"/>
          <w:sz w:val="22"/>
          <w:szCs w:val="22"/>
          <w:vertAlign w:val="superscript"/>
        </w:rPr>
        <w:t>k</w:t>
      </w:r>
      <w:r>
        <w:rPr>
          <w:rFonts w:ascii="Times New Roman" w:hAnsi="Times New Roman" w:cs="Times New Roman"/>
          <w:color w:val="auto"/>
          <w:sz w:val="22"/>
          <w:szCs w:val="22"/>
        </w:rPr>
        <w:t xml:space="preserve"> cases (k = number of variables), preferably 5</w:t>
      </w:r>
      <w:r>
        <w:rPr>
          <w:rFonts w:ascii="Times New Roman" w:eastAsia="SimSun" w:hAnsi="Times New Roman" w:cs="Times New Roman"/>
          <w:color w:val="auto"/>
          <w:sz w:val="22"/>
          <w:szCs w:val="22"/>
        </w:rPr>
        <w:t>×</w:t>
      </w:r>
      <w:r>
        <w:rPr>
          <w:rFonts w:ascii="Times New Roman" w:hAnsi="Times New Roman" w:cs="Times New Roman"/>
          <w:color w:val="auto"/>
          <w:sz w:val="22"/>
          <w:szCs w:val="22"/>
        </w:rPr>
        <w:t>2</w:t>
      </w:r>
      <w:r>
        <w:rPr>
          <w:rFonts w:ascii="Times New Roman" w:hAnsi="Times New Roman" w:cs="Times New Roman"/>
          <w:color w:val="auto"/>
          <w:sz w:val="22"/>
          <w:szCs w:val="22"/>
          <w:vertAlign w:val="superscript"/>
        </w:rPr>
        <w:t xml:space="preserve">k </w:t>
      </w:r>
      <w:r>
        <w:rPr>
          <w:rFonts w:ascii="Times New Roman" w:hAnsi="Times New Roman" w:cs="Times New Roman"/>
          <w:color w:val="auto"/>
          <w:sz w:val="22"/>
          <w:szCs w:val="22"/>
        </w:rPr>
        <w:t xml:space="preserve">(see also </w:t>
      </w:r>
      <w:proofErr w:type="spellStart"/>
      <w:r>
        <w:rPr>
          <w:rFonts w:ascii="Times New Roman" w:hAnsi="Times New Roman" w:cs="Times New Roman"/>
          <w:color w:val="auto"/>
          <w:sz w:val="22"/>
          <w:szCs w:val="22"/>
        </w:rPr>
        <w:t>Dolnicar</w:t>
      </w:r>
      <w:proofErr w:type="spellEnd"/>
      <w:r>
        <w:rPr>
          <w:rFonts w:ascii="Times New Roman" w:hAnsi="Times New Roman" w:cs="Times New Roman"/>
          <w:color w:val="auto"/>
          <w:sz w:val="22"/>
          <w:szCs w:val="22"/>
        </w:rPr>
        <w:t>, 2002).</w:t>
      </w:r>
      <w:r>
        <w:rPr>
          <w:rStyle w:val="apple-converted-space"/>
          <w:rFonts w:ascii="Times New Roman" w:hAnsi="Times New Roman"/>
          <w:color w:val="auto"/>
          <w:sz w:val="22"/>
        </w:rPr>
        <w:t> </w:t>
      </w:r>
      <w:r>
        <w:rPr>
          <w:rFonts w:ascii="Times New Roman" w:hAnsi="Times New Roman" w:cs="Times New Roman"/>
          <w:color w:val="auto"/>
          <w:sz w:val="22"/>
          <w:szCs w:val="22"/>
        </w:rPr>
        <w:t xml:space="preserve">In our study, we adopted 4 eye </w:t>
      </w:r>
      <w:r>
        <w:rPr>
          <w:rFonts w:ascii="Times New Roman" w:hAnsi="Times New Roman" w:cs="Times New Roman"/>
          <w:color w:val="auto"/>
          <w:sz w:val="22"/>
          <w:szCs w:val="22"/>
        </w:rPr>
        <w:lastRenderedPageBreak/>
        <w:t>movement measures, thus the minimal sample size is 2</w:t>
      </w:r>
      <w:r>
        <w:rPr>
          <w:rFonts w:ascii="Times New Roman" w:hAnsi="Times New Roman" w:cs="Times New Roman"/>
          <w:color w:val="auto"/>
          <w:sz w:val="22"/>
          <w:szCs w:val="22"/>
          <w:vertAlign w:val="superscript"/>
        </w:rPr>
        <w:t>4</w:t>
      </w:r>
      <w:r>
        <w:rPr>
          <w:rFonts w:ascii="Times New Roman" w:hAnsi="Times New Roman" w:cs="Times New Roman"/>
          <w:color w:val="auto"/>
          <w:sz w:val="22"/>
          <w:szCs w:val="22"/>
        </w:rPr>
        <w:t xml:space="preserve"> = 16 and the preferable sample size is 5</w:t>
      </w:r>
      <w:r>
        <w:rPr>
          <w:rFonts w:ascii="Times New Roman" w:eastAsia="SimSun" w:hAnsi="Times New Roman" w:cs="Times New Roman"/>
          <w:color w:val="auto"/>
          <w:sz w:val="22"/>
          <w:szCs w:val="22"/>
        </w:rPr>
        <w:t>×</w:t>
      </w:r>
      <w:r>
        <w:rPr>
          <w:rFonts w:ascii="Times New Roman" w:hAnsi="Times New Roman" w:cs="Times New Roman"/>
          <w:color w:val="auto"/>
          <w:sz w:val="22"/>
          <w:szCs w:val="22"/>
        </w:rPr>
        <w:t>2</w:t>
      </w:r>
      <w:r>
        <w:rPr>
          <w:rFonts w:ascii="Times New Roman" w:hAnsi="Times New Roman" w:cs="Times New Roman"/>
          <w:color w:val="auto"/>
          <w:sz w:val="22"/>
          <w:szCs w:val="22"/>
          <w:vertAlign w:val="superscript"/>
        </w:rPr>
        <w:t xml:space="preserve">4 </w:t>
      </w:r>
      <w:r>
        <w:rPr>
          <w:rFonts w:ascii="Times New Roman" w:hAnsi="Times New Roman" w:cs="Times New Roman"/>
          <w:color w:val="auto"/>
          <w:sz w:val="22"/>
          <w:szCs w:val="22"/>
        </w:rPr>
        <w:t xml:space="preserve">= 80. The chosen sample size is also comparable to that of the previous eye-tracking studies in which cluster analysis was adopted to distinguish individual reading </w:t>
      </w:r>
      <w:r>
        <w:rPr>
          <w:rFonts w:ascii="Times New Roman" w:hAnsi="Times New Roman"/>
          <w:color w:val="auto"/>
          <w:sz w:val="22"/>
        </w:rPr>
        <w:t xml:space="preserve">styles </w:t>
      </w:r>
      <w:r>
        <w:rPr>
          <w:rFonts w:ascii="Times New Roman" w:hAnsi="Times New Roman" w:cs="Times New Roman"/>
          <w:color w:val="auto"/>
          <w:sz w:val="22"/>
          <w:szCs w:val="22"/>
        </w:rPr>
        <w:t>(Hyönä et al., 2002; Hyönä &amp; Nurminen, 2006).</w:t>
      </w:r>
      <w:r>
        <w:rPr>
          <w:rFonts w:ascii="Times New Roman" w:eastAsia="SimSun" w:hAnsi="Times New Roman" w:cs="Times New Roman"/>
          <w:color w:val="auto"/>
          <w:sz w:val="22"/>
          <w:szCs w:val="22"/>
        </w:rPr>
        <w:t xml:space="preserve"> </w:t>
      </w:r>
    </w:p>
    <w:p w:rsidR="004D2580" w:rsidRDefault="0034511E">
      <w:pPr>
        <w:pStyle w:val="A0"/>
        <w:adjustRightInd w:val="0"/>
        <w:snapToGrid w:val="0"/>
        <w:spacing w:after="160" w:line="480" w:lineRule="auto"/>
        <w:rPr>
          <w:rFonts w:ascii="Times New Roman" w:hAnsi="Times New Roman" w:cs="Times New Roman"/>
          <w:i/>
          <w:iCs/>
          <w:color w:val="auto"/>
          <w:sz w:val="22"/>
          <w:szCs w:val="22"/>
        </w:rPr>
      </w:pPr>
      <w:r>
        <w:rPr>
          <w:rFonts w:ascii="Times New Roman" w:hAnsi="Times New Roman" w:cs="Times New Roman"/>
          <w:i/>
          <w:iCs/>
          <w:color w:val="auto"/>
          <w:sz w:val="22"/>
          <w:szCs w:val="22"/>
        </w:rPr>
        <w:t>2.1.2.</w:t>
      </w:r>
      <w:r>
        <w:rPr>
          <w:rFonts w:ascii="Times New Roman" w:hAnsi="Times New Roman" w:cs="Times New Roman" w:hint="eastAsia"/>
          <w:i/>
          <w:iCs/>
          <w:color w:val="auto"/>
          <w:sz w:val="22"/>
          <w:szCs w:val="22"/>
        </w:rPr>
        <w:t xml:space="preserve"> </w:t>
      </w:r>
      <w:r>
        <w:rPr>
          <w:rFonts w:ascii="Times New Roman" w:hAnsi="Times New Roman" w:cs="Times New Roman"/>
          <w:i/>
          <w:iCs/>
          <w:color w:val="auto"/>
          <w:sz w:val="22"/>
          <w:szCs w:val="22"/>
        </w:rPr>
        <w:t>Apparatus</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eastAsia="SimSun" w:hAnsi="Times New Roman" w:cs="Times New Roman"/>
          <w:color w:val="auto"/>
          <w:sz w:val="22"/>
          <w:szCs w:val="22"/>
        </w:rPr>
        <w:t xml:space="preserve">Eye movements were recorded using an EyeLink 1000 eye-tracker (SR Research Ltd., </w:t>
      </w:r>
      <w:bookmarkStart w:id="49" w:name="OLE_LINK69"/>
      <w:bookmarkStart w:id="50" w:name="OLE_LINK70"/>
      <w:r>
        <w:rPr>
          <w:rFonts w:ascii="Times New Roman" w:eastAsia="SimSun" w:hAnsi="Times New Roman" w:cs="Times New Roman"/>
          <w:color w:val="auto"/>
          <w:sz w:val="22"/>
          <w:szCs w:val="22"/>
        </w:rPr>
        <w:t>Toronto, Ontario, Canada</w:t>
      </w:r>
      <w:bookmarkEnd w:id="49"/>
      <w:bookmarkEnd w:id="50"/>
      <w:r>
        <w:rPr>
          <w:rFonts w:ascii="Times New Roman" w:eastAsia="SimSun" w:hAnsi="Times New Roman" w:cs="Times New Roman"/>
          <w:color w:val="auto"/>
          <w:sz w:val="22"/>
          <w:szCs w:val="22"/>
        </w:rPr>
        <w:t xml:space="preserve">). </w:t>
      </w:r>
      <w:bookmarkStart w:id="51" w:name="OLE_LINK26"/>
      <w:bookmarkStart w:id="52" w:name="OLE_LINK25"/>
      <w:r>
        <w:rPr>
          <w:rFonts w:ascii="Times New Roman" w:eastAsia="SimSun" w:hAnsi="Times New Roman" w:cs="Times New Roman"/>
          <w:color w:val="auto"/>
          <w:sz w:val="22"/>
          <w:szCs w:val="22"/>
        </w:rPr>
        <w:t>The sampling frequency</w:t>
      </w:r>
      <w:bookmarkEnd w:id="51"/>
      <w:bookmarkEnd w:id="52"/>
      <w:r>
        <w:rPr>
          <w:rFonts w:ascii="Times New Roman" w:eastAsia="SimSun" w:hAnsi="Times New Roman" w:cs="Times New Roman"/>
          <w:color w:val="auto"/>
          <w:sz w:val="22"/>
          <w:szCs w:val="22"/>
        </w:rPr>
        <w:t xml:space="preserve"> was 1000 Hz, and only the left eye was tracked. The stimuli were presented at a viewing distance of 70 cm from the participant on a 21-in. CRT screen with a resolution of </w:t>
      </w:r>
      <w:r>
        <w:rPr>
          <w:rFonts w:ascii="Times New Roman" w:hAnsi="Times New Roman" w:cs="Times New Roman"/>
          <w:color w:val="auto"/>
          <w:sz w:val="22"/>
          <w:szCs w:val="22"/>
        </w:rPr>
        <w:t>1024 × 768</w:t>
      </w:r>
      <w:r>
        <w:rPr>
          <w:rFonts w:ascii="Times New Roman" w:eastAsia="SimSun" w:hAnsi="Times New Roman" w:cs="Times New Roman"/>
          <w:color w:val="auto"/>
          <w:sz w:val="22"/>
          <w:szCs w:val="22"/>
        </w:rPr>
        <w:t xml:space="preserve"> pixels and a 75 Hz refresh rate. The spatial accuracy of the eye-tracker was approximately 0.5 degrees of visual angle.</w:t>
      </w:r>
    </w:p>
    <w:p w:rsidR="004D2580" w:rsidRDefault="0034511E">
      <w:pPr>
        <w:pStyle w:val="A0"/>
        <w:adjustRightInd w:val="0"/>
        <w:snapToGrid w:val="0"/>
        <w:spacing w:after="160" w:line="480" w:lineRule="auto"/>
        <w:rPr>
          <w:rFonts w:ascii="Times New Roman" w:hAnsi="Times New Roman" w:cs="Times New Roman"/>
          <w:i/>
          <w:iCs/>
          <w:color w:val="auto"/>
          <w:sz w:val="22"/>
          <w:szCs w:val="22"/>
        </w:rPr>
      </w:pPr>
      <w:r>
        <w:rPr>
          <w:rFonts w:ascii="Times New Roman" w:hAnsi="Times New Roman" w:cs="Times New Roman"/>
          <w:i/>
          <w:iCs/>
          <w:color w:val="auto"/>
          <w:sz w:val="22"/>
          <w:szCs w:val="22"/>
        </w:rPr>
        <w:t>2.1.3.</w:t>
      </w:r>
      <w:r>
        <w:rPr>
          <w:rFonts w:ascii="Times New Roman" w:hAnsi="Times New Roman" w:cs="Times New Roman" w:hint="eastAsia"/>
          <w:i/>
          <w:iCs/>
          <w:color w:val="auto"/>
          <w:sz w:val="22"/>
          <w:szCs w:val="22"/>
        </w:rPr>
        <w:t xml:space="preserve"> </w:t>
      </w:r>
      <w:r>
        <w:rPr>
          <w:rFonts w:ascii="Times New Roman" w:hAnsi="Times New Roman" w:cs="Times New Roman"/>
          <w:i/>
          <w:iCs/>
          <w:color w:val="auto"/>
          <w:sz w:val="22"/>
          <w:szCs w:val="22"/>
        </w:rPr>
        <w:t xml:space="preserve">Materials </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eastAsia="SimSun" w:hAnsi="Times New Roman" w:cs="Times New Roman"/>
          <w:color w:val="auto"/>
          <w:sz w:val="22"/>
          <w:szCs w:val="22"/>
        </w:rPr>
        <w:t>Two multiple-topic expository texts were used as stimuli: the</w:t>
      </w:r>
      <w:bookmarkStart w:id="53" w:name="OLE_LINK75"/>
      <w:r>
        <w:rPr>
          <w:rFonts w:ascii="Times New Roman" w:eastAsia="SimSun" w:hAnsi="Times New Roman" w:cs="Times New Roman"/>
          <w:color w:val="auto"/>
          <w:sz w:val="22"/>
          <w:szCs w:val="22"/>
        </w:rPr>
        <w:t xml:space="preserve"> Energy and Endangered Species</w:t>
      </w:r>
      <w:bookmarkEnd w:id="53"/>
      <w:r>
        <w:rPr>
          <w:rFonts w:ascii="Times New Roman" w:eastAsia="SimSun" w:hAnsi="Times New Roman" w:cs="Times New Roman"/>
          <w:color w:val="auto"/>
          <w:sz w:val="22"/>
          <w:szCs w:val="22"/>
        </w:rPr>
        <w:t xml:space="preserve"> texts (Hyönä &amp; </w:t>
      </w:r>
      <w:r>
        <w:rPr>
          <w:rFonts w:ascii="Times New Roman" w:hAnsi="Times New Roman"/>
          <w:color w:val="auto"/>
          <w:sz w:val="22"/>
        </w:rPr>
        <w:t>Lorch</w:t>
      </w:r>
      <w:r>
        <w:rPr>
          <w:rFonts w:ascii="Times New Roman" w:eastAsia="SimSun" w:hAnsi="Times New Roman" w:cs="Times New Roman"/>
          <w:color w:val="auto"/>
          <w:sz w:val="22"/>
          <w:szCs w:val="22"/>
        </w:rPr>
        <w:t xml:space="preserve">, 2004; Hyönä et al., 2002). The Energy text was approximately </w:t>
      </w:r>
      <w:r>
        <w:rPr>
          <w:rFonts w:ascii="Times New Roman" w:hAnsi="Times New Roman" w:cs="Times New Roman"/>
          <w:color w:val="auto"/>
          <w:sz w:val="22"/>
          <w:szCs w:val="22"/>
        </w:rPr>
        <w:t>2200</w:t>
      </w:r>
      <w:r>
        <w:rPr>
          <w:rFonts w:ascii="Times New Roman" w:eastAsia="SimSun" w:hAnsi="Times New Roman" w:cs="Times New Roman"/>
          <w:color w:val="auto"/>
          <w:sz w:val="22"/>
          <w:szCs w:val="22"/>
        </w:rPr>
        <w:t xml:space="preserve"> </w:t>
      </w:r>
      <w:proofErr w:type="gramStart"/>
      <w:r>
        <w:rPr>
          <w:rFonts w:ascii="Times New Roman" w:eastAsia="SimSun" w:hAnsi="Times New Roman" w:cs="Times New Roman"/>
          <w:color w:val="auto"/>
          <w:sz w:val="22"/>
          <w:szCs w:val="22"/>
        </w:rPr>
        <w:t>words,</w:t>
      </w:r>
      <w:proofErr w:type="gramEnd"/>
      <w:r>
        <w:rPr>
          <w:rFonts w:ascii="Times New Roman" w:eastAsia="SimSun" w:hAnsi="Times New Roman" w:cs="Times New Roman"/>
          <w:color w:val="auto"/>
          <w:sz w:val="22"/>
          <w:szCs w:val="22"/>
        </w:rPr>
        <w:t xml:space="preserve"> began with a short introduction and then discussed 8 distinct topics organized into two major sections, and ended with a short conclusion. The first section discussed four types of environmental damage and the second section discussed four types of energy sources. </w:t>
      </w:r>
      <w:bookmarkStart w:id="54" w:name="OLE_LINK61"/>
      <w:bookmarkStart w:id="55" w:name="OLE_LINK60"/>
      <w:r>
        <w:rPr>
          <w:rFonts w:ascii="Times New Roman" w:eastAsia="SimSun" w:hAnsi="Times New Roman" w:cs="Times New Roman"/>
          <w:color w:val="auto"/>
          <w:sz w:val="22"/>
          <w:szCs w:val="22"/>
        </w:rPr>
        <w:t xml:space="preserve">Each text topic </w:t>
      </w:r>
      <w:bookmarkEnd w:id="54"/>
      <w:bookmarkEnd w:id="55"/>
      <w:r>
        <w:rPr>
          <w:rFonts w:ascii="Times New Roman" w:eastAsia="SimSun" w:hAnsi="Times New Roman" w:cs="Times New Roman"/>
          <w:color w:val="auto"/>
          <w:sz w:val="22"/>
          <w:szCs w:val="22"/>
        </w:rPr>
        <w:t>was preceded by a heading that labeled it; the headings were presented on the first line of the screen in boldface. Each topic was developed in two paragraphs, each of which discussed a different aspect and was treated as a subtopic. The initial sentence of each topic paragraph introduced the main idea of that paragraph. All the following sentences in the paragraph elaborated the initial sentence; the end sentence was a summary sentence of that topic. Each topic paragraph was broken down into topic, medial and end sentences. The topic and end sentences are both relevant to the text’s topic structure. The medial sentences provided detailed elaborations of the topic sentence so they are not directly relevant to the topic structure and thus serve as a baseline for comparisons with the topic and end sentences.</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eastAsia="SimSun" w:hAnsi="Times New Roman" w:cs="Times New Roman"/>
          <w:color w:val="auto"/>
          <w:sz w:val="22"/>
          <w:szCs w:val="22"/>
        </w:rPr>
        <w:t xml:space="preserve">The Endangered Species text </w:t>
      </w:r>
      <w:r>
        <w:rPr>
          <w:rFonts w:ascii="Times New Roman" w:hAnsi="Times New Roman" w:cs="Times New Roman"/>
          <w:color w:val="auto"/>
          <w:sz w:val="22"/>
          <w:szCs w:val="22"/>
        </w:rPr>
        <w:t>was approximately 2100 words</w:t>
      </w:r>
      <w:r>
        <w:rPr>
          <w:rFonts w:ascii="Times New Roman" w:eastAsia="SimSun" w:hAnsi="Times New Roman" w:cs="Times New Roman"/>
          <w:color w:val="auto"/>
          <w:sz w:val="22"/>
          <w:szCs w:val="22"/>
        </w:rPr>
        <w:t xml:space="preserve"> and described 8 </w:t>
      </w:r>
      <w:r>
        <w:rPr>
          <w:rFonts w:ascii="Times New Roman" w:eastAsia="SimSun" w:hAnsi="Times New Roman" w:cs="Times New Roman"/>
          <w:color w:val="auto"/>
          <w:sz w:val="22"/>
          <w:szCs w:val="22"/>
        </w:rPr>
        <w:lastRenderedPageBreak/>
        <w:t xml:space="preserve">endangered species. </w:t>
      </w:r>
      <w:r>
        <w:rPr>
          <w:rFonts w:ascii="Times New Roman" w:hAnsi="Times New Roman" w:cs="Times New Roman"/>
          <w:color w:val="auto"/>
          <w:sz w:val="22"/>
          <w:szCs w:val="22"/>
        </w:rPr>
        <w:t>Four of the species</w:t>
      </w:r>
      <w:r>
        <w:rPr>
          <w:rFonts w:ascii="Times New Roman" w:hAnsi="Times New Roman" w:cs="Times New Roman"/>
          <w:color w:val="auto"/>
          <w:sz w:val="22"/>
        </w:rPr>
        <w:t xml:space="preserve"> were endangered birds </w:t>
      </w:r>
      <w:r>
        <w:rPr>
          <w:rFonts w:ascii="Times New Roman" w:hAnsi="Times New Roman" w:cs="Times New Roman"/>
          <w:color w:val="auto"/>
          <w:sz w:val="22"/>
          <w:szCs w:val="22"/>
        </w:rPr>
        <w:t xml:space="preserve">and the other four were </w:t>
      </w:r>
      <w:r>
        <w:rPr>
          <w:rFonts w:ascii="Times New Roman" w:hAnsi="Times New Roman" w:cs="Times New Roman"/>
          <w:color w:val="auto"/>
          <w:sz w:val="22"/>
        </w:rPr>
        <w:t>endangered mammals</w:t>
      </w:r>
      <w:r>
        <w:rPr>
          <w:rFonts w:ascii="Times New Roman" w:hAnsi="Times New Roman" w:cs="Times New Roman"/>
          <w:color w:val="auto"/>
          <w:sz w:val="22"/>
          <w:szCs w:val="22"/>
        </w:rPr>
        <w:t>.</w:t>
      </w:r>
      <w:r>
        <w:rPr>
          <w:rFonts w:ascii="Times New Roman" w:hAnsi="Times New Roman" w:cs="Times New Roman"/>
          <w:color w:val="auto"/>
          <w:sz w:val="22"/>
        </w:rPr>
        <w:t xml:space="preserve"> </w:t>
      </w:r>
      <w:r>
        <w:rPr>
          <w:rFonts w:ascii="Times New Roman" w:eastAsia="SimSun" w:hAnsi="Times New Roman" w:cs="Times New Roman"/>
          <w:color w:val="auto"/>
          <w:sz w:val="22"/>
          <w:szCs w:val="22"/>
        </w:rPr>
        <w:t xml:space="preserve">The structure was identical to that of the Energy text. </w:t>
      </w:r>
      <w:r>
        <w:rPr>
          <w:rFonts w:ascii="Times New Roman" w:hAnsi="Times New Roman" w:cs="Times New Roman"/>
          <w:color w:val="auto"/>
          <w:sz w:val="22"/>
          <w:szCs w:val="22"/>
        </w:rPr>
        <w:t xml:space="preserve">Following Hyönä et al. (2002), each topic was presented as a separate page on the computer screen. Thus, readers were able to go back in the topic before proceeding to the next. The text appeared double-spaced on the screen with a maximum of 10 lines of text at a time. The location of the first line on each page was always fixed. Each sentence was presented left-justified </w:t>
      </w:r>
      <w:r>
        <w:rPr>
          <w:rFonts w:ascii="Times New Roman" w:eastAsia="SimSun" w:hAnsi="Times New Roman" w:cs="Times New Roman"/>
          <w:color w:val="auto"/>
          <w:kern w:val="0"/>
          <w:sz w:val="22"/>
          <w:szCs w:val="22"/>
          <w:lang w:eastAsia="en-US"/>
        </w:rPr>
        <w:t xml:space="preserve">with a line width maximum of </w:t>
      </w:r>
      <w:r>
        <w:rPr>
          <w:rFonts w:ascii="Times New Roman" w:eastAsia="SimSun" w:hAnsi="Times New Roman" w:cs="Times New Roman"/>
          <w:color w:val="auto"/>
          <w:kern w:val="0"/>
          <w:sz w:val="22"/>
          <w:szCs w:val="22"/>
        </w:rPr>
        <w:t>30 word</w:t>
      </w:r>
      <w:r>
        <w:rPr>
          <w:rFonts w:ascii="Times New Roman" w:eastAsia="SimSun" w:hAnsi="Times New Roman" w:cs="Times New Roman"/>
          <w:color w:val="auto"/>
          <w:kern w:val="0"/>
          <w:sz w:val="22"/>
          <w:szCs w:val="22"/>
          <w:lang w:eastAsia="en-US"/>
        </w:rPr>
        <w:t>s</w:t>
      </w:r>
      <w:r>
        <w:rPr>
          <w:rFonts w:ascii="Times New Roman" w:hAnsi="Times New Roman" w:cs="Times New Roman"/>
          <w:color w:val="auto"/>
          <w:sz w:val="22"/>
          <w:szCs w:val="22"/>
        </w:rPr>
        <w:t>. Long sentences were broken into two lines. The lines were double-spaced so that their vertical separation was about 1.6 degrees of visual angle.</w:t>
      </w:r>
    </w:p>
    <w:p w:rsidR="004D2580" w:rsidRDefault="0034511E">
      <w:pPr>
        <w:pStyle w:val="A0"/>
        <w:adjustRightInd w:val="0"/>
        <w:snapToGrid w:val="0"/>
        <w:spacing w:after="160" w:line="480" w:lineRule="auto"/>
        <w:rPr>
          <w:rFonts w:ascii="Times New Roman" w:eastAsia="SimSun" w:hAnsi="Times New Roman" w:cs="Times New Roman"/>
          <w:i/>
          <w:iCs/>
          <w:color w:val="auto"/>
          <w:sz w:val="22"/>
          <w:szCs w:val="22"/>
        </w:rPr>
      </w:pPr>
      <w:r>
        <w:rPr>
          <w:rFonts w:ascii="Times New Roman" w:hAnsi="Times New Roman" w:cs="Times New Roman"/>
          <w:i/>
          <w:iCs/>
          <w:color w:val="auto"/>
          <w:sz w:val="22"/>
          <w:szCs w:val="22"/>
        </w:rPr>
        <w:t xml:space="preserve">2.1.4. Experimental design </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The experimental design was a 2 (Task Instruction: summary task vs. verification task) × 3 (Sentence Type: topic, medial vs. end sentence</w:t>
      </w:r>
      <w:r>
        <w:rPr>
          <w:rFonts w:ascii="Times New Roman" w:eastAsia="SimSun" w:hAnsi="Times New Roman" w:cs="Times New Roman"/>
          <w:color w:val="auto"/>
          <w:sz w:val="22"/>
          <w:szCs w:val="22"/>
        </w:rPr>
        <w:t>s</w:t>
      </w:r>
      <w:r>
        <w:rPr>
          <w:rFonts w:ascii="Times New Roman" w:hAnsi="Times New Roman" w:cs="Times New Roman"/>
          <w:color w:val="auto"/>
          <w:sz w:val="22"/>
          <w:szCs w:val="22"/>
        </w:rPr>
        <w:t xml:space="preserve">) mixed design. Task Instruction was </w:t>
      </w:r>
      <w:r>
        <w:rPr>
          <w:rFonts w:ascii="Times New Roman" w:eastAsia="SimSun" w:hAnsi="Times New Roman" w:cs="Times New Roman"/>
          <w:color w:val="auto"/>
          <w:sz w:val="22"/>
          <w:szCs w:val="22"/>
        </w:rPr>
        <w:t xml:space="preserve">a </w:t>
      </w:r>
      <w:r>
        <w:rPr>
          <w:rFonts w:ascii="Times New Roman" w:hAnsi="Times New Roman" w:cs="Times New Roman"/>
          <w:color w:val="auto"/>
          <w:sz w:val="22"/>
          <w:szCs w:val="22"/>
        </w:rPr>
        <w:t xml:space="preserve">between-subjects variable and Sentence Type was </w:t>
      </w:r>
      <w:r>
        <w:rPr>
          <w:rFonts w:ascii="Times New Roman" w:eastAsia="SimSun" w:hAnsi="Times New Roman" w:cs="Times New Roman"/>
          <w:color w:val="auto"/>
          <w:sz w:val="22"/>
          <w:szCs w:val="22"/>
        </w:rPr>
        <w:t xml:space="preserve">a </w:t>
      </w:r>
      <w:r>
        <w:rPr>
          <w:rFonts w:ascii="Times New Roman" w:hAnsi="Times New Roman" w:cs="Times New Roman"/>
          <w:color w:val="auto"/>
          <w:sz w:val="22"/>
          <w:szCs w:val="22"/>
        </w:rPr>
        <w:t>within-subjects variable.</w:t>
      </w:r>
    </w:p>
    <w:p w:rsidR="004D2580" w:rsidRDefault="0034511E">
      <w:pPr>
        <w:pStyle w:val="A0"/>
        <w:adjustRightInd w:val="0"/>
        <w:snapToGrid w:val="0"/>
        <w:spacing w:after="160" w:line="480" w:lineRule="auto"/>
        <w:rPr>
          <w:rFonts w:ascii="Times New Roman" w:hAnsi="Times New Roman" w:cs="Times New Roman"/>
          <w:bCs/>
          <w:i/>
          <w:iCs/>
          <w:color w:val="auto"/>
          <w:sz w:val="22"/>
          <w:szCs w:val="22"/>
        </w:rPr>
      </w:pPr>
      <w:r>
        <w:rPr>
          <w:rFonts w:ascii="Times New Roman" w:hAnsi="Times New Roman" w:cs="Times New Roman"/>
          <w:bCs/>
          <w:i/>
          <w:iCs/>
          <w:color w:val="auto"/>
          <w:sz w:val="22"/>
          <w:szCs w:val="22"/>
        </w:rPr>
        <w:t>2.1.5.</w:t>
      </w:r>
      <w:r>
        <w:rPr>
          <w:rFonts w:ascii="Times New Roman" w:hAnsi="Times New Roman" w:cs="Times New Roman" w:hint="eastAsia"/>
          <w:bCs/>
          <w:i/>
          <w:iCs/>
          <w:color w:val="auto"/>
          <w:sz w:val="22"/>
          <w:szCs w:val="22"/>
        </w:rPr>
        <w:t xml:space="preserve"> </w:t>
      </w:r>
      <w:r>
        <w:rPr>
          <w:rFonts w:ascii="Times New Roman" w:hAnsi="Times New Roman" w:cs="Times New Roman"/>
          <w:bCs/>
          <w:i/>
          <w:iCs/>
          <w:color w:val="auto"/>
          <w:sz w:val="22"/>
          <w:szCs w:val="22"/>
        </w:rPr>
        <w:t>Procedure</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eastAsia="SimSun" w:hAnsi="Times New Roman" w:cs="Times New Roman"/>
          <w:color w:val="auto"/>
          <w:sz w:val="22"/>
          <w:szCs w:val="22"/>
        </w:rPr>
        <w:t xml:space="preserve">Participants were assigned either to the summary or the verification task so that every other student received the summary instruction and every other the verification instructions. </w:t>
      </w:r>
      <w:r>
        <w:rPr>
          <w:rFonts w:ascii="Times New Roman" w:hAnsi="Times New Roman" w:cs="Times New Roman"/>
          <w:color w:val="auto"/>
          <w:sz w:val="22"/>
          <w:szCs w:val="22"/>
        </w:rPr>
        <w:t>There were 45 participants in each condition.</w:t>
      </w:r>
      <w:r>
        <w:rPr>
          <w:rFonts w:ascii="Times New Roman" w:eastAsia="SimSun" w:hAnsi="Times New Roman" w:cs="Times New Roman"/>
          <w:color w:val="auto"/>
          <w:sz w:val="22"/>
          <w:szCs w:val="22"/>
        </w:rPr>
        <w:t xml:space="preserve"> Each</w:t>
      </w:r>
      <w:r>
        <w:rPr>
          <w:rFonts w:ascii="Times New Roman" w:hAnsi="Times New Roman" w:cs="Times New Roman"/>
          <w:color w:val="auto"/>
          <w:sz w:val="22"/>
          <w:szCs w:val="22"/>
        </w:rPr>
        <w:t xml:space="preserve"> participant was tested individually. At the start of the experiment, the eye-tracker was calibrated with a 9-point calibration grid. Calibration was immediately followed by a validation</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routine that determined the stability and accuracy of the</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initial measurement. Successful calibration was followed by</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 xml:space="preserve">the presentation of a fixation point which appeared in the center of the screen. </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eastAsia="SimSun" w:hAnsi="Times New Roman" w:cs="Times New Roman"/>
          <w:color w:val="auto"/>
          <w:sz w:val="22"/>
          <w:szCs w:val="22"/>
        </w:rPr>
        <w:t xml:space="preserve">The task instructions were presented following </w:t>
      </w:r>
      <w:r>
        <w:rPr>
          <w:rFonts w:ascii="Times New Roman" w:hAnsi="Times New Roman" w:cs="Times New Roman"/>
          <w:color w:val="auto"/>
          <w:sz w:val="22"/>
          <w:szCs w:val="22"/>
        </w:rPr>
        <w:t>successful calibration of the eye-tracker</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 xml:space="preserve">In </w:t>
      </w:r>
      <w:r>
        <w:rPr>
          <w:rFonts w:ascii="Times New Roman" w:eastAsia="SimSun" w:hAnsi="Times New Roman" w:cs="Times New Roman"/>
          <w:color w:val="auto"/>
          <w:sz w:val="22"/>
          <w:szCs w:val="22"/>
        </w:rPr>
        <w:t xml:space="preserve">the verification task, the reading materials and the procedure were the same as in the summary task with the following exceptions. Participants were instructed to read two </w:t>
      </w:r>
      <w:r>
        <w:rPr>
          <w:rFonts w:ascii="Times New Roman" w:hAnsi="Times New Roman" w:cs="Times New Roman"/>
          <w:color w:val="auto"/>
          <w:sz w:val="22"/>
          <w:szCs w:val="22"/>
        </w:rPr>
        <w:t>multiple-topic expository texts</w:t>
      </w:r>
      <w:r>
        <w:rPr>
          <w:rFonts w:ascii="Times New Roman" w:eastAsia="SimSun" w:hAnsi="Times New Roman" w:cs="Times New Roman"/>
          <w:color w:val="auto"/>
          <w:sz w:val="22"/>
          <w:szCs w:val="22"/>
        </w:rPr>
        <w:t xml:space="preserve"> to perform a “true or false” sentence verification task for 12 verification statements after reading each text. In each text, half of the verification statements were true (paraphrases of text sentences), and the other half were false. The verification </w:t>
      </w:r>
      <w:r>
        <w:rPr>
          <w:rFonts w:ascii="Times New Roman" w:eastAsia="SimSun" w:hAnsi="Times New Roman" w:cs="Times New Roman"/>
          <w:color w:val="auto"/>
          <w:sz w:val="22"/>
          <w:szCs w:val="22"/>
        </w:rPr>
        <w:lastRenderedPageBreak/>
        <w:t>statements contained both topical and detailed information. A</w:t>
      </w:r>
      <w:r>
        <w:rPr>
          <w:rFonts w:ascii="Times New Roman" w:hAnsi="Times New Roman" w:cs="Times New Roman"/>
          <w:color w:val="auto"/>
          <w:sz w:val="22"/>
          <w:szCs w:val="22"/>
        </w:rPr>
        <w:t>fter completing the verification task of both texts,</w:t>
      </w:r>
      <w:r>
        <w:rPr>
          <w:rFonts w:ascii="Times New Roman" w:hAnsi="Times New Roman" w:cs="Times New Roman"/>
          <w:color w:val="auto"/>
          <w:sz w:val="22"/>
        </w:rPr>
        <w:t xml:space="preserve"> they</w:t>
      </w:r>
      <w:r>
        <w:rPr>
          <w:rFonts w:ascii="Times New Roman" w:hAnsi="Times New Roman" w:cs="Times New Roman"/>
          <w:color w:val="auto"/>
          <w:sz w:val="22"/>
          <w:szCs w:val="22"/>
        </w:rPr>
        <w:t xml:space="preserve"> </w:t>
      </w:r>
      <w:r>
        <w:rPr>
          <w:rFonts w:ascii="Times New Roman" w:eastAsia="SimSun" w:hAnsi="Times New Roman" w:cs="Times New Roman"/>
          <w:color w:val="auto"/>
          <w:sz w:val="22"/>
          <w:szCs w:val="22"/>
        </w:rPr>
        <w:t xml:space="preserve">were required, </w:t>
      </w:r>
      <w:r>
        <w:rPr>
          <w:rFonts w:ascii="Times New Roman" w:hAnsi="Times New Roman" w:cs="Times New Roman"/>
          <w:color w:val="auto"/>
          <w:sz w:val="22"/>
          <w:szCs w:val="22"/>
        </w:rPr>
        <w:t>without being pre-informed,</w:t>
      </w:r>
      <w:r>
        <w:rPr>
          <w:rFonts w:ascii="Times New Roman" w:eastAsia="SimSun" w:hAnsi="Times New Roman" w:cs="Times New Roman"/>
          <w:color w:val="auto"/>
          <w:sz w:val="22"/>
          <w:szCs w:val="22"/>
        </w:rPr>
        <w:t xml:space="preserve"> to</w:t>
      </w:r>
      <w:r>
        <w:rPr>
          <w:rFonts w:ascii="Times New Roman" w:hAnsi="Times New Roman" w:cs="Times New Roman"/>
          <w:color w:val="auto"/>
          <w:sz w:val="22"/>
          <w:szCs w:val="22"/>
        </w:rPr>
        <w:t xml:space="preserve"> </w:t>
      </w:r>
      <w:r>
        <w:rPr>
          <w:rFonts w:ascii="Times New Roman" w:eastAsia="SimSun" w:hAnsi="Times New Roman" w:cs="Times New Roman"/>
          <w:color w:val="auto"/>
          <w:sz w:val="22"/>
          <w:szCs w:val="22"/>
        </w:rPr>
        <w:t>write</w:t>
      </w:r>
      <w:r>
        <w:rPr>
          <w:rFonts w:ascii="Times New Roman" w:hAnsi="Times New Roman" w:cs="Times New Roman"/>
          <w:color w:val="auto"/>
          <w:sz w:val="22"/>
          <w:szCs w:val="22"/>
        </w:rPr>
        <w:t xml:space="preserve"> down a summary of the main content of the texts. </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eastAsia="SimSun" w:hAnsi="Times New Roman" w:cs="Times New Roman"/>
          <w:color w:val="auto"/>
          <w:sz w:val="22"/>
          <w:szCs w:val="22"/>
        </w:rPr>
        <w:t xml:space="preserve">In the summary task, participants were instructed to read two </w:t>
      </w:r>
      <w:r>
        <w:rPr>
          <w:rFonts w:ascii="Times New Roman" w:hAnsi="Times New Roman" w:cs="Times New Roman"/>
          <w:color w:val="auto"/>
          <w:sz w:val="22"/>
          <w:szCs w:val="22"/>
        </w:rPr>
        <w:t>multiple-topic expository texts to write down the main ideas mentioned in the texts after reading both of them. The reason we asked them to summarize the texts after reading both texts was to make the summary task comparable for the verification and the summary groups. A short practice text preceded the first text to allow participants to familiarize themselves with the eye-tracking equipment and the procedure.</w:t>
      </w:r>
      <w:r>
        <w:rPr>
          <w:rFonts w:ascii="Times New Roman" w:eastAsia="SimSun" w:hAnsi="Times New Roman" w:cs="Times New Roman"/>
          <w:color w:val="auto"/>
          <w:sz w:val="22"/>
          <w:szCs w:val="22"/>
        </w:rPr>
        <w:t xml:space="preserve"> The r</w:t>
      </w:r>
      <w:r>
        <w:rPr>
          <w:rFonts w:ascii="Times New Roman" w:hAnsi="Times New Roman" w:cs="Times New Roman"/>
          <w:color w:val="auto"/>
          <w:sz w:val="22"/>
          <w:szCs w:val="22"/>
        </w:rPr>
        <w:t>eading was self-paced with the restriction that participants were prevented from returning to previous screens. Participants were permitted a two-minute rest after reading the first text. After reading both texts, participants were asked to write a summary of the two texts on a piece of paper. In both task conditions, participants read the texts in the same order. The experiment lasted for approximately 40-45 minutes.</w:t>
      </w:r>
    </w:p>
    <w:p w:rsidR="004D2580" w:rsidRDefault="0034511E">
      <w:pPr>
        <w:pStyle w:val="A0"/>
        <w:adjustRightInd w:val="0"/>
        <w:snapToGrid w:val="0"/>
        <w:spacing w:after="160" w:line="480" w:lineRule="auto"/>
        <w:rPr>
          <w:rFonts w:ascii="Times New Roman" w:eastAsia="SimSun" w:hAnsi="Times New Roman" w:cs="Times New Roman"/>
          <w:bCs/>
          <w:i/>
          <w:iCs/>
          <w:color w:val="auto"/>
          <w:sz w:val="22"/>
          <w:szCs w:val="22"/>
        </w:rPr>
      </w:pPr>
      <w:r>
        <w:rPr>
          <w:rFonts w:ascii="Times New Roman" w:eastAsia="SimSun" w:hAnsi="Times New Roman" w:cs="Times New Roman"/>
          <w:bCs/>
          <w:i/>
          <w:iCs/>
          <w:color w:val="auto"/>
          <w:sz w:val="22"/>
          <w:szCs w:val="22"/>
        </w:rPr>
        <w:t>2.1.6.</w:t>
      </w:r>
      <w:r>
        <w:rPr>
          <w:rFonts w:ascii="Times New Roman" w:eastAsia="SimSun" w:hAnsi="Times New Roman" w:cs="Times New Roman" w:hint="eastAsia"/>
          <w:bCs/>
          <w:i/>
          <w:iCs/>
          <w:color w:val="auto"/>
          <w:sz w:val="22"/>
          <w:szCs w:val="22"/>
        </w:rPr>
        <w:t xml:space="preserve"> </w:t>
      </w:r>
      <w:r>
        <w:rPr>
          <w:rFonts w:ascii="Times New Roman" w:eastAsia="SimSun" w:hAnsi="Times New Roman" w:cs="Times New Roman"/>
          <w:bCs/>
          <w:i/>
          <w:iCs/>
          <w:color w:val="auto"/>
          <w:sz w:val="22"/>
          <w:szCs w:val="22"/>
        </w:rPr>
        <w:t>Analyses of the dependent measures</w:t>
      </w:r>
    </w:p>
    <w:p w:rsidR="004D2580" w:rsidRDefault="0034511E">
      <w:pPr>
        <w:pStyle w:val="A0"/>
        <w:adjustRightInd w:val="0"/>
        <w:snapToGrid w:val="0"/>
        <w:spacing w:after="160" w:line="480" w:lineRule="auto"/>
        <w:rPr>
          <w:rFonts w:ascii="Times New Roman" w:eastAsia="SimSun" w:hAnsi="Times New Roman" w:cs="Times New Roman"/>
          <w:bCs/>
          <w:i/>
          <w:iCs/>
          <w:color w:val="auto"/>
          <w:sz w:val="22"/>
          <w:szCs w:val="22"/>
        </w:rPr>
      </w:pPr>
      <w:r>
        <w:rPr>
          <w:rFonts w:ascii="Times New Roman" w:eastAsia="SimSun" w:hAnsi="Times New Roman" w:cs="Times New Roman"/>
          <w:bCs/>
          <w:i/>
          <w:iCs/>
          <w:color w:val="auto"/>
          <w:sz w:val="22"/>
          <w:szCs w:val="22"/>
        </w:rPr>
        <w:t>2.1.6.1. Analyses of the online measures</w:t>
      </w:r>
    </w:p>
    <w:p w:rsidR="004D2580" w:rsidRDefault="0034511E">
      <w:pPr>
        <w:pStyle w:val="A0"/>
        <w:adjustRightInd w:val="0"/>
        <w:snapToGrid w:val="0"/>
        <w:spacing w:after="160" w:line="480" w:lineRule="auto"/>
        <w:ind w:firstLineChars="200" w:firstLine="440"/>
        <w:rPr>
          <w:rFonts w:ascii="Times New Roman" w:eastAsiaTheme="minorEastAsia" w:hAnsi="Times New Roman" w:cs="Times New Roman"/>
          <w:color w:val="auto"/>
          <w:sz w:val="22"/>
          <w:szCs w:val="22"/>
        </w:rPr>
      </w:pPr>
      <w:r>
        <w:rPr>
          <w:rFonts w:ascii="Times New Roman" w:eastAsia="SimSun" w:hAnsi="Times New Roman" w:cs="Times New Roman"/>
          <w:color w:val="auto"/>
          <w:sz w:val="22"/>
          <w:szCs w:val="22"/>
          <w:u w:color="231F20"/>
        </w:rPr>
        <w:t xml:space="preserve">The eye movement data </w:t>
      </w:r>
      <w:r>
        <w:rPr>
          <w:rFonts w:ascii="Times New Roman" w:eastAsiaTheme="minorEastAsia" w:hAnsi="Times New Roman" w:cs="Times New Roman"/>
          <w:color w:val="auto"/>
          <w:sz w:val="22"/>
          <w:szCs w:val="22"/>
        </w:rPr>
        <w:t xml:space="preserve">were extracted using the </w:t>
      </w:r>
      <w:r>
        <w:rPr>
          <w:rFonts w:ascii="Times New Roman" w:eastAsia="SimSun" w:hAnsi="Times New Roman" w:cs="Times New Roman"/>
          <w:color w:val="auto"/>
          <w:sz w:val="22"/>
          <w:szCs w:val="22"/>
          <w:u w:color="231F20"/>
        </w:rPr>
        <w:t xml:space="preserve">Data Viewer program (SR Research, Canada). Fixations shorter than 70 </w:t>
      </w:r>
      <w:proofErr w:type="spellStart"/>
      <w:r>
        <w:rPr>
          <w:rFonts w:ascii="Times New Roman" w:eastAsia="SimSun" w:hAnsi="Times New Roman" w:cs="Times New Roman"/>
          <w:color w:val="auto"/>
          <w:sz w:val="22"/>
          <w:szCs w:val="22"/>
          <w:u w:color="231F20"/>
        </w:rPr>
        <w:t>ms</w:t>
      </w:r>
      <w:proofErr w:type="spellEnd"/>
      <w:r>
        <w:rPr>
          <w:rFonts w:ascii="Times New Roman" w:eastAsia="SimSun" w:hAnsi="Times New Roman" w:cs="Times New Roman"/>
          <w:color w:val="auto"/>
          <w:sz w:val="22"/>
          <w:szCs w:val="22"/>
          <w:u w:color="231F20"/>
        </w:rPr>
        <w:t xml:space="preserve"> and longer than 1,000 </w:t>
      </w:r>
      <w:proofErr w:type="spellStart"/>
      <w:r>
        <w:rPr>
          <w:rFonts w:ascii="Times New Roman" w:eastAsia="SimSun" w:hAnsi="Times New Roman" w:cs="Times New Roman"/>
          <w:color w:val="auto"/>
          <w:sz w:val="22"/>
          <w:szCs w:val="22"/>
          <w:u w:color="231F20"/>
        </w:rPr>
        <w:t>ms</w:t>
      </w:r>
      <w:proofErr w:type="spellEnd"/>
      <w:r>
        <w:rPr>
          <w:rFonts w:ascii="Times New Roman" w:hAnsi="Times New Roman" w:cs="Times New Roman"/>
          <w:color w:val="auto"/>
        </w:rPr>
        <w:t xml:space="preserve"> </w:t>
      </w:r>
      <w:r>
        <w:rPr>
          <w:rFonts w:ascii="Times New Roman" w:eastAsia="SimSun" w:hAnsi="Times New Roman" w:cs="Times New Roman"/>
          <w:color w:val="auto"/>
          <w:sz w:val="22"/>
          <w:szCs w:val="22"/>
          <w:u w:color="231F20"/>
        </w:rPr>
        <w:t xml:space="preserve">(less than 2% of all fixations) were removed from the analyses (cf. Radach et al., 2008). </w:t>
      </w:r>
      <w:r>
        <w:rPr>
          <w:rFonts w:ascii="Times New Roman" w:eastAsia="SimSun" w:hAnsi="Times New Roman" w:cs="Times New Roman"/>
          <w:color w:val="auto"/>
          <w:sz w:val="22"/>
          <w:szCs w:val="22"/>
        </w:rPr>
        <w:t>Type of sentence (topic, medial and end) was established as an area of interest (</w:t>
      </w:r>
      <w:proofErr w:type="spellStart"/>
      <w:r>
        <w:rPr>
          <w:rFonts w:ascii="Times New Roman" w:eastAsia="SimSun" w:hAnsi="Times New Roman" w:cs="Times New Roman"/>
          <w:color w:val="auto"/>
          <w:sz w:val="22"/>
          <w:szCs w:val="22"/>
        </w:rPr>
        <w:t>AoI</w:t>
      </w:r>
      <w:proofErr w:type="spellEnd"/>
      <w:r>
        <w:rPr>
          <w:rFonts w:ascii="Times New Roman" w:eastAsia="SimSun" w:hAnsi="Times New Roman" w:cs="Times New Roman"/>
          <w:color w:val="auto"/>
          <w:sz w:val="22"/>
          <w:szCs w:val="22"/>
        </w:rPr>
        <w:t xml:space="preserve">). </w:t>
      </w:r>
      <w:r>
        <w:rPr>
          <w:rFonts w:ascii="Times New Roman" w:eastAsiaTheme="minorEastAsia" w:hAnsi="Times New Roman" w:cs="Times New Roman"/>
          <w:color w:val="auto"/>
          <w:sz w:val="22"/>
          <w:szCs w:val="22"/>
        </w:rPr>
        <w:t>According to previous studies (</w:t>
      </w:r>
      <w:r>
        <w:rPr>
          <w:rFonts w:ascii="Times New Roman" w:hAnsi="Times New Roman" w:cs="Times New Roman"/>
          <w:color w:val="auto"/>
          <w:sz w:val="22"/>
          <w:szCs w:val="22"/>
        </w:rPr>
        <w:t>Hyönä et al.</w:t>
      </w:r>
      <w:r>
        <w:rPr>
          <w:rFonts w:ascii="Times New Roman" w:eastAsiaTheme="minorEastAsia" w:hAnsi="Times New Roman" w:cs="Times New Roman"/>
          <w:color w:val="auto"/>
          <w:sz w:val="22"/>
          <w:szCs w:val="22"/>
        </w:rPr>
        <w:t xml:space="preserve">, </w:t>
      </w:r>
      <w:r>
        <w:rPr>
          <w:rFonts w:ascii="Times New Roman" w:hAnsi="Times New Roman" w:cs="Times New Roman"/>
          <w:color w:val="auto"/>
          <w:sz w:val="22"/>
          <w:szCs w:val="22"/>
        </w:rPr>
        <w:t>2002</w:t>
      </w:r>
      <w:r>
        <w:rPr>
          <w:rFonts w:ascii="Times New Roman" w:eastAsiaTheme="minorEastAsia" w:hAnsi="Times New Roman" w:cs="Times New Roman"/>
          <w:color w:val="auto"/>
          <w:sz w:val="22"/>
          <w:szCs w:val="22"/>
        </w:rPr>
        <w:t>;</w:t>
      </w:r>
      <w:r>
        <w:rPr>
          <w:rFonts w:ascii="Times New Roman" w:hAnsi="Times New Roman" w:cs="Times New Roman"/>
          <w:color w:val="auto"/>
          <w:sz w:val="22"/>
          <w:szCs w:val="22"/>
        </w:rPr>
        <w:t xml:space="preserve"> Hyönä </w:t>
      </w:r>
      <w:r>
        <w:rPr>
          <w:rFonts w:ascii="Times New Roman" w:eastAsiaTheme="minorEastAsia" w:hAnsi="Times New Roman" w:cs="Times New Roman"/>
          <w:color w:val="auto"/>
          <w:sz w:val="22"/>
          <w:szCs w:val="22"/>
        </w:rPr>
        <w:t>&amp;</w:t>
      </w:r>
      <w:r>
        <w:rPr>
          <w:rFonts w:ascii="Times New Roman" w:hAnsi="Times New Roman" w:cs="Times New Roman"/>
          <w:color w:val="auto"/>
          <w:sz w:val="22"/>
          <w:szCs w:val="22"/>
        </w:rPr>
        <w:t xml:space="preserve"> Nurminen</w:t>
      </w:r>
      <w:r>
        <w:rPr>
          <w:rFonts w:ascii="Times New Roman" w:eastAsiaTheme="minorEastAsia" w:hAnsi="Times New Roman" w:cs="Times New Roman"/>
          <w:color w:val="auto"/>
          <w:sz w:val="22"/>
          <w:szCs w:val="22"/>
        </w:rPr>
        <w:t xml:space="preserve">, </w:t>
      </w:r>
      <w:r>
        <w:rPr>
          <w:rFonts w:ascii="Times New Roman" w:hAnsi="Times New Roman" w:cs="Times New Roman"/>
          <w:color w:val="auto"/>
          <w:sz w:val="22"/>
          <w:szCs w:val="22"/>
        </w:rPr>
        <w:t>2006)</w:t>
      </w:r>
      <w:r>
        <w:rPr>
          <w:rFonts w:ascii="Times New Roman" w:eastAsiaTheme="minorEastAsia" w:hAnsi="Times New Roman" w:cs="Times New Roman"/>
          <w:color w:val="auto"/>
          <w:sz w:val="22"/>
          <w:szCs w:val="22"/>
        </w:rPr>
        <w:t>,</w:t>
      </w:r>
      <w:r>
        <w:rPr>
          <w:rFonts w:ascii="Times New Roman" w:hAnsi="Times New Roman" w:cs="Times New Roman"/>
          <w:color w:val="auto"/>
          <w:sz w:val="22"/>
          <w:szCs w:val="22"/>
        </w:rPr>
        <w:t xml:space="preserve"> there are </w:t>
      </w:r>
      <w:r>
        <w:rPr>
          <w:rFonts w:ascii="Times New Roman" w:eastAsia="SimSun" w:hAnsi="Times New Roman" w:cs="Times New Roman"/>
          <w:color w:val="auto"/>
          <w:sz w:val="22"/>
          <w:szCs w:val="22"/>
        </w:rPr>
        <w:t xml:space="preserve">two key dimensions regarding individual differences in reading processes among adult readers: the speed with which each sentence is read for the first time (first-pass reading time) and the rereading behavior (second-pass reading time). Thus, to examine the online text processing, we analyzed four types of eye movement measures for each </w:t>
      </w:r>
      <w:proofErr w:type="spellStart"/>
      <w:r>
        <w:rPr>
          <w:rFonts w:ascii="Times New Roman" w:eastAsia="SimSun" w:hAnsi="Times New Roman" w:cs="Times New Roman"/>
          <w:color w:val="auto"/>
          <w:sz w:val="22"/>
          <w:szCs w:val="22"/>
        </w:rPr>
        <w:t>AoI</w:t>
      </w:r>
      <w:proofErr w:type="spellEnd"/>
      <w:r>
        <w:rPr>
          <w:rFonts w:ascii="Times New Roman" w:eastAsia="SimSun" w:hAnsi="Times New Roman" w:cs="Times New Roman"/>
          <w:color w:val="auto"/>
          <w:sz w:val="22"/>
          <w:szCs w:val="22"/>
        </w:rPr>
        <w:t>: (1) f</w:t>
      </w:r>
      <w:r>
        <w:rPr>
          <w:rFonts w:ascii="Times New Roman" w:hAnsi="Times New Roman" w:cs="Times New Roman"/>
          <w:color w:val="auto"/>
          <w:sz w:val="22"/>
          <w:szCs w:val="22"/>
        </w:rPr>
        <w:t xml:space="preserve">irst-pass reading time—the sum of durations of all fixations landing on the target segment during the initial reading and before exiting the text segment to the next segment; (2) number of first-pass fixations—number of all fixations </w:t>
      </w:r>
      <w:r>
        <w:rPr>
          <w:rFonts w:ascii="Times New Roman" w:hAnsi="Times New Roman" w:cs="Times New Roman"/>
          <w:color w:val="auto"/>
          <w:sz w:val="22"/>
          <w:szCs w:val="22"/>
        </w:rPr>
        <w:lastRenderedPageBreak/>
        <w:t>landing on the target segment during the initial reading and before exiting the text segment to the next segment; (3) second-pass reading time—the sum of the durations of all look-back fixations performed after the first-pass reading; and (4) number of second-pass fixations—number of all look-back fixations performed after the first-pass reading (Hyönä &amp; Lorch, 2004).</w:t>
      </w:r>
      <w:r>
        <w:rPr>
          <w:rFonts w:ascii="Times New Roman" w:hAnsi="Times New Roman" w:cs="Times New Roman"/>
          <w:color w:val="auto"/>
          <w:sz w:val="22"/>
          <w:szCs w:val="22"/>
          <w:u w:color="231F20"/>
        </w:rPr>
        <w:t xml:space="preserve"> </w:t>
      </w:r>
      <w:r>
        <w:rPr>
          <w:rFonts w:ascii="Times New Roman" w:eastAsia="SimSun" w:hAnsi="Times New Roman" w:cs="Times New Roman"/>
          <w:color w:val="auto"/>
          <w:sz w:val="22"/>
          <w:szCs w:val="22"/>
          <w:u w:color="231F20"/>
        </w:rPr>
        <w:t>F</w:t>
      </w:r>
      <w:r>
        <w:rPr>
          <w:rFonts w:ascii="Times New Roman" w:hAnsi="Times New Roman" w:cs="Times New Roman"/>
          <w:color w:val="auto"/>
          <w:sz w:val="22"/>
          <w:szCs w:val="22"/>
          <w:u w:color="231F20"/>
        </w:rPr>
        <w:t>irst-pass reading measures reflect the i</w:t>
      </w:r>
      <w:r>
        <w:rPr>
          <w:rFonts w:ascii="Times New Roman" w:eastAsia="SimSun" w:hAnsi="Times New Roman" w:cs="Times New Roman"/>
          <w:color w:val="auto"/>
          <w:sz w:val="22"/>
          <w:szCs w:val="22"/>
          <w:u w:color="231F20"/>
        </w:rPr>
        <w:t>nitial</w:t>
      </w:r>
      <w:r>
        <w:rPr>
          <w:rFonts w:ascii="Times New Roman" w:hAnsi="Times New Roman" w:cs="Times New Roman"/>
          <w:color w:val="auto"/>
          <w:sz w:val="22"/>
          <w:szCs w:val="22"/>
          <w:u w:color="231F20"/>
        </w:rPr>
        <w:t xml:space="preserve"> processing of a text segment</w:t>
      </w:r>
      <w:r>
        <w:rPr>
          <w:rFonts w:ascii="Times New Roman" w:eastAsia="SimSun" w:hAnsi="Times New Roman" w:cs="Times New Roman"/>
          <w:color w:val="auto"/>
          <w:sz w:val="22"/>
          <w:szCs w:val="22"/>
          <w:u w:color="231F20"/>
        </w:rPr>
        <w:t>, such as lexical access, semantic encoding and syntactic analysis, whereas second-pass</w:t>
      </w:r>
      <w:r>
        <w:rPr>
          <w:rFonts w:ascii="Times New Roman" w:hAnsi="Times New Roman" w:cs="Times New Roman"/>
          <w:color w:val="auto"/>
          <w:sz w:val="22"/>
          <w:szCs w:val="22"/>
          <w:u w:color="231F20"/>
        </w:rPr>
        <w:t xml:space="preserve"> measures reflect delayed processing, for</w:t>
      </w:r>
      <w:r>
        <w:rPr>
          <w:rFonts w:ascii="Times New Roman" w:eastAsia="SimSun" w:hAnsi="Times New Roman" w:cs="Times New Roman"/>
          <w:color w:val="auto"/>
          <w:sz w:val="22"/>
          <w:szCs w:val="22"/>
          <w:u w:color="231F20"/>
        </w:rPr>
        <w:t xml:space="preserve"> </w:t>
      </w:r>
      <w:r>
        <w:rPr>
          <w:rFonts w:ascii="Times New Roman" w:hAnsi="Times New Roman" w:cs="Times New Roman"/>
          <w:color w:val="auto"/>
          <w:sz w:val="22"/>
          <w:szCs w:val="22"/>
          <w:u w:color="231F20"/>
        </w:rPr>
        <w:t>example, readers’ attempt to integrate</w:t>
      </w:r>
      <w:r>
        <w:rPr>
          <w:rFonts w:ascii="Times New Roman" w:eastAsia="SimSun" w:hAnsi="Times New Roman" w:cs="Times New Roman"/>
          <w:color w:val="auto"/>
          <w:sz w:val="22"/>
          <w:szCs w:val="22"/>
          <w:u w:color="231F20"/>
        </w:rPr>
        <w:t xml:space="preserve"> </w:t>
      </w:r>
      <w:r>
        <w:rPr>
          <w:rFonts w:ascii="Times New Roman" w:hAnsi="Times New Roman" w:cs="Times New Roman"/>
          <w:color w:val="auto"/>
          <w:sz w:val="22"/>
          <w:szCs w:val="22"/>
          <w:u w:color="231F20"/>
        </w:rPr>
        <w:t>new</w:t>
      </w:r>
      <w:r>
        <w:rPr>
          <w:rFonts w:ascii="Times New Roman" w:eastAsia="SimSun" w:hAnsi="Times New Roman" w:cs="Times New Roman"/>
          <w:color w:val="auto"/>
          <w:sz w:val="22"/>
          <w:szCs w:val="22"/>
          <w:u w:color="231F20"/>
        </w:rPr>
        <w:t xml:space="preserve"> information</w:t>
      </w:r>
      <w:r>
        <w:rPr>
          <w:rFonts w:ascii="Times New Roman" w:hAnsi="Times New Roman" w:cs="Times New Roman"/>
          <w:color w:val="auto"/>
          <w:sz w:val="22"/>
          <w:szCs w:val="22"/>
          <w:u w:color="231F20"/>
        </w:rPr>
        <w:t xml:space="preserve"> with the preceding text and</w:t>
      </w:r>
      <w:r>
        <w:rPr>
          <w:rFonts w:ascii="Times New Roman" w:eastAsia="SimSun" w:hAnsi="Times New Roman" w:cs="Times New Roman"/>
          <w:color w:val="auto"/>
          <w:sz w:val="22"/>
          <w:szCs w:val="22"/>
          <w:u w:color="231F20"/>
        </w:rPr>
        <w:t xml:space="preserve"> </w:t>
      </w:r>
      <w:r>
        <w:rPr>
          <w:rFonts w:ascii="Times New Roman" w:hAnsi="Times New Roman" w:cs="Times New Roman"/>
          <w:color w:val="auto"/>
          <w:sz w:val="22"/>
          <w:szCs w:val="22"/>
          <w:u w:color="231F20"/>
        </w:rPr>
        <w:t>with their contextually relevant prior knowledge as well as rereading important text information (Hyönä et al., 2002).</w:t>
      </w:r>
      <w:r>
        <w:rPr>
          <w:rFonts w:ascii="Times New Roman" w:hAnsi="Times New Roman" w:cs="Times New Roman"/>
          <w:color w:val="auto"/>
          <w:sz w:val="22"/>
          <w:szCs w:val="22"/>
        </w:rPr>
        <w:t xml:space="preserve"> All t</w:t>
      </w:r>
      <w:r>
        <w:rPr>
          <w:rFonts w:ascii="Times New Roman" w:eastAsia="SimSun" w:hAnsi="Times New Roman" w:cs="Times New Roman"/>
          <w:color w:val="auto"/>
          <w:sz w:val="22"/>
          <w:szCs w:val="22"/>
          <w:u w:color="231F20"/>
        </w:rPr>
        <w:t xml:space="preserve">he reading time and fixation frequency measures in the first-pass and second-pass reading were divided by the number of words in the sentence to yield word reading time (milliseconds/word) and fixation frequency per word. </w:t>
      </w:r>
      <w:r>
        <w:rPr>
          <w:rFonts w:ascii="Times New Roman" w:hAnsi="Times New Roman" w:cs="Times New Roman"/>
          <w:color w:val="auto"/>
          <w:sz w:val="22"/>
          <w:szCs w:val="22"/>
        </w:rPr>
        <w:t xml:space="preserve">Longer reading times and more numerous fixations are interpreted as indicators of more attentional resources being devoted to text processing and integration </w:t>
      </w:r>
      <w:r>
        <w:rPr>
          <w:rFonts w:ascii="Times New Roman" w:hAnsi="Times New Roman" w:cs="Times New Roman"/>
          <w:color w:val="auto"/>
          <w:sz w:val="22"/>
        </w:rPr>
        <w:t xml:space="preserve">(Rayner &amp; </w:t>
      </w:r>
      <w:proofErr w:type="spellStart"/>
      <w:r>
        <w:rPr>
          <w:rFonts w:ascii="Times New Roman" w:hAnsi="Times New Roman" w:cs="Times New Roman"/>
          <w:color w:val="auto"/>
          <w:sz w:val="22"/>
        </w:rPr>
        <w:t>Sereno</w:t>
      </w:r>
      <w:proofErr w:type="spellEnd"/>
      <w:r>
        <w:rPr>
          <w:rFonts w:ascii="Times New Roman" w:hAnsi="Times New Roman" w:cs="Times New Roman"/>
          <w:color w:val="auto"/>
          <w:sz w:val="22"/>
        </w:rPr>
        <w:t>, 1994)</w:t>
      </w:r>
      <w:r>
        <w:rPr>
          <w:rFonts w:ascii="Times New Roman" w:hAnsi="Times New Roman" w:cs="Times New Roman"/>
          <w:color w:val="auto"/>
          <w:sz w:val="22"/>
          <w:szCs w:val="22"/>
        </w:rPr>
        <w:t>. The measures were aggregated over the two experimental texts.</w:t>
      </w:r>
    </w:p>
    <w:p w:rsidR="004D2580" w:rsidRDefault="0034511E">
      <w:pPr>
        <w:pStyle w:val="A0"/>
        <w:adjustRightInd w:val="0"/>
        <w:snapToGrid w:val="0"/>
        <w:spacing w:after="160" w:line="480" w:lineRule="auto"/>
        <w:ind w:firstLineChars="200" w:firstLine="440"/>
        <w:rPr>
          <w:rFonts w:ascii="Times New Roman" w:eastAsiaTheme="minorEastAsia" w:hAnsi="Times New Roman" w:cs="Times New Roman"/>
          <w:color w:val="auto"/>
          <w:sz w:val="22"/>
          <w:szCs w:val="22"/>
          <w:u w:color="231F20"/>
        </w:rPr>
      </w:pPr>
      <w:r>
        <w:rPr>
          <w:rFonts w:ascii="Times New Roman" w:hAnsi="Times New Roman" w:cs="Times New Roman"/>
          <w:color w:val="auto"/>
          <w:sz w:val="22"/>
          <w:szCs w:val="22"/>
        </w:rPr>
        <w:t xml:space="preserve">The eye-tracking data were analyzed in a two-step manner using SPSS 17.0. First, we computed </w:t>
      </w:r>
      <w:r>
        <w:rPr>
          <w:rFonts w:ascii="Times New Roman" w:hAnsi="Times New Roman" w:cs="Times New Roman"/>
          <w:iCs/>
          <w:color w:val="auto"/>
          <w:sz w:val="22"/>
          <w:szCs w:val="22"/>
        </w:rPr>
        <w:t>two</w:t>
      </w:r>
      <w:r>
        <w:rPr>
          <w:rFonts w:ascii="Times New Roman" w:hAnsi="Times New Roman" w:cs="Times New Roman"/>
          <w:color w:val="auto"/>
          <w:kern w:val="0"/>
          <w:sz w:val="22"/>
          <w:szCs w:val="22"/>
        </w:rPr>
        <w:t xml:space="preserve">-way </w:t>
      </w:r>
      <w:r>
        <w:rPr>
          <w:rFonts w:ascii="Times New Roman" w:hAnsi="Times New Roman" w:cs="Times New Roman"/>
          <w:color w:val="auto"/>
          <w:sz w:val="22"/>
          <w:szCs w:val="22"/>
        </w:rPr>
        <w:t>ANOVAs on the first- and second-pass reading times using Sentence Type as a within-subjects variable and Task Instruction as a between-subjects variable. Significant interactions were further analyzed using simple effect models and significant main effects were followed up by Bonferroni-adjusted post hoc comparisons.</w:t>
      </w:r>
      <w:r>
        <w:rPr>
          <w:rFonts w:ascii="Times New Roman" w:eastAsiaTheme="minorEastAsia" w:hAnsi="Times New Roman" w:cs="Times New Roman" w:hint="eastAsia"/>
          <w:color w:val="auto"/>
          <w:sz w:val="22"/>
          <w:szCs w:val="22"/>
        </w:rPr>
        <w:t xml:space="preserve"> </w:t>
      </w:r>
      <w:r>
        <w:rPr>
          <w:rFonts w:ascii="Times New Roman" w:hAnsi="Times New Roman" w:cs="Times New Roman"/>
          <w:color w:val="auto"/>
          <w:sz w:val="22"/>
          <w:szCs w:val="22"/>
        </w:rPr>
        <w:t>Second, we used cluster analysis to reveal different reading styles adopted by the participants in the different task conditions based on first- and second-pass reading times as well as the corresponding fixation frequencies on the topic, medial and end sentences. We then describe in more detail the eye movement behavior of different cluster profiles separately for each task condition</w:t>
      </w:r>
      <w:r>
        <w:rPr>
          <w:rFonts w:ascii="Times New Roman" w:eastAsia="SimSun" w:hAnsi="Times New Roman" w:cs="Times New Roman"/>
          <w:color w:val="auto"/>
          <w:sz w:val="22"/>
          <w:szCs w:val="22"/>
        </w:rPr>
        <w:t xml:space="preserve">. </w:t>
      </w:r>
      <w:proofErr w:type="gramStart"/>
      <w:r>
        <w:rPr>
          <w:rFonts w:ascii="Times New Roman" w:hAnsi="Times New Roman" w:cs="Times New Roman"/>
          <w:color w:val="auto"/>
          <w:sz w:val="22"/>
          <w:szCs w:val="22"/>
        </w:rPr>
        <w:t>As is typical of eye movement data for longer text regions, corresponding fixation frequency and duration measures correlate strongly with each other (</w:t>
      </w:r>
      <w:hyperlink w:anchor="_ENREF_20" w:tooltip="Hyönä, 2002 #12" w:history="1">
        <w:r>
          <w:rPr>
            <w:rFonts w:ascii="Times New Roman" w:hAnsi="Times New Roman" w:cs="Times New Roman"/>
            <w:color w:val="auto"/>
            <w:sz w:val="22"/>
          </w:rPr>
          <w:t>Hyönä et al., 2002</w:t>
        </w:r>
      </w:hyperlink>
      <w:r>
        <w:rPr>
          <w:rFonts w:ascii="Times New Roman" w:hAnsi="Times New Roman" w:cs="Times New Roman"/>
          <w:color w:val="auto"/>
          <w:sz w:val="22"/>
          <w:szCs w:val="22"/>
        </w:rPr>
        <w:t>).</w:t>
      </w:r>
      <w:proofErr w:type="gramEnd"/>
      <w:r>
        <w:rPr>
          <w:rFonts w:ascii="Times New Roman" w:hAnsi="Times New Roman" w:cs="Times New Roman"/>
          <w:color w:val="auto"/>
          <w:sz w:val="22"/>
          <w:szCs w:val="22"/>
        </w:rPr>
        <w:t xml:space="preserve"> Thus, we only report the results for fixation times. The fixation frequency data yielded very similar results.</w:t>
      </w:r>
    </w:p>
    <w:p w:rsidR="004D2580" w:rsidRDefault="0034511E">
      <w:pPr>
        <w:pStyle w:val="A0"/>
        <w:adjustRightInd w:val="0"/>
        <w:snapToGrid w:val="0"/>
        <w:spacing w:after="160" w:line="480" w:lineRule="auto"/>
        <w:rPr>
          <w:rFonts w:ascii="Times New Roman" w:eastAsia="SimSun" w:hAnsi="Times New Roman" w:cs="Times New Roman"/>
          <w:bCs/>
          <w:i/>
          <w:iCs/>
          <w:color w:val="auto"/>
          <w:sz w:val="22"/>
          <w:szCs w:val="22"/>
          <w:u w:color="231F20"/>
        </w:rPr>
      </w:pPr>
      <w:r>
        <w:rPr>
          <w:rFonts w:ascii="Times New Roman" w:eastAsia="SimSun" w:hAnsi="Times New Roman" w:cs="Times New Roman"/>
          <w:bCs/>
          <w:i/>
          <w:iCs/>
          <w:color w:val="auto"/>
          <w:sz w:val="22"/>
          <w:szCs w:val="22"/>
          <w:u w:color="231F20"/>
        </w:rPr>
        <w:t xml:space="preserve">2.1.6.2. </w:t>
      </w:r>
      <w:r>
        <w:rPr>
          <w:rFonts w:ascii="Times New Roman" w:eastAsia="SimSun" w:hAnsi="Times New Roman" w:cs="Times New Roman"/>
          <w:bCs/>
          <w:i/>
          <w:iCs/>
          <w:color w:val="auto"/>
          <w:sz w:val="22"/>
          <w:szCs w:val="22"/>
        </w:rPr>
        <w:t>Analyses of the offline measures</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b/>
          <w:color w:val="auto"/>
          <w:sz w:val="22"/>
          <w:szCs w:val="22"/>
          <w:u w:color="231F20"/>
        </w:rPr>
      </w:pPr>
      <w:r>
        <w:rPr>
          <w:rFonts w:ascii="Times New Roman" w:eastAsia="SimSun" w:hAnsi="Times New Roman" w:cs="Times New Roman"/>
          <w:color w:val="auto"/>
          <w:sz w:val="22"/>
          <w:szCs w:val="22"/>
        </w:rPr>
        <w:lastRenderedPageBreak/>
        <w:t>T</w:t>
      </w:r>
      <w:r>
        <w:rPr>
          <w:rFonts w:ascii="Times New Roman" w:hAnsi="Times New Roman" w:cs="Times New Roman"/>
          <w:color w:val="auto"/>
          <w:sz w:val="22"/>
          <w:szCs w:val="22"/>
        </w:rPr>
        <w:t xml:space="preserve">o </w:t>
      </w:r>
      <w:r>
        <w:rPr>
          <w:rFonts w:ascii="Times New Roman" w:eastAsia="SimSun" w:hAnsi="Times New Roman" w:cs="Times New Roman"/>
          <w:color w:val="auto"/>
          <w:sz w:val="22"/>
          <w:szCs w:val="22"/>
        </w:rPr>
        <w:t xml:space="preserve">examine the offline reading performance, </w:t>
      </w:r>
      <w:r>
        <w:rPr>
          <w:rFonts w:ascii="Times New Roman" w:hAnsi="Times New Roman" w:cs="Times New Roman"/>
          <w:color w:val="auto"/>
          <w:sz w:val="22"/>
          <w:szCs w:val="22"/>
        </w:rPr>
        <w:t>we</w:t>
      </w:r>
      <w:r>
        <w:rPr>
          <w:rFonts w:ascii="Times New Roman" w:eastAsia="SimSun" w:hAnsi="Times New Roman" w:cs="Times New Roman"/>
          <w:color w:val="auto"/>
          <w:sz w:val="22"/>
          <w:szCs w:val="22"/>
        </w:rPr>
        <w:t xml:space="preserve"> analyzed the text summary scores for all participants (Hyönä et al., 2002; </w:t>
      </w:r>
      <w:r>
        <w:rPr>
          <w:rFonts w:ascii="Times New Roman" w:hAnsi="Times New Roman"/>
          <w:color w:val="auto"/>
          <w:sz w:val="22"/>
        </w:rPr>
        <w:t>Lorch</w:t>
      </w:r>
      <w:r>
        <w:rPr>
          <w:rFonts w:ascii="Times New Roman" w:eastAsia="SimSun" w:hAnsi="Times New Roman" w:cs="Times New Roman"/>
          <w:color w:val="auto"/>
          <w:sz w:val="22"/>
          <w:szCs w:val="22"/>
        </w:rPr>
        <w:t xml:space="preserve"> et al., 1987)</w:t>
      </w:r>
      <w:r>
        <w:rPr>
          <w:rFonts w:ascii="Times New Roman" w:hAnsi="Times New Roman" w:cs="Times New Roman"/>
          <w:color w:val="auto"/>
          <w:sz w:val="22"/>
          <w:szCs w:val="22"/>
        </w:rPr>
        <w:t xml:space="preserve">. The summary scores were calculated on the basis of the summary protocols the participants wrote after reading. </w:t>
      </w:r>
      <w:r>
        <w:rPr>
          <w:rFonts w:ascii="Times New Roman" w:hAnsi="Times New Roman" w:cs="Times New Roman"/>
          <w:color w:val="auto"/>
          <w:kern w:val="0"/>
          <w:sz w:val="22"/>
          <w:szCs w:val="22"/>
        </w:rPr>
        <w:t>We analyzed the number of</w:t>
      </w:r>
      <w:r>
        <w:rPr>
          <w:rFonts w:ascii="Times New Roman" w:eastAsia="SimSun" w:hAnsi="Times New Roman" w:cs="Times New Roman"/>
          <w:color w:val="auto"/>
          <w:kern w:val="0"/>
          <w:sz w:val="22"/>
          <w:szCs w:val="22"/>
        </w:rPr>
        <w:t xml:space="preserve"> </w:t>
      </w:r>
      <w:r>
        <w:rPr>
          <w:rFonts w:ascii="Times New Roman" w:hAnsi="Times New Roman" w:cs="Times New Roman"/>
          <w:color w:val="auto"/>
          <w:kern w:val="0"/>
          <w:sz w:val="22"/>
          <w:szCs w:val="22"/>
        </w:rPr>
        <w:t>topics represented in the summary</w:t>
      </w:r>
      <w:r>
        <w:rPr>
          <w:rFonts w:ascii="Times New Roman" w:eastAsia="SimSun" w:hAnsi="Times New Roman" w:cs="Times New Roman"/>
          <w:color w:val="auto"/>
          <w:kern w:val="0"/>
          <w:sz w:val="22"/>
          <w:szCs w:val="22"/>
        </w:rPr>
        <w:t>.</w:t>
      </w:r>
      <w:r>
        <w:rPr>
          <w:rFonts w:ascii="Times New Roman" w:hAnsi="Times New Roman" w:cs="Times New Roman"/>
          <w:color w:val="auto"/>
          <w:kern w:val="0"/>
          <w:sz w:val="22"/>
          <w:szCs w:val="22"/>
        </w:rPr>
        <w:t xml:space="preserve"> The text summaries were scored by giving 1 point for each topic mention and 0.5 point for each mention of the</w:t>
      </w:r>
      <w:r>
        <w:rPr>
          <w:rFonts w:ascii="Times New Roman" w:eastAsiaTheme="minorEastAsia" w:hAnsi="Times New Roman" w:cs="Times New Roman" w:hint="eastAsia"/>
          <w:color w:val="auto"/>
          <w:kern w:val="0"/>
          <w:sz w:val="22"/>
          <w:szCs w:val="22"/>
        </w:rPr>
        <w:t xml:space="preserve"> </w:t>
      </w:r>
      <w:r>
        <w:rPr>
          <w:rFonts w:ascii="Times New Roman" w:hAnsi="Times New Roman" w:cs="Times New Roman"/>
          <w:color w:val="auto"/>
          <w:kern w:val="0"/>
          <w:sz w:val="22"/>
          <w:szCs w:val="22"/>
        </w:rPr>
        <w:t>main idea in a subtopic. Thus, with 8 topics and 16 subtopics in each text, the maximum score of each text was 16. The final summary score of each participant was the average score of the two texts. Two raters independently scored a random subset of 20 protocols; their interrater reliability was .90.</w:t>
      </w:r>
      <w:r>
        <w:rPr>
          <w:rFonts w:ascii="Times New Roman" w:eastAsia="SimSun" w:hAnsi="Times New Roman" w:cs="Times New Roman"/>
          <w:color w:val="auto"/>
          <w:kern w:val="0"/>
          <w:sz w:val="22"/>
          <w:szCs w:val="22"/>
        </w:rPr>
        <w:t xml:space="preserve"> The discrepancies were resolved </w:t>
      </w:r>
      <w:r>
        <w:rPr>
          <w:rFonts w:ascii="Times New Roman" w:hAnsi="Times New Roman" w:cs="Times New Roman"/>
          <w:color w:val="auto"/>
          <w:sz w:val="22"/>
          <w:szCs w:val="22"/>
        </w:rPr>
        <w:t xml:space="preserve">by </w:t>
      </w:r>
      <w:r>
        <w:rPr>
          <w:rFonts w:ascii="Times New Roman" w:hAnsi="Times New Roman" w:cs="Times New Roman"/>
          <w:color w:val="auto"/>
          <w:kern w:val="0"/>
          <w:sz w:val="22"/>
          <w:szCs w:val="22"/>
        </w:rPr>
        <w:t>averaging the scores of the two raters.</w:t>
      </w:r>
      <w:r>
        <w:rPr>
          <w:rFonts w:ascii="Times New Roman" w:eastAsiaTheme="minorEastAsia" w:hAnsi="Times New Roman" w:cs="Times New Roman" w:hint="eastAsia"/>
          <w:color w:val="auto"/>
          <w:kern w:val="0"/>
          <w:sz w:val="22"/>
          <w:szCs w:val="22"/>
        </w:rPr>
        <w:t xml:space="preserve"> </w:t>
      </w:r>
      <w:r>
        <w:rPr>
          <w:rFonts w:ascii="Times New Roman" w:hAnsi="Times New Roman" w:cs="Times New Roman"/>
          <w:color w:val="auto"/>
          <w:kern w:val="0"/>
          <w:sz w:val="22"/>
          <w:szCs w:val="22"/>
        </w:rPr>
        <w:t xml:space="preserve">A </w:t>
      </w:r>
      <w:r>
        <w:rPr>
          <w:rFonts w:ascii="Times New Roman" w:hAnsi="Times New Roman" w:cs="Times New Roman"/>
          <w:i/>
          <w:color w:val="auto"/>
          <w:kern w:val="0"/>
          <w:sz w:val="22"/>
          <w:szCs w:val="22"/>
        </w:rPr>
        <w:t>t</w:t>
      </w:r>
      <w:r>
        <w:rPr>
          <w:rFonts w:ascii="Times New Roman" w:hAnsi="Times New Roman" w:cs="Times New Roman"/>
          <w:color w:val="auto"/>
          <w:kern w:val="0"/>
          <w:sz w:val="22"/>
          <w:szCs w:val="22"/>
        </w:rPr>
        <w:t xml:space="preserve"> test was computed to compare the summary scores in the two task instruction conditions. </w:t>
      </w:r>
      <w:r>
        <w:rPr>
          <w:rFonts w:ascii="Times New Roman" w:hAnsi="Times New Roman" w:cs="Times New Roman"/>
          <w:color w:val="auto"/>
          <w:sz w:val="22"/>
          <w:szCs w:val="22"/>
        </w:rPr>
        <w:t xml:space="preserve">Unless noted otherwise, the </w:t>
      </w:r>
      <w:r>
        <w:rPr>
          <w:rFonts w:ascii="Times New Roman" w:hAnsi="Times New Roman" w:cs="Times New Roman"/>
          <w:i/>
          <w:color w:val="auto"/>
          <w:sz w:val="22"/>
          <w:szCs w:val="22"/>
        </w:rPr>
        <w:t>p</w:t>
      </w:r>
      <w:r>
        <w:rPr>
          <w:rFonts w:ascii="Times New Roman" w:hAnsi="Times New Roman" w:cs="Times New Roman"/>
          <w:color w:val="auto"/>
          <w:sz w:val="22"/>
          <w:szCs w:val="22"/>
        </w:rPr>
        <w:t xml:space="preserve"> &lt; .05 level was considered statistically significant. </w:t>
      </w:r>
    </w:p>
    <w:p w:rsidR="004D2580" w:rsidRDefault="0034511E">
      <w:pPr>
        <w:pStyle w:val="A0"/>
        <w:adjustRightInd w:val="0"/>
        <w:snapToGrid w:val="0"/>
        <w:spacing w:after="160" w:line="480" w:lineRule="auto"/>
        <w:rPr>
          <w:rFonts w:ascii="Times New Roman" w:eastAsia="SimSun" w:hAnsi="Times New Roman" w:cs="Times New Roman"/>
          <w:i/>
          <w:iCs/>
          <w:color w:val="auto"/>
          <w:sz w:val="22"/>
          <w:szCs w:val="22"/>
        </w:rPr>
      </w:pPr>
      <w:r>
        <w:rPr>
          <w:rFonts w:ascii="Times New Roman" w:hAnsi="Times New Roman" w:cs="Times New Roman"/>
          <w:i/>
          <w:iCs/>
          <w:color w:val="auto"/>
          <w:sz w:val="22"/>
          <w:szCs w:val="22"/>
        </w:rPr>
        <w:t xml:space="preserve">2.2. Results </w:t>
      </w:r>
    </w:p>
    <w:p w:rsidR="004D2580" w:rsidRDefault="0034511E">
      <w:pPr>
        <w:pStyle w:val="A0"/>
        <w:adjustRightInd w:val="0"/>
        <w:snapToGrid w:val="0"/>
        <w:spacing w:after="160" w:line="480" w:lineRule="auto"/>
        <w:rPr>
          <w:rFonts w:ascii="Times New Roman" w:hAnsi="Times New Roman" w:cs="Times New Roman"/>
          <w:color w:val="auto"/>
          <w:sz w:val="22"/>
          <w:szCs w:val="22"/>
        </w:rPr>
      </w:pPr>
      <w:r>
        <w:rPr>
          <w:rFonts w:ascii="Times New Roman" w:hAnsi="Times New Roman" w:cs="Times New Roman"/>
          <w:i/>
          <w:iCs/>
          <w:color w:val="auto"/>
          <w:sz w:val="22"/>
          <w:szCs w:val="22"/>
        </w:rPr>
        <w:t xml:space="preserve">2.2.1. The </w:t>
      </w:r>
      <w:r>
        <w:rPr>
          <w:rFonts w:ascii="Times New Roman" w:eastAsia="SimSun" w:hAnsi="Times New Roman" w:cs="Times New Roman"/>
          <w:i/>
          <w:iCs/>
          <w:color w:val="auto"/>
          <w:sz w:val="22"/>
          <w:szCs w:val="22"/>
        </w:rPr>
        <w:t>effect of</w:t>
      </w:r>
      <w:r>
        <w:rPr>
          <w:rFonts w:ascii="Times New Roman" w:hAnsi="Times New Roman" w:cs="Times New Roman"/>
          <w:i/>
          <w:iCs/>
          <w:color w:val="auto"/>
          <w:sz w:val="22"/>
          <w:szCs w:val="22"/>
        </w:rPr>
        <w:t xml:space="preserve"> task instructions on reading times and</w:t>
      </w:r>
      <w:r>
        <w:rPr>
          <w:rFonts w:ascii="Times New Roman" w:eastAsia="SimSun" w:hAnsi="Times New Roman" w:cs="Times New Roman"/>
          <w:i/>
          <w:iCs/>
          <w:color w:val="auto"/>
          <w:sz w:val="22"/>
          <w:szCs w:val="22"/>
        </w:rPr>
        <w:t xml:space="preserve"> summary scores</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proofErr w:type="gramStart"/>
      <w:r>
        <w:rPr>
          <w:rFonts w:ascii="Times New Roman" w:hAnsi="Times New Roman" w:cs="Times New Roman"/>
          <w:b/>
          <w:color w:val="auto"/>
          <w:sz w:val="22"/>
          <w:szCs w:val="22"/>
        </w:rPr>
        <w:t>First-pass reading time.</w:t>
      </w:r>
      <w:proofErr w:type="gramEnd"/>
      <w:r>
        <w:rPr>
          <w:rFonts w:ascii="Times New Roman" w:hAnsi="Times New Roman" w:cs="Times New Roman"/>
          <w:color w:val="auto"/>
          <w:sz w:val="22"/>
          <w:szCs w:val="22"/>
        </w:rPr>
        <w:t xml:space="preserve"> There was a significant interaction between Sentence Type and Task Instruction in the first-pass reading time, </w:t>
      </w:r>
      <w:r>
        <w:rPr>
          <w:rFonts w:ascii="Times New Roman" w:hAnsi="Times New Roman" w:cs="Times New Roman"/>
          <w:i/>
          <w:iCs/>
          <w:color w:val="auto"/>
          <w:sz w:val="22"/>
          <w:szCs w:val="22"/>
        </w:rPr>
        <w:t xml:space="preserve">F </w:t>
      </w:r>
      <w:r>
        <w:rPr>
          <w:rFonts w:ascii="Times New Roman" w:hAnsi="Times New Roman" w:cs="Times New Roman"/>
          <w:color w:val="auto"/>
          <w:sz w:val="22"/>
          <w:szCs w:val="22"/>
        </w:rPr>
        <w:t xml:space="preserve">(2, 176) = 12.61,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&lt; .001,</w:t>
      </w:r>
      <w:r>
        <w:rPr>
          <w:rFonts w:ascii="Times New Roman" w:eastAsia="SimSun" w:hAnsi="Times New Roman" w:cs="Times New Roman"/>
          <w:color w:val="auto"/>
          <w:kern w:val="0"/>
          <w:sz w:val="22"/>
          <w:szCs w:val="22"/>
        </w:rPr>
        <w:t xml:space="preserve"> </w:t>
      </w:r>
      <w:r>
        <w:rPr>
          <w:rFonts w:ascii="Times New Roman" w:hAnsi="Times New Roman" w:cs="Times New Roman"/>
          <w:i/>
          <w:iCs/>
          <w:color w:val="auto"/>
          <w:sz w:val="22"/>
          <w:szCs w:val="22"/>
        </w:rPr>
        <w:t>η</w:t>
      </w:r>
      <w:r>
        <w:rPr>
          <w:rFonts w:ascii="Times New Roman" w:hAnsi="Times New Roman" w:cs="Times New Roman"/>
          <w:i/>
          <w:iCs/>
          <w:color w:val="auto"/>
          <w:sz w:val="22"/>
          <w:szCs w:val="22"/>
          <w:vertAlign w:val="subscript"/>
        </w:rPr>
        <w:t>p</w:t>
      </w:r>
      <w:r>
        <w:rPr>
          <w:rFonts w:ascii="Times New Roman" w:hAnsi="Times New Roman" w:cs="Times New Roman"/>
          <w:i/>
          <w:iCs/>
          <w:color w:val="auto"/>
          <w:sz w:val="22"/>
          <w:szCs w:val="22"/>
          <w:vertAlign w:val="superscript"/>
        </w:rPr>
        <w:t xml:space="preserve">2 </w:t>
      </w:r>
      <w:r>
        <w:rPr>
          <w:rFonts w:ascii="Times New Roman" w:hAnsi="Times New Roman" w:cs="Times New Roman"/>
          <w:color w:val="auto"/>
          <w:sz w:val="22"/>
          <w:szCs w:val="22"/>
        </w:rPr>
        <w:t xml:space="preserve">= .125. As is apparent from Fig. 1 (Panel A), reading times on topic sentences were longer in the summary than in the verification task, </w:t>
      </w:r>
      <w:r>
        <w:rPr>
          <w:rFonts w:ascii="Times New Roman" w:hAnsi="Times New Roman" w:cs="Times New Roman"/>
          <w:i/>
          <w:iCs/>
          <w:color w:val="auto"/>
          <w:sz w:val="22"/>
          <w:szCs w:val="22"/>
        </w:rPr>
        <w:t xml:space="preserve">F </w:t>
      </w:r>
      <w:r>
        <w:rPr>
          <w:rFonts w:ascii="Times New Roman" w:hAnsi="Times New Roman" w:cs="Times New Roman"/>
          <w:color w:val="auto"/>
          <w:sz w:val="22"/>
          <w:szCs w:val="22"/>
        </w:rPr>
        <w:t xml:space="preserve">(1, 88) = 12.61, </w:t>
      </w:r>
      <w:r>
        <w:rPr>
          <w:rFonts w:ascii="Times New Roman" w:hAnsi="Times New Roman" w:cs="Times New Roman"/>
          <w:i/>
          <w:color w:val="auto"/>
          <w:sz w:val="22"/>
          <w:szCs w:val="22"/>
        </w:rPr>
        <w:t>p</w:t>
      </w:r>
      <w:r>
        <w:rPr>
          <w:rFonts w:ascii="Times New Roman" w:hAnsi="Times New Roman" w:cs="Times New Roman"/>
          <w:color w:val="auto"/>
          <w:sz w:val="22"/>
          <w:szCs w:val="22"/>
        </w:rPr>
        <w:t xml:space="preserve"> &lt; .001, </w:t>
      </w:r>
      <w:r>
        <w:rPr>
          <w:rFonts w:ascii="Times New Roman" w:hAnsi="Times New Roman" w:cs="Times New Roman"/>
          <w:i/>
          <w:iCs/>
          <w:color w:val="auto"/>
          <w:sz w:val="22"/>
          <w:szCs w:val="22"/>
        </w:rPr>
        <w:t>η</w:t>
      </w:r>
      <w:r>
        <w:rPr>
          <w:rFonts w:ascii="Times New Roman" w:hAnsi="Times New Roman" w:cs="Times New Roman"/>
          <w:i/>
          <w:iCs/>
          <w:color w:val="auto"/>
          <w:sz w:val="22"/>
          <w:szCs w:val="22"/>
          <w:vertAlign w:val="subscript"/>
        </w:rPr>
        <w:t>p</w:t>
      </w:r>
      <w:r>
        <w:rPr>
          <w:rFonts w:ascii="Times New Roman" w:hAnsi="Times New Roman" w:cs="Times New Roman"/>
          <w:i/>
          <w:iCs/>
          <w:color w:val="auto"/>
          <w:sz w:val="22"/>
          <w:szCs w:val="22"/>
          <w:vertAlign w:val="superscript"/>
        </w:rPr>
        <w:t xml:space="preserve">2 </w:t>
      </w:r>
      <w:r>
        <w:rPr>
          <w:rFonts w:ascii="Times New Roman" w:hAnsi="Times New Roman" w:cs="Times New Roman"/>
          <w:color w:val="auto"/>
          <w:sz w:val="22"/>
          <w:szCs w:val="22"/>
        </w:rPr>
        <w:t xml:space="preserve">= .13, while no effects of Task Instructions were found for the medial or end sentences, </w:t>
      </w:r>
      <w:r>
        <w:rPr>
          <w:rFonts w:ascii="Times New Roman" w:hAnsi="Times New Roman" w:cs="Times New Roman"/>
          <w:i/>
          <w:color w:val="auto"/>
          <w:sz w:val="22"/>
          <w:szCs w:val="22"/>
        </w:rPr>
        <w:t>Fs</w:t>
      </w:r>
      <w:r>
        <w:rPr>
          <w:rFonts w:ascii="Times New Roman" w:hAnsi="Times New Roman" w:cs="Times New Roman"/>
          <w:color w:val="auto"/>
          <w:sz w:val="22"/>
          <w:szCs w:val="22"/>
        </w:rPr>
        <w:t xml:space="preserve"> &lt; 1. The main effect of Sentence Type on </w:t>
      </w:r>
      <w:r>
        <w:rPr>
          <w:rFonts w:ascii="Times New Roman" w:eastAsia="SimSun" w:hAnsi="Times New Roman" w:cs="Times New Roman"/>
          <w:color w:val="auto"/>
          <w:sz w:val="22"/>
          <w:szCs w:val="22"/>
        </w:rPr>
        <w:t xml:space="preserve">first-pass reading time </w:t>
      </w:r>
      <w:r>
        <w:rPr>
          <w:rFonts w:ascii="Times New Roman" w:hAnsi="Times New Roman" w:cs="Times New Roman"/>
          <w:color w:val="auto"/>
          <w:sz w:val="22"/>
          <w:szCs w:val="22"/>
        </w:rPr>
        <w:t xml:space="preserve">was also significant, </w:t>
      </w:r>
      <w:r>
        <w:rPr>
          <w:rFonts w:ascii="Times New Roman" w:hAnsi="Times New Roman" w:cs="Times New Roman"/>
          <w:i/>
          <w:iCs/>
          <w:color w:val="auto"/>
          <w:sz w:val="22"/>
          <w:szCs w:val="22"/>
        </w:rPr>
        <w:t xml:space="preserve">F </w:t>
      </w:r>
      <w:r>
        <w:rPr>
          <w:rFonts w:ascii="Times New Roman" w:hAnsi="Times New Roman" w:cs="Times New Roman"/>
          <w:color w:val="auto"/>
          <w:sz w:val="22"/>
          <w:szCs w:val="22"/>
        </w:rPr>
        <w:t xml:space="preserve">(2, 176) = 45.57,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 xml:space="preserve">&lt; .001, </w:t>
      </w:r>
      <w:r>
        <w:rPr>
          <w:rFonts w:ascii="Times New Roman" w:hAnsi="Times New Roman" w:cs="Times New Roman"/>
          <w:i/>
          <w:color w:val="auto"/>
          <w:sz w:val="22"/>
          <w:szCs w:val="22"/>
        </w:rPr>
        <w:t>η</w:t>
      </w:r>
      <w:r>
        <w:rPr>
          <w:rFonts w:ascii="Times New Roman" w:eastAsia="SimSun" w:hAnsi="Times New Roman" w:cs="Times New Roman"/>
          <w:i/>
          <w:color w:val="auto"/>
          <w:sz w:val="22"/>
          <w:szCs w:val="22"/>
          <w:vertAlign w:val="subscript"/>
        </w:rPr>
        <w:t>p</w:t>
      </w:r>
      <w:r>
        <w:rPr>
          <w:rFonts w:ascii="Times New Roman" w:hAnsi="Times New Roman" w:cs="Times New Roman"/>
          <w:color w:val="auto"/>
          <w:sz w:val="22"/>
          <w:szCs w:val="22"/>
          <w:vertAlign w:val="superscript"/>
        </w:rPr>
        <w:t>2</w:t>
      </w:r>
      <w:r>
        <w:rPr>
          <w:rFonts w:ascii="Times New Roman" w:hAnsi="Times New Roman" w:cs="Times New Roman"/>
          <w:color w:val="auto"/>
          <w:sz w:val="22"/>
        </w:rPr>
        <w:t xml:space="preserve"> </w:t>
      </w:r>
      <w:r>
        <w:rPr>
          <w:rFonts w:ascii="Times New Roman" w:hAnsi="Times New Roman" w:cs="Times New Roman"/>
          <w:color w:val="auto"/>
          <w:sz w:val="22"/>
          <w:szCs w:val="22"/>
        </w:rPr>
        <w:t>= .34, but it is not readily interpretable in the presence of a significant interaction.</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proofErr w:type="gramStart"/>
      <w:r>
        <w:rPr>
          <w:rFonts w:ascii="Times New Roman" w:hAnsi="Times New Roman" w:cs="Times New Roman"/>
          <w:b/>
          <w:color w:val="auto"/>
          <w:sz w:val="22"/>
          <w:szCs w:val="22"/>
        </w:rPr>
        <w:t>Second-pass reading time.</w:t>
      </w:r>
      <w:proofErr w:type="gramEnd"/>
      <w:r>
        <w:rPr>
          <w:rFonts w:ascii="Times New Roman" w:hAnsi="Times New Roman" w:cs="Times New Roman"/>
          <w:b/>
          <w:color w:val="auto"/>
          <w:sz w:val="22"/>
          <w:szCs w:val="22"/>
        </w:rPr>
        <w:t xml:space="preserve"> </w:t>
      </w:r>
      <w:r>
        <w:rPr>
          <w:rFonts w:ascii="Times New Roman" w:hAnsi="Times New Roman" w:cs="Times New Roman"/>
          <w:color w:val="auto"/>
          <w:sz w:val="22"/>
          <w:szCs w:val="22"/>
        </w:rPr>
        <w:t xml:space="preserve">There was a significant interaction between Sentence Type and Task Instruction in the second-pass reading time, </w:t>
      </w:r>
      <w:r>
        <w:rPr>
          <w:rFonts w:ascii="Times New Roman" w:hAnsi="Times New Roman" w:cs="Times New Roman"/>
          <w:i/>
          <w:iCs/>
          <w:color w:val="auto"/>
          <w:sz w:val="22"/>
          <w:szCs w:val="22"/>
        </w:rPr>
        <w:t xml:space="preserve">F </w:t>
      </w:r>
      <w:r>
        <w:rPr>
          <w:rFonts w:ascii="Times New Roman" w:hAnsi="Times New Roman" w:cs="Times New Roman"/>
          <w:color w:val="auto"/>
          <w:sz w:val="22"/>
          <w:szCs w:val="22"/>
        </w:rPr>
        <w:t xml:space="preserve">(2, 176) = 19.99,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&lt; .001,</w:t>
      </w:r>
      <w:r>
        <w:rPr>
          <w:rFonts w:ascii="Times New Roman" w:hAnsi="Times New Roman" w:cs="Times New Roman"/>
          <w:i/>
          <w:iCs/>
          <w:color w:val="auto"/>
          <w:sz w:val="22"/>
          <w:szCs w:val="22"/>
        </w:rPr>
        <w:t xml:space="preserve"> η</w:t>
      </w:r>
      <w:r>
        <w:rPr>
          <w:rFonts w:ascii="Times New Roman" w:eastAsia="SimSun" w:hAnsi="Times New Roman" w:cs="Times New Roman"/>
          <w:i/>
          <w:iCs/>
          <w:color w:val="auto"/>
          <w:sz w:val="22"/>
          <w:szCs w:val="22"/>
          <w:vertAlign w:val="subscript"/>
        </w:rPr>
        <w:t>p</w:t>
      </w:r>
      <w:r>
        <w:rPr>
          <w:rFonts w:ascii="Times New Roman" w:hAnsi="Times New Roman" w:cs="Times New Roman"/>
          <w:i/>
          <w:iCs/>
          <w:color w:val="auto"/>
          <w:sz w:val="22"/>
          <w:szCs w:val="22"/>
          <w:vertAlign w:val="superscript"/>
        </w:rPr>
        <w:t>2</w:t>
      </w:r>
      <w:r>
        <w:rPr>
          <w:rFonts w:ascii="Times New Roman" w:hAnsi="Times New Roman" w:cs="Times New Roman"/>
          <w:color w:val="auto"/>
          <w:sz w:val="22"/>
          <w:szCs w:val="22"/>
        </w:rPr>
        <w:t xml:space="preserve"> = .19. As shown in Fig. 1 (Panel B), reading times for the topic sentences were longer in the summary than in the verification task, </w:t>
      </w:r>
      <w:r>
        <w:rPr>
          <w:rFonts w:ascii="Times New Roman" w:hAnsi="Times New Roman" w:cs="Times New Roman"/>
          <w:i/>
          <w:iCs/>
          <w:color w:val="auto"/>
          <w:sz w:val="22"/>
          <w:szCs w:val="22"/>
        </w:rPr>
        <w:t>F</w:t>
      </w:r>
      <w:r>
        <w:rPr>
          <w:rFonts w:ascii="Times New Roman" w:hAnsi="Times New Roman" w:cs="Times New Roman"/>
          <w:color w:val="auto"/>
          <w:sz w:val="22"/>
          <w:szCs w:val="22"/>
        </w:rPr>
        <w:t xml:space="preserve">(1, 88) = 19.77, </w:t>
      </w:r>
      <w:r>
        <w:rPr>
          <w:rFonts w:ascii="Times New Roman" w:hAnsi="Times New Roman" w:cs="Times New Roman"/>
          <w:i/>
          <w:color w:val="auto"/>
          <w:sz w:val="22"/>
          <w:szCs w:val="22"/>
        </w:rPr>
        <w:t>p</w:t>
      </w:r>
      <w:r>
        <w:rPr>
          <w:rFonts w:ascii="Times New Roman" w:hAnsi="Times New Roman" w:cs="Times New Roman"/>
          <w:color w:val="auto"/>
          <w:sz w:val="22"/>
          <w:szCs w:val="22"/>
        </w:rPr>
        <w:t xml:space="preserve"> &lt; .001, </w:t>
      </w:r>
      <w:r>
        <w:rPr>
          <w:rFonts w:ascii="Times New Roman" w:hAnsi="Times New Roman" w:cs="Times New Roman"/>
          <w:i/>
          <w:iCs/>
          <w:color w:val="auto"/>
          <w:sz w:val="22"/>
          <w:szCs w:val="22"/>
        </w:rPr>
        <w:t>η</w:t>
      </w:r>
      <w:r>
        <w:rPr>
          <w:rFonts w:ascii="Times New Roman" w:hAnsi="Times New Roman" w:cs="Times New Roman"/>
          <w:i/>
          <w:iCs/>
          <w:color w:val="auto"/>
          <w:sz w:val="22"/>
          <w:szCs w:val="22"/>
          <w:vertAlign w:val="subscript"/>
        </w:rPr>
        <w:t>p</w:t>
      </w:r>
      <w:r>
        <w:rPr>
          <w:rFonts w:ascii="Times New Roman" w:hAnsi="Times New Roman" w:cs="Times New Roman"/>
          <w:i/>
          <w:iCs/>
          <w:color w:val="auto"/>
          <w:sz w:val="22"/>
          <w:szCs w:val="22"/>
          <w:vertAlign w:val="superscript"/>
        </w:rPr>
        <w:t xml:space="preserve">2 </w:t>
      </w:r>
      <w:r>
        <w:rPr>
          <w:rFonts w:ascii="Times New Roman" w:hAnsi="Times New Roman" w:cs="Times New Roman"/>
          <w:color w:val="auto"/>
          <w:sz w:val="22"/>
          <w:szCs w:val="22"/>
        </w:rPr>
        <w:t xml:space="preserve">= .18, while no effect of Task Instructions was found for the medial or end sentences, </w:t>
      </w:r>
      <w:r>
        <w:rPr>
          <w:rFonts w:ascii="Times New Roman" w:hAnsi="Times New Roman" w:cs="Times New Roman"/>
          <w:i/>
          <w:iCs/>
          <w:color w:val="auto"/>
          <w:sz w:val="22"/>
          <w:szCs w:val="22"/>
        </w:rPr>
        <w:t>Fs</w:t>
      </w:r>
      <w:r>
        <w:rPr>
          <w:rFonts w:ascii="Times New Roman" w:hAnsi="Times New Roman" w:cs="Times New Roman"/>
          <w:iCs/>
          <w:color w:val="auto"/>
          <w:sz w:val="22"/>
          <w:szCs w:val="22"/>
        </w:rPr>
        <w:t>&lt;1</w:t>
      </w:r>
      <w:r>
        <w:rPr>
          <w:rFonts w:ascii="Times New Roman" w:hAnsi="Times New Roman" w:cs="Times New Roman"/>
          <w:color w:val="auto"/>
          <w:sz w:val="22"/>
          <w:szCs w:val="22"/>
        </w:rPr>
        <w:t xml:space="preserve">. Again, the main effect of Sentence Type was also significant, </w:t>
      </w:r>
      <w:proofErr w:type="gramStart"/>
      <w:r>
        <w:rPr>
          <w:rFonts w:ascii="Times New Roman" w:hAnsi="Times New Roman" w:cs="Times New Roman"/>
          <w:i/>
          <w:iCs/>
          <w:color w:val="auto"/>
          <w:sz w:val="22"/>
          <w:szCs w:val="22"/>
        </w:rPr>
        <w:t>F</w:t>
      </w:r>
      <w:r>
        <w:rPr>
          <w:rFonts w:ascii="Times New Roman" w:hAnsi="Times New Roman" w:cs="Times New Roman"/>
          <w:color w:val="auto"/>
          <w:sz w:val="22"/>
          <w:szCs w:val="22"/>
        </w:rPr>
        <w:t>(</w:t>
      </w:r>
      <w:proofErr w:type="gramEnd"/>
      <w:r>
        <w:rPr>
          <w:rFonts w:ascii="Times New Roman" w:hAnsi="Times New Roman" w:cs="Times New Roman"/>
          <w:color w:val="auto"/>
          <w:sz w:val="22"/>
          <w:szCs w:val="22"/>
        </w:rPr>
        <w:t xml:space="preserve">2, 176) = 70.24,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 xml:space="preserve">&lt; .001, </w:t>
      </w:r>
      <w:r>
        <w:rPr>
          <w:rFonts w:ascii="Times New Roman" w:hAnsi="Times New Roman" w:cs="Times New Roman"/>
          <w:i/>
          <w:color w:val="auto"/>
          <w:sz w:val="22"/>
          <w:szCs w:val="22"/>
        </w:rPr>
        <w:t>η</w:t>
      </w:r>
      <w:r>
        <w:rPr>
          <w:rFonts w:ascii="Times New Roman" w:eastAsia="SimSun" w:hAnsi="Times New Roman" w:cs="Times New Roman"/>
          <w:i/>
          <w:color w:val="auto"/>
          <w:sz w:val="22"/>
          <w:szCs w:val="22"/>
          <w:vertAlign w:val="subscript"/>
        </w:rPr>
        <w:t>p</w:t>
      </w:r>
      <w:r>
        <w:rPr>
          <w:rFonts w:ascii="Times New Roman" w:hAnsi="Times New Roman" w:cs="Times New Roman"/>
          <w:color w:val="auto"/>
          <w:sz w:val="22"/>
          <w:szCs w:val="22"/>
          <w:vertAlign w:val="superscript"/>
        </w:rPr>
        <w:t>2</w:t>
      </w:r>
      <w:r>
        <w:rPr>
          <w:rFonts w:ascii="Times New Roman" w:hAnsi="Times New Roman" w:cs="Times New Roman"/>
          <w:color w:val="auto"/>
          <w:sz w:val="22"/>
        </w:rPr>
        <w:t xml:space="preserve"> </w:t>
      </w:r>
      <w:r>
        <w:rPr>
          <w:rFonts w:ascii="Times New Roman" w:hAnsi="Times New Roman" w:cs="Times New Roman"/>
          <w:color w:val="auto"/>
          <w:sz w:val="22"/>
          <w:szCs w:val="22"/>
        </w:rPr>
        <w:t xml:space="preserve">= .44. </w:t>
      </w:r>
    </w:p>
    <w:p w:rsidR="004D2580" w:rsidRDefault="0034511E">
      <w:pPr>
        <w:pStyle w:val="A0"/>
        <w:adjustRightInd w:val="0"/>
        <w:snapToGrid w:val="0"/>
        <w:spacing w:line="480" w:lineRule="auto"/>
        <w:jc w:val="center"/>
        <w:rPr>
          <w:rFonts w:ascii="Times New Roman" w:hAnsi="Times New Roman" w:cs="Times New Roman"/>
          <w:color w:val="auto"/>
          <w:sz w:val="20"/>
          <w:szCs w:val="20"/>
        </w:rPr>
      </w:pPr>
      <w:r>
        <w:rPr>
          <w:rFonts w:ascii="Times New Roman" w:hAnsi="Times New Roman" w:cs="Times New Roman"/>
          <w:noProof/>
          <w:color w:val="auto"/>
          <w:sz w:val="20"/>
          <w:szCs w:val="20"/>
          <w:lang w:eastAsia="en-US"/>
        </w:rPr>
        <w:lastRenderedPageBreak/>
        <w:drawing>
          <wp:inline distT="0" distB="0" distL="0" distR="0" wp14:anchorId="09474B61" wp14:editId="0F2383E2">
            <wp:extent cx="5274310" cy="2324735"/>
            <wp:effectExtent l="0" t="0" r="2540" b="18415"/>
            <wp:docPr id="11" name="图片 11" descr="C:\Users\DELL\Desktop\Copy of Layout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C:\Users\DELL\Desktop\Copy of Layout 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5274310" cy="2325256"/>
                    </a:xfrm>
                    <a:prstGeom prst="rect">
                      <a:avLst/>
                    </a:prstGeom>
                    <a:noFill/>
                    <a:ln>
                      <a:noFill/>
                    </a:ln>
                  </pic:spPr>
                </pic:pic>
              </a:graphicData>
            </a:graphic>
          </wp:inline>
        </w:drawing>
      </w:r>
    </w:p>
    <w:p w:rsidR="004D2580" w:rsidRDefault="0034511E">
      <w:pPr>
        <w:pStyle w:val="A0"/>
        <w:adjustRightInd w:val="0"/>
        <w:snapToGrid w:val="0"/>
        <w:spacing w:line="480" w:lineRule="auto"/>
        <w:rPr>
          <w:rFonts w:ascii="Times New Roman" w:hAnsi="Times New Roman" w:cs="Times New Roman"/>
          <w:color w:val="auto"/>
          <w:sz w:val="20"/>
          <w:szCs w:val="20"/>
        </w:rPr>
      </w:pPr>
      <w:r>
        <w:rPr>
          <w:rFonts w:ascii="Times New Roman" w:hAnsi="Times New Roman" w:cs="Times New Roman"/>
          <w:b/>
          <w:color w:val="auto"/>
          <w:sz w:val="20"/>
          <w:szCs w:val="20"/>
        </w:rPr>
        <w:t>Fig.1.</w:t>
      </w:r>
      <w:r>
        <w:rPr>
          <w:rFonts w:ascii="Times New Roman" w:hAnsi="Times New Roman" w:cs="Times New Roman"/>
          <w:color w:val="auto"/>
          <w:sz w:val="20"/>
          <w:szCs w:val="20"/>
        </w:rPr>
        <w:t xml:space="preserve"> Mean first-pass (Panel A) and mean second-pass (Panel B) reading times </w:t>
      </w:r>
      <w:r>
        <w:rPr>
          <w:rFonts w:ascii="Times New Roman" w:eastAsia="SimSun" w:hAnsi="Times New Roman" w:cs="Times New Roman"/>
          <w:color w:val="auto"/>
          <w:kern w:val="0"/>
          <w:sz w:val="20"/>
          <w:szCs w:val="20"/>
          <w:lang w:val="en-GB" w:eastAsia="en-US"/>
        </w:rPr>
        <w:t xml:space="preserve">(±SE) </w:t>
      </w:r>
      <w:r>
        <w:rPr>
          <w:rFonts w:ascii="Times New Roman" w:hAnsi="Times New Roman" w:cs="Times New Roman"/>
          <w:color w:val="auto"/>
          <w:sz w:val="20"/>
          <w:szCs w:val="20"/>
        </w:rPr>
        <w:t>in milliseconds (</w:t>
      </w:r>
      <w:proofErr w:type="spellStart"/>
      <w:r>
        <w:rPr>
          <w:rFonts w:ascii="Times New Roman" w:hAnsi="Times New Roman" w:cs="Times New Roman"/>
          <w:color w:val="auto"/>
          <w:sz w:val="20"/>
          <w:szCs w:val="20"/>
        </w:rPr>
        <w:t>ms</w:t>
      </w:r>
      <w:proofErr w:type="spellEnd"/>
      <w:r>
        <w:rPr>
          <w:rFonts w:ascii="Times New Roman" w:hAnsi="Times New Roman" w:cs="Times New Roman"/>
          <w:color w:val="auto"/>
          <w:sz w:val="20"/>
          <w:szCs w:val="20"/>
        </w:rPr>
        <w:t xml:space="preserve">) per word in Experiment 1 for the different sentences in the summary and verification tasks, separately for </w:t>
      </w:r>
      <w:r>
        <w:rPr>
          <w:rFonts w:ascii="Times New Roman" w:eastAsiaTheme="minorEastAsia" w:hAnsi="Times New Roman" w:cs="Times New Roman" w:hint="eastAsia"/>
          <w:color w:val="auto"/>
          <w:sz w:val="20"/>
          <w:szCs w:val="20"/>
        </w:rPr>
        <w:t>t</w:t>
      </w:r>
      <w:r>
        <w:rPr>
          <w:rFonts w:ascii="Times New Roman" w:hAnsi="Times New Roman" w:cs="Times New Roman"/>
          <w:color w:val="auto"/>
          <w:sz w:val="20"/>
          <w:szCs w:val="20"/>
        </w:rPr>
        <w:t xml:space="preserve">he Topic, Medial, and End sentences. </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proofErr w:type="gramStart"/>
      <w:r>
        <w:rPr>
          <w:rFonts w:ascii="Times New Roman" w:hAnsi="Times New Roman" w:cs="Times New Roman"/>
          <w:b/>
          <w:color w:val="auto"/>
          <w:sz w:val="22"/>
          <w:szCs w:val="22"/>
        </w:rPr>
        <w:t>Summary scores.</w:t>
      </w:r>
      <w:proofErr w:type="gramEnd"/>
      <w:r>
        <w:rPr>
          <w:rFonts w:ascii="Times New Roman" w:hAnsi="Times New Roman" w:cs="Times New Roman"/>
          <w:color w:val="auto"/>
          <w:sz w:val="22"/>
          <w:szCs w:val="22"/>
        </w:rPr>
        <w:t xml:space="preserve"> </w:t>
      </w:r>
      <w:r>
        <w:rPr>
          <w:rFonts w:ascii="Times New Roman" w:eastAsiaTheme="minorEastAsia" w:hAnsi="Times New Roman" w:cs="Times New Roman" w:hint="eastAsia"/>
          <w:color w:val="auto"/>
          <w:sz w:val="22"/>
          <w:szCs w:val="22"/>
        </w:rPr>
        <w:t xml:space="preserve">An </w:t>
      </w:r>
      <w:r>
        <w:rPr>
          <w:rFonts w:ascii="Times New Roman" w:eastAsiaTheme="minorEastAsia" w:hAnsi="Times New Roman" w:cs="Times New Roman"/>
          <w:color w:val="auto"/>
          <w:sz w:val="22"/>
          <w:szCs w:val="22"/>
        </w:rPr>
        <w:t>independent</w:t>
      </w:r>
      <w:r>
        <w:rPr>
          <w:rFonts w:ascii="Times New Roman" w:eastAsiaTheme="minorEastAsia" w:hAnsi="Times New Roman" w:cs="Times New Roman" w:hint="eastAsia"/>
          <w:color w:val="auto"/>
          <w:sz w:val="22"/>
          <w:szCs w:val="22"/>
        </w:rPr>
        <w:t xml:space="preserve"> </w:t>
      </w:r>
      <w:r>
        <w:rPr>
          <w:rFonts w:ascii="Times New Roman" w:eastAsiaTheme="minorEastAsia" w:hAnsi="Times New Roman" w:cs="Times New Roman" w:hint="eastAsia"/>
          <w:i/>
          <w:color w:val="auto"/>
          <w:sz w:val="22"/>
          <w:szCs w:val="22"/>
        </w:rPr>
        <w:t>t</w:t>
      </w:r>
      <w:r>
        <w:rPr>
          <w:rFonts w:ascii="Times New Roman" w:eastAsiaTheme="minorEastAsia" w:hAnsi="Times New Roman" w:cs="Times New Roman" w:hint="eastAsia"/>
          <w:color w:val="auto"/>
          <w:sz w:val="22"/>
          <w:szCs w:val="22"/>
        </w:rPr>
        <w:t xml:space="preserve"> test revealed a significant </w:t>
      </w:r>
      <w:r>
        <w:rPr>
          <w:rFonts w:ascii="Times New Roman" w:hAnsi="Times New Roman" w:cs="Times New Roman"/>
          <w:color w:val="auto"/>
          <w:sz w:val="22"/>
          <w:szCs w:val="22"/>
        </w:rPr>
        <w:t xml:space="preserve">effect of Task Instruction on the summary scores, </w:t>
      </w:r>
      <w:proofErr w:type="gramStart"/>
      <w:r>
        <w:rPr>
          <w:rFonts w:ascii="Times New Roman" w:hAnsi="Times New Roman" w:cs="Times New Roman"/>
          <w:i/>
          <w:iCs/>
          <w:color w:val="auto"/>
          <w:sz w:val="22"/>
          <w:szCs w:val="22"/>
        </w:rPr>
        <w:t>t</w:t>
      </w:r>
      <w:r>
        <w:rPr>
          <w:rFonts w:ascii="Times New Roman" w:hAnsi="Times New Roman" w:cs="Times New Roman"/>
          <w:iCs/>
          <w:color w:val="auto"/>
          <w:sz w:val="22"/>
          <w:szCs w:val="22"/>
        </w:rPr>
        <w:t>(</w:t>
      </w:r>
      <w:proofErr w:type="gramEnd"/>
      <w:r>
        <w:rPr>
          <w:rFonts w:ascii="Times New Roman" w:hAnsi="Times New Roman" w:cs="Times New Roman"/>
          <w:iCs/>
          <w:color w:val="auto"/>
          <w:sz w:val="22"/>
          <w:szCs w:val="22"/>
        </w:rPr>
        <w:t>88)</w:t>
      </w:r>
      <w:r>
        <w:rPr>
          <w:rFonts w:ascii="Times New Roman" w:hAnsi="Times New Roman" w:cs="Times New Roman"/>
          <w:i/>
          <w:iCs/>
          <w:color w:val="auto"/>
          <w:sz w:val="22"/>
          <w:szCs w:val="22"/>
        </w:rPr>
        <w:t>=</w:t>
      </w:r>
      <w:r>
        <w:rPr>
          <w:rFonts w:ascii="Times New Roman" w:hAnsi="Times New Roman" w:cs="Times New Roman"/>
          <w:iCs/>
          <w:color w:val="auto"/>
          <w:sz w:val="22"/>
          <w:szCs w:val="22"/>
        </w:rPr>
        <w:t>2.90</w:t>
      </w:r>
      <w:r>
        <w:rPr>
          <w:rFonts w:ascii="Times New Roman" w:hAnsi="Times New Roman" w:cs="Times New Roman"/>
          <w:color w:val="auto"/>
          <w:sz w:val="22"/>
          <w:szCs w:val="22"/>
        </w:rPr>
        <w:t xml:space="preserve">,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 xml:space="preserve">= .005, </w:t>
      </w:r>
      <w:r>
        <w:rPr>
          <w:rFonts w:ascii="Times New Roman" w:eastAsia="SimSun" w:hAnsi="Times New Roman" w:cs="Times New Roman"/>
          <w:i/>
          <w:iCs/>
          <w:color w:val="auto"/>
          <w:kern w:val="0"/>
          <w:sz w:val="22"/>
          <w:szCs w:val="22"/>
          <w:lang w:val="en-GB" w:eastAsia="en-US"/>
        </w:rPr>
        <w:t xml:space="preserve">d </w:t>
      </w:r>
      <w:r>
        <w:rPr>
          <w:rFonts w:ascii="Times New Roman" w:eastAsia="SimSun" w:hAnsi="Times New Roman" w:cs="Times New Roman"/>
          <w:color w:val="auto"/>
          <w:kern w:val="0"/>
          <w:sz w:val="22"/>
          <w:szCs w:val="22"/>
          <w:lang w:val="en-GB" w:eastAsia="en-US"/>
        </w:rPr>
        <w:t>=</w:t>
      </w:r>
      <w:r>
        <w:rPr>
          <w:rFonts w:ascii="Times New Roman" w:eastAsia="SimSun" w:hAnsi="Times New Roman" w:cs="Times New Roman"/>
          <w:color w:val="auto"/>
          <w:kern w:val="0"/>
          <w:sz w:val="22"/>
          <w:szCs w:val="22"/>
          <w:lang w:val="en-GB"/>
        </w:rPr>
        <w:t xml:space="preserve"> .61</w:t>
      </w:r>
      <w:r>
        <w:rPr>
          <w:rFonts w:ascii="Times New Roman" w:eastAsia="SimSun" w:hAnsi="Times New Roman" w:cs="Times New Roman"/>
          <w:color w:val="auto"/>
          <w:sz w:val="22"/>
          <w:szCs w:val="22"/>
        </w:rPr>
        <w:t>, suggesting that</w:t>
      </w:r>
      <w:r>
        <w:rPr>
          <w:rFonts w:ascii="Times New Roman" w:hAnsi="Times New Roman" w:cs="Times New Roman"/>
          <w:color w:val="auto"/>
          <w:sz w:val="22"/>
          <w:szCs w:val="22"/>
        </w:rPr>
        <w:t xml:space="preserve"> readers obtained higher </w:t>
      </w:r>
      <w:r>
        <w:rPr>
          <w:rFonts w:ascii="Times New Roman" w:eastAsia="SimSun" w:hAnsi="Times New Roman" w:cs="Times New Roman"/>
          <w:color w:val="auto"/>
          <w:sz w:val="22"/>
          <w:szCs w:val="22"/>
        </w:rPr>
        <w:t xml:space="preserve">summary </w:t>
      </w:r>
      <w:r>
        <w:rPr>
          <w:rFonts w:ascii="Times New Roman" w:hAnsi="Times New Roman" w:cs="Times New Roman"/>
          <w:color w:val="auto"/>
          <w:sz w:val="22"/>
          <w:szCs w:val="22"/>
        </w:rPr>
        <w:t>scores in the summary task (</w:t>
      </w:r>
      <w:r>
        <w:rPr>
          <w:rFonts w:ascii="Times New Roman" w:eastAsia="SimSun" w:hAnsi="Times New Roman" w:cs="Times New Roman"/>
          <w:i/>
          <w:color w:val="auto"/>
          <w:sz w:val="22"/>
          <w:szCs w:val="22"/>
        </w:rPr>
        <w:t xml:space="preserve">M </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7.13</w:t>
      </w:r>
      <w:r>
        <w:rPr>
          <w:rFonts w:ascii="Times New Roman" w:eastAsia="SimSun" w:hAnsi="Times New Roman" w:cs="Times New Roman"/>
          <w:color w:val="auto"/>
          <w:sz w:val="22"/>
          <w:szCs w:val="22"/>
        </w:rPr>
        <w:t xml:space="preserve">, </w:t>
      </w:r>
      <w:r>
        <w:rPr>
          <w:rFonts w:ascii="Times New Roman" w:eastAsia="SimSun" w:hAnsi="Times New Roman" w:cs="Times New Roman"/>
          <w:i/>
          <w:color w:val="auto"/>
          <w:sz w:val="22"/>
          <w:szCs w:val="22"/>
        </w:rPr>
        <w:t xml:space="preserve">SD </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1.37) than in the verification task (</w:t>
      </w:r>
      <w:r>
        <w:rPr>
          <w:rFonts w:ascii="Times New Roman" w:eastAsia="SimSun" w:hAnsi="Times New Roman" w:cs="Times New Roman"/>
          <w:i/>
          <w:color w:val="auto"/>
          <w:sz w:val="22"/>
          <w:szCs w:val="22"/>
        </w:rPr>
        <w:t xml:space="preserve">M = </w:t>
      </w:r>
      <w:r>
        <w:rPr>
          <w:rFonts w:ascii="Times New Roman" w:hAnsi="Times New Roman" w:cs="Times New Roman"/>
          <w:color w:val="auto"/>
          <w:sz w:val="22"/>
          <w:szCs w:val="22"/>
        </w:rPr>
        <w:t>6.31</w:t>
      </w:r>
      <w:r>
        <w:rPr>
          <w:rFonts w:ascii="Times New Roman" w:eastAsia="SimSun" w:hAnsi="Times New Roman" w:cs="Times New Roman"/>
          <w:color w:val="auto"/>
          <w:sz w:val="22"/>
          <w:szCs w:val="22"/>
        </w:rPr>
        <w:t xml:space="preserve">, </w:t>
      </w:r>
      <w:r>
        <w:rPr>
          <w:rFonts w:ascii="Times New Roman" w:eastAsia="SimSun" w:hAnsi="Times New Roman" w:cs="Times New Roman"/>
          <w:i/>
          <w:color w:val="auto"/>
          <w:sz w:val="22"/>
          <w:szCs w:val="22"/>
        </w:rPr>
        <w:t xml:space="preserve">SD </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 xml:space="preserve">1.31). </w:t>
      </w:r>
    </w:p>
    <w:p w:rsidR="004D2580" w:rsidRDefault="0034511E">
      <w:pPr>
        <w:pStyle w:val="A0"/>
        <w:adjustRightInd w:val="0"/>
        <w:snapToGrid w:val="0"/>
        <w:spacing w:after="160" w:line="480" w:lineRule="auto"/>
        <w:rPr>
          <w:rFonts w:ascii="Times New Roman" w:eastAsia="SimSun" w:hAnsi="Times New Roman" w:cs="Times New Roman"/>
          <w:i/>
          <w:iCs/>
          <w:color w:val="auto"/>
          <w:sz w:val="22"/>
          <w:szCs w:val="22"/>
        </w:rPr>
      </w:pPr>
      <w:r>
        <w:rPr>
          <w:rFonts w:ascii="Times New Roman" w:hAnsi="Times New Roman" w:cs="Times New Roman"/>
          <w:i/>
          <w:iCs/>
          <w:color w:val="auto"/>
          <w:sz w:val="22"/>
          <w:szCs w:val="22"/>
        </w:rPr>
        <w:t>2.2.2. Cluster analysis results</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 xml:space="preserve">We used cluster analysis (Ward’s method, a hierarchical agglomerative procedure that identifies clusters in which the variance of cases within a cluster is relatively small) to distinguish different reading styles among the participants based on four eye movement measures. As in the previous analysis, the eye movement data entered in the cluster analysis comprised averages of the two texts. The analysis was done separately for the participants in the summary and verification conditions. </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hAnsi="Times New Roman" w:cs="Times New Roman"/>
          <w:color w:val="auto"/>
          <w:sz w:val="22"/>
          <w:szCs w:val="22"/>
        </w:rPr>
        <w:t>We considered 2- to 5-cluster solutions. We first opted for a 4-cluster solution for both the summary and verification tasks based on the previous study of Hyönä et al. (2002). The four clusters that emerged in the summary task matched our hypothesis. Thus, we adopted the 4-cluster solution as the best description of the data set</w:t>
      </w:r>
      <w:r>
        <w:rPr>
          <w:rFonts w:ascii="Times New Roman" w:eastAsia="SimSun" w:hAnsi="Times New Roman" w:cs="Times New Roman"/>
          <w:color w:val="auto"/>
          <w:sz w:val="22"/>
          <w:szCs w:val="22"/>
        </w:rPr>
        <w:t xml:space="preserve"> in the summary task</w:t>
      </w:r>
      <w:r>
        <w:rPr>
          <w:rFonts w:ascii="Times New Roman" w:hAnsi="Times New Roman" w:cs="Times New Roman"/>
          <w:color w:val="auto"/>
          <w:sz w:val="22"/>
          <w:szCs w:val="22"/>
        </w:rPr>
        <w:t xml:space="preserve">. The four groups </w:t>
      </w:r>
      <w:r>
        <w:rPr>
          <w:rFonts w:ascii="Times New Roman" w:hAnsi="Times New Roman" w:cs="Times New Roman"/>
          <w:color w:val="auto"/>
          <w:sz w:val="22"/>
          <w:szCs w:val="22"/>
        </w:rPr>
        <w:lastRenderedPageBreak/>
        <w:t xml:space="preserve">that emerged from the cluster analysis were FLRs (n = 24, 53%), SLRs (n = 6, 13%), NSRs (n = </w:t>
      </w:r>
      <w:r>
        <w:rPr>
          <w:rFonts w:ascii="Times New Roman" w:eastAsia="SimSun" w:hAnsi="Times New Roman" w:cs="Times New Roman"/>
          <w:color w:val="auto"/>
          <w:sz w:val="22"/>
          <w:szCs w:val="22"/>
        </w:rPr>
        <w:t>6, 13%</w:t>
      </w:r>
      <w:r>
        <w:rPr>
          <w:rFonts w:ascii="Times New Roman" w:hAnsi="Times New Roman" w:cs="Times New Roman"/>
          <w:color w:val="auto"/>
          <w:sz w:val="22"/>
          <w:szCs w:val="22"/>
        </w:rPr>
        <w:t xml:space="preserve">) and TSPs (n = 9, 20%). </w:t>
      </w:r>
      <w:r>
        <w:rPr>
          <w:rFonts w:ascii="Times New Roman" w:eastAsia="SimSun" w:hAnsi="Times New Roman" w:cs="Times New Roman"/>
          <w:color w:val="auto"/>
          <w:sz w:val="22"/>
          <w:szCs w:val="22"/>
        </w:rPr>
        <w:t xml:space="preserve">On the other hand, </w:t>
      </w:r>
      <w:r>
        <w:rPr>
          <w:rFonts w:ascii="Times New Roman" w:hAnsi="Times New Roman" w:cs="Times New Roman"/>
          <w:color w:val="auto"/>
          <w:sz w:val="22"/>
          <w:szCs w:val="22"/>
        </w:rPr>
        <w:t>the four clusters that emerged in the verification task did not match our hypothesis, because two of them could not be distinguished from each other. We then considered the other cluster solutions for the verification task</w:t>
      </w:r>
      <w:r>
        <w:rPr>
          <w:rFonts w:ascii="Times New Roman" w:hAnsi="Times New Roman" w:cs="Times New Roman" w:hint="eastAsia"/>
          <w:color w:val="auto"/>
          <w:sz w:val="22"/>
          <w:szCs w:val="22"/>
        </w:rPr>
        <w:t>:</w:t>
      </w:r>
      <w:r>
        <w:rPr>
          <w:rFonts w:ascii="Times New Roman" w:hAnsi="Times New Roman" w:cs="Times New Roman"/>
          <w:color w:val="auto"/>
          <w:sz w:val="22"/>
          <w:szCs w:val="22"/>
        </w:rPr>
        <w:t xml:space="preserve"> </w:t>
      </w:r>
      <w:r>
        <w:rPr>
          <w:rFonts w:ascii="Times New Roman" w:eastAsia="SimSun" w:hAnsi="Times New Roman" w:cs="Times New Roman"/>
          <w:color w:val="auto"/>
          <w:sz w:val="22"/>
          <w:szCs w:val="22"/>
        </w:rPr>
        <w:t xml:space="preserve">a 3-cluster solution was adopted as the best description of the data set in the verification task. The three groups were </w:t>
      </w:r>
      <w:r>
        <w:rPr>
          <w:rFonts w:ascii="Times New Roman" w:hAnsi="Times New Roman" w:cs="Times New Roman"/>
          <w:color w:val="auto"/>
          <w:sz w:val="22"/>
          <w:szCs w:val="22"/>
        </w:rPr>
        <w:t xml:space="preserve">FLRs (n = </w:t>
      </w:r>
      <w:r>
        <w:rPr>
          <w:rFonts w:ascii="Times New Roman" w:eastAsia="SimSun" w:hAnsi="Times New Roman" w:cs="Times New Roman"/>
          <w:color w:val="auto"/>
          <w:sz w:val="22"/>
          <w:szCs w:val="22"/>
        </w:rPr>
        <w:t>31, 69%</w:t>
      </w:r>
      <w:r>
        <w:rPr>
          <w:rFonts w:ascii="Times New Roman" w:hAnsi="Times New Roman" w:cs="Times New Roman"/>
          <w:color w:val="auto"/>
          <w:sz w:val="22"/>
          <w:szCs w:val="22"/>
        </w:rPr>
        <w:t xml:space="preserve">), SLRs (n = 6, 13%) and NSRs (n = </w:t>
      </w:r>
      <w:r>
        <w:rPr>
          <w:rFonts w:ascii="Times New Roman" w:eastAsia="SimSun" w:hAnsi="Times New Roman" w:cs="Times New Roman"/>
          <w:color w:val="auto"/>
          <w:sz w:val="22"/>
          <w:szCs w:val="22"/>
        </w:rPr>
        <w:t>8, 18%</w:t>
      </w:r>
      <w:r>
        <w:rPr>
          <w:rFonts w:ascii="Times New Roman" w:hAnsi="Times New Roman" w:cs="Times New Roman"/>
          <w:color w:val="auto"/>
          <w:sz w:val="22"/>
          <w:szCs w:val="22"/>
        </w:rPr>
        <w:t>)</w:t>
      </w:r>
      <w:r>
        <w:rPr>
          <w:rFonts w:ascii="Times New Roman" w:eastAsia="SimSun" w:hAnsi="Times New Roman" w:cs="Times New Roman"/>
          <w:color w:val="auto"/>
          <w:sz w:val="22"/>
          <w:szCs w:val="22"/>
        </w:rPr>
        <w:t xml:space="preserve">. </w:t>
      </w:r>
    </w:p>
    <w:p w:rsidR="004D2580" w:rsidRDefault="0034511E">
      <w:pPr>
        <w:pStyle w:val="A0"/>
        <w:adjustRightInd w:val="0"/>
        <w:snapToGrid w:val="0"/>
        <w:spacing w:after="160" w:line="480" w:lineRule="auto"/>
        <w:ind w:firstLineChars="200" w:firstLine="440"/>
        <w:rPr>
          <w:rFonts w:ascii="Times New Roman" w:hAnsi="Times New Roman"/>
          <w:color w:val="auto"/>
          <w:sz w:val="22"/>
          <w:lang w:val="en-GB"/>
        </w:rPr>
      </w:pPr>
      <w:r>
        <w:rPr>
          <w:rFonts w:ascii="Times New Roman" w:hAnsi="Times New Roman" w:cs="Times New Roman"/>
          <w:color w:val="auto"/>
          <w:sz w:val="22"/>
          <w:lang w:val="en-GB"/>
        </w:rPr>
        <w:t>We used the split-half method to test the stability of the adopted cluster solutions (</w:t>
      </w:r>
      <w:proofErr w:type="spellStart"/>
      <w:r>
        <w:rPr>
          <w:rFonts w:ascii="Times New Roman" w:hAnsi="Times New Roman" w:cs="Times New Roman"/>
          <w:color w:val="auto"/>
          <w:sz w:val="22"/>
          <w:lang w:val="en-GB"/>
        </w:rPr>
        <w:t>Dolnicar</w:t>
      </w:r>
      <w:proofErr w:type="spellEnd"/>
      <w:r>
        <w:rPr>
          <w:rFonts w:ascii="Times New Roman" w:hAnsi="Times New Roman" w:cs="Times New Roman"/>
          <w:color w:val="auto"/>
          <w:sz w:val="22"/>
          <w:lang w:val="en-GB"/>
        </w:rPr>
        <w:t xml:space="preserve">, 2002). The participants of both the summary task and the verification task were randomly split into two groups (each group with 22 or 23 participants) and the cluster analysis was then recomputed for the two subgroups. The analysis distinguished four types of readers for both subgroups in the summary task condition and three types of readers for both subgroups in the verification task condition. Chi-squared tests showed no difference between the two groups in the summary task condition, </w:t>
      </w:r>
      <w:proofErr w:type="gramStart"/>
      <w:r>
        <w:rPr>
          <w:rFonts w:ascii="Times New Roman" w:hAnsi="Times New Roman" w:cs="Times New Roman"/>
          <w:b/>
          <w:bCs/>
          <w:i/>
          <w:iCs/>
          <w:color w:val="auto"/>
          <w:sz w:val="22"/>
          <w:lang w:val="en-GB"/>
        </w:rPr>
        <w:t>χ</w:t>
      </w:r>
      <w:r>
        <w:rPr>
          <w:rFonts w:ascii="Times New Roman" w:hAnsi="Times New Roman" w:cs="Times New Roman"/>
          <w:b/>
          <w:bCs/>
          <w:i/>
          <w:color w:val="auto"/>
          <w:sz w:val="22"/>
          <w:vertAlign w:val="superscript"/>
          <w:lang w:val="en-GB"/>
        </w:rPr>
        <w:t>2</w:t>
      </w:r>
      <w:r>
        <w:rPr>
          <w:rFonts w:ascii="Times New Roman" w:hAnsi="Times New Roman" w:cs="Times New Roman"/>
          <w:color w:val="auto"/>
          <w:sz w:val="22"/>
          <w:lang w:val="en-GB"/>
        </w:rPr>
        <w:t>(</w:t>
      </w:r>
      <w:proofErr w:type="gramEnd"/>
      <w:r>
        <w:rPr>
          <w:rFonts w:ascii="Times New Roman" w:hAnsi="Times New Roman" w:cs="Times New Roman"/>
          <w:color w:val="auto"/>
          <w:sz w:val="22"/>
          <w:lang w:val="en-GB"/>
        </w:rPr>
        <w:t xml:space="preserve">3) = 4.21, </w:t>
      </w:r>
      <w:r>
        <w:rPr>
          <w:rFonts w:ascii="Times New Roman" w:hAnsi="Times New Roman" w:cs="Times New Roman"/>
          <w:i/>
          <w:color w:val="auto"/>
          <w:sz w:val="22"/>
          <w:lang w:val="en-GB"/>
        </w:rPr>
        <w:t xml:space="preserve">p </w:t>
      </w:r>
      <w:r>
        <w:rPr>
          <w:rFonts w:ascii="Times New Roman" w:hAnsi="Times New Roman" w:cs="Times New Roman"/>
          <w:color w:val="auto"/>
          <w:sz w:val="22"/>
          <w:lang w:val="en-GB"/>
        </w:rPr>
        <w:t xml:space="preserve">= .24, or between the two groups in the verification task condition, </w:t>
      </w:r>
      <w:r>
        <w:rPr>
          <w:rFonts w:ascii="Times New Roman" w:hAnsi="Times New Roman" w:cs="Times New Roman"/>
          <w:b/>
          <w:bCs/>
          <w:i/>
          <w:iCs/>
          <w:color w:val="auto"/>
          <w:sz w:val="22"/>
          <w:lang w:val="en-GB"/>
        </w:rPr>
        <w:t>χ</w:t>
      </w:r>
      <w:r>
        <w:rPr>
          <w:rFonts w:ascii="Times New Roman" w:hAnsi="Times New Roman" w:cs="Times New Roman"/>
          <w:b/>
          <w:bCs/>
          <w:i/>
          <w:color w:val="auto"/>
          <w:sz w:val="22"/>
          <w:vertAlign w:val="superscript"/>
          <w:lang w:val="en-GB"/>
        </w:rPr>
        <w:t>2</w:t>
      </w:r>
      <w:r>
        <w:rPr>
          <w:rFonts w:ascii="Times New Roman" w:hAnsi="Times New Roman" w:cs="Times New Roman"/>
          <w:color w:val="auto"/>
          <w:sz w:val="22"/>
          <w:lang w:val="en-GB"/>
        </w:rPr>
        <w:t xml:space="preserve">(2) = .01, </w:t>
      </w:r>
      <w:r>
        <w:rPr>
          <w:rFonts w:ascii="Times New Roman" w:hAnsi="Times New Roman" w:cs="Times New Roman"/>
          <w:i/>
          <w:color w:val="auto"/>
          <w:sz w:val="22"/>
          <w:lang w:val="en-GB"/>
        </w:rPr>
        <w:t xml:space="preserve">p </w:t>
      </w:r>
      <w:r>
        <w:rPr>
          <w:rFonts w:ascii="Times New Roman" w:hAnsi="Times New Roman" w:cs="Times New Roman"/>
          <w:color w:val="auto"/>
          <w:sz w:val="22"/>
          <w:lang w:val="en-GB"/>
        </w:rPr>
        <w:t>=.99. These results indicate that the adopted cluster solutions were stable.</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eastAsia="SimSun" w:hAnsi="Times New Roman" w:cs="Times New Roman"/>
          <w:color w:val="auto"/>
          <w:sz w:val="22"/>
          <w:szCs w:val="22"/>
        </w:rPr>
        <w:t xml:space="preserve">The overall description of the reader groups is provided below when presenting the fixation time data for the first- and second-pass reading separately for the different reader groups in each task condition. </w:t>
      </w:r>
      <w:r>
        <w:rPr>
          <w:rFonts w:ascii="Times New Roman" w:hAnsi="Times New Roman" w:cs="Times New Roman"/>
          <w:color w:val="auto"/>
          <w:sz w:val="22"/>
          <w:szCs w:val="22"/>
        </w:rPr>
        <w:t>The correlations between the eye fixation measures and summary scores are reported in the Appendix separately for each sentence type and reader group.</w:t>
      </w:r>
    </w:p>
    <w:p w:rsidR="004D2580" w:rsidRDefault="0034511E">
      <w:pPr>
        <w:pStyle w:val="A0"/>
        <w:adjustRightInd w:val="0"/>
        <w:snapToGrid w:val="0"/>
        <w:spacing w:after="160" w:line="480" w:lineRule="auto"/>
        <w:rPr>
          <w:rFonts w:ascii="Times New Roman" w:hAnsi="Times New Roman" w:cs="Times New Roman"/>
          <w:i/>
          <w:iCs/>
          <w:color w:val="auto"/>
          <w:sz w:val="22"/>
          <w:szCs w:val="22"/>
        </w:rPr>
      </w:pPr>
      <w:r>
        <w:rPr>
          <w:rFonts w:ascii="Times New Roman" w:hAnsi="Times New Roman" w:cs="Times New Roman"/>
          <w:i/>
          <w:iCs/>
          <w:color w:val="auto"/>
          <w:sz w:val="22"/>
          <w:szCs w:val="22"/>
        </w:rPr>
        <w:t xml:space="preserve">2.2.3. Reading times of the </w:t>
      </w:r>
      <w:r>
        <w:rPr>
          <w:rFonts w:ascii="Times New Roman" w:eastAsia="SimSun" w:hAnsi="Times New Roman" w:cs="Times New Roman"/>
          <w:i/>
          <w:iCs/>
          <w:color w:val="auto"/>
          <w:sz w:val="22"/>
          <w:szCs w:val="22"/>
        </w:rPr>
        <w:t xml:space="preserve">different </w:t>
      </w:r>
      <w:r>
        <w:rPr>
          <w:rFonts w:ascii="Times New Roman" w:hAnsi="Times New Roman" w:cs="Times New Roman"/>
          <w:i/>
          <w:iCs/>
          <w:color w:val="auto"/>
          <w:sz w:val="22"/>
          <w:szCs w:val="22"/>
        </w:rPr>
        <w:t>reader</w:t>
      </w:r>
      <w:r>
        <w:rPr>
          <w:rFonts w:ascii="Times New Roman" w:eastAsia="SimSun" w:hAnsi="Times New Roman" w:cs="Times New Roman"/>
          <w:i/>
          <w:iCs/>
          <w:color w:val="auto"/>
          <w:sz w:val="22"/>
          <w:szCs w:val="22"/>
        </w:rPr>
        <w:t xml:space="preserve"> group</w:t>
      </w:r>
      <w:r>
        <w:rPr>
          <w:rFonts w:ascii="Times New Roman" w:hAnsi="Times New Roman" w:cs="Times New Roman"/>
          <w:i/>
          <w:iCs/>
          <w:color w:val="auto"/>
          <w:sz w:val="22"/>
          <w:szCs w:val="22"/>
        </w:rPr>
        <w:t>s</w:t>
      </w:r>
    </w:p>
    <w:p w:rsidR="004D2580" w:rsidRDefault="0034511E">
      <w:pPr>
        <w:pStyle w:val="A0"/>
        <w:adjustRightInd w:val="0"/>
        <w:snapToGrid w:val="0"/>
        <w:spacing w:after="160" w:line="480" w:lineRule="auto"/>
        <w:ind w:firstLineChars="200" w:firstLine="440"/>
        <w:rPr>
          <w:rFonts w:ascii="Times New Roman" w:hAnsi="Times New Roman"/>
          <w:color w:val="auto"/>
          <w:sz w:val="22"/>
        </w:rPr>
      </w:pPr>
      <w:r>
        <w:rPr>
          <w:rFonts w:ascii="Times New Roman" w:hAnsi="Times New Roman"/>
          <w:color w:val="auto"/>
          <w:sz w:val="22"/>
        </w:rPr>
        <w:t>The means and standard errors of the first- and second-pass reading times are presented in Fig. 2 for the different reader groups, separately for the summary and verification tasks. In order to analyze the</w:t>
      </w:r>
      <w:r>
        <w:rPr>
          <w:rFonts w:ascii="Times New Roman" w:hAnsi="Times New Roman" w:hint="eastAsia"/>
          <w:color w:val="auto"/>
          <w:sz w:val="22"/>
        </w:rPr>
        <w:t xml:space="preserve"> </w:t>
      </w:r>
      <w:r>
        <w:rPr>
          <w:rFonts w:ascii="Times New Roman" w:hAnsi="Times New Roman"/>
          <w:color w:val="auto"/>
          <w:sz w:val="22"/>
        </w:rPr>
        <w:t xml:space="preserve">reading behavior of the </w:t>
      </w:r>
      <w:r>
        <w:rPr>
          <w:rFonts w:ascii="Times New Roman" w:hAnsi="Times New Roman" w:hint="eastAsia"/>
          <w:color w:val="auto"/>
          <w:sz w:val="22"/>
        </w:rPr>
        <w:t>different</w:t>
      </w:r>
      <w:r>
        <w:rPr>
          <w:rFonts w:ascii="Times New Roman" w:hAnsi="Times New Roman"/>
          <w:color w:val="auto"/>
          <w:sz w:val="22"/>
        </w:rPr>
        <w:t xml:space="preserve"> reader clusters, three-way ANOVAs were conducted</w:t>
      </w:r>
      <w:r>
        <w:rPr>
          <w:rFonts w:ascii="Times New Roman" w:hAnsi="Times New Roman" w:hint="eastAsia"/>
          <w:color w:val="auto"/>
          <w:sz w:val="22"/>
        </w:rPr>
        <w:t xml:space="preserve"> s</w:t>
      </w:r>
      <w:r>
        <w:rPr>
          <w:rFonts w:ascii="Times New Roman" w:hAnsi="Times New Roman"/>
          <w:color w:val="auto"/>
          <w:sz w:val="22"/>
        </w:rPr>
        <w:t xml:space="preserve">eparately for each reading task using Sentence Type and Reading Pass </w:t>
      </w:r>
      <w:r>
        <w:rPr>
          <w:rFonts w:ascii="Times New Roman" w:hAnsi="Times New Roman"/>
          <w:color w:val="auto"/>
          <w:sz w:val="22"/>
        </w:rPr>
        <w:lastRenderedPageBreak/>
        <w:t>(first-pass</w:t>
      </w:r>
      <w:r>
        <w:rPr>
          <w:rFonts w:ascii="Times New Roman" w:hAnsi="Times New Roman" w:hint="eastAsia"/>
          <w:color w:val="auto"/>
          <w:sz w:val="22"/>
        </w:rPr>
        <w:t xml:space="preserve"> </w:t>
      </w:r>
      <w:r>
        <w:rPr>
          <w:rFonts w:ascii="Times New Roman" w:hAnsi="Times New Roman"/>
          <w:color w:val="auto"/>
          <w:sz w:val="22"/>
        </w:rPr>
        <w:t>vs. second-pass</w:t>
      </w:r>
      <w:r>
        <w:rPr>
          <w:rFonts w:ascii="Times New Roman" w:hAnsi="Times New Roman" w:hint="eastAsia"/>
          <w:color w:val="auto"/>
          <w:sz w:val="22"/>
        </w:rPr>
        <w:t xml:space="preserve"> reading time</w:t>
      </w:r>
      <w:r>
        <w:rPr>
          <w:rFonts w:ascii="Times New Roman" w:hAnsi="Times New Roman"/>
          <w:color w:val="auto"/>
          <w:sz w:val="22"/>
        </w:rPr>
        <w:t>) as the within-subjects variables and Reader Group as the between-subjects variable.</w:t>
      </w:r>
    </w:p>
    <w:p w:rsidR="004D2580" w:rsidRDefault="0034511E">
      <w:pPr>
        <w:pStyle w:val="A0"/>
        <w:adjustRightInd w:val="0"/>
        <w:snapToGrid w:val="0"/>
        <w:spacing w:line="480" w:lineRule="auto"/>
        <w:jc w:val="center"/>
        <w:rPr>
          <w:rFonts w:ascii="Times New Roman" w:eastAsia="SimSun" w:hAnsi="Times New Roman" w:cs="Times New Roman"/>
          <w:color w:val="auto"/>
          <w:sz w:val="22"/>
          <w:szCs w:val="22"/>
        </w:rPr>
      </w:pPr>
      <w:r>
        <w:rPr>
          <w:rFonts w:ascii="Times New Roman" w:eastAsia="SimSun" w:hAnsi="Times New Roman" w:cs="Times New Roman"/>
          <w:noProof/>
          <w:color w:val="auto"/>
          <w:sz w:val="22"/>
          <w:szCs w:val="22"/>
          <w:lang w:eastAsia="en-US"/>
        </w:rPr>
        <w:drawing>
          <wp:inline distT="0" distB="0" distL="0" distR="0" wp14:anchorId="60873F0E" wp14:editId="3F8AE0A4">
            <wp:extent cx="5309870" cy="4679950"/>
            <wp:effectExtent l="0" t="0" r="5080" b="6350"/>
            <wp:docPr id="15" name="图片 15" descr="C:\Users\DELL\Desktop\exp1grou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C:\Users\DELL\Desktop\exp1group.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5310000" cy="4680000"/>
                    </a:xfrm>
                    <a:prstGeom prst="rect">
                      <a:avLst/>
                    </a:prstGeom>
                    <a:noFill/>
                    <a:ln>
                      <a:noFill/>
                    </a:ln>
                  </pic:spPr>
                </pic:pic>
              </a:graphicData>
            </a:graphic>
          </wp:inline>
        </w:drawing>
      </w:r>
    </w:p>
    <w:p w:rsidR="004D2580" w:rsidRDefault="0034511E">
      <w:pPr>
        <w:pStyle w:val="A0"/>
        <w:adjustRightInd w:val="0"/>
        <w:snapToGrid w:val="0"/>
        <w:spacing w:line="480" w:lineRule="auto"/>
        <w:jc w:val="left"/>
        <w:rPr>
          <w:rFonts w:ascii="Times New Roman" w:hAnsi="Times New Roman" w:cs="Times New Roman"/>
          <w:color w:val="auto"/>
          <w:sz w:val="22"/>
          <w:szCs w:val="22"/>
        </w:rPr>
      </w:pPr>
      <w:r>
        <w:rPr>
          <w:rFonts w:ascii="Times New Roman" w:hAnsi="Times New Roman" w:cs="Times New Roman"/>
          <w:b/>
          <w:color w:val="auto"/>
          <w:sz w:val="20"/>
          <w:szCs w:val="20"/>
        </w:rPr>
        <w:t xml:space="preserve">Fig.2. </w:t>
      </w:r>
      <w:r>
        <w:rPr>
          <w:rFonts w:ascii="Times New Roman" w:hAnsi="Times New Roman" w:cs="Times New Roman"/>
          <w:color w:val="auto"/>
          <w:sz w:val="20"/>
          <w:szCs w:val="20"/>
        </w:rPr>
        <w:t xml:space="preserve">Mean first-pass and mean second-pass reading times (± </w:t>
      </w:r>
      <w:r>
        <w:rPr>
          <w:rFonts w:ascii="Times New Roman" w:hAnsi="Times New Roman" w:cs="Times New Roman"/>
          <w:i/>
          <w:color w:val="auto"/>
          <w:sz w:val="20"/>
          <w:szCs w:val="20"/>
        </w:rPr>
        <w:t>SE</w:t>
      </w:r>
      <w:r>
        <w:rPr>
          <w:rFonts w:ascii="Times New Roman" w:hAnsi="Times New Roman" w:cs="Times New Roman"/>
          <w:color w:val="auto"/>
          <w:sz w:val="20"/>
          <w:szCs w:val="20"/>
        </w:rPr>
        <w:t>) for the different reader groups in the summary (Panel A and B) and verification tasks (Panel C and D) in Experiment 1, as a function of the sentence type.</w:t>
      </w:r>
      <w:r>
        <w:rPr>
          <w:rFonts w:ascii="Times New Roman" w:hAnsi="Times New Roman" w:cs="Times New Roman"/>
          <w:color w:val="auto"/>
          <w:sz w:val="22"/>
          <w:szCs w:val="22"/>
        </w:rPr>
        <w:t xml:space="preserve"> </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proofErr w:type="gramStart"/>
      <w:r>
        <w:rPr>
          <w:rFonts w:ascii="Times New Roman" w:hAnsi="Times New Roman"/>
          <w:b/>
          <w:color w:val="auto"/>
          <w:sz w:val="22"/>
        </w:rPr>
        <w:t>Summary task.</w:t>
      </w:r>
      <w:proofErr w:type="gramEnd"/>
      <w:r>
        <w:rPr>
          <w:rFonts w:ascii="Times New Roman" w:hAnsi="Times New Roman"/>
          <w:b/>
          <w:color w:val="auto"/>
          <w:sz w:val="22"/>
        </w:rPr>
        <w:t xml:space="preserve"> </w:t>
      </w:r>
      <w:r>
        <w:rPr>
          <w:rFonts w:ascii="Times New Roman" w:hAnsi="Times New Roman"/>
          <w:color w:val="auto"/>
          <w:sz w:val="22"/>
        </w:rPr>
        <w:t>The</w:t>
      </w:r>
      <w:r>
        <w:rPr>
          <w:rFonts w:ascii="Times New Roman" w:hAnsi="Times New Roman" w:cs="Times New Roman"/>
          <w:color w:val="auto"/>
          <w:sz w:val="22"/>
          <w:szCs w:val="22"/>
        </w:rPr>
        <w:t> </w:t>
      </w:r>
      <w:r>
        <w:rPr>
          <w:rFonts w:ascii="Times New Roman" w:hAnsi="Times New Roman"/>
          <w:color w:val="auto"/>
          <w:sz w:val="22"/>
        </w:rPr>
        <w:t>Reader Group × Reading Pass interaction [</w:t>
      </w:r>
      <w:r>
        <w:rPr>
          <w:rFonts w:ascii="Times New Roman" w:hAnsi="Times New Roman"/>
          <w:i/>
          <w:color w:val="auto"/>
          <w:sz w:val="22"/>
        </w:rPr>
        <w:t>F</w:t>
      </w:r>
      <w:r>
        <w:rPr>
          <w:rFonts w:ascii="Times New Roman" w:hAnsi="Times New Roman"/>
          <w:color w:val="auto"/>
          <w:sz w:val="22"/>
        </w:rPr>
        <w:t xml:space="preserve">(3, 41) = 31.39, </w:t>
      </w:r>
      <w:r>
        <w:rPr>
          <w:rFonts w:ascii="Times New Roman" w:hAnsi="Times New Roman"/>
          <w:i/>
          <w:color w:val="auto"/>
          <w:sz w:val="22"/>
        </w:rPr>
        <w:t>p</w:t>
      </w:r>
      <w:r>
        <w:rPr>
          <w:rFonts w:ascii="Times New Roman" w:hAnsi="Times New Roman"/>
          <w:i/>
          <w:color w:val="auto"/>
          <w:sz w:val="22"/>
          <w:vertAlign w:val="subscript"/>
        </w:rPr>
        <w:t xml:space="preserve">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.70</w:t>
      </w:r>
      <w:r>
        <w:rPr>
          <w:rFonts w:ascii="Times New Roman" w:hAnsi="Times New Roman" w:cs="Times New Roman"/>
          <w:color w:val="auto"/>
          <w:sz w:val="22"/>
          <w:szCs w:val="22"/>
        </w:rPr>
        <w:t>,</w:t>
      </w:r>
      <w:r>
        <w:rPr>
          <w:rFonts w:ascii="Times New Roman" w:hAnsi="Times New Roman"/>
          <w:color w:val="auto"/>
          <w:sz w:val="22"/>
        </w:rPr>
        <w:t xml:space="preserve"> and the Reader Group × Sentence Type interaction [</w:t>
      </w:r>
      <w:r>
        <w:rPr>
          <w:rFonts w:ascii="Times New Roman" w:hAnsi="Times New Roman"/>
          <w:i/>
          <w:color w:val="auto"/>
          <w:sz w:val="22"/>
        </w:rPr>
        <w:t>F</w:t>
      </w:r>
      <w:r>
        <w:rPr>
          <w:rFonts w:ascii="Times New Roman" w:hAnsi="Times New Roman"/>
          <w:color w:val="auto"/>
          <w:sz w:val="22"/>
        </w:rPr>
        <w:t xml:space="preserve">(6, 82) = 93.28, </w:t>
      </w:r>
      <w:r>
        <w:rPr>
          <w:rFonts w:ascii="Times New Roman" w:hAnsi="Times New Roman"/>
          <w:i/>
          <w:color w:val="auto"/>
          <w:sz w:val="22"/>
        </w:rPr>
        <w:t>p</w:t>
      </w:r>
      <w:r>
        <w:rPr>
          <w:rFonts w:ascii="Times New Roman" w:hAnsi="Times New Roman"/>
          <w:i/>
          <w:color w:val="auto"/>
          <w:sz w:val="22"/>
          <w:vertAlign w:val="subscript"/>
        </w:rPr>
        <w:t xml:space="preserve">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.87], were both significant, but the Reader Group × Reading Pass × Sentence Type interaction was not [</w:t>
      </w:r>
      <w:r>
        <w:rPr>
          <w:rFonts w:ascii="Times New Roman" w:hAnsi="Times New Roman"/>
          <w:i/>
          <w:color w:val="auto"/>
          <w:sz w:val="22"/>
        </w:rPr>
        <w:t>F</w:t>
      </w:r>
      <w:r>
        <w:rPr>
          <w:rFonts w:ascii="Times New Roman" w:hAnsi="Times New Roman"/>
          <w:color w:val="auto"/>
          <w:sz w:val="22"/>
        </w:rPr>
        <w:t xml:space="preserve">(6, 82) = 1.40, </w:t>
      </w:r>
      <w:r>
        <w:rPr>
          <w:rFonts w:ascii="Times New Roman" w:hAnsi="Times New Roman"/>
          <w:i/>
          <w:color w:val="auto"/>
          <w:sz w:val="22"/>
        </w:rPr>
        <w:t xml:space="preserve">p </w:t>
      </w:r>
      <w:r>
        <w:rPr>
          <w:rFonts w:ascii="Times New Roman" w:hAnsi="Times New Roman"/>
          <w:color w:val="auto"/>
          <w:sz w:val="22"/>
        </w:rPr>
        <w:t xml:space="preserve">= .223]. Although the three-way interaction was not significant (it proved significant in all subsequent analyses), </w:t>
      </w:r>
      <w:r>
        <w:rPr>
          <w:rFonts w:ascii="Times New Roman" w:hAnsi="Times New Roman" w:cs="Times New Roman"/>
          <w:color w:val="auto"/>
          <w:sz w:val="22"/>
          <w:szCs w:val="22"/>
        </w:rPr>
        <w:t xml:space="preserve">the two 2-way interactions were. Thus, </w:t>
      </w:r>
      <w:r>
        <w:rPr>
          <w:rFonts w:ascii="Times New Roman" w:hAnsi="Times New Roman"/>
          <w:color w:val="auto"/>
          <w:sz w:val="22"/>
        </w:rPr>
        <w:t xml:space="preserve">we followed </w:t>
      </w:r>
      <w:r>
        <w:rPr>
          <w:rFonts w:ascii="Times New Roman" w:hAnsi="Times New Roman" w:cs="Times New Roman"/>
          <w:color w:val="auto"/>
          <w:sz w:val="22"/>
          <w:szCs w:val="22"/>
        </w:rPr>
        <w:t>them</w:t>
      </w:r>
      <w:r>
        <w:rPr>
          <w:rFonts w:ascii="Times New Roman" w:hAnsi="Times New Roman"/>
          <w:color w:val="auto"/>
          <w:sz w:val="22"/>
        </w:rPr>
        <w:t xml:space="preserve"> up with </w:t>
      </w:r>
      <w:r>
        <w:rPr>
          <w:rStyle w:val="fontstyle01"/>
          <w:color w:val="auto"/>
          <w:sz w:val="22"/>
        </w:rPr>
        <w:t>a 2 (</w:t>
      </w:r>
      <w:r>
        <w:rPr>
          <w:rFonts w:ascii="Times New Roman" w:hAnsi="Times New Roman"/>
          <w:color w:val="auto"/>
          <w:sz w:val="22"/>
        </w:rPr>
        <w:t xml:space="preserve">Reading Pass) × </w:t>
      </w:r>
      <w:r>
        <w:rPr>
          <w:rStyle w:val="fontstyle01"/>
          <w:color w:val="auto"/>
          <w:sz w:val="22"/>
        </w:rPr>
        <w:t>3 (</w:t>
      </w:r>
      <w:r>
        <w:rPr>
          <w:rFonts w:ascii="Times New Roman" w:hAnsi="Times New Roman"/>
          <w:color w:val="auto"/>
          <w:sz w:val="22"/>
        </w:rPr>
        <w:t>Sentence Type)</w:t>
      </w:r>
      <w:r>
        <w:rPr>
          <w:rStyle w:val="fontstyle01"/>
          <w:color w:val="auto"/>
          <w:sz w:val="22"/>
        </w:rPr>
        <w:t xml:space="preserve"> repeated measures ANOVA separately for each group </w:t>
      </w:r>
      <w:r>
        <w:rPr>
          <w:rFonts w:ascii="Times New Roman" w:hAnsi="Times New Roman"/>
          <w:color w:val="auto"/>
          <w:sz w:val="22"/>
        </w:rPr>
        <w:t xml:space="preserve">to characterize their reading patterns. </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proofErr w:type="spellStart"/>
      <w:proofErr w:type="gramStart"/>
      <w:r>
        <w:rPr>
          <w:rFonts w:ascii="Times New Roman" w:hAnsi="Times New Roman"/>
          <w:color w:val="auto"/>
          <w:sz w:val="22"/>
          <w:u w:val="single"/>
        </w:rPr>
        <w:lastRenderedPageBreak/>
        <w:t>TSPs</w:t>
      </w:r>
      <w:r>
        <w:rPr>
          <w:rFonts w:ascii="Times New Roman" w:hAnsi="Times New Roman"/>
          <w:color w:val="auto"/>
          <w:sz w:val="22"/>
        </w:rPr>
        <w:t>.</w:t>
      </w:r>
      <w:proofErr w:type="spellEnd"/>
      <w:proofErr w:type="gramEnd"/>
      <w:r>
        <w:rPr>
          <w:rFonts w:ascii="Times New Roman" w:hAnsi="Times New Roman"/>
          <w:color w:val="auto"/>
          <w:sz w:val="22"/>
        </w:rPr>
        <w:t xml:space="preserve"> The main effect of Sentence Type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16) = 1667.37,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1.00] and Reading Pass [</w:t>
      </w:r>
      <w:r>
        <w:rPr>
          <w:rFonts w:ascii="Times New Roman" w:hAnsi="Times New Roman"/>
          <w:i/>
          <w:color w:val="auto"/>
          <w:sz w:val="22"/>
        </w:rPr>
        <w:t>F</w:t>
      </w:r>
      <w:r>
        <w:rPr>
          <w:rFonts w:ascii="Times New Roman" w:hAnsi="Times New Roman"/>
          <w:color w:val="auto"/>
          <w:sz w:val="22"/>
        </w:rPr>
        <w:t xml:space="preserve">(1, 8) = 24.48,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.75] were significant for TSPs, and so was their interaction [</w:t>
      </w:r>
      <w:r>
        <w:rPr>
          <w:rFonts w:ascii="Times New Roman" w:hAnsi="Times New Roman"/>
          <w:i/>
          <w:color w:val="auto"/>
          <w:sz w:val="22"/>
        </w:rPr>
        <w:t>F</w:t>
      </w:r>
      <w:r>
        <w:rPr>
          <w:rFonts w:ascii="Times New Roman" w:hAnsi="Times New Roman"/>
          <w:color w:val="auto"/>
          <w:sz w:val="22"/>
        </w:rPr>
        <w:t xml:space="preserve">(2, 7) = 2686.97,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1.00]. The interaction was followed up by simple effect analyses of Sentence Type within each level of Reading Pass. An effect of sentence type was observed both for first-pass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7) = 2686.97,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1.00] and second-pass [</w:t>
      </w:r>
      <w:r>
        <w:rPr>
          <w:rFonts w:ascii="Times New Roman" w:hAnsi="Times New Roman"/>
          <w:i/>
          <w:color w:val="auto"/>
          <w:sz w:val="22"/>
        </w:rPr>
        <w:t>F</w:t>
      </w:r>
      <w:r>
        <w:rPr>
          <w:rFonts w:ascii="Times New Roman" w:hAnsi="Times New Roman"/>
          <w:color w:val="auto"/>
          <w:sz w:val="22"/>
        </w:rPr>
        <w:t>(2, 7) =</w:t>
      </w:r>
      <w:r>
        <w:rPr>
          <w:color w:val="auto"/>
          <w:sz w:val="22"/>
        </w:rPr>
        <w:t xml:space="preserve"> </w:t>
      </w:r>
      <w:r>
        <w:rPr>
          <w:rFonts w:ascii="Times New Roman" w:hAnsi="Times New Roman"/>
          <w:color w:val="auto"/>
          <w:sz w:val="22"/>
        </w:rPr>
        <w:t xml:space="preserve">1720.78,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1.00] reading. Multiple comparisons showed that TSPs spent longer time reading topic sentences than medial and end sentences, and spent longer time reading end sentences than medial sentence both during the first- and second-pass reading (</w:t>
      </w:r>
      <w:proofErr w:type="spellStart"/>
      <w:r>
        <w:rPr>
          <w:rFonts w:ascii="Times New Roman" w:hAnsi="Times New Roman"/>
          <w:i/>
          <w:color w:val="auto"/>
          <w:sz w:val="22"/>
        </w:rPr>
        <w:t>ps</w:t>
      </w:r>
      <w:proofErr w:type="spellEnd"/>
      <w:r>
        <w:rPr>
          <w:rFonts w:ascii="Times New Roman" w:hAnsi="Times New Roman"/>
          <w:i/>
          <w:color w:val="auto"/>
          <w:sz w:val="22"/>
        </w:rPr>
        <w:t xml:space="preserve"> &lt; .</w:t>
      </w:r>
      <w:r>
        <w:rPr>
          <w:rFonts w:ascii="Times New Roman" w:hAnsi="Times New Roman"/>
          <w:color w:val="auto"/>
          <w:sz w:val="22"/>
        </w:rPr>
        <w:t>001). In other words, TSPs showed clear sensitivity to the text’s topic structure by spending ample time on topic sentences.</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proofErr w:type="gramStart"/>
      <w:r>
        <w:rPr>
          <w:rFonts w:ascii="Times New Roman" w:hAnsi="Times New Roman"/>
          <w:color w:val="auto"/>
          <w:sz w:val="22"/>
          <w:u w:val="single"/>
        </w:rPr>
        <w:t>FLRs</w:t>
      </w:r>
      <w:r>
        <w:rPr>
          <w:rFonts w:ascii="Times New Roman" w:hAnsi="Times New Roman"/>
          <w:color w:val="auto"/>
          <w:sz w:val="22"/>
        </w:rPr>
        <w:t>.</w:t>
      </w:r>
      <w:proofErr w:type="gramEnd"/>
      <w:r>
        <w:rPr>
          <w:rFonts w:ascii="Times New Roman" w:hAnsi="Times New Roman"/>
          <w:color w:val="auto"/>
          <w:sz w:val="22"/>
        </w:rPr>
        <w:t xml:space="preserve"> The main effect of Sentence Type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16) = 1667.37,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1.00] and Reading Pass [</w:t>
      </w:r>
      <w:r>
        <w:rPr>
          <w:rFonts w:ascii="Times New Roman" w:hAnsi="Times New Roman"/>
          <w:i/>
          <w:color w:val="auto"/>
          <w:sz w:val="22"/>
        </w:rPr>
        <w:t>F</w:t>
      </w:r>
      <w:r>
        <w:rPr>
          <w:rFonts w:ascii="Times New Roman" w:hAnsi="Times New Roman"/>
          <w:color w:val="auto"/>
          <w:sz w:val="22"/>
        </w:rPr>
        <w:t xml:space="preserve">(1, 8) = 24.48,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.75] proved significant for FLRs. Their interaction was marginally significant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46) = 3.12, </w:t>
      </w:r>
      <w:r>
        <w:rPr>
          <w:rFonts w:ascii="Times New Roman" w:hAnsi="Times New Roman"/>
          <w:i/>
          <w:color w:val="auto"/>
          <w:sz w:val="22"/>
        </w:rPr>
        <w:t xml:space="preserve">p </w:t>
      </w:r>
      <w:r>
        <w:rPr>
          <w:rFonts w:ascii="Times New Roman" w:hAnsi="Times New Roman"/>
          <w:color w:val="auto"/>
          <w:sz w:val="22"/>
        </w:rPr>
        <w:t xml:space="preserve">= .054,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.12]. The main effect of Sentence Type emerged for both first-pass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22) = 22.35,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.67 ] and second-pass [</w:t>
      </w:r>
      <w:r>
        <w:rPr>
          <w:rFonts w:ascii="Times New Roman" w:hAnsi="Times New Roman"/>
          <w:i/>
          <w:color w:val="auto"/>
          <w:sz w:val="22"/>
        </w:rPr>
        <w:t>F</w:t>
      </w:r>
      <w:r>
        <w:rPr>
          <w:rFonts w:ascii="Times New Roman" w:hAnsi="Times New Roman"/>
          <w:color w:val="auto"/>
          <w:sz w:val="22"/>
        </w:rPr>
        <w:t>(2, 22) =</w:t>
      </w:r>
      <w:r>
        <w:rPr>
          <w:color w:val="auto"/>
          <w:sz w:val="22"/>
        </w:rPr>
        <w:t xml:space="preserve"> </w:t>
      </w:r>
      <w:r>
        <w:rPr>
          <w:rFonts w:ascii="Times New Roman" w:hAnsi="Times New Roman"/>
          <w:color w:val="auto"/>
          <w:sz w:val="22"/>
        </w:rPr>
        <w:t xml:space="preserve">27.62,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.71] reading. Multiple comparisons showed that during first-pass reading FLRs spent longer time reading topic and end sentences than medial sentences (</w:t>
      </w:r>
      <w:proofErr w:type="spellStart"/>
      <w:r>
        <w:rPr>
          <w:rFonts w:ascii="Times New Roman" w:hAnsi="Times New Roman"/>
          <w:i/>
          <w:color w:val="auto"/>
          <w:sz w:val="22"/>
        </w:rPr>
        <w:t>ps</w:t>
      </w:r>
      <w:proofErr w:type="spellEnd"/>
      <w:r>
        <w:rPr>
          <w:rFonts w:ascii="Times New Roman" w:hAnsi="Times New Roman"/>
          <w:i/>
          <w:color w:val="auto"/>
          <w:sz w:val="22"/>
        </w:rPr>
        <w:t xml:space="preserve"> </w:t>
      </w:r>
      <w:r>
        <w:rPr>
          <w:rFonts w:ascii="Times New Roman" w:hAnsi="Times New Roman"/>
          <w:color w:val="auto"/>
          <w:sz w:val="22"/>
        </w:rPr>
        <w:t>&lt; .001), but showed no differences reading topic and end sentences (</w:t>
      </w:r>
      <w:r>
        <w:rPr>
          <w:rFonts w:ascii="Times New Roman" w:hAnsi="Times New Roman"/>
          <w:i/>
          <w:color w:val="auto"/>
          <w:sz w:val="22"/>
        </w:rPr>
        <w:t xml:space="preserve">p = </w:t>
      </w:r>
      <w:r>
        <w:rPr>
          <w:rFonts w:ascii="Times New Roman" w:hAnsi="Times New Roman"/>
          <w:color w:val="auto"/>
          <w:sz w:val="22"/>
        </w:rPr>
        <w:t>.980). Moreover, during second-pass reading they spent longer time reading topic sentences than medial and end sentences (</w:t>
      </w:r>
      <w:proofErr w:type="spellStart"/>
      <w:r>
        <w:rPr>
          <w:rFonts w:ascii="Times New Roman" w:hAnsi="Times New Roman"/>
          <w:i/>
          <w:color w:val="auto"/>
          <w:sz w:val="22"/>
        </w:rPr>
        <w:t>ps</w:t>
      </w:r>
      <w:proofErr w:type="spellEnd"/>
      <w:r>
        <w:rPr>
          <w:rFonts w:ascii="Times New Roman" w:hAnsi="Times New Roman"/>
          <w:i/>
          <w:color w:val="auto"/>
          <w:sz w:val="22"/>
        </w:rPr>
        <w:t xml:space="preserve"> </w:t>
      </w:r>
      <w:r>
        <w:rPr>
          <w:rFonts w:ascii="Times New Roman" w:hAnsi="Times New Roman"/>
          <w:color w:val="auto"/>
          <w:sz w:val="22"/>
        </w:rPr>
        <w:t>&lt; .001), but showed no difference in reading medial and end sentences (</w:t>
      </w:r>
      <w:r>
        <w:rPr>
          <w:rFonts w:ascii="Times New Roman" w:hAnsi="Times New Roman"/>
          <w:i/>
          <w:color w:val="auto"/>
          <w:sz w:val="22"/>
        </w:rPr>
        <w:t xml:space="preserve">p = </w:t>
      </w:r>
      <w:r>
        <w:rPr>
          <w:rFonts w:ascii="Times New Roman" w:hAnsi="Times New Roman"/>
          <w:color w:val="auto"/>
          <w:sz w:val="22"/>
        </w:rPr>
        <w:t>.846). In other words, during first-pass reading FLRs showed sensitivity to paragraph structure (more fixation time on initial and final sentences), while their second-pass reading showed sensitivity to topic structure (additional fixation time spent on topic sentences).</w:t>
      </w:r>
      <w:r>
        <w:rPr>
          <w:rFonts w:ascii="Times New Roman" w:hAnsi="Times New Roman" w:cs="Times New Roman"/>
          <w:color w:val="auto"/>
          <w:sz w:val="22"/>
          <w:szCs w:val="22"/>
        </w:rPr>
        <w:t xml:space="preserve"> Their reading was also characterized by spending little time overall in second-pass reading.</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proofErr w:type="gramStart"/>
      <w:r>
        <w:rPr>
          <w:rFonts w:ascii="Times New Roman" w:hAnsi="Times New Roman"/>
          <w:color w:val="auto"/>
          <w:sz w:val="22"/>
          <w:u w:val="single"/>
        </w:rPr>
        <w:t>SLRs</w:t>
      </w:r>
      <w:r>
        <w:rPr>
          <w:rFonts w:ascii="Times New Roman" w:hAnsi="Times New Roman"/>
          <w:color w:val="auto"/>
          <w:sz w:val="22"/>
        </w:rPr>
        <w:t>.</w:t>
      </w:r>
      <w:proofErr w:type="gramEnd"/>
      <w:r>
        <w:rPr>
          <w:rFonts w:ascii="Times New Roman" w:hAnsi="Times New Roman"/>
          <w:color w:val="auto"/>
          <w:sz w:val="22"/>
        </w:rPr>
        <w:t xml:space="preserve"> The main effect of Sentence Type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10) = 129.45,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.96] and Reading Pass [</w:t>
      </w:r>
      <w:r>
        <w:rPr>
          <w:rFonts w:ascii="Times New Roman" w:hAnsi="Times New Roman"/>
          <w:i/>
          <w:color w:val="auto"/>
          <w:sz w:val="22"/>
        </w:rPr>
        <w:t>F</w:t>
      </w:r>
      <w:r>
        <w:rPr>
          <w:rFonts w:ascii="Times New Roman" w:hAnsi="Times New Roman"/>
          <w:color w:val="auto"/>
          <w:sz w:val="22"/>
        </w:rPr>
        <w:t xml:space="preserve">(1, 5) = 210.48,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.98] proved significant for SLRs, but their </w:t>
      </w:r>
      <w:r>
        <w:rPr>
          <w:rFonts w:ascii="Times New Roman" w:hAnsi="Times New Roman"/>
          <w:color w:val="auto"/>
          <w:sz w:val="22"/>
        </w:rPr>
        <w:lastRenderedPageBreak/>
        <w:t>interaction did not [</w:t>
      </w:r>
      <w:r>
        <w:rPr>
          <w:rFonts w:ascii="Times New Roman" w:hAnsi="Times New Roman"/>
          <w:i/>
          <w:color w:val="auto"/>
          <w:sz w:val="22"/>
        </w:rPr>
        <w:t>F</w:t>
      </w:r>
      <w:r>
        <w:rPr>
          <w:rFonts w:ascii="Times New Roman" w:hAnsi="Times New Roman"/>
          <w:color w:val="auto"/>
          <w:sz w:val="22"/>
        </w:rPr>
        <w:t>&lt;1]. SLRs spent longer time reading the sentences during first-pass than second-pass reading. Moreover, multiple comparisons showed that they spent longer time reading topic sentences than medial or end sentences (</w:t>
      </w:r>
      <w:proofErr w:type="spellStart"/>
      <w:r>
        <w:rPr>
          <w:rFonts w:ascii="Times New Roman" w:hAnsi="Times New Roman"/>
          <w:i/>
          <w:color w:val="auto"/>
          <w:sz w:val="22"/>
        </w:rPr>
        <w:t>ps</w:t>
      </w:r>
      <w:proofErr w:type="spellEnd"/>
      <w:r>
        <w:rPr>
          <w:rFonts w:ascii="Times New Roman" w:hAnsi="Times New Roman" w:cs="Times New Roman"/>
          <w:i/>
          <w:color w:val="auto"/>
          <w:sz w:val="22"/>
          <w:szCs w:val="22"/>
        </w:rPr>
        <w:t xml:space="preserve"> </w:t>
      </w:r>
      <w:r>
        <w:rPr>
          <w:rFonts w:ascii="Times New Roman" w:hAnsi="Times New Roman"/>
          <w:color w:val="auto"/>
          <w:sz w:val="22"/>
        </w:rPr>
        <w:t>&lt; .001), but showed no difference in reading medial and end sentences (</w:t>
      </w:r>
      <w:r>
        <w:rPr>
          <w:rFonts w:ascii="Times New Roman" w:hAnsi="Times New Roman"/>
          <w:i/>
          <w:color w:val="auto"/>
          <w:sz w:val="22"/>
        </w:rPr>
        <w:t xml:space="preserve">p = </w:t>
      </w:r>
      <w:r>
        <w:rPr>
          <w:rFonts w:ascii="Times New Roman" w:hAnsi="Times New Roman"/>
          <w:color w:val="auto"/>
          <w:sz w:val="22"/>
        </w:rPr>
        <w:t>1.00). Thus, SLRs showed some sensitivity to topic structure.</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proofErr w:type="gramStart"/>
      <w:r>
        <w:rPr>
          <w:rFonts w:ascii="Times New Roman" w:hAnsi="Times New Roman"/>
          <w:color w:val="auto"/>
          <w:sz w:val="22"/>
          <w:u w:val="single"/>
        </w:rPr>
        <w:t>NSRs</w:t>
      </w:r>
      <w:r>
        <w:rPr>
          <w:rFonts w:ascii="Times New Roman" w:hAnsi="Times New Roman"/>
          <w:color w:val="auto"/>
          <w:sz w:val="22"/>
        </w:rPr>
        <w:t>.</w:t>
      </w:r>
      <w:proofErr w:type="gramEnd"/>
      <w:r>
        <w:rPr>
          <w:rFonts w:ascii="Times New Roman" w:hAnsi="Times New Roman"/>
          <w:color w:val="auto"/>
          <w:sz w:val="22"/>
        </w:rPr>
        <w:t xml:space="preserve"> Only the main effect of Sentence Type was significant for NSRs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10) = 14.85,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.75; </w:t>
      </w:r>
      <w:r>
        <w:rPr>
          <w:rFonts w:ascii="Times New Roman" w:hAnsi="Times New Roman"/>
          <w:i/>
          <w:color w:val="auto"/>
          <w:sz w:val="22"/>
        </w:rPr>
        <w:t>F</w:t>
      </w:r>
      <w:r>
        <w:rPr>
          <w:rFonts w:ascii="Times New Roman" w:hAnsi="Times New Roman"/>
          <w:color w:val="auto"/>
          <w:sz w:val="22"/>
        </w:rPr>
        <w:t>&lt;1 for other effects]. NSRs spent longer time reading topic than medial (</w:t>
      </w:r>
      <w:r>
        <w:rPr>
          <w:rFonts w:ascii="Times New Roman" w:hAnsi="Times New Roman"/>
          <w:i/>
          <w:color w:val="auto"/>
          <w:sz w:val="22"/>
        </w:rPr>
        <w:t xml:space="preserve">p = </w:t>
      </w:r>
      <w:r>
        <w:rPr>
          <w:rFonts w:ascii="Times New Roman" w:hAnsi="Times New Roman"/>
          <w:color w:val="auto"/>
          <w:sz w:val="22"/>
        </w:rPr>
        <w:t>.065) or end (</w:t>
      </w:r>
      <w:r>
        <w:rPr>
          <w:rFonts w:ascii="Times New Roman" w:hAnsi="Times New Roman"/>
          <w:i/>
          <w:color w:val="auto"/>
          <w:sz w:val="22"/>
        </w:rPr>
        <w:t>p =</w:t>
      </w:r>
      <w:r>
        <w:rPr>
          <w:rFonts w:ascii="Times New Roman" w:hAnsi="Times New Roman"/>
          <w:color w:val="auto"/>
          <w:sz w:val="22"/>
        </w:rPr>
        <w:t xml:space="preserve"> .015) sentences, but showed no difference in reading medial and end sentences (</w:t>
      </w:r>
      <w:r>
        <w:rPr>
          <w:rFonts w:ascii="Times New Roman" w:hAnsi="Times New Roman"/>
          <w:i/>
          <w:color w:val="auto"/>
          <w:sz w:val="22"/>
        </w:rPr>
        <w:t>p = .</w:t>
      </w:r>
      <w:r>
        <w:rPr>
          <w:rFonts w:ascii="Times New Roman" w:hAnsi="Times New Roman"/>
          <w:color w:val="auto"/>
          <w:sz w:val="22"/>
        </w:rPr>
        <w:t xml:space="preserve">347). Thus, NSRs showed some sensitivity to topic structure. </w:t>
      </w:r>
      <w:r>
        <w:rPr>
          <w:rFonts w:ascii="Times New Roman" w:hAnsi="Times New Roman" w:cs="Times New Roman"/>
          <w:color w:val="auto"/>
          <w:sz w:val="22"/>
          <w:szCs w:val="22"/>
        </w:rPr>
        <w:t>However, their characteristic feature was that</w:t>
      </w:r>
      <w:r>
        <w:rPr>
          <w:rFonts w:ascii="Times New Roman" w:hAnsi="Times New Roman"/>
          <w:color w:val="auto"/>
          <w:sz w:val="22"/>
        </w:rPr>
        <w:t xml:space="preserve"> they spent comparable amount of time during first- and second-pass reading.</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proofErr w:type="gramStart"/>
      <w:r>
        <w:rPr>
          <w:rFonts w:ascii="Times New Roman" w:hAnsi="Times New Roman"/>
          <w:b/>
          <w:color w:val="auto"/>
          <w:sz w:val="22"/>
        </w:rPr>
        <w:t>Verification task.</w:t>
      </w:r>
      <w:proofErr w:type="gramEnd"/>
      <w:r>
        <w:rPr>
          <w:rFonts w:ascii="Times New Roman" w:hAnsi="Times New Roman"/>
          <w:color w:val="auto"/>
          <w:sz w:val="22"/>
        </w:rPr>
        <w:t xml:space="preserve"> The </w:t>
      </w:r>
      <w:r>
        <w:rPr>
          <w:rFonts w:ascii="Times New Roman" w:hAnsi="Times New Roman" w:hint="eastAsia"/>
          <w:color w:val="auto"/>
          <w:sz w:val="22"/>
        </w:rPr>
        <w:t>R</w:t>
      </w:r>
      <w:r>
        <w:rPr>
          <w:rFonts w:ascii="Times New Roman" w:hAnsi="Times New Roman"/>
          <w:color w:val="auto"/>
          <w:sz w:val="22"/>
        </w:rPr>
        <w:t xml:space="preserve">eader </w:t>
      </w:r>
      <w:r>
        <w:rPr>
          <w:rFonts w:ascii="Times New Roman" w:hAnsi="Times New Roman" w:hint="eastAsia"/>
          <w:color w:val="auto"/>
          <w:sz w:val="22"/>
        </w:rPr>
        <w:t>G</w:t>
      </w:r>
      <w:r>
        <w:rPr>
          <w:rFonts w:ascii="Times New Roman" w:hAnsi="Times New Roman"/>
          <w:color w:val="auto"/>
          <w:sz w:val="22"/>
        </w:rPr>
        <w:t xml:space="preserve">roup × </w:t>
      </w:r>
      <w:r>
        <w:rPr>
          <w:rFonts w:ascii="Times New Roman" w:hAnsi="Times New Roman" w:hint="eastAsia"/>
          <w:color w:val="auto"/>
          <w:sz w:val="22"/>
        </w:rPr>
        <w:t>R</w:t>
      </w:r>
      <w:r>
        <w:rPr>
          <w:rFonts w:ascii="Times New Roman" w:hAnsi="Times New Roman"/>
          <w:color w:val="auto"/>
          <w:sz w:val="22"/>
        </w:rPr>
        <w:t xml:space="preserve">eading </w:t>
      </w:r>
      <w:r>
        <w:rPr>
          <w:rFonts w:ascii="Times New Roman" w:hAnsi="Times New Roman" w:hint="eastAsia"/>
          <w:color w:val="auto"/>
          <w:sz w:val="22"/>
        </w:rPr>
        <w:t>P</w:t>
      </w:r>
      <w:r>
        <w:rPr>
          <w:rFonts w:ascii="Times New Roman" w:hAnsi="Times New Roman"/>
          <w:color w:val="auto"/>
          <w:sz w:val="22"/>
        </w:rPr>
        <w:t xml:space="preserve">ass × </w:t>
      </w:r>
      <w:r>
        <w:rPr>
          <w:rFonts w:ascii="Times New Roman" w:hAnsi="Times New Roman" w:hint="eastAsia"/>
          <w:color w:val="auto"/>
          <w:sz w:val="22"/>
        </w:rPr>
        <w:t>S</w:t>
      </w:r>
      <w:r>
        <w:rPr>
          <w:rFonts w:ascii="Times New Roman" w:hAnsi="Times New Roman"/>
          <w:color w:val="auto"/>
          <w:sz w:val="22"/>
        </w:rPr>
        <w:t xml:space="preserve">entence </w:t>
      </w:r>
      <w:r>
        <w:rPr>
          <w:rFonts w:ascii="Times New Roman" w:hAnsi="Times New Roman" w:hint="eastAsia"/>
          <w:color w:val="auto"/>
          <w:sz w:val="22"/>
        </w:rPr>
        <w:t>T</w:t>
      </w:r>
      <w:r>
        <w:rPr>
          <w:rFonts w:ascii="Times New Roman" w:hAnsi="Times New Roman"/>
          <w:color w:val="auto"/>
          <w:sz w:val="22"/>
        </w:rPr>
        <w:t xml:space="preserve">ype interaction was significant,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4, 84) = 3.13, </w:t>
      </w:r>
      <w:r>
        <w:rPr>
          <w:rFonts w:ascii="Times New Roman" w:hAnsi="Times New Roman"/>
          <w:i/>
          <w:color w:val="auto"/>
          <w:sz w:val="22"/>
        </w:rPr>
        <w:t xml:space="preserve">p </w:t>
      </w:r>
      <w:r>
        <w:rPr>
          <w:rFonts w:ascii="Times New Roman" w:hAnsi="Times New Roman"/>
          <w:color w:val="auto"/>
          <w:sz w:val="22"/>
        </w:rPr>
        <w:t xml:space="preserve">= .019,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i/>
          <w:color w:val="auto"/>
          <w:sz w:val="22"/>
          <w:vertAlign w:val="superscript"/>
        </w:rPr>
        <w:t>2</w:t>
      </w:r>
      <w:r>
        <w:rPr>
          <w:rFonts w:ascii="Times New Roman" w:hAnsi="Times New Roman"/>
          <w:color w:val="auto"/>
          <w:sz w:val="22"/>
        </w:rPr>
        <w:t xml:space="preserve"> = .13. To characterize the reading patterns of each group, we followed it up with a</w:t>
      </w:r>
      <w:r>
        <w:rPr>
          <w:rStyle w:val="fontstyle01"/>
          <w:color w:val="auto"/>
          <w:sz w:val="22"/>
        </w:rPr>
        <w:t xml:space="preserve"> 2 (</w:t>
      </w:r>
      <w:r>
        <w:rPr>
          <w:rFonts w:ascii="Times New Roman" w:hAnsi="Times New Roman"/>
          <w:color w:val="auto"/>
          <w:sz w:val="22"/>
        </w:rPr>
        <w:t xml:space="preserve">Reading Pass) × </w:t>
      </w:r>
      <w:r>
        <w:rPr>
          <w:rStyle w:val="fontstyle01"/>
          <w:color w:val="auto"/>
          <w:sz w:val="22"/>
        </w:rPr>
        <w:t>3 (</w:t>
      </w:r>
      <w:r>
        <w:rPr>
          <w:rFonts w:ascii="Times New Roman" w:hAnsi="Times New Roman"/>
          <w:color w:val="auto"/>
          <w:sz w:val="22"/>
        </w:rPr>
        <w:t>Sentence Type)</w:t>
      </w:r>
      <w:r>
        <w:rPr>
          <w:rStyle w:val="fontstyle01"/>
          <w:color w:val="auto"/>
          <w:sz w:val="22"/>
        </w:rPr>
        <w:t xml:space="preserve"> repeated measures ANOVA separately for each group</w:t>
      </w:r>
      <w:r>
        <w:rPr>
          <w:rFonts w:ascii="Times New Roman" w:hAnsi="Times New Roman"/>
          <w:color w:val="auto"/>
          <w:sz w:val="22"/>
        </w:rPr>
        <w:t xml:space="preserve">. </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proofErr w:type="gramStart"/>
      <w:r>
        <w:rPr>
          <w:rFonts w:ascii="Times New Roman" w:hAnsi="Times New Roman"/>
          <w:color w:val="auto"/>
          <w:sz w:val="22"/>
          <w:u w:val="single"/>
        </w:rPr>
        <w:t>FLRs</w:t>
      </w:r>
      <w:r>
        <w:rPr>
          <w:rFonts w:ascii="Times New Roman" w:hAnsi="Times New Roman"/>
          <w:color w:val="auto"/>
          <w:sz w:val="22"/>
        </w:rPr>
        <w:t>.</w:t>
      </w:r>
      <w:proofErr w:type="gramEnd"/>
      <w:r>
        <w:rPr>
          <w:rFonts w:ascii="Times New Roman" w:hAnsi="Times New Roman"/>
          <w:color w:val="auto"/>
          <w:sz w:val="22"/>
        </w:rPr>
        <w:t xml:space="preserve"> The main effect of Reading Pass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1, 30) = 23.21,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.44] and the main effect of Sentence Type were significant for FLRs [</w:t>
      </w:r>
      <w:r>
        <w:rPr>
          <w:rFonts w:ascii="Times New Roman" w:hAnsi="Times New Roman"/>
          <w:i/>
          <w:color w:val="auto"/>
          <w:sz w:val="22"/>
        </w:rPr>
        <w:t>F</w:t>
      </w:r>
      <w:r>
        <w:rPr>
          <w:rFonts w:ascii="Times New Roman" w:hAnsi="Times New Roman"/>
          <w:color w:val="auto"/>
          <w:sz w:val="22"/>
        </w:rPr>
        <w:t xml:space="preserve">(2, 60) = 76.21,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0.72]. Moreover, the Reading Pass × Sentence Type interaction was significant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60) = 17.24, </w:t>
      </w:r>
      <w:r>
        <w:rPr>
          <w:rFonts w:ascii="Times New Roman" w:hAnsi="Times New Roman"/>
          <w:i/>
          <w:color w:val="auto"/>
          <w:sz w:val="22"/>
        </w:rPr>
        <w:t>p</w:t>
      </w:r>
      <w:r>
        <w:rPr>
          <w:rFonts w:ascii="Times New Roman" w:hAnsi="Times New Roman"/>
          <w:i/>
          <w:color w:val="auto"/>
          <w:sz w:val="22"/>
          <w:vertAlign w:val="subscript"/>
        </w:rPr>
        <w:t xml:space="preserve">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.36]. Simple effect analysis of Sentence Type within each level of Reading Pass showed that FLRs demonstrated an effect of Sentence Type both for the first-pass [</w:t>
      </w:r>
      <w:r>
        <w:rPr>
          <w:rFonts w:ascii="Times New Roman" w:hAnsi="Times New Roman"/>
          <w:i/>
          <w:color w:val="auto"/>
          <w:sz w:val="22"/>
        </w:rPr>
        <w:t>F</w:t>
      </w:r>
      <w:r>
        <w:rPr>
          <w:rFonts w:ascii="Times New Roman" w:hAnsi="Times New Roman"/>
          <w:color w:val="auto"/>
          <w:sz w:val="22"/>
        </w:rPr>
        <w:t xml:space="preserve">(2, 29) = 162.33,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w:t>
      </w:r>
      <w:r>
        <w:rPr>
          <w:rFonts w:ascii="Times New Roman" w:hAnsi="Times New Roman" w:cs="Times New Roman"/>
          <w:color w:val="auto"/>
          <w:sz w:val="22"/>
          <w:szCs w:val="22"/>
        </w:rPr>
        <w:t>= .</w:t>
      </w:r>
      <w:r>
        <w:rPr>
          <w:rFonts w:ascii="Times New Roman" w:hAnsi="Times New Roman"/>
          <w:color w:val="auto"/>
          <w:sz w:val="22"/>
        </w:rPr>
        <w:t>92] and second-pass [</w:t>
      </w:r>
      <w:r>
        <w:rPr>
          <w:rFonts w:ascii="Times New Roman" w:hAnsi="Times New Roman"/>
          <w:i/>
          <w:color w:val="auto"/>
          <w:sz w:val="22"/>
        </w:rPr>
        <w:t>F</w:t>
      </w:r>
      <w:r>
        <w:rPr>
          <w:rFonts w:ascii="Times New Roman" w:hAnsi="Times New Roman"/>
          <w:color w:val="auto"/>
          <w:sz w:val="22"/>
        </w:rPr>
        <w:t xml:space="preserve">(2, 29) = 32.95,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w:t>
      </w:r>
      <w:r>
        <w:rPr>
          <w:rFonts w:ascii="Times New Roman" w:hAnsi="Times New Roman" w:cs="Times New Roman"/>
          <w:color w:val="auto"/>
          <w:sz w:val="22"/>
          <w:szCs w:val="22"/>
        </w:rPr>
        <w:t>0</w:t>
      </w:r>
      <w:r>
        <w:rPr>
          <w:rFonts w:ascii="Times New Roman" w:hAnsi="Times New Roman"/>
          <w:color w:val="auto"/>
          <w:sz w:val="22"/>
        </w:rPr>
        <w:t>.69] reading</w:t>
      </w:r>
      <w:r>
        <w:rPr>
          <w:rFonts w:ascii="Times New Roman" w:hAnsi="Times New Roman" w:hint="eastAsia"/>
          <w:color w:val="auto"/>
          <w:sz w:val="22"/>
        </w:rPr>
        <w:t xml:space="preserve"> time</w:t>
      </w:r>
      <w:r>
        <w:rPr>
          <w:rFonts w:ascii="Times New Roman" w:hAnsi="Times New Roman"/>
          <w:color w:val="auto"/>
          <w:sz w:val="22"/>
        </w:rPr>
        <w:t>. Multiple comparisons showed that during the first-pass reading FLRs spent longer time reading topic and end sentences than medial sentences (</w:t>
      </w:r>
      <w:proofErr w:type="spellStart"/>
      <w:r>
        <w:rPr>
          <w:rFonts w:ascii="Times New Roman" w:hAnsi="Times New Roman"/>
          <w:i/>
          <w:color w:val="auto"/>
          <w:sz w:val="22"/>
        </w:rPr>
        <w:t>ps</w:t>
      </w:r>
      <w:proofErr w:type="spellEnd"/>
      <w:r>
        <w:rPr>
          <w:rFonts w:ascii="Times New Roman" w:hAnsi="Times New Roman"/>
          <w:i/>
          <w:color w:val="auto"/>
          <w:sz w:val="22"/>
        </w:rPr>
        <w:t xml:space="preserve"> </w:t>
      </w:r>
      <w:r>
        <w:rPr>
          <w:rFonts w:ascii="Times New Roman" w:hAnsi="Times New Roman"/>
          <w:color w:val="auto"/>
          <w:sz w:val="22"/>
        </w:rPr>
        <w:t>&lt; .001), but showed no differences in reading topic and end sentences (</w:t>
      </w:r>
      <w:r>
        <w:rPr>
          <w:rFonts w:ascii="Times New Roman" w:hAnsi="Times New Roman"/>
          <w:i/>
          <w:color w:val="auto"/>
          <w:sz w:val="22"/>
        </w:rPr>
        <w:t xml:space="preserve">p= </w:t>
      </w:r>
      <w:r>
        <w:rPr>
          <w:rFonts w:ascii="Times New Roman" w:hAnsi="Times New Roman"/>
          <w:color w:val="auto"/>
          <w:sz w:val="22"/>
        </w:rPr>
        <w:t>1.00). Moreover, during the second-pass reading they spent longer time reading topic sentences than medial and end sentences (</w:t>
      </w:r>
      <w:proofErr w:type="spellStart"/>
      <w:r>
        <w:rPr>
          <w:rFonts w:ascii="Times New Roman" w:hAnsi="Times New Roman"/>
          <w:i/>
          <w:color w:val="auto"/>
          <w:sz w:val="22"/>
        </w:rPr>
        <w:t>ps</w:t>
      </w:r>
      <w:proofErr w:type="spellEnd"/>
      <w:r>
        <w:rPr>
          <w:rFonts w:ascii="Times New Roman" w:hAnsi="Times New Roman"/>
          <w:i/>
          <w:color w:val="auto"/>
          <w:sz w:val="22"/>
        </w:rPr>
        <w:t xml:space="preserve"> </w:t>
      </w:r>
      <w:r>
        <w:rPr>
          <w:rFonts w:ascii="Times New Roman" w:hAnsi="Times New Roman"/>
          <w:color w:val="auto"/>
          <w:sz w:val="22"/>
        </w:rPr>
        <w:t xml:space="preserve">&lt; .001), but showed no differences in reading medial and end sentences </w:t>
      </w:r>
      <w:r>
        <w:rPr>
          <w:rFonts w:ascii="Times New Roman" w:hAnsi="Times New Roman"/>
          <w:color w:val="auto"/>
          <w:sz w:val="22"/>
        </w:rPr>
        <w:lastRenderedPageBreak/>
        <w:t>(</w:t>
      </w:r>
      <w:r>
        <w:rPr>
          <w:rFonts w:ascii="Times New Roman" w:hAnsi="Times New Roman"/>
          <w:i/>
          <w:color w:val="auto"/>
          <w:sz w:val="22"/>
        </w:rPr>
        <w:t>p=</w:t>
      </w:r>
      <w:r>
        <w:rPr>
          <w:rFonts w:ascii="Times New Roman" w:hAnsi="Times New Roman"/>
          <w:color w:val="auto"/>
          <w:sz w:val="22"/>
        </w:rPr>
        <w:t xml:space="preserve"> .234). Thus, the first-pass reading of FLRs showed sensitivity to paragraph structure (more fixation time on initial and final sentences), while their second-pass reading showed some sensitivity to topic structure (additional fixation time spent on topic sentences).</w:t>
      </w:r>
      <w:r>
        <w:rPr>
          <w:rFonts w:ascii="Times New Roman" w:hAnsi="Times New Roman" w:cs="Times New Roman"/>
          <w:color w:val="auto"/>
          <w:sz w:val="22"/>
          <w:szCs w:val="22"/>
        </w:rPr>
        <w:t xml:space="preserve"> They were also characterized by spending the majority of time in first-pass reading.</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proofErr w:type="gramStart"/>
      <w:r>
        <w:rPr>
          <w:rFonts w:ascii="Times New Roman" w:hAnsi="Times New Roman"/>
          <w:color w:val="auto"/>
          <w:sz w:val="22"/>
          <w:u w:val="single"/>
        </w:rPr>
        <w:t>SLRs</w:t>
      </w:r>
      <w:r>
        <w:rPr>
          <w:rFonts w:ascii="Times New Roman" w:hAnsi="Times New Roman"/>
          <w:color w:val="auto"/>
          <w:sz w:val="22"/>
        </w:rPr>
        <w:t>.</w:t>
      </w:r>
      <w:proofErr w:type="gramEnd"/>
      <w:r>
        <w:rPr>
          <w:rFonts w:ascii="Times New Roman" w:hAnsi="Times New Roman"/>
          <w:color w:val="auto"/>
          <w:sz w:val="22"/>
        </w:rPr>
        <w:t xml:space="preserve"> The main effect of Reading Pass was significant for SLRs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1, 5) = 40.50,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w:t>
      </w:r>
      <w:r>
        <w:rPr>
          <w:rFonts w:ascii="Times New Roman" w:hAnsi="Times New Roman" w:cs="Times New Roman"/>
          <w:color w:val="auto"/>
          <w:sz w:val="22"/>
          <w:szCs w:val="22"/>
        </w:rPr>
        <w:t>0</w:t>
      </w:r>
      <w:r>
        <w:rPr>
          <w:rFonts w:ascii="Times New Roman" w:hAnsi="Times New Roman"/>
          <w:color w:val="auto"/>
          <w:sz w:val="22"/>
        </w:rPr>
        <w:t xml:space="preserve">.89]. However, neither the main effect of Sentence Type nor the interaction proved significant </w:t>
      </w:r>
      <w:r>
        <w:rPr>
          <w:rFonts w:ascii="Times New Roman" w:hAnsi="Times New Roman" w:cs="Times New Roman"/>
          <w:color w:val="auto"/>
          <w:sz w:val="22"/>
          <w:szCs w:val="22"/>
        </w:rPr>
        <w:t>(</w:t>
      </w:r>
      <w:r>
        <w:rPr>
          <w:rFonts w:ascii="Times New Roman" w:hAnsi="Times New Roman"/>
          <w:i/>
          <w:color w:val="auto"/>
          <w:sz w:val="22"/>
        </w:rPr>
        <w:t>F</w:t>
      </w:r>
      <w:r>
        <w:rPr>
          <w:rFonts w:ascii="Times New Roman" w:hAnsi="Times New Roman"/>
          <w:color w:val="auto"/>
          <w:sz w:val="22"/>
        </w:rPr>
        <w:t>s &lt; 1</w:t>
      </w:r>
      <w:r>
        <w:rPr>
          <w:rFonts w:ascii="Times New Roman" w:hAnsi="Times New Roman" w:cs="Times New Roman"/>
          <w:color w:val="auto"/>
          <w:sz w:val="22"/>
          <w:szCs w:val="22"/>
        </w:rPr>
        <w:t>).</w:t>
      </w:r>
      <w:r>
        <w:rPr>
          <w:rFonts w:ascii="Times New Roman" w:hAnsi="Times New Roman"/>
          <w:color w:val="auto"/>
          <w:sz w:val="22"/>
        </w:rPr>
        <w:t xml:space="preserve"> Thus, SLRs did not show sensitivity to the text’s topic structure. On the other hand, they were characterized by spending </w:t>
      </w:r>
      <w:r>
        <w:rPr>
          <w:rFonts w:ascii="Times New Roman" w:hAnsi="Times New Roman" w:cs="Times New Roman"/>
          <w:color w:val="auto"/>
          <w:sz w:val="22"/>
          <w:szCs w:val="22"/>
        </w:rPr>
        <w:t xml:space="preserve">ample time during first-pass reading and </w:t>
      </w:r>
      <w:r>
        <w:rPr>
          <w:rFonts w:ascii="Times New Roman" w:hAnsi="Times New Roman"/>
          <w:color w:val="auto"/>
          <w:sz w:val="22"/>
        </w:rPr>
        <w:t xml:space="preserve">little time in </w:t>
      </w:r>
      <w:r>
        <w:rPr>
          <w:rFonts w:ascii="Times New Roman" w:hAnsi="Times New Roman" w:cs="Times New Roman"/>
          <w:color w:val="auto"/>
          <w:sz w:val="22"/>
          <w:szCs w:val="22"/>
        </w:rPr>
        <w:t>second-pass reading (see Fig. 2).</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proofErr w:type="gramStart"/>
      <w:r>
        <w:rPr>
          <w:rFonts w:ascii="Times New Roman" w:hAnsi="Times New Roman"/>
          <w:color w:val="auto"/>
          <w:sz w:val="22"/>
          <w:u w:val="single"/>
        </w:rPr>
        <w:t>NSRs</w:t>
      </w:r>
      <w:r>
        <w:rPr>
          <w:rFonts w:ascii="Times New Roman" w:hAnsi="Times New Roman"/>
          <w:color w:val="auto"/>
          <w:sz w:val="22"/>
        </w:rPr>
        <w:t>.</w:t>
      </w:r>
      <w:proofErr w:type="gramEnd"/>
      <w:r>
        <w:rPr>
          <w:rFonts w:ascii="Times New Roman" w:hAnsi="Times New Roman"/>
          <w:color w:val="auto"/>
          <w:sz w:val="22"/>
        </w:rPr>
        <w:t xml:space="preserve"> The data for NSRs revealed no significant effects </w:t>
      </w:r>
      <w:r>
        <w:rPr>
          <w:rFonts w:ascii="Times New Roman" w:hAnsi="Times New Roman" w:cs="Times New Roman"/>
          <w:color w:val="auto"/>
          <w:sz w:val="22"/>
          <w:szCs w:val="22"/>
        </w:rPr>
        <w:t>(</w:t>
      </w:r>
      <w:r>
        <w:rPr>
          <w:rFonts w:ascii="Times New Roman" w:hAnsi="Times New Roman"/>
          <w:i/>
          <w:color w:val="auto"/>
          <w:sz w:val="22"/>
        </w:rPr>
        <w:t>Fs</w:t>
      </w:r>
      <w:r>
        <w:rPr>
          <w:rFonts w:ascii="Times New Roman" w:hAnsi="Times New Roman"/>
          <w:color w:val="auto"/>
          <w:sz w:val="22"/>
        </w:rPr>
        <w:t xml:space="preserve"> &lt; 1.64</w:t>
      </w:r>
      <w:r>
        <w:rPr>
          <w:rFonts w:ascii="Times New Roman" w:hAnsi="Times New Roman" w:cs="Times New Roman"/>
          <w:color w:val="auto"/>
          <w:sz w:val="22"/>
          <w:szCs w:val="22"/>
        </w:rPr>
        <w:t>).</w:t>
      </w:r>
      <w:r>
        <w:rPr>
          <w:rFonts w:ascii="Times New Roman" w:hAnsi="Times New Roman"/>
          <w:color w:val="auto"/>
          <w:sz w:val="22"/>
        </w:rPr>
        <w:t xml:space="preserve"> In other words, they spent similar amount of time during first- and second-pass reading and showed no sensitivity to topic structure</w:t>
      </w:r>
      <w:r>
        <w:rPr>
          <w:rFonts w:ascii="Times New Roman" w:hAnsi="Times New Roman" w:cs="Times New Roman"/>
          <w:color w:val="auto"/>
          <w:sz w:val="22"/>
          <w:szCs w:val="22"/>
        </w:rPr>
        <w:t xml:space="preserve"> (see Fig. 2).</w:t>
      </w:r>
    </w:p>
    <w:p w:rsidR="004D2580" w:rsidRDefault="0034511E">
      <w:pPr>
        <w:pStyle w:val="A0"/>
        <w:adjustRightInd w:val="0"/>
        <w:snapToGrid w:val="0"/>
        <w:spacing w:after="160" w:line="480" w:lineRule="auto"/>
        <w:rPr>
          <w:rFonts w:ascii="Times New Roman" w:hAnsi="Times New Roman" w:cs="Times New Roman"/>
          <w:i/>
          <w:iCs/>
          <w:color w:val="auto"/>
          <w:sz w:val="22"/>
          <w:szCs w:val="22"/>
        </w:rPr>
      </w:pPr>
      <w:r>
        <w:rPr>
          <w:rFonts w:ascii="Times New Roman" w:hAnsi="Times New Roman" w:cs="Times New Roman"/>
          <w:i/>
          <w:iCs/>
          <w:color w:val="auto"/>
          <w:sz w:val="22"/>
          <w:szCs w:val="22"/>
        </w:rPr>
        <w:t xml:space="preserve">2.2.4. </w:t>
      </w:r>
      <w:r>
        <w:rPr>
          <w:rFonts w:ascii="Times New Roman" w:eastAsia="SimSun" w:hAnsi="Times New Roman" w:cs="Times New Roman"/>
          <w:i/>
          <w:iCs/>
          <w:color w:val="auto"/>
          <w:sz w:val="22"/>
          <w:szCs w:val="22"/>
        </w:rPr>
        <w:t>S</w:t>
      </w:r>
      <w:r>
        <w:rPr>
          <w:rFonts w:ascii="Times New Roman" w:hAnsi="Times New Roman" w:cs="Times New Roman"/>
          <w:i/>
          <w:iCs/>
          <w:color w:val="auto"/>
          <w:sz w:val="22"/>
          <w:szCs w:val="22"/>
        </w:rPr>
        <w:t>ummar</w:t>
      </w:r>
      <w:r>
        <w:rPr>
          <w:rFonts w:ascii="Times New Roman" w:eastAsia="SimSun" w:hAnsi="Times New Roman" w:cs="Times New Roman"/>
          <w:i/>
          <w:iCs/>
          <w:color w:val="auto"/>
          <w:sz w:val="22"/>
          <w:szCs w:val="22"/>
        </w:rPr>
        <w:t>y scores of the reader groups</w:t>
      </w:r>
    </w:p>
    <w:p w:rsidR="004D2580" w:rsidRDefault="0034511E">
      <w:pPr>
        <w:pStyle w:val="A0"/>
        <w:spacing w:line="480" w:lineRule="auto"/>
        <w:ind w:firstLineChars="200" w:firstLine="440"/>
        <w:rPr>
          <w:rFonts w:ascii="Times New Roman" w:hAnsi="Times New Roman"/>
          <w:color w:val="auto"/>
          <w:sz w:val="22"/>
        </w:rPr>
      </w:pPr>
      <w:bookmarkStart w:id="56" w:name="OLE_LINK66"/>
      <w:bookmarkStart w:id="57" w:name="OLE_LINK65"/>
      <w:r>
        <w:rPr>
          <w:rFonts w:ascii="Times New Roman" w:hAnsi="Times New Roman" w:cs="Times New Roman"/>
          <w:color w:val="auto"/>
          <w:sz w:val="22"/>
          <w:szCs w:val="22"/>
        </w:rPr>
        <w:t>The</w:t>
      </w:r>
      <w:r>
        <w:rPr>
          <w:rFonts w:ascii="Times New Roman" w:hAnsi="Times New Roman"/>
          <w:color w:val="auto"/>
          <w:sz w:val="22"/>
        </w:rPr>
        <w:t xml:space="preserve"> </w:t>
      </w:r>
      <w:r>
        <w:rPr>
          <w:rFonts w:ascii="Times New Roman" w:eastAsia="SimSun" w:hAnsi="Times New Roman" w:cs="Times New Roman"/>
          <w:color w:val="auto"/>
          <w:sz w:val="22"/>
          <w:szCs w:val="22"/>
        </w:rPr>
        <w:t>summary scores a</w:t>
      </w:r>
      <w:r>
        <w:rPr>
          <w:rFonts w:ascii="Times New Roman" w:hAnsi="Times New Roman" w:cs="Times New Roman"/>
          <w:color w:val="auto"/>
          <w:sz w:val="22"/>
          <w:szCs w:val="22"/>
        </w:rPr>
        <w:t xml:space="preserve">re presented in </w:t>
      </w:r>
      <w:r>
        <w:rPr>
          <w:rFonts w:ascii="Times New Roman" w:eastAsia="SimSun" w:hAnsi="Times New Roman" w:cs="Times New Roman"/>
          <w:color w:val="auto"/>
          <w:sz w:val="22"/>
          <w:szCs w:val="22"/>
        </w:rPr>
        <w:t>Table 1</w:t>
      </w:r>
      <w:r>
        <w:rPr>
          <w:rFonts w:ascii="Times New Roman" w:hAnsi="Times New Roman" w:cs="Times New Roman"/>
          <w:color w:val="auto"/>
          <w:sz w:val="22"/>
          <w:szCs w:val="22"/>
        </w:rPr>
        <w:t>.</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 xml:space="preserve">The interaction between Task Instruction and Reader Group was significant, </w:t>
      </w:r>
      <w:proofErr w:type="gramStart"/>
      <w:r>
        <w:rPr>
          <w:rFonts w:ascii="Times New Roman" w:hAnsi="Times New Roman" w:cs="Times New Roman"/>
          <w:i/>
          <w:iCs/>
          <w:color w:val="auto"/>
          <w:sz w:val="22"/>
          <w:szCs w:val="22"/>
        </w:rPr>
        <w:t>F</w:t>
      </w:r>
      <w:r>
        <w:rPr>
          <w:rFonts w:ascii="Times New Roman" w:hAnsi="Times New Roman" w:cs="Times New Roman"/>
          <w:color w:val="auto"/>
          <w:sz w:val="22"/>
          <w:szCs w:val="22"/>
        </w:rPr>
        <w:t>(</w:t>
      </w:r>
      <w:proofErr w:type="gramEnd"/>
      <w:r>
        <w:rPr>
          <w:rFonts w:ascii="Times New Roman" w:hAnsi="Times New Roman" w:cs="Times New Roman"/>
          <w:color w:val="auto"/>
          <w:sz w:val="22"/>
          <w:szCs w:val="22"/>
        </w:rPr>
        <w:t xml:space="preserve">2, 75) = 5.26,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 xml:space="preserve">= .007, </w:t>
      </w:r>
      <w:r>
        <w:rPr>
          <w:rFonts w:ascii="Times New Roman" w:hAnsi="Times New Roman" w:cs="Times New Roman"/>
          <w:i/>
          <w:iCs/>
          <w:color w:val="auto"/>
          <w:sz w:val="22"/>
          <w:szCs w:val="22"/>
        </w:rPr>
        <w:t>η</w:t>
      </w:r>
      <w:r>
        <w:rPr>
          <w:rFonts w:ascii="Times New Roman" w:eastAsia="SimSun" w:hAnsi="Times New Roman" w:cs="Times New Roman"/>
          <w:i/>
          <w:iCs/>
          <w:color w:val="auto"/>
          <w:sz w:val="22"/>
          <w:szCs w:val="22"/>
          <w:vertAlign w:val="subscript"/>
        </w:rPr>
        <w:t>p</w:t>
      </w:r>
      <w:r>
        <w:rPr>
          <w:rFonts w:ascii="Times New Roman" w:hAnsi="Times New Roman" w:cs="Times New Roman"/>
          <w:i/>
          <w:iCs/>
          <w:color w:val="auto"/>
          <w:sz w:val="22"/>
          <w:szCs w:val="22"/>
          <w:vertAlign w:val="superscript"/>
        </w:rPr>
        <w:t xml:space="preserve">2 </w:t>
      </w:r>
      <w:r>
        <w:rPr>
          <w:rFonts w:ascii="Times New Roman" w:hAnsi="Times New Roman" w:cs="Times New Roman"/>
          <w:color w:val="auto"/>
          <w:sz w:val="22"/>
          <w:szCs w:val="22"/>
        </w:rPr>
        <w:t xml:space="preserve">= .12. Simple effect analysis showed </w:t>
      </w:r>
      <w:r>
        <w:rPr>
          <w:rFonts w:ascii="Times New Roman" w:eastAsiaTheme="minorEastAsia" w:hAnsi="Times New Roman" w:cs="Times New Roman" w:hint="eastAsia"/>
          <w:color w:val="auto"/>
          <w:sz w:val="22"/>
          <w:szCs w:val="22"/>
        </w:rPr>
        <w:t xml:space="preserve">a </w:t>
      </w:r>
      <w:r>
        <w:rPr>
          <w:rFonts w:ascii="Times New Roman" w:hAnsi="Times New Roman" w:cs="Times New Roman"/>
          <w:color w:val="auto"/>
          <w:sz w:val="22"/>
          <w:szCs w:val="22"/>
        </w:rPr>
        <w:t xml:space="preserve">significant </w:t>
      </w:r>
      <w:r>
        <w:rPr>
          <w:rFonts w:ascii="Times New Roman" w:eastAsiaTheme="minorEastAsia" w:hAnsi="Times New Roman" w:cs="Times New Roman" w:hint="eastAsia"/>
          <w:color w:val="auto"/>
          <w:sz w:val="22"/>
          <w:szCs w:val="22"/>
        </w:rPr>
        <w:t xml:space="preserve">effect of Task Instruction </w:t>
      </w:r>
      <w:r>
        <w:rPr>
          <w:rFonts w:ascii="Times New Roman" w:hAnsi="Times New Roman" w:cs="Times New Roman"/>
          <w:color w:val="auto"/>
          <w:sz w:val="22"/>
          <w:szCs w:val="22"/>
        </w:rPr>
        <w:t>for NSRs</w:t>
      </w:r>
      <w:r>
        <w:rPr>
          <w:rFonts w:ascii="Times New Roman" w:eastAsia="SimSun" w:hAnsi="Times New Roman" w:cs="Times New Roman"/>
          <w:iCs/>
          <w:color w:val="auto"/>
          <w:sz w:val="22"/>
          <w:szCs w:val="22"/>
        </w:rPr>
        <w:t xml:space="preserve"> [(</w:t>
      </w:r>
      <w:proofErr w:type="gramStart"/>
      <w:r>
        <w:rPr>
          <w:rFonts w:ascii="Times New Roman" w:hAnsi="Times New Roman" w:cs="Times New Roman"/>
          <w:i/>
          <w:iCs/>
          <w:color w:val="auto"/>
          <w:sz w:val="22"/>
          <w:szCs w:val="22"/>
        </w:rPr>
        <w:t>F</w:t>
      </w:r>
      <w:r>
        <w:rPr>
          <w:rFonts w:ascii="Times New Roman" w:hAnsi="Times New Roman" w:cs="Times New Roman"/>
          <w:color w:val="auto"/>
          <w:sz w:val="22"/>
          <w:szCs w:val="22"/>
        </w:rPr>
        <w:t>(</w:t>
      </w:r>
      <w:proofErr w:type="gramEnd"/>
      <w:r>
        <w:rPr>
          <w:rFonts w:ascii="Times New Roman" w:hAnsi="Times New Roman" w:cs="Times New Roman"/>
          <w:color w:val="auto"/>
          <w:sz w:val="22"/>
          <w:szCs w:val="22"/>
        </w:rPr>
        <w:t xml:space="preserve">1, 75) = 7.45,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 .008</w:t>
      </w:r>
      <w:r>
        <w:rPr>
          <w:rFonts w:ascii="Times New Roman" w:eastAsia="SimSun" w:hAnsi="Times New Roman" w:cs="Times New Roman"/>
          <w:color w:val="auto"/>
          <w:sz w:val="22"/>
          <w:szCs w:val="22"/>
        </w:rPr>
        <w:t xml:space="preserve">, </w:t>
      </w:r>
      <w:r>
        <w:rPr>
          <w:rFonts w:ascii="Times New Roman" w:hAnsi="Times New Roman" w:cs="Times New Roman"/>
          <w:i/>
          <w:iCs/>
          <w:color w:val="auto"/>
          <w:sz w:val="22"/>
          <w:szCs w:val="22"/>
        </w:rPr>
        <w:t>η</w:t>
      </w:r>
      <w:r>
        <w:rPr>
          <w:rFonts w:ascii="Times New Roman" w:eastAsia="SimSun" w:hAnsi="Times New Roman" w:cs="Times New Roman"/>
          <w:i/>
          <w:iCs/>
          <w:color w:val="auto"/>
          <w:sz w:val="22"/>
          <w:szCs w:val="22"/>
          <w:vertAlign w:val="subscript"/>
        </w:rPr>
        <w:t>p</w:t>
      </w:r>
      <w:r>
        <w:rPr>
          <w:rFonts w:ascii="Times New Roman" w:hAnsi="Times New Roman" w:cs="Times New Roman"/>
          <w:i/>
          <w:iCs/>
          <w:color w:val="auto"/>
          <w:sz w:val="22"/>
          <w:szCs w:val="22"/>
          <w:vertAlign w:val="superscript"/>
        </w:rPr>
        <w:t xml:space="preserve">2 </w:t>
      </w:r>
      <w:r>
        <w:rPr>
          <w:rFonts w:ascii="Times New Roman" w:hAnsi="Times New Roman" w:cs="Times New Roman"/>
          <w:color w:val="auto"/>
          <w:sz w:val="22"/>
          <w:szCs w:val="22"/>
        </w:rPr>
        <w:t xml:space="preserve">= </w:t>
      </w:r>
      <w:r>
        <w:rPr>
          <w:rFonts w:ascii="Times New Roman" w:eastAsia="SimSun" w:hAnsi="Times New Roman" w:cs="Times New Roman"/>
          <w:color w:val="auto"/>
          <w:sz w:val="22"/>
          <w:szCs w:val="22"/>
        </w:rPr>
        <w:t>.09)]</w:t>
      </w:r>
      <w:r>
        <w:rPr>
          <w:rFonts w:ascii="Times New Roman" w:hAnsi="Times New Roman" w:cs="Times New Roman"/>
          <w:color w:val="auto"/>
          <w:sz w:val="22"/>
          <w:szCs w:val="22"/>
        </w:rPr>
        <w:t xml:space="preserve"> and SLRs</w:t>
      </w:r>
      <w:r>
        <w:rPr>
          <w:rFonts w:ascii="Times New Roman" w:eastAsia="SimSun" w:hAnsi="Times New Roman" w:cs="Times New Roman"/>
          <w:color w:val="auto"/>
          <w:sz w:val="22"/>
          <w:szCs w:val="22"/>
        </w:rPr>
        <w:t xml:space="preserve"> [(</w:t>
      </w:r>
      <w:r>
        <w:rPr>
          <w:rFonts w:ascii="Times New Roman" w:hAnsi="Times New Roman" w:cs="Times New Roman"/>
          <w:i/>
          <w:iCs/>
          <w:color w:val="auto"/>
          <w:sz w:val="22"/>
          <w:szCs w:val="22"/>
        </w:rPr>
        <w:t>F</w:t>
      </w:r>
      <w:r>
        <w:rPr>
          <w:rFonts w:ascii="Times New Roman" w:hAnsi="Times New Roman" w:cs="Times New Roman"/>
          <w:color w:val="auto"/>
          <w:sz w:val="22"/>
          <w:szCs w:val="22"/>
        </w:rPr>
        <w:t xml:space="preserve">(1, 75) = 5.64,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 .02</w:t>
      </w:r>
      <w:r>
        <w:rPr>
          <w:rFonts w:ascii="Times New Roman" w:eastAsia="SimSun" w:hAnsi="Times New Roman" w:cs="Times New Roman"/>
          <w:color w:val="auto"/>
          <w:sz w:val="22"/>
          <w:szCs w:val="22"/>
        </w:rPr>
        <w:t xml:space="preserve">, </w:t>
      </w:r>
      <w:r>
        <w:rPr>
          <w:rFonts w:ascii="Times New Roman" w:hAnsi="Times New Roman" w:cs="Times New Roman"/>
          <w:i/>
          <w:iCs/>
          <w:color w:val="auto"/>
          <w:sz w:val="22"/>
          <w:szCs w:val="22"/>
        </w:rPr>
        <w:t>η</w:t>
      </w:r>
      <w:r>
        <w:rPr>
          <w:rFonts w:ascii="Times New Roman" w:eastAsia="SimSun" w:hAnsi="Times New Roman" w:cs="Times New Roman"/>
          <w:i/>
          <w:iCs/>
          <w:color w:val="auto"/>
          <w:sz w:val="22"/>
          <w:szCs w:val="22"/>
          <w:vertAlign w:val="subscript"/>
        </w:rPr>
        <w:t>p</w:t>
      </w:r>
      <w:r>
        <w:rPr>
          <w:rFonts w:ascii="Times New Roman" w:hAnsi="Times New Roman" w:cs="Times New Roman"/>
          <w:i/>
          <w:iCs/>
          <w:color w:val="auto"/>
          <w:sz w:val="22"/>
          <w:szCs w:val="22"/>
          <w:vertAlign w:val="superscript"/>
        </w:rPr>
        <w:t xml:space="preserve">2 </w:t>
      </w:r>
      <w:r>
        <w:rPr>
          <w:rFonts w:ascii="Times New Roman" w:hAnsi="Times New Roman" w:cs="Times New Roman"/>
          <w:color w:val="auto"/>
          <w:sz w:val="22"/>
          <w:szCs w:val="22"/>
        </w:rPr>
        <w:t xml:space="preserve">= </w:t>
      </w:r>
      <w:r>
        <w:rPr>
          <w:rFonts w:ascii="Times New Roman" w:eastAsia="SimSun" w:hAnsi="Times New Roman" w:cs="Times New Roman"/>
          <w:color w:val="auto"/>
          <w:sz w:val="22"/>
          <w:szCs w:val="22"/>
        </w:rPr>
        <w:t>.07)]</w:t>
      </w:r>
      <w:r>
        <w:rPr>
          <w:rFonts w:ascii="Times New Roman" w:hAnsi="Times New Roman" w:cs="Times New Roman"/>
          <w:color w:val="auto"/>
          <w:sz w:val="22"/>
          <w:szCs w:val="22"/>
        </w:rPr>
        <w:t xml:space="preserve">, who obtained higher </w:t>
      </w:r>
      <w:r>
        <w:rPr>
          <w:rFonts w:ascii="Times New Roman" w:eastAsia="SimSun" w:hAnsi="Times New Roman" w:cs="Times New Roman"/>
          <w:color w:val="auto"/>
          <w:sz w:val="22"/>
          <w:szCs w:val="22"/>
        </w:rPr>
        <w:t>summary</w:t>
      </w:r>
      <w:r>
        <w:rPr>
          <w:rFonts w:ascii="Times New Roman" w:hAnsi="Times New Roman" w:cs="Times New Roman"/>
          <w:color w:val="auto"/>
          <w:sz w:val="22"/>
          <w:szCs w:val="22"/>
        </w:rPr>
        <w:t xml:space="preserve"> scores in the summary task than in the verification task. However, no effect of Task Instruction was found for FLRs,</w:t>
      </w:r>
      <w:r>
        <w:rPr>
          <w:rFonts w:ascii="Times New Roman" w:eastAsia="SimSun" w:hAnsi="Times New Roman" w:cs="Times New Roman"/>
          <w:color w:val="auto"/>
          <w:sz w:val="22"/>
          <w:szCs w:val="22"/>
        </w:rPr>
        <w:t xml:space="preserve"> </w:t>
      </w:r>
      <w:proofErr w:type="gramStart"/>
      <w:r>
        <w:rPr>
          <w:rFonts w:ascii="Times New Roman" w:eastAsia="SimSun" w:hAnsi="Times New Roman" w:cs="Times New Roman"/>
          <w:i/>
          <w:color w:val="auto"/>
          <w:sz w:val="22"/>
          <w:szCs w:val="22"/>
        </w:rPr>
        <w:t>F</w:t>
      </w:r>
      <w:r>
        <w:rPr>
          <w:rFonts w:ascii="Times New Roman" w:hAnsi="Times New Roman"/>
          <w:color w:val="auto"/>
          <w:sz w:val="22"/>
        </w:rPr>
        <w:t>(</w:t>
      </w:r>
      <w:proofErr w:type="gramEnd"/>
      <w:r>
        <w:rPr>
          <w:rFonts w:ascii="Times New Roman" w:hAnsi="Times New Roman"/>
          <w:color w:val="auto"/>
          <w:sz w:val="22"/>
        </w:rPr>
        <w:t>1, 75)</w:t>
      </w:r>
      <w:r>
        <w:rPr>
          <w:rFonts w:ascii="Times New Roman" w:hAnsi="Times New Roman"/>
          <w:i/>
          <w:color w:val="auto"/>
          <w:sz w:val="22"/>
        </w:rPr>
        <w:t xml:space="preserve"> </w:t>
      </w:r>
      <w:r>
        <w:rPr>
          <w:rFonts w:ascii="Times New Roman" w:hAnsi="Times New Roman"/>
          <w:color w:val="auto"/>
          <w:sz w:val="22"/>
        </w:rPr>
        <w:t xml:space="preserve">= .219, </w:t>
      </w:r>
      <w:r>
        <w:rPr>
          <w:rFonts w:ascii="Times New Roman" w:hAnsi="Times New Roman"/>
          <w:i/>
          <w:color w:val="auto"/>
          <w:sz w:val="22"/>
        </w:rPr>
        <w:t>p =</w:t>
      </w:r>
      <w:r>
        <w:rPr>
          <w:rFonts w:ascii="Times New Roman" w:hAnsi="Times New Roman"/>
          <w:color w:val="auto"/>
          <w:sz w:val="22"/>
        </w:rPr>
        <w:t xml:space="preserve"> 0.641. To further analyze this interaction, we computed a separate analysis for the summary and verification tasks. In the summary task, the summary scores were different for the four reader groups,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3, 83) =8.17,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i/>
          <w:color w:val="auto"/>
          <w:sz w:val="22"/>
          <w:vertAlign w:val="superscript"/>
        </w:rPr>
        <w:t xml:space="preserve">2 </w:t>
      </w:r>
      <w:r>
        <w:rPr>
          <w:rFonts w:ascii="Times New Roman" w:hAnsi="Times New Roman"/>
          <w:color w:val="auto"/>
          <w:sz w:val="22"/>
        </w:rPr>
        <w:t>= 0.23. The summary scores for TSPs were higher than for FLRs (</w:t>
      </w:r>
      <w:r>
        <w:rPr>
          <w:rFonts w:ascii="Times New Roman" w:hAnsi="Times New Roman"/>
          <w:i/>
          <w:color w:val="auto"/>
          <w:sz w:val="22"/>
        </w:rPr>
        <w:t xml:space="preserve">p </w:t>
      </w:r>
      <w:r>
        <w:rPr>
          <w:rFonts w:ascii="Times New Roman" w:hAnsi="Times New Roman"/>
          <w:color w:val="auto"/>
          <w:sz w:val="22"/>
        </w:rPr>
        <w:t>&lt; .001) and SLRs (</w:t>
      </w:r>
      <w:r>
        <w:rPr>
          <w:rFonts w:ascii="Times New Roman" w:hAnsi="Times New Roman"/>
          <w:i/>
          <w:color w:val="auto"/>
          <w:sz w:val="22"/>
        </w:rPr>
        <w:t xml:space="preserve">p </w:t>
      </w:r>
      <w:r>
        <w:rPr>
          <w:rFonts w:ascii="Times New Roman" w:hAnsi="Times New Roman"/>
          <w:color w:val="auto"/>
          <w:sz w:val="22"/>
        </w:rPr>
        <w:t xml:space="preserve">= .009), while no differences were found among the other reader groups (TSPs versus NSRs, </w:t>
      </w:r>
      <w:r>
        <w:rPr>
          <w:rFonts w:ascii="Times New Roman" w:hAnsi="Times New Roman"/>
          <w:i/>
          <w:color w:val="auto"/>
          <w:sz w:val="22"/>
        </w:rPr>
        <w:t xml:space="preserve">p </w:t>
      </w:r>
      <w:r>
        <w:rPr>
          <w:rFonts w:ascii="Times New Roman" w:hAnsi="Times New Roman"/>
          <w:color w:val="auto"/>
          <w:sz w:val="22"/>
        </w:rPr>
        <w:t xml:space="preserve">= .111; SLRs </w:t>
      </w:r>
      <w:r>
        <w:rPr>
          <w:rFonts w:ascii="Times New Roman" w:hAnsi="Times New Roman"/>
          <w:color w:val="auto"/>
          <w:sz w:val="22"/>
        </w:rPr>
        <w:lastRenderedPageBreak/>
        <w:t>versus NSRs,</w:t>
      </w:r>
      <w:r>
        <w:rPr>
          <w:rFonts w:ascii="Times New Roman" w:hAnsi="Times New Roman"/>
          <w:i/>
          <w:color w:val="auto"/>
          <w:sz w:val="22"/>
        </w:rPr>
        <w:t xml:space="preserve"> p </w:t>
      </w:r>
      <w:r>
        <w:rPr>
          <w:rFonts w:ascii="Times New Roman" w:hAnsi="Times New Roman"/>
          <w:color w:val="auto"/>
          <w:sz w:val="22"/>
        </w:rPr>
        <w:t xml:space="preserve">= .329; NSRs versus FLRs </w:t>
      </w:r>
      <w:r>
        <w:rPr>
          <w:rFonts w:ascii="Times New Roman" w:hAnsi="Times New Roman"/>
          <w:i/>
          <w:color w:val="auto"/>
          <w:sz w:val="22"/>
        </w:rPr>
        <w:t xml:space="preserve">p </w:t>
      </w:r>
      <w:r>
        <w:rPr>
          <w:rFonts w:ascii="Times New Roman" w:hAnsi="Times New Roman"/>
          <w:color w:val="auto"/>
          <w:sz w:val="22"/>
        </w:rPr>
        <w:t xml:space="preserve">= .067). In the verification task, the summary scores differed among the three reader groups,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83) = 3.64, </w:t>
      </w:r>
      <w:r>
        <w:rPr>
          <w:rFonts w:ascii="Times New Roman" w:hAnsi="Times New Roman"/>
          <w:i/>
          <w:color w:val="auto"/>
          <w:sz w:val="22"/>
        </w:rPr>
        <w:t xml:space="preserve">p </w:t>
      </w:r>
      <w:r>
        <w:rPr>
          <w:rFonts w:ascii="Times New Roman" w:hAnsi="Times New Roman"/>
          <w:color w:val="auto"/>
          <w:sz w:val="22"/>
        </w:rPr>
        <w:t xml:space="preserve">= .030,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i/>
          <w:color w:val="auto"/>
          <w:sz w:val="22"/>
          <w:vertAlign w:val="superscript"/>
        </w:rPr>
        <w:t xml:space="preserve">2 </w:t>
      </w:r>
      <w:r>
        <w:rPr>
          <w:rFonts w:ascii="Times New Roman" w:hAnsi="Times New Roman"/>
          <w:color w:val="auto"/>
          <w:sz w:val="22"/>
        </w:rPr>
        <w:t>= 0.08. The summary scores were higher for FLRs than SLRs (</w:t>
      </w:r>
      <w:r>
        <w:rPr>
          <w:rFonts w:ascii="Times New Roman" w:hAnsi="Times New Roman"/>
          <w:i/>
          <w:color w:val="auto"/>
          <w:sz w:val="22"/>
        </w:rPr>
        <w:t>p</w:t>
      </w:r>
      <w:r>
        <w:rPr>
          <w:rFonts w:ascii="Times New Roman" w:hAnsi="Times New Roman"/>
          <w:color w:val="auto"/>
          <w:sz w:val="22"/>
        </w:rPr>
        <w:t xml:space="preserve"> = .017), while no difference was found between SLRs and NSRs (</w:t>
      </w:r>
      <w:r>
        <w:rPr>
          <w:rFonts w:ascii="Times New Roman" w:hAnsi="Times New Roman"/>
          <w:i/>
          <w:color w:val="auto"/>
          <w:sz w:val="22"/>
        </w:rPr>
        <w:t xml:space="preserve">p </w:t>
      </w:r>
      <w:r>
        <w:rPr>
          <w:rFonts w:ascii="Times New Roman" w:hAnsi="Times New Roman"/>
          <w:color w:val="auto"/>
          <w:sz w:val="22"/>
        </w:rPr>
        <w:t>= .396) or FLRs and NSRs (</w:t>
      </w:r>
      <w:r>
        <w:rPr>
          <w:rFonts w:ascii="Times New Roman" w:hAnsi="Times New Roman"/>
          <w:i/>
          <w:color w:val="auto"/>
          <w:sz w:val="22"/>
        </w:rPr>
        <w:t xml:space="preserve">p </w:t>
      </w:r>
      <w:r>
        <w:rPr>
          <w:rFonts w:ascii="Times New Roman" w:hAnsi="Times New Roman"/>
          <w:color w:val="auto"/>
          <w:sz w:val="22"/>
        </w:rPr>
        <w:t>= .117).</w:t>
      </w:r>
    </w:p>
    <w:p w:rsidR="004D2580" w:rsidRDefault="0034511E">
      <w:pPr>
        <w:adjustRightInd w:val="0"/>
        <w:snapToGrid w:val="0"/>
        <w:spacing w:line="480" w:lineRule="auto"/>
        <w:rPr>
          <w:sz w:val="20"/>
          <w:szCs w:val="20"/>
        </w:rPr>
      </w:pPr>
      <w:bookmarkStart w:id="58" w:name="OLE_LINK57"/>
      <w:bookmarkEnd w:id="56"/>
      <w:bookmarkEnd w:id="57"/>
      <w:r>
        <w:rPr>
          <w:b/>
          <w:sz w:val="20"/>
          <w:szCs w:val="20"/>
        </w:rPr>
        <w:t xml:space="preserve">Table </w:t>
      </w:r>
      <w:r>
        <w:rPr>
          <w:b/>
          <w:sz w:val="20"/>
          <w:szCs w:val="20"/>
          <w:lang w:eastAsia="zh-CN"/>
        </w:rPr>
        <w:t>1</w:t>
      </w:r>
      <w:r>
        <w:rPr>
          <w:sz w:val="20"/>
          <w:szCs w:val="20"/>
        </w:rPr>
        <w:t xml:space="preserve"> </w:t>
      </w:r>
    </w:p>
    <w:p w:rsidR="004D2580" w:rsidRDefault="0034511E">
      <w:pPr>
        <w:adjustRightInd w:val="0"/>
        <w:snapToGrid w:val="0"/>
        <w:spacing w:line="480" w:lineRule="auto"/>
        <w:rPr>
          <w:sz w:val="20"/>
          <w:szCs w:val="20"/>
        </w:rPr>
      </w:pPr>
      <w:r>
        <w:rPr>
          <w:sz w:val="20"/>
          <w:szCs w:val="20"/>
          <w:lang w:eastAsia="zh-CN"/>
        </w:rPr>
        <w:t>Mean</w:t>
      </w:r>
      <w:r>
        <w:rPr>
          <w:sz w:val="20"/>
          <w:szCs w:val="20"/>
        </w:rPr>
        <w:t xml:space="preserve"> </w:t>
      </w:r>
      <w:r>
        <w:rPr>
          <w:sz w:val="20"/>
          <w:szCs w:val="20"/>
          <w:lang w:eastAsia="zh-CN"/>
        </w:rPr>
        <w:t>s</w:t>
      </w:r>
      <w:r>
        <w:rPr>
          <w:sz w:val="20"/>
          <w:szCs w:val="20"/>
        </w:rPr>
        <w:t>ummary</w:t>
      </w:r>
      <w:r>
        <w:rPr>
          <w:sz w:val="20"/>
          <w:szCs w:val="20"/>
          <w:lang w:eastAsia="zh-CN"/>
        </w:rPr>
        <w:t xml:space="preserve"> </w:t>
      </w:r>
      <w:r>
        <w:rPr>
          <w:sz w:val="20"/>
          <w:szCs w:val="20"/>
        </w:rPr>
        <w:t>scores (</w:t>
      </w:r>
      <w:r>
        <w:rPr>
          <w:sz w:val="20"/>
          <w:szCs w:val="20"/>
          <w:lang w:eastAsia="zh-CN"/>
        </w:rPr>
        <w:t>standard deviations in parentheses</w:t>
      </w:r>
      <w:r>
        <w:rPr>
          <w:sz w:val="20"/>
          <w:szCs w:val="20"/>
        </w:rPr>
        <w:t>)</w:t>
      </w:r>
      <w:r>
        <w:rPr>
          <w:sz w:val="20"/>
          <w:szCs w:val="20"/>
          <w:lang w:eastAsia="zh-CN"/>
        </w:rPr>
        <w:t xml:space="preserve"> for </w:t>
      </w:r>
      <w:r>
        <w:rPr>
          <w:sz w:val="20"/>
          <w:szCs w:val="20"/>
        </w:rPr>
        <w:t>different reader groups as a function of task</w:t>
      </w:r>
      <w:r>
        <w:rPr>
          <w:sz w:val="20"/>
          <w:szCs w:val="20"/>
          <w:lang w:eastAsia="zh-CN"/>
        </w:rPr>
        <w:t xml:space="preserve"> in</w:t>
      </w:r>
      <w:r>
        <w:rPr>
          <w:sz w:val="20"/>
          <w:szCs w:val="20"/>
        </w:rPr>
        <w:t xml:space="preserve"> Experiment 1</w:t>
      </w:r>
    </w:p>
    <w:tbl>
      <w:tblPr>
        <w:tblW w:w="8856" w:type="dxa"/>
        <w:jc w:val="center"/>
        <w:tblBorders>
          <w:top w:val="single" w:sz="8" w:space="0" w:color="000000"/>
          <w:bottom w:val="single" w:sz="8" w:space="0" w:color="000000"/>
        </w:tblBorders>
        <w:tblLayout w:type="fixed"/>
        <w:tblLook w:val="04A0" w:firstRow="1" w:lastRow="0" w:firstColumn="1" w:lastColumn="0" w:noHBand="0" w:noVBand="1"/>
      </w:tblPr>
      <w:tblGrid>
        <w:gridCol w:w="2952"/>
        <w:gridCol w:w="2953"/>
        <w:gridCol w:w="2951"/>
      </w:tblGrid>
      <w:tr w:rsidR="004D2580">
        <w:trPr>
          <w:cantSplit/>
          <w:trHeight w:val="340"/>
          <w:jc w:val="center"/>
        </w:trPr>
        <w:tc>
          <w:tcPr>
            <w:tcW w:w="2952" w:type="dxa"/>
            <w:tcBorders>
              <w:top w:val="single" w:sz="8" w:space="0" w:color="000000"/>
              <w:bottom w:val="single" w:sz="8" w:space="0" w:color="000000"/>
            </w:tcBorders>
            <w:vAlign w:val="center"/>
          </w:tcPr>
          <w:p w:rsidR="004D2580" w:rsidRDefault="0034511E">
            <w:pPr>
              <w:autoSpaceDE w:val="0"/>
              <w:autoSpaceDN w:val="0"/>
              <w:adjustRightInd w:val="0"/>
              <w:snapToGrid w:val="0"/>
              <w:spacing w:line="360" w:lineRule="auto"/>
              <w:jc w:val="center"/>
              <w:rPr>
                <w:sz w:val="21"/>
                <w:szCs w:val="21"/>
              </w:rPr>
            </w:pPr>
            <w:r>
              <w:rPr>
                <w:sz w:val="21"/>
                <w:szCs w:val="21"/>
              </w:rPr>
              <w:t>Reader groups</w:t>
            </w:r>
          </w:p>
        </w:tc>
        <w:tc>
          <w:tcPr>
            <w:tcW w:w="2953" w:type="dxa"/>
            <w:tcBorders>
              <w:top w:val="single" w:sz="8" w:space="0" w:color="000000"/>
              <w:bottom w:val="single" w:sz="8" w:space="0" w:color="000000"/>
            </w:tcBorders>
            <w:vAlign w:val="center"/>
          </w:tcPr>
          <w:p w:rsidR="004D2580" w:rsidRDefault="0034511E">
            <w:pPr>
              <w:autoSpaceDE w:val="0"/>
              <w:autoSpaceDN w:val="0"/>
              <w:adjustRightInd w:val="0"/>
              <w:snapToGrid w:val="0"/>
              <w:spacing w:line="360" w:lineRule="auto"/>
              <w:jc w:val="center"/>
              <w:rPr>
                <w:sz w:val="21"/>
                <w:szCs w:val="21"/>
              </w:rPr>
            </w:pPr>
            <w:r>
              <w:rPr>
                <w:sz w:val="21"/>
                <w:szCs w:val="21"/>
              </w:rPr>
              <w:t>Summary task</w:t>
            </w:r>
          </w:p>
        </w:tc>
        <w:tc>
          <w:tcPr>
            <w:tcW w:w="2951" w:type="dxa"/>
            <w:tcBorders>
              <w:top w:val="single" w:sz="8" w:space="0" w:color="000000"/>
              <w:bottom w:val="single" w:sz="8" w:space="0" w:color="000000"/>
            </w:tcBorders>
            <w:vAlign w:val="center"/>
          </w:tcPr>
          <w:p w:rsidR="004D2580" w:rsidRDefault="0034511E">
            <w:pPr>
              <w:autoSpaceDE w:val="0"/>
              <w:autoSpaceDN w:val="0"/>
              <w:adjustRightInd w:val="0"/>
              <w:snapToGrid w:val="0"/>
              <w:spacing w:line="360" w:lineRule="auto"/>
              <w:jc w:val="center"/>
              <w:rPr>
                <w:sz w:val="21"/>
                <w:szCs w:val="21"/>
              </w:rPr>
            </w:pPr>
            <w:r>
              <w:rPr>
                <w:sz w:val="21"/>
                <w:szCs w:val="21"/>
              </w:rPr>
              <w:t>Verification task</w:t>
            </w:r>
          </w:p>
        </w:tc>
      </w:tr>
      <w:tr w:rsidR="004D2580">
        <w:trPr>
          <w:cantSplit/>
          <w:trHeight w:val="340"/>
          <w:jc w:val="center"/>
        </w:trPr>
        <w:tc>
          <w:tcPr>
            <w:tcW w:w="2952" w:type="dxa"/>
            <w:tcBorders>
              <w:top w:val="single" w:sz="8" w:space="0" w:color="000000"/>
            </w:tcBorders>
            <w:vAlign w:val="center"/>
          </w:tcPr>
          <w:p w:rsidR="004D2580" w:rsidRDefault="0034511E">
            <w:pPr>
              <w:pStyle w:val="Style2"/>
              <w:spacing w:line="360" w:lineRule="auto"/>
              <w:ind w:firstLineChars="0" w:firstLine="0"/>
              <w:jc w:val="center"/>
              <w:rPr>
                <w:rFonts w:ascii="Times New Roman" w:hAnsi="Times New Roman"/>
                <w:szCs w:val="21"/>
              </w:rPr>
            </w:pPr>
            <w:r>
              <w:rPr>
                <w:rFonts w:ascii="Times New Roman" w:hAnsi="Times New Roman"/>
                <w:szCs w:val="21"/>
              </w:rPr>
              <w:t>FLR</w:t>
            </w:r>
          </w:p>
        </w:tc>
        <w:tc>
          <w:tcPr>
            <w:tcW w:w="2953" w:type="dxa"/>
            <w:tcBorders>
              <w:top w:val="single" w:sz="8" w:space="0" w:color="000000"/>
            </w:tcBorders>
            <w:vAlign w:val="center"/>
          </w:tcPr>
          <w:p w:rsidR="004D2580" w:rsidRDefault="0034511E">
            <w:pPr>
              <w:autoSpaceDE w:val="0"/>
              <w:autoSpaceDN w:val="0"/>
              <w:adjustRightInd w:val="0"/>
              <w:snapToGrid w:val="0"/>
              <w:spacing w:line="360" w:lineRule="auto"/>
              <w:jc w:val="center"/>
              <w:rPr>
                <w:sz w:val="21"/>
                <w:szCs w:val="21"/>
              </w:rPr>
            </w:pPr>
            <w:r>
              <w:rPr>
                <w:sz w:val="21"/>
                <w:szCs w:val="21"/>
              </w:rPr>
              <w:t>6.46 (1.17)</w:t>
            </w:r>
          </w:p>
        </w:tc>
        <w:tc>
          <w:tcPr>
            <w:tcW w:w="2951" w:type="dxa"/>
            <w:tcBorders>
              <w:top w:val="single" w:sz="8" w:space="0" w:color="000000"/>
            </w:tcBorders>
            <w:vAlign w:val="center"/>
          </w:tcPr>
          <w:p w:rsidR="004D2580" w:rsidRDefault="0034511E">
            <w:pPr>
              <w:autoSpaceDE w:val="0"/>
              <w:autoSpaceDN w:val="0"/>
              <w:adjustRightInd w:val="0"/>
              <w:snapToGrid w:val="0"/>
              <w:spacing w:line="360" w:lineRule="auto"/>
              <w:jc w:val="center"/>
              <w:rPr>
                <w:sz w:val="21"/>
                <w:szCs w:val="21"/>
              </w:rPr>
            </w:pPr>
            <w:r>
              <w:rPr>
                <w:sz w:val="21"/>
                <w:szCs w:val="21"/>
              </w:rPr>
              <w:t>6.61(1.35)</w:t>
            </w:r>
          </w:p>
        </w:tc>
      </w:tr>
      <w:tr w:rsidR="004D2580">
        <w:trPr>
          <w:cantSplit/>
          <w:trHeight w:val="340"/>
          <w:jc w:val="center"/>
        </w:trPr>
        <w:tc>
          <w:tcPr>
            <w:tcW w:w="2952" w:type="dxa"/>
            <w:vAlign w:val="center"/>
          </w:tcPr>
          <w:p w:rsidR="004D2580" w:rsidRDefault="0034511E">
            <w:pPr>
              <w:pStyle w:val="Style2"/>
              <w:spacing w:line="360" w:lineRule="auto"/>
              <w:ind w:firstLineChars="0" w:firstLine="0"/>
              <w:jc w:val="center"/>
              <w:rPr>
                <w:rFonts w:ascii="Times New Roman" w:hAnsi="Times New Roman"/>
                <w:szCs w:val="21"/>
              </w:rPr>
            </w:pPr>
            <w:r>
              <w:rPr>
                <w:rFonts w:ascii="Times New Roman" w:hAnsi="Times New Roman"/>
                <w:szCs w:val="21"/>
              </w:rPr>
              <w:t>SLR</w:t>
            </w:r>
          </w:p>
        </w:tc>
        <w:tc>
          <w:tcPr>
            <w:tcW w:w="2953" w:type="dxa"/>
            <w:vAlign w:val="center"/>
          </w:tcPr>
          <w:p w:rsidR="004D2580" w:rsidRDefault="0034511E">
            <w:pPr>
              <w:autoSpaceDE w:val="0"/>
              <w:autoSpaceDN w:val="0"/>
              <w:adjustRightInd w:val="0"/>
              <w:snapToGrid w:val="0"/>
              <w:spacing w:line="360" w:lineRule="auto"/>
              <w:jc w:val="center"/>
              <w:rPr>
                <w:sz w:val="21"/>
                <w:szCs w:val="21"/>
              </w:rPr>
            </w:pPr>
            <w:r>
              <w:rPr>
                <w:sz w:val="21"/>
                <w:szCs w:val="21"/>
              </w:rPr>
              <w:t>7.00 (1.26)</w:t>
            </w:r>
          </w:p>
        </w:tc>
        <w:tc>
          <w:tcPr>
            <w:tcW w:w="2951" w:type="dxa"/>
            <w:vAlign w:val="center"/>
          </w:tcPr>
          <w:p w:rsidR="004D2580" w:rsidRDefault="0034511E">
            <w:pPr>
              <w:autoSpaceDE w:val="0"/>
              <w:autoSpaceDN w:val="0"/>
              <w:adjustRightInd w:val="0"/>
              <w:snapToGrid w:val="0"/>
              <w:spacing w:line="360" w:lineRule="auto"/>
              <w:jc w:val="center"/>
              <w:rPr>
                <w:sz w:val="21"/>
                <w:szCs w:val="21"/>
              </w:rPr>
            </w:pPr>
            <w:r>
              <w:rPr>
                <w:sz w:val="21"/>
                <w:szCs w:val="21"/>
              </w:rPr>
              <w:t>5.33(.52)</w:t>
            </w:r>
          </w:p>
        </w:tc>
      </w:tr>
      <w:tr w:rsidR="004D2580">
        <w:trPr>
          <w:cantSplit/>
          <w:trHeight w:val="340"/>
          <w:jc w:val="center"/>
        </w:trPr>
        <w:tc>
          <w:tcPr>
            <w:tcW w:w="2952" w:type="dxa"/>
            <w:vAlign w:val="center"/>
          </w:tcPr>
          <w:p w:rsidR="004D2580" w:rsidRDefault="0034511E">
            <w:pPr>
              <w:pStyle w:val="Style2"/>
              <w:spacing w:line="360" w:lineRule="auto"/>
              <w:ind w:firstLineChars="0" w:firstLine="0"/>
              <w:jc w:val="center"/>
              <w:rPr>
                <w:rFonts w:ascii="Times New Roman" w:hAnsi="Times New Roman"/>
                <w:szCs w:val="21"/>
              </w:rPr>
            </w:pPr>
            <w:r>
              <w:rPr>
                <w:rFonts w:ascii="Times New Roman" w:hAnsi="Times New Roman"/>
                <w:szCs w:val="21"/>
              </w:rPr>
              <w:t>NSR</w:t>
            </w:r>
          </w:p>
        </w:tc>
        <w:tc>
          <w:tcPr>
            <w:tcW w:w="2953" w:type="dxa"/>
            <w:vAlign w:val="center"/>
          </w:tcPr>
          <w:p w:rsidR="004D2580" w:rsidRDefault="0034511E">
            <w:pPr>
              <w:autoSpaceDE w:val="0"/>
              <w:autoSpaceDN w:val="0"/>
              <w:adjustRightInd w:val="0"/>
              <w:snapToGrid w:val="0"/>
              <w:spacing w:line="360" w:lineRule="auto"/>
              <w:jc w:val="center"/>
              <w:rPr>
                <w:sz w:val="21"/>
                <w:szCs w:val="21"/>
              </w:rPr>
            </w:pPr>
            <w:r>
              <w:rPr>
                <w:sz w:val="21"/>
                <w:szCs w:val="21"/>
              </w:rPr>
              <w:t>7.66 (1.03)</w:t>
            </w:r>
          </w:p>
        </w:tc>
        <w:tc>
          <w:tcPr>
            <w:tcW w:w="2951" w:type="dxa"/>
            <w:vAlign w:val="center"/>
          </w:tcPr>
          <w:p w:rsidR="004D2580" w:rsidRDefault="0034511E">
            <w:pPr>
              <w:autoSpaceDE w:val="0"/>
              <w:autoSpaceDN w:val="0"/>
              <w:adjustRightInd w:val="0"/>
              <w:snapToGrid w:val="0"/>
              <w:spacing w:line="360" w:lineRule="auto"/>
              <w:jc w:val="center"/>
              <w:rPr>
                <w:sz w:val="21"/>
                <w:szCs w:val="21"/>
              </w:rPr>
            </w:pPr>
            <w:r>
              <w:rPr>
                <w:sz w:val="21"/>
                <w:szCs w:val="21"/>
              </w:rPr>
              <w:t>5.88 (1.23)</w:t>
            </w:r>
          </w:p>
        </w:tc>
      </w:tr>
      <w:tr w:rsidR="004D2580">
        <w:trPr>
          <w:cantSplit/>
          <w:trHeight w:val="340"/>
          <w:jc w:val="center"/>
        </w:trPr>
        <w:tc>
          <w:tcPr>
            <w:tcW w:w="2952" w:type="dxa"/>
            <w:vAlign w:val="center"/>
          </w:tcPr>
          <w:p w:rsidR="004D2580" w:rsidRDefault="0034511E">
            <w:pPr>
              <w:pStyle w:val="Style2"/>
              <w:spacing w:line="360" w:lineRule="auto"/>
              <w:ind w:firstLineChars="0" w:firstLine="0"/>
              <w:jc w:val="center"/>
              <w:rPr>
                <w:rFonts w:ascii="Times New Roman" w:hAnsi="Times New Roman"/>
                <w:szCs w:val="21"/>
              </w:rPr>
            </w:pPr>
            <w:r>
              <w:rPr>
                <w:rFonts w:ascii="Times New Roman" w:hAnsi="Times New Roman"/>
                <w:szCs w:val="21"/>
              </w:rPr>
              <w:t>TSP</w:t>
            </w:r>
          </w:p>
        </w:tc>
        <w:tc>
          <w:tcPr>
            <w:tcW w:w="2953" w:type="dxa"/>
            <w:vAlign w:val="center"/>
          </w:tcPr>
          <w:p w:rsidR="004D2580" w:rsidRDefault="0034511E">
            <w:pPr>
              <w:autoSpaceDE w:val="0"/>
              <w:autoSpaceDN w:val="0"/>
              <w:adjustRightInd w:val="0"/>
              <w:snapToGrid w:val="0"/>
              <w:spacing w:line="360" w:lineRule="auto"/>
              <w:jc w:val="center"/>
              <w:rPr>
                <w:sz w:val="21"/>
                <w:szCs w:val="21"/>
              </w:rPr>
            </w:pPr>
            <w:r>
              <w:rPr>
                <w:sz w:val="21"/>
                <w:szCs w:val="21"/>
              </w:rPr>
              <w:t>8.66(.71)</w:t>
            </w:r>
          </w:p>
        </w:tc>
        <w:tc>
          <w:tcPr>
            <w:tcW w:w="2951" w:type="dxa"/>
            <w:vAlign w:val="center"/>
          </w:tcPr>
          <w:p w:rsidR="004D2580" w:rsidRDefault="004D2580">
            <w:pPr>
              <w:autoSpaceDE w:val="0"/>
              <w:autoSpaceDN w:val="0"/>
              <w:adjustRightInd w:val="0"/>
              <w:snapToGrid w:val="0"/>
              <w:spacing w:line="360" w:lineRule="auto"/>
              <w:jc w:val="center"/>
              <w:rPr>
                <w:sz w:val="21"/>
                <w:szCs w:val="21"/>
              </w:rPr>
            </w:pPr>
          </w:p>
        </w:tc>
      </w:tr>
    </w:tbl>
    <w:p w:rsidR="004D2580" w:rsidRDefault="004D2580">
      <w:pPr>
        <w:pStyle w:val="A0"/>
        <w:adjustRightInd w:val="0"/>
        <w:snapToGrid w:val="0"/>
        <w:spacing w:after="160" w:line="480" w:lineRule="auto"/>
        <w:ind w:firstLineChars="200" w:firstLine="440"/>
        <w:jc w:val="center"/>
        <w:rPr>
          <w:rFonts w:ascii="Times New Roman" w:hAnsi="Times New Roman" w:cs="Times New Roman"/>
          <w:i/>
          <w:color w:val="auto"/>
          <w:sz w:val="22"/>
          <w:szCs w:val="22"/>
        </w:rPr>
      </w:pPr>
    </w:p>
    <w:p w:rsidR="004D2580" w:rsidRDefault="0034511E">
      <w:pPr>
        <w:pStyle w:val="A0"/>
        <w:numPr>
          <w:ilvl w:val="1"/>
          <w:numId w:val="1"/>
        </w:numPr>
        <w:adjustRightInd w:val="0"/>
        <w:snapToGrid w:val="0"/>
        <w:spacing w:after="160" w:line="480" w:lineRule="auto"/>
        <w:rPr>
          <w:rFonts w:ascii="Times New Roman" w:eastAsia="SimSun" w:hAnsi="Times New Roman" w:cs="Times New Roman"/>
          <w:i/>
          <w:color w:val="auto"/>
          <w:sz w:val="22"/>
          <w:szCs w:val="22"/>
        </w:rPr>
      </w:pPr>
      <w:r>
        <w:rPr>
          <w:rFonts w:ascii="Times New Roman" w:eastAsia="SimSun" w:hAnsi="Times New Roman" w:cs="Times New Roman"/>
          <w:i/>
          <w:color w:val="auto"/>
          <w:sz w:val="22"/>
          <w:szCs w:val="22"/>
        </w:rPr>
        <w:t>Discussion</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eastAsia="SimSun" w:hAnsi="Times New Roman" w:cs="Times New Roman"/>
          <w:color w:val="auto"/>
          <w:sz w:val="22"/>
          <w:szCs w:val="22"/>
        </w:rPr>
        <w:t xml:space="preserve">The results of Experiment 1 showed that the summary task induced more reading of topic sentences and better summary performance compared to the verification task. These results are in line with previous findings (Lorch et al., 1987; Wang et al., 2016). They demonstrate that adult readers are able to endogenously direct particular attention to the text’s main points using task instructions as their guide. This pays off as selective guidance resulted in better memory for the text topics and key points. </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eastAsia="SimSun" w:hAnsi="Times New Roman" w:cs="Times New Roman"/>
          <w:color w:val="auto"/>
          <w:sz w:val="22"/>
          <w:szCs w:val="22"/>
        </w:rPr>
        <w:t xml:space="preserve">In the cluster analysis that was performed to analyze individual reading </w:t>
      </w:r>
      <w:r>
        <w:rPr>
          <w:rFonts w:ascii="Times New Roman" w:hAnsi="Times New Roman"/>
          <w:color w:val="auto"/>
          <w:sz w:val="22"/>
        </w:rPr>
        <w:t>styles</w:t>
      </w:r>
      <w:r>
        <w:rPr>
          <w:rFonts w:ascii="Times New Roman" w:eastAsia="SimSun" w:hAnsi="Times New Roman" w:cs="Times New Roman"/>
          <w:color w:val="auto"/>
          <w:sz w:val="22"/>
          <w:szCs w:val="22"/>
        </w:rPr>
        <w:t xml:space="preserve">, four clusters emerged in the summary task that are analogous to those observed by Hyönä et al. (2002). </w:t>
      </w:r>
      <w:r>
        <w:rPr>
          <w:rFonts w:ascii="Times New Roman" w:hAnsi="Times New Roman" w:cs="Times New Roman"/>
          <w:color w:val="auto"/>
          <w:sz w:val="22"/>
          <w:szCs w:val="22"/>
        </w:rPr>
        <w:t xml:space="preserve">FLRs and SLRs read the texts straight through and rarely looked back to previous </w:t>
      </w:r>
      <w:r>
        <w:rPr>
          <w:rFonts w:ascii="Times New Roman" w:hAnsi="Times New Roman" w:cs="Times New Roman"/>
          <w:color w:val="auto"/>
          <w:sz w:val="22"/>
          <w:szCs w:val="22"/>
        </w:rPr>
        <w:lastRenderedPageBreak/>
        <w:t>sentences, hence the name (linear readers). FLRs differed from SLRs in being able to encode the text quicker (i.e., without much rereading) during first-pass reading. NSRs and TSPs differed from the linear readers by making frequent look-backs to previous sentences. TSPs differed from NSRs in extensively looking back to topic sentences, whereas the look-back behavior of NSRs was relatively non-selective in nature. It is also noteworthy that NSRs spent roughly as much time rereading the text as during the first-pass reading.</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eastAsia="SimSun" w:hAnsi="Times New Roman" w:cs="Times New Roman"/>
          <w:color w:val="auto"/>
          <w:sz w:val="22"/>
          <w:szCs w:val="22"/>
        </w:rPr>
        <w:t xml:space="preserve">A group of TSPs emerged </w:t>
      </w:r>
      <w:r>
        <w:rPr>
          <w:rFonts w:ascii="Times New Roman" w:hAnsi="Times New Roman" w:cs="Times New Roman"/>
          <w:color w:val="auto"/>
          <w:sz w:val="22"/>
          <w:szCs w:val="22"/>
        </w:rPr>
        <w:t>in the summary task but not in the sentence verification task. This is understandable, as the verification task discourages topic structure processing and encourages processing of detailed information</w:t>
      </w:r>
      <w:r>
        <w:rPr>
          <w:rFonts w:ascii="Times New Roman" w:hAnsi="Times New Roman" w:cs="Times New Roman" w:hint="eastAsia"/>
          <w:color w:val="auto"/>
          <w:sz w:val="22"/>
          <w:szCs w:val="22"/>
        </w:rPr>
        <w:t xml:space="preserve"> </w:t>
      </w:r>
      <w:r>
        <w:rPr>
          <w:rFonts w:ascii="Times New Roman" w:hAnsi="Times New Roman" w:cs="Times New Roman"/>
          <w:color w:val="auto"/>
          <w:sz w:val="22"/>
          <w:szCs w:val="22"/>
        </w:rPr>
        <w:t>(</w:t>
      </w:r>
      <w:r>
        <w:rPr>
          <w:rFonts w:ascii="Times New Roman" w:hAnsi="Times New Roman"/>
          <w:color w:val="auto"/>
          <w:sz w:val="22"/>
        </w:rPr>
        <w:t>Lorch</w:t>
      </w:r>
      <w:r>
        <w:rPr>
          <w:rFonts w:ascii="Times New Roman" w:hAnsi="Times New Roman" w:cs="Times New Roman"/>
          <w:color w:val="auto"/>
          <w:sz w:val="22"/>
          <w:szCs w:val="22"/>
        </w:rPr>
        <w:t xml:space="preserve"> et al., 1987; Radach et al., 2008). In the summary task, </w:t>
      </w:r>
      <w:r>
        <w:rPr>
          <w:rFonts w:ascii="Times New Roman" w:hAnsi="Times New Roman" w:cs="Times New Roman"/>
          <w:color w:val="auto"/>
          <w:sz w:val="22"/>
          <w:szCs w:val="22"/>
          <w:u w:color="231F20"/>
        </w:rPr>
        <w:t>TSPs demonstrated strategic selectivity in their processing of topic structure by paying extensive attention to topic sentences and also devoted extra attention to the summarizing end sentences during their first- and second-pass reading.</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Three reader clusters emerged that were common to the summary and the verification task: NSRs, SLRs and FLRs. NSRs and SLRs were affected by the task instructions, whereas the reading styles of FLRs were similar in both tasks. NSRs and SLRs devoted somewhat more attention to topic sentences than other types of sentences in the summary task that emphasizes the topic structure, while they</w:t>
      </w:r>
      <w:r>
        <w:rPr>
          <w:rFonts w:ascii="Times New Roman" w:eastAsia="SimSun" w:hAnsi="Times New Roman" w:cs="Times New Roman"/>
          <w:color w:val="auto"/>
          <w:sz w:val="22"/>
          <w:szCs w:val="22"/>
        </w:rPr>
        <w:t xml:space="preserve"> read the three types of sentences with no difference in</w:t>
      </w:r>
      <w:r>
        <w:rPr>
          <w:rFonts w:ascii="Times New Roman" w:hAnsi="Times New Roman" w:cs="Times New Roman"/>
          <w:color w:val="auto"/>
          <w:sz w:val="22"/>
          <w:szCs w:val="22"/>
        </w:rPr>
        <w:t xml:space="preserve"> the verification task that emphasizes detailed information. This was somewhat unexpected, as we suspected that NSRs and SLRs may not be capable of strong endogenous attentional guidance. However, as is apparent from Fig. 2, they did that to a much less extent than </w:t>
      </w:r>
      <w:proofErr w:type="spellStart"/>
      <w:r>
        <w:rPr>
          <w:rFonts w:ascii="Times New Roman" w:hAnsi="Times New Roman" w:cs="Times New Roman"/>
          <w:color w:val="auto"/>
          <w:sz w:val="22"/>
          <w:szCs w:val="22"/>
        </w:rPr>
        <w:t>TSPs.</w:t>
      </w:r>
      <w:proofErr w:type="spellEnd"/>
      <w:r>
        <w:rPr>
          <w:rFonts w:ascii="Times New Roman" w:hAnsi="Times New Roman" w:cs="Times New Roman"/>
          <w:color w:val="auto"/>
          <w:sz w:val="22"/>
          <w:szCs w:val="22"/>
        </w:rPr>
        <w:t xml:space="preserve"> Moreover, the results of Experiment 2 did not provide support for endogenous guidance by NSRs and SLRs (see below).</w:t>
      </w:r>
    </w:p>
    <w:p w:rsidR="004D2580" w:rsidRDefault="0034511E">
      <w:pPr>
        <w:pStyle w:val="A0"/>
        <w:adjustRightInd w:val="0"/>
        <w:snapToGrid w:val="0"/>
        <w:spacing w:after="160" w:line="480" w:lineRule="auto"/>
        <w:ind w:firstLineChars="200" w:firstLine="440"/>
        <w:rPr>
          <w:rFonts w:ascii="Times New Roman" w:hAnsi="Times New Roman"/>
          <w:color w:val="auto"/>
          <w:sz w:val="22"/>
          <w:u w:color="231F20"/>
        </w:rPr>
      </w:pPr>
      <w:r>
        <w:rPr>
          <w:rFonts w:ascii="Times New Roman" w:hAnsi="Times New Roman" w:cs="Times New Roman"/>
          <w:color w:val="auto"/>
          <w:sz w:val="22"/>
          <w:szCs w:val="22"/>
          <w:u w:color="231F20"/>
        </w:rPr>
        <w:t xml:space="preserve">FLRs </w:t>
      </w:r>
      <w:r>
        <w:rPr>
          <w:rFonts w:ascii="Times New Roman" w:hAnsi="Times New Roman" w:cs="Times New Roman"/>
          <w:color w:val="auto"/>
          <w:sz w:val="22"/>
          <w:szCs w:val="22"/>
        </w:rPr>
        <w:t xml:space="preserve">paid more attention to topic </w:t>
      </w:r>
      <w:r>
        <w:rPr>
          <w:rFonts w:ascii="Times New Roman" w:eastAsia="SimSun" w:hAnsi="Times New Roman" w:cs="Times New Roman"/>
          <w:color w:val="auto"/>
          <w:sz w:val="22"/>
          <w:szCs w:val="22"/>
        </w:rPr>
        <w:t xml:space="preserve">and end sentences </w:t>
      </w:r>
      <w:r>
        <w:rPr>
          <w:rFonts w:ascii="Times New Roman" w:hAnsi="Times New Roman" w:cs="Times New Roman"/>
          <w:color w:val="auto"/>
          <w:sz w:val="22"/>
          <w:szCs w:val="22"/>
        </w:rPr>
        <w:t>in both the summary and the verification task, indicating that task instructions did not modulate their reading.</w:t>
      </w:r>
      <w:r>
        <w:rPr>
          <w:color w:val="auto"/>
        </w:rPr>
        <w:t xml:space="preserve"> </w:t>
      </w:r>
      <w:r>
        <w:rPr>
          <w:rFonts w:ascii="Times New Roman" w:hAnsi="Times New Roman" w:cs="Times New Roman"/>
          <w:color w:val="auto"/>
          <w:sz w:val="22"/>
          <w:szCs w:val="22"/>
        </w:rPr>
        <w:t>T</w:t>
      </w:r>
      <w:r>
        <w:rPr>
          <w:rFonts w:ascii="Times New Roman" w:eastAsia="SimSun" w:hAnsi="Times New Roman" w:cs="Times New Roman"/>
          <w:color w:val="auto"/>
          <w:sz w:val="22"/>
          <w:szCs w:val="22"/>
        </w:rPr>
        <w:t>he tendency of FLRs to process</w:t>
      </w:r>
      <w:r>
        <w:rPr>
          <w:rFonts w:ascii="Times New Roman" w:hAnsi="Times New Roman" w:cs="Times New Roman"/>
          <w:color w:val="auto"/>
          <w:sz w:val="22"/>
          <w:szCs w:val="22"/>
        </w:rPr>
        <w:t xml:space="preserve"> </w:t>
      </w:r>
      <w:r>
        <w:rPr>
          <w:rFonts w:ascii="Times New Roman" w:eastAsia="SimSun" w:hAnsi="Times New Roman" w:cs="Times New Roman"/>
          <w:color w:val="auto"/>
          <w:sz w:val="22"/>
          <w:szCs w:val="22"/>
        </w:rPr>
        <w:t xml:space="preserve">topic and end sentences more slowly than medial sentences reflects structure processing. However, based on the present data it is not clear whether it reflects sensitivity to the text’s topic structure or simply to the paragraph structure (i.e., slowing down </w:t>
      </w:r>
      <w:r>
        <w:rPr>
          <w:rFonts w:ascii="Times New Roman" w:eastAsia="SimSun" w:hAnsi="Times New Roman" w:cs="Times New Roman"/>
          <w:color w:val="auto"/>
          <w:sz w:val="22"/>
          <w:szCs w:val="22"/>
        </w:rPr>
        <w:lastRenderedPageBreak/>
        <w:t xml:space="preserve">reading at paragraph boundaries), or both. </w:t>
      </w:r>
      <w:bookmarkEnd w:id="58"/>
    </w:p>
    <w:p w:rsidR="004D2580" w:rsidRDefault="0034511E">
      <w:pPr>
        <w:pStyle w:val="A0"/>
        <w:adjustRightInd w:val="0"/>
        <w:snapToGrid w:val="0"/>
        <w:spacing w:after="160" w:line="480" w:lineRule="auto"/>
        <w:rPr>
          <w:rFonts w:ascii="Times New Roman" w:hAnsi="Times New Roman" w:cs="Times New Roman"/>
          <w:b/>
          <w:color w:val="auto"/>
          <w:sz w:val="22"/>
          <w:szCs w:val="22"/>
          <w:u w:color="231F20"/>
        </w:rPr>
      </w:pPr>
      <w:r>
        <w:rPr>
          <w:rFonts w:ascii="Times New Roman" w:hAnsi="Times New Roman" w:cs="Times New Roman" w:hint="eastAsia"/>
          <w:b/>
          <w:color w:val="auto"/>
          <w:sz w:val="22"/>
          <w:szCs w:val="22"/>
          <w:u w:color="231F20"/>
        </w:rPr>
        <w:t>3</w:t>
      </w:r>
      <w:r>
        <w:rPr>
          <w:rFonts w:ascii="Times New Roman" w:hAnsi="Times New Roman" w:cs="Times New Roman"/>
          <w:b/>
          <w:color w:val="auto"/>
          <w:sz w:val="22"/>
          <w:szCs w:val="22"/>
          <w:u w:color="231F20"/>
        </w:rPr>
        <w:t>.</w:t>
      </w:r>
      <w:r>
        <w:rPr>
          <w:rFonts w:ascii="Times New Roman" w:hAnsi="Times New Roman" w:cs="Times New Roman" w:hint="eastAsia"/>
          <w:b/>
          <w:color w:val="auto"/>
          <w:sz w:val="22"/>
          <w:szCs w:val="22"/>
          <w:u w:color="231F20"/>
        </w:rPr>
        <w:t xml:space="preserve"> </w:t>
      </w:r>
      <w:r>
        <w:rPr>
          <w:rFonts w:ascii="Times New Roman" w:hAnsi="Times New Roman" w:cs="Times New Roman"/>
          <w:b/>
          <w:bCs/>
          <w:color w:val="auto"/>
          <w:sz w:val="22"/>
          <w:szCs w:val="22"/>
        </w:rPr>
        <w:t>Experiment 2</w:t>
      </w:r>
    </w:p>
    <w:p w:rsidR="004D2580" w:rsidRDefault="0034511E">
      <w:pPr>
        <w:pStyle w:val="A0"/>
        <w:adjustRightInd w:val="0"/>
        <w:snapToGrid w:val="0"/>
        <w:spacing w:after="160" w:line="480" w:lineRule="auto"/>
        <w:ind w:firstLine="420"/>
        <w:rPr>
          <w:rFonts w:ascii="Times New Roman" w:hAnsi="Times New Roman" w:cs="Times New Roman"/>
          <w:iCs/>
          <w:color w:val="auto"/>
          <w:sz w:val="22"/>
          <w:szCs w:val="22"/>
        </w:rPr>
      </w:pPr>
      <w:r>
        <w:rPr>
          <w:rFonts w:ascii="Times New Roman" w:eastAsia="SimSun" w:hAnsi="Times New Roman" w:cs="Times New Roman"/>
          <w:color w:val="auto"/>
          <w:sz w:val="22"/>
          <w:szCs w:val="22"/>
        </w:rPr>
        <w:t xml:space="preserve">In Experiment 1, we examined effects of task instructions on text processing among readers </w:t>
      </w:r>
      <w:r>
        <w:rPr>
          <w:rFonts w:ascii="Times New Roman" w:hAnsi="Times New Roman"/>
          <w:color w:val="auto"/>
          <w:sz w:val="22"/>
        </w:rPr>
        <w:t>with</w:t>
      </w:r>
      <w:r>
        <w:rPr>
          <w:rFonts w:ascii="Times New Roman" w:eastAsia="SimSun" w:hAnsi="Times New Roman" w:cs="Times New Roman"/>
          <w:color w:val="auto"/>
          <w:sz w:val="22"/>
          <w:szCs w:val="22"/>
        </w:rPr>
        <w:t xml:space="preserve"> different</w:t>
      </w:r>
      <w:r>
        <w:rPr>
          <w:rFonts w:ascii="Times New Roman" w:hAnsi="Times New Roman"/>
          <w:color w:val="auto"/>
          <w:sz w:val="22"/>
        </w:rPr>
        <w:t xml:space="preserve"> reading styles</w:t>
      </w:r>
      <w:r>
        <w:rPr>
          <w:rFonts w:ascii="Times New Roman" w:eastAsia="SimSun" w:hAnsi="Times New Roman" w:cs="Times New Roman"/>
          <w:color w:val="auto"/>
          <w:sz w:val="22"/>
          <w:szCs w:val="22"/>
        </w:rPr>
        <w:t>. A specific reading task was provided to readers before presenting the reading materials, which served to help readers adjust endogenously their reading behavior to fit the designated reading goal (</w:t>
      </w:r>
      <w:r>
        <w:rPr>
          <w:rFonts w:ascii="Times New Roman" w:hAnsi="Times New Roman"/>
          <w:color w:val="auto"/>
          <w:sz w:val="22"/>
        </w:rPr>
        <w:t>Lorch</w:t>
      </w:r>
      <w:r>
        <w:rPr>
          <w:rFonts w:ascii="Times New Roman" w:eastAsia="SimSun" w:hAnsi="Times New Roman" w:cs="Times New Roman"/>
          <w:color w:val="auto"/>
          <w:sz w:val="22"/>
          <w:szCs w:val="22"/>
        </w:rPr>
        <w:t xml:space="preserve"> et al., 1987; Radach et al., 2008). However, as discussed in the Introduction, text processing is influenced not only by the reading goal maintained in readers’ working memory but also by bottom-up signaling devices often presented in expository texts (</w:t>
      </w:r>
      <w:proofErr w:type="spellStart"/>
      <w:r>
        <w:rPr>
          <w:rFonts w:ascii="Times New Roman" w:eastAsia="SimSun" w:hAnsi="Times New Roman" w:cs="Times New Roman"/>
          <w:color w:val="auto"/>
          <w:sz w:val="22"/>
          <w:szCs w:val="22"/>
        </w:rPr>
        <w:t>Lemarié</w:t>
      </w:r>
      <w:proofErr w:type="spellEnd"/>
      <w:r>
        <w:rPr>
          <w:rFonts w:ascii="Times New Roman" w:eastAsia="SimSun" w:hAnsi="Times New Roman" w:cs="Times New Roman"/>
          <w:color w:val="auto"/>
          <w:sz w:val="22"/>
          <w:szCs w:val="22"/>
        </w:rPr>
        <w:t xml:space="preserve"> et al., 2008). In Experiment 2, our aim was to examine effects of topic signaling on text processing among readers </w:t>
      </w:r>
      <w:r>
        <w:rPr>
          <w:rFonts w:ascii="Times New Roman" w:hAnsi="Times New Roman"/>
          <w:color w:val="auto"/>
          <w:sz w:val="22"/>
        </w:rPr>
        <w:t>with</w:t>
      </w:r>
      <w:r>
        <w:rPr>
          <w:rFonts w:ascii="Times New Roman" w:eastAsia="SimSun" w:hAnsi="Times New Roman" w:cs="Times New Roman"/>
          <w:color w:val="auto"/>
          <w:sz w:val="22"/>
          <w:szCs w:val="22"/>
        </w:rPr>
        <w:t xml:space="preserve"> different </w:t>
      </w:r>
      <w:r>
        <w:rPr>
          <w:rFonts w:ascii="Times New Roman" w:hAnsi="Times New Roman"/>
          <w:color w:val="auto"/>
          <w:sz w:val="22"/>
        </w:rPr>
        <w:t>reading styles</w:t>
      </w:r>
      <w:r>
        <w:rPr>
          <w:rFonts w:ascii="Times New Roman" w:eastAsia="SimSun" w:hAnsi="Times New Roman" w:cs="Times New Roman"/>
          <w:color w:val="auto"/>
          <w:sz w:val="22"/>
          <w:szCs w:val="22"/>
        </w:rPr>
        <w:t>. Specifically, in one text the topic sentences were signaled by underlining, whereas in the other text signaling was absent.</w:t>
      </w:r>
    </w:p>
    <w:p w:rsidR="004D2580" w:rsidRDefault="0034511E">
      <w:pPr>
        <w:pStyle w:val="A0"/>
        <w:adjustRightInd w:val="0"/>
        <w:snapToGrid w:val="0"/>
        <w:spacing w:after="160" w:line="480" w:lineRule="auto"/>
        <w:rPr>
          <w:rFonts w:ascii="Times New Roman" w:hAnsi="Times New Roman" w:cs="Times New Roman"/>
          <w:i/>
          <w:iCs/>
          <w:color w:val="auto"/>
          <w:sz w:val="22"/>
          <w:szCs w:val="22"/>
        </w:rPr>
      </w:pPr>
      <w:r>
        <w:rPr>
          <w:rFonts w:ascii="Times New Roman" w:hAnsi="Times New Roman" w:cs="Times New Roman"/>
          <w:i/>
          <w:iCs/>
          <w:color w:val="auto"/>
          <w:sz w:val="22"/>
          <w:szCs w:val="22"/>
        </w:rPr>
        <w:t xml:space="preserve">3.1. Method </w:t>
      </w:r>
    </w:p>
    <w:p w:rsidR="004D2580" w:rsidRDefault="0034511E">
      <w:pPr>
        <w:pStyle w:val="A0"/>
        <w:adjustRightInd w:val="0"/>
        <w:snapToGrid w:val="0"/>
        <w:spacing w:after="160" w:line="480" w:lineRule="auto"/>
        <w:rPr>
          <w:rFonts w:ascii="Times New Roman" w:hAnsi="Times New Roman" w:cs="Times New Roman"/>
          <w:i/>
          <w:iCs/>
          <w:color w:val="auto"/>
          <w:sz w:val="22"/>
          <w:szCs w:val="22"/>
        </w:rPr>
      </w:pPr>
      <w:r>
        <w:rPr>
          <w:rFonts w:ascii="Times New Roman" w:hAnsi="Times New Roman" w:cs="Times New Roman"/>
          <w:i/>
          <w:iCs/>
          <w:color w:val="auto"/>
          <w:sz w:val="22"/>
          <w:szCs w:val="22"/>
        </w:rPr>
        <w:t>3.1.1. Participants</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eastAsia="SimSun" w:hAnsi="Times New Roman" w:cs="Times New Roman"/>
          <w:color w:val="auto"/>
          <w:sz w:val="22"/>
          <w:szCs w:val="22"/>
        </w:rPr>
        <w:t xml:space="preserve">Ninety </w:t>
      </w:r>
      <w:r>
        <w:rPr>
          <w:rFonts w:ascii="Times New Roman" w:hAnsi="Times New Roman" w:cs="Times New Roman"/>
          <w:color w:val="auto"/>
          <w:sz w:val="22"/>
          <w:szCs w:val="22"/>
        </w:rPr>
        <w:t>university students</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(5</w:t>
      </w:r>
      <w:r>
        <w:rPr>
          <w:rFonts w:ascii="Times New Roman" w:eastAsia="SimSun" w:hAnsi="Times New Roman" w:cs="Times New Roman"/>
          <w:color w:val="auto"/>
          <w:sz w:val="22"/>
          <w:szCs w:val="22"/>
        </w:rPr>
        <w:t>0</w:t>
      </w:r>
      <w:r>
        <w:rPr>
          <w:rFonts w:ascii="Times New Roman" w:hAnsi="Times New Roman" w:cs="Times New Roman"/>
          <w:color w:val="auto"/>
          <w:sz w:val="22"/>
          <w:szCs w:val="22"/>
        </w:rPr>
        <w:t xml:space="preserve"> women; age range: 18-22 years</w:t>
      </w:r>
      <w:r>
        <w:rPr>
          <w:rFonts w:ascii="Times New Roman" w:eastAsia="SimSun" w:hAnsi="Times New Roman" w:cs="Times New Roman"/>
          <w:color w:val="auto"/>
          <w:sz w:val="22"/>
          <w:szCs w:val="22"/>
        </w:rPr>
        <w:t>)</w:t>
      </w:r>
      <w:r>
        <w:rPr>
          <w:rFonts w:ascii="Times New Roman" w:hAnsi="Times New Roman" w:cs="Times New Roman"/>
          <w:color w:val="auto"/>
          <w:sz w:val="22"/>
          <w:szCs w:val="22"/>
        </w:rPr>
        <w:t xml:space="preserve"> from the Department </w:t>
      </w:r>
      <w:r>
        <w:rPr>
          <w:rFonts w:ascii="Times New Roman" w:eastAsiaTheme="minorEastAsia" w:hAnsi="Times New Roman" w:cs="Times New Roman" w:hint="eastAsia"/>
          <w:color w:val="auto"/>
          <w:sz w:val="22"/>
          <w:szCs w:val="22"/>
        </w:rPr>
        <w:t>of Journalism and C</w:t>
      </w:r>
      <w:r>
        <w:rPr>
          <w:rFonts w:ascii="Times New Roman" w:eastAsiaTheme="minorEastAsia" w:hAnsi="Times New Roman" w:cs="Times New Roman"/>
          <w:color w:val="auto"/>
          <w:sz w:val="22"/>
          <w:szCs w:val="22"/>
        </w:rPr>
        <w:t>ommunication</w:t>
      </w:r>
      <w:r>
        <w:rPr>
          <w:rFonts w:ascii="Times New Roman" w:eastAsiaTheme="minorEastAsia" w:hAnsi="Times New Roman" w:cs="Times New Roman" w:hint="eastAsia"/>
          <w:color w:val="auto"/>
          <w:sz w:val="22"/>
          <w:szCs w:val="22"/>
        </w:rPr>
        <w:t xml:space="preserve"> </w:t>
      </w:r>
      <w:r>
        <w:rPr>
          <w:rFonts w:ascii="Times New Roman" w:hAnsi="Times New Roman" w:cs="Times New Roman"/>
          <w:color w:val="auto"/>
          <w:sz w:val="22"/>
          <w:szCs w:val="22"/>
        </w:rPr>
        <w:t xml:space="preserve">in </w:t>
      </w:r>
      <w:r>
        <w:rPr>
          <w:rFonts w:ascii="Times New Roman" w:eastAsiaTheme="minorEastAsia" w:hAnsi="Times New Roman" w:cs="Times New Roman" w:hint="eastAsia"/>
          <w:color w:val="auto"/>
          <w:sz w:val="22"/>
          <w:szCs w:val="22"/>
        </w:rPr>
        <w:t>a u</w:t>
      </w:r>
      <w:r>
        <w:rPr>
          <w:rFonts w:ascii="Times New Roman" w:hAnsi="Times New Roman" w:cs="Times New Roman"/>
          <w:color w:val="auto"/>
          <w:sz w:val="22"/>
          <w:szCs w:val="22"/>
        </w:rPr>
        <w:t xml:space="preserve">niversity </w:t>
      </w:r>
      <w:r>
        <w:rPr>
          <w:rFonts w:ascii="Times New Roman" w:eastAsiaTheme="minorEastAsia" w:hAnsi="Times New Roman" w:cs="Times New Roman" w:hint="eastAsia"/>
          <w:color w:val="auto"/>
          <w:sz w:val="22"/>
          <w:szCs w:val="22"/>
        </w:rPr>
        <w:t>in the east of China</w:t>
      </w:r>
      <w:r>
        <w:rPr>
          <w:rFonts w:ascii="Times New Roman" w:hAnsi="Times New Roman" w:cs="Times New Roman"/>
          <w:color w:val="auto"/>
          <w:sz w:val="22"/>
          <w:szCs w:val="22"/>
        </w:rPr>
        <w:t xml:space="preserve"> participated in the experiment</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for course credit or monetary compensation.</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Participants were native Chinese speakers who all had normal or</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corrected-to-normal vision.</w:t>
      </w:r>
      <w:r>
        <w:rPr>
          <w:rFonts w:ascii="Times New Roman" w:eastAsia="SimSun" w:hAnsi="Times New Roman" w:cs="Times New Roman"/>
          <w:color w:val="auto"/>
          <w:sz w:val="22"/>
          <w:szCs w:val="22"/>
        </w:rPr>
        <w:t xml:space="preserve"> </w:t>
      </w:r>
      <w:r>
        <w:rPr>
          <w:rFonts w:ascii="Times New Roman" w:hAnsi="Times New Roman" w:cs="Times New Roman"/>
          <w:color w:val="auto"/>
          <w:sz w:val="22"/>
        </w:rPr>
        <w:t>All participants reported that they were not familiar with the experimental materials. The recruitment procedure was analogous to the one used in Experiment 1.</w:t>
      </w:r>
    </w:p>
    <w:p w:rsidR="004D2580" w:rsidRDefault="0034511E">
      <w:pPr>
        <w:pStyle w:val="A0"/>
        <w:adjustRightInd w:val="0"/>
        <w:snapToGrid w:val="0"/>
        <w:spacing w:after="160" w:line="480" w:lineRule="auto"/>
        <w:rPr>
          <w:rFonts w:ascii="Times New Roman" w:hAnsi="Times New Roman" w:cs="Times New Roman"/>
          <w:i/>
          <w:iCs/>
          <w:color w:val="auto"/>
          <w:sz w:val="22"/>
          <w:szCs w:val="22"/>
        </w:rPr>
      </w:pPr>
      <w:r>
        <w:rPr>
          <w:rFonts w:ascii="Times New Roman" w:hAnsi="Times New Roman" w:cs="Times New Roman"/>
          <w:i/>
          <w:iCs/>
          <w:color w:val="auto"/>
          <w:sz w:val="22"/>
          <w:szCs w:val="22"/>
        </w:rPr>
        <w:t>3.1.2. Apparatus and materials</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 xml:space="preserve">The apparatus and reading materials were identical to </w:t>
      </w:r>
      <w:r>
        <w:rPr>
          <w:rFonts w:ascii="Times New Roman" w:eastAsia="SimSun" w:hAnsi="Times New Roman" w:cs="Times New Roman"/>
          <w:color w:val="auto"/>
          <w:sz w:val="22"/>
          <w:szCs w:val="22"/>
        </w:rPr>
        <w:t xml:space="preserve">those used in </w:t>
      </w:r>
      <w:r>
        <w:rPr>
          <w:rFonts w:ascii="Times New Roman" w:hAnsi="Times New Roman" w:cs="Times New Roman"/>
          <w:color w:val="auto"/>
          <w:sz w:val="22"/>
          <w:szCs w:val="22"/>
        </w:rPr>
        <w:t xml:space="preserve">Experiment 1. The only difference was that two versions of the texts were created, one with signaling and the other without signaling. In the signaled version of the text, the topic sentence of each topic was underlined; in the </w:t>
      </w:r>
      <w:proofErr w:type="spellStart"/>
      <w:r>
        <w:rPr>
          <w:rFonts w:ascii="Times New Roman" w:hAnsi="Times New Roman" w:cs="Times New Roman"/>
          <w:color w:val="auto"/>
          <w:sz w:val="22"/>
          <w:szCs w:val="22"/>
        </w:rPr>
        <w:t>unsignaled</w:t>
      </w:r>
      <w:proofErr w:type="spellEnd"/>
      <w:r>
        <w:rPr>
          <w:rFonts w:ascii="Times New Roman" w:hAnsi="Times New Roman" w:cs="Times New Roman"/>
          <w:color w:val="auto"/>
          <w:sz w:val="22"/>
          <w:szCs w:val="22"/>
        </w:rPr>
        <w:t xml:space="preserve"> version underlining was absent. </w:t>
      </w:r>
    </w:p>
    <w:p w:rsidR="004D2580" w:rsidRDefault="0034511E">
      <w:pPr>
        <w:pStyle w:val="A0"/>
        <w:adjustRightInd w:val="0"/>
        <w:snapToGrid w:val="0"/>
        <w:spacing w:after="160" w:line="480" w:lineRule="auto"/>
        <w:rPr>
          <w:rFonts w:ascii="Times New Roman" w:hAnsi="Times New Roman" w:cs="Times New Roman"/>
          <w:i/>
          <w:iCs/>
          <w:color w:val="auto"/>
          <w:sz w:val="22"/>
          <w:szCs w:val="22"/>
        </w:rPr>
      </w:pPr>
      <w:r>
        <w:rPr>
          <w:rFonts w:ascii="Times New Roman" w:hAnsi="Times New Roman" w:cs="Times New Roman"/>
          <w:i/>
          <w:iCs/>
          <w:color w:val="auto"/>
          <w:sz w:val="22"/>
          <w:szCs w:val="22"/>
        </w:rPr>
        <w:lastRenderedPageBreak/>
        <w:t xml:space="preserve">3.1.3. Experimental design </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The experiment used a 2 (Signaling: underlining of topic sentence present vs. absent) × 3 (Sentence Type: topic, medial vs. end sentences) mixed design, with Signaling as a between-subjects variable and Sentence Type as a within-subjects variable. The classification of text sentences was the same as in Experiment 1.</w:t>
      </w:r>
    </w:p>
    <w:p w:rsidR="004D2580" w:rsidRDefault="0034511E">
      <w:pPr>
        <w:pStyle w:val="A0"/>
        <w:adjustRightInd w:val="0"/>
        <w:snapToGrid w:val="0"/>
        <w:spacing w:after="160" w:line="480" w:lineRule="auto"/>
        <w:rPr>
          <w:rFonts w:ascii="Times New Roman" w:hAnsi="Times New Roman" w:cs="Times New Roman"/>
          <w:i/>
          <w:iCs/>
          <w:color w:val="auto"/>
          <w:sz w:val="22"/>
          <w:szCs w:val="22"/>
        </w:rPr>
      </w:pPr>
      <w:r>
        <w:rPr>
          <w:rFonts w:ascii="Times New Roman" w:hAnsi="Times New Roman" w:cs="Times New Roman"/>
          <w:i/>
          <w:iCs/>
          <w:color w:val="auto"/>
          <w:sz w:val="22"/>
          <w:szCs w:val="22"/>
        </w:rPr>
        <w:t>3.1.4. Procedure</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 xml:space="preserve">The procedure was identical to that of the summary task of Experiment 1 except that participants were assigned to </w:t>
      </w:r>
      <w:r>
        <w:rPr>
          <w:rFonts w:ascii="Times New Roman" w:eastAsia="SimSun" w:hAnsi="Times New Roman" w:cs="Times New Roman"/>
          <w:color w:val="auto"/>
          <w:sz w:val="22"/>
          <w:szCs w:val="22"/>
        </w:rPr>
        <w:t xml:space="preserve">read </w:t>
      </w:r>
      <w:r>
        <w:rPr>
          <w:rFonts w:ascii="Times New Roman" w:hAnsi="Times New Roman" w:cs="Times New Roman"/>
          <w:color w:val="auto"/>
          <w:sz w:val="22"/>
          <w:szCs w:val="22"/>
        </w:rPr>
        <w:t xml:space="preserve">the two texts either with </w:t>
      </w:r>
      <w:r>
        <w:rPr>
          <w:rFonts w:ascii="Times New Roman" w:eastAsia="SimSun" w:hAnsi="Times New Roman" w:cs="Times New Roman"/>
          <w:color w:val="auto"/>
          <w:sz w:val="22"/>
          <w:szCs w:val="22"/>
        </w:rPr>
        <w:t>or</w:t>
      </w:r>
      <w:r>
        <w:rPr>
          <w:rFonts w:ascii="Times New Roman" w:hAnsi="Times New Roman" w:cs="Times New Roman"/>
          <w:color w:val="auto"/>
          <w:sz w:val="22"/>
          <w:szCs w:val="22"/>
        </w:rPr>
        <w:t xml:space="preserve"> without </w:t>
      </w:r>
      <w:r>
        <w:rPr>
          <w:rFonts w:ascii="Times New Roman" w:eastAsiaTheme="minorEastAsia" w:hAnsi="Times New Roman" w:cs="Times New Roman"/>
          <w:color w:val="auto"/>
          <w:sz w:val="22"/>
          <w:szCs w:val="22"/>
        </w:rPr>
        <w:t xml:space="preserve">topic </w:t>
      </w:r>
      <w:r>
        <w:rPr>
          <w:rFonts w:ascii="Times New Roman" w:hAnsi="Times New Roman" w:cs="Times New Roman"/>
          <w:color w:val="auto"/>
          <w:sz w:val="22"/>
          <w:szCs w:val="22"/>
        </w:rPr>
        <w:t>signaling by selecting every other student in the signaling condition and every other in the no signaling condition. There were 45 participants in each signaling condition.</w:t>
      </w:r>
    </w:p>
    <w:p w:rsidR="004D2580" w:rsidRDefault="0034511E">
      <w:pPr>
        <w:pStyle w:val="A0"/>
        <w:adjustRightInd w:val="0"/>
        <w:snapToGrid w:val="0"/>
        <w:spacing w:after="160" w:line="480" w:lineRule="auto"/>
        <w:rPr>
          <w:rFonts w:ascii="Times New Roman" w:hAnsi="Times New Roman" w:cs="Times New Roman"/>
          <w:bCs/>
          <w:i/>
          <w:iCs/>
          <w:color w:val="auto"/>
          <w:sz w:val="22"/>
          <w:szCs w:val="22"/>
        </w:rPr>
      </w:pPr>
      <w:r>
        <w:rPr>
          <w:rFonts w:ascii="Times New Roman" w:hAnsi="Times New Roman" w:cs="Times New Roman"/>
          <w:bCs/>
          <w:i/>
          <w:iCs/>
          <w:color w:val="auto"/>
          <w:sz w:val="22"/>
          <w:szCs w:val="22"/>
        </w:rPr>
        <w:t>3.1.5. Analyses of the measures</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The same online and offline measures and statistical methods were used as in Experiment 1.</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 xml:space="preserve">With respect to the offline measure, </w:t>
      </w:r>
      <w:r>
        <w:rPr>
          <w:rFonts w:ascii="Times New Roman" w:hAnsi="Times New Roman" w:cs="Times New Roman"/>
          <w:color w:val="auto"/>
          <w:kern w:val="0"/>
          <w:sz w:val="22"/>
          <w:szCs w:val="22"/>
        </w:rPr>
        <w:t xml:space="preserve">two raters independently scored a random subset of 20 </w:t>
      </w:r>
      <w:r>
        <w:rPr>
          <w:rFonts w:ascii="Times New Roman" w:hAnsi="Times New Roman" w:cs="Times New Roman"/>
          <w:color w:val="auto"/>
          <w:kern w:val="0"/>
          <w:sz w:val="22"/>
        </w:rPr>
        <w:t xml:space="preserve">summary protocols </w:t>
      </w:r>
      <w:r>
        <w:rPr>
          <w:rFonts w:ascii="Times New Roman" w:hAnsi="Times New Roman" w:cs="Times New Roman"/>
          <w:color w:val="auto"/>
          <w:kern w:val="0"/>
          <w:sz w:val="22"/>
          <w:szCs w:val="22"/>
        </w:rPr>
        <w:t>using</w:t>
      </w:r>
      <w:r>
        <w:rPr>
          <w:rFonts w:ascii="Times New Roman" w:hAnsi="Times New Roman" w:cs="Times New Roman"/>
          <w:color w:val="auto"/>
          <w:kern w:val="0"/>
          <w:sz w:val="22"/>
        </w:rPr>
        <w:t xml:space="preserve"> the same </w:t>
      </w:r>
      <w:r>
        <w:rPr>
          <w:rFonts w:ascii="Times New Roman" w:hAnsi="Times New Roman" w:cs="Times New Roman"/>
          <w:color w:val="auto"/>
          <w:kern w:val="0"/>
          <w:sz w:val="22"/>
          <w:szCs w:val="22"/>
        </w:rPr>
        <w:t xml:space="preserve">procedure </w:t>
      </w:r>
      <w:r>
        <w:rPr>
          <w:rFonts w:ascii="Times New Roman" w:hAnsi="Times New Roman" w:cs="Times New Roman"/>
          <w:color w:val="auto"/>
          <w:kern w:val="0"/>
          <w:sz w:val="22"/>
        </w:rPr>
        <w:t xml:space="preserve">as </w:t>
      </w:r>
      <w:r>
        <w:rPr>
          <w:rFonts w:ascii="Times New Roman" w:hAnsi="Times New Roman" w:cs="Times New Roman"/>
          <w:color w:val="auto"/>
          <w:sz w:val="22"/>
          <w:szCs w:val="22"/>
        </w:rPr>
        <w:t>in Experiment 1; the interrater reliability between the two raters was .97.</w:t>
      </w:r>
      <w:r>
        <w:rPr>
          <w:rFonts w:ascii="Times New Roman" w:eastAsia="SimSun" w:hAnsi="Times New Roman" w:cs="Times New Roman"/>
          <w:color w:val="auto"/>
          <w:kern w:val="0"/>
          <w:sz w:val="22"/>
          <w:szCs w:val="22"/>
        </w:rPr>
        <w:t xml:space="preserve"> The discrepancies were resolved </w:t>
      </w:r>
      <w:r>
        <w:rPr>
          <w:rFonts w:ascii="Times New Roman" w:hAnsi="Times New Roman" w:cs="Times New Roman"/>
          <w:color w:val="auto"/>
          <w:sz w:val="22"/>
          <w:szCs w:val="22"/>
        </w:rPr>
        <w:t xml:space="preserve">by </w:t>
      </w:r>
      <w:r>
        <w:rPr>
          <w:rFonts w:ascii="Times New Roman" w:hAnsi="Times New Roman" w:cs="Times New Roman"/>
          <w:color w:val="auto"/>
          <w:kern w:val="0"/>
          <w:sz w:val="22"/>
          <w:szCs w:val="22"/>
        </w:rPr>
        <w:t>averaging the scores of the two raters.</w:t>
      </w:r>
    </w:p>
    <w:p w:rsidR="004D2580" w:rsidRDefault="0034511E">
      <w:pPr>
        <w:pStyle w:val="A0"/>
        <w:adjustRightInd w:val="0"/>
        <w:snapToGrid w:val="0"/>
        <w:spacing w:after="160" w:line="480" w:lineRule="auto"/>
        <w:rPr>
          <w:rFonts w:ascii="Times New Roman" w:hAnsi="Times New Roman" w:cs="Times New Roman"/>
          <w:i/>
          <w:iCs/>
          <w:color w:val="auto"/>
          <w:sz w:val="22"/>
          <w:szCs w:val="22"/>
        </w:rPr>
      </w:pPr>
      <w:r>
        <w:rPr>
          <w:rFonts w:ascii="Times New Roman" w:hAnsi="Times New Roman" w:cs="Times New Roman"/>
          <w:i/>
          <w:iCs/>
          <w:color w:val="auto"/>
          <w:sz w:val="22"/>
          <w:szCs w:val="22"/>
        </w:rPr>
        <w:t>3.2.</w:t>
      </w:r>
      <w:r>
        <w:rPr>
          <w:rFonts w:ascii="Times New Roman" w:hAnsi="Times New Roman" w:cs="Times New Roman" w:hint="eastAsia"/>
          <w:i/>
          <w:iCs/>
          <w:color w:val="auto"/>
          <w:sz w:val="22"/>
          <w:szCs w:val="22"/>
        </w:rPr>
        <w:t xml:space="preserve"> </w:t>
      </w:r>
      <w:r>
        <w:rPr>
          <w:rFonts w:ascii="Times New Roman" w:hAnsi="Times New Roman" w:cs="Times New Roman"/>
          <w:i/>
          <w:iCs/>
          <w:color w:val="auto"/>
          <w:sz w:val="22"/>
          <w:szCs w:val="22"/>
        </w:rPr>
        <w:t>Results</w:t>
      </w:r>
    </w:p>
    <w:p w:rsidR="004D2580" w:rsidRDefault="0034511E">
      <w:pPr>
        <w:pStyle w:val="A0"/>
        <w:adjustRightInd w:val="0"/>
        <w:snapToGrid w:val="0"/>
        <w:spacing w:after="160" w:line="480" w:lineRule="auto"/>
        <w:rPr>
          <w:rFonts w:ascii="Times New Roman" w:hAnsi="Times New Roman" w:cs="Times New Roman"/>
          <w:i/>
          <w:iCs/>
          <w:color w:val="auto"/>
          <w:sz w:val="22"/>
          <w:szCs w:val="22"/>
        </w:rPr>
      </w:pPr>
      <w:r>
        <w:rPr>
          <w:rFonts w:ascii="Times New Roman" w:hAnsi="Times New Roman" w:cs="Times New Roman"/>
          <w:i/>
          <w:iCs/>
          <w:color w:val="auto"/>
          <w:sz w:val="22"/>
          <w:szCs w:val="22"/>
        </w:rPr>
        <w:t xml:space="preserve">3.2.1. </w:t>
      </w:r>
      <w:r>
        <w:rPr>
          <w:rFonts w:ascii="Times New Roman" w:eastAsia="SimSun" w:hAnsi="Times New Roman" w:cs="Times New Roman"/>
          <w:i/>
          <w:iCs/>
          <w:color w:val="auto"/>
          <w:sz w:val="22"/>
          <w:szCs w:val="22"/>
        </w:rPr>
        <w:t>The effect of topic s</w:t>
      </w:r>
      <w:r>
        <w:rPr>
          <w:rFonts w:ascii="Times New Roman" w:hAnsi="Times New Roman" w:cs="Times New Roman"/>
          <w:i/>
          <w:iCs/>
          <w:color w:val="auto"/>
          <w:sz w:val="22"/>
          <w:szCs w:val="22"/>
        </w:rPr>
        <w:t>ignaling on reading time</w:t>
      </w:r>
      <w:r>
        <w:rPr>
          <w:rFonts w:ascii="Times New Roman" w:eastAsia="SimSun" w:hAnsi="Times New Roman" w:cs="Times New Roman"/>
          <w:i/>
          <w:iCs/>
          <w:color w:val="auto"/>
          <w:sz w:val="22"/>
          <w:szCs w:val="22"/>
        </w:rPr>
        <w:t>s</w:t>
      </w:r>
      <w:r>
        <w:rPr>
          <w:rFonts w:ascii="Times New Roman" w:hAnsi="Times New Roman" w:cs="Times New Roman"/>
          <w:i/>
          <w:iCs/>
          <w:color w:val="auto"/>
          <w:sz w:val="22"/>
          <w:szCs w:val="22"/>
        </w:rPr>
        <w:t xml:space="preserve"> and </w:t>
      </w:r>
      <w:r>
        <w:rPr>
          <w:rFonts w:ascii="Times New Roman" w:eastAsia="SimSun" w:hAnsi="Times New Roman" w:cs="Times New Roman"/>
          <w:i/>
          <w:iCs/>
          <w:color w:val="auto"/>
          <w:sz w:val="22"/>
          <w:szCs w:val="22"/>
        </w:rPr>
        <w:t>summary scores</w:t>
      </w:r>
    </w:p>
    <w:p w:rsidR="004D2580" w:rsidRDefault="0034511E">
      <w:pPr>
        <w:pStyle w:val="A0"/>
        <w:adjustRightInd w:val="0"/>
        <w:snapToGrid w:val="0"/>
        <w:spacing w:after="160" w:line="480" w:lineRule="auto"/>
        <w:ind w:firstLineChars="250" w:firstLine="550"/>
        <w:rPr>
          <w:rFonts w:ascii="Times New Roman" w:hAnsi="Times New Roman" w:cs="Times New Roman"/>
          <w:color w:val="auto"/>
          <w:sz w:val="22"/>
          <w:szCs w:val="22"/>
        </w:rPr>
      </w:pPr>
      <w:proofErr w:type="gramStart"/>
      <w:r>
        <w:rPr>
          <w:rFonts w:ascii="Times New Roman" w:hAnsi="Times New Roman" w:cs="Times New Roman"/>
          <w:b/>
          <w:color w:val="auto"/>
          <w:sz w:val="22"/>
          <w:szCs w:val="22"/>
        </w:rPr>
        <w:t>First-pass reading time</w:t>
      </w:r>
      <w:r>
        <w:rPr>
          <w:rFonts w:ascii="Times New Roman" w:hAnsi="Times New Roman" w:cs="Times New Roman"/>
          <w:color w:val="auto"/>
          <w:sz w:val="22"/>
          <w:szCs w:val="22"/>
        </w:rPr>
        <w:t xml:space="preserve"> (see Fig. 3, Panel A).</w:t>
      </w:r>
      <w:proofErr w:type="gramEnd"/>
      <w:r>
        <w:rPr>
          <w:rFonts w:ascii="Times New Roman" w:hAnsi="Times New Roman" w:cs="Times New Roman"/>
          <w:color w:val="auto"/>
          <w:sz w:val="22"/>
          <w:szCs w:val="22"/>
        </w:rPr>
        <w:t xml:space="preserve"> There was a significant interaction between</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Sentence Type and Signaling</w:t>
      </w:r>
      <w:r>
        <w:rPr>
          <w:rFonts w:ascii="Times New Roman" w:hAnsi="Times New Roman" w:cs="Times New Roman"/>
          <w:color w:val="auto"/>
        </w:rPr>
        <w:t xml:space="preserve"> </w:t>
      </w:r>
      <w:r>
        <w:rPr>
          <w:rFonts w:ascii="Times New Roman" w:hAnsi="Times New Roman" w:cs="Times New Roman"/>
          <w:color w:val="auto"/>
          <w:sz w:val="22"/>
          <w:szCs w:val="22"/>
        </w:rPr>
        <w:t xml:space="preserve">in the first-pass reading time, </w:t>
      </w:r>
      <w:proofErr w:type="gramStart"/>
      <w:r>
        <w:rPr>
          <w:rFonts w:ascii="Times New Roman" w:hAnsi="Times New Roman" w:cs="Times New Roman"/>
          <w:i/>
          <w:iCs/>
          <w:color w:val="auto"/>
          <w:sz w:val="22"/>
          <w:szCs w:val="22"/>
        </w:rPr>
        <w:t>F</w:t>
      </w:r>
      <w:r>
        <w:rPr>
          <w:rFonts w:ascii="Times New Roman" w:hAnsi="Times New Roman" w:cs="Times New Roman"/>
          <w:color w:val="auto"/>
          <w:sz w:val="22"/>
          <w:szCs w:val="22"/>
        </w:rPr>
        <w:t>(</w:t>
      </w:r>
      <w:proofErr w:type="gramEnd"/>
      <w:r>
        <w:rPr>
          <w:rFonts w:ascii="Times New Roman" w:hAnsi="Times New Roman" w:cs="Times New Roman"/>
          <w:color w:val="auto"/>
          <w:sz w:val="22"/>
          <w:szCs w:val="22"/>
        </w:rPr>
        <w:t xml:space="preserve">2, 176) = 15.60,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&lt; .001,</w:t>
      </w:r>
      <w:r>
        <w:rPr>
          <w:rFonts w:ascii="Times New Roman" w:hAnsi="Times New Roman" w:cs="Times New Roman"/>
          <w:i/>
          <w:iCs/>
          <w:color w:val="auto"/>
          <w:sz w:val="22"/>
          <w:szCs w:val="22"/>
        </w:rPr>
        <w:t xml:space="preserve"> η</w:t>
      </w:r>
      <w:r>
        <w:rPr>
          <w:rFonts w:ascii="Times New Roman" w:eastAsia="SimSun" w:hAnsi="Times New Roman" w:cs="Times New Roman"/>
          <w:i/>
          <w:iCs/>
          <w:color w:val="auto"/>
          <w:sz w:val="22"/>
          <w:szCs w:val="22"/>
          <w:vertAlign w:val="subscript"/>
        </w:rPr>
        <w:t>p</w:t>
      </w:r>
      <w:r>
        <w:rPr>
          <w:rFonts w:ascii="Times New Roman" w:hAnsi="Times New Roman" w:cs="Times New Roman"/>
          <w:i/>
          <w:iCs/>
          <w:color w:val="auto"/>
          <w:sz w:val="22"/>
          <w:szCs w:val="22"/>
          <w:vertAlign w:val="superscript"/>
        </w:rPr>
        <w:t xml:space="preserve">2 </w:t>
      </w:r>
      <w:r>
        <w:rPr>
          <w:rFonts w:ascii="Times New Roman" w:hAnsi="Times New Roman" w:cs="Times New Roman"/>
          <w:color w:val="auto"/>
          <w:sz w:val="22"/>
          <w:szCs w:val="22"/>
        </w:rPr>
        <w:t xml:space="preserve">= .15. </w:t>
      </w:r>
      <w:r>
        <w:rPr>
          <w:rFonts w:ascii="Times New Roman" w:eastAsiaTheme="minorEastAsia" w:hAnsi="Times New Roman" w:cs="Times New Roman" w:hint="eastAsia"/>
          <w:color w:val="auto"/>
          <w:sz w:val="22"/>
          <w:szCs w:val="22"/>
        </w:rPr>
        <w:t xml:space="preserve">Simple effect analysis revealed that </w:t>
      </w:r>
      <w:r>
        <w:rPr>
          <w:rFonts w:ascii="Times New Roman" w:eastAsiaTheme="minorEastAsia" w:hAnsi="Times New Roman" w:cs="Times New Roman"/>
          <w:color w:val="auto"/>
          <w:sz w:val="22"/>
          <w:szCs w:val="22"/>
        </w:rPr>
        <w:t xml:space="preserve">first-pass </w:t>
      </w:r>
      <w:r>
        <w:rPr>
          <w:rFonts w:ascii="Times New Roman" w:eastAsiaTheme="minorEastAsia" w:hAnsi="Times New Roman" w:cs="Times New Roman" w:hint="eastAsia"/>
          <w:color w:val="auto"/>
          <w:sz w:val="22"/>
          <w:szCs w:val="22"/>
        </w:rPr>
        <w:t>r</w:t>
      </w:r>
      <w:r>
        <w:rPr>
          <w:rFonts w:ascii="Times New Roman" w:hAnsi="Times New Roman" w:cs="Times New Roman"/>
          <w:color w:val="auto"/>
          <w:sz w:val="22"/>
          <w:szCs w:val="22"/>
        </w:rPr>
        <w:t xml:space="preserve">eading times on topic sentences were longer in the signaling condition than in the no signaling condition, </w:t>
      </w:r>
      <w:r>
        <w:rPr>
          <w:rFonts w:ascii="Times New Roman" w:hAnsi="Times New Roman" w:cs="Times New Roman"/>
          <w:i/>
          <w:color w:val="auto"/>
          <w:sz w:val="22"/>
          <w:szCs w:val="22"/>
        </w:rPr>
        <w:t>F</w:t>
      </w:r>
      <w:r>
        <w:rPr>
          <w:rFonts w:ascii="Times New Roman" w:hAnsi="Times New Roman" w:cs="Times New Roman"/>
          <w:color w:val="auto"/>
          <w:sz w:val="22"/>
          <w:szCs w:val="22"/>
        </w:rPr>
        <w:t xml:space="preserve">(1, 88) = 8.04, </w:t>
      </w:r>
      <w:r>
        <w:rPr>
          <w:rFonts w:ascii="Times New Roman" w:hAnsi="Times New Roman" w:cs="Times New Roman"/>
          <w:i/>
          <w:color w:val="auto"/>
          <w:sz w:val="22"/>
          <w:szCs w:val="22"/>
        </w:rPr>
        <w:t>p</w:t>
      </w:r>
      <w:r>
        <w:rPr>
          <w:rFonts w:ascii="Times New Roman" w:hAnsi="Times New Roman" w:cs="Times New Roman"/>
          <w:color w:val="auto"/>
          <w:sz w:val="22"/>
          <w:szCs w:val="22"/>
        </w:rPr>
        <w:t xml:space="preserve"> = .006, </w:t>
      </w:r>
      <w:r>
        <w:rPr>
          <w:rFonts w:ascii="Times New Roman" w:hAnsi="Times New Roman" w:cs="Times New Roman"/>
          <w:i/>
          <w:color w:val="auto"/>
          <w:sz w:val="22"/>
          <w:szCs w:val="22"/>
        </w:rPr>
        <w:t>η</w:t>
      </w:r>
      <w:r>
        <w:rPr>
          <w:rFonts w:ascii="Times New Roman" w:hAnsi="Times New Roman" w:cs="Times New Roman"/>
          <w:i/>
          <w:color w:val="auto"/>
          <w:sz w:val="22"/>
          <w:szCs w:val="22"/>
          <w:vertAlign w:val="subscript"/>
        </w:rPr>
        <w:t>p</w:t>
      </w:r>
      <w:r>
        <w:rPr>
          <w:rFonts w:ascii="Times New Roman" w:hAnsi="Times New Roman" w:cs="Times New Roman"/>
          <w:i/>
          <w:color w:val="auto"/>
          <w:sz w:val="22"/>
          <w:szCs w:val="22"/>
          <w:vertAlign w:val="superscript"/>
        </w:rPr>
        <w:t>2</w:t>
      </w:r>
      <w:r>
        <w:rPr>
          <w:rFonts w:ascii="Times New Roman" w:hAnsi="Times New Roman" w:cs="Times New Roman"/>
          <w:color w:val="auto"/>
          <w:sz w:val="22"/>
          <w:szCs w:val="22"/>
        </w:rPr>
        <w:t xml:space="preserve"> = .08, whereas no reliable signaling effect was found for medial sentences, </w:t>
      </w:r>
      <w:r>
        <w:rPr>
          <w:rFonts w:ascii="Times New Roman" w:hAnsi="Times New Roman" w:cs="Times New Roman"/>
          <w:i/>
          <w:color w:val="auto"/>
          <w:sz w:val="22"/>
          <w:szCs w:val="22"/>
        </w:rPr>
        <w:t>F</w:t>
      </w:r>
      <w:r>
        <w:rPr>
          <w:rFonts w:ascii="Times New Roman" w:hAnsi="Times New Roman" w:cs="Times New Roman"/>
          <w:color w:val="auto"/>
          <w:sz w:val="22"/>
          <w:szCs w:val="22"/>
        </w:rPr>
        <w:t xml:space="preserve">(1, 88) = 1.96, </w:t>
      </w:r>
      <w:r>
        <w:rPr>
          <w:rFonts w:ascii="Times New Roman" w:hAnsi="Times New Roman" w:cs="Times New Roman"/>
          <w:i/>
          <w:color w:val="auto"/>
          <w:sz w:val="22"/>
          <w:szCs w:val="22"/>
        </w:rPr>
        <w:t>p</w:t>
      </w:r>
      <w:r>
        <w:rPr>
          <w:rFonts w:ascii="Times New Roman" w:hAnsi="Times New Roman" w:cs="Times New Roman"/>
          <w:color w:val="auto"/>
          <w:sz w:val="22"/>
          <w:szCs w:val="22"/>
        </w:rPr>
        <w:t xml:space="preserve"> = .165, or end sentences, </w:t>
      </w:r>
      <w:r>
        <w:rPr>
          <w:rFonts w:ascii="Times New Roman" w:hAnsi="Times New Roman" w:cs="Times New Roman"/>
          <w:i/>
          <w:color w:val="auto"/>
          <w:sz w:val="22"/>
          <w:szCs w:val="22"/>
        </w:rPr>
        <w:t>F</w:t>
      </w:r>
      <w:r>
        <w:rPr>
          <w:rFonts w:ascii="Times New Roman" w:hAnsi="Times New Roman" w:cs="Times New Roman"/>
          <w:color w:val="auto"/>
          <w:sz w:val="22"/>
          <w:szCs w:val="22"/>
        </w:rPr>
        <w:t xml:space="preserve">(1, 88) = 3.65, </w:t>
      </w:r>
      <w:r>
        <w:rPr>
          <w:rFonts w:ascii="Times New Roman" w:hAnsi="Times New Roman" w:cs="Times New Roman"/>
          <w:i/>
          <w:color w:val="auto"/>
          <w:sz w:val="22"/>
          <w:szCs w:val="22"/>
        </w:rPr>
        <w:t>p</w:t>
      </w:r>
      <w:r>
        <w:rPr>
          <w:rFonts w:ascii="Times New Roman" w:hAnsi="Times New Roman" w:cs="Times New Roman"/>
          <w:color w:val="auto"/>
          <w:sz w:val="22"/>
          <w:szCs w:val="22"/>
        </w:rPr>
        <w:t xml:space="preserve"> = .059. The main effect of </w:t>
      </w:r>
      <w:r>
        <w:rPr>
          <w:rFonts w:ascii="Times New Roman" w:eastAsiaTheme="minorEastAsia" w:hAnsi="Times New Roman" w:cs="Times New Roman"/>
          <w:color w:val="auto"/>
          <w:sz w:val="22"/>
          <w:szCs w:val="22"/>
        </w:rPr>
        <w:t>S</w:t>
      </w:r>
      <w:r>
        <w:rPr>
          <w:rFonts w:ascii="Times New Roman" w:hAnsi="Times New Roman" w:cs="Times New Roman"/>
          <w:color w:val="auto"/>
          <w:sz w:val="22"/>
          <w:szCs w:val="22"/>
        </w:rPr>
        <w:t xml:space="preserve">entence </w:t>
      </w:r>
      <w:r>
        <w:rPr>
          <w:rFonts w:ascii="Times New Roman" w:eastAsiaTheme="minorEastAsia" w:hAnsi="Times New Roman" w:cs="Times New Roman"/>
          <w:color w:val="auto"/>
          <w:sz w:val="22"/>
          <w:szCs w:val="22"/>
        </w:rPr>
        <w:t>T</w:t>
      </w:r>
      <w:r>
        <w:rPr>
          <w:rFonts w:ascii="Times New Roman" w:hAnsi="Times New Roman" w:cs="Times New Roman"/>
          <w:color w:val="auto"/>
          <w:sz w:val="22"/>
          <w:szCs w:val="22"/>
        </w:rPr>
        <w:t xml:space="preserve">ype was also significant, </w:t>
      </w:r>
      <w:proofErr w:type="gramStart"/>
      <w:r>
        <w:rPr>
          <w:rFonts w:ascii="Times New Roman" w:hAnsi="Times New Roman" w:cs="Times New Roman"/>
          <w:i/>
          <w:iCs/>
          <w:color w:val="auto"/>
          <w:sz w:val="22"/>
          <w:szCs w:val="22"/>
        </w:rPr>
        <w:t>F</w:t>
      </w:r>
      <w:r>
        <w:rPr>
          <w:rFonts w:ascii="Times New Roman" w:hAnsi="Times New Roman" w:cs="Times New Roman"/>
          <w:color w:val="auto"/>
          <w:sz w:val="22"/>
          <w:szCs w:val="22"/>
        </w:rPr>
        <w:t>(</w:t>
      </w:r>
      <w:proofErr w:type="gramEnd"/>
      <w:r>
        <w:rPr>
          <w:rFonts w:ascii="Times New Roman" w:hAnsi="Times New Roman" w:cs="Times New Roman"/>
          <w:color w:val="auto"/>
          <w:sz w:val="22"/>
          <w:szCs w:val="22"/>
        </w:rPr>
        <w:t xml:space="preserve">2, 176) = 43.95,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&lt; .001,</w:t>
      </w:r>
      <w:r>
        <w:rPr>
          <w:rFonts w:ascii="Times New Roman" w:hAnsi="Times New Roman" w:cs="Times New Roman"/>
          <w:i/>
          <w:iCs/>
          <w:color w:val="auto"/>
          <w:sz w:val="22"/>
          <w:szCs w:val="22"/>
        </w:rPr>
        <w:t xml:space="preserve"> η</w:t>
      </w:r>
      <w:r>
        <w:rPr>
          <w:rFonts w:ascii="Times New Roman" w:eastAsia="SimSun" w:hAnsi="Times New Roman" w:cs="Times New Roman"/>
          <w:i/>
          <w:iCs/>
          <w:color w:val="auto"/>
          <w:sz w:val="22"/>
          <w:szCs w:val="22"/>
          <w:vertAlign w:val="subscript"/>
        </w:rPr>
        <w:t>p</w:t>
      </w:r>
      <w:r>
        <w:rPr>
          <w:rFonts w:ascii="Times New Roman" w:hAnsi="Times New Roman" w:cs="Times New Roman"/>
          <w:i/>
          <w:iCs/>
          <w:color w:val="auto"/>
          <w:sz w:val="22"/>
          <w:szCs w:val="22"/>
          <w:vertAlign w:val="superscript"/>
        </w:rPr>
        <w:t xml:space="preserve">2 </w:t>
      </w:r>
      <w:r>
        <w:rPr>
          <w:rFonts w:ascii="Times New Roman" w:hAnsi="Times New Roman" w:cs="Times New Roman"/>
          <w:color w:val="auto"/>
          <w:sz w:val="22"/>
          <w:szCs w:val="22"/>
        </w:rPr>
        <w:t>= .74</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 xml:space="preserve"> </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proofErr w:type="gramStart"/>
      <w:r>
        <w:rPr>
          <w:rFonts w:ascii="Times New Roman" w:hAnsi="Times New Roman" w:cs="Times New Roman"/>
          <w:b/>
          <w:color w:val="auto"/>
          <w:sz w:val="22"/>
          <w:szCs w:val="22"/>
        </w:rPr>
        <w:lastRenderedPageBreak/>
        <w:t>Second-pass reading time</w:t>
      </w:r>
      <w:r>
        <w:rPr>
          <w:rFonts w:ascii="Times New Roman" w:hAnsi="Times New Roman" w:cs="Times New Roman"/>
          <w:color w:val="auto"/>
          <w:sz w:val="22"/>
          <w:szCs w:val="22"/>
        </w:rPr>
        <w:t xml:space="preserve"> (see Fig. 3, Panel B).</w:t>
      </w:r>
      <w:proofErr w:type="gramEnd"/>
      <w:r>
        <w:rPr>
          <w:rFonts w:ascii="Times New Roman" w:hAnsi="Times New Roman" w:cs="Times New Roman"/>
          <w:color w:val="auto"/>
          <w:sz w:val="22"/>
          <w:szCs w:val="22"/>
        </w:rPr>
        <w:t xml:space="preserve"> There was a significant interaction between Sentence Type and Signaling in the second-pass fixation time, </w:t>
      </w:r>
      <w:proofErr w:type="gramStart"/>
      <w:r>
        <w:rPr>
          <w:rFonts w:ascii="Times New Roman" w:hAnsi="Times New Roman" w:cs="Times New Roman"/>
          <w:i/>
          <w:iCs/>
          <w:color w:val="auto"/>
          <w:sz w:val="22"/>
          <w:szCs w:val="22"/>
        </w:rPr>
        <w:t>F</w:t>
      </w:r>
      <w:r>
        <w:rPr>
          <w:rFonts w:ascii="Times New Roman" w:hAnsi="Times New Roman" w:cs="Times New Roman"/>
          <w:color w:val="auto"/>
          <w:sz w:val="22"/>
          <w:szCs w:val="22"/>
        </w:rPr>
        <w:t>(</w:t>
      </w:r>
      <w:proofErr w:type="gramEnd"/>
      <w:r>
        <w:rPr>
          <w:rFonts w:ascii="Times New Roman" w:hAnsi="Times New Roman" w:cs="Times New Roman"/>
          <w:color w:val="auto"/>
          <w:sz w:val="22"/>
          <w:szCs w:val="22"/>
        </w:rPr>
        <w:t xml:space="preserve">2, 176) = 6.72,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 .002,</w:t>
      </w:r>
      <w:r>
        <w:rPr>
          <w:rFonts w:ascii="Times New Roman" w:hAnsi="Times New Roman" w:cs="Times New Roman"/>
          <w:i/>
          <w:iCs/>
          <w:color w:val="auto"/>
          <w:sz w:val="22"/>
          <w:szCs w:val="22"/>
        </w:rPr>
        <w:t xml:space="preserve"> η</w:t>
      </w:r>
      <w:r>
        <w:rPr>
          <w:rFonts w:ascii="Times New Roman" w:eastAsia="SimSun" w:hAnsi="Times New Roman" w:cs="Times New Roman"/>
          <w:i/>
          <w:iCs/>
          <w:color w:val="auto"/>
          <w:sz w:val="22"/>
          <w:szCs w:val="22"/>
          <w:vertAlign w:val="subscript"/>
        </w:rPr>
        <w:t>p</w:t>
      </w:r>
      <w:r>
        <w:rPr>
          <w:rFonts w:ascii="Times New Roman" w:hAnsi="Times New Roman" w:cs="Times New Roman"/>
          <w:i/>
          <w:iCs/>
          <w:color w:val="auto"/>
          <w:sz w:val="22"/>
          <w:szCs w:val="22"/>
          <w:vertAlign w:val="superscript"/>
        </w:rPr>
        <w:t xml:space="preserve">2 </w:t>
      </w:r>
      <w:r>
        <w:rPr>
          <w:rFonts w:ascii="Times New Roman" w:hAnsi="Times New Roman" w:cs="Times New Roman"/>
          <w:color w:val="auto"/>
          <w:sz w:val="22"/>
          <w:szCs w:val="22"/>
        </w:rPr>
        <w:t xml:space="preserve">= .071. </w:t>
      </w:r>
      <w:r>
        <w:rPr>
          <w:rFonts w:ascii="Times New Roman" w:eastAsiaTheme="minorEastAsia" w:hAnsi="Times New Roman" w:cs="Times New Roman" w:hint="eastAsia"/>
          <w:color w:val="auto"/>
          <w:sz w:val="22"/>
          <w:szCs w:val="22"/>
        </w:rPr>
        <w:t xml:space="preserve">Simple effect analysis showed that </w:t>
      </w:r>
      <w:r>
        <w:rPr>
          <w:rFonts w:ascii="Times New Roman" w:eastAsiaTheme="minorEastAsia" w:hAnsi="Times New Roman" w:cs="Times New Roman"/>
          <w:color w:val="auto"/>
          <w:sz w:val="22"/>
          <w:szCs w:val="22"/>
        </w:rPr>
        <w:t xml:space="preserve">second-pass </w:t>
      </w:r>
      <w:r>
        <w:rPr>
          <w:rFonts w:ascii="Times New Roman" w:eastAsiaTheme="minorEastAsia" w:hAnsi="Times New Roman" w:cs="Times New Roman" w:hint="eastAsia"/>
          <w:color w:val="auto"/>
          <w:sz w:val="22"/>
          <w:szCs w:val="22"/>
        </w:rPr>
        <w:t>r</w:t>
      </w:r>
      <w:r>
        <w:rPr>
          <w:rFonts w:ascii="Times New Roman" w:hAnsi="Times New Roman" w:cs="Times New Roman"/>
          <w:color w:val="auto"/>
          <w:sz w:val="22"/>
          <w:szCs w:val="22"/>
        </w:rPr>
        <w:t xml:space="preserve">eading times on topic sentences were longer in the signaling condition than in the no signaling condition, </w:t>
      </w:r>
      <w:r>
        <w:rPr>
          <w:rFonts w:ascii="Times New Roman" w:hAnsi="Times New Roman" w:cs="Times New Roman"/>
          <w:i/>
          <w:color w:val="auto"/>
          <w:sz w:val="22"/>
          <w:szCs w:val="22"/>
        </w:rPr>
        <w:t>F</w:t>
      </w:r>
      <w:r>
        <w:rPr>
          <w:rFonts w:ascii="Times New Roman" w:hAnsi="Times New Roman" w:cs="Times New Roman"/>
          <w:color w:val="auto"/>
          <w:sz w:val="22"/>
          <w:szCs w:val="22"/>
        </w:rPr>
        <w:t xml:space="preserve">(1, 88) = 8.14, </w:t>
      </w:r>
      <w:r>
        <w:rPr>
          <w:rFonts w:ascii="Times New Roman" w:hAnsi="Times New Roman" w:cs="Times New Roman"/>
          <w:i/>
          <w:color w:val="auto"/>
          <w:sz w:val="22"/>
          <w:szCs w:val="22"/>
        </w:rPr>
        <w:t>p</w:t>
      </w:r>
      <w:r>
        <w:rPr>
          <w:rFonts w:ascii="Times New Roman" w:hAnsi="Times New Roman" w:cs="Times New Roman"/>
          <w:color w:val="auto"/>
          <w:sz w:val="22"/>
          <w:szCs w:val="22"/>
        </w:rPr>
        <w:t xml:space="preserve"> = .005, </w:t>
      </w:r>
      <w:r>
        <w:rPr>
          <w:rFonts w:ascii="Times New Roman" w:hAnsi="Times New Roman" w:cs="Times New Roman"/>
          <w:i/>
          <w:color w:val="auto"/>
          <w:sz w:val="22"/>
          <w:szCs w:val="22"/>
        </w:rPr>
        <w:t>η</w:t>
      </w:r>
      <w:r>
        <w:rPr>
          <w:rFonts w:ascii="Times New Roman" w:hAnsi="Times New Roman" w:cs="Times New Roman"/>
          <w:i/>
          <w:color w:val="auto"/>
          <w:sz w:val="22"/>
          <w:szCs w:val="22"/>
          <w:vertAlign w:val="subscript"/>
        </w:rPr>
        <w:t>p</w:t>
      </w:r>
      <w:r>
        <w:rPr>
          <w:rFonts w:ascii="Times New Roman" w:hAnsi="Times New Roman" w:cs="Times New Roman"/>
          <w:i/>
          <w:color w:val="auto"/>
          <w:sz w:val="22"/>
          <w:szCs w:val="22"/>
          <w:vertAlign w:val="superscript"/>
        </w:rPr>
        <w:t>2</w:t>
      </w:r>
      <w:r>
        <w:rPr>
          <w:rFonts w:ascii="Times New Roman" w:hAnsi="Times New Roman" w:cs="Times New Roman"/>
          <w:color w:val="auto"/>
          <w:sz w:val="22"/>
          <w:szCs w:val="22"/>
        </w:rPr>
        <w:t xml:space="preserve"> = .09; whereas no signaling effect was observed for medial or end sentences, </w:t>
      </w:r>
      <w:r>
        <w:rPr>
          <w:rFonts w:ascii="Times New Roman" w:hAnsi="Times New Roman" w:cs="Times New Roman"/>
          <w:i/>
          <w:color w:val="auto"/>
          <w:sz w:val="22"/>
          <w:szCs w:val="22"/>
        </w:rPr>
        <w:t>Fs</w:t>
      </w:r>
      <w:r>
        <w:rPr>
          <w:rFonts w:ascii="Times New Roman" w:hAnsi="Times New Roman" w:cs="Times New Roman"/>
          <w:color w:val="auto"/>
          <w:sz w:val="22"/>
          <w:szCs w:val="22"/>
        </w:rPr>
        <w:t>&lt;1. The main effect of Sentence Type was also significant,</w:t>
      </w:r>
      <w:r>
        <w:rPr>
          <w:rFonts w:ascii="Times New Roman" w:hAnsi="Times New Roman" w:cs="Times New Roman"/>
          <w:i/>
          <w:iCs/>
          <w:color w:val="auto"/>
          <w:sz w:val="22"/>
          <w:szCs w:val="22"/>
        </w:rPr>
        <w:t xml:space="preserve"> </w:t>
      </w:r>
      <w:proofErr w:type="gramStart"/>
      <w:r>
        <w:rPr>
          <w:rFonts w:ascii="Times New Roman" w:hAnsi="Times New Roman" w:cs="Times New Roman"/>
          <w:i/>
          <w:iCs/>
          <w:color w:val="auto"/>
          <w:sz w:val="22"/>
          <w:szCs w:val="22"/>
        </w:rPr>
        <w:t>F</w:t>
      </w:r>
      <w:r>
        <w:rPr>
          <w:rFonts w:ascii="Times New Roman" w:hAnsi="Times New Roman" w:cs="Times New Roman"/>
          <w:color w:val="auto"/>
          <w:sz w:val="22"/>
          <w:szCs w:val="22"/>
        </w:rPr>
        <w:t>(</w:t>
      </w:r>
      <w:proofErr w:type="gramEnd"/>
      <w:r>
        <w:rPr>
          <w:rFonts w:ascii="Times New Roman" w:hAnsi="Times New Roman" w:cs="Times New Roman"/>
          <w:color w:val="auto"/>
          <w:sz w:val="22"/>
          <w:szCs w:val="22"/>
        </w:rPr>
        <w:t xml:space="preserve">2, 176) = 38.20,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&lt; .001,</w:t>
      </w:r>
      <w:r>
        <w:rPr>
          <w:rFonts w:ascii="Times New Roman" w:hAnsi="Times New Roman" w:cs="Times New Roman"/>
          <w:i/>
          <w:iCs/>
          <w:color w:val="auto"/>
          <w:sz w:val="22"/>
          <w:szCs w:val="22"/>
        </w:rPr>
        <w:t xml:space="preserve"> η</w:t>
      </w:r>
      <w:r>
        <w:rPr>
          <w:rFonts w:ascii="Times New Roman" w:eastAsia="SimSun" w:hAnsi="Times New Roman" w:cs="Times New Roman"/>
          <w:i/>
          <w:iCs/>
          <w:color w:val="auto"/>
          <w:sz w:val="22"/>
          <w:szCs w:val="22"/>
          <w:vertAlign w:val="subscript"/>
        </w:rPr>
        <w:t>p</w:t>
      </w:r>
      <w:r>
        <w:rPr>
          <w:rFonts w:ascii="Times New Roman" w:hAnsi="Times New Roman" w:cs="Times New Roman"/>
          <w:i/>
          <w:iCs/>
          <w:color w:val="auto"/>
          <w:sz w:val="22"/>
          <w:szCs w:val="22"/>
          <w:vertAlign w:val="superscript"/>
        </w:rPr>
        <w:t xml:space="preserve">2 </w:t>
      </w:r>
      <w:r>
        <w:rPr>
          <w:rFonts w:ascii="Times New Roman" w:hAnsi="Times New Roman" w:cs="Times New Roman"/>
          <w:color w:val="auto"/>
          <w:sz w:val="22"/>
          <w:szCs w:val="22"/>
        </w:rPr>
        <w:t>= .30</w:t>
      </w:r>
      <w:r>
        <w:rPr>
          <w:rFonts w:ascii="Times New Roman" w:eastAsia="SimSun" w:hAnsi="Times New Roman" w:cs="Times New Roman"/>
          <w:color w:val="auto"/>
          <w:sz w:val="22"/>
          <w:szCs w:val="22"/>
        </w:rPr>
        <w:t xml:space="preserve">. </w:t>
      </w:r>
    </w:p>
    <w:p w:rsidR="004D2580" w:rsidRDefault="0034511E">
      <w:pPr>
        <w:pStyle w:val="A0"/>
        <w:adjustRightInd w:val="0"/>
        <w:snapToGrid w:val="0"/>
        <w:spacing w:line="480" w:lineRule="auto"/>
        <w:jc w:val="center"/>
        <w:rPr>
          <w:rFonts w:ascii="Times New Roman" w:hAnsi="Times New Roman" w:cs="Times New Roman"/>
          <w:color w:val="auto"/>
          <w:sz w:val="22"/>
          <w:szCs w:val="22"/>
        </w:rPr>
      </w:pPr>
      <w:r>
        <w:rPr>
          <w:rFonts w:ascii="Times New Roman" w:hAnsi="Times New Roman" w:cs="Times New Roman"/>
          <w:noProof/>
          <w:color w:val="auto"/>
          <w:sz w:val="22"/>
          <w:szCs w:val="22"/>
          <w:lang w:eastAsia="en-US"/>
        </w:rPr>
        <w:drawing>
          <wp:inline distT="0" distB="0" distL="0" distR="0" wp14:anchorId="4DD8C446" wp14:editId="0FEEA353">
            <wp:extent cx="5274310" cy="2338705"/>
            <wp:effectExtent l="0" t="0" r="2540" b="4445"/>
            <wp:docPr id="8" name="图片 8" descr="C:\Users\DELL\Desktop\Copy of Layout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C:\Users\DELL\Desktop\Copy of Layout 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5274310" cy="2339186"/>
                    </a:xfrm>
                    <a:prstGeom prst="rect">
                      <a:avLst/>
                    </a:prstGeom>
                    <a:noFill/>
                    <a:ln>
                      <a:noFill/>
                    </a:ln>
                  </pic:spPr>
                </pic:pic>
              </a:graphicData>
            </a:graphic>
          </wp:inline>
        </w:drawing>
      </w:r>
    </w:p>
    <w:p w:rsidR="004D2580" w:rsidRDefault="0034511E">
      <w:pPr>
        <w:pStyle w:val="A0"/>
        <w:adjustRightInd w:val="0"/>
        <w:snapToGrid w:val="0"/>
        <w:spacing w:line="480" w:lineRule="auto"/>
        <w:rPr>
          <w:rFonts w:ascii="Times New Roman" w:hAnsi="Times New Roman" w:cs="Times New Roman"/>
          <w:color w:val="auto"/>
          <w:sz w:val="20"/>
          <w:szCs w:val="20"/>
        </w:rPr>
      </w:pPr>
      <w:r>
        <w:rPr>
          <w:rFonts w:ascii="Times New Roman" w:hAnsi="Times New Roman" w:cs="Times New Roman"/>
          <w:b/>
          <w:color w:val="auto"/>
          <w:sz w:val="20"/>
          <w:szCs w:val="20"/>
        </w:rPr>
        <w:t xml:space="preserve">Fig.3. </w:t>
      </w:r>
      <w:r>
        <w:rPr>
          <w:rFonts w:ascii="Times New Roman" w:hAnsi="Times New Roman" w:cs="Times New Roman"/>
          <w:color w:val="auto"/>
          <w:sz w:val="20"/>
          <w:szCs w:val="20"/>
        </w:rPr>
        <w:t xml:space="preserve">Mean first-pass (Panel A) and mean second-pass (Panel B) reading times </w:t>
      </w:r>
      <w:r>
        <w:rPr>
          <w:rFonts w:ascii="Times New Roman" w:eastAsia="SimSun" w:hAnsi="Times New Roman" w:cs="Times New Roman"/>
          <w:color w:val="auto"/>
          <w:kern w:val="0"/>
          <w:sz w:val="20"/>
          <w:szCs w:val="20"/>
          <w:lang w:val="en-GB" w:eastAsia="en-US"/>
        </w:rPr>
        <w:t>(±SE)</w:t>
      </w:r>
      <w:r>
        <w:rPr>
          <w:rFonts w:ascii="Times New Roman" w:hAnsi="Times New Roman" w:cs="Times New Roman"/>
          <w:color w:val="auto"/>
          <w:sz w:val="20"/>
          <w:szCs w:val="20"/>
        </w:rPr>
        <w:t xml:space="preserve"> in Experiment 2 for the different sentences of the text with and without signaling. </w:t>
      </w:r>
    </w:p>
    <w:p w:rsidR="004D2580" w:rsidRDefault="0034511E">
      <w:pPr>
        <w:pStyle w:val="A0"/>
        <w:adjustRightInd w:val="0"/>
        <w:snapToGrid w:val="0"/>
        <w:spacing w:after="160" w:line="480" w:lineRule="auto"/>
        <w:ind w:firstLineChars="200" w:firstLine="440"/>
        <w:rPr>
          <w:rFonts w:ascii="Times New Roman" w:hAnsi="Times New Roman" w:cs="Times New Roman"/>
          <w:i/>
          <w:color w:val="auto"/>
          <w:sz w:val="22"/>
          <w:szCs w:val="22"/>
        </w:rPr>
      </w:pPr>
      <w:proofErr w:type="gramStart"/>
      <w:r>
        <w:rPr>
          <w:rFonts w:ascii="Times New Roman" w:hAnsi="Times New Roman" w:cs="Times New Roman" w:hint="eastAsia"/>
          <w:b/>
          <w:color w:val="auto"/>
          <w:sz w:val="22"/>
          <w:szCs w:val="22"/>
        </w:rPr>
        <w:t>Summary scores.</w:t>
      </w:r>
      <w:proofErr w:type="gramEnd"/>
      <w:r>
        <w:rPr>
          <w:rFonts w:ascii="Times New Roman" w:hAnsi="Times New Roman" w:cs="Times New Roman" w:hint="eastAsia"/>
          <w:b/>
          <w:color w:val="auto"/>
          <w:sz w:val="22"/>
          <w:szCs w:val="22"/>
        </w:rPr>
        <w:t xml:space="preserve"> </w:t>
      </w:r>
      <w:r>
        <w:rPr>
          <w:rFonts w:ascii="Times New Roman" w:hAnsi="Times New Roman" w:cs="Times New Roman"/>
          <w:color w:val="auto"/>
          <w:sz w:val="22"/>
          <w:szCs w:val="22"/>
        </w:rPr>
        <w:t xml:space="preserve">There was a significant effect of Signaling in the summary scores, </w:t>
      </w:r>
      <w:r>
        <w:rPr>
          <w:rFonts w:ascii="Times New Roman" w:hAnsi="Times New Roman" w:cs="Times New Roman"/>
          <w:i/>
          <w:iCs/>
          <w:color w:val="auto"/>
          <w:sz w:val="22"/>
          <w:szCs w:val="22"/>
        </w:rPr>
        <w:t xml:space="preserve">t </w:t>
      </w:r>
      <w:r>
        <w:rPr>
          <w:rFonts w:ascii="Times New Roman" w:hAnsi="Times New Roman" w:cs="Times New Roman"/>
          <w:color w:val="auto"/>
          <w:sz w:val="22"/>
          <w:szCs w:val="22"/>
        </w:rPr>
        <w:t xml:space="preserve">(88) = 3.02,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 xml:space="preserve">= .01, </w:t>
      </w:r>
      <w:r>
        <w:rPr>
          <w:rFonts w:ascii="Times New Roman" w:eastAsia="SimSun" w:hAnsi="Times New Roman" w:cs="Times New Roman"/>
          <w:i/>
          <w:iCs/>
          <w:color w:val="auto"/>
          <w:kern w:val="0"/>
          <w:sz w:val="22"/>
          <w:szCs w:val="22"/>
          <w:lang w:val="en-GB" w:eastAsia="en-US"/>
        </w:rPr>
        <w:t xml:space="preserve">d </w:t>
      </w:r>
      <w:r>
        <w:rPr>
          <w:rFonts w:ascii="Times New Roman" w:eastAsia="SimSun" w:hAnsi="Times New Roman" w:cs="Times New Roman"/>
          <w:color w:val="auto"/>
          <w:kern w:val="0"/>
          <w:sz w:val="22"/>
          <w:szCs w:val="22"/>
          <w:lang w:val="en-GB" w:eastAsia="en-US"/>
        </w:rPr>
        <w:t>= .46</w:t>
      </w:r>
      <w:r>
        <w:rPr>
          <w:rFonts w:ascii="Times New Roman" w:hAnsi="Times New Roman" w:cs="Times New Roman"/>
          <w:color w:val="auto"/>
          <w:sz w:val="22"/>
          <w:szCs w:val="22"/>
        </w:rPr>
        <w:t xml:space="preserve">, </w:t>
      </w:r>
      <w:r>
        <w:rPr>
          <w:rFonts w:ascii="Times New Roman" w:eastAsia="SimSun" w:hAnsi="Times New Roman" w:cs="Times New Roman"/>
          <w:color w:val="auto"/>
          <w:sz w:val="22"/>
          <w:szCs w:val="22"/>
        </w:rPr>
        <w:t xml:space="preserve">suggesting that the summary </w:t>
      </w:r>
      <w:r>
        <w:rPr>
          <w:rFonts w:ascii="Times New Roman" w:hAnsi="Times New Roman" w:cs="Times New Roman"/>
          <w:color w:val="auto"/>
          <w:sz w:val="22"/>
          <w:szCs w:val="22"/>
        </w:rPr>
        <w:t>scores were higher in the signaling condition (</w:t>
      </w:r>
      <w:r>
        <w:rPr>
          <w:rFonts w:ascii="Times New Roman" w:eastAsia="SimSun" w:hAnsi="Times New Roman" w:cs="Times New Roman"/>
          <w:i/>
          <w:color w:val="auto"/>
          <w:sz w:val="22"/>
          <w:szCs w:val="22"/>
        </w:rPr>
        <w:t xml:space="preserve">M </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6.84</w:t>
      </w:r>
      <w:r>
        <w:rPr>
          <w:rFonts w:ascii="Times New Roman" w:eastAsia="SimSun" w:hAnsi="Times New Roman" w:cs="Times New Roman"/>
          <w:iCs/>
          <w:color w:val="auto"/>
          <w:sz w:val="22"/>
          <w:szCs w:val="22"/>
        </w:rPr>
        <w:t>;</w:t>
      </w:r>
      <w:r>
        <w:rPr>
          <w:rFonts w:ascii="Times New Roman" w:eastAsia="SimSun" w:hAnsi="Times New Roman" w:cs="Times New Roman"/>
          <w:i/>
          <w:iCs/>
          <w:color w:val="auto"/>
          <w:sz w:val="22"/>
          <w:szCs w:val="22"/>
        </w:rPr>
        <w:t xml:space="preserve"> SD = </w:t>
      </w:r>
      <w:r>
        <w:rPr>
          <w:rFonts w:ascii="Times New Roman" w:hAnsi="Times New Roman" w:cs="Times New Roman"/>
          <w:color w:val="auto"/>
          <w:sz w:val="22"/>
          <w:szCs w:val="22"/>
        </w:rPr>
        <w:t>1.18) than in the no signaling condition (</w:t>
      </w:r>
      <w:r>
        <w:rPr>
          <w:rFonts w:ascii="Times New Roman" w:eastAsia="SimSun" w:hAnsi="Times New Roman" w:cs="Times New Roman"/>
          <w:i/>
          <w:color w:val="auto"/>
          <w:sz w:val="22"/>
          <w:szCs w:val="22"/>
        </w:rPr>
        <w:t xml:space="preserve">M </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6.27</w:t>
      </w:r>
      <w:r>
        <w:rPr>
          <w:rFonts w:ascii="Times New Roman" w:eastAsia="SimSun" w:hAnsi="Times New Roman" w:cs="Times New Roman"/>
          <w:iCs/>
          <w:color w:val="auto"/>
          <w:sz w:val="22"/>
          <w:szCs w:val="22"/>
        </w:rPr>
        <w:t>;</w:t>
      </w:r>
      <w:r>
        <w:rPr>
          <w:rFonts w:ascii="Times New Roman" w:eastAsia="SimSun" w:hAnsi="Times New Roman" w:cs="Times New Roman"/>
          <w:i/>
          <w:iCs/>
          <w:color w:val="auto"/>
          <w:sz w:val="22"/>
          <w:szCs w:val="22"/>
        </w:rPr>
        <w:t xml:space="preserve"> SD = </w:t>
      </w:r>
      <w:r>
        <w:rPr>
          <w:rFonts w:ascii="Times New Roman" w:hAnsi="Times New Roman" w:cs="Times New Roman"/>
          <w:color w:val="auto"/>
          <w:sz w:val="22"/>
          <w:szCs w:val="22"/>
        </w:rPr>
        <w:t>1.32).</w:t>
      </w:r>
    </w:p>
    <w:p w:rsidR="004D2580" w:rsidRDefault="0034511E">
      <w:pPr>
        <w:pStyle w:val="A0"/>
        <w:adjustRightInd w:val="0"/>
        <w:snapToGrid w:val="0"/>
        <w:spacing w:after="160" w:line="480" w:lineRule="auto"/>
        <w:rPr>
          <w:rFonts w:ascii="Times New Roman" w:eastAsia="SimSun" w:hAnsi="Times New Roman" w:cs="Times New Roman"/>
          <w:i/>
          <w:iCs/>
          <w:color w:val="auto"/>
          <w:sz w:val="22"/>
          <w:szCs w:val="22"/>
        </w:rPr>
      </w:pPr>
      <w:r>
        <w:rPr>
          <w:rFonts w:ascii="Times New Roman" w:hAnsi="Times New Roman" w:cs="Times New Roman"/>
          <w:i/>
          <w:iCs/>
          <w:color w:val="auto"/>
          <w:sz w:val="22"/>
          <w:szCs w:val="22"/>
        </w:rPr>
        <w:t>3.2.2. Cluster analysis</w:t>
      </w:r>
      <w:r>
        <w:rPr>
          <w:rFonts w:ascii="Times New Roman" w:eastAsia="SimSun" w:hAnsi="Times New Roman" w:cs="Times New Roman"/>
          <w:i/>
          <w:iCs/>
          <w:color w:val="auto"/>
          <w:sz w:val="22"/>
          <w:szCs w:val="22"/>
        </w:rPr>
        <w:t xml:space="preserve"> results</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We used the same cluster analysis method as that used in Experiment 1 to categorize the participants into different reader groups. We considered 2- to 5-cluster solutions and eventually selected the 4-cluster solution</w:t>
      </w:r>
      <w:r>
        <w:rPr>
          <w:rFonts w:ascii="Times New Roman" w:eastAsia="SimSun" w:hAnsi="Times New Roman" w:cs="Times New Roman"/>
          <w:color w:val="auto"/>
          <w:sz w:val="22"/>
          <w:szCs w:val="22"/>
        </w:rPr>
        <w:t xml:space="preserve"> for both the signaling and no signaling condition</w:t>
      </w:r>
      <w:r>
        <w:rPr>
          <w:rFonts w:ascii="Times New Roman" w:hAnsi="Times New Roman" w:cs="Times New Roman"/>
          <w:color w:val="auto"/>
          <w:sz w:val="22"/>
          <w:szCs w:val="22"/>
        </w:rPr>
        <w:t xml:space="preserve">. The four groups that emerged from the cluster analysis </w:t>
      </w:r>
      <w:r>
        <w:rPr>
          <w:rFonts w:ascii="Times New Roman" w:eastAsia="SimSun" w:hAnsi="Times New Roman" w:cs="Times New Roman"/>
          <w:color w:val="auto"/>
          <w:sz w:val="22"/>
          <w:szCs w:val="22"/>
        </w:rPr>
        <w:t xml:space="preserve">in the signaling condition </w:t>
      </w:r>
      <w:r>
        <w:rPr>
          <w:rFonts w:ascii="Times New Roman" w:hAnsi="Times New Roman" w:cs="Times New Roman"/>
          <w:color w:val="auto"/>
          <w:sz w:val="22"/>
          <w:szCs w:val="22"/>
        </w:rPr>
        <w:t>were FLRs (n = 21, 47%), SLRs (n = 7, 16%</w:t>
      </w:r>
      <w:r>
        <w:rPr>
          <w:rFonts w:ascii="Times New Roman" w:eastAsia="SimSun" w:hAnsi="Times New Roman" w:cs="Times New Roman"/>
          <w:color w:val="auto"/>
          <w:sz w:val="22"/>
          <w:szCs w:val="22"/>
        </w:rPr>
        <w:t>)</w:t>
      </w:r>
      <w:r>
        <w:rPr>
          <w:rFonts w:ascii="Times New Roman" w:hAnsi="Times New Roman" w:cs="Times New Roman"/>
          <w:color w:val="auto"/>
          <w:sz w:val="22"/>
          <w:szCs w:val="22"/>
        </w:rPr>
        <w:t xml:space="preserve">, NSRs (n = 8, 18%) and TSPs (n = 9, 20%). </w:t>
      </w:r>
      <w:r>
        <w:rPr>
          <w:rFonts w:ascii="Times New Roman" w:eastAsia="SimSun" w:hAnsi="Times New Roman" w:cs="Times New Roman"/>
          <w:color w:val="auto"/>
          <w:sz w:val="22"/>
          <w:szCs w:val="22"/>
        </w:rPr>
        <w:t xml:space="preserve">The four </w:t>
      </w:r>
      <w:r>
        <w:rPr>
          <w:rFonts w:ascii="Times New Roman" w:eastAsia="SimSun" w:hAnsi="Times New Roman" w:cs="Times New Roman"/>
          <w:color w:val="auto"/>
          <w:sz w:val="22"/>
          <w:szCs w:val="22"/>
        </w:rPr>
        <w:lastRenderedPageBreak/>
        <w:t xml:space="preserve">groups in the no signaling condition were </w:t>
      </w:r>
      <w:r>
        <w:rPr>
          <w:rFonts w:ascii="Times New Roman" w:hAnsi="Times New Roman" w:cs="Times New Roman"/>
          <w:color w:val="auto"/>
          <w:sz w:val="22"/>
          <w:szCs w:val="22"/>
        </w:rPr>
        <w:t>FLRs (n = 2</w:t>
      </w:r>
      <w:r>
        <w:rPr>
          <w:rFonts w:ascii="Times New Roman" w:eastAsia="SimSun" w:hAnsi="Times New Roman" w:cs="Times New Roman"/>
          <w:color w:val="auto"/>
          <w:sz w:val="22"/>
          <w:szCs w:val="22"/>
        </w:rPr>
        <w:t>0, 45%</w:t>
      </w:r>
      <w:r>
        <w:rPr>
          <w:rFonts w:ascii="Times New Roman" w:hAnsi="Times New Roman" w:cs="Times New Roman"/>
          <w:color w:val="auto"/>
          <w:sz w:val="22"/>
          <w:szCs w:val="22"/>
        </w:rPr>
        <w:t xml:space="preserve">), SLRs (n = </w:t>
      </w:r>
      <w:r>
        <w:rPr>
          <w:rFonts w:ascii="Times New Roman" w:eastAsia="SimSun" w:hAnsi="Times New Roman" w:cs="Times New Roman"/>
          <w:color w:val="auto"/>
          <w:sz w:val="22"/>
          <w:szCs w:val="22"/>
        </w:rPr>
        <w:t>11, 24%)</w:t>
      </w:r>
      <w:r>
        <w:rPr>
          <w:rFonts w:ascii="Times New Roman" w:hAnsi="Times New Roman" w:cs="Times New Roman"/>
          <w:color w:val="auto"/>
          <w:sz w:val="22"/>
          <w:szCs w:val="22"/>
        </w:rPr>
        <w:t xml:space="preserve">, NSRs (n = 8, 18%) and TSPs (n = </w:t>
      </w:r>
      <w:r>
        <w:rPr>
          <w:rFonts w:ascii="Times New Roman" w:eastAsia="SimSun" w:hAnsi="Times New Roman" w:cs="Times New Roman"/>
          <w:color w:val="auto"/>
          <w:sz w:val="22"/>
          <w:szCs w:val="22"/>
        </w:rPr>
        <w:t>6, 13%</w:t>
      </w:r>
      <w:r>
        <w:rPr>
          <w:rFonts w:ascii="Times New Roman" w:hAnsi="Times New Roman" w:cs="Times New Roman"/>
          <w:color w:val="auto"/>
          <w:sz w:val="22"/>
          <w:szCs w:val="22"/>
        </w:rPr>
        <w:t>). The number of FLRs and NSRs were identical in the two signaling conditions, but there was a slight increase in the number of TSPs and decrease in the number of SLRs in the signaling condition.</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 xml:space="preserve">Similarly to Experiment 1, </w:t>
      </w:r>
      <w:r>
        <w:rPr>
          <w:rFonts w:ascii="Times New Roman" w:hAnsi="Times New Roman" w:cs="Times New Roman"/>
          <w:color w:val="auto"/>
          <w:sz w:val="22"/>
          <w:lang w:val="en-GB"/>
        </w:rPr>
        <w:t>we use</w:t>
      </w:r>
      <w:r>
        <w:rPr>
          <w:rFonts w:ascii="Times New Roman" w:eastAsiaTheme="minorEastAsia" w:hAnsi="Times New Roman" w:cs="Times New Roman" w:hint="eastAsia"/>
          <w:color w:val="auto"/>
          <w:sz w:val="22"/>
          <w:lang w:val="en-GB"/>
        </w:rPr>
        <w:t>d</w:t>
      </w:r>
      <w:r>
        <w:rPr>
          <w:rFonts w:ascii="Times New Roman" w:hAnsi="Times New Roman" w:cs="Times New Roman"/>
          <w:color w:val="auto"/>
          <w:sz w:val="22"/>
          <w:lang w:val="en-GB"/>
        </w:rPr>
        <w:t xml:space="preserve"> the split-half method to test the stability of the adopted cluster solution. Participants of both the </w:t>
      </w:r>
      <w:proofErr w:type="spellStart"/>
      <w:r>
        <w:rPr>
          <w:rFonts w:ascii="Times New Roman" w:hAnsi="Times New Roman" w:cs="Times New Roman"/>
          <w:color w:val="auto"/>
          <w:sz w:val="22"/>
          <w:lang w:val="en-GB"/>
        </w:rPr>
        <w:t>signaling</w:t>
      </w:r>
      <w:proofErr w:type="spellEnd"/>
      <w:r>
        <w:rPr>
          <w:rFonts w:ascii="Times New Roman" w:hAnsi="Times New Roman" w:cs="Times New Roman"/>
          <w:color w:val="auto"/>
          <w:sz w:val="22"/>
          <w:lang w:val="en-GB"/>
        </w:rPr>
        <w:t xml:space="preserve"> and no </w:t>
      </w:r>
      <w:proofErr w:type="spellStart"/>
      <w:r>
        <w:rPr>
          <w:rFonts w:ascii="Times New Roman" w:hAnsi="Times New Roman" w:cs="Times New Roman"/>
          <w:color w:val="auto"/>
          <w:sz w:val="22"/>
          <w:lang w:val="en-GB"/>
        </w:rPr>
        <w:t>signaling</w:t>
      </w:r>
      <w:proofErr w:type="spellEnd"/>
      <w:r>
        <w:rPr>
          <w:rFonts w:ascii="Times New Roman" w:hAnsi="Times New Roman" w:cs="Times New Roman"/>
          <w:color w:val="auto"/>
          <w:sz w:val="22"/>
          <w:lang w:val="en-GB"/>
        </w:rPr>
        <w:t xml:space="preserve"> condition were randomly split into two subgroups (each with 22 or 23 participants). Using the cluster analysis, we found four types of readers in each subgroup in both </w:t>
      </w:r>
      <w:proofErr w:type="spellStart"/>
      <w:r>
        <w:rPr>
          <w:rFonts w:ascii="Times New Roman" w:hAnsi="Times New Roman" w:cs="Times New Roman"/>
          <w:color w:val="auto"/>
          <w:sz w:val="22"/>
          <w:lang w:val="en-GB"/>
        </w:rPr>
        <w:t>signaling</w:t>
      </w:r>
      <w:proofErr w:type="spellEnd"/>
      <w:r>
        <w:rPr>
          <w:rFonts w:ascii="Times New Roman" w:hAnsi="Times New Roman" w:cs="Times New Roman"/>
          <w:color w:val="auto"/>
          <w:sz w:val="22"/>
          <w:lang w:val="en-GB"/>
        </w:rPr>
        <w:t xml:space="preserve"> conditions. A Chi-squared test showed no difference between the two groups in the </w:t>
      </w:r>
      <w:proofErr w:type="spellStart"/>
      <w:r>
        <w:rPr>
          <w:rFonts w:ascii="Times New Roman" w:hAnsi="Times New Roman" w:cs="Times New Roman"/>
          <w:color w:val="auto"/>
          <w:sz w:val="22"/>
          <w:lang w:val="en-GB"/>
        </w:rPr>
        <w:t>signaling</w:t>
      </w:r>
      <w:proofErr w:type="spellEnd"/>
      <w:r>
        <w:rPr>
          <w:rFonts w:ascii="Times New Roman" w:hAnsi="Times New Roman" w:cs="Times New Roman"/>
          <w:color w:val="auto"/>
          <w:sz w:val="22"/>
          <w:lang w:val="en-GB"/>
        </w:rPr>
        <w:t xml:space="preserve"> condition, </w:t>
      </w:r>
      <w:proofErr w:type="gramStart"/>
      <w:r>
        <w:rPr>
          <w:rFonts w:ascii="Times New Roman" w:hAnsi="Times New Roman" w:cs="Times New Roman"/>
          <w:b/>
          <w:bCs/>
          <w:i/>
          <w:iCs/>
          <w:color w:val="auto"/>
          <w:sz w:val="22"/>
          <w:lang w:val="en-GB"/>
        </w:rPr>
        <w:t>χ</w:t>
      </w:r>
      <w:r>
        <w:rPr>
          <w:rFonts w:ascii="Times New Roman" w:hAnsi="Times New Roman" w:cs="Times New Roman"/>
          <w:b/>
          <w:bCs/>
          <w:i/>
          <w:color w:val="auto"/>
          <w:sz w:val="22"/>
          <w:vertAlign w:val="superscript"/>
          <w:lang w:val="en-GB"/>
        </w:rPr>
        <w:t>2</w:t>
      </w:r>
      <w:r>
        <w:rPr>
          <w:rFonts w:ascii="Times New Roman" w:hAnsi="Times New Roman" w:cs="Times New Roman"/>
          <w:color w:val="auto"/>
          <w:sz w:val="22"/>
          <w:lang w:val="en-GB"/>
        </w:rPr>
        <w:t>(</w:t>
      </w:r>
      <w:proofErr w:type="gramEnd"/>
      <w:r>
        <w:rPr>
          <w:rFonts w:ascii="Times New Roman" w:hAnsi="Times New Roman" w:cs="Times New Roman"/>
          <w:color w:val="auto"/>
          <w:sz w:val="22"/>
          <w:lang w:val="en-GB"/>
        </w:rPr>
        <w:t>3) = .66,</w:t>
      </w:r>
      <w:r>
        <w:rPr>
          <w:rFonts w:ascii="Times New Roman" w:hAnsi="Times New Roman" w:cs="Times New Roman"/>
          <w:i/>
          <w:color w:val="auto"/>
          <w:sz w:val="22"/>
          <w:lang w:val="en-GB"/>
        </w:rPr>
        <w:t xml:space="preserve"> p </w:t>
      </w:r>
      <w:r>
        <w:rPr>
          <w:rFonts w:ascii="Times New Roman" w:hAnsi="Times New Roman" w:cs="Times New Roman"/>
          <w:color w:val="auto"/>
          <w:sz w:val="22"/>
          <w:lang w:val="en-GB"/>
        </w:rPr>
        <w:t xml:space="preserve">=.88, or in the no </w:t>
      </w:r>
      <w:proofErr w:type="spellStart"/>
      <w:r>
        <w:rPr>
          <w:rFonts w:ascii="Times New Roman" w:hAnsi="Times New Roman" w:cs="Times New Roman"/>
          <w:color w:val="auto"/>
          <w:sz w:val="22"/>
          <w:lang w:val="en-GB"/>
        </w:rPr>
        <w:t>signaling</w:t>
      </w:r>
      <w:proofErr w:type="spellEnd"/>
      <w:r>
        <w:rPr>
          <w:rFonts w:ascii="Times New Roman" w:hAnsi="Times New Roman" w:cs="Times New Roman"/>
          <w:color w:val="auto"/>
          <w:sz w:val="22"/>
          <w:lang w:val="en-GB"/>
        </w:rPr>
        <w:t xml:space="preserve"> condition, </w:t>
      </w:r>
      <w:r>
        <w:rPr>
          <w:rFonts w:ascii="Times New Roman" w:hAnsi="Times New Roman" w:cs="Times New Roman"/>
          <w:b/>
          <w:bCs/>
          <w:i/>
          <w:iCs/>
          <w:color w:val="auto"/>
          <w:sz w:val="22"/>
          <w:lang w:val="en-GB"/>
        </w:rPr>
        <w:t>χ</w:t>
      </w:r>
      <w:r>
        <w:rPr>
          <w:rFonts w:ascii="Times New Roman" w:hAnsi="Times New Roman" w:cs="Times New Roman"/>
          <w:b/>
          <w:bCs/>
          <w:i/>
          <w:color w:val="auto"/>
          <w:sz w:val="22"/>
          <w:vertAlign w:val="superscript"/>
          <w:lang w:val="en-GB"/>
        </w:rPr>
        <w:t>2</w:t>
      </w:r>
      <w:r>
        <w:rPr>
          <w:rFonts w:ascii="Times New Roman" w:hAnsi="Times New Roman" w:cs="Times New Roman"/>
          <w:color w:val="auto"/>
          <w:sz w:val="22"/>
          <w:lang w:val="en-GB"/>
        </w:rPr>
        <w:t xml:space="preserve">(3) = .07, </w:t>
      </w:r>
      <w:r>
        <w:rPr>
          <w:rFonts w:ascii="Times New Roman" w:hAnsi="Times New Roman" w:cs="Times New Roman"/>
          <w:i/>
          <w:color w:val="auto"/>
          <w:sz w:val="22"/>
          <w:lang w:val="en-GB"/>
        </w:rPr>
        <w:t xml:space="preserve">p </w:t>
      </w:r>
      <w:r>
        <w:rPr>
          <w:rFonts w:ascii="Times New Roman" w:hAnsi="Times New Roman" w:cs="Times New Roman"/>
          <w:color w:val="auto"/>
          <w:sz w:val="22"/>
          <w:lang w:val="en-GB"/>
        </w:rPr>
        <w:t>= .99. These results indicate that the adopted cluster solutions were stable.</w:t>
      </w:r>
    </w:p>
    <w:p w:rsidR="004D2580" w:rsidRDefault="0034511E">
      <w:pPr>
        <w:pStyle w:val="A0"/>
        <w:adjustRightInd w:val="0"/>
        <w:snapToGrid w:val="0"/>
        <w:spacing w:after="160" w:line="480" w:lineRule="auto"/>
        <w:rPr>
          <w:rFonts w:ascii="Times New Roman" w:eastAsia="SimSun" w:hAnsi="Times New Roman" w:cs="Times New Roman"/>
          <w:i/>
          <w:color w:val="auto"/>
          <w:sz w:val="22"/>
          <w:szCs w:val="22"/>
        </w:rPr>
      </w:pPr>
      <w:r>
        <w:rPr>
          <w:rFonts w:ascii="Times New Roman" w:hAnsi="Times New Roman" w:cs="Times New Roman"/>
          <w:i/>
          <w:color w:val="auto"/>
          <w:sz w:val="22"/>
          <w:szCs w:val="22"/>
        </w:rPr>
        <w:t>3.2.3. Reading times</w:t>
      </w:r>
      <w:r>
        <w:rPr>
          <w:rFonts w:ascii="Times New Roman" w:eastAsiaTheme="minorEastAsia" w:hAnsi="Times New Roman" w:cs="Times New Roman" w:hint="eastAsia"/>
          <w:i/>
          <w:color w:val="auto"/>
          <w:sz w:val="22"/>
          <w:szCs w:val="22"/>
        </w:rPr>
        <w:t xml:space="preserve"> of</w:t>
      </w:r>
      <w:r>
        <w:rPr>
          <w:rFonts w:ascii="Times New Roman" w:hAnsi="Times New Roman" w:cs="Times New Roman"/>
          <w:i/>
          <w:color w:val="auto"/>
          <w:sz w:val="22"/>
          <w:szCs w:val="22"/>
        </w:rPr>
        <w:t xml:space="preserve"> </w:t>
      </w:r>
      <w:r>
        <w:rPr>
          <w:rFonts w:ascii="Times New Roman" w:eastAsiaTheme="minorEastAsia" w:hAnsi="Times New Roman" w:cs="Times New Roman" w:hint="eastAsia"/>
          <w:i/>
          <w:color w:val="auto"/>
          <w:sz w:val="22"/>
          <w:szCs w:val="22"/>
        </w:rPr>
        <w:t xml:space="preserve">the </w:t>
      </w:r>
      <w:r>
        <w:rPr>
          <w:rFonts w:ascii="Times New Roman" w:hAnsi="Times New Roman" w:cs="Times New Roman"/>
          <w:i/>
          <w:color w:val="auto"/>
          <w:sz w:val="22"/>
          <w:szCs w:val="22"/>
        </w:rPr>
        <w:t xml:space="preserve">different reader </w:t>
      </w:r>
      <w:r>
        <w:rPr>
          <w:rFonts w:ascii="Times New Roman" w:eastAsia="SimSun" w:hAnsi="Times New Roman" w:cs="Times New Roman"/>
          <w:i/>
          <w:color w:val="auto"/>
          <w:sz w:val="22"/>
          <w:szCs w:val="22"/>
        </w:rPr>
        <w:t>groups</w:t>
      </w:r>
    </w:p>
    <w:p w:rsidR="004D2580" w:rsidRDefault="0034511E">
      <w:pPr>
        <w:pStyle w:val="A0"/>
        <w:adjustRightInd w:val="0"/>
        <w:snapToGrid w:val="0"/>
        <w:spacing w:after="160" w:line="480" w:lineRule="auto"/>
        <w:ind w:firstLineChars="200" w:firstLine="440"/>
        <w:rPr>
          <w:rFonts w:ascii="Times New Roman" w:hAnsi="Times New Roman"/>
          <w:color w:val="auto"/>
          <w:sz w:val="22"/>
        </w:rPr>
      </w:pPr>
      <w:r>
        <w:rPr>
          <w:rFonts w:ascii="Times New Roman" w:hAnsi="Times New Roman"/>
          <w:color w:val="auto"/>
          <w:sz w:val="22"/>
        </w:rPr>
        <w:t>In order to analyze the</w:t>
      </w:r>
      <w:r>
        <w:rPr>
          <w:rFonts w:ascii="Times New Roman" w:hAnsi="Times New Roman" w:hint="eastAsia"/>
          <w:color w:val="auto"/>
          <w:sz w:val="22"/>
        </w:rPr>
        <w:t xml:space="preserve"> </w:t>
      </w:r>
      <w:r>
        <w:rPr>
          <w:rFonts w:ascii="Times New Roman" w:hAnsi="Times New Roman"/>
          <w:color w:val="auto"/>
          <w:sz w:val="22"/>
        </w:rPr>
        <w:t xml:space="preserve">reading behavior of </w:t>
      </w:r>
      <w:r>
        <w:rPr>
          <w:rFonts w:ascii="Times New Roman" w:hAnsi="Times New Roman" w:hint="eastAsia"/>
          <w:color w:val="auto"/>
          <w:sz w:val="22"/>
        </w:rPr>
        <w:t xml:space="preserve">the four </w:t>
      </w:r>
      <w:r>
        <w:rPr>
          <w:rFonts w:ascii="Times New Roman" w:hAnsi="Times New Roman"/>
          <w:color w:val="auto"/>
          <w:sz w:val="22"/>
        </w:rPr>
        <w:t>reader</w:t>
      </w:r>
      <w:r>
        <w:rPr>
          <w:rFonts w:ascii="Times New Roman" w:hAnsi="Times New Roman" w:hint="eastAsia"/>
          <w:color w:val="auto"/>
          <w:sz w:val="22"/>
        </w:rPr>
        <w:t xml:space="preserve"> groups</w:t>
      </w:r>
      <w:r>
        <w:rPr>
          <w:rFonts w:ascii="Times New Roman" w:hAnsi="Times New Roman"/>
          <w:color w:val="auto"/>
          <w:sz w:val="22"/>
        </w:rPr>
        <w:t>, three-way ANOVAs were conducted</w:t>
      </w:r>
      <w:r>
        <w:rPr>
          <w:rFonts w:ascii="Times New Roman" w:hAnsi="Times New Roman" w:hint="eastAsia"/>
          <w:color w:val="auto"/>
          <w:sz w:val="22"/>
        </w:rPr>
        <w:t xml:space="preserve"> s</w:t>
      </w:r>
      <w:r>
        <w:rPr>
          <w:rFonts w:ascii="Times New Roman" w:hAnsi="Times New Roman"/>
          <w:color w:val="auto"/>
          <w:sz w:val="22"/>
        </w:rPr>
        <w:t xml:space="preserve">eparately for each signaling condition using Sentence Type and Reading Pass as the within-subjects variables and Reader Group as the between-subjects variable. </w:t>
      </w:r>
      <w:r>
        <w:rPr>
          <w:rFonts w:ascii="Times New Roman" w:hAnsi="Times New Roman" w:cs="Times New Roman"/>
          <w:color w:val="auto"/>
          <w:sz w:val="22"/>
        </w:rPr>
        <w:t>The means and standard errors of the first- and second-pass reading times are presented in Fig. 4 for the different reader groups, separately for the signaling and no signaling conditions.</w:t>
      </w:r>
    </w:p>
    <w:p w:rsidR="004D2580" w:rsidRDefault="0034511E">
      <w:pPr>
        <w:pStyle w:val="A0"/>
        <w:adjustRightInd w:val="0"/>
        <w:snapToGrid w:val="0"/>
        <w:spacing w:line="480" w:lineRule="auto"/>
        <w:jc w:val="center"/>
        <w:rPr>
          <w:rFonts w:ascii="Times New Roman" w:eastAsia="SimSun" w:hAnsi="Times New Roman" w:cs="Times New Roman"/>
          <w:color w:val="auto"/>
          <w:sz w:val="22"/>
          <w:szCs w:val="22"/>
        </w:rPr>
      </w:pPr>
      <w:r>
        <w:rPr>
          <w:rFonts w:ascii="Times New Roman" w:hAnsi="Times New Roman"/>
          <w:noProof/>
          <w:color w:val="auto"/>
          <w:lang w:eastAsia="en-US"/>
        </w:rPr>
        <w:lastRenderedPageBreak/>
        <w:drawing>
          <wp:inline distT="0" distB="0" distL="0" distR="0" wp14:anchorId="50FC5E39" wp14:editId="7CB79DF3">
            <wp:extent cx="5291455" cy="4679950"/>
            <wp:effectExtent l="0" t="0" r="4445" b="6350"/>
            <wp:docPr id="16" name="图片 16" descr="C:\Users\DELL\Desktop\exp2grou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C:\Users\DELL\Desktop\exp2group.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5292000" cy="4680000"/>
                    </a:xfrm>
                    <a:prstGeom prst="rect">
                      <a:avLst/>
                    </a:prstGeom>
                    <a:noFill/>
                    <a:ln>
                      <a:noFill/>
                    </a:ln>
                  </pic:spPr>
                </pic:pic>
              </a:graphicData>
            </a:graphic>
          </wp:inline>
        </w:drawing>
      </w:r>
    </w:p>
    <w:p w:rsidR="004D2580" w:rsidRDefault="0034511E">
      <w:pPr>
        <w:pStyle w:val="Style2"/>
        <w:spacing w:line="480" w:lineRule="auto"/>
        <w:ind w:firstLineChars="0" w:firstLine="0"/>
        <w:jc w:val="left"/>
        <w:rPr>
          <w:rFonts w:ascii="Times New Roman" w:hAnsi="Times New Roman"/>
          <w:sz w:val="20"/>
          <w:szCs w:val="20"/>
        </w:rPr>
      </w:pPr>
      <w:r>
        <w:rPr>
          <w:rFonts w:ascii="Times New Roman" w:hAnsi="Times New Roman"/>
          <w:b/>
          <w:sz w:val="20"/>
          <w:szCs w:val="20"/>
        </w:rPr>
        <w:t>Fig.4.</w:t>
      </w:r>
      <w:r>
        <w:rPr>
          <w:rFonts w:ascii="Times New Roman" w:hAnsi="Times New Roman"/>
          <w:sz w:val="20"/>
          <w:szCs w:val="20"/>
        </w:rPr>
        <w:t xml:space="preserve"> Mean first-pass and mean second pass reading times (±</w:t>
      </w:r>
      <w:r>
        <w:rPr>
          <w:rFonts w:ascii="Times New Roman" w:hAnsi="Times New Roman"/>
          <w:i/>
          <w:sz w:val="20"/>
          <w:szCs w:val="20"/>
        </w:rPr>
        <w:t>SE</w:t>
      </w:r>
      <w:r>
        <w:rPr>
          <w:rFonts w:ascii="Times New Roman" w:hAnsi="Times New Roman"/>
          <w:sz w:val="20"/>
          <w:szCs w:val="20"/>
        </w:rPr>
        <w:t xml:space="preserve">) in Experiment 2 for the different reader groups in the </w:t>
      </w:r>
      <w:proofErr w:type="spellStart"/>
      <w:r>
        <w:rPr>
          <w:rFonts w:ascii="Times New Roman" w:hAnsi="Times New Roman"/>
          <w:sz w:val="20"/>
          <w:szCs w:val="20"/>
        </w:rPr>
        <w:t>signaling</w:t>
      </w:r>
      <w:proofErr w:type="spellEnd"/>
      <w:r>
        <w:rPr>
          <w:rFonts w:ascii="Times New Roman" w:hAnsi="Times New Roman"/>
          <w:sz w:val="20"/>
          <w:szCs w:val="20"/>
        </w:rPr>
        <w:t xml:space="preserve"> (Panel A and B) and no </w:t>
      </w:r>
      <w:proofErr w:type="spellStart"/>
      <w:r>
        <w:rPr>
          <w:rFonts w:ascii="Times New Roman" w:hAnsi="Times New Roman"/>
          <w:sz w:val="20"/>
          <w:szCs w:val="20"/>
        </w:rPr>
        <w:t>signaling</w:t>
      </w:r>
      <w:proofErr w:type="spellEnd"/>
      <w:r>
        <w:rPr>
          <w:rFonts w:ascii="Times New Roman" w:hAnsi="Times New Roman"/>
          <w:sz w:val="20"/>
          <w:szCs w:val="20"/>
        </w:rPr>
        <w:t xml:space="preserve"> (Panels C and D) conditions, as a function of sentence type.</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proofErr w:type="gramStart"/>
      <w:r>
        <w:rPr>
          <w:rFonts w:ascii="Times New Roman" w:hAnsi="Times New Roman"/>
          <w:b/>
          <w:color w:val="auto"/>
          <w:sz w:val="22"/>
        </w:rPr>
        <w:t>Signaling condition.</w:t>
      </w:r>
      <w:proofErr w:type="gramEnd"/>
      <w:r>
        <w:rPr>
          <w:rFonts w:ascii="Times New Roman" w:hAnsi="Times New Roman"/>
          <w:color w:val="auto"/>
          <w:sz w:val="22"/>
        </w:rPr>
        <w:t xml:space="preserve"> The Reader Group × Reading Pass × Sentence Type interaction was significant, </w:t>
      </w:r>
      <w:r>
        <w:rPr>
          <w:rFonts w:ascii="Times New Roman" w:hAnsi="Times New Roman"/>
          <w:i/>
          <w:color w:val="auto"/>
          <w:sz w:val="22"/>
        </w:rPr>
        <w:t>F</w:t>
      </w:r>
      <w:r>
        <w:rPr>
          <w:rFonts w:ascii="Times New Roman" w:hAnsi="Times New Roman"/>
          <w:color w:val="auto"/>
          <w:sz w:val="22"/>
        </w:rPr>
        <w:t xml:space="preserve">(6, 82) = 5.39,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i/>
          <w:color w:val="auto"/>
          <w:sz w:val="22"/>
          <w:vertAlign w:val="superscript"/>
        </w:rPr>
        <w:t>2</w:t>
      </w:r>
      <w:r>
        <w:rPr>
          <w:rFonts w:ascii="Times New Roman" w:hAnsi="Times New Roman"/>
          <w:color w:val="auto"/>
          <w:sz w:val="22"/>
        </w:rPr>
        <w:t xml:space="preserve"> = .28. To characterize the reading patterns of each reader group, we followed up the three-way interaction with a</w:t>
      </w:r>
      <w:r>
        <w:rPr>
          <w:rStyle w:val="fontstyle01"/>
          <w:color w:val="auto"/>
          <w:sz w:val="22"/>
        </w:rPr>
        <w:t xml:space="preserve"> 2 (</w:t>
      </w:r>
      <w:r>
        <w:rPr>
          <w:rFonts w:ascii="Times New Roman" w:hAnsi="Times New Roman"/>
          <w:color w:val="auto"/>
          <w:sz w:val="22"/>
        </w:rPr>
        <w:t xml:space="preserve">Reading Pass) × </w:t>
      </w:r>
      <w:r>
        <w:rPr>
          <w:rStyle w:val="fontstyle01"/>
          <w:color w:val="auto"/>
          <w:sz w:val="22"/>
        </w:rPr>
        <w:t>3 (</w:t>
      </w:r>
      <w:r>
        <w:rPr>
          <w:rFonts w:ascii="Times New Roman" w:hAnsi="Times New Roman"/>
          <w:color w:val="auto"/>
          <w:sz w:val="22"/>
        </w:rPr>
        <w:t>Sentence Type)</w:t>
      </w:r>
      <w:r>
        <w:rPr>
          <w:rStyle w:val="fontstyle01"/>
          <w:color w:val="auto"/>
          <w:sz w:val="22"/>
        </w:rPr>
        <w:t xml:space="preserve"> repeated measures ANOVA separately for each group</w:t>
      </w:r>
      <w:r>
        <w:rPr>
          <w:rFonts w:ascii="Times New Roman" w:hAnsi="Times New Roman"/>
          <w:color w:val="auto"/>
          <w:sz w:val="22"/>
        </w:rPr>
        <w:t>.</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proofErr w:type="spellStart"/>
      <w:proofErr w:type="gramStart"/>
      <w:r>
        <w:rPr>
          <w:rFonts w:ascii="Times New Roman" w:hAnsi="Times New Roman"/>
          <w:color w:val="auto"/>
          <w:sz w:val="22"/>
          <w:u w:val="single"/>
        </w:rPr>
        <w:t>TSPs</w:t>
      </w:r>
      <w:r>
        <w:rPr>
          <w:rFonts w:ascii="Times New Roman" w:hAnsi="Times New Roman"/>
          <w:color w:val="auto"/>
          <w:sz w:val="22"/>
        </w:rPr>
        <w:t>.</w:t>
      </w:r>
      <w:proofErr w:type="spellEnd"/>
      <w:proofErr w:type="gramEnd"/>
      <w:r>
        <w:rPr>
          <w:rFonts w:ascii="Times New Roman" w:hAnsi="Times New Roman"/>
          <w:color w:val="auto"/>
          <w:sz w:val="22"/>
        </w:rPr>
        <w:t xml:space="preserve"> The main effect of Sentence Type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16) = 1290.35,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.99] and Reading Pass [</w:t>
      </w:r>
      <w:r>
        <w:rPr>
          <w:rFonts w:ascii="Times New Roman" w:hAnsi="Times New Roman"/>
          <w:i/>
          <w:color w:val="auto"/>
          <w:sz w:val="22"/>
        </w:rPr>
        <w:t>F</w:t>
      </w:r>
      <w:r>
        <w:rPr>
          <w:rFonts w:ascii="Times New Roman" w:hAnsi="Times New Roman"/>
          <w:color w:val="auto"/>
          <w:sz w:val="22"/>
        </w:rPr>
        <w:t xml:space="preserve">(1, 8) = 19.98, </w:t>
      </w:r>
      <w:r>
        <w:rPr>
          <w:rFonts w:ascii="Times New Roman" w:hAnsi="Times New Roman"/>
          <w:i/>
          <w:color w:val="auto"/>
          <w:sz w:val="22"/>
        </w:rPr>
        <w:t xml:space="preserve">p </w:t>
      </w:r>
      <w:r>
        <w:rPr>
          <w:rFonts w:ascii="Times New Roman" w:hAnsi="Times New Roman"/>
          <w:color w:val="auto"/>
          <w:sz w:val="22"/>
        </w:rPr>
        <w:t xml:space="preserve">= .002,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.71] were significant, and so was their interaction [</w:t>
      </w:r>
      <w:r>
        <w:rPr>
          <w:rFonts w:ascii="Times New Roman" w:hAnsi="Times New Roman"/>
          <w:i/>
          <w:color w:val="auto"/>
          <w:sz w:val="22"/>
        </w:rPr>
        <w:t>F</w:t>
      </w:r>
      <w:r>
        <w:rPr>
          <w:rFonts w:ascii="Times New Roman" w:hAnsi="Times New Roman"/>
          <w:color w:val="auto"/>
          <w:sz w:val="22"/>
        </w:rPr>
        <w:t xml:space="preserve">(2, 16) = 7.12, </w:t>
      </w:r>
      <w:r>
        <w:rPr>
          <w:rFonts w:ascii="Times New Roman" w:hAnsi="Times New Roman"/>
          <w:i/>
          <w:color w:val="auto"/>
          <w:sz w:val="22"/>
        </w:rPr>
        <w:t>p</w:t>
      </w:r>
      <w:r>
        <w:rPr>
          <w:rFonts w:ascii="Times New Roman" w:hAnsi="Times New Roman"/>
          <w:i/>
          <w:color w:val="auto"/>
          <w:sz w:val="22"/>
          <w:vertAlign w:val="subscript"/>
        </w:rPr>
        <w:t xml:space="preserve"> </w:t>
      </w:r>
      <w:r>
        <w:rPr>
          <w:rFonts w:ascii="Times New Roman" w:hAnsi="Times New Roman"/>
          <w:color w:val="auto"/>
          <w:sz w:val="22"/>
        </w:rPr>
        <w:t xml:space="preserve">= .006,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.47]. The interaction was followed up by a simple </w:t>
      </w:r>
      <w:r>
        <w:rPr>
          <w:rFonts w:ascii="Times New Roman" w:hAnsi="Times New Roman"/>
          <w:color w:val="auto"/>
          <w:sz w:val="22"/>
        </w:rPr>
        <w:lastRenderedPageBreak/>
        <w:t>effect analysis of Sentence Type within each level of Reading Pass. TSPs demonstrated an effect of Sentence Type both in first-pass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7) = 583.99,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.99] and second-pass [</w:t>
      </w:r>
      <w:r>
        <w:rPr>
          <w:rFonts w:ascii="Times New Roman" w:hAnsi="Times New Roman"/>
          <w:i/>
          <w:color w:val="auto"/>
          <w:sz w:val="22"/>
        </w:rPr>
        <w:t>F</w:t>
      </w:r>
      <w:r>
        <w:rPr>
          <w:rFonts w:ascii="Times New Roman" w:hAnsi="Times New Roman"/>
          <w:color w:val="auto"/>
          <w:sz w:val="22"/>
        </w:rPr>
        <w:t xml:space="preserve">(2, 7) = 808.88,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.99] reading. Multiple comparisons showed that TSPs spent longer time reading topic sentences than medial and end sentences (</w:t>
      </w:r>
      <w:proofErr w:type="spellStart"/>
      <w:r>
        <w:rPr>
          <w:rFonts w:ascii="Times New Roman" w:hAnsi="Times New Roman"/>
          <w:i/>
          <w:color w:val="auto"/>
          <w:sz w:val="22"/>
        </w:rPr>
        <w:t>ps</w:t>
      </w:r>
      <w:proofErr w:type="spellEnd"/>
      <w:r>
        <w:rPr>
          <w:rFonts w:ascii="Times New Roman" w:hAnsi="Times New Roman"/>
          <w:i/>
          <w:color w:val="auto"/>
          <w:sz w:val="22"/>
        </w:rPr>
        <w:t xml:space="preserve"> &lt; .</w:t>
      </w:r>
      <w:r>
        <w:rPr>
          <w:rFonts w:ascii="Times New Roman" w:hAnsi="Times New Roman"/>
          <w:color w:val="auto"/>
          <w:sz w:val="22"/>
        </w:rPr>
        <w:t>001) both during first- and second-pass reading, and also spent longer time reading end sentences than medial sentences (</w:t>
      </w:r>
      <w:r>
        <w:rPr>
          <w:rFonts w:ascii="Times New Roman" w:hAnsi="Times New Roman"/>
          <w:i/>
          <w:color w:val="auto"/>
          <w:sz w:val="22"/>
        </w:rPr>
        <w:t>p &lt; .</w:t>
      </w:r>
      <w:r>
        <w:rPr>
          <w:rFonts w:ascii="Times New Roman" w:hAnsi="Times New Roman"/>
          <w:color w:val="auto"/>
          <w:sz w:val="22"/>
        </w:rPr>
        <w:t>001) during first-pass reading. In sum, TSPs showed strong sensitivity to topic structure</w:t>
      </w:r>
      <w:r>
        <w:rPr>
          <w:rFonts w:ascii="Times New Roman" w:eastAsia="SimSun" w:hAnsi="Times New Roman" w:cs="Times New Roman"/>
          <w:color w:val="auto"/>
          <w:sz w:val="22"/>
          <w:szCs w:val="22"/>
        </w:rPr>
        <w:t xml:space="preserve"> by spending a considerable amount of time in reading topic sentences (see Fig. 4).</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proofErr w:type="gramStart"/>
      <w:r>
        <w:rPr>
          <w:rFonts w:ascii="Times New Roman" w:hAnsi="Times New Roman"/>
          <w:color w:val="auto"/>
          <w:sz w:val="22"/>
          <w:u w:val="single"/>
        </w:rPr>
        <w:t>FLRs</w:t>
      </w:r>
      <w:r>
        <w:rPr>
          <w:rFonts w:ascii="Times New Roman" w:hAnsi="Times New Roman"/>
          <w:color w:val="auto"/>
          <w:sz w:val="22"/>
        </w:rPr>
        <w:t>.</w:t>
      </w:r>
      <w:proofErr w:type="gramEnd"/>
      <w:r>
        <w:rPr>
          <w:rFonts w:ascii="Times New Roman" w:hAnsi="Times New Roman"/>
          <w:color w:val="auto"/>
          <w:sz w:val="22"/>
        </w:rPr>
        <w:t xml:space="preserve"> A reliable main effect of Sentence Type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40) = 62.78,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.75] and Reading Pass [</w:t>
      </w:r>
      <w:r>
        <w:rPr>
          <w:rFonts w:ascii="Times New Roman" w:hAnsi="Times New Roman"/>
          <w:i/>
          <w:color w:val="auto"/>
          <w:sz w:val="22"/>
        </w:rPr>
        <w:t>F</w:t>
      </w:r>
      <w:r>
        <w:rPr>
          <w:rFonts w:ascii="Times New Roman" w:hAnsi="Times New Roman"/>
          <w:color w:val="auto"/>
          <w:sz w:val="22"/>
        </w:rPr>
        <w:t xml:space="preserve">(1, 20) = 9.66, </w:t>
      </w:r>
      <w:r>
        <w:rPr>
          <w:rFonts w:ascii="Times New Roman" w:hAnsi="Times New Roman"/>
          <w:i/>
          <w:color w:val="auto"/>
          <w:sz w:val="22"/>
        </w:rPr>
        <w:t xml:space="preserve">p </w:t>
      </w:r>
      <w:r>
        <w:rPr>
          <w:rFonts w:ascii="Times New Roman" w:hAnsi="Times New Roman"/>
          <w:color w:val="auto"/>
          <w:sz w:val="22"/>
        </w:rPr>
        <w:t xml:space="preserve">= .006,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.33] emerged for FLRs, but their interaction was not significant [</w:t>
      </w:r>
      <w:r>
        <w:rPr>
          <w:rFonts w:ascii="Times New Roman" w:hAnsi="Times New Roman"/>
          <w:i/>
          <w:color w:val="auto"/>
          <w:sz w:val="22"/>
        </w:rPr>
        <w:t>F</w:t>
      </w:r>
      <w:r>
        <w:rPr>
          <w:rFonts w:ascii="Times New Roman" w:hAnsi="Times New Roman"/>
          <w:color w:val="auto"/>
          <w:sz w:val="22"/>
        </w:rPr>
        <w:t xml:space="preserve">(2, 40) = 1.93, </w:t>
      </w:r>
      <w:r>
        <w:rPr>
          <w:rFonts w:ascii="Times New Roman" w:hAnsi="Times New Roman"/>
          <w:i/>
          <w:color w:val="auto"/>
          <w:sz w:val="22"/>
        </w:rPr>
        <w:t>p</w:t>
      </w:r>
      <w:r>
        <w:rPr>
          <w:rFonts w:ascii="Times New Roman" w:hAnsi="Times New Roman"/>
          <w:i/>
          <w:color w:val="auto"/>
          <w:sz w:val="22"/>
          <w:vertAlign w:val="subscript"/>
        </w:rPr>
        <w:t xml:space="preserve"> </w:t>
      </w:r>
      <w:r>
        <w:rPr>
          <w:rFonts w:ascii="Times New Roman" w:hAnsi="Times New Roman"/>
          <w:color w:val="auto"/>
          <w:sz w:val="22"/>
        </w:rPr>
        <w:t>= .159]. Multiple comparisons revealed that FLRs spent longer time reading topic sentences than medial and end sentences (</w:t>
      </w:r>
      <w:proofErr w:type="spellStart"/>
      <w:r>
        <w:rPr>
          <w:rFonts w:ascii="Times New Roman" w:hAnsi="Times New Roman"/>
          <w:i/>
          <w:color w:val="auto"/>
          <w:sz w:val="22"/>
        </w:rPr>
        <w:t>ps</w:t>
      </w:r>
      <w:proofErr w:type="spellEnd"/>
      <w:r>
        <w:rPr>
          <w:rFonts w:ascii="Times New Roman" w:hAnsi="Times New Roman"/>
          <w:i/>
          <w:color w:val="auto"/>
          <w:sz w:val="22"/>
        </w:rPr>
        <w:t xml:space="preserve"> &lt; .</w:t>
      </w:r>
      <w:r>
        <w:rPr>
          <w:rFonts w:ascii="Times New Roman" w:hAnsi="Times New Roman"/>
          <w:color w:val="auto"/>
          <w:sz w:val="22"/>
        </w:rPr>
        <w:t>001), and also spent longer time reading end sentences than medial sentences</w:t>
      </w:r>
      <w:r>
        <w:rPr>
          <w:rFonts w:ascii="Times New Roman" w:hAnsi="Times New Roman" w:hint="eastAsia"/>
          <w:color w:val="auto"/>
          <w:sz w:val="22"/>
        </w:rPr>
        <w:t xml:space="preserve"> (</w:t>
      </w:r>
      <w:r>
        <w:rPr>
          <w:rFonts w:ascii="Times New Roman" w:hAnsi="Times New Roman"/>
          <w:i/>
          <w:color w:val="auto"/>
          <w:sz w:val="22"/>
        </w:rPr>
        <w:t>p = .</w:t>
      </w:r>
      <w:r>
        <w:rPr>
          <w:rFonts w:ascii="Times New Roman" w:hAnsi="Times New Roman"/>
          <w:color w:val="auto"/>
          <w:sz w:val="22"/>
        </w:rPr>
        <w:t>006</w:t>
      </w:r>
      <w:r>
        <w:rPr>
          <w:rFonts w:ascii="Times New Roman" w:hAnsi="Times New Roman" w:hint="eastAsia"/>
          <w:color w:val="auto"/>
          <w:sz w:val="22"/>
        </w:rPr>
        <w:t>)</w:t>
      </w:r>
      <w:r>
        <w:rPr>
          <w:rFonts w:ascii="Times New Roman" w:hAnsi="Times New Roman"/>
          <w:color w:val="auto"/>
          <w:sz w:val="22"/>
        </w:rPr>
        <w:t>. In other words, FLRs showed sensitivity to topic structure. The main effect of Reading Pass reflects the fact that FLRs spent more time during first-pass than second-pass reading.</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proofErr w:type="gramStart"/>
      <w:r>
        <w:rPr>
          <w:rFonts w:ascii="Times New Roman" w:hAnsi="Times New Roman"/>
          <w:color w:val="auto"/>
          <w:sz w:val="22"/>
          <w:u w:val="single"/>
        </w:rPr>
        <w:t>SLRs</w:t>
      </w:r>
      <w:r>
        <w:rPr>
          <w:rFonts w:ascii="Times New Roman" w:hAnsi="Times New Roman"/>
          <w:color w:val="auto"/>
          <w:sz w:val="22"/>
        </w:rPr>
        <w:t>.</w:t>
      </w:r>
      <w:proofErr w:type="gramEnd"/>
      <w:r>
        <w:rPr>
          <w:rFonts w:ascii="Times New Roman" w:hAnsi="Times New Roman"/>
          <w:color w:val="auto"/>
          <w:sz w:val="22"/>
        </w:rPr>
        <w:t xml:space="preserve"> A reliable main effect of Sentence Type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12) = 25.79,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w:t>
      </w:r>
      <w:r>
        <w:rPr>
          <w:rFonts w:ascii="Times New Roman" w:hAnsi="Times New Roman" w:cs="Times New Roman"/>
          <w:color w:val="auto"/>
          <w:sz w:val="22"/>
          <w:szCs w:val="22"/>
        </w:rPr>
        <w:t>0</w:t>
      </w:r>
      <w:r>
        <w:rPr>
          <w:rFonts w:ascii="Times New Roman" w:hAnsi="Times New Roman"/>
          <w:color w:val="auto"/>
          <w:sz w:val="22"/>
        </w:rPr>
        <w:t>.81] and Reading Pass [</w:t>
      </w:r>
      <w:r>
        <w:rPr>
          <w:rFonts w:ascii="Times New Roman" w:hAnsi="Times New Roman"/>
          <w:i/>
          <w:color w:val="auto"/>
          <w:sz w:val="22"/>
        </w:rPr>
        <w:t>F</w:t>
      </w:r>
      <w:r>
        <w:rPr>
          <w:rFonts w:ascii="Times New Roman" w:hAnsi="Times New Roman"/>
          <w:color w:val="auto"/>
          <w:sz w:val="22"/>
        </w:rPr>
        <w:t xml:space="preserve">(1, 6) = 113.69,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.95] emerged for SLRs, but their interaction did not [</w:t>
      </w:r>
      <w:r>
        <w:rPr>
          <w:rFonts w:ascii="Times New Roman" w:hAnsi="Times New Roman"/>
          <w:i/>
          <w:color w:val="auto"/>
          <w:sz w:val="22"/>
        </w:rPr>
        <w:t>F</w:t>
      </w:r>
      <w:r>
        <w:rPr>
          <w:rFonts w:ascii="Times New Roman" w:hAnsi="Times New Roman"/>
          <w:color w:val="auto"/>
          <w:sz w:val="22"/>
        </w:rPr>
        <w:t xml:space="preserve">(2, 12) = 2.27, </w:t>
      </w:r>
      <w:r>
        <w:rPr>
          <w:rFonts w:ascii="Times New Roman" w:hAnsi="Times New Roman"/>
          <w:i/>
          <w:color w:val="auto"/>
          <w:sz w:val="22"/>
        </w:rPr>
        <w:t>p</w:t>
      </w:r>
      <w:r>
        <w:rPr>
          <w:rFonts w:ascii="Times New Roman" w:hAnsi="Times New Roman"/>
          <w:i/>
          <w:color w:val="auto"/>
          <w:sz w:val="22"/>
          <w:vertAlign w:val="subscript"/>
        </w:rPr>
        <w:t xml:space="preserve"> </w:t>
      </w:r>
      <w:r>
        <w:rPr>
          <w:rFonts w:ascii="Times New Roman" w:hAnsi="Times New Roman"/>
          <w:color w:val="auto"/>
          <w:sz w:val="22"/>
        </w:rPr>
        <w:t>= .146]. SLRs spent longer time reading topic sentences than medial (</w:t>
      </w:r>
      <w:r>
        <w:rPr>
          <w:rFonts w:ascii="Times New Roman" w:hAnsi="Times New Roman"/>
          <w:i/>
          <w:color w:val="auto"/>
          <w:sz w:val="22"/>
        </w:rPr>
        <w:t>p = .</w:t>
      </w:r>
      <w:r>
        <w:rPr>
          <w:rFonts w:ascii="Times New Roman" w:hAnsi="Times New Roman"/>
          <w:color w:val="auto"/>
          <w:sz w:val="22"/>
        </w:rPr>
        <w:t>008) and end sentences (</w:t>
      </w:r>
      <w:r>
        <w:rPr>
          <w:rFonts w:ascii="Times New Roman" w:hAnsi="Times New Roman"/>
          <w:i/>
          <w:color w:val="auto"/>
          <w:sz w:val="22"/>
        </w:rPr>
        <w:t>p= .</w:t>
      </w:r>
      <w:r>
        <w:rPr>
          <w:rFonts w:ascii="Times New Roman" w:hAnsi="Times New Roman"/>
          <w:color w:val="auto"/>
          <w:sz w:val="22"/>
        </w:rPr>
        <w:t>002), but showed no differences in reading medial and end sentences (</w:t>
      </w:r>
      <w:r>
        <w:rPr>
          <w:rFonts w:ascii="Times New Roman" w:hAnsi="Times New Roman"/>
          <w:i/>
          <w:color w:val="auto"/>
          <w:sz w:val="22"/>
        </w:rPr>
        <w:t>p &gt; .</w:t>
      </w:r>
      <w:r>
        <w:rPr>
          <w:rFonts w:ascii="Times New Roman" w:hAnsi="Times New Roman"/>
          <w:color w:val="auto"/>
          <w:sz w:val="22"/>
        </w:rPr>
        <w:t xml:space="preserve">05). </w:t>
      </w:r>
      <w:r>
        <w:rPr>
          <w:rFonts w:ascii="Times New Roman" w:hAnsi="Times New Roman" w:cs="Times New Roman"/>
          <w:color w:val="auto"/>
          <w:sz w:val="22"/>
          <w:szCs w:val="22"/>
        </w:rPr>
        <w:t xml:space="preserve">Thus, SLRs showed some sensitivity to topic structure. </w:t>
      </w:r>
      <w:r>
        <w:rPr>
          <w:rFonts w:ascii="Times New Roman" w:hAnsi="Times New Roman"/>
          <w:color w:val="auto"/>
          <w:sz w:val="22"/>
        </w:rPr>
        <w:t xml:space="preserve">The main effect of Reading Pass reflects the fact that they spent </w:t>
      </w:r>
      <w:r>
        <w:rPr>
          <w:rFonts w:ascii="Times New Roman" w:hAnsi="Times New Roman" w:cs="Times New Roman"/>
          <w:color w:val="auto"/>
          <w:sz w:val="22"/>
          <w:szCs w:val="22"/>
        </w:rPr>
        <w:t xml:space="preserve">much </w:t>
      </w:r>
      <w:r>
        <w:rPr>
          <w:rFonts w:ascii="Times New Roman" w:hAnsi="Times New Roman"/>
          <w:color w:val="auto"/>
          <w:sz w:val="22"/>
        </w:rPr>
        <w:t xml:space="preserve">more time </w:t>
      </w:r>
      <w:r>
        <w:rPr>
          <w:rFonts w:ascii="Times New Roman" w:hAnsi="Times New Roman" w:cs="Times New Roman"/>
          <w:color w:val="auto"/>
          <w:sz w:val="22"/>
          <w:szCs w:val="22"/>
        </w:rPr>
        <w:t>during</w:t>
      </w:r>
      <w:r>
        <w:rPr>
          <w:rFonts w:ascii="Times New Roman" w:hAnsi="Times New Roman"/>
          <w:color w:val="auto"/>
          <w:sz w:val="22"/>
        </w:rPr>
        <w:t xml:space="preserve"> first-pass than second-pass reading</w:t>
      </w:r>
      <w:r>
        <w:rPr>
          <w:rFonts w:ascii="Times New Roman" w:hAnsi="Times New Roman" w:cs="Times New Roman"/>
          <w:color w:val="auto"/>
          <w:sz w:val="22"/>
          <w:szCs w:val="22"/>
        </w:rPr>
        <w:t xml:space="preserve"> (see Fig. 4). </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proofErr w:type="gramStart"/>
      <w:r>
        <w:rPr>
          <w:rFonts w:ascii="Times New Roman" w:hAnsi="Times New Roman"/>
          <w:color w:val="auto"/>
          <w:sz w:val="22"/>
          <w:u w:val="single"/>
        </w:rPr>
        <w:t>NSRs</w:t>
      </w:r>
      <w:r>
        <w:rPr>
          <w:rFonts w:ascii="Times New Roman" w:hAnsi="Times New Roman"/>
          <w:color w:val="auto"/>
          <w:sz w:val="22"/>
        </w:rPr>
        <w:t>.</w:t>
      </w:r>
      <w:proofErr w:type="gramEnd"/>
      <w:r>
        <w:rPr>
          <w:rFonts w:ascii="Times New Roman" w:hAnsi="Times New Roman"/>
          <w:color w:val="auto"/>
          <w:sz w:val="22"/>
        </w:rPr>
        <w:t xml:space="preserve"> Both the main effect</w:t>
      </w:r>
      <w:r>
        <w:rPr>
          <w:rFonts w:ascii="Times New Roman" w:hAnsi="Times New Roman" w:cs="Times New Roman"/>
          <w:color w:val="auto"/>
          <w:sz w:val="22"/>
          <w:szCs w:val="22"/>
        </w:rPr>
        <w:t xml:space="preserve"> of</w:t>
      </w:r>
      <w:r>
        <w:rPr>
          <w:rFonts w:ascii="Times New Roman" w:hAnsi="Times New Roman"/>
          <w:color w:val="auto"/>
          <w:sz w:val="22"/>
        </w:rPr>
        <w:t xml:space="preserve"> Sentence Type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14) = 28.62,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0.80] and Reading Pass [</w:t>
      </w:r>
      <w:r>
        <w:rPr>
          <w:rFonts w:ascii="Times New Roman" w:hAnsi="Times New Roman"/>
          <w:i/>
          <w:color w:val="auto"/>
          <w:sz w:val="22"/>
        </w:rPr>
        <w:t>F</w:t>
      </w:r>
      <w:r>
        <w:rPr>
          <w:rFonts w:ascii="Times New Roman" w:hAnsi="Times New Roman"/>
          <w:color w:val="auto"/>
          <w:sz w:val="22"/>
        </w:rPr>
        <w:t xml:space="preserve">(1, 7) = 8.29, </w:t>
      </w:r>
      <w:r>
        <w:rPr>
          <w:rFonts w:ascii="Times New Roman" w:hAnsi="Times New Roman"/>
          <w:i/>
          <w:color w:val="auto"/>
          <w:sz w:val="22"/>
        </w:rPr>
        <w:t xml:space="preserve">p </w:t>
      </w:r>
      <w:r>
        <w:rPr>
          <w:rFonts w:ascii="Times New Roman" w:hAnsi="Times New Roman"/>
          <w:color w:val="auto"/>
          <w:sz w:val="22"/>
        </w:rPr>
        <w:t xml:space="preserve">= .023,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0.54], proved significant for NSRs, and so did their interaction [</w:t>
      </w:r>
      <w:r>
        <w:rPr>
          <w:rFonts w:ascii="Times New Roman" w:hAnsi="Times New Roman"/>
          <w:i/>
          <w:color w:val="auto"/>
          <w:sz w:val="22"/>
        </w:rPr>
        <w:t>F</w:t>
      </w:r>
      <w:r>
        <w:rPr>
          <w:rFonts w:ascii="Times New Roman" w:hAnsi="Times New Roman"/>
          <w:color w:val="auto"/>
          <w:sz w:val="22"/>
        </w:rPr>
        <w:t xml:space="preserve">(2, 14) = 7.63, </w:t>
      </w:r>
      <w:r>
        <w:rPr>
          <w:rFonts w:ascii="Times New Roman" w:hAnsi="Times New Roman"/>
          <w:i/>
          <w:color w:val="auto"/>
          <w:sz w:val="22"/>
        </w:rPr>
        <w:t>p</w:t>
      </w:r>
      <w:r>
        <w:rPr>
          <w:rFonts w:ascii="Times New Roman" w:hAnsi="Times New Roman"/>
          <w:i/>
          <w:color w:val="auto"/>
          <w:sz w:val="22"/>
          <w:vertAlign w:val="subscript"/>
        </w:rPr>
        <w:t xml:space="preserve"> </w:t>
      </w:r>
      <w:r>
        <w:rPr>
          <w:rFonts w:ascii="Times New Roman" w:hAnsi="Times New Roman"/>
          <w:color w:val="auto"/>
          <w:sz w:val="22"/>
        </w:rPr>
        <w:t xml:space="preserve">= .006,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0.52]. NSRs demonstrated an effect of Sentence Type during the first-pass reading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6) = 12.38, </w:t>
      </w:r>
      <w:r>
        <w:rPr>
          <w:rFonts w:ascii="Times New Roman" w:hAnsi="Times New Roman"/>
          <w:i/>
          <w:color w:val="auto"/>
          <w:sz w:val="22"/>
        </w:rPr>
        <w:t xml:space="preserve">p </w:t>
      </w:r>
      <w:r>
        <w:rPr>
          <w:rFonts w:ascii="Times New Roman" w:hAnsi="Times New Roman"/>
          <w:color w:val="auto"/>
          <w:sz w:val="22"/>
        </w:rPr>
        <w:t xml:space="preserve">= .007,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0.81], however, </w:t>
      </w:r>
      <w:r>
        <w:rPr>
          <w:rFonts w:ascii="Times New Roman" w:hAnsi="Times New Roman"/>
          <w:color w:val="auto"/>
          <w:sz w:val="22"/>
        </w:rPr>
        <w:lastRenderedPageBreak/>
        <w:t>they showed no effect of Sentence Type during the second-pass reading (</w:t>
      </w:r>
      <w:r>
        <w:rPr>
          <w:rFonts w:ascii="Times New Roman" w:hAnsi="Times New Roman"/>
          <w:i/>
          <w:color w:val="auto"/>
          <w:sz w:val="22"/>
        </w:rPr>
        <w:t>F</w:t>
      </w:r>
      <w:r>
        <w:rPr>
          <w:rFonts w:ascii="Times New Roman" w:hAnsi="Times New Roman"/>
          <w:color w:val="auto"/>
          <w:sz w:val="22"/>
        </w:rPr>
        <w:t>&lt;1</w:t>
      </w:r>
      <w:r>
        <w:rPr>
          <w:rFonts w:ascii="Times New Roman" w:hAnsi="Times New Roman" w:hint="eastAsia"/>
          <w:color w:val="auto"/>
          <w:sz w:val="22"/>
        </w:rPr>
        <w:t>)</w:t>
      </w:r>
      <w:r>
        <w:rPr>
          <w:rFonts w:ascii="Times New Roman" w:hAnsi="Times New Roman"/>
          <w:color w:val="auto"/>
          <w:sz w:val="22"/>
        </w:rPr>
        <w:t>. Multiple comparisons showed that during first-pass reading NSRs spent longer time reading topic sentences than medial (</w:t>
      </w:r>
      <w:r>
        <w:rPr>
          <w:rFonts w:ascii="Times New Roman" w:hAnsi="Times New Roman"/>
          <w:i/>
          <w:color w:val="auto"/>
          <w:sz w:val="22"/>
        </w:rPr>
        <w:t xml:space="preserve">p = </w:t>
      </w:r>
      <w:r>
        <w:rPr>
          <w:rFonts w:ascii="Times New Roman" w:hAnsi="Times New Roman"/>
          <w:color w:val="auto"/>
          <w:sz w:val="22"/>
        </w:rPr>
        <w:t>.014) and end (</w:t>
      </w:r>
      <w:r>
        <w:rPr>
          <w:rFonts w:ascii="Times New Roman" w:hAnsi="Times New Roman"/>
          <w:i/>
          <w:color w:val="auto"/>
          <w:sz w:val="22"/>
        </w:rPr>
        <w:t xml:space="preserve">p = </w:t>
      </w:r>
      <w:r>
        <w:rPr>
          <w:rFonts w:ascii="Times New Roman" w:hAnsi="Times New Roman"/>
          <w:color w:val="auto"/>
          <w:sz w:val="22"/>
        </w:rPr>
        <w:t>.005) sentences, but showed no differences reading medial and end sentences (</w:t>
      </w:r>
      <w:r>
        <w:rPr>
          <w:rFonts w:ascii="Times New Roman" w:hAnsi="Times New Roman"/>
          <w:i/>
          <w:color w:val="auto"/>
          <w:sz w:val="22"/>
        </w:rPr>
        <w:t>p &gt; .</w:t>
      </w:r>
      <w:r>
        <w:rPr>
          <w:rFonts w:ascii="Times New Roman" w:hAnsi="Times New Roman"/>
          <w:color w:val="auto"/>
          <w:sz w:val="22"/>
        </w:rPr>
        <w:t>05).</w:t>
      </w:r>
      <w:r>
        <w:rPr>
          <w:rFonts w:ascii="Times New Roman" w:hAnsi="Times New Roman" w:cs="Times New Roman"/>
          <w:color w:val="auto"/>
          <w:sz w:val="22"/>
          <w:szCs w:val="22"/>
        </w:rPr>
        <w:t xml:space="preserve"> The primary difference in their first- and second-pass reading was due to spending additional time on topic sentences during first-pass reading (see Fig. 4).</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r>
        <w:rPr>
          <w:rFonts w:ascii="Times New Roman" w:hAnsi="Times New Roman"/>
          <w:b/>
          <w:color w:val="auto"/>
          <w:sz w:val="22"/>
        </w:rPr>
        <w:t>No</w:t>
      </w:r>
      <w:r>
        <w:rPr>
          <w:rFonts w:ascii="Times New Roman" w:hAnsi="Times New Roman"/>
          <w:color w:val="auto"/>
          <w:sz w:val="22"/>
        </w:rPr>
        <w:t xml:space="preserve"> </w:t>
      </w:r>
      <w:r>
        <w:rPr>
          <w:rFonts w:ascii="Times New Roman" w:hAnsi="Times New Roman"/>
          <w:b/>
          <w:color w:val="auto"/>
          <w:sz w:val="22"/>
        </w:rPr>
        <w:t xml:space="preserve">signaling condition. </w:t>
      </w:r>
      <w:r>
        <w:rPr>
          <w:rFonts w:ascii="Times New Roman" w:hAnsi="Times New Roman"/>
          <w:color w:val="auto"/>
          <w:sz w:val="22"/>
        </w:rPr>
        <w:t xml:space="preserve">The Reader Group × Reading Pass × Sentence Type interaction was significant,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6, 82) = 2.23, </w:t>
      </w:r>
      <w:r>
        <w:rPr>
          <w:rFonts w:ascii="Times New Roman" w:hAnsi="Times New Roman"/>
          <w:i/>
          <w:color w:val="auto"/>
          <w:sz w:val="22"/>
        </w:rPr>
        <w:t xml:space="preserve">p </w:t>
      </w:r>
      <w:r>
        <w:rPr>
          <w:rFonts w:ascii="Times New Roman" w:hAnsi="Times New Roman"/>
          <w:color w:val="auto"/>
          <w:sz w:val="22"/>
        </w:rPr>
        <w:t>= .048,</w:t>
      </w:r>
      <w:r>
        <w:rPr>
          <w:rFonts w:ascii="Times New Roman" w:hAnsi="Times New Roman"/>
          <w:i/>
          <w:color w:val="auto"/>
          <w:sz w:val="22"/>
        </w:rPr>
        <w:t xml:space="preserve"> η</w:t>
      </w:r>
      <w:r>
        <w:rPr>
          <w:rFonts w:ascii="Times New Roman" w:hAnsi="Times New Roman"/>
          <w:i/>
          <w:color w:val="auto"/>
          <w:sz w:val="22"/>
          <w:vertAlign w:val="subscript"/>
        </w:rPr>
        <w:t>p</w:t>
      </w:r>
      <w:r>
        <w:rPr>
          <w:rFonts w:ascii="Times New Roman" w:hAnsi="Times New Roman"/>
          <w:i/>
          <w:color w:val="auto"/>
          <w:sz w:val="22"/>
          <w:vertAlign w:val="superscript"/>
        </w:rPr>
        <w:t>2</w:t>
      </w:r>
      <w:r>
        <w:rPr>
          <w:rFonts w:ascii="Times New Roman" w:hAnsi="Times New Roman"/>
          <w:color w:val="auto"/>
          <w:sz w:val="22"/>
        </w:rPr>
        <w:t xml:space="preserve"> = .14. To characterize the reading patterns of each group, we again followed up the three-way interaction with two </w:t>
      </w:r>
      <w:r>
        <w:rPr>
          <w:rStyle w:val="fontstyle01"/>
          <w:color w:val="auto"/>
          <w:sz w:val="22"/>
        </w:rPr>
        <w:t>separate 2 (</w:t>
      </w:r>
      <w:r>
        <w:rPr>
          <w:rFonts w:ascii="Times New Roman" w:hAnsi="Times New Roman"/>
          <w:color w:val="auto"/>
          <w:sz w:val="22"/>
        </w:rPr>
        <w:t xml:space="preserve">Reading Pass) × </w:t>
      </w:r>
      <w:r>
        <w:rPr>
          <w:rStyle w:val="fontstyle01"/>
          <w:color w:val="auto"/>
          <w:sz w:val="22"/>
        </w:rPr>
        <w:t>3 (</w:t>
      </w:r>
      <w:r>
        <w:rPr>
          <w:rFonts w:ascii="Times New Roman" w:hAnsi="Times New Roman"/>
          <w:color w:val="auto"/>
          <w:sz w:val="22"/>
        </w:rPr>
        <w:t>Sentence Type)</w:t>
      </w:r>
      <w:r>
        <w:rPr>
          <w:rStyle w:val="fontstyle01"/>
          <w:color w:val="auto"/>
          <w:sz w:val="22"/>
        </w:rPr>
        <w:t xml:space="preserve"> repeated measures ANOVAs separately</w:t>
      </w:r>
      <w:r>
        <w:rPr>
          <w:rFonts w:ascii="Times New Roman" w:hAnsi="Times New Roman"/>
          <w:color w:val="auto"/>
          <w:sz w:val="22"/>
        </w:rPr>
        <w:t xml:space="preserve"> </w:t>
      </w:r>
      <w:r>
        <w:rPr>
          <w:rStyle w:val="fontstyle01"/>
          <w:color w:val="auto"/>
          <w:sz w:val="22"/>
        </w:rPr>
        <w:t>for each group</w:t>
      </w:r>
      <w:r>
        <w:rPr>
          <w:rFonts w:ascii="Times New Roman" w:hAnsi="Times New Roman"/>
          <w:color w:val="auto"/>
          <w:sz w:val="22"/>
        </w:rPr>
        <w:t xml:space="preserve">. </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proofErr w:type="spellStart"/>
      <w:proofErr w:type="gramStart"/>
      <w:r>
        <w:rPr>
          <w:rFonts w:ascii="Times New Roman" w:hAnsi="Times New Roman"/>
          <w:color w:val="auto"/>
          <w:sz w:val="22"/>
          <w:u w:val="single"/>
        </w:rPr>
        <w:t>TSPs</w:t>
      </w:r>
      <w:r>
        <w:rPr>
          <w:rFonts w:ascii="Times New Roman" w:hAnsi="Times New Roman"/>
          <w:color w:val="auto"/>
          <w:sz w:val="22"/>
        </w:rPr>
        <w:t>.</w:t>
      </w:r>
      <w:proofErr w:type="spellEnd"/>
      <w:proofErr w:type="gramEnd"/>
      <w:r>
        <w:rPr>
          <w:rFonts w:ascii="Times New Roman" w:hAnsi="Times New Roman"/>
          <w:color w:val="auto"/>
          <w:sz w:val="22"/>
        </w:rPr>
        <w:t xml:space="preserve"> The main effect of Sentence Type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10) = 844.36, </w:t>
      </w:r>
      <w:r>
        <w:rPr>
          <w:rFonts w:ascii="Times New Roman" w:hAnsi="Times New Roman"/>
          <w:i/>
          <w:color w:val="auto"/>
          <w:sz w:val="22"/>
        </w:rPr>
        <w:t>p</w:t>
      </w:r>
      <w:r>
        <w:rPr>
          <w:rFonts w:ascii="Times New Roman" w:hAnsi="Times New Roman"/>
          <w:color w:val="auto"/>
          <w:sz w:val="22"/>
        </w:rPr>
        <w:t xml:space="preserve"> &lt;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i/>
          <w:color w:val="auto"/>
          <w:sz w:val="22"/>
          <w:vertAlign w:val="superscript"/>
        </w:rPr>
        <w:t>2</w:t>
      </w:r>
      <w:r>
        <w:rPr>
          <w:rFonts w:ascii="Times New Roman" w:hAnsi="Times New Roman"/>
          <w:color w:val="auto"/>
          <w:sz w:val="22"/>
          <w:vertAlign w:val="superscript"/>
        </w:rPr>
        <w:t xml:space="preserve"> </w:t>
      </w:r>
      <w:r>
        <w:rPr>
          <w:rFonts w:ascii="Times New Roman" w:hAnsi="Times New Roman"/>
          <w:color w:val="auto"/>
          <w:sz w:val="22"/>
        </w:rPr>
        <w:t>= .99] and Reading Pass [</w:t>
      </w:r>
      <w:r>
        <w:rPr>
          <w:rFonts w:ascii="Times New Roman" w:hAnsi="Times New Roman"/>
          <w:i/>
          <w:color w:val="auto"/>
          <w:sz w:val="22"/>
        </w:rPr>
        <w:t>F</w:t>
      </w:r>
      <w:r>
        <w:rPr>
          <w:rFonts w:ascii="Times New Roman" w:hAnsi="Times New Roman"/>
          <w:color w:val="auto"/>
          <w:sz w:val="22"/>
        </w:rPr>
        <w:t xml:space="preserve">(1, 5) = 58.09, </w:t>
      </w:r>
      <w:r>
        <w:rPr>
          <w:rFonts w:ascii="Times New Roman" w:hAnsi="Times New Roman"/>
          <w:i/>
          <w:color w:val="auto"/>
          <w:sz w:val="22"/>
        </w:rPr>
        <w:t>p</w:t>
      </w:r>
      <w:r>
        <w:rPr>
          <w:rFonts w:ascii="Times New Roman" w:hAnsi="Times New Roman"/>
          <w:color w:val="auto"/>
          <w:sz w:val="22"/>
        </w:rPr>
        <w:t xml:space="preserve"> &lt;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i/>
          <w:color w:val="auto"/>
          <w:sz w:val="22"/>
          <w:vertAlign w:val="superscript"/>
        </w:rPr>
        <w:t>2</w:t>
      </w:r>
      <w:r>
        <w:rPr>
          <w:rFonts w:ascii="Times New Roman" w:hAnsi="Times New Roman"/>
          <w:color w:val="auto"/>
          <w:sz w:val="22"/>
          <w:vertAlign w:val="superscript"/>
        </w:rPr>
        <w:t xml:space="preserve"> </w:t>
      </w:r>
      <w:r>
        <w:rPr>
          <w:rFonts w:ascii="Times New Roman" w:hAnsi="Times New Roman"/>
          <w:color w:val="auto"/>
          <w:sz w:val="22"/>
        </w:rPr>
        <w:t>= .92] were significant for TSPs, as was their interaction [</w:t>
      </w:r>
      <w:r>
        <w:rPr>
          <w:rFonts w:ascii="Times New Roman" w:hAnsi="Times New Roman"/>
          <w:i/>
          <w:color w:val="auto"/>
          <w:sz w:val="22"/>
        </w:rPr>
        <w:t>F</w:t>
      </w:r>
      <w:r>
        <w:rPr>
          <w:rFonts w:ascii="Times New Roman" w:hAnsi="Times New Roman"/>
          <w:color w:val="auto"/>
          <w:sz w:val="22"/>
        </w:rPr>
        <w:t xml:space="preserve">(2, 10) = 9.52, </w:t>
      </w:r>
      <w:r>
        <w:rPr>
          <w:rFonts w:ascii="Times New Roman" w:hAnsi="Times New Roman"/>
          <w:i/>
          <w:color w:val="auto"/>
          <w:sz w:val="22"/>
        </w:rPr>
        <w:t>p</w:t>
      </w:r>
      <w:r>
        <w:rPr>
          <w:rFonts w:ascii="Times New Roman" w:hAnsi="Times New Roman"/>
          <w:i/>
          <w:color w:val="auto"/>
          <w:sz w:val="22"/>
          <w:vertAlign w:val="subscript"/>
        </w:rPr>
        <w:t xml:space="preserve"> </w:t>
      </w:r>
      <w:r>
        <w:rPr>
          <w:rFonts w:ascii="Times New Roman" w:hAnsi="Times New Roman"/>
          <w:color w:val="auto"/>
          <w:sz w:val="22"/>
        </w:rPr>
        <w:t xml:space="preserve">= .005,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0.66]. TSPs demonstrated an effect of Sentence Type both in the first-pass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4) = 686.01,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0.99] and second-pass [</w:t>
      </w:r>
      <w:r>
        <w:rPr>
          <w:rFonts w:ascii="Times New Roman" w:hAnsi="Times New Roman"/>
          <w:i/>
          <w:color w:val="auto"/>
          <w:sz w:val="22"/>
        </w:rPr>
        <w:t>F</w:t>
      </w:r>
      <w:r>
        <w:rPr>
          <w:rFonts w:ascii="Times New Roman" w:hAnsi="Times New Roman"/>
          <w:color w:val="auto"/>
          <w:sz w:val="22"/>
        </w:rPr>
        <w:t xml:space="preserve">(2, 5) = 351.89,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0.99] reading</w:t>
      </w:r>
      <w:r>
        <w:rPr>
          <w:rFonts w:ascii="Times New Roman" w:hAnsi="Times New Roman" w:hint="eastAsia"/>
          <w:color w:val="auto"/>
          <w:sz w:val="22"/>
        </w:rPr>
        <w:t xml:space="preserve"> time</w:t>
      </w:r>
      <w:r>
        <w:rPr>
          <w:rFonts w:ascii="Times New Roman" w:hAnsi="Times New Roman"/>
          <w:color w:val="auto"/>
          <w:sz w:val="22"/>
        </w:rPr>
        <w:t>. Multiple comparisons showed that TSPs spent longer time reading topic sentences than medial and end sentences (</w:t>
      </w:r>
      <w:proofErr w:type="spellStart"/>
      <w:r>
        <w:rPr>
          <w:rFonts w:ascii="Times New Roman" w:hAnsi="Times New Roman"/>
          <w:i/>
          <w:color w:val="auto"/>
          <w:sz w:val="22"/>
        </w:rPr>
        <w:t>ps</w:t>
      </w:r>
      <w:proofErr w:type="spellEnd"/>
      <w:r>
        <w:rPr>
          <w:rFonts w:ascii="Times New Roman" w:hAnsi="Times New Roman"/>
          <w:i/>
          <w:color w:val="auto"/>
          <w:sz w:val="22"/>
        </w:rPr>
        <w:t xml:space="preserve"> &lt; .</w:t>
      </w:r>
      <w:r>
        <w:rPr>
          <w:rFonts w:ascii="Times New Roman" w:hAnsi="Times New Roman"/>
          <w:color w:val="auto"/>
          <w:sz w:val="22"/>
        </w:rPr>
        <w:t>001) in the first- and second-pass reading, and also spent longer time reading end sentences than medial sentences (</w:t>
      </w:r>
      <w:r>
        <w:rPr>
          <w:rFonts w:ascii="Times New Roman" w:hAnsi="Times New Roman"/>
          <w:i/>
          <w:color w:val="auto"/>
          <w:sz w:val="22"/>
        </w:rPr>
        <w:t>p = .</w:t>
      </w:r>
      <w:r>
        <w:rPr>
          <w:rFonts w:ascii="Times New Roman" w:hAnsi="Times New Roman"/>
          <w:color w:val="auto"/>
          <w:sz w:val="22"/>
        </w:rPr>
        <w:t>043) during first-pass reading. Thus, TSPs showed strong sensitivity to topic structure</w:t>
      </w:r>
      <w:r>
        <w:rPr>
          <w:rFonts w:ascii="Times New Roman" w:eastAsia="SimSun" w:hAnsi="Times New Roman" w:cs="Times New Roman"/>
          <w:color w:val="auto"/>
          <w:sz w:val="22"/>
          <w:szCs w:val="22"/>
        </w:rPr>
        <w:t xml:space="preserve"> (see Fig. 4).</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r>
        <w:rPr>
          <w:rFonts w:ascii="Times New Roman" w:hAnsi="Times New Roman"/>
          <w:color w:val="auto"/>
          <w:sz w:val="22"/>
          <w:u w:val="single"/>
        </w:rPr>
        <w:t>FLRs</w:t>
      </w:r>
      <w:r>
        <w:rPr>
          <w:rFonts w:ascii="Times New Roman" w:hAnsi="Times New Roman"/>
          <w:color w:val="auto"/>
          <w:sz w:val="22"/>
        </w:rPr>
        <w:t>. Reliable main effects of Sentence Type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38) = 7.41, </w:t>
      </w:r>
      <w:r>
        <w:rPr>
          <w:rFonts w:ascii="Times New Roman" w:hAnsi="Times New Roman"/>
          <w:i/>
          <w:color w:val="auto"/>
          <w:sz w:val="22"/>
        </w:rPr>
        <w:t>p</w:t>
      </w:r>
      <w:r>
        <w:rPr>
          <w:rFonts w:ascii="Times New Roman" w:hAnsi="Times New Roman"/>
          <w:color w:val="auto"/>
          <w:sz w:val="22"/>
        </w:rPr>
        <w:t xml:space="preserve"> = .002,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i/>
          <w:color w:val="auto"/>
          <w:sz w:val="22"/>
          <w:vertAlign w:val="superscript"/>
        </w:rPr>
        <w:t>2</w:t>
      </w:r>
      <w:r>
        <w:rPr>
          <w:rFonts w:ascii="Times New Roman" w:hAnsi="Times New Roman"/>
          <w:color w:val="auto"/>
          <w:sz w:val="22"/>
          <w:vertAlign w:val="superscript"/>
        </w:rPr>
        <w:t xml:space="preserve"> </w:t>
      </w:r>
      <w:r>
        <w:rPr>
          <w:rFonts w:ascii="Times New Roman" w:hAnsi="Times New Roman"/>
          <w:color w:val="auto"/>
          <w:sz w:val="22"/>
        </w:rPr>
        <w:t>= .28] and Reading Pass [</w:t>
      </w:r>
      <w:r>
        <w:rPr>
          <w:rFonts w:ascii="Times New Roman" w:hAnsi="Times New Roman"/>
          <w:i/>
          <w:color w:val="auto"/>
          <w:sz w:val="22"/>
        </w:rPr>
        <w:t>F</w:t>
      </w:r>
      <w:r>
        <w:rPr>
          <w:rFonts w:ascii="Times New Roman" w:hAnsi="Times New Roman"/>
          <w:color w:val="auto"/>
          <w:sz w:val="22"/>
        </w:rPr>
        <w:t xml:space="preserve">(1, 19) = 22.27, </w:t>
      </w:r>
      <w:r>
        <w:rPr>
          <w:rFonts w:ascii="Times New Roman" w:hAnsi="Times New Roman"/>
          <w:i/>
          <w:color w:val="auto"/>
          <w:sz w:val="22"/>
        </w:rPr>
        <w:t>p</w:t>
      </w:r>
      <w:r>
        <w:rPr>
          <w:rFonts w:ascii="Times New Roman" w:hAnsi="Times New Roman"/>
          <w:color w:val="auto"/>
          <w:sz w:val="22"/>
        </w:rPr>
        <w:t xml:space="preserve"> &lt;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i/>
          <w:color w:val="auto"/>
          <w:sz w:val="22"/>
          <w:vertAlign w:val="superscript"/>
        </w:rPr>
        <w:t>2</w:t>
      </w:r>
      <w:r>
        <w:rPr>
          <w:rFonts w:ascii="Times New Roman" w:hAnsi="Times New Roman"/>
          <w:color w:val="auto"/>
          <w:sz w:val="22"/>
          <w:vertAlign w:val="superscript"/>
        </w:rPr>
        <w:t xml:space="preserve"> </w:t>
      </w:r>
      <w:r>
        <w:rPr>
          <w:rFonts w:ascii="Times New Roman" w:hAnsi="Times New Roman"/>
          <w:color w:val="auto"/>
          <w:sz w:val="22"/>
        </w:rPr>
        <w:t>= .54] were observed for FLRs. Moreover, their interaction was also significant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36) = 14.11, </w:t>
      </w:r>
      <w:r>
        <w:rPr>
          <w:rFonts w:ascii="Times New Roman" w:hAnsi="Times New Roman"/>
          <w:i/>
          <w:color w:val="auto"/>
          <w:sz w:val="22"/>
        </w:rPr>
        <w:t>p</w:t>
      </w:r>
      <w:r>
        <w:rPr>
          <w:rFonts w:ascii="Times New Roman" w:hAnsi="Times New Roman"/>
          <w:i/>
          <w:color w:val="auto"/>
          <w:sz w:val="22"/>
          <w:vertAlign w:val="subscript"/>
        </w:rPr>
        <w:t xml:space="preserve"> </w:t>
      </w:r>
      <w:r>
        <w:rPr>
          <w:rFonts w:ascii="Times New Roman" w:hAnsi="Times New Roman"/>
          <w:i/>
          <w:color w:val="auto"/>
          <w:sz w:val="22"/>
        </w:rPr>
        <w:t>&lt;</w:t>
      </w:r>
      <w:r>
        <w:rPr>
          <w:rFonts w:ascii="Times New Roman" w:hAnsi="Times New Roman"/>
          <w:color w:val="auto"/>
          <w:sz w:val="22"/>
        </w:rPr>
        <w:t xml:space="preserve">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0.44]. FLRs demonstrated an effect of Sentence Type during the first-pass reading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17) = 14.46, </w:t>
      </w:r>
      <w:r>
        <w:rPr>
          <w:rFonts w:ascii="Times New Roman" w:hAnsi="Times New Roman"/>
          <w:i/>
          <w:color w:val="auto"/>
          <w:sz w:val="22"/>
        </w:rPr>
        <w:t xml:space="preserve">p </w:t>
      </w:r>
      <w:r>
        <w:rPr>
          <w:rFonts w:ascii="Times New Roman" w:hAnsi="Times New Roman"/>
          <w:color w:val="auto"/>
          <w:sz w:val="22"/>
        </w:rPr>
        <w:t xml:space="preserve">&lt;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color w:val="auto"/>
          <w:sz w:val="22"/>
          <w:vertAlign w:val="superscript"/>
        </w:rPr>
        <w:t>2</w:t>
      </w:r>
      <w:r>
        <w:rPr>
          <w:rFonts w:ascii="Times New Roman" w:hAnsi="Times New Roman"/>
          <w:color w:val="auto"/>
          <w:sz w:val="22"/>
        </w:rPr>
        <w:t xml:space="preserve"> = 0.63], and a suggestion for an effect of Sentence Type during the second-pass reading [</w:t>
      </w:r>
      <w:r>
        <w:rPr>
          <w:rFonts w:ascii="Times New Roman" w:hAnsi="Times New Roman"/>
          <w:i/>
          <w:color w:val="auto"/>
          <w:sz w:val="22"/>
        </w:rPr>
        <w:t>F</w:t>
      </w:r>
      <w:r>
        <w:rPr>
          <w:rFonts w:ascii="Times New Roman" w:hAnsi="Times New Roman"/>
          <w:color w:val="auto"/>
          <w:sz w:val="22"/>
        </w:rPr>
        <w:t xml:space="preserve">(2, 17) = 3.03, </w:t>
      </w:r>
      <w:r>
        <w:rPr>
          <w:rFonts w:ascii="Times New Roman" w:hAnsi="Times New Roman"/>
          <w:i/>
          <w:color w:val="auto"/>
          <w:sz w:val="22"/>
        </w:rPr>
        <w:t xml:space="preserve">p </w:t>
      </w:r>
      <w:r>
        <w:rPr>
          <w:rFonts w:ascii="Times New Roman" w:hAnsi="Times New Roman"/>
          <w:color w:val="auto"/>
          <w:sz w:val="22"/>
        </w:rPr>
        <w:t>= .074]. Multiple comparisons showed that during first-pass reading FLRs spent longer time reading end sentences than topic (</w:t>
      </w:r>
      <w:r>
        <w:rPr>
          <w:rFonts w:ascii="Times New Roman" w:hAnsi="Times New Roman"/>
          <w:i/>
          <w:color w:val="auto"/>
          <w:sz w:val="22"/>
        </w:rPr>
        <w:t>p = .</w:t>
      </w:r>
      <w:r>
        <w:rPr>
          <w:rFonts w:ascii="Times New Roman" w:hAnsi="Times New Roman"/>
          <w:color w:val="auto"/>
          <w:sz w:val="22"/>
        </w:rPr>
        <w:t>007) and medial</w:t>
      </w:r>
      <w:r>
        <w:rPr>
          <w:rFonts w:ascii="Times New Roman" w:hAnsi="Times New Roman" w:hint="eastAsia"/>
          <w:color w:val="auto"/>
          <w:sz w:val="22"/>
        </w:rPr>
        <w:t xml:space="preserve"> </w:t>
      </w:r>
      <w:r>
        <w:rPr>
          <w:rFonts w:ascii="Times New Roman" w:hAnsi="Times New Roman"/>
          <w:color w:val="auto"/>
          <w:sz w:val="22"/>
        </w:rPr>
        <w:t>(</w:t>
      </w:r>
      <w:r>
        <w:rPr>
          <w:rFonts w:ascii="Times New Roman" w:hAnsi="Times New Roman"/>
          <w:i/>
          <w:color w:val="auto"/>
          <w:sz w:val="22"/>
        </w:rPr>
        <w:t>p &lt; .</w:t>
      </w:r>
      <w:r>
        <w:rPr>
          <w:rFonts w:ascii="Times New Roman" w:hAnsi="Times New Roman"/>
          <w:color w:val="auto"/>
          <w:sz w:val="22"/>
        </w:rPr>
        <w:t xml:space="preserve">001) sentences, but </w:t>
      </w:r>
      <w:r>
        <w:rPr>
          <w:rFonts w:ascii="Times New Roman" w:hAnsi="Times New Roman"/>
          <w:color w:val="auto"/>
          <w:sz w:val="22"/>
        </w:rPr>
        <w:lastRenderedPageBreak/>
        <w:t>showed no differences in reading topic and medial sentences (</w:t>
      </w:r>
      <w:r>
        <w:rPr>
          <w:rFonts w:ascii="Times New Roman" w:hAnsi="Times New Roman"/>
          <w:i/>
          <w:color w:val="auto"/>
          <w:sz w:val="22"/>
        </w:rPr>
        <w:t>p = .</w:t>
      </w:r>
      <w:r>
        <w:rPr>
          <w:rFonts w:ascii="Times New Roman" w:hAnsi="Times New Roman"/>
          <w:color w:val="auto"/>
          <w:sz w:val="22"/>
        </w:rPr>
        <w:t>090). Thus, FLRs showed sensitivity in their processing for paragraph breaks (longer reading of paragraph-final than other sentences).</w:t>
      </w:r>
      <w:r>
        <w:rPr>
          <w:rFonts w:ascii="Times New Roman" w:eastAsia="SimSun" w:hAnsi="Times New Roman" w:cs="Times New Roman"/>
          <w:color w:val="auto"/>
          <w:sz w:val="22"/>
          <w:szCs w:val="22"/>
        </w:rPr>
        <w:t xml:space="preserve"> They also spent more time overall during first-pass than second-pass reading.</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olor w:val="auto"/>
          <w:sz w:val="22"/>
        </w:rPr>
      </w:pPr>
      <w:proofErr w:type="gramStart"/>
      <w:r>
        <w:rPr>
          <w:rFonts w:ascii="Times New Roman" w:hAnsi="Times New Roman"/>
          <w:color w:val="auto"/>
          <w:sz w:val="22"/>
          <w:u w:val="single"/>
        </w:rPr>
        <w:t>SLRs</w:t>
      </w:r>
      <w:r>
        <w:rPr>
          <w:rFonts w:ascii="Times New Roman" w:hAnsi="Times New Roman"/>
          <w:color w:val="auto"/>
          <w:sz w:val="22"/>
        </w:rPr>
        <w:t>.</w:t>
      </w:r>
      <w:proofErr w:type="gramEnd"/>
      <w:r>
        <w:rPr>
          <w:rFonts w:ascii="Times New Roman" w:hAnsi="Times New Roman"/>
          <w:color w:val="auto"/>
          <w:sz w:val="22"/>
        </w:rPr>
        <w:t xml:space="preserve"> Only the main effect of Reading Pass proved significant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1, 10) = 460.82, </w:t>
      </w:r>
      <w:r>
        <w:rPr>
          <w:rFonts w:ascii="Times New Roman" w:hAnsi="Times New Roman"/>
          <w:i/>
          <w:color w:val="auto"/>
          <w:sz w:val="22"/>
        </w:rPr>
        <w:t>p</w:t>
      </w:r>
      <w:r>
        <w:rPr>
          <w:rFonts w:ascii="Times New Roman" w:hAnsi="Times New Roman"/>
          <w:color w:val="auto"/>
          <w:sz w:val="22"/>
        </w:rPr>
        <w:t xml:space="preserve"> &lt; .001, </w:t>
      </w:r>
      <w:r>
        <w:rPr>
          <w:rFonts w:ascii="Times New Roman" w:hAnsi="Times New Roman"/>
          <w:i/>
          <w:color w:val="auto"/>
          <w:sz w:val="22"/>
        </w:rPr>
        <w:t>η</w:t>
      </w:r>
      <w:r>
        <w:rPr>
          <w:rFonts w:ascii="Times New Roman" w:hAnsi="Times New Roman"/>
          <w:i/>
          <w:color w:val="auto"/>
          <w:sz w:val="22"/>
          <w:vertAlign w:val="subscript"/>
        </w:rPr>
        <w:t>p</w:t>
      </w:r>
      <w:r>
        <w:rPr>
          <w:rFonts w:ascii="Times New Roman" w:hAnsi="Times New Roman"/>
          <w:i/>
          <w:color w:val="auto"/>
          <w:sz w:val="22"/>
          <w:vertAlign w:val="superscript"/>
        </w:rPr>
        <w:t>2</w:t>
      </w:r>
      <w:r>
        <w:rPr>
          <w:rFonts w:ascii="Times New Roman" w:hAnsi="Times New Roman"/>
          <w:color w:val="auto"/>
          <w:sz w:val="22"/>
          <w:vertAlign w:val="superscript"/>
        </w:rPr>
        <w:t xml:space="preserve"> </w:t>
      </w:r>
      <w:r>
        <w:rPr>
          <w:rFonts w:ascii="Times New Roman" w:hAnsi="Times New Roman"/>
          <w:color w:val="auto"/>
          <w:sz w:val="22"/>
        </w:rPr>
        <w:t xml:space="preserve">= .98; </w:t>
      </w:r>
      <w:r>
        <w:rPr>
          <w:rFonts w:ascii="Times New Roman" w:hAnsi="Times New Roman"/>
          <w:i/>
          <w:color w:val="auto"/>
          <w:sz w:val="22"/>
        </w:rPr>
        <w:t>F</w:t>
      </w:r>
      <w:r>
        <w:rPr>
          <w:rFonts w:ascii="Times New Roman" w:hAnsi="Times New Roman"/>
          <w:color w:val="auto"/>
          <w:sz w:val="22"/>
        </w:rPr>
        <w:t xml:space="preserve">(2, 20) = 1.28, </w:t>
      </w:r>
      <w:r>
        <w:rPr>
          <w:rFonts w:ascii="Times New Roman" w:hAnsi="Times New Roman"/>
          <w:i/>
          <w:color w:val="auto"/>
          <w:sz w:val="22"/>
        </w:rPr>
        <w:t>p</w:t>
      </w:r>
      <w:r>
        <w:rPr>
          <w:rFonts w:ascii="Times New Roman" w:hAnsi="Times New Roman"/>
          <w:color w:val="auto"/>
          <w:sz w:val="22"/>
        </w:rPr>
        <w:t xml:space="preserve"> = .299, for the main effect of Sentence Type; </w:t>
      </w:r>
      <w:r>
        <w:rPr>
          <w:rFonts w:ascii="Times New Roman" w:hAnsi="Times New Roman"/>
          <w:i/>
          <w:color w:val="auto"/>
          <w:sz w:val="22"/>
        </w:rPr>
        <w:t>F</w:t>
      </w:r>
      <w:r>
        <w:rPr>
          <w:rFonts w:ascii="Times New Roman" w:hAnsi="Times New Roman"/>
          <w:color w:val="auto"/>
          <w:sz w:val="22"/>
        </w:rPr>
        <w:t>&lt;1, for the interaction] for SLRs. They spent much more time during first-pass than second-pass reading</w:t>
      </w:r>
      <w:r>
        <w:rPr>
          <w:rFonts w:ascii="Times New Roman" w:eastAsia="SimSun" w:hAnsi="Times New Roman" w:cs="Times New Roman"/>
          <w:color w:val="auto"/>
          <w:sz w:val="22"/>
          <w:szCs w:val="22"/>
        </w:rPr>
        <w:t xml:space="preserve"> (see Fig. 4).</w:t>
      </w:r>
    </w:p>
    <w:p w:rsidR="004D2580" w:rsidRDefault="0034511E">
      <w:pPr>
        <w:pStyle w:val="A0"/>
        <w:adjustRightInd w:val="0"/>
        <w:snapToGrid w:val="0"/>
        <w:spacing w:before="100" w:beforeAutospacing="1" w:after="100" w:afterAutospacing="1" w:line="480" w:lineRule="auto"/>
        <w:ind w:firstLineChars="250" w:firstLine="550"/>
        <w:rPr>
          <w:rFonts w:ascii="Times New Roman" w:hAnsi="Times New Roman" w:cs="Times New Roman"/>
          <w:color w:val="auto"/>
          <w:sz w:val="22"/>
          <w:szCs w:val="22"/>
        </w:rPr>
      </w:pPr>
      <w:proofErr w:type="gramStart"/>
      <w:r>
        <w:rPr>
          <w:rFonts w:ascii="Times New Roman" w:hAnsi="Times New Roman"/>
          <w:color w:val="auto"/>
          <w:sz w:val="22"/>
          <w:u w:val="single"/>
        </w:rPr>
        <w:t>NSRs</w:t>
      </w:r>
      <w:r>
        <w:rPr>
          <w:rFonts w:ascii="Times New Roman" w:hAnsi="Times New Roman"/>
          <w:color w:val="auto"/>
          <w:sz w:val="22"/>
        </w:rPr>
        <w:t>.</w:t>
      </w:r>
      <w:proofErr w:type="gramEnd"/>
      <w:r>
        <w:rPr>
          <w:rFonts w:ascii="Times New Roman" w:hAnsi="Times New Roman"/>
          <w:color w:val="auto"/>
          <w:sz w:val="22"/>
        </w:rPr>
        <w:t xml:space="preserve"> No effect approached significance for NLRs [</w:t>
      </w:r>
      <w:r>
        <w:rPr>
          <w:rFonts w:ascii="Times New Roman" w:hAnsi="Times New Roman"/>
          <w:i/>
          <w:color w:val="auto"/>
          <w:sz w:val="22"/>
        </w:rPr>
        <w:t>Fs</w:t>
      </w:r>
      <w:r>
        <w:rPr>
          <w:rFonts w:ascii="Times New Roman" w:hAnsi="Times New Roman"/>
          <w:color w:val="auto"/>
          <w:sz w:val="22"/>
        </w:rPr>
        <w:t xml:space="preserve">&lt;1, for the main effects; </w:t>
      </w:r>
      <w:proofErr w:type="gramStart"/>
      <w:r>
        <w:rPr>
          <w:rFonts w:ascii="Times New Roman" w:hAnsi="Times New Roman"/>
          <w:i/>
          <w:color w:val="auto"/>
          <w:sz w:val="22"/>
        </w:rPr>
        <w:t>F</w:t>
      </w:r>
      <w:r>
        <w:rPr>
          <w:rFonts w:ascii="Times New Roman" w:hAnsi="Times New Roman"/>
          <w:color w:val="auto"/>
          <w:sz w:val="22"/>
        </w:rPr>
        <w:t>(</w:t>
      </w:r>
      <w:proofErr w:type="gramEnd"/>
      <w:r>
        <w:rPr>
          <w:rFonts w:ascii="Times New Roman" w:hAnsi="Times New Roman"/>
          <w:color w:val="auto"/>
          <w:sz w:val="22"/>
        </w:rPr>
        <w:t xml:space="preserve">2, 14) = 2.80, </w:t>
      </w:r>
      <w:r>
        <w:rPr>
          <w:rFonts w:ascii="Times New Roman" w:hAnsi="Times New Roman"/>
          <w:i/>
          <w:color w:val="auto"/>
          <w:sz w:val="22"/>
        </w:rPr>
        <w:t>p</w:t>
      </w:r>
      <w:r>
        <w:rPr>
          <w:rFonts w:ascii="Times New Roman" w:hAnsi="Times New Roman"/>
          <w:i/>
          <w:color w:val="auto"/>
          <w:sz w:val="22"/>
          <w:vertAlign w:val="subscript"/>
        </w:rPr>
        <w:t xml:space="preserve"> </w:t>
      </w:r>
      <w:r>
        <w:rPr>
          <w:rFonts w:ascii="Times New Roman" w:hAnsi="Times New Roman"/>
          <w:color w:val="auto"/>
          <w:sz w:val="22"/>
        </w:rPr>
        <w:t>= .094, for the interaction].</w:t>
      </w:r>
      <w:r>
        <w:rPr>
          <w:rFonts w:ascii="Times New Roman" w:hAnsi="Times New Roman" w:cs="Times New Roman"/>
          <w:color w:val="auto"/>
          <w:sz w:val="22"/>
          <w:szCs w:val="22"/>
        </w:rPr>
        <w:t xml:space="preserve"> Thus, NSRs are characterized by spending comparable time during first- and second-pass reading and not showing sensitivity to topic structure.</w:t>
      </w:r>
    </w:p>
    <w:p w:rsidR="004D2580" w:rsidRDefault="0034511E">
      <w:pPr>
        <w:pStyle w:val="A0"/>
        <w:adjustRightInd w:val="0"/>
        <w:snapToGrid w:val="0"/>
        <w:spacing w:after="160" w:line="480" w:lineRule="auto"/>
        <w:rPr>
          <w:rFonts w:ascii="Times New Roman" w:hAnsi="Times New Roman" w:cs="Times New Roman"/>
          <w:i/>
          <w:iCs/>
          <w:color w:val="auto"/>
          <w:sz w:val="22"/>
          <w:szCs w:val="22"/>
        </w:rPr>
      </w:pPr>
      <w:r>
        <w:rPr>
          <w:rFonts w:ascii="Times New Roman" w:hAnsi="Times New Roman" w:cs="Times New Roman"/>
          <w:i/>
          <w:iCs/>
          <w:color w:val="auto"/>
          <w:sz w:val="22"/>
          <w:szCs w:val="22"/>
        </w:rPr>
        <w:t xml:space="preserve">3.2.4. </w:t>
      </w:r>
      <w:r>
        <w:rPr>
          <w:rFonts w:ascii="Times New Roman" w:eastAsia="SimSun" w:hAnsi="Times New Roman" w:cs="Times New Roman"/>
          <w:i/>
          <w:iCs/>
          <w:color w:val="auto"/>
          <w:sz w:val="22"/>
          <w:szCs w:val="22"/>
        </w:rPr>
        <w:t>S</w:t>
      </w:r>
      <w:r>
        <w:rPr>
          <w:rFonts w:ascii="Times New Roman" w:hAnsi="Times New Roman" w:cs="Times New Roman"/>
          <w:i/>
          <w:iCs/>
          <w:color w:val="auto"/>
          <w:sz w:val="22"/>
          <w:szCs w:val="22"/>
        </w:rPr>
        <w:t>ummar</w:t>
      </w:r>
      <w:r>
        <w:rPr>
          <w:rFonts w:ascii="Times New Roman" w:eastAsia="SimSun" w:hAnsi="Times New Roman" w:cs="Times New Roman"/>
          <w:i/>
          <w:iCs/>
          <w:color w:val="auto"/>
          <w:sz w:val="22"/>
          <w:szCs w:val="22"/>
        </w:rPr>
        <w:t>y scores of the reader groups</w:t>
      </w:r>
    </w:p>
    <w:p w:rsidR="004D2580" w:rsidRDefault="0034511E">
      <w:pPr>
        <w:pStyle w:val="A0"/>
        <w:adjustRightInd w:val="0"/>
        <w:snapToGrid w:val="0"/>
        <w:spacing w:after="160" w:line="480" w:lineRule="auto"/>
        <w:ind w:firstLineChars="200" w:firstLine="440"/>
        <w:rPr>
          <w:rFonts w:ascii="Times New Roman" w:hAnsi="Times New Roman" w:cs="Times New Roman"/>
          <w:b/>
          <w:color w:val="auto"/>
        </w:rPr>
      </w:pPr>
      <w:r>
        <w:rPr>
          <w:rFonts w:ascii="Times New Roman" w:hAnsi="Times New Roman" w:cs="Times New Roman"/>
          <w:color w:val="auto"/>
          <w:sz w:val="22"/>
          <w:szCs w:val="22"/>
        </w:rPr>
        <w:t xml:space="preserve">The summary scores </w:t>
      </w:r>
      <w:r>
        <w:rPr>
          <w:rFonts w:ascii="Times New Roman" w:eastAsia="SimSun" w:hAnsi="Times New Roman" w:cs="Times New Roman"/>
          <w:color w:val="auto"/>
          <w:sz w:val="22"/>
          <w:szCs w:val="22"/>
        </w:rPr>
        <w:t>a</w:t>
      </w:r>
      <w:r>
        <w:rPr>
          <w:rFonts w:ascii="Times New Roman" w:hAnsi="Times New Roman" w:cs="Times New Roman"/>
          <w:color w:val="auto"/>
          <w:sz w:val="22"/>
          <w:szCs w:val="22"/>
        </w:rPr>
        <w:t xml:space="preserve">re presented in </w:t>
      </w:r>
      <w:r>
        <w:rPr>
          <w:rFonts w:ascii="Times New Roman" w:eastAsia="SimSun" w:hAnsi="Times New Roman" w:cs="Times New Roman"/>
          <w:color w:val="auto"/>
          <w:sz w:val="22"/>
          <w:szCs w:val="22"/>
        </w:rPr>
        <w:t>Table 2</w:t>
      </w:r>
      <w:r>
        <w:rPr>
          <w:rFonts w:ascii="Times New Roman" w:eastAsia="SimSun" w:hAnsi="Times New Roman" w:cs="Times New Roman" w:hint="eastAsia"/>
          <w:color w:val="auto"/>
          <w:sz w:val="22"/>
          <w:szCs w:val="22"/>
        </w:rPr>
        <w:t xml:space="preserve">. </w:t>
      </w:r>
      <w:r>
        <w:rPr>
          <w:rFonts w:ascii="Times New Roman" w:eastAsia="SimSun" w:hAnsi="Times New Roman" w:cs="Times New Roman"/>
          <w:color w:val="auto"/>
          <w:sz w:val="22"/>
          <w:szCs w:val="22"/>
        </w:rPr>
        <w:t>There was a significant interacti</w:t>
      </w:r>
      <w:r>
        <w:rPr>
          <w:rFonts w:ascii="Times New Roman" w:eastAsia="SimSun" w:hAnsi="Times New Roman" w:cs="Times New Roman" w:hint="eastAsia"/>
          <w:color w:val="auto"/>
          <w:sz w:val="22"/>
          <w:szCs w:val="22"/>
        </w:rPr>
        <w:t>o</w:t>
      </w:r>
      <w:r>
        <w:rPr>
          <w:rFonts w:ascii="Times New Roman" w:eastAsia="SimSun" w:hAnsi="Times New Roman" w:cs="Times New Roman"/>
          <w:color w:val="auto"/>
          <w:sz w:val="22"/>
          <w:szCs w:val="22"/>
        </w:rPr>
        <w:t xml:space="preserve">n between </w:t>
      </w:r>
      <w:r>
        <w:rPr>
          <w:rFonts w:ascii="Times New Roman" w:hAnsi="Times New Roman" w:cs="Times New Roman"/>
          <w:color w:val="auto"/>
          <w:sz w:val="22"/>
          <w:szCs w:val="22"/>
        </w:rPr>
        <w:t xml:space="preserve">Signaling and Reader Group, </w:t>
      </w:r>
      <w:proofErr w:type="gramStart"/>
      <w:r>
        <w:rPr>
          <w:rFonts w:ascii="Times New Roman" w:hAnsi="Times New Roman" w:cs="Times New Roman"/>
          <w:i/>
          <w:iCs/>
          <w:color w:val="auto"/>
          <w:sz w:val="22"/>
          <w:szCs w:val="22"/>
        </w:rPr>
        <w:t>F</w:t>
      </w:r>
      <w:r>
        <w:rPr>
          <w:rFonts w:ascii="Times New Roman" w:hAnsi="Times New Roman" w:cs="Times New Roman"/>
          <w:color w:val="auto"/>
          <w:sz w:val="22"/>
          <w:szCs w:val="22"/>
        </w:rPr>
        <w:t>(</w:t>
      </w:r>
      <w:proofErr w:type="gramEnd"/>
      <w:r>
        <w:rPr>
          <w:rFonts w:ascii="Times New Roman" w:hAnsi="Times New Roman" w:cs="Times New Roman"/>
          <w:color w:val="auto"/>
          <w:sz w:val="22"/>
          <w:szCs w:val="22"/>
        </w:rPr>
        <w:t xml:space="preserve">3, 82) = 4.09,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 xml:space="preserve">= .009, </w:t>
      </w:r>
      <w:r>
        <w:rPr>
          <w:rFonts w:ascii="Times New Roman" w:hAnsi="Times New Roman" w:cs="Times New Roman"/>
          <w:i/>
          <w:iCs/>
          <w:color w:val="auto"/>
          <w:sz w:val="22"/>
          <w:szCs w:val="22"/>
        </w:rPr>
        <w:t>η</w:t>
      </w:r>
      <w:r>
        <w:rPr>
          <w:rFonts w:ascii="Times New Roman" w:eastAsia="SimSun" w:hAnsi="Times New Roman" w:cs="Times New Roman"/>
          <w:i/>
          <w:iCs/>
          <w:color w:val="auto"/>
          <w:sz w:val="22"/>
          <w:szCs w:val="22"/>
          <w:vertAlign w:val="subscript"/>
        </w:rPr>
        <w:t>p</w:t>
      </w:r>
      <w:r>
        <w:rPr>
          <w:rFonts w:ascii="Times New Roman" w:hAnsi="Times New Roman" w:cs="Times New Roman"/>
          <w:i/>
          <w:iCs/>
          <w:color w:val="auto"/>
          <w:sz w:val="22"/>
          <w:szCs w:val="22"/>
          <w:vertAlign w:val="superscript"/>
        </w:rPr>
        <w:t xml:space="preserve">2 </w:t>
      </w:r>
      <w:r>
        <w:rPr>
          <w:rFonts w:ascii="Times New Roman" w:hAnsi="Times New Roman" w:cs="Times New Roman"/>
          <w:color w:val="auto"/>
          <w:sz w:val="22"/>
          <w:szCs w:val="22"/>
        </w:rPr>
        <w:t xml:space="preserve">= .13. The </w:t>
      </w:r>
      <w:r>
        <w:rPr>
          <w:rFonts w:ascii="Times New Roman" w:eastAsia="SimSun" w:hAnsi="Times New Roman" w:cs="Times New Roman"/>
          <w:color w:val="auto"/>
          <w:sz w:val="22"/>
          <w:szCs w:val="22"/>
        </w:rPr>
        <w:t>s</w:t>
      </w:r>
      <w:r>
        <w:rPr>
          <w:rFonts w:ascii="Times New Roman" w:hAnsi="Times New Roman" w:cs="Times New Roman"/>
          <w:color w:val="auto"/>
          <w:sz w:val="22"/>
          <w:szCs w:val="22"/>
        </w:rPr>
        <w:t>imple effect analysis</w:t>
      </w:r>
      <w:r>
        <w:rPr>
          <w:rFonts w:ascii="Times New Roman" w:eastAsia="SimSun" w:hAnsi="Times New Roman" w:cs="Times New Roman"/>
          <w:color w:val="auto"/>
          <w:sz w:val="22"/>
          <w:szCs w:val="22"/>
        </w:rPr>
        <w:t xml:space="preserve"> </w:t>
      </w:r>
      <w:r>
        <w:rPr>
          <w:rFonts w:ascii="Times New Roman" w:hAnsi="Times New Roman" w:cs="Times New Roman"/>
          <w:color w:val="auto"/>
          <w:sz w:val="22"/>
          <w:szCs w:val="22"/>
        </w:rPr>
        <w:t>showed no effect of Signaling for TSPs and NSRs</w:t>
      </w:r>
      <w:r>
        <w:rPr>
          <w:rFonts w:ascii="Times New Roman" w:hAnsi="Times New Roman" w:cs="Times New Roman" w:hint="eastAsia"/>
          <w:color w:val="auto"/>
          <w:sz w:val="22"/>
          <w:szCs w:val="22"/>
        </w:rPr>
        <w:t xml:space="preserve">, </w:t>
      </w:r>
      <w:r>
        <w:rPr>
          <w:rFonts w:ascii="Times New Roman" w:hAnsi="Times New Roman" w:cs="Times New Roman"/>
          <w:i/>
          <w:iCs/>
          <w:color w:val="auto"/>
          <w:sz w:val="22"/>
          <w:szCs w:val="22"/>
        </w:rPr>
        <w:t>F</w:t>
      </w:r>
      <w:r>
        <w:rPr>
          <w:rFonts w:ascii="Times New Roman" w:hAnsi="Times New Roman" w:cs="Times New Roman"/>
          <w:iCs/>
          <w:color w:val="auto"/>
          <w:sz w:val="22"/>
          <w:szCs w:val="22"/>
        </w:rPr>
        <w:t>s&lt;1</w:t>
      </w:r>
      <w:r>
        <w:rPr>
          <w:rFonts w:ascii="Times New Roman" w:hAnsi="Times New Roman" w:cs="Times New Roman"/>
          <w:color w:val="auto"/>
          <w:sz w:val="22"/>
          <w:szCs w:val="22"/>
        </w:rPr>
        <w:t>, whereas the effect was significant for FLRs [</w:t>
      </w:r>
      <w:proofErr w:type="gramStart"/>
      <w:r>
        <w:rPr>
          <w:rFonts w:ascii="Times New Roman" w:hAnsi="Times New Roman" w:cs="Times New Roman"/>
          <w:i/>
          <w:iCs/>
          <w:color w:val="auto"/>
          <w:sz w:val="22"/>
          <w:szCs w:val="22"/>
        </w:rPr>
        <w:t>F</w:t>
      </w:r>
      <w:r>
        <w:rPr>
          <w:rFonts w:ascii="Times New Roman" w:hAnsi="Times New Roman" w:cs="Times New Roman"/>
          <w:color w:val="auto"/>
          <w:sz w:val="22"/>
          <w:szCs w:val="22"/>
        </w:rPr>
        <w:t>(</w:t>
      </w:r>
      <w:proofErr w:type="gramEnd"/>
      <w:r>
        <w:rPr>
          <w:rFonts w:ascii="Times New Roman" w:hAnsi="Times New Roman" w:cs="Times New Roman"/>
          <w:color w:val="auto"/>
          <w:sz w:val="22"/>
          <w:szCs w:val="22"/>
        </w:rPr>
        <w:t>1, 8</w:t>
      </w:r>
      <w:r>
        <w:rPr>
          <w:rFonts w:ascii="Times New Roman" w:eastAsia="SimSun" w:hAnsi="Times New Roman" w:cs="Times New Roman"/>
          <w:color w:val="auto"/>
          <w:sz w:val="22"/>
          <w:szCs w:val="22"/>
        </w:rPr>
        <w:t>2</w:t>
      </w:r>
      <w:r>
        <w:rPr>
          <w:rFonts w:ascii="Times New Roman" w:hAnsi="Times New Roman" w:cs="Times New Roman"/>
          <w:color w:val="auto"/>
          <w:sz w:val="22"/>
          <w:szCs w:val="22"/>
        </w:rPr>
        <w:t xml:space="preserve">) = </w:t>
      </w:r>
      <w:r>
        <w:rPr>
          <w:rFonts w:ascii="Times New Roman" w:eastAsia="SimSun" w:hAnsi="Times New Roman" w:cs="Times New Roman"/>
          <w:color w:val="auto"/>
          <w:sz w:val="22"/>
          <w:szCs w:val="22"/>
        </w:rPr>
        <w:t>10</w:t>
      </w:r>
      <w:r>
        <w:rPr>
          <w:rFonts w:ascii="Times New Roman" w:hAnsi="Times New Roman" w:cs="Times New Roman"/>
          <w:color w:val="auto"/>
          <w:sz w:val="22"/>
          <w:szCs w:val="22"/>
        </w:rPr>
        <w:t>.</w:t>
      </w:r>
      <w:r>
        <w:rPr>
          <w:rFonts w:ascii="Times New Roman" w:eastAsia="SimSun" w:hAnsi="Times New Roman" w:cs="Times New Roman"/>
          <w:color w:val="auto"/>
          <w:sz w:val="22"/>
          <w:szCs w:val="22"/>
        </w:rPr>
        <w:t>61</w:t>
      </w:r>
      <w:r>
        <w:rPr>
          <w:rFonts w:ascii="Times New Roman" w:hAnsi="Times New Roman" w:cs="Times New Roman"/>
          <w:color w:val="auto"/>
          <w:sz w:val="22"/>
          <w:szCs w:val="22"/>
        </w:rPr>
        <w:t xml:space="preserve">,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 .002,</w:t>
      </w:r>
      <w:r>
        <w:rPr>
          <w:rFonts w:ascii="Times New Roman" w:hAnsi="Times New Roman" w:cs="Times New Roman"/>
          <w:i/>
          <w:iCs/>
          <w:color w:val="auto"/>
          <w:sz w:val="22"/>
          <w:szCs w:val="22"/>
        </w:rPr>
        <w:t xml:space="preserve"> η</w:t>
      </w:r>
      <w:r>
        <w:rPr>
          <w:rFonts w:ascii="Times New Roman" w:eastAsia="SimSun" w:hAnsi="Times New Roman" w:cs="Times New Roman"/>
          <w:i/>
          <w:iCs/>
          <w:color w:val="auto"/>
          <w:sz w:val="22"/>
          <w:szCs w:val="22"/>
          <w:vertAlign w:val="subscript"/>
        </w:rPr>
        <w:t>p</w:t>
      </w:r>
      <w:r>
        <w:rPr>
          <w:rFonts w:ascii="Times New Roman" w:hAnsi="Times New Roman" w:cs="Times New Roman"/>
          <w:i/>
          <w:iCs/>
          <w:color w:val="auto"/>
          <w:sz w:val="22"/>
          <w:szCs w:val="22"/>
          <w:vertAlign w:val="superscript"/>
        </w:rPr>
        <w:t xml:space="preserve">2 </w:t>
      </w:r>
      <w:r>
        <w:rPr>
          <w:rFonts w:ascii="Times New Roman" w:hAnsi="Times New Roman" w:cs="Times New Roman"/>
          <w:color w:val="auto"/>
          <w:sz w:val="22"/>
          <w:szCs w:val="22"/>
        </w:rPr>
        <w:t>= .</w:t>
      </w:r>
      <w:r>
        <w:rPr>
          <w:rFonts w:ascii="Times New Roman" w:eastAsia="SimSun" w:hAnsi="Times New Roman" w:cs="Times New Roman"/>
          <w:color w:val="auto"/>
          <w:sz w:val="22"/>
          <w:szCs w:val="22"/>
        </w:rPr>
        <w:t xml:space="preserve">12] </w:t>
      </w:r>
      <w:r>
        <w:rPr>
          <w:rFonts w:ascii="Times New Roman" w:hAnsi="Times New Roman" w:cs="Times New Roman"/>
          <w:color w:val="auto"/>
          <w:sz w:val="22"/>
          <w:szCs w:val="22"/>
        </w:rPr>
        <w:t>and SLRs</w:t>
      </w:r>
      <w:r>
        <w:rPr>
          <w:rFonts w:ascii="Times New Roman" w:hAnsi="Times New Roman" w:cs="Times New Roman"/>
          <w:i/>
          <w:iCs/>
          <w:color w:val="auto"/>
          <w:sz w:val="22"/>
          <w:szCs w:val="22"/>
        </w:rPr>
        <w:t xml:space="preserve"> </w:t>
      </w:r>
      <w:r>
        <w:rPr>
          <w:rFonts w:ascii="Times New Roman" w:hAnsi="Times New Roman" w:cs="Times New Roman"/>
          <w:iCs/>
          <w:color w:val="auto"/>
          <w:sz w:val="22"/>
          <w:szCs w:val="22"/>
        </w:rPr>
        <w:t>[</w:t>
      </w:r>
      <w:r>
        <w:rPr>
          <w:rFonts w:ascii="Times New Roman" w:hAnsi="Times New Roman" w:cs="Times New Roman"/>
          <w:i/>
          <w:iCs/>
          <w:color w:val="auto"/>
          <w:sz w:val="22"/>
          <w:szCs w:val="22"/>
        </w:rPr>
        <w:t>F</w:t>
      </w:r>
      <w:r>
        <w:rPr>
          <w:rFonts w:ascii="Times New Roman" w:hAnsi="Times New Roman" w:cs="Times New Roman"/>
          <w:color w:val="auto"/>
          <w:sz w:val="22"/>
          <w:szCs w:val="22"/>
        </w:rPr>
        <w:t>(1, 8</w:t>
      </w:r>
      <w:r>
        <w:rPr>
          <w:rFonts w:ascii="Times New Roman" w:eastAsia="SimSun" w:hAnsi="Times New Roman" w:cs="Times New Roman"/>
          <w:color w:val="auto"/>
          <w:sz w:val="22"/>
          <w:szCs w:val="22"/>
        </w:rPr>
        <w:t>2</w:t>
      </w:r>
      <w:r>
        <w:rPr>
          <w:rFonts w:ascii="Times New Roman" w:hAnsi="Times New Roman" w:cs="Times New Roman"/>
          <w:color w:val="auto"/>
          <w:sz w:val="22"/>
          <w:szCs w:val="22"/>
        </w:rPr>
        <w:t xml:space="preserve">) = </w:t>
      </w:r>
      <w:r>
        <w:rPr>
          <w:rFonts w:ascii="Times New Roman" w:eastAsia="SimSun" w:hAnsi="Times New Roman" w:cs="Times New Roman"/>
          <w:color w:val="auto"/>
          <w:sz w:val="22"/>
          <w:szCs w:val="22"/>
        </w:rPr>
        <w:t>13</w:t>
      </w:r>
      <w:r>
        <w:rPr>
          <w:rFonts w:ascii="Times New Roman" w:hAnsi="Times New Roman" w:cs="Times New Roman"/>
          <w:color w:val="auto"/>
          <w:sz w:val="22"/>
          <w:szCs w:val="22"/>
        </w:rPr>
        <w:t>.</w:t>
      </w:r>
      <w:r>
        <w:rPr>
          <w:rFonts w:ascii="Times New Roman" w:eastAsia="SimSun" w:hAnsi="Times New Roman" w:cs="Times New Roman"/>
          <w:color w:val="auto"/>
          <w:sz w:val="22"/>
          <w:szCs w:val="22"/>
        </w:rPr>
        <w:t>6</w:t>
      </w:r>
      <w:r>
        <w:rPr>
          <w:rFonts w:ascii="Times New Roman" w:hAnsi="Times New Roman" w:cs="Times New Roman"/>
          <w:color w:val="auto"/>
          <w:sz w:val="22"/>
          <w:szCs w:val="22"/>
        </w:rPr>
        <w:t>2,</w:t>
      </w:r>
      <w:r>
        <w:rPr>
          <w:rFonts w:ascii="Times New Roman" w:eastAsia="SimSun" w:hAnsi="Times New Roman" w:cs="Times New Roman"/>
          <w:color w:val="auto"/>
          <w:sz w:val="22"/>
          <w:szCs w:val="22"/>
        </w:rPr>
        <w:t xml:space="preserve">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&lt; .0</w:t>
      </w:r>
      <w:r>
        <w:rPr>
          <w:rFonts w:ascii="Times New Roman" w:eastAsia="SimSun" w:hAnsi="Times New Roman" w:cs="Times New Roman"/>
          <w:color w:val="auto"/>
          <w:sz w:val="22"/>
          <w:szCs w:val="22"/>
        </w:rPr>
        <w:t xml:space="preserve">01, </w:t>
      </w:r>
      <w:r>
        <w:rPr>
          <w:rFonts w:ascii="Times New Roman" w:hAnsi="Times New Roman" w:cs="Times New Roman"/>
          <w:i/>
          <w:iCs/>
          <w:color w:val="auto"/>
          <w:sz w:val="22"/>
          <w:szCs w:val="22"/>
        </w:rPr>
        <w:t>η</w:t>
      </w:r>
      <w:r>
        <w:rPr>
          <w:rFonts w:ascii="Times New Roman" w:eastAsia="SimSun" w:hAnsi="Times New Roman" w:cs="Times New Roman"/>
          <w:i/>
          <w:iCs/>
          <w:color w:val="auto"/>
          <w:sz w:val="22"/>
          <w:szCs w:val="22"/>
          <w:vertAlign w:val="subscript"/>
        </w:rPr>
        <w:t>p</w:t>
      </w:r>
      <w:r>
        <w:rPr>
          <w:rFonts w:ascii="Times New Roman" w:hAnsi="Times New Roman" w:cs="Times New Roman"/>
          <w:i/>
          <w:iCs/>
          <w:color w:val="auto"/>
          <w:sz w:val="22"/>
          <w:szCs w:val="22"/>
          <w:vertAlign w:val="superscript"/>
        </w:rPr>
        <w:t xml:space="preserve">2 </w:t>
      </w:r>
      <w:r>
        <w:rPr>
          <w:rFonts w:ascii="Times New Roman" w:hAnsi="Times New Roman" w:cs="Times New Roman"/>
          <w:color w:val="auto"/>
          <w:sz w:val="22"/>
          <w:szCs w:val="22"/>
        </w:rPr>
        <w:t>= .</w:t>
      </w:r>
      <w:r>
        <w:rPr>
          <w:rFonts w:ascii="Times New Roman" w:eastAsia="SimSun" w:hAnsi="Times New Roman" w:cs="Times New Roman"/>
          <w:color w:val="auto"/>
          <w:sz w:val="22"/>
          <w:szCs w:val="22"/>
        </w:rPr>
        <w:t>14]</w:t>
      </w:r>
      <w:r>
        <w:rPr>
          <w:rFonts w:ascii="Times New Roman" w:hAnsi="Times New Roman" w:cs="Times New Roman"/>
          <w:color w:val="auto"/>
          <w:sz w:val="22"/>
          <w:szCs w:val="22"/>
        </w:rPr>
        <w:t xml:space="preserve">, who obtained higher </w:t>
      </w:r>
      <w:r>
        <w:rPr>
          <w:rFonts w:ascii="Times New Roman" w:eastAsia="SimSun" w:hAnsi="Times New Roman" w:cs="Times New Roman"/>
          <w:color w:val="auto"/>
          <w:sz w:val="22"/>
          <w:szCs w:val="22"/>
        </w:rPr>
        <w:t xml:space="preserve">summary </w:t>
      </w:r>
      <w:r>
        <w:rPr>
          <w:rFonts w:ascii="Times New Roman" w:hAnsi="Times New Roman" w:cs="Times New Roman"/>
          <w:color w:val="auto"/>
          <w:sz w:val="22"/>
          <w:szCs w:val="22"/>
        </w:rPr>
        <w:t>scores in the signaling condition than in the no signaling condition</w:t>
      </w:r>
      <w:r>
        <w:rPr>
          <w:rFonts w:ascii="Times New Roman" w:eastAsia="SimSun" w:hAnsi="Times New Roman" w:cs="Times New Roman"/>
          <w:color w:val="auto"/>
          <w:sz w:val="22"/>
          <w:szCs w:val="22"/>
        </w:rPr>
        <w:t>. The nature of the interaction was further analyzed by computing an ANOVA separately</w:t>
      </w:r>
      <w:r>
        <w:rPr>
          <w:rFonts w:ascii="Times New Roman" w:hAnsi="Times New Roman" w:cs="Times New Roman"/>
          <w:color w:val="auto"/>
          <w:sz w:val="22"/>
          <w:szCs w:val="22"/>
        </w:rPr>
        <w:t xml:space="preserve"> for the signaling and no signaling conditions. For the signaling condition, the </w:t>
      </w:r>
      <w:r>
        <w:rPr>
          <w:rFonts w:ascii="Times New Roman" w:eastAsia="SimSun" w:hAnsi="Times New Roman" w:cs="Times New Roman"/>
          <w:color w:val="auto"/>
          <w:sz w:val="22"/>
          <w:szCs w:val="22"/>
        </w:rPr>
        <w:t>summary</w:t>
      </w:r>
      <w:r>
        <w:rPr>
          <w:rFonts w:ascii="Times New Roman" w:hAnsi="Times New Roman" w:cs="Times New Roman"/>
          <w:color w:val="auto"/>
          <w:sz w:val="22"/>
          <w:szCs w:val="22"/>
        </w:rPr>
        <w:t xml:space="preserve"> scores differed across the four reader groups, </w:t>
      </w:r>
      <w:proofErr w:type="gramStart"/>
      <w:r>
        <w:rPr>
          <w:rFonts w:ascii="Times New Roman" w:hAnsi="Times New Roman" w:cs="Times New Roman"/>
          <w:i/>
          <w:iCs/>
          <w:color w:val="auto"/>
          <w:sz w:val="22"/>
          <w:szCs w:val="22"/>
        </w:rPr>
        <w:t>F</w:t>
      </w:r>
      <w:r>
        <w:rPr>
          <w:rFonts w:ascii="Times New Roman" w:hAnsi="Times New Roman" w:cs="Times New Roman"/>
          <w:color w:val="auto"/>
          <w:sz w:val="22"/>
          <w:szCs w:val="22"/>
        </w:rPr>
        <w:t>(</w:t>
      </w:r>
      <w:proofErr w:type="gramEnd"/>
      <w:r>
        <w:rPr>
          <w:rFonts w:ascii="Times New Roman" w:hAnsi="Times New Roman" w:cs="Times New Roman"/>
          <w:color w:val="auto"/>
          <w:sz w:val="22"/>
          <w:szCs w:val="22"/>
        </w:rPr>
        <w:t xml:space="preserve">3, </w:t>
      </w:r>
      <w:r>
        <w:rPr>
          <w:rFonts w:ascii="Times New Roman" w:eastAsia="SimSun" w:hAnsi="Times New Roman" w:cs="Times New Roman"/>
          <w:color w:val="auto"/>
          <w:sz w:val="22"/>
          <w:szCs w:val="22"/>
        </w:rPr>
        <w:t>82</w:t>
      </w:r>
      <w:r>
        <w:rPr>
          <w:rFonts w:ascii="Times New Roman" w:hAnsi="Times New Roman" w:cs="Times New Roman"/>
          <w:color w:val="auto"/>
          <w:sz w:val="22"/>
          <w:szCs w:val="22"/>
        </w:rPr>
        <w:t xml:space="preserve">) = </w:t>
      </w:r>
      <w:r>
        <w:rPr>
          <w:rFonts w:ascii="Times New Roman" w:eastAsia="SimSun" w:hAnsi="Times New Roman" w:cs="Times New Roman"/>
          <w:color w:val="auto"/>
          <w:sz w:val="22"/>
          <w:szCs w:val="22"/>
        </w:rPr>
        <w:t>9.54</w:t>
      </w:r>
      <w:r>
        <w:rPr>
          <w:rFonts w:ascii="Times New Roman" w:hAnsi="Times New Roman" w:cs="Times New Roman"/>
          <w:color w:val="auto"/>
          <w:sz w:val="22"/>
          <w:szCs w:val="22"/>
        </w:rPr>
        <w:t xml:space="preserve">,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&lt; .001</w:t>
      </w:r>
      <w:r>
        <w:rPr>
          <w:rFonts w:ascii="Times New Roman" w:eastAsia="SimSun" w:hAnsi="Times New Roman" w:cs="Times New Roman"/>
          <w:color w:val="auto"/>
          <w:sz w:val="22"/>
          <w:szCs w:val="22"/>
        </w:rPr>
        <w:t xml:space="preserve">, </w:t>
      </w:r>
      <w:r>
        <w:rPr>
          <w:rFonts w:ascii="Times New Roman" w:hAnsi="Times New Roman" w:cs="Times New Roman"/>
          <w:i/>
          <w:iCs/>
          <w:color w:val="auto"/>
          <w:sz w:val="22"/>
          <w:szCs w:val="22"/>
        </w:rPr>
        <w:t>η</w:t>
      </w:r>
      <w:r>
        <w:rPr>
          <w:rFonts w:ascii="Times New Roman" w:eastAsia="SimSun" w:hAnsi="Times New Roman" w:cs="Times New Roman"/>
          <w:i/>
          <w:iCs/>
          <w:color w:val="auto"/>
          <w:sz w:val="22"/>
          <w:szCs w:val="22"/>
          <w:vertAlign w:val="subscript"/>
        </w:rPr>
        <w:t>p</w:t>
      </w:r>
      <w:r>
        <w:rPr>
          <w:rFonts w:ascii="Times New Roman" w:hAnsi="Times New Roman" w:cs="Times New Roman"/>
          <w:i/>
          <w:iCs/>
          <w:color w:val="auto"/>
          <w:sz w:val="22"/>
          <w:szCs w:val="22"/>
          <w:vertAlign w:val="superscript"/>
        </w:rPr>
        <w:t xml:space="preserve">2 </w:t>
      </w:r>
      <w:r>
        <w:rPr>
          <w:rFonts w:ascii="Times New Roman" w:hAnsi="Times New Roman" w:cs="Times New Roman"/>
          <w:color w:val="auto"/>
          <w:sz w:val="22"/>
          <w:szCs w:val="22"/>
        </w:rPr>
        <w:t>= .</w:t>
      </w:r>
      <w:r>
        <w:rPr>
          <w:rFonts w:ascii="Times New Roman" w:eastAsia="SimSun" w:hAnsi="Times New Roman" w:cs="Times New Roman"/>
          <w:color w:val="auto"/>
          <w:sz w:val="22"/>
          <w:szCs w:val="22"/>
        </w:rPr>
        <w:t>26, showing that TSP</w:t>
      </w:r>
      <w:r>
        <w:rPr>
          <w:rFonts w:ascii="Times New Roman" w:hAnsi="Times New Roman" w:cs="Times New Roman"/>
          <w:color w:val="auto"/>
          <w:sz w:val="22"/>
          <w:szCs w:val="22"/>
        </w:rPr>
        <w:t xml:space="preserve">s and SLRs </w:t>
      </w:r>
      <w:r>
        <w:rPr>
          <w:rFonts w:ascii="Times New Roman" w:eastAsia="SimSun" w:hAnsi="Times New Roman" w:cs="Times New Roman"/>
          <w:color w:val="auto"/>
          <w:sz w:val="22"/>
          <w:szCs w:val="22"/>
        </w:rPr>
        <w:t>obtained</w:t>
      </w:r>
      <w:r>
        <w:rPr>
          <w:rFonts w:ascii="Times New Roman" w:hAnsi="Times New Roman" w:cs="Times New Roman"/>
          <w:color w:val="auto"/>
          <w:sz w:val="22"/>
          <w:szCs w:val="22"/>
        </w:rPr>
        <w:t xml:space="preserve"> higher </w:t>
      </w:r>
      <w:r>
        <w:rPr>
          <w:rFonts w:ascii="Times New Roman" w:eastAsia="SimSun" w:hAnsi="Times New Roman" w:cs="Times New Roman"/>
          <w:color w:val="auto"/>
          <w:sz w:val="22"/>
          <w:szCs w:val="22"/>
        </w:rPr>
        <w:t xml:space="preserve">summary scores </w:t>
      </w:r>
      <w:r>
        <w:rPr>
          <w:rFonts w:ascii="Times New Roman" w:hAnsi="Times New Roman" w:cs="Times New Roman"/>
          <w:color w:val="auto"/>
          <w:sz w:val="22"/>
          <w:szCs w:val="22"/>
        </w:rPr>
        <w:t>than FLRs and NSRs</w:t>
      </w:r>
      <w:r>
        <w:rPr>
          <w:rFonts w:ascii="Times New Roman" w:eastAsia="SimSun" w:hAnsi="Times New Roman" w:cs="Times New Roman"/>
          <w:color w:val="auto"/>
          <w:sz w:val="22"/>
          <w:szCs w:val="22"/>
        </w:rPr>
        <w:t xml:space="preserve"> (</w:t>
      </w:r>
      <w:proofErr w:type="spellStart"/>
      <w:r>
        <w:rPr>
          <w:rFonts w:ascii="Times New Roman" w:eastAsia="SimSun" w:hAnsi="Times New Roman" w:cs="Times New Roman"/>
          <w:i/>
          <w:color w:val="auto"/>
          <w:sz w:val="22"/>
          <w:szCs w:val="22"/>
        </w:rPr>
        <w:t>ps</w:t>
      </w:r>
      <w:proofErr w:type="spellEnd"/>
      <w:r>
        <w:rPr>
          <w:rFonts w:ascii="Times New Roman" w:eastAsia="SimSun" w:hAnsi="Times New Roman" w:cs="Times New Roman"/>
          <w:i/>
          <w:color w:val="auto"/>
          <w:sz w:val="22"/>
          <w:szCs w:val="22"/>
        </w:rPr>
        <w:t xml:space="preserve"> </w:t>
      </w:r>
      <w:r>
        <w:rPr>
          <w:rFonts w:ascii="Times New Roman" w:eastAsia="SimSun" w:hAnsi="Times New Roman" w:cs="Times New Roman"/>
          <w:color w:val="auto"/>
          <w:sz w:val="22"/>
          <w:szCs w:val="22"/>
        </w:rPr>
        <w:t>&lt; .001)</w:t>
      </w:r>
      <w:r>
        <w:rPr>
          <w:rFonts w:ascii="Times New Roman" w:hAnsi="Times New Roman" w:cs="Times New Roman"/>
          <w:color w:val="auto"/>
          <w:sz w:val="22"/>
          <w:szCs w:val="22"/>
        </w:rPr>
        <w:t xml:space="preserve">. For the no signaling condition, the </w:t>
      </w:r>
      <w:r>
        <w:rPr>
          <w:rFonts w:ascii="Times New Roman" w:eastAsia="SimSun" w:hAnsi="Times New Roman" w:cs="Times New Roman"/>
          <w:color w:val="auto"/>
          <w:sz w:val="22"/>
          <w:szCs w:val="22"/>
        </w:rPr>
        <w:t>summary</w:t>
      </w:r>
      <w:r>
        <w:rPr>
          <w:rFonts w:ascii="Times New Roman" w:hAnsi="Times New Roman" w:cs="Times New Roman"/>
          <w:color w:val="auto"/>
          <w:sz w:val="22"/>
          <w:szCs w:val="22"/>
        </w:rPr>
        <w:t xml:space="preserve"> scores also differed across the four reader groups, </w:t>
      </w:r>
      <w:proofErr w:type="gramStart"/>
      <w:r>
        <w:rPr>
          <w:rFonts w:ascii="Times New Roman" w:hAnsi="Times New Roman" w:cs="Times New Roman"/>
          <w:i/>
          <w:iCs/>
          <w:color w:val="auto"/>
          <w:sz w:val="22"/>
          <w:szCs w:val="22"/>
        </w:rPr>
        <w:t>F</w:t>
      </w:r>
      <w:r>
        <w:rPr>
          <w:rFonts w:ascii="Times New Roman" w:hAnsi="Times New Roman" w:cs="Times New Roman"/>
          <w:color w:val="auto"/>
          <w:sz w:val="22"/>
          <w:szCs w:val="22"/>
        </w:rPr>
        <w:t>(</w:t>
      </w:r>
      <w:proofErr w:type="gramEnd"/>
      <w:r>
        <w:rPr>
          <w:rFonts w:ascii="Times New Roman" w:hAnsi="Times New Roman" w:cs="Times New Roman"/>
          <w:color w:val="auto"/>
          <w:sz w:val="22"/>
          <w:szCs w:val="22"/>
        </w:rPr>
        <w:t xml:space="preserve">3, </w:t>
      </w:r>
      <w:r>
        <w:rPr>
          <w:rFonts w:ascii="Times New Roman" w:eastAsia="SimSun" w:hAnsi="Times New Roman" w:cs="Times New Roman"/>
          <w:color w:val="auto"/>
          <w:sz w:val="22"/>
          <w:szCs w:val="22"/>
        </w:rPr>
        <w:t>82</w:t>
      </w:r>
      <w:r>
        <w:rPr>
          <w:rFonts w:ascii="Times New Roman" w:hAnsi="Times New Roman" w:cs="Times New Roman"/>
          <w:color w:val="auto"/>
          <w:sz w:val="22"/>
          <w:szCs w:val="22"/>
        </w:rPr>
        <w:t xml:space="preserve">) = </w:t>
      </w:r>
      <w:r>
        <w:rPr>
          <w:rFonts w:ascii="Times New Roman" w:eastAsia="SimSun" w:hAnsi="Times New Roman" w:cs="Times New Roman"/>
          <w:color w:val="auto"/>
          <w:sz w:val="22"/>
          <w:szCs w:val="22"/>
        </w:rPr>
        <w:t>17</w:t>
      </w:r>
      <w:r>
        <w:rPr>
          <w:rFonts w:ascii="Times New Roman" w:hAnsi="Times New Roman" w:cs="Times New Roman"/>
          <w:color w:val="auto"/>
          <w:sz w:val="22"/>
          <w:szCs w:val="22"/>
        </w:rPr>
        <w:t>.</w:t>
      </w:r>
      <w:r>
        <w:rPr>
          <w:rFonts w:ascii="Times New Roman" w:eastAsia="SimSun" w:hAnsi="Times New Roman" w:cs="Times New Roman"/>
          <w:color w:val="auto"/>
          <w:sz w:val="22"/>
          <w:szCs w:val="22"/>
        </w:rPr>
        <w:t>43</w:t>
      </w:r>
      <w:r>
        <w:rPr>
          <w:rFonts w:ascii="Times New Roman" w:hAnsi="Times New Roman" w:cs="Times New Roman"/>
          <w:color w:val="auto"/>
          <w:sz w:val="22"/>
          <w:szCs w:val="22"/>
        </w:rPr>
        <w:t xml:space="preserve">, </w:t>
      </w:r>
      <w:r>
        <w:rPr>
          <w:rFonts w:ascii="Times New Roman" w:hAnsi="Times New Roman" w:cs="Times New Roman"/>
          <w:i/>
          <w:iCs/>
          <w:color w:val="auto"/>
          <w:sz w:val="22"/>
          <w:szCs w:val="22"/>
        </w:rPr>
        <w:t xml:space="preserve">p </w:t>
      </w:r>
      <w:r>
        <w:rPr>
          <w:rFonts w:ascii="Times New Roman" w:hAnsi="Times New Roman" w:cs="Times New Roman"/>
          <w:color w:val="auto"/>
          <w:sz w:val="22"/>
          <w:szCs w:val="22"/>
        </w:rPr>
        <w:t>&lt; .001</w:t>
      </w:r>
      <w:r>
        <w:rPr>
          <w:rFonts w:ascii="Times New Roman" w:eastAsia="SimSun" w:hAnsi="Times New Roman" w:cs="Times New Roman"/>
          <w:color w:val="auto"/>
          <w:sz w:val="22"/>
          <w:szCs w:val="22"/>
        </w:rPr>
        <w:t xml:space="preserve">, </w:t>
      </w:r>
      <w:r>
        <w:rPr>
          <w:rFonts w:ascii="Times New Roman" w:hAnsi="Times New Roman" w:cs="Times New Roman"/>
          <w:i/>
          <w:iCs/>
          <w:color w:val="auto"/>
          <w:sz w:val="22"/>
          <w:szCs w:val="22"/>
        </w:rPr>
        <w:t>η</w:t>
      </w:r>
      <w:r>
        <w:rPr>
          <w:rFonts w:ascii="Times New Roman" w:eastAsia="SimSun" w:hAnsi="Times New Roman" w:cs="Times New Roman"/>
          <w:i/>
          <w:iCs/>
          <w:color w:val="auto"/>
          <w:sz w:val="22"/>
          <w:szCs w:val="22"/>
          <w:vertAlign w:val="subscript"/>
        </w:rPr>
        <w:t>p</w:t>
      </w:r>
      <w:r>
        <w:rPr>
          <w:rFonts w:ascii="Times New Roman" w:hAnsi="Times New Roman" w:cs="Times New Roman"/>
          <w:i/>
          <w:iCs/>
          <w:color w:val="auto"/>
          <w:sz w:val="22"/>
          <w:szCs w:val="22"/>
          <w:vertAlign w:val="superscript"/>
        </w:rPr>
        <w:t xml:space="preserve">2 </w:t>
      </w:r>
      <w:r>
        <w:rPr>
          <w:rFonts w:ascii="Times New Roman" w:hAnsi="Times New Roman" w:cs="Times New Roman"/>
          <w:color w:val="auto"/>
          <w:sz w:val="22"/>
          <w:szCs w:val="22"/>
        </w:rPr>
        <w:t>= .</w:t>
      </w:r>
      <w:r>
        <w:rPr>
          <w:rFonts w:ascii="Times New Roman" w:eastAsia="SimSun" w:hAnsi="Times New Roman" w:cs="Times New Roman"/>
          <w:color w:val="auto"/>
          <w:sz w:val="22"/>
          <w:szCs w:val="22"/>
        </w:rPr>
        <w:t>39, showing that TSP</w:t>
      </w:r>
      <w:r>
        <w:rPr>
          <w:rFonts w:ascii="Times New Roman" w:hAnsi="Times New Roman" w:cs="Times New Roman"/>
          <w:color w:val="auto"/>
          <w:sz w:val="22"/>
          <w:szCs w:val="22"/>
        </w:rPr>
        <w:t xml:space="preserve">s </w:t>
      </w:r>
      <w:r>
        <w:rPr>
          <w:rFonts w:ascii="Times New Roman" w:eastAsia="SimSun" w:hAnsi="Times New Roman" w:cs="Times New Roman"/>
          <w:color w:val="auto"/>
          <w:sz w:val="22"/>
          <w:szCs w:val="22"/>
        </w:rPr>
        <w:t xml:space="preserve">obtained higher summary scores </w:t>
      </w:r>
      <w:r>
        <w:rPr>
          <w:rFonts w:ascii="Times New Roman" w:hAnsi="Times New Roman" w:cs="Times New Roman"/>
          <w:color w:val="auto"/>
          <w:sz w:val="22"/>
          <w:szCs w:val="22"/>
        </w:rPr>
        <w:t>than the other groups</w:t>
      </w:r>
      <w:r>
        <w:rPr>
          <w:rFonts w:ascii="Times New Roman" w:eastAsia="SimSun" w:hAnsi="Times New Roman" w:cs="Times New Roman"/>
          <w:color w:val="auto"/>
          <w:sz w:val="22"/>
          <w:szCs w:val="22"/>
        </w:rPr>
        <w:t xml:space="preserve"> (</w:t>
      </w:r>
      <w:proofErr w:type="spellStart"/>
      <w:r>
        <w:rPr>
          <w:rFonts w:ascii="Times New Roman" w:eastAsia="SimSun" w:hAnsi="Times New Roman" w:cs="Times New Roman"/>
          <w:i/>
          <w:color w:val="auto"/>
          <w:sz w:val="22"/>
          <w:szCs w:val="22"/>
        </w:rPr>
        <w:t>ps</w:t>
      </w:r>
      <w:proofErr w:type="spellEnd"/>
      <w:r>
        <w:rPr>
          <w:rFonts w:ascii="Times New Roman" w:eastAsia="SimSun" w:hAnsi="Times New Roman" w:cs="Times New Roman"/>
          <w:i/>
          <w:color w:val="auto"/>
          <w:sz w:val="22"/>
          <w:szCs w:val="22"/>
        </w:rPr>
        <w:t xml:space="preserve"> </w:t>
      </w:r>
      <w:r>
        <w:rPr>
          <w:rFonts w:ascii="Times New Roman" w:eastAsia="SimSun" w:hAnsi="Times New Roman" w:cs="Times New Roman"/>
          <w:color w:val="auto"/>
          <w:sz w:val="22"/>
          <w:szCs w:val="22"/>
        </w:rPr>
        <w:t>&lt; .001)</w:t>
      </w:r>
      <w:r>
        <w:rPr>
          <w:rFonts w:ascii="Times New Roman" w:hAnsi="Times New Roman" w:cs="Times New Roman"/>
          <w:color w:val="auto"/>
          <w:sz w:val="22"/>
          <w:szCs w:val="22"/>
        </w:rPr>
        <w:t>.</w:t>
      </w:r>
      <w:r>
        <w:rPr>
          <w:rFonts w:ascii="Times New Roman" w:hAnsi="Times New Roman" w:cs="Times New Roman"/>
          <w:b/>
          <w:color w:val="auto"/>
        </w:rPr>
        <w:t xml:space="preserve"> </w:t>
      </w:r>
    </w:p>
    <w:p w:rsidR="004D2580" w:rsidRDefault="004D2580">
      <w:pPr>
        <w:pStyle w:val="A0"/>
        <w:adjustRightInd w:val="0"/>
        <w:snapToGrid w:val="0"/>
        <w:spacing w:after="160" w:line="480" w:lineRule="auto"/>
        <w:ind w:firstLineChars="200" w:firstLine="420"/>
        <w:rPr>
          <w:rFonts w:ascii="Times New Roman" w:hAnsi="Times New Roman" w:cs="Times New Roman"/>
          <w:b/>
          <w:color w:val="auto"/>
        </w:rPr>
      </w:pPr>
    </w:p>
    <w:p w:rsidR="004D2580" w:rsidRDefault="0034511E">
      <w:pPr>
        <w:pStyle w:val="A0"/>
        <w:spacing w:line="480" w:lineRule="auto"/>
        <w:jc w:val="left"/>
        <w:rPr>
          <w:rFonts w:ascii="Times New Roman" w:hAnsi="Times New Roman" w:cs="Times New Roman"/>
          <w:b/>
          <w:color w:val="auto"/>
          <w:sz w:val="20"/>
          <w:szCs w:val="20"/>
        </w:rPr>
      </w:pPr>
      <w:bookmarkStart w:id="59" w:name="OLE_LINK8"/>
      <w:bookmarkStart w:id="60" w:name="OLE_LINK150"/>
      <w:r>
        <w:rPr>
          <w:rFonts w:ascii="Times New Roman" w:hAnsi="Times New Roman" w:cs="Times New Roman"/>
          <w:b/>
          <w:color w:val="auto"/>
          <w:sz w:val="20"/>
          <w:szCs w:val="20"/>
        </w:rPr>
        <w:lastRenderedPageBreak/>
        <w:t xml:space="preserve">Table 2 </w:t>
      </w:r>
    </w:p>
    <w:p w:rsidR="004D2580" w:rsidRDefault="0034511E">
      <w:pPr>
        <w:adjustRightInd w:val="0"/>
        <w:snapToGrid w:val="0"/>
        <w:spacing w:line="480" w:lineRule="auto"/>
        <w:rPr>
          <w:sz w:val="20"/>
          <w:szCs w:val="20"/>
          <w:lang w:eastAsia="zh-CN"/>
        </w:rPr>
      </w:pPr>
      <w:r>
        <w:rPr>
          <w:rFonts w:hint="eastAsia"/>
          <w:sz w:val="20"/>
          <w:szCs w:val="20"/>
          <w:lang w:eastAsia="zh-CN"/>
        </w:rPr>
        <w:t>M</w:t>
      </w:r>
      <w:r>
        <w:rPr>
          <w:sz w:val="20"/>
          <w:szCs w:val="20"/>
          <w:lang w:eastAsia="zh-CN"/>
        </w:rPr>
        <w:t xml:space="preserve">ean </w:t>
      </w:r>
      <w:r>
        <w:rPr>
          <w:rFonts w:hint="eastAsia"/>
          <w:sz w:val="20"/>
          <w:szCs w:val="20"/>
          <w:lang w:eastAsia="zh-CN"/>
        </w:rPr>
        <w:t>s</w:t>
      </w:r>
      <w:r>
        <w:rPr>
          <w:sz w:val="20"/>
          <w:szCs w:val="20"/>
          <w:lang w:eastAsia="zh-CN"/>
        </w:rPr>
        <w:t>ummary</w:t>
      </w:r>
      <w:r>
        <w:rPr>
          <w:rFonts w:hint="eastAsia"/>
          <w:sz w:val="20"/>
          <w:szCs w:val="20"/>
          <w:lang w:eastAsia="zh-CN"/>
        </w:rPr>
        <w:t xml:space="preserve"> </w:t>
      </w:r>
      <w:r>
        <w:rPr>
          <w:sz w:val="20"/>
          <w:szCs w:val="20"/>
          <w:lang w:eastAsia="zh-CN"/>
        </w:rPr>
        <w:t xml:space="preserve">scores (standard deviations in parentheses) for different reader groups as a function of </w:t>
      </w:r>
      <w:proofErr w:type="spellStart"/>
      <w:r>
        <w:rPr>
          <w:sz w:val="20"/>
          <w:szCs w:val="20"/>
          <w:lang w:eastAsia="zh-CN"/>
        </w:rPr>
        <w:t>signaling</w:t>
      </w:r>
      <w:proofErr w:type="spellEnd"/>
      <w:r>
        <w:rPr>
          <w:sz w:val="20"/>
          <w:szCs w:val="20"/>
          <w:lang w:eastAsia="zh-CN"/>
        </w:rPr>
        <w:t xml:space="preserve"> device in Experiment 2</w:t>
      </w:r>
    </w:p>
    <w:tbl>
      <w:tblPr>
        <w:tblW w:w="8856" w:type="dxa"/>
        <w:jc w:val="center"/>
        <w:tblBorders>
          <w:top w:val="single" w:sz="8" w:space="0" w:color="000000"/>
          <w:bottom w:val="single" w:sz="8" w:space="0" w:color="000000"/>
        </w:tblBorders>
        <w:tblLayout w:type="fixed"/>
        <w:tblLook w:val="04A0" w:firstRow="1" w:lastRow="0" w:firstColumn="1" w:lastColumn="0" w:noHBand="0" w:noVBand="1"/>
      </w:tblPr>
      <w:tblGrid>
        <w:gridCol w:w="2952"/>
        <w:gridCol w:w="2953"/>
        <w:gridCol w:w="2951"/>
      </w:tblGrid>
      <w:tr w:rsidR="004D2580">
        <w:trPr>
          <w:cantSplit/>
          <w:trHeight w:val="340"/>
          <w:jc w:val="center"/>
        </w:trPr>
        <w:tc>
          <w:tcPr>
            <w:tcW w:w="2952" w:type="dxa"/>
            <w:tcBorders>
              <w:top w:val="single" w:sz="8" w:space="0" w:color="000000"/>
              <w:bottom w:val="single" w:sz="8" w:space="0" w:color="000000"/>
            </w:tcBorders>
          </w:tcPr>
          <w:p w:rsidR="004D2580" w:rsidRDefault="0034511E">
            <w:pPr>
              <w:autoSpaceDE w:val="0"/>
              <w:autoSpaceDN w:val="0"/>
              <w:adjustRightInd w:val="0"/>
              <w:snapToGrid w:val="0"/>
              <w:spacing w:line="360" w:lineRule="auto"/>
              <w:jc w:val="center"/>
              <w:rPr>
                <w:sz w:val="20"/>
                <w:szCs w:val="20"/>
                <w:lang w:eastAsia="zh-CN"/>
              </w:rPr>
            </w:pPr>
            <w:r>
              <w:rPr>
                <w:sz w:val="20"/>
                <w:szCs w:val="20"/>
              </w:rPr>
              <w:t>Reader group</w:t>
            </w:r>
          </w:p>
        </w:tc>
        <w:tc>
          <w:tcPr>
            <w:tcW w:w="2953" w:type="dxa"/>
            <w:tcBorders>
              <w:top w:val="single" w:sz="8" w:space="0" w:color="000000"/>
              <w:bottom w:val="single" w:sz="8" w:space="0" w:color="000000"/>
            </w:tcBorders>
          </w:tcPr>
          <w:p w:rsidR="004D2580" w:rsidRDefault="0034511E">
            <w:pPr>
              <w:autoSpaceDE w:val="0"/>
              <w:autoSpaceDN w:val="0"/>
              <w:adjustRightInd w:val="0"/>
              <w:snapToGrid w:val="0"/>
              <w:spacing w:line="360" w:lineRule="auto"/>
              <w:jc w:val="center"/>
              <w:rPr>
                <w:sz w:val="20"/>
                <w:szCs w:val="20"/>
              </w:rPr>
            </w:pPr>
            <w:proofErr w:type="spellStart"/>
            <w:r>
              <w:rPr>
                <w:sz w:val="20"/>
                <w:szCs w:val="20"/>
              </w:rPr>
              <w:t>S</w:t>
            </w:r>
            <w:r>
              <w:rPr>
                <w:sz w:val="20"/>
                <w:szCs w:val="20"/>
                <w:lang w:eastAsia="zh-CN"/>
              </w:rPr>
              <w:t>ignaling</w:t>
            </w:r>
            <w:proofErr w:type="spellEnd"/>
            <w:r>
              <w:rPr>
                <w:sz w:val="20"/>
                <w:szCs w:val="20"/>
              </w:rPr>
              <w:t xml:space="preserve"> device</w:t>
            </w:r>
          </w:p>
        </w:tc>
        <w:tc>
          <w:tcPr>
            <w:tcW w:w="2951" w:type="dxa"/>
            <w:tcBorders>
              <w:top w:val="single" w:sz="8" w:space="0" w:color="000000"/>
              <w:bottom w:val="single" w:sz="8" w:space="0" w:color="000000"/>
            </w:tcBorders>
          </w:tcPr>
          <w:p w:rsidR="004D2580" w:rsidRDefault="0034511E">
            <w:pPr>
              <w:autoSpaceDE w:val="0"/>
              <w:autoSpaceDN w:val="0"/>
              <w:adjustRightInd w:val="0"/>
              <w:snapToGrid w:val="0"/>
              <w:spacing w:line="360" w:lineRule="auto"/>
              <w:jc w:val="center"/>
              <w:rPr>
                <w:sz w:val="20"/>
                <w:szCs w:val="20"/>
                <w:lang w:eastAsia="zh-CN"/>
              </w:rPr>
            </w:pPr>
            <w:r>
              <w:rPr>
                <w:sz w:val="20"/>
                <w:szCs w:val="20"/>
              </w:rPr>
              <w:t>No</w:t>
            </w:r>
            <w:r>
              <w:rPr>
                <w:sz w:val="20"/>
                <w:szCs w:val="20"/>
                <w:lang w:eastAsia="zh-CN"/>
              </w:rPr>
              <w:t xml:space="preserve"> </w:t>
            </w:r>
            <w:proofErr w:type="spellStart"/>
            <w:r>
              <w:rPr>
                <w:sz w:val="20"/>
                <w:szCs w:val="20"/>
                <w:lang w:eastAsia="zh-CN"/>
              </w:rPr>
              <w:t>signaling</w:t>
            </w:r>
            <w:proofErr w:type="spellEnd"/>
            <w:r>
              <w:rPr>
                <w:sz w:val="20"/>
                <w:szCs w:val="20"/>
              </w:rPr>
              <w:t xml:space="preserve"> device</w:t>
            </w:r>
          </w:p>
        </w:tc>
      </w:tr>
      <w:tr w:rsidR="004D2580">
        <w:trPr>
          <w:cantSplit/>
          <w:trHeight w:val="340"/>
          <w:jc w:val="center"/>
        </w:trPr>
        <w:tc>
          <w:tcPr>
            <w:tcW w:w="2952" w:type="dxa"/>
            <w:tcBorders>
              <w:top w:val="single" w:sz="8" w:space="0" w:color="000000"/>
            </w:tcBorders>
          </w:tcPr>
          <w:p w:rsidR="004D2580" w:rsidRDefault="0034511E">
            <w:pPr>
              <w:pStyle w:val="Style2"/>
              <w:spacing w:line="360" w:lineRule="auto"/>
              <w:ind w:firstLineChars="0" w:firstLine="0"/>
              <w:jc w:val="center"/>
              <w:rPr>
                <w:rFonts w:ascii="Times New Roman" w:hAnsi="Times New Roman"/>
                <w:sz w:val="20"/>
                <w:szCs w:val="20"/>
              </w:rPr>
            </w:pPr>
            <w:r>
              <w:rPr>
                <w:rFonts w:ascii="Times New Roman" w:hAnsi="Times New Roman"/>
                <w:sz w:val="20"/>
                <w:szCs w:val="20"/>
              </w:rPr>
              <w:t>FLR</w:t>
            </w:r>
          </w:p>
        </w:tc>
        <w:tc>
          <w:tcPr>
            <w:tcW w:w="2953" w:type="dxa"/>
            <w:tcBorders>
              <w:top w:val="single" w:sz="8" w:space="0" w:color="000000"/>
            </w:tcBorders>
            <w:vAlign w:val="center"/>
          </w:tcPr>
          <w:p w:rsidR="004D2580" w:rsidRDefault="0034511E">
            <w:pPr>
              <w:autoSpaceDE w:val="0"/>
              <w:autoSpaceDN w:val="0"/>
              <w:adjustRightInd w:val="0"/>
              <w:snapToGrid w:val="0"/>
              <w:spacing w:line="360" w:lineRule="auto"/>
              <w:jc w:val="center"/>
              <w:rPr>
                <w:sz w:val="20"/>
                <w:szCs w:val="20"/>
              </w:rPr>
            </w:pPr>
            <w:r>
              <w:rPr>
                <w:sz w:val="20"/>
                <w:szCs w:val="20"/>
              </w:rPr>
              <w:t>6.19(.98)</w:t>
            </w:r>
          </w:p>
        </w:tc>
        <w:tc>
          <w:tcPr>
            <w:tcW w:w="2951" w:type="dxa"/>
            <w:tcBorders>
              <w:top w:val="single" w:sz="8" w:space="0" w:color="000000"/>
            </w:tcBorders>
            <w:vAlign w:val="center"/>
          </w:tcPr>
          <w:p w:rsidR="004D2580" w:rsidRDefault="0034511E">
            <w:pPr>
              <w:autoSpaceDE w:val="0"/>
              <w:autoSpaceDN w:val="0"/>
              <w:adjustRightInd w:val="0"/>
              <w:snapToGrid w:val="0"/>
              <w:spacing w:line="360" w:lineRule="auto"/>
              <w:jc w:val="center"/>
              <w:rPr>
                <w:sz w:val="20"/>
                <w:szCs w:val="20"/>
              </w:rPr>
            </w:pPr>
            <w:r>
              <w:rPr>
                <w:sz w:val="20"/>
                <w:szCs w:val="20"/>
              </w:rPr>
              <w:t>5.25(.85)</w:t>
            </w:r>
          </w:p>
        </w:tc>
      </w:tr>
      <w:tr w:rsidR="004D2580">
        <w:trPr>
          <w:cantSplit/>
          <w:trHeight w:val="340"/>
          <w:jc w:val="center"/>
        </w:trPr>
        <w:tc>
          <w:tcPr>
            <w:tcW w:w="2952" w:type="dxa"/>
          </w:tcPr>
          <w:p w:rsidR="004D2580" w:rsidRDefault="0034511E">
            <w:pPr>
              <w:pStyle w:val="Style2"/>
              <w:spacing w:line="360" w:lineRule="auto"/>
              <w:ind w:firstLineChars="0" w:firstLine="0"/>
              <w:jc w:val="center"/>
              <w:rPr>
                <w:rFonts w:ascii="Times New Roman" w:hAnsi="Times New Roman"/>
                <w:sz w:val="20"/>
                <w:szCs w:val="20"/>
              </w:rPr>
            </w:pPr>
            <w:r>
              <w:rPr>
                <w:rFonts w:ascii="Times New Roman" w:hAnsi="Times New Roman"/>
                <w:sz w:val="20"/>
                <w:szCs w:val="20"/>
              </w:rPr>
              <w:t>SLR</w:t>
            </w:r>
          </w:p>
        </w:tc>
        <w:tc>
          <w:tcPr>
            <w:tcW w:w="2953" w:type="dxa"/>
            <w:vAlign w:val="center"/>
          </w:tcPr>
          <w:p w:rsidR="004D2580" w:rsidRDefault="0034511E">
            <w:pPr>
              <w:autoSpaceDE w:val="0"/>
              <w:autoSpaceDN w:val="0"/>
              <w:adjustRightInd w:val="0"/>
              <w:snapToGrid w:val="0"/>
              <w:spacing w:line="360" w:lineRule="auto"/>
              <w:jc w:val="center"/>
              <w:rPr>
                <w:sz w:val="20"/>
                <w:szCs w:val="20"/>
              </w:rPr>
            </w:pPr>
            <w:r>
              <w:rPr>
                <w:sz w:val="20"/>
                <w:szCs w:val="20"/>
              </w:rPr>
              <w:t>7.29(1.11)</w:t>
            </w:r>
          </w:p>
        </w:tc>
        <w:tc>
          <w:tcPr>
            <w:tcW w:w="2951" w:type="dxa"/>
            <w:vAlign w:val="center"/>
          </w:tcPr>
          <w:p w:rsidR="004D2580" w:rsidRDefault="0034511E">
            <w:pPr>
              <w:autoSpaceDE w:val="0"/>
              <w:autoSpaceDN w:val="0"/>
              <w:adjustRightInd w:val="0"/>
              <w:snapToGrid w:val="0"/>
              <w:spacing w:line="360" w:lineRule="auto"/>
              <w:jc w:val="center"/>
              <w:rPr>
                <w:sz w:val="20"/>
                <w:szCs w:val="20"/>
              </w:rPr>
            </w:pPr>
            <w:r>
              <w:rPr>
                <w:sz w:val="20"/>
                <w:szCs w:val="20"/>
              </w:rPr>
              <w:t>5.64(.81)</w:t>
            </w:r>
          </w:p>
        </w:tc>
      </w:tr>
      <w:tr w:rsidR="004D2580">
        <w:trPr>
          <w:cantSplit/>
          <w:trHeight w:val="340"/>
          <w:jc w:val="center"/>
        </w:trPr>
        <w:tc>
          <w:tcPr>
            <w:tcW w:w="2952" w:type="dxa"/>
          </w:tcPr>
          <w:p w:rsidR="004D2580" w:rsidRDefault="0034511E">
            <w:pPr>
              <w:pStyle w:val="Style2"/>
              <w:spacing w:line="360" w:lineRule="auto"/>
              <w:ind w:firstLineChars="0" w:firstLine="0"/>
              <w:jc w:val="center"/>
              <w:rPr>
                <w:rFonts w:ascii="Times New Roman" w:hAnsi="Times New Roman"/>
                <w:sz w:val="20"/>
                <w:szCs w:val="20"/>
              </w:rPr>
            </w:pPr>
            <w:r>
              <w:rPr>
                <w:rFonts w:ascii="Times New Roman" w:hAnsi="Times New Roman"/>
                <w:sz w:val="20"/>
                <w:szCs w:val="20"/>
              </w:rPr>
              <w:t>NSR</w:t>
            </w:r>
          </w:p>
        </w:tc>
        <w:tc>
          <w:tcPr>
            <w:tcW w:w="2953" w:type="dxa"/>
            <w:vAlign w:val="center"/>
          </w:tcPr>
          <w:p w:rsidR="004D2580" w:rsidRDefault="0034511E">
            <w:pPr>
              <w:autoSpaceDE w:val="0"/>
              <w:autoSpaceDN w:val="0"/>
              <w:adjustRightInd w:val="0"/>
              <w:snapToGrid w:val="0"/>
              <w:spacing w:line="360" w:lineRule="auto"/>
              <w:jc w:val="center"/>
              <w:rPr>
                <w:sz w:val="20"/>
                <w:szCs w:val="20"/>
              </w:rPr>
            </w:pPr>
            <w:r>
              <w:rPr>
                <w:sz w:val="20"/>
                <w:szCs w:val="20"/>
              </w:rPr>
              <w:t>6.00(.76)</w:t>
            </w:r>
          </w:p>
        </w:tc>
        <w:tc>
          <w:tcPr>
            <w:tcW w:w="2951" w:type="dxa"/>
            <w:vAlign w:val="center"/>
          </w:tcPr>
          <w:p w:rsidR="004D2580" w:rsidRDefault="0034511E">
            <w:pPr>
              <w:autoSpaceDE w:val="0"/>
              <w:autoSpaceDN w:val="0"/>
              <w:adjustRightInd w:val="0"/>
              <w:snapToGrid w:val="0"/>
              <w:spacing w:line="360" w:lineRule="auto"/>
              <w:jc w:val="center"/>
              <w:rPr>
                <w:sz w:val="20"/>
                <w:szCs w:val="20"/>
              </w:rPr>
            </w:pPr>
            <w:r>
              <w:rPr>
                <w:sz w:val="20"/>
                <w:szCs w:val="20"/>
              </w:rPr>
              <w:t>5.88(1.23)</w:t>
            </w:r>
          </w:p>
        </w:tc>
      </w:tr>
      <w:tr w:rsidR="004D2580">
        <w:trPr>
          <w:cantSplit/>
          <w:trHeight w:val="340"/>
          <w:jc w:val="center"/>
        </w:trPr>
        <w:tc>
          <w:tcPr>
            <w:tcW w:w="2952" w:type="dxa"/>
          </w:tcPr>
          <w:p w:rsidR="004D2580" w:rsidRDefault="0034511E">
            <w:pPr>
              <w:pStyle w:val="Style2"/>
              <w:spacing w:line="360" w:lineRule="auto"/>
              <w:ind w:firstLineChars="0" w:firstLine="0"/>
              <w:jc w:val="center"/>
              <w:rPr>
                <w:rFonts w:ascii="Times New Roman" w:hAnsi="Times New Roman"/>
                <w:sz w:val="20"/>
                <w:szCs w:val="20"/>
              </w:rPr>
            </w:pPr>
            <w:r>
              <w:rPr>
                <w:rFonts w:ascii="Times New Roman" w:hAnsi="Times New Roman"/>
                <w:sz w:val="20"/>
                <w:szCs w:val="20"/>
              </w:rPr>
              <w:t>TSP</w:t>
            </w:r>
          </w:p>
        </w:tc>
        <w:tc>
          <w:tcPr>
            <w:tcW w:w="2953" w:type="dxa"/>
            <w:vAlign w:val="center"/>
          </w:tcPr>
          <w:p w:rsidR="004D2580" w:rsidRDefault="0034511E">
            <w:pPr>
              <w:autoSpaceDE w:val="0"/>
              <w:autoSpaceDN w:val="0"/>
              <w:adjustRightInd w:val="0"/>
              <w:snapToGrid w:val="0"/>
              <w:spacing w:line="360" w:lineRule="auto"/>
              <w:jc w:val="center"/>
              <w:rPr>
                <w:sz w:val="20"/>
                <w:szCs w:val="20"/>
              </w:rPr>
            </w:pPr>
            <w:r>
              <w:rPr>
                <w:sz w:val="20"/>
                <w:szCs w:val="20"/>
              </w:rPr>
              <w:t>7.89(.93)</w:t>
            </w:r>
          </w:p>
        </w:tc>
        <w:tc>
          <w:tcPr>
            <w:tcW w:w="2951" w:type="dxa"/>
            <w:vAlign w:val="center"/>
          </w:tcPr>
          <w:p w:rsidR="004D2580" w:rsidRDefault="0034511E">
            <w:pPr>
              <w:autoSpaceDE w:val="0"/>
              <w:autoSpaceDN w:val="0"/>
              <w:adjustRightInd w:val="0"/>
              <w:snapToGrid w:val="0"/>
              <w:spacing w:line="360" w:lineRule="auto"/>
              <w:jc w:val="center"/>
              <w:rPr>
                <w:sz w:val="20"/>
                <w:szCs w:val="20"/>
              </w:rPr>
            </w:pPr>
            <w:r>
              <w:rPr>
                <w:sz w:val="20"/>
                <w:szCs w:val="20"/>
              </w:rPr>
              <w:t>8.33(.82)</w:t>
            </w:r>
          </w:p>
        </w:tc>
      </w:tr>
    </w:tbl>
    <w:p w:rsidR="004D2580" w:rsidRDefault="004D2580">
      <w:pPr>
        <w:rPr>
          <w:sz w:val="20"/>
          <w:szCs w:val="20"/>
        </w:rPr>
      </w:pPr>
    </w:p>
    <w:p w:rsidR="004D2580" w:rsidRDefault="0034511E">
      <w:pPr>
        <w:pStyle w:val="A0"/>
        <w:adjustRightInd w:val="0"/>
        <w:snapToGrid w:val="0"/>
        <w:spacing w:after="160" w:line="480" w:lineRule="auto"/>
        <w:rPr>
          <w:rFonts w:ascii="Times New Roman" w:eastAsia="SimSun" w:hAnsi="Times New Roman" w:cs="Times New Roman"/>
          <w:i/>
          <w:color w:val="auto"/>
          <w:sz w:val="22"/>
          <w:szCs w:val="22"/>
        </w:rPr>
      </w:pPr>
      <w:r>
        <w:rPr>
          <w:rFonts w:ascii="Times New Roman" w:hAnsi="Times New Roman" w:cs="Times New Roman" w:hint="eastAsia"/>
          <w:i/>
          <w:color w:val="auto"/>
          <w:sz w:val="22"/>
          <w:szCs w:val="22"/>
        </w:rPr>
        <w:t xml:space="preserve">3.3. </w:t>
      </w:r>
      <w:r>
        <w:rPr>
          <w:rFonts w:ascii="Times New Roman" w:eastAsia="SimSun" w:hAnsi="Times New Roman" w:cs="Times New Roman"/>
          <w:i/>
          <w:color w:val="auto"/>
          <w:sz w:val="22"/>
          <w:szCs w:val="22"/>
        </w:rPr>
        <w:t>Discussion</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eastAsia="SimSun" w:hAnsi="Times New Roman" w:cs="Times New Roman"/>
          <w:color w:val="auto"/>
          <w:sz w:val="22"/>
          <w:szCs w:val="22"/>
        </w:rPr>
        <w:t>Underlining topic sentences induced more processing of and better summary performance for topic information compared to texts without signaling. These findings are in line with previous studies (e.g., Lorch et al., 2012, 2013;</w:t>
      </w:r>
      <w:r>
        <w:rPr>
          <w:rFonts w:ascii="Times New Roman" w:hAnsi="Times New Roman" w:cs="Times New Roman"/>
          <w:color w:val="auto"/>
        </w:rPr>
        <w:t xml:space="preserve"> </w:t>
      </w:r>
      <w:proofErr w:type="spellStart"/>
      <w:r>
        <w:rPr>
          <w:rFonts w:ascii="Times New Roman" w:eastAsia="SimSun" w:hAnsi="Times New Roman" w:cs="Times New Roman"/>
          <w:color w:val="auto"/>
          <w:sz w:val="22"/>
          <w:szCs w:val="22"/>
        </w:rPr>
        <w:t>Yeari</w:t>
      </w:r>
      <w:proofErr w:type="spellEnd"/>
      <w:r>
        <w:rPr>
          <w:rFonts w:ascii="Times New Roman" w:eastAsia="SimSun" w:hAnsi="Times New Roman" w:cs="Times New Roman"/>
          <w:color w:val="auto"/>
          <w:sz w:val="22"/>
          <w:szCs w:val="22"/>
        </w:rPr>
        <w:t xml:space="preserve"> et al., 2017). They demonstrate that visually highlighting key points in text attract extra attention to them presumably via exogenous attentional guidance. Allocation of attention to key points paid off in that readers’ memory for topical information was improved. The </w:t>
      </w:r>
      <w:r>
        <w:rPr>
          <w:rFonts w:ascii="Times New Roman" w:hAnsi="Times New Roman" w:cs="Times New Roman"/>
          <w:color w:val="auto"/>
          <w:sz w:val="22"/>
          <w:szCs w:val="22"/>
        </w:rPr>
        <w:t>cluster analyses yielded four reader groups</w:t>
      </w:r>
      <w:r>
        <w:rPr>
          <w:rFonts w:ascii="Times New Roman" w:eastAsiaTheme="minorEastAsia" w:hAnsi="Times New Roman" w:cs="Times New Roman" w:hint="eastAsia"/>
          <w:color w:val="auto"/>
          <w:sz w:val="22"/>
          <w:szCs w:val="22"/>
        </w:rPr>
        <w:t xml:space="preserve">: </w:t>
      </w:r>
      <w:r>
        <w:rPr>
          <w:rFonts w:ascii="Times New Roman" w:hAnsi="Times New Roman" w:cs="Times New Roman"/>
          <w:color w:val="auto"/>
          <w:sz w:val="22"/>
          <w:szCs w:val="22"/>
        </w:rPr>
        <w:t xml:space="preserve">TSPs, FLRs, SLRs and NSRs both in the </w:t>
      </w:r>
      <w:r>
        <w:rPr>
          <w:rFonts w:ascii="Times New Roman" w:eastAsia="SimSun" w:hAnsi="Times New Roman" w:cs="Times New Roman"/>
          <w:color w:val="auto"/>
          <w:sz w:val="22"/>
          <w:szCs w:val="22"/>
        </w:rPr>
        <w:t xml:space="preserve">signaling and in the no signaling condition. The four reader groups responded differently to the presence or absence of topic sentence signaling by underlining. </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eastAsia="SimSun" w:hAnsi="Times New Roman" w:cs="Times New Roman"/>
          <w:color w:val="auto"/>
          <w:sz w:val="22"/>
          <w:szCs w:val="22"/>
        </w:rPr>
        <w:t xml:space="preserve">TSPs paid ample attention to the </w:t>
      </w:r>
      <w:r>
        <w:rPr>
          <w:rFonts w:ascii="Times New Roman" w:hAnsi="Times New Roman" w:cs="Times New Roman"/>
          <w:color w:val="auto"/>
          <w:sz w:val="22"/>
          <w:szCs w:val="22"/>
        </w:rPr>
        <w:t xml:space="preserve">topic sentences during </w:t>
      </w:r>
      <w:r>
        <w:rPr>
          <w:rFonts w:ascii="Times New Roman" w:eastAsia="SimSun" w:hAnsi="Times New Roman" w:cs="Times New Roman"/>
          <w:color w:val="auto"/>
          <w:sz w:val="22"/>
          <w:szCs w:val="22"/>
        </w:rPr>
        <w:t xml:space="preserve">first- and </w:t>
      </w:r>
      <w:r>
        <w:rPr>
          <w:rFonts w:ascii="Times New Roman" w:hAnsi="Times New Roman" w:cs="Times New Roman"/>
          <w:color w:val="auto"/>
          <w:sz w:val="22"/>
          <w:szCs w:val="22"/>
        </w:rPr>
        <w:t>second-pass reading regardless of topic signaling that had no effect on their reading behavior</w:t>
      </w:r>
      <w:r>
        <w:rPr>
          <w:rFonts w:ascii="Times New Roman" w:eastAsia="SimSun" w:hAnsi="Times New Roman" w:cs="Times New Roman"/>
          <w:color w:val="auto"/>
          <w:sz w:val="22"/>
          <w:szCs w:val="22"/>
        </w:rPr>
        <w:t xml:space="preserve">. This demonstrates that their processing is endogenously governed. Another sign of their structure processing was that during first-pass reading they spent more time reading the paragraph-final sentences than paragraph-medial sentences. Their topic structure strategy paid off in that among the four reader groups they wrote the most comprehensive text summaries. This was true for both </w:t>
      </w:r>
      <w:r>
        <w:rPr>
          <w:rFonts w:ascii="Times New Roman" w:eastAsia="SimSun" w:hAnsi="Times New Roman" w:cs="Times New Roman"/>
          <w:color w:val="auto"/>
          <w:sz w:val="22"/>
          <w:szCs w:val="22"/>
        </w:rPr>
        <w:lastRenderedPageBreak/>
        <w:t xml:space="preserve">signaling conditions. The results for TSPs are in line with previous findings obtained for readers whose dominant strategy is structure strategy. Such readers are able to adopt a strategic approach to reading (Meyer et al., 1980; </w:t>
      </w:r>
      <w:proofErr w:type="spellStart"/>
      <w:r>
        <w:rPr>
          <w:rFonts w:ascii="Times New Roman" w:eastAsia="SimSun" w:hAnsi="Times New Roman" w:cs="Times New Roman"/>
          <w:color w:val="auto"/>
          <w:sz w:val="22"/>
          <w:szCs w:val="22"/>
        </w:rPr>
        <w:t>Naumann</w:t>
      </w:r>
      <w:proofErr w:type="spellEnd"/>
      <w:r>
        <w:rPr>
          <w:rFonts w:ascii="Times New Roman" w:eastAsia="SimSun" w:hAnsi="Times New Roman" w:cs="Times New Roman"/>
          <w:color w:val="auto"/>
          <w:sz w:val="22"/>
          <w:szCs w:val="22"/>
        </w:rPr>
        <w:t xml:space="preserve"> et al., 2007). </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b/>
          <w:bCs/>
          <w:color w:val="auto"/>
          <w:sz w:val="22"/>
          <w:szCs w:val="22"/>
        </w:rPr>
      </w:pPr>
      <w:r>
        <w:rPr>
          <w:rFonts w:ascii="Times New Roman" w:eastAsia="SimSun" w:hAnsi="Times New Roman" w:cs="Times New Roman"/>
          <w:color w:val="auto"/>
          <w:sz w:val="22"/>
          <w:szCs w:val="22"/>
        </w:rPr>
        <w:t>Unlike TSPs, the other reader groups</w:t>
      </w:r>
      <w:r>
        <w:rPr>
          <w:color w:val="auto"/>
        </w:rPr>
        <w:t xml:space="preserve"> </w:t>
      </w:r>
      <w:r>
        <w:rPr>
          <w:rFonts w:ascii="Times New Roman" w:eastAsia="SimSun" w:hAnsi="Times New Roman" w:cs="Times New Roman"/>
          <w:color w:val="auto"/>
          <w:sz w:val="22"/>
          <w:szCs w:val="22"/>
        </w:rPr>
        <w:t>demonstrated different reading patterns for the text with and without signaling.</w:t>
      </w:r>
      <w:r>
        <w:rPr>
          <w:rFonts w:ascii="Times New Roman" w:hAnsi="Times New Roman" w:cs="Times New Roman"/>
          <w:color w:val="auto"/>
          <w:sz w:val="22"/>
          <w:szCs w:val="22"/>
        </w:rPr>
        <w:t xml:space="preserve"> In the signaled text, all three groups devoted extra attention to topic sentences during first-pass reading</w:t>
      </w:r>
      <w:r>
        <w:rPr>
          <w:rFonts w:ascii="Times New Roman" w:eastAsia="SimSun" w:hAnsi="Times New Roman" w:cs="Times New Roman"/>
          <w:color w:val="auto"/>
          <w:sz w:val="22"/>
          <w:szCs w:val="22"/>
        </w:rPr>
        <w:t>. FLRs and SLRs did so also during second-pass reading. However, all of them (FLRs, SLRs, and NSRs)</w:t>
      </w:r>
      <w:r>
        <w:rPr>
          <w:rFonts w:ascii="Times New Roman" w:hAnsi="Times New Roman" w:cs="Times New Roman"/>
          <w:color w:val="auto"/>
          <w:sz w:val="22"/>
          <w:szCs w:val="22"/>
        </w:rPr>
        <w:t xml:space="preserve"> read the </w:t>
      </w:r>
      <w:proofErr w:type="spellStart"/>
      <w:r>
        <w:rPr>
          <w:rFonts w:ascii="Times New Roman" w:hAnsi="Times New Roman" w:cs="Times New Roman"/>
          <w:color w:val="auto"/>
          <w:sz w:val="22"/>
          <w:szCs w:val="22"/>
        </w:rPr>
        <w:t>unsignaled</w:t>
      </w:r>
      <w:proofErr w:type="spellEnd"/>
      <w:r>
        <w:rPr>
          <w:rFonts w:ascii="Times New Roman" w:hAnsi="Times New Roman" w:cs="Times New Roman"/>
          <w:color w:val="auto"/>
          <w:sz w:val="22"/>
          <w:szCs w:val="22"/>
        </w:rPr>
        <w:t xml:space="preserve"> </w:t>
      </w:r>
      <w:r>
        <w:rPr>
          <w:rFonts w:ascii="Times New Roman" w:eastAsia="SimSun" w:hAnsi="Times New Roman" w:cs="Times New Roman"/>
          <w:color w:val="auto"/>
          <w:sz w:val="22"/>
          <w:szCs w:val="22"/>
        </w:rPr>
        <w:t>text</w:t>
      </w:r>
      <w:r>
        <w:rPr>
          <w:rFonts w:ascii="Times New Roman" w:hAnsi="Times New Roman" w:cs="Times New Roman"/>
          <w:color w:val="auto"/>
          <w:sz w:val="22"/>
          <w:szCs w:val="22"/>
        </w:rPr>
        <w:t xml:space="preserve"> without prioritizing in their processing topic sentences over other sentences.</w:t>
      </w:r>
      <w:r>
        <w:rPr>
          <w:rFonts w:ascii="Times New Roman" w:eastAsia="SimSun" w:hAnsi="Times New Roman" w:cs="Times New Roman"/>
          <w:color w:val="auto"/>
          <w:sz w:val="22"/>
          <w:szCs w:val="22"/>
        </w:rPr>
        <w:t xml:space="preserve"> Yet, FLRs spent a bit more time during the first-pass reading on end sentences than medial sentences. These results suggest that signaling topic sentences by underlining help less strategic readers pay particular attention to key points in text (see also Lorch et al., 2012; Lorch et al., 2013). </w:t>
      </w:r>
    </w:p>
    <w:p w:rsidR="004D2580" w:rsidRDefault="0034511E">
      <w:pPr>
        <w:pStyle w:val="A0"/>
        <w:adjustRightInd w:val="0"/>
        <w:snapToGrid w:val="0"/>
        <w:spacing w:after="160" w:line="480" w:lineRule="auto"/>
        <w:rPr>
          <w:rFonts w:ascii="Times New Roman" w:hAnsi="Times New Roman" w:cs="Times New Roman"/>
          <w:b/>
          <w:bCs/>
          <w:color w:val="auto"/>
          <w:sz w:val="22"/>
          <w:szCs w:val="22"/>
        </w:rPr>
      </w:pPr>
      <w:bookmarkStart w:id="61" w:name="OLE_LINK33"/>
      <w:bookmarkStart w:id="62" w:name="OLE_LINK35"/>
      <w:bookmarkStart w:id="63" w:name="OLE_LINK117"/>
      <w:bookmarkEnd w:id="59"/>
      <w:bookmarkEnd w:id="60"/>
      <w:r>
        <w:rPr>
          <w:rFonts w:ascii="Times New Roman" w:hAnsi="Times New Roman"/>
          <w:b/>
          <w:color w:val="auto"/>
          <w:sz w:val="22"/>
        </w:rPr>
        <w:t>4</w:t>
      </w:r>
      <w:r>
        <w:rPr>
          <w:rFonts w:ascii="Times New Roman" w:hAnsi="Times New Roman" w:cs="Times New Roman"/>
          <w:b/>
          <w:bCs/>
          <w:color w:val="auto"/>
          <w:sz w:val="22"/>
          <w:szCs w:val="22"/>
        </w:rPr>
        <w:t>.</w:t>
      </w:r>
      <w:r>
        <w:rPr>
          <w:rFonts w:ascii="Times New Roman" w:hAnsi="Times New Roman" w:cs="Times New Roman" w:hint="eastAsia"/>
          <w:b/>
          <w:bCs/>
          <w:color w:val="auto"/>
          <w:sz w:val="22"/>
          <w:szCs w:val="22"/>
        </w:rPr>
        <w:t xml:space="preserve"> </w:t>
      </w:r>
      <w:r>
        <w:rPr>
          <w:rFonts w:ascii="Times New Roman" w:hAnsi="Times New Roman" w:cs="Times New Roman"/>
          <w:b/>
          <w:bCs/>
          <w:color w:val="auto"/>
          <w:sz w:val="22"/>
          <w:szCs w:val="22"/>
        </w:rPr>
        <w:t>General discussion</w:t>
      </w:r>
    </w:p>
    <w:p w:rsidR="004D2580" w:rsidRDefault="0034511E">
      <w:pPr>
        <w:pStyle w:val="A0"/>
        <w:adjustRightInd w:val="0"/>
        <w:snapToGrid w:val="0"/>
        <w:spacing w:after="160" w:line="480" w:lineRule="auto"/>
        <w:ind w:firstLine="420"/>
        <w:rPr>
          <w:rFonts w:ascii="Times New Roman" w:hAnsi="Times New Roman" w:cs="Times New Roman"/>
          <w:color w:val="auto"/>
          <w:sz w:val="22"/>
          <w:szCs w:val="22"/>
        </w:rPr>
      </w:pPr>
      <w:bookmarkStart w:id="64" w:name="OLE_LINK151"/>
      <w:bookmarkStart w:id="65" w:name="OLE_LINK43"/>
      <w:bookmarkStart w:id="66" w:name="OLE_LINK107"/>
      <w:bookmarkStart w:id="67" w:name="OLE_LINK152"/>
      <w:bookmarkStart w:id="68" w:name="OLE_LINK36"/>
      <w:bookmarkStart w:id="69" w:name="OLE_LINK28"/>
      <w:bookmarkStart w:id="70" w:name="OLE_LINK17"/>
      <w:r>
        <w:rPr>
          <w:rFonts w:ascii="Times New Roman" w:hAnsi="Times New Roman" w:cs="Times New Roman"/>
          <w:color w:val="auto"/>
          <w:sz w:val="22"/>
          <w:szCs w:val="22"/>
        </w:rPr>
        <w:t>In the Introduction, we outlined two main aims for the present study. The first aim was to test whether the reading</w:t>
      </w:r>
      <w:r>
        <w:rPr>
          <w:rFonts w:ascii="Times New Roman" w:hAnsi="Times New Roman"/>
          <w:color w:val="auto"/>
          <w:sz w:val="22"/>
        </w:rPr>
        <w:t xml:space="preserve"> styles</w:t>
      </w:r>
      <w:r>
        <w:rPr>
          <w:rFonts w:ascii="Times New Roman" w:hAnsi="Times New Roman" w:cs="Times New Roman"/>
          <w:color w:val="auto"/>
          <w:sz w:val="22"/>
          <w:szCs w:val="22"/>
        </w:rPr>
        <w:t xml:space="preserve"> identified by Hyönä et al. (2002) can be re-established with another sample of adult readers from a different educational culture (China). The second aim, and also a more newsworthy aspect, was to investigate individual differences in responding to task instructions and topic signaling when reading long expository texts.</w:t>
      </w:r>
    </w:p>
    <w:p w:rsidR="004D2580" w:rsidRDefault="0034511E">
      <w:pPr>
        <w:pStyle w:val="A0"/>
        <w:adjustRightInd w:val="0"/>
        <w:snapToGrid w:val="0"/>
        <w:spacing w:after="160" w:line="480" w:lineRule="auto"/>
        <w:rPr>
          <w:rFonts w:ascii="Times New Roman" w:hAnsi="Times New Roman" w:cs="Times New Roman"/>
          <w:i/>
          <w:color w:val="auto"/>
          <w:sz w:val="22"/>
          <w:szCs w:val="22"/>
        </w:rPr>
      </w:pPr>
      <w:r>
        <w:rPr>
          <w:rFonts w:ascii="Times New Roman" w:hAnsi="Times New Roman"/>
          <w:i/>
          <w:color w:val="auto"/>
          <w:sz w:val="22"/>
        </w:rPr>
        <w:t>4</w:t>
      </w:r>
      <w:r>
        <w:rPr>
          <w:rFonts w:ascii="Times New Roman" w:hAnsi="Times New Roman" w:cs="Times New Roman" w:hint="eastAsia"/>
          <w:i/>
          <w:color w:val="auto"/>
          <w:sz w:val="22"/>
          <w:szCs w:val="22"/>
        </w:rPr>
        <w:t>.1. Individual differ</w:t>
      </w:r>
      <w:r>
        <w:rPr>
          <w:rFonts w:ascii="Times New Roman" w:hAnsi="Times New Roman" w:cs="Times New Roman"/>
          <w:i/>
          <w:color w:val="auto"/>
          <w:sz w:val="22"/>
          <w:szCs w:val="22"/>
        </w:rPr>
        <w:t xml:space="preserve">ences in reading </w:t>
      </w:r>
      <w:r>
        <w:rPr>
          <w:rFonts w:ascii="Times New Roman" w:hAnsi="Times New Roman"/>
          <w:i/>
          <w:color w:val="auto"/>
          <w:sz w:val="22"/>
        </w:rPr>
        <w:t>styles</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lang w:val="en-GB"/>
        </w:rPr>
      </w:pPr>
      <w:r>
        <w:rPr>
          <w:rFonts w:ascii="Times New Roman" w:hAnsi="Times New Roman" w:cs="Times New Roman"/>
          <w:color w:val="auto"/>
          <w:sz w:val="22"/>
          <w:szCs w:val="22"/>
        </w:rPr>
        <w:t xml:space="preserve">By using the cluster analysis, we established </w:t>
      </w:r>
      <w:r>
        <w:rPr>
          <w:rFonts w:ascii="Times New Roman" w:eastAsia="SimSun" w:hAnsi="Times New Roman" w:cs="Times New Roman"/>
          <w:color w:val="auto"/>
          <w:kern w:val="0"/>
          <w:sz w:val="22"/>
        </w:rPr>
        <w:t>f</w:t>
      </w:r>
      <w:r>
        <w:rPr>
          <w:rFonts w:ascii="Times New Roman" w:hAnsi="Times New Roman" w:cs="Times New Roman"/>
          <w:color w:val="auto"/>
          <w:sz w:val="22"/>
          <w:szCs w:val="22"/>
        </w:rPr>
        <w:t xml:space="preserve">our distinct reading </w:t>
      </w:r>
      <w:r>
        <w:rPr>
          <w:rFonts w:ascii="Times New Roman" w:hAnsi="Times New Roman"/>
          <w:color w:val="auto"/>
          <w:sz w:val="22"/>
        </w:rPr>
        <w:t>styles</w:t>
      </w:r>
      <w:r>
        <w:rPr>
          <w:rFonts w:ascii="Times New Roman" w:hAnsi="Times New Roman" w:cs="Times New Roman"/>
          <w:color w:val="auto"/>
          <w:sz w:val="22"/>
          <w:szCs w:val="22"/>
        </w:rPr>
        <w:t xml:space="preserve"> among Chinese adult readers reading a multiple-topic expository text in Chinese in order to summarize the main contents</w:t>
      </w:r>
      <w:r>
        <w:rPr>
          <w:rFonts w:ascii="Times New Roman" w:eastAsia="SimSun" w:hAnsi="Times New Roman" w:cs="Times New Roman"/>
          <w:color w:val="auto"/>
          <w:kern w:val="0"/>
          <w:sz w:val="22"/>
        </w:rPr>
        <w:t>.</w:t>
      </w:r>
      <w:r>
        <w:rPr>
          <w:rFonts w:ascii="Times New Roman" w:hAnsi="Times New Roman" w:cs="Times New Roman"/>
          <w:color w:val="auto"/>
          <w:sz w:val="22"/>
          <w:szCs w:val="22"/>
        </w:rPr>
        <w:t xml:space="preserve"> The observed reading </w:t>
      </w:r>
      <w:r>
        <w:rPr>
          <w:rFonts w:ascii="Times New Roman" w:hAnsi="Times New Roman"/>
          <w:color w:val="auto"/>
          <w:sz w:val="22"/>
        </w:rPr>
        <w:t xml:space="preserve">styles </w:t>
      </w:r>
      <w:r>
        <w:rPr>
          <w:rFonts w:ascii="Times New Roman" w:hAnsi="Times New Roman" w:cs="Times New Roman"/>
          <w:color w:val="auto"/>
          <w:sz w:val="22"/>
          <w:szCs w:val="22"/>
        </w:rPr>
        <w:t xml:space="preserve">were stable across different samples and different signaling conditions when readers were instructed to read the texts in preparation for a summary task. </w:t>
      </w:r>
      <w:r>
        <w:rPr>
          <w:rFonts w:ascii="Times New Roman" w:hAnsi="Times New Roman" w:cs="Times New Roman" w:hint="eastAsia"/>
          <w:color w:val="auto"/>
          <w:sz w:val="22"/>
          <w:szCs w:val="22"/>
        </w:rPr>
        <w:t>The four reading</w:t>
      </w:r>
      <w:r>
        <w:rPr>
          <w:rFonts w:ascii="Times New Roman" w:hAnsi="Times New Roman" w:cs="Times New Roman"/>
          <w:color w:val="auto"/>
          <w:sz w:val="22"/>
          <w:szCs w:val="22"/>
        </w:rPr>
        <w:t xml:space="preserve"> </w:t>
      </w:r>
      <w:r>
        <w:rPr>
          <w:rFonts w:ascii="Times New Roman" w:hAnsi="Times New Roman"/>
          <w:color w:val="auto"/>
          <w:sz w:val="22"/>
        </w:rPr>
        <w:t>styles</w:t>
      </w:r>
      <w:r>
        <w:rPr>
          <w:rFonts w:ascii="Times New Roman" w:hAnsi="Times New Roman" w:cs="Times New Roman" w:hint="eastAsia"/>
          <w:color w:val="auto"/>
          <w:sz w:val="22"/>
          <w:szCs w:val="22"/>
        </w:rPr>
        <w:t xml:space="preserve"> </w:t>
      </w:r>
      <w:r>
        <w:rPr>
          <w:rFonts w:ascii="Times New Roman" w:hAnsi="Times New Roman" w:cs="Times New Roman"/>
          <w:color w:val="auto"/>
          <w:sz w:val="22"/>
          <w:szCs w:val="22"/>
        </w:rPr>
        <w:t>are highly similar to</w:t>
      </w:r>
      <w:r>
        <w:rPr>
          <w:rFonts w:ascii="Times New Roman" w:hAnsi="Times New Roman" w:cs="Times New Roman" w:hint="eastAsia"/>
          <w:color w:val="auto"/>
          <w:sz w:val="22"/>
          <w:szCs w:val="22"/>
        </w:rPr>
        <w:t xml:space="preserve"> those </w:t>
      </w:r>
      <w:r>
        <w:rPr>
          <w:rFonts w:ascii="Times New Roman" w:hAnsi="Times New Roman" w:cs="Times New Roman"/>
          <w:color w:val="auto"/>
          <w:sz w:val="22"/>
          <w:szCs w:val="22"/>
        </w:rPr>
        <w:t>observed in a</w:t>
      </w:r>
      <w:r>
        <w:rPr>
          <w:rFonts w:ascii="Times New Roman" w:hAnsi="Times New Roman" w:cs="Times New Roman" w:hint="eastAsia"/>
          <w:color w:val="auto"/>
          <w:sz w:val="22"/>
          <w:szCs w:val="22"/>
        </w:rPr>
        <w:t xml:space="preserve"> previous study </w:t>
      </w:r>
      <w:r>
        <w:rPr>
          <w:rFonts w:ascii="Times New Roman" w:hAnsi="Times New Roman" w:cs="Times New Roman" w:hint="eastAsia"/>
          <w:color w:val="auto"/>
          <w:sz w:val="22"/>
        </w:rPr>
        <w:t xml:space="preserve">using </w:t>
      </w:r>
      <w:r>
        <w:rPr>
          <w:rFonts w:ascii="Times New Roman" w:hAnsi="Times New Roman" w:cs="Times New Roman" w:hint="eastAsia"/>
          <w:color w:val="auto"/>
          <w:sz w:val="22"/>
          <w:szCs w:val="22"/>
        </w:rPr>
        <w:t>Fin</w:t>
      </w:r>
      <w:r>
        <w:rPr>
          <w:rFonts w:ascii="Times New Roman" w:hAnsi="Times New Roman" w:cs="Times New Roman"/>
          <w:color w:val="auto"/>
          <w:sz w:val="22"/>
          <w:szCs w:val="22"/>
        </w:rPr>
        <w:t>n</w:t>
      </w:r>
      <w:r>
        <w:rPr>
          <w:rFonts w:ascii="Times New Roman" w:hAnsi="Times New Roman" w:cs="Times New Roman" w:hint="eastAsia"/>
          <w:color w:val="auto"/>
          <w:sz w:val="22"/>
          <w:szCs w:val="22"/>
        </w:rPr>
        <w:t xml:space="preserve">ish </w:t>
      </w:r>
      <w:r>
        <w:rPr>
          <w:rFonts w:ascii="Times New Roman" w:hAnsi="Times New Roman" w:cs="Times New Roman"/>
          <w:color w:val="auto"/>
          <w:sz w:val="22"/>
          <w:szCs w:val="22"/>
        </w:rPr>
        <w:t>native speakers reading similar texts in Finnish</w:t>
      </w:r>
      <w:r>
        <w:rPr>
          <w:rFonts w:ascii="Times New Roman" w:hAnsi="Times New Roman" w:cs="Times New Roman" w:hint="eastAsia"/>
          <w:color w:val="auto"/>
          <w:sz w:val="22"/>
          <w:szCs w:val="22"/>
        </w:rPr>
        <w:t xml:space="preserve"> (</w:t>
      </w:r>
      <w:r>
        <w:rPr>
          <w:rFonts w:ascii="Times New Roman" w:hAnsi="Times New Roman" w:cs="Times New Roman"/>
          <w:color w:val="auto"/>
          <w:sz w:val="22"/>
        </w:rPr>
        <w:t>Hyönä et al.</w:t>
      </w:r>
      <w:r>
        <w:rPr>
          <w:rFonts w:ascii="Times New Roman" w:hAnsi="Times New Roman" w:cs="Times New Roman" w:hint="eastAsia"/>
          <w:color w:val="auto"/>
          <w:sz w:val="22"/>
        </w:rPr>
        <w:t xml:space="preserve">, </w:t>
      </w:r>
      <w:r>
        <w:rPr>
          <w:rFonts w:ascii="Times New Roman" w:hAnsi="Times New Roman" w:cs="Times New Roman"/>
          <w:color w:val="auto"/>
          <w:sz w:val="22"/>
        </w:rPr>
        <w:t>2002</w:t>
      </w:r>
      <w:r>
        <w:rPr>
          <w:rFonts w:ascii="Times New Roman" w:hAnsi="Times New Roman" w:cs="Times New Roman" w:hint="eastAsia"/>
          <w:color w:val="auto"/>
          <w:sz w:val="22"/>
        </w:rPr>
        <w:t>).</w:t>
      </w:r>
      <w:r>
        <w:rPr>
          <w:rFonts w:ascii="Times New Roman" w:hAnsi="Times New Roman" w:cs="Times New Roman"/>
          <w:color w:val="auto"/>
          <w:sz w:val="22"/>
          <w:szCs w:val="22"/>
        </w:rPr>
        <w:t xml:space="preserve"> This convergence indicates that the observed reading </w:t>
      </w:r>
      <w:r>
        <w:rPr>
          <w:rFonts w:ascii="Times New Roman" w:hAnsi="Times New Roman"/>
          <w:color w:val="auto"/>
          <w:sz w:val="22"/>
        </w:rPr>
        <w:t>styles</w:t>
      </w:r>
      <w:r>
        <w:rPr>
          <w:rFonts w:ascii="Times New Roman" w:hAnsi="Times New Roman" w:cs="Times New Roman"/>
          <w:color w:val="auto"/>
          <w:sz w:val="22"/>
          <w:szCs w:val="22"/>
        </w:rPr>
        <w:t xml:space="preserve"> generalize across distinct writing systems (logographic vs. alphabetic) and educational cultures. </w:t>
      </w:r>
      <w:r>
        <w:rPr>
          <w:rFonts w:ascii="Times New Roman" w:eastAsia="SimSun" w:hAnsi="Times New Roman" w:cs="Times New Roman"/>
          <w:color w:val="auto"/>
          <w:kern w:val="0"/>
          <w:sz w:val="22"/>
        </w:rPr>
        <w:t xml:space="preserve">In other words, we assume that </w:t>
      </w:r>
      <w:r>
        <w:rPr>
          <w:rFonts w:ascii="Times New Roman" w:eastAsia="SimSun" w:hAnsi="Times New Roman" w:cs="Times New Roman"/>
          <w:color w:val="auto"/>
          <w:kern w:val="0"/>
          <w:sz w:val="22"/>
        </w:rPr>
        <w:lastRenderedPageBreak/>
        <w:t xml:space="preserve">they reflect universal processing </w:t>
      </w:r>
      <w:r>
        <w:rPr>
          <w:rFonts w:ascii="Times New Roman" w:hAnsi="Times New Roman"/>
          <w:color w:val="auto"/>
          <w:kern w:val="0"/>
          <w:sz w:val="22"/>
        </w:rPr>
        <w:t>styles</w:t>
      </w:r>
      <w:r>
        <w:rPr>
          <w:rFonts w:ascii="Times New Roman" w:eastAsia="SimSun" w:hAnsi="Times New Roman" w:cs="Times New Roman"/>
          <w:color w:val="auto"/>
          <w:kern w:val="0"/>
          <w:sz w:val="22"/>
        </w:rPr>
        <w:t>.</w:t>
      </w:r>
      <w:r>
        <w:rPr>
          <w:rFonts w:ascii="Times New Roman" w:hAnsi="Times New Roman"/>
          <w:color w:val="auto"/>
          <w:kern w:val="0"/>
          <w:sz w:val="22"/>
        </w:rPr>
        <w:t xml:space="preserve"> However, it should be noted that at a more micro-level, differences in script exert pervasive effects on reading. </w:t>
      </w:r>
      <w:proofErr w:type="spellStart"/>
      <w:r>
        <w:rPr>
          <w:rFonts w:ascii="Times New Roman" w:hAnsi="Times New Roman"/>
          <w:color w:val="auto"/>
          <w:kern w:val="0"/>
          <w:sz w:val="22"/>
        </w:rPr>
        <w:t>Liversedge</w:t>
      </w:r>
      <w:proofErr w:type="spellEnd"/>
      <w:r>
        <w:rPr>
          <w:rFonts w:ascii="Times New Roman" w:hAnsi="Times New Roman"/>
          <w:color w:val="auto"/>
          <w:kern w:val="0"/>
          <w:sz w:val="22"/>
        </w:rPr>
        <w:t xml:space="preserve"> et al. (2016) demonstrated robust differences in average fixation duration and saccade length in reading Chinese versus Finnish. In </w:t>
      </w:r>
      <w:r>
        <w:rPr>
          <w:rFonts w:ascii="Times New Roman" w:eastAsia="SimSun" w:hAnsi="Times New Roman" w:cs="Times New Roman"/>
          <w:color w:val="auto"/>
          <w:kern w:val="0"/>
          <w:sz w:val="22"/>
        </w:rPr>
        <w:t>that</w:t>
      </w:r>
      <w:r>
        <w:rPr>
          <w:rFonts w:ascii="Times New Roman" w:hAnsi="Times New Roman"/>
          <w:color w:val="auto"/>
          <w:kern w:val="0"/>
          <w:sz w:val="22"/>
        </w:rPr>
        <w:t xml:space="preserve"> study, the texts were identical in meaning (they were translations of English texts). Yet, at the sentence-level</w:t>
      </w:r>
      <w:r>
        <w:rPr>
          <w:rFonts w:ascii="Times New Roman" w:eastAsia="SimSun" w:hAnsi="Times New Roman" w:cs="Times New Roman"/>
          <w:color w:val="auto"/>
          <w:kern w:val="0"/>
          <w:sz w:val="22"/>
        </w:rPr>
        <w:t>,</w:t>
      </w:r>
      <w:r>
        <w:rPr>
          <w:rFonts w:ascii="Times New Roman" w:hAnsi="Times New Roman"/>
          <w:color w:val="auto"/>
          <w:kern w:val="0"/>
          <w:sz w:val="22"/>
        </w:rPr>
        <w:t xml:space="preserve"> reading appeared similar in that comparable amount of time was spent in Chinese and Finnish</w:t>
      </w:r>
      <w:r>
        <w:rPr>
          <w:rFonts w:ascii="Times New Roman" w:eastAsia="SimSun" w:hAnsi="Times New Roman" w:cs="Times New Roman"/>
          <w:color w:val="auto"/>
          <w:kern w:val="0"/>
          <w:sz w:val="22"/>
        </w:rPr>
        <w:t xml:space="preserve"> (and English).</w:t>
      </w:r>
      <w:r>
        <w:rPr>
          <w:rFonts w:ascii="Times New Roman" w:hAnsi="Times New Roman"/>
          <w:color w:val="auto"/>
          <w:kern w:val="0"/>
          <w:sz w:val="22"/>
        </w:rPr>
        <w:t xml:space="preserve"> This is taken to suggest universality in reading comprehension despite fundamental orthographic and linguistic differences. The present results are consistent with the notion of universality of reading process. </w:t>
      </w:r>
    </w:p>
    <w:bookmarkEnd w:id="61"/>
    <w:bookmarkEnd w:id="62"/>
    <w:bookmarkEnd w:id="64"/>
    <w:bookmarkEnd w:id="65"/>
    <w:bookmarkEnd w:id="66"/>
    <w:bookmarkEnd w:id="67"/>
    <w:bookmarkEnd w:id="68"/>
    <w:p w:rsidR="004D2580" w:rsidRDefault="0034511E">
      <w:pPr>
        <w:pStyle w:val="A0"/>
        <w:adjustRightInd w:val="0"/>
        <w:snapToGrid w:val="0"/>
        <w:spacing w:after="160" w:line="480" w:lineRule="auto"/>
        <w:rPr>
          <w:rFonts w:ascii="Times New Roman" w:hAnsi="Times New Roman" w:cs="Times New Roman"/>
          <w:i/>
          <w:iCs/>
          <w:color w:val="auto"/>
          <w:sz w:val="22"/>
          <w:szCs w:val="22"/>
        </w:rPr>
      </w:pPr>
      <w:r>
        <w:rPr>
          <w:rFonts w:ascii="Times New Roman" w:hAnsi="Times New Roman"/>
          <w:color w:val="auto"/>
          <w:sz w:val="22"/>
          <w:lang w:val="en-GB"/>
        </w:rPr>
        <w:t>4</w:t>
      </w:r>
      <w:r>
        <w:rPr>
          <w:rFonts w:ascii="Times New Roman" w:hAnsi="Times New Roman" w:cs="Times New Roman"/>
          <w:i/>
          <w:iCs/>
          <w:color w:val="auto"/>
          <w:sz w:val="22"/>
          <w:szCs w:val="22"/>
        </w:rPr>
        <w:t>.2. E</w:t>
      </w:r>
      <w:r>
        <w:rPr>
          <w:rFonts w:ascii="Times New Roman" w:eastAsia="SimSun" w:hAnsi="Times New Roman" w:cs="Times New Roman"/>
          <w:i/>
          <w:iCs/>
          <w:color w:val="auto"/>
          <w:sz w:val="22"/>
          <w:szCs w:val="22"/>
        </w:rPr>
        <w:t>ffects</w:t>
      </w:r>
      <w:r>
        <w:rPr>
          <w:rFonts w:ascii="Times New Roman" w:hAnsi="Times New Roman" w:cs="Times New Roman"/>
          <w:i/>
          <w:iCs/>
          <w:color w:val="auto"/>
          <w:sz w:val="22"/>
          <w:szCs w:val="22"/>
        </w:rPr>
        <w:t xml:space="preserve"> of relevance cues on text processing among readers</w:t>
      </w:r>
      <w:r>
        <w:rPr>
          <w:rFonts w:ascii="Times New Roman" w:hAnsi="Times New Roman"/>
          <w:i/>
          <w:color w:val="auto"/>
          <w:sz w:val="22"/>
        </w:rPr>
        <w:t xml:space="preserve"> with </w:t>
      </w:r>
      <w:r>
        <w:rPr>
          <w:rFonts w:ascii="Times New Roman" w:hAnsi="Times New Roman" w:cs="Times New Roman"/>
          <w:i/>
          <w:iCs/>
          <w:color w:val="auto"/>
          <w:sz w:val="22"/>
          <w:szCs w:val="22"/>
        </w:rPr>
        <w:t>different</w:t>
      </w:r>
      <w:r>
        <w:rPr>
          <w:rFonts w:ascii="Times New Roman" w:hAnsi="Times New Roman"/>
          <w:i/>
          <w:color w:val="auto"/>
          <w:sz w:val="22"/>
        </w:rPr>
        <w:t xml:space="preserve"> reading styles</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bookmarkStart w:id="71" w:name="OLE_LINK90"/>
      <w:bookmarkStart w:id="72" w:name="OLE_LINK1"/>
      <w:bookmarkStart w:id="73" w:name="OLE_LINK86"/>
      <w:bookmarkStart w:id="74" w:name="OLE_LINK144"/>
      <w:bookmarkStart w:id="75" w:name="OLE_LINK2"/>
      <w:bookmarkStart w:id="76" w:name="OLE_LINK87"/>
      <w:bookmarkStart w:id="77" w:name="OLE_LINK91"/>
      <w:r>
        <w:rPr>
          <w:rFonts w:ascii="Times New Roman" w:eastAsia="SimSun" w:hAnsi="Times New Roman" w:cs="Times New Roman"/>
          <w:color w:val="auto"/>
          <w:sz w:val="22"/>
          <w:szCs w:val="22"/>
        </w:rPr>
        <w:t>According to the goal-focus model (</w:t>
      </w:r>
      <w:proofErr w:type="spellStart"/>
      <w:r>
        <w:rPr>
          <w:rFonts w:ascii="Times New Roman" w:eastAsia="SimSun" w:hAnsi="Times New Roman" w:cs="Times New Roman"/>
          <w:color w:val="auto"/>
          <w:sz w:val="22"/>
          <w:szCs w:val="22"/>
        </w:rPr>
        <w:t>Bråten</w:t>
      </w:r>
      <w:proofErr w:type="spellEnd"/>
      <w:r>
        <w:rPr>
          <w:rFonts w:ascii="Times New Roman" w:eastAsia="SimSun" w:hAnsi="Times New Roman" w:cs="Times New Roman"/>
          <w:color w:val="auto"/>
          <w:sz w:val="22"/>
          <w:szCs w:val="22"/>
        </w:rPr>
        <w:t xml:space="preserve"> et al., 2017; </w:t>
      </w:r>
      <w:proofErr w:type="spellStart"/>
      <w:r>
        <w:rPr>
          <w:rFonts w:ascii="Times New Roman" w:eastAsia="SimSun" w:hAnsi="Times New Roman" w:cs="Times New Roman"/>
          <w:color w:val="auto"/>
          <w:sz w:val="22"/>
          <w:szCs w:val="22"/>
        </w:rPr>
        <w:t>McCrudden</w:t>
      </w:r>
      <w:proofErr w:type="spellEnd"/>
      <w:r>
        <w:rPr>
          <w:rFonts w:ascii="Times New Roman" w:eastAsia="SimSun" w:hAnsi="Times New Roman" w:cs="Times New Roman"/>
          <w:color w:val="auto"/>
          <w:sz w:val="22"/>
          <w:szCs w:val="22"/>
        </w:rPr>
        <w:t xml:space="preserve"> &amp; Schraw, 2007), both task instructions and signaling devices are relevance cues that explicitly guide readers’ attention to relevant text segments. Task instructions operate via endogenous attentional guidance in that they require that the readers keep the reading goal active in their working memory. Text signaling devices, on the other hand, exert their effect via exogenous attentional guidance, as the signals are visually available in the text. These relevance cues help readers adjust their reading behavior to focus on relevant information and develop a better understanding of such information. </w:t>
      </w:r>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eastAsia="SimSun" w:hAnsi="Times New Roman" w:cs="Times New Roman"/>
          <w:color w:val="auto"/>
          <w:sz w:val="22"/>
          <w:szCs w:val="22"/>
        </w:rPr>
        <w:t xml:space="preserve">In the present study, we found that the four groups of readers differ in their use of relevance cues. TSPs flexibly adjusted their reading according to task instructions. However, their reading was not influenced by exogenous topic signaling by underlining in that they paid ample attention to topic structure regardless of topic signaling. The lack of signaling effects speaks for the endogenous nature of their attentional guidance. </w:t>
      </w:r>
      <w:r>
        <w:rPr>
          <w:rFonts w:ascii="Times New Roman" w:hAnsi="Times New Roman" w:cs="Times New Roman"/>
          <w:color w:val="auto"/>
          <w:sz w:val="22"/>
        </w:rPr>
        <w:t xml:space="preserve">Thus, they keep the reading goal active in mind and guide their text processing accordingly toward key points in text </w:t>
      </w:r>
      <w:r>
        <w:rPr>
          <w:rFonts w:ascii="Times New Roman" w:eastAsia="SimSun" w:hAnsi="Times New Roman" w:cs="Times New Roman"/>
          <w:color w:val="auto"/>
          <w:sz w:val="22"/>
          <w:szCs w:val="22"/>
        </w:rPr>
        <w:t xml:space="preserve">without the aid of topic signaling </w:t>
      </w:r>
      <w:r>
        <w:rPr>
          <w:rFonts w:ascii="Times New Roman" w:hAnsi="Times New Roman" w:cs="Times New Roman"/>
          <w:color w:val="auto"/>
          <w:sz w:val="22"/>
        </w:rPr>
        <w:t xml:space="preserve">(Hyönä &amp; </w:t>
      </w:r>
      <w:r>
        <w:rPr>
          <w:rFonts w:ascii="Times New Roman" w:hAnsi="Times New Roman"/>
          <w:color w:val="auto"/>
          <w:sz w:val="22"/>
        </w:rPr>
        <w:t>Lorch</w:t>
      </w:r>
      <w:r>
        <w:rPr>
          <w:rFonts w:ascii="Times New Roman" w:hAnsi="Times New Roman" w:cs="Times New Roman"/>
          <w:color w:val="auto"/>
          <w:sz w:val="22"/>
        </w:rPr>
        <w:t>, 2004</w:t>
      </w:r>
      <w:r>
        <w:rPr>
          <w:rFonts w:ascii="Times New Roman" w:eastAsia="SimSun" w:hAnsi="Times New Roman" w:cs="Times New Roman"/>
          <w:color w:val="auto"/>
          <w:sz w:val="22"/>
          <w:szCs w:val="22"/>
        </w:rPr>
        <w:t xml:space="preserve">; Meyer et al., 1980; </w:t>
      </w:r>
      <w:proofErr w:type="spellStart"/>
      <w:r>
        <w:rPr>
          <w:rFonts w:ascii="Times New Roman" w:hAnsi="Times New Roman" w:cs="Times New Roman"/>
          <w:color w:val="auto"/>
          <w:sz w:val="22"/>
        </w:rPr>
        <w:t>Naumann</w:t>
      </w:r>
      <w:proofErr w:type="spellEnd"/>
      <w:r>
        <w:rPr>
          <w:rFonts w:ascii="Times New Roman" w:hAnsi="Times New Roman" w:cs="Times New Roman"/>
          <w:color w:val="auto"/>
          <w:sz w:val="22"/>
        </w:rPr>
        <w:t xml:space="preserve"> et al., 2007; Wang et al., 2017)</w:t>
      </w:r>
      <w:r>
        <w:rPr>
          <w:rFonts w:ascii="Times New Roman" w:eastAsia="SimSun" w:hAnsi="Times New Roman" w:cs="Times New Roman"/>
          <w:color w:val="auto"/>
          <w:sz w:val="22"/>
          <w:szCs w:val="22"/>
        </w:rPr>
        <w:t>. These features qualify them as highly competent readers (</w:t>
      </w:r>
      <w:proofErr w:type="spellStart"/>
      <w:r>
        <w:rPr>
          <w:rFonts w:ascii="Times New Roman" w:eastAsia="SimSun" w:hAnsi="Times New Roman" w:cs="Times New Roman"/>
          <w:color w:val="auto"/>
          <w:sz w:val="22"/>
          <w:szCs w:val="22"/>
        </w:rPr>
        <w:t>Minguela</w:t>
      </w:r>
      <w:proofErr w:type="spellEnd"/>
      <w:r>
        <w:rPr>
          <w:rFonts w:ascii="Times New Roman" w:eastAsia="SimSun" w:hAnsi="Times New Roman" w:cs="Times New Roman"/>
          <w:color w:val="auto"/>
          <w:sz w:val="22"/>
          <w:szCs w:val="22"/>
        </w:rPr>
        <w:t xml:space="preserve"> et al., 2015). Finally, it is notable that </w:t>
      </w:r>
      <w:r>
        <w:rPr>
          <w:rFonts w:ascii="Times New Roman" w:hAnsi="Times New Roman" w:cs="Times New Roman"/>
          <w:color w:val="auto"/>
          <w:sz w:val="22"/>
          <w:szCs w:val="22"/>
        </w:rPr>
        <w:t>TSPs’</w:t>
      </w:r>
      <w:r>
        <w:rPr>
          <w:rFonts w:ascii="Times New Roman" w:eastAsia="SimSun" w:hAnsi="Times New Roman" w:cs="Times New Roman"/>
          <w:color w:val="auto"/>
          <w:sz w:val="22"/>
          <w:szCs w:val="22"/>
        </w:rPr>
        <w:t xml:space="preserve"> sensitivity to topic structure was stable </w:t>
      </w:r>
      <w:r>
        <w:rPr>
          <w:rFonts w:ascii="Times New Roman" w:eastAsia="SimSun" w:hAnsi="Times New Roman" w:cs="Times New Roman" w:hint="eastAsia"/>
          <w:color w:val="auto"/>
          <w:sz w:val="22"/>
          <w:szCs w:val="22"/>
        </w:rPr>
        <w:t xml:space="preserve">across </w:t>
      </w:r>
      <w:r>
        <w:rPr>
          <w:rFonts w:ascii="Times New Roman" w:eastAsia="SimSun" w:hAnsi="Times New Roman" w:cs="Times New Roman" w:hint="eastAsia"/>
          <w:color w:val="auto"/>
          <w:sz w:val="22"/>
          <w:szCs w:val="22"/>
        </w:rPr>
        <w:lastRenderedPageBreak/>
        <w:t xml:space="preserve">different </w:t>
      </w:r>
      <w:r>
        <w:rPr>
          <w:rFonts w:ascii="Times New Roman" w:eastAsia="SimSun" w:hAnsi="Times New Roman" w:cs="Times New Roman"/>
          <w:color w:val="auto"/>
          <w:sz w:val="22"/>
          <w:szCs w:val="22"/>
        </w:rPr>
        <w:t xml:space="preserve">reader </w:t>
      </w:r>
      <w:r>
        <w:rPr>
          <w:rFonts w:ascii="Times New Roman" w:eastAsia="SimSun" w:hAnsi="Times New Roman" w:cs="Times New Roman" w:hint="eastAsia"/>
          <w:color w:val="auto"/>
          <w:sz w:val="22"/>
          <w:szCs w:val="22"/>
        </w:rPr>
        <w:t>sample</w:t>
      </w:r>
      <w:r>
        <w:rPr>
          <w:rFonts w:ascii="Times New Roman" w:eastAsia="SimSun" w:hAnsi="Times New Roman" w:cs="Times New Roman"/>
          <w:color w:val="auto"/>
          <w:sz w:val="22"/>
          <w:szCs w:val="22"/>
        </w:rPr>
        <w:t>s (students of psychology vs</w:t>
      </w:r>
      <w:r>
        <w:rPr>
          <w:rFonts w:ascii="Times New Roman" w:eastAsia="SimSun" w:hAnsi="Times New Roman" w:cs="Times New Roman" w:hint="eastAsia"/>
          <w:color w:val="auto"/>
          <w:sz w:val="22"/>
          <w:szCs w:val="22"/>
        </w:rPr>
        <w:t xml:space="preserve">. </w:t>
      </w:r>
      <w:r>
        <w:rPr>
          <w:rFonts w:ascii="Times New Roman" w:eastAsia="SimSun" w:hAnsi="Times New Roman" w:cs="Times New Roman"/>
          <w:color w:val="auto"/>
          <w:sz w:val="22"/>
          <w:szCs w:val="22"/>
        </w:rPr>
        <w:t xml:space="preserve">students of </w:t>
      </w:r>
      <w:r>
        <w:rPr>
          <w:rFonts w:ascii="Times New Roman" w:eastAsiaTheme="minorEastAsia" w:hAnsi="Times New Roman" w:cs="Times New Roman"/>
          <w:color w:val="auto"/>
          <w:sz w:val="22"/>
          <w:szCs w:val="22"/>
        </w:rPr>
        <w:t>j</w:t>
      </w:r>
      <w:r>
        <w:rPr>
          <w:rFonts w:ascii="Times New Roman" w:eastAsiaTheme="minorEastAsia" w:hAnsi="Times New Roman" w:cs="Times New Roman" w:hint="eastAsia"/>
          <w:color w:val="auto"/>
          <w:sz w:val="22"/>
          <w:szCs w:val="22"/>
        </w:rPr>
        <w:t xml:space="preserve">ournalism and </w:t>
      </w:r>
      <w:r>
        <w:rPr>
          <w:rFonts w:ascii="Times New Roman" w:eastAsiaTheme="minorEastAsia" w:hAnsi="Times New Roman" w:cs="Times New Roman"/>
          <w:color w:val="auto"/>
          <w:sz w:val="22"/>
          <w:szCs w:val="22"/>
        </w:rPr>
        <w:t>communication)</w:t>
      </w:r>
      <w:r>
        <w:rPr>
          <w:rFonts w:ascii="Times New Roman" w:eastAsia="SimSun" w:hAnsi="Times New Roman" w:cs="Times New Roman"/>
          <w:color w:val="auto"/>
          <w:sz w:val="22"/>
          <w:szCs w:val="22"/>
        </w:rPr>
        <w:t xml:space="preserve">. </w:t>
      </w:r>
      <w:bookmarkStart w:id="78" w:name="OLE_LINK52"/>
      <w:bookmarkStart w:id="79" w:name="OLE_LINK34"/>
      <w:bookmarkEnd w:id="71"/>
      <w:bookmarkEnd w:id="72"/>
      <w:bookmarkEnd w:id="73"/>
      <w:bookmarkEnd w:id="74"/>
      <w:bookmarkEnd w:id="75"/>
      <w:bookmarkEnd w:id="76"/>
      <w:bookmarkEnd w:id="77"/>
    </w:p>
    <w:p w:rsidR="004D2580" w:rsidRDefault="0034511E">
      <w:pPr>
        <w:pStyle w:val="A0"/>
        <w:adjustRightInd w:val="0"/>
        <w:snapToGrid w:val="0"/>
        <w:spacing w:after="160" w:line="480" w:lineRule="auto"/>
        <w:ind w:firstLineChars="200" w:firstLine="440"/>
        <w:rPr>
          <w:rFonts w:ascii="Times New Roman" w:eastAsia="SimSun" w:hAnsi="Times New Roman" w:cs="Times New Roman"/>
          <w:color w:val="auto"/>
          <w:sz w:val="22"/>
          <w:szCs w:val="22"/>
        </w:rPr>
      </w:pPr>
      <w:r>
        <w:rPr>
          <w:rFonts w:ascii="Times New Roman" w:hAnsi="Times New Roman" w:cs="Times New Roman"/>
          <w:color w:val="auto"/>
          <w:sz w:val="22"/>
          <w:szCs w:val="22"/>
        </w:rPr>
        <w:t xml:space="preserve">A common feature of FLRs in all analyses was that they spent relatively little time in rereading the text and were also quite fast during their first-pass reading. With regard to structure processing, the overall pattern of results across the four analyses was not as clear for FLRs as for </w:t>
      </w:r>
      <w:proofErr w:type="spellStart"/>
      <w:r>
        <w:rPr>
          <w:rFonts w:ascii="Times New Roman" w:hAnsi="Times New Roman" w:cs="Times New Roman"/>
          <w:color w:val="auto"/>
          <w:sz w:val="22"/>
          <w:szCs w:val="22"/>
        </w:rPr>
        <w:t>TSPs.</w:t>
      </w:r>
      <w:proofErr w:type="spellEnd"/>
      <w:r>
        <w:rPr>
          <w:rFonts w:ascii="Times New Roman" w:hAnsi="Times New Roman" w:cs="Times New Roman"/>
          <w:color w:val="auto"/>
          <w:sz w:val="22"/>
          <w:szCs w:val="22"/>
        </w:rPr>
        <w:t xml:space="preserve"> FLRs demonstrated extra processing of paragraph boundaries (i.e., first and final sentences) in the summary and the verification task </w:t>
      </w:r>
      <w:r>
        <w:rPr>
          <w:rFonts w:ascii="Times New Roman" w:hAnsi="Times New Roman"/>
          <w:color w:val="auto"/>
          <w:sz w:val="22"/>
        </w:rPr>
        <w:t>as well as in the topic-signal condition</w:t>
      </w:r>
      <w:r>
        <w:rPr>
          <w:rFonts w:ascii="Times New Roman" w:hAnsi="Times New Roman" w:cs="Times New Roman"/>
          <w:color w:val="auto"/>
          <w:sz w:val="22"/>
          <w:szCs w:val="22"/>
        </w:rPr>
        <w:t xml:space="preserve">, but </w:t>
      </w:r>
      <w:r>
        <w:rPr>
          <w:rFonts w:ascii="Times New Roman" w:hAnsi="Times New Roman"/>
          <w:color w:val="auto"/>
          <w:sz w:val="22"/>
        </w:rPr>
        <w:t>the structure processing observed in</w:t>
      </w:r>
      <w:r>
        <w:rPr>
          <w:rFonts w:ascii="Times New Roman" w:hAnsi="Times New Roman" w:cs="Times New Roman"/>
          <w:color w:val="auto"/>
          <w:sz w:val="22"/>
          <w:szCs w:val="22"/>
        </w:rPr>
        <w:t xml:space="preserve"> the non-signaled text</w:t>
      </w:r>
      <w:r>
        <w:rPr>
          <w:rFonts w:ascii="Times New Roman" w:hAnsi="Times New Roman"/>
          <w:color w:val="auto"/>
          <w:sz w:val="22"/>
        </w:rPr>
        <w:t xml:space="preserve"> was limited to additional processing time devoted to paragraph-final sentences</w:t>
      </w:r>
      <w:r>
        <w:rPr>
          <w:rFonts w:ascii="Times New Roman" w:hAnsi="Times New Roman" w:cs="Times New Roman"/>
          <w:color w:val="auto"/>
          <w:sz w:val="22"/>
          <w:szCs w:val="22"/>
        </w:rPr>
        <w:t>. Thus, FLRs showed signs of structure processing</w:t>
      </w:r>
      <w:r>
        <w:rPr>
          <w:rFonts w:ascii="Times New Roman" w:hAnsi="Times New Roman"/>
          <w:color w:val="auto"/>
          <w:sz w:val="22"/>
        </w:rPr>
        <w:t xml:space="preserve">, but unlike with TSPs, their processing style is more likely to reflect the paragraph structure rather than the text’s topic structure. </w:t>
      </w:r>
      <w:proofErr w:type="gramStart"/>
      <w:r>
        <w:rPr>
          <w:rFonts w:ascii="Times New Roman" w:hAnsi="Times New Roman"/>
          <w:color w:val="auto"/>
          <w:sz w:val="22"/>
        </w:rPr>
        <w:t>If so, their processing may be governed more by exogenous than endogenous cues.</w:t>
      </w:r>
      <w:proofErr w:type="gramEnd"/>
      <w:r>
        <w:rPr>
          <w:rFonts w:ascii="Times New Roman" w:hAnsi="Times New Roman"/>
          <w:color w:val="auto"/>
          <w:sz w:val="22"/>
        </w:rPr>
        <w:t xml:space="preserve"> Also the finding that their text summaries were influenced by topic signaling is compatible with exogenous guidance. On the other hand, FLRs’ endogenously guided structure processing is backed up by them slowing down their reading on topic sentences appearing as the paragraph-initial sentences as well as on paragraph-final sentences that are summary statements of the paragraph contents. </w:t>
      </w:r>
      <w:r>
        <w:rPr>
          <w:rFonts w:ascii="Times New Roman" w:hAnsi="Times New Roman" w:cs="Times New Roman"/>
          <w:color w:val="auto"/>
          <w:sz w:val="22"/>
          <w:szCs w:val="22"/>
        </w:rPr>
        <w:t>Yet, it should be noted that these signs of structure processing are generally small compared to those demonstrated by TSPs (see Figs. 2 and 4).</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 xml:space="preserve">Across the four analyses, the common feature of SLRs and NSRs was their slow first-pass reading. They differ from each other in that NSRs are characterized by spending as much time during second-pass as first-pass reading, whereas SLRs spent little time rereading text. With respect to structure processing, the evidence is much less clear-cut than for </w:t>
      </w:r>
      <w:proofErr w:type="spellStart"/>
      <w:r>
        <w:rPr>
          <w:rFonts w:ascii="Times New Roman" w:hAnsi="Times New Roman" w:cs="Times New Roman"/>
          <w:color w:val="auto"/>
          <w:sz w:val="22"/>
          <w:szCs w:val="22"/>
        </w:rPr>
        <w:t>TSPs.</w:t>
      </w:r>
      <w:proofErr w:type="spellEnd"/>
      <w:r>
        <w:rPr>
          <w:rFonts w:ascii="Times New Roman" w:hAnsi="Times New Roman" w:cs="Times New Roman"/>
          <w:color w:val="auto"/>
          <w:sz w:val="22"/>
          <w:szCs w:val="22"/>
        </w:rPr>
        <w:t xml:space="preserve"> On one hand, SLRs and NSRs devoted some attention to topic structure when </w:t>
      </w:r>
      <w:r>
        <w:rPr>
          <w:rFonts w:ascii="Times New Roman" w:eastAsia="SimSun" w:hAnsi="Times New Roman" w:cs="Times New Roman"/>
          <w:color w:val="auto"/>
          <w:sz w:val="22"/>
          <w:szCs w:val="22"/>
        </w:rPr>
        <w:t xml:space="preserve">provided with a summary task </w:t>
      </w:r>
      <w:r>
        <w:rPr>
          <w:rFonts w:ascii="Times New Roman" w:hAnsi="Times New Roman"/>
          <w:color w:val="auto"/>
          <w:sz w:val="22"/>
        </w:rPr>
        <w:t>but not</w:t>
      </w:r>
      <w:r>
        <w:rPr>
          <w:rFonts w:ascii="Times New Roman" w:eastAsia="SimSun" w:hAnsi="Times New Roman" w:cs="Times New Roman"/>
          <w:color w:val="auto"/>
          <w:sz w:val="22"/>
          <w:szCs w:val="22"/>
        </w:rPr>
        <w:t xml:space="preserve"> with a verification task. Similarly, these readers paid </w:t>
      </w:r>
      <w:r>
        <w:rPr>
          <w:rFonts w:ascii="Times New Roman" w:hAnsi="Times New Roman"/>
          <w:color w:val="auto"/>
          <w:sz w:val="22"/>
        </w:rPr>
        <w:t xml:space="preserve">extra </w:t>
      </w:r>
      <w:r>
        <w:rPr>
          <w:rFonts w:ascii="Times New Roman" w:eastAsia="SimSun" w:hAnsi="Times New Roman" w:cs="Times New Roman"/>
          <w:color w:val="auto"/>
          <w:sz w:val="22"/>
          <w:szCs w:val="22"/>
        </w:rPr>
        <w:t xml:space="preserve">attention to topic sentences when they were signaled by underlining </w:t>
      </w:r>
      <w:r>
        <w:rPr>
          <w:rFonts w:ascii="Times New Roman" w:hAnsi="Times New Roman"/>
          <w:color w:val="auto"/>
          <w:sz w:val="22"/>
        </w:rPr>
        <w:t xml:space="preserve">but did not do so </w:t>
      </w:r>
      <w:r>
        <w:rPr>
          <w:rFonts w:ascii="Times New Roman" w:eastAsia="SimSun" w:hAnsi="Times New Roman" w:cs="Times New Roman"/>
          <w:color w:val="auto"/>
          <w:sz w:val="22"/>
          <w:szCs w:val="22"/>
        </w:rPr>
        <w:t xml:space="preserve">when they were not signaled. Thus, we observed evidence for both endogenous and exogenous attentional guidance for SLRs and NSRs. The evidence for endogenously guided processing comes from </w:t>
      </w:r>
      <w:r>
        <w:rPr>
          <w:rFonts w:ascii="Times New Roman" w:eastAsia="SimSun" w:hAnsi="Times New Roman" w:cs="Times New Roman"/>
          <w:color w:val="auto"/>
          <w:sz w:val="22"/>
          <w:szCs w:val="22"/>
        </w:rPr>
        <w:lastRenderedPageBreak/>
        <w:t xml:space="preserve">a sample (Experiment 1) whose members are among the best students in Chinese universities. On the other hand, the evidence for more exogenously guided processing was obtained with a sample (Experiment 2) that comprises academically less competent university students. </w:t>
      </w:r>
      <w:bookmarkEnd w:id="78"/>
      <w:bookmarkEnd w:id="79"/>
      <w:r>
        <w:rPr>
          <w:rFonts w:ascii="Times New Roman" w:eastAsia="SimSun" w:hAnsi="Times New Roman" w:cs="Times New Roman"/>
          <w:color w:val="auto"/>
          <w:sz w:val="22"/>
          <w:szCs w:val="22"/>
        </w:rPr>
        <w:t xml:space="preserve">The observed signaling effect suggests that </w:t>
      </w:r>
      <w:r>
        <w:rPr>
          <w:rFonts w:ascii="Times New Roman" w:hAnsi="Times New Roman" w:cs="Times New Roman"/>
          <w:color w:val="auto"/>
          <w:sz w:val="22"/>
          <w:szCs w:val="22"/>
        </w:rPr>
        <w:t xml:space="preserve">these readers need the help of explicit relevance cues to provide </w:t>
      </w:r>
      <w:r>
        <w:rPr>
          <w:rFonts w:ascii="Times New Roman" w:eastAsia="SimSun" w:hAnsi="Times New Roman" w:cs="Times New Roman"/>
          <w:color w:val="auto"/>
          <w:kern w:val="0"/>
          <w:sz w:val="22"/>
          <w:szCs w:val="22"/>
          <w:lang w:val="en-GB" w:eastAsia="en-US"/>
        </w:rPr>
        <w:t>criteria in</w:t>
      </w:r>
      <w:r>
        <w:rPr>
          <w:rFonts w:ascii="Times New Roman" w:hAnsi="Times New Roman" w:cs="Times New Roman"/>
          <w:color w:val="auto"/>
          <w:sz w:val="22"/>
          <w:szCs w:val="22"/>
        </w:rPr>
        <w:t xml:space="preserve"> determining information relevance and to systematically allocate their limited attentional resources to relevant information for better understanding of such information (</w:t>
      </w:r>
      <w:proofErr w:type="spellStart"/>
      <w:r>
        <w:rPr>
          <w:rFonts w:ascii="Times New Roman" w:hAnsi="Times New Roman" w:cs="Times New Roman"/>
          <w:color w:val="auto"/>
          <w:sz w:val="22"/>
          <w:szCs w:val="22"/>
        </w:rPr>
        <w:t>Bråten</w:t>
      </w:r>
      <w:proofErr w:type="spellEnd"/>
      <w:r>
        <w:rPr>
          <w:rFonts w:ascii="Times New Roman" w:eastAsia="SimSun" w:hAnsi="Times New Roman" w:cs="Times New Roman"/>
          <w:color w:val="auto"/>
          <w:sz w:val="22"/>
          <w:szCs w:val="22"/>
        </w:rPr>
        <w:t xml:space="preserve"> et al., 2017; </w:t>
      </w:r>
      <w:proofErr w:type="spellStart"/>
      <w:r>
        <w:rPr>
          <w:rFonts w:ascii="Times New Roman" w:eastAsia="SimSun" w:hAnsi="Times New Roman" w:cs="Times New Roman"/>
          <w:color w:val="auto"/>
          <w:sz w:val="22"/>
          <w:szCs w:val="22"/>
        </w:rPr>
        <w:t>McCrudden</w:t>
      </w:r>
      <w:proofErr w:type="spellEnd"/>
      <w:r>
        <w:rPr>
          <w:rFonts w:ascii="Times New Roman" w:eastAsia="SimSun" w:hAnsi="Times New Roman" w:cs="Times New Roman"/>
          <w:color w:val="auto"/>
          <w:sz w:val="22"/>
          <w:szCs w:val="22"/>
        </w:rPr>
        <w:t xml:space="preserve"> et al., 2010; </w:t>
      </w:r>
      <w:proofErr w:type="spellStart"/>
      <w:r>
        <w:rPr>
          <w:rFonts w:ascii="Times New Roman" w:eastAsia="SimSun" w:hAnsi="Times New Roman" w:cs="Times New Roman"/>
          <w:color w:val="auto"/>
          <w:sz w:val="22"/>
          <w:szCs w:val="22"/>
        </w:rPr>
        <w:t>McCrudden</w:t>
      </w:r>
      <w:proofErr w:type="spellEnd"/>
      <w:r>
        <w:rPr>
          <w:rFonts w:ascii="Times New Roman" w:eastAsia="SimSun" w:hAnsi="Times New Roman" w:cs="Times New Roman"/>
          <w:color w:val="auto"/>
          <w:sz w:val="22"/>
          <w:szCs w:val="22"/>
        </w:rPr>
        <w:t xml:space="preserve"> &amp; Schraw, 2007</w:t>
      </w:r>
      <w:r>
        <w:rPr>
          <w:rFonts w:ascii="Times New Roman" w:hAnsi="Times New Roman" w:cs="Times New Roman"/>
          <w:color w:val="auto"/>
          <w:sz w:val="22"/>
          <w:szCs w:val="22"/>
        </w:rPr>
        <w:t>). However, processing guidance by visual signals may be superficial in that the extra attention paid to key text elements does not necessarily result in better memory performance (</w:t>
      </w:r>
      <w:proofErr w:type="spellStart"/>
      <w:r>
        <w:rPr>
          <w:rFonts w:ascii="Times New Roman" w:hAnsi="Times New Roman" w:cs="Times New Roman"/>
          <w:color w:val="auto"/>
          <w:sz w:val="22"/>
          <w:szCs w:val="22"/>
        </w:rPr>
        <w:t>Yeari</w:t>
      </w:r>
      <w:proofErr w:type="spellEnd"/>
      <w:r>
        <w:rPr>
          <w:rFonts w:ascii="Times New Roman" w:hAnsi="Times New Roman" w:cs="Times New Roman"/>
          <w:color w:val="auto"/>
          <w:sz w:val="22"/>
          <w:szCs w:val="22"/>
        </w:rPr>
        <w:t xml:space="preserve"> et al., 2015). Indeed, in the present study, NSRs’ </w:t>
      </w:r>
      <w:r>
        <w:rPr>
          <w:rFonts w:ascii="Times New Roman" w:hAnsi="Times New Roman"/>
          <w:color w:val="auto"/>
          <w:sz w:val="22"/>
        </w:rPr>
        <w:t xml:space="preserve">additional allocation of </w:t>
      </w:r>
      <w:r>
        <w:rPr>
          <w:rFonts w:ascii="Times New Roman" w:hAnsi="Times New Roman" w:cs="Times New Roman"/>
          <w:color w:val="auto"/>
          <w:sz w:val="22"/>
          <w:szCs w:val="22"/>
        </w:rPr>
        <w:t xml:space="preserve">reading time to topic sentences in the signaling condition </w:t>
      </w:r>
      <w:r>
        <w:rPr>
          <w:rFonts w:ascii="Times New Roman" w:hAnsi="Times New Roman"/>
          <w:color w:val="auto"/>
          <w:sz w:val="22"/>
        </w:rPr>
        <w:t>did not improve</w:t>
      </w:r>
      <w:r>
        <w:rPr>
          <w:rFonts w:ascii="Times New Roman" w:hAnsi="Times New Roman" w:cs="Times New Roman"/>
          <w:color w:val="auto"/>
          <w:sz w:val="22"/>
          <w:szCs w:val="22"/>
        </w:rPr>
        <w:t xml:space="preserve"> their text summa</w:t>
      </w:r>
      <w:r>
        <w:rPr>
          <w:rFonts w:ascii="Times New Roman" w:hAnsi="Times New Roman" w:cs="Times New Roman" w:hint="eastAsia"/>
          <w:color w:val="auto"/>
          <w:sz w:val="22"/>
          <w:szCs w:val="22"/>
        </w:rPr>
        <w:t>ry scores</w:t>
      </w:r>
      <w:r>
        <w:rPr>
          <w:rFonts w:ascii="Times New Roman" w:hAnsi="Times New Roman" w:cs="Times New Roman"/>
          <w:color w:val="auto"/>
          <w:sz w:val="22"/>
          <w:szCs w:val="22"/>
        </w:rPr>
        <w:t xml:space="preserve">. In future studies, the above speculation needs to put to test by examining the stability of the reader groups across different samples.  </w:t>
      </w:r>
      <w:bookmarkEnd w:id="63"/>
      <w:bookmarkEnd w:id="69"/>
      <w:bookmarkEnd w:id="70"/>
    </w:p>
    <w:p w:rsidR="004D2580" w:rsidRDefault="0034511E">
      <w:pPr>
        <w:pStyle w:val="A0"/>
        <w:adjustRightInd w:val="0"/>
        <w:snapToGrid w:val="0"/>
        <w:spacing w:after="160" w:line="480" w:lineRule="auto"/>
        <w:rPr>
          <w:rFonts w:ascii="Times New Roman" w:eastAsia="SimSun" w:hAnsi="Times New Roman" w:cs="Times New Roman"/>
          <w:i/>
          <w:color w:val="auto"/>
          <w:sz w:val="22"/>
          <w:szCs w:val="22"/>
        </w:rPr>
      </w:pPr>
      <w:r>
        <w:rPr>
          <w:rFonts w:ascii="Times New Roman" w:hAnsi="Times New Roman"/>
          <w:i/>
          <w:color w:val="auto"/>
          <w:sz w:val="22"/>
        </w:rPr>
        <w:t>4</w:t>
      </w:r>
      <w:r>
        <w:rPr>
          <w:rFonts w:ascii="Times New Roman" w:eastAsia="SimSun" w:hAnsi="Times New Roman" w:cs="Times New Roman"/>
          <w:i/>
          <w:color w:val="auto"/>
          <w:sz w:val="22"/>
          <w:szCs w:val="22"/>
        </w:rPr>
        <w:t>.3.</w:t>
      </w:r>
      <w:r>
        <w:rPr>
          <w:rFonts w:ascii="Times New Roman" w:eastAsia="SimSun" w:hAnsi="Times New Roman" w:cs="Times New Roman" w:hint="eastAsia"/>
          <w:i/>
          <w:color w:val="auto"/>
          <w:sz w:val="22"/>
          <w:szCs w:val="22"/>
        </w:rPr>
        <w:t xml:space="preserve"> </w:t>
      </w:r>
      <w:r>
        <w:rPr>
          <w:rFonts w:ascii="Times New Roman" w:eastAsia="SimSun" w:hAnsi="Times New Roman" w:cs="Times New Roman"/>
          <w:i/>
          <w:color w:val="auto"/>
          <w:sz w:val="22"/>
          <w:szCs w:val="22"/>
        </w:rPr>
        <w:t>Practical implications</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 xml:space="preserve">Perhaps the most important practical implication of the present study is that even competent adult readers (university students) demonstrate significant individual differences in their text comprehension strategies. The good news is that we observed in both experiments a group of readers (TSPs) who strategically focus their attention on main points in the text. Their processing is internally guided and they do not need external support to selectively guide their attention to key points. However, the majority of readers </w:t>
      </w:r>
      <w:proofErr w:type="gramStart"/>
      <w:r>
        <w:rPr>
          <w:rFonts w:ascii="Times New Roman" w:hAnsi="Times New Roman" w:cs="Times New Roman"/>
          <w:color w:val="auto"/>
          <w:sz w:val="22"/>
          <w:szCs w:val="22"/>
        </w:rPr>
        <w:t>was</w:t>
      </w:r>
      <w:proofErr w:type="gramEnd"/>
      <w:r>
        <w:rPr>
          <w:rFonts w:ascii="Times New Roman" w:hAnsi="Times New Roman" w:cs="Times New Roman"/>
          <w:color w:val="auto"/>
          <w:sz w:val="22"/>
          <w:szCs w:val="22"/>
        </w:rPr>
        <w:t xml:space="preserve"> found to benefit from visual signals (underlining) to main points. Thus, even in university-level textbook materials it makes sense to visually highlight important text elements. Underlining is one way to do it, but separate textboxes summarizing each key point could be another method.</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 xml:space="preserve">Less strategic readers may also be taught to mimic the cognitive processes carried out by strategic processors. The following guidelines may be offered: (1) </w:t>
      </w:r>
      <w:proofErr w:type="gramStart"/>
      <w:r>
        <w:rPr>
          <w:rFonts w:ascii="Times New Roman" w:hAnsi="Times New Roman" w:cs="Times New Roman"/>
          <w:color w:val="auto"/>
          <w:sz w:val="22"/>
          <w:szCs w:val="22"/>
        </w:rPr>
        <w:t>If</w:t>
      </w:r>
      <w:proofErr w:type="gramEnd"/>
      <w:r>
        <w:rPr>
          <w:rFonts w:ascii="Times New Roman" w:hAnsi="Times New Roman" w:cs="Times New Roman"/>
          <w:color w:val="auto"/>
          <w:sz w:val="22"/>
          <w:szCs w:val="22"/>
        </w:rPr>
        <w:t xml:space="preserve"> the task is to understand and remember the main points in the text (as it is usually the case when learning from long expository texts), keep that goal constantly in mind. (2) Look for main points; when you find </w:t>
      </w:r>
      <w:r>
        <w:rPr>
          <w:rFonts w:ascii="Times New Roman" w:hAnsi="Times New Roman" w:cs="Times New Roman"/>
          <w:color w:val="auto"/>
          <w:sz w:val="22"/>
          <w:szCs w:val="22"/>
        </w:rPr>
        <w:lastRenderedPageBreak/>
        <w:t>one, pay particular attention to it. It may be advisable to return to it from time to time to activate it more strongly in your mind. (3) Relate and integrate detailed information to the main point you have identified. (4) Keep in mind that in many expository texts the first sentence in the paragraph may express the main point that is then elaborated in the remaining part of the paragraph. Alternatively or in addition, a text paragraph may end in a short summary of the paragraph’s key contents.</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 xml:space="preserve">The present study also informs teachers that rereading and looking back in text is not necessarily a sign of incompetent behavior, as it is quite often believed. In contrast, selective looking back to and rereading the text’s main points represents advantageous behavior and signs of smart behavior. It is true that rereading may sometimes be a sign of comprehension struggle, as it may be the case to some extent with SLRs. Extensive and non-selective rereading of long text segments also reflects a non-optimal processing strategy, as witnessed among NSRs. </w:t>
      </w:r>
    </w:p>
    <w:p w:rsidR="004D2580" w:rsidRDefault="0034511E">
      <w:pPr>
        <w:pStyle w:val="A0"/>
        <w:adjustRightInd w:val="0"/>
        <w:snapToGrid w:val="0"/>
        <w:spacing w:after="160" w:line="480" w:lineRule="auto"/>
        <w:rPr>
          <w:rFonts w:ascii="Times New Roman" w:eastAsia="SimSun" w:hAnsi="Times New Roman" w:cs="Times New Roman"/>
          <w:i/>
          <w:color w:val="auto"/>
          <w:sz w:val="22"/>
          <w:szCs w:val="22"/>
        </w:rPr>
      </w:pPr>
      <w:r>
        <w:rPr>
          <w:rFonts w:ascii="Times New Roman" w:hAnsi="Times New Roman"/>
          <w:i/>
          <w:color w:val="auto"/>
          <w:sz w:val="22"/>
        </w:rPr>
        <w:t>4</w:t>
      </w:r>
      <w:r>
        <w:rPr>
          <w:rFonts w:ascii="Times New Roman" w:eastAsia="SimSun" w:hAnsi="Times New Roman" w:cs="Times New Roman"/>
          <w:i/>
          <w:color w:val="auto"/>
          <w:sz w:val="22"/>
          <w:szCs w:val="22"/>
        </w:rPr>
        <w:t>.4. Shortcomings of the present research</w:t>
      </w:r>
    </w:p>
    <w:p w:rsidR="004D2580" w:rsidRDefault="0034511E">
      <w:pPr>
        <w:pStyle w:val="A0"/>
        <w:adjustRightInd w:val="0"/>
        <w:snapToGrid w:val="0"/>
        <w:spacing w:after="160" w:line="480" w:lineRule="auto"/>
        <w:ind w:firstLineChars="200" w:firstLine="440"/>
        <w:rPr>
          <w:rFonts w:ascii="Times New Roman" w:hAnsi="Times New Roman" w:cs="Times New Roman"/>
          <w:color w:val="auto"/>
          <w:sz w:val="22"/>
          <w:szCs w:val="22"/>
        </w:rPr>
      </w:pPr>
      <w:r>
        <w:rPr>
          <w:rFonts w:ascii="Times New Roman" w:hAnsi="Times New Roman" w:cs="Times New Roman"/>
          <w:color w:val="auto"/>
          <w:sz w:val="22"/>
          <w:szCs w:val="22"/>
        </w:rPr>
        <w:t xml:space="preserve">There are three shortcomings in the present study. </w:t>
      </w:r>
      <w:r>
        <w:rPr>
          <w:rFonts w:ascii="Times New Roman" w:hAnsi="Times New Roman" w:cs="Times New Roman" w:hint="eastAsia"/>
          <w:color w:val="auto"/>
          <w:sz w:val="22"/>
          <w:szCs w:val="22"/>
        </w:rPr>
        <w:t>One</w:t>
      </w:r>
      <w:r>
        <w:rPr>
          <w:rFonts w:ascii="Times New Roman" w:hAnsi="Times New Roman" w:cs="Times New Roman"/>
          <w:color w:val="auto"/>
          <w:sz w:val="22"/>
          <w:szCs w:val="22"/>
        </w:rPr>
        <w:t xml:space="preserve"> limitation is that the two texts were presented in the same order without counterbalancing. Thus, it limits us to analyze the cluster stability within an individual</w:t>
      </w:r>
      <w:r>
        <w:rPr>
          <w:rFonts w:ascii="Times New Roman" w:hAnsi="Times New Roman" w:cs="Times New Roman" w:hint="eastAsia"/>
          <w:color w:val="auto"/>
          <w:sz w:val="22"/>
          <w:szCs w:val="22"/>
        </w:rPr>
        <w:t xml:space="preserve"> between </w:t>
      </w:r>
      <w:r>
        <w:rPr>
          <w:rFonts w:ascii="Times New Roman" w:hAnsi="Times New Roman" w:cs="Times New Roman"/>
          <w:color w:val="auto"/>
          <w:sz w:val="22"/>
          <w:szCs w:val="22"/>
        </w:rPr>
        <w:t xml:space="preserve">two texts. Another shortcoming is that the two samples between the experiments were not completely comparable. Although highly similar cluster solutions were obtained in the two experiments, the reader clusters, apart from TSPs, did not demonstrate completely comparable reading behavior across the two experiments. Thus, some of the reader profiles were not as uniform as one would have hoped. On the other hand, the choice of two somewhat distinct samples brought about results that suggest avenues for future research. It would be interesting to replicate the present study with less competent readers than university students, such as high school students. Finally, we did not assess the cognitive profiles of the reader groups. Future research should characterize the underlying cognitive underpinnings (e.g., general language skills, working memory span, and fluid intelligence) of the four reading styles. </w:t>
      </w:r>
    </w:p>
    <w:p w:rsidR="004D2580" w:rsidRDefault="0034511E">
      <w:pPr>
        <w:pStyle w:val="A0"/>
        <w:adjustRightInd w:val="0"/>
        <w:snapToGrid w:val="0"/>
        <w:spacing w:after="160" w:line="480" w:lineRule="auto"/>
        <w:rPr>
          <w:rFonts w:ascii="Times New Roman" w:hAnsi="Times New Roman" w:cs="Times New Roman"/>
          <w:b/>
          <w:color w:val="auto"/>
          <w:sz w:val="22"/>
          <w:szCs w:val="22"/>
        </w:rPr>
      </w:pPr>
      <w:r>
        <w:rPr>
          <w:rFonts w:ascii="Times New Roman" w:hAnsi="Times New Roman" w:cs="Times New Roman"/>
          <w:b/>
          <w:color w:val="auto"/>
          <w:sz w:val="22"/>
          <w:szCs w:val="22"/>
        </w:rPr>
        <w:lastRenderedPageBreak/>
        <w:t>References</w:t>
      </w:r>
    </w:p>
    <w:p w:rsidR="004D2580" w:rsidRDefault="0034511E">
      <w:pPr>
        <w:adjustRightInd w:val="0"/>
        <w:snapToGrid w:val="0"/>
        <w:spacing w:after="0" w:line="480" w:lineRule="auto"/>
        <w:ind w:left="400" w:hangingChars="200" w:hanging="400"/>
        <w:jc w:val="both"/>
        <w:rPr>
          <w:rFonts w:eastAsia="DengXian"/>
          <w:sz w:val="20"/>
          <w:lang w:eastAsia="zh-CN"/>
        </w:rPr>
      </w:pPr>
      <w:bookmarkStart w:id="80" w:name="_ENREF_1"/>
      <w:proofErr w:type="spellStart"/>
      <w:proofErr w:type="gramStart"/>
      <w:r>
        <w:rPr>
          <w:rFonts w:eastAsia="DengXian"/>
          <w:sz w:val="20"/>
          <w:lang w:eastAsia="zh-CN"/>
        </w:rPr>
        <w:t>Afflerbach</w:t>
      </w:r>
      <w:proofErr w:type="spellEnd"/>
      <w:r>
        <w:rPr>
          <w:rFonts w:eastAsia="DengXian"/>
          <w:sz w:val="20"/>
          <w:lang w:eastAsia="zh-CN"/>
        </w:rPr>
        <w:t>, P., Pearson, P. D., &amp; Paris, S. G. (2008).</w:t>
      </w:r>
      <w:proofErr w:type="gramEnd"/>
      <w:r>
        <w:rPr>
          <w:rFonts w:eastAsia="DengXian"/>
          <w:sz w:val="20"/>
          <w:lang w:eastAsia="zh-CN"/>
        </w:rPr>
        <w:t xml:space="preserve"> </w:t>
      </w:r>
      <w:proofErr w:type="gramStart"/>
      <w:r>
        <w:rPr>
          <w:rFonts w:eastAsia="DengXian"/>
          <w:sz w:val="20"/>
          <w:lang w:eastAsia="zh-CN"/>
        </w:rPr>
        <w:t>Clarifying differences between reading skills and reading strategies.</w:t>
      </w:r>
      <w:proofErr w:type="gramEnd"/>
      <w:r>
        <w:rPr>
          <w:rFonts w:eastAsia="DengXian"/>
          <w:sz w:val="20"/>
          <w:lang w:eastAsia="zh-CN"/>
        </w:rPr>
        <w:t xml:space="preserve"> </w:t>
      </w:r>
      <w:r>
        <w:rPr>
          <w:rFonts w:eastAsia="DengXian"/>
          <w:i/>
          <w:sz w:val="20"/>
          <w:lang w:eastAsia="zh-CN"/>
        </w:rPr>
        <w:t>The Reading Teacher, 61</w:t>
      </w:r>
      <w:r>
        <w:rPr>
          <w:rFonts w:eastAsia="DengXian"/>
          <w:sz w:val="20"/>
          <w:lang w:eastAsia="zh-CN"/>
        </w:rPr>
        <w:t xml:space="preserve">(5), 364–373. </w:t>
      </w:r>
      <w:bookmarkEnd w:id="80"/>
    </w:p>
    <w:p w:rsidR="004D2580" w:rsidRDefault="0034511E">
      <w:pPr>
        <w:adjustRightInd w:val="0"/>
        <w:snapToGrid w:val="0"/>
        <w:spacing w:after="0" w:line="480" w:lineRule="auto"/>
        <w:ind w:left="400" w:hangingChars="200" w:hanging="400"/>
        <w:jc w:val="both"/>
        <w:rPr>
          <w:rFonts w:eastAsia="DengXian"/>
          <w:sz w:val="20"/>
          <w:lang w:eastAsia="zh-CN"/>
        </w:rPr>
      </w:pPr>
      <w:bookmarkStart w:id="81" w:name="_ENREF_2"/>
      <w:proofErr w:type="gramStart"/>
      <w:r>
        <w:rPr>
          <w:rFonts w:eastAsia="DengXian"/>
          <w:sz w:val="20"/>
          <w:lang w:eastAsia="zh-CN"/>
        </w:rPr>
        <w:t>Alexander, P. A., Graham, S., &amp; Harris, K. R. (1998).</w:t>
      </w:r>
      <w:proofErr w:type="gramEnd"/>
      <w:r>
        <w:rPr>
          <w:rFonts w:eastAsia="DengXian"/>
          <w:sz w:val="20"/>
          <w:lang w:eastAsia="zh-CN"/>
        </w:rPr>
        <w:t xml:space="preserve"> A perspective on strategy research: Progress and prospects. </w:t>
      </w:r>
      <w:r>
        <w:rPr>
          <w:rFonts w:eastAsia="DengXian"/>
          <w:i/>
          <w:sz w:val="20"/>
          <w:lang w:eastAsia="zh-CN"/>
        </w:rPr>
        <w:t>Educational Psychology Review, 10</w:t>
      </w:r>
      <w:r>
        <w:rPr>
          <w:rFonts w:eastAsia="DengXian"/>
          <w:sz w:val="20"/>
          <w:lang w:eastAsia="zh-CN"/>
        </w:rPr>
        <w:t xml:space="preserve">(2), 129–154. </w:t>
      </w:r>
      <w:bookmarkEnd w:id="81"/>
    </w:p>
    <w:p w:rsidR="004D2580" w:rsidRDefault="0034511E">
      <w:pPr>
        <w:adjustRightInd w:val="0"/>
        <w:snapToGrid w:val="0"/>
        <w:spacing w:after="0" w:line="480" w:lineRule="auto"/>
        <w:ind w:left="400" w:hangingChars="200" w:hanging="400"/>
        <w:jc w:val="both"/>
        <w:rPr>
          <w:rFonts w:eastAsia="DengXian"/>
          <w:sz w:val="20"/>
          <w:lang w:eastAsia="zh-CN"/>
        </w:rPr>
      </w:pPr>
      <w:bookmarkStart w:id="82" w:name="_ENREF_3"/>
      <w:proofErr w:type="spellStart"/>
      <w:r>
        <w:rPr>
          <w:sz w:val="20"/>
          <w:lang w:val="en-US"/>
        </w:rPr>
        <w:t>Anmarkrud</w:t>
      </w:r>
      <w:proofErr w:type="spellEnd"/>
      <w:r>
        <w:rPr>
          <w:sz w:val="20"/>
          <w:lang w:val="en-US"/>
        </w:rPr>
        <w:t xml:space="preserve">, </w:t>
      </w:r>
      <w:proofErr w:type="gramStart"/>
      <w:r>
        <w:rPr>
          <w:sz w:val="20"/>
          <w:lang w:val="en-US"/>
        </w:rPr>
        <w:t>Ø.,</w:t>
      </w:r>
      <w:proofErr w:type="gramEnd"/>
      <w:r>
        <w:rPr>
          <w:sz w:val="20"/>
          <w:lang w:val="en-US"/>
        </w:rPr>
        <w:t xml:space="preserve"> </w:t>
      </w:r>
      <w:proofErr w:type="spellStart"/>
      <w:r>
        <w:rPr>
          <w:sz w:val="20"/>
          <w:lang w:val="en-US"/>
        </w:rPr>
        <w:t>McCrudden</w:t>
      </w:r>
      <w:proofErr w:type="spellEnd"/>
      <w:r>
        <w:rPr>
          <w:sz w:val="20"/>
          <w:lang w:val="en-US"/>
        </w:rPr>
        <w:t xml:space="preserve">, M. T., </w:t>
      </w:r>
      <w:proofErr w:type="spellStart"/>
      <w:r>
        <w:rPr>
          <w:sz w:val="20"/>
          <w:lang w:val="en-US"/>
        </w:rPr>
        <w:t>Bråten</w:t>
      </w:r>
      <w:proofErr w:type="spellEnd"/>
      <w:r>
        <w:rPr>
          <w:sz w:val="20"/>
          <w:lang w:val="en-US"/>
        </w:rPr>
        <w:t xml:space="preserve">, I., &amp; </w:t>
      </w:r>
      <w:proofErr w:type="spellStart"/>
      <w:r>
        <w:rPr>
          <w:sz w:val="20"/>
          <w:lang w:val="en-US"/>
        </w:rPr>
        <w:t>Strømsø</w:t>
      </w:r>
      <w:proofErr w:type="spellEnd"/>
      <w:r>
        <w:rPr>
          <w:sz w:val="20"/>
          <w:lang w:val="en-US"/>
        </w:rPr>
        <w:t xml:space="preserve">, H. I. (2013). </w:t>
      </w:r>
      <w:r>
        <w:rPr>
          <w:rFonts w:eastAsia="DengXian"/>
          <w:sz w:val="20"/>
          <w:lang w:eastAsia="zh-CN"/>
        </w:rPr>
        <w:t xml:space="preserve">Task-oriented reading of multiple documents: Online comprehension processes and offline products. </w:t>
      </w:r>
      <w:r>
        <w:rPr>
          <w:rFonts w:eastAsia="DengXian"/>
          <w:i/>
          <w:sz w:val="20"/>
          <w:lang w:eastAsia="zh-CN"/>
        </w:rPr>
        <w:t>Instructional Science, 41</w:t>
      </w:r>
      <w:r>
        <w:rPr>
          <w:rFonts w:eastAsia="DengXian"/>
          <w:sz w:val="20"/>
          <w:lang w:eastAsia="zh-CN"/>
        </w:rPr>
        <w:t xml:space="preserve">(5), 873–894. </w:t>
      </w:r>
      <w:bookmarkEnd w:id="82"/>
    </w:p>
    <w:p w:rsidR="004D2580" w:rsidRDefault="0034511E">
      <w:pPr>
        <w:adjustRightInd w:val="0"/>
        <w:snapToGrid w:val="0"/>
        <w:spacing w:after="0" w:line="480" w:lineRule="auto"/>
        <w:ind w:left="400" w:hangingChars="200" w:hanging="400"/>
        <w:jc w:val="both"/>
        <w:rPr>
          <w:rFonts w:eastAsia="DengXian"/>
          <w:sz w:val="20"/>
          <w:lang w:eastAsia="zh-CN"/>
        </w:rPr>
      </w:pPr>
      <w:bookmarkStart w:id="83" w:name="_ENREF_4"/>
      <w:proofErr w:type="spellStart"/>
      <w:proofErr w:type="gramStart"/>
      <w:r>
        <w:rPr>
          <w:rFonts w:eastAsia="DengXian"/>
          <w:sz w:val="20"/>
          <w:lang w:eastAsia="zh-CN"/>
        </w:rPr>
        <w:t>Bransford</w:t>
      </w:r>
      <w:proofErr w:type="spellEnd"/>
      <w:r>
        <w:rPr>
          <w:rFonts w:eastAsia="DengXian"/>
          <w:sz w:val="20"/>
          <w:lang w:eastAsia="zh-CN"/>
        </w:rPr>
        <w:t>, J. D., &amp; Johnson, M. K. (1972).</w:t>
      </w:r>
      <w:proofErr w:type="gramEnd"/>
      <w:r>
        <w:rPr>
          <w:rFonts w:eastAsia="DengXian"/>
          <w:sz w:val="20"/>
          <w:lang w:eastAsia="zh-CN"/>
        </w:rPr>
        <w:t xml:space="preserve"> Contextual prerequisites for understanding: Some investigations of comprehension and recall. </w:t>
      </w:r>
      <w:r>
        <w:rPr>
          <w:rFonts w:eastAsia="DengXian"/>
          <w:i/>
          <w:sz w:val="20"/>
          <w:lang w:eastAsia="zh-CN"/>
        </w:rPr>
        <w:t xml:space="preserve">Journal of Verbal Learning and Verbal </w:t>
      </w:r>
      <w:proofErr w:type="spellStart"/>
      <w:r>
        <w:rPr>
          <w:rFonts w:eastAsia="DengXian"/>
          <w:i/>
          <w:sz w:val="20"/>
          <w:lang w:eastAsia="zh-CN"/>
        </w:rPr>
        <w:t>Behavior</w:t>
      </w:r>
      <w:proofErr w:type="spellEnd"/>
      <w:r>
        <w:rPr>
          <w:rFonts w:eastAsia="DengXian"/>
          <w:i/>
          <w:sz w:val="20"/>
          <w:lang w:eastAsia="zh-CN"/>
        </w:rPr>
        <w:t>, 11</w:t>
      </w:r>
      <w:r>
        <w:rPr>
          <w:rFonts w:eastAsia="DengXian"/>
          <w:sz w:val="20"/>
          <w:lang w:eastAsia="zh-CN"/>
        </w:rPr>
        <w:t xml:space="preserve">(6), 717–726. </w:t>
      </w:r>
      <w:bookmarkEnd w:id="83"/>
    </w:p>
    <w:p w:rsidR="004D2580" w:rsidRDefault="0034511E">
      <w:pPr>
        <w:adjustRightInd w:val="0"/>
        <w:snapToGrid w:val="0"/>
        <w:spacing w:after="0" w:line="480" w:lineRule="auto"/>
        <w:ind w:left="400" w:hangingChars="200" w:hanging="400"/>
        <w:jc w:val="both"/>
        <w:rPr>
          <w:rFonts w:eastAsia="DengXian"/>
          <w:sz w:val="20"/>
          <w:lang w:eastAsia="zh-CN"/>
        </w:rPr>
      </w:pPr>
      <w:bookmarkStart w:id="84" w:name="_ENREF_5"/>
      <w:proofErr w:type="spellStart"/>
      <w:proofErr w:type="gramStart"/>
      <w:r>
        <w:rPr>
          <w:sz w:val="20"/>
        </w:rPr>
        <w:t>Bråten</w:t>
      </w:r>
      <w:proofErr w:type="spellEnd"/>
      <w:r>
        <w:rPr>
          <w:sz w:val="20"/>
        </w:rPr>
        <w:t xml:space="preserve">, I., </w:t>
      </w:r>
      <w:proofErr w:type="spellStart"/>
      <w:r>
        <w:rPr>
          <w:sz w:val="20"/>
        </w:rPr>
        <w:t>McCrudden</w:t>
      </w:r>
      <w:proofErr w:type="spellEnd"/>
      <w:r>
        <w:rPr>
          <w:sz w:val="20"/>
        </w:rPr>
        <w:t xml:space="preserve">, M. T., </w:t>
      </w:r>
      <w:proofErr w:type="spellStart"/>
      <w:r>
        <w:rPr>
          <w:sz w:val="20"/>
        </w:rPr>
        <w:t>Stang</w:t>
      </w:r>
      <w:proofErr w:type="spellEnd"/>
      <w:r>
        <w:rPr>
          <w:sz w:val="20"/>
        </w:rPr>
        <w:t xml:space="preserve"> Lund, E., </w:t>
      </w:r>
      <w:proofErr w:type="spellStart"/>
      <w:r>
        <w:rPr>
          <w:sz w:val="20"/>
        </w:rPr>
        <w:t>Brante</w:t>
      </w:r>
      <w:proofErr w:type="spellEnd"/>
      <w:r>
        <w:rPr>
          <w:sz w:val="20"/>
        </w:rPr>
        <w:t xml:space="preserve">, E. W., &amp; </w:t>
      </w:r>
      <w:proofErr w:type="spellStart"/>
      <w:r>
        <w:rPr>
          <w:sz w:val="20"/>
        </w:rPr>
        <w:t>Strømsø</w:t>
      </w:r>
      <w:proofErr w:type="spellEnd"/>
      <w:r>
        <w:rPr>
          <w:sz w:val="20"/>
        </w:rPr>
        <w:t>, H. I. (2017).</w:t>
      </w:r>
      <w:proofErr w:type="gramEnd"/>
      <w:r>
        <w:rPr>
          <w:sz w:val="20"/>
        </w:rPr>
        <w:t xml:space="preserve"> </w:t>
      </w:r>
      <w:r>
        <w:rPr>
          <w:rFonts w:eastAsia="DengXian"/>
          <w:sz w:val="20"/>
          <w:lang w:eastAsia="zh-CN"/>
        </w:rPr>
        <w:t xml:space="preserve">Task-oriented learning with multiple documents: Effects of topic familiarity, author expertise, and content relevance on document selection, processing, and use. </w:t>
      </w:r>
      <w:proofErr w:type="gramStart"/>
      <w:r>
        <w:rPr>
          <w:rFonts w:eastAsia="DengXian"/>
          <w:i/>
          <w:sz w:val="20"/>
          <w:lang w:eastAsia="zh-CN"/>
        </w:rPr>
        <w:t>Reading Research Quarterly</w:t>
      </w:r>
      <w:r>
        <w:rPr>
          <w:rFonts w:eastAsia="DengXian" w:hint="eastAsia"/>
          <w:i/>
          <w:sz w:val="20"/>
          <w:lang w:eastAsia="zh-CN"/>
        </w:rPr>
        <w:t xml:space="preserve">, </w:t>
      </w:r>
      <w:r>
        <w:rPr>
          <w:rFonts w:eastAsia="DengXian"/>
          <w:sz w:val="20"/>
          <w:lang w:eastAsia="zh-CN"/>
        </w:rPr>
        <w:t>(</w:t>
      </w:r>
      <w:r>
        <w:rPr>
          <w:rFonts w:eastAsia="DengXian" w:hint="eastAsia"/>
          <w:sz w:val="20"/>
          <w:lang w:eastAsia="zh-CN"/>
        </w:rPr>
        <w:t>4</w:t>
      </w:r>
      <w:r>
        <w:rPr>
          <w:rFonts w:eastAsia="DengXian"/>
          <w:sz w:val="20"/>
          <w:lang w:eastAsia="zh-CN"/>
        </w:rPr>
        <w:t xml:space="preserve">), </w:t>
      </w:r>
      <w:r>
        <w:rPr>
          <w:rFonts w:eastAsia="DengXian" w:hint="eastAsia"/>
          <w:sz w:val="20"/>
          <w:lang w:eastAsia="zh-CN"/>
        </w:rPr>
        <w:t>1</w:t>
      </w:r>
      <w:r>
        <w:rPr>
          <w:rFonts w:eastAsia="DengXian"/>
          <w:sz w:val="20"/>
          <w:lang w:eastAsia="zh-CN"/>
        </w:rPr>
        <w:t>–</w:t>
      </w:r>
      <w:r>
        <w:rPr>
          <w:rFonts w:eastAsia="DengXian" w:hint="eastAsia"/>
          <w:sz w:val="20"/>
          <w:lang w:eastAsia="zh-CN"/>
        </w:rPr>
        <w:t>21</w:t>
      </w:r>
      <w:r>
        <w:rPr>
          <w:rFonts w:eastAsia="DengXian"/>
          <w:sz w:val="20"/>
          <w:lang w:eastAsia="zh-CN"/>
        </w:rPr>
        <w:t>.</w:t>
      </w:r>
      <w:proofErr w:type="gramEnd"/>
      <w:r>
        <w:rPr>
          <w:rFonts w:eastAsia="DengXian"/>
          <w:sz w:val="20"/>
          <w:lang w:eastAsia="zh-CN"/>
        </w:rPr>
        <w:t xml:space="preserve"> </w:t>
      </w:r>
      <w:bookmarkEnd w:id="84"/>
    </w:p>
    <w:p w:rsidR="004D2580" w:rsidRDefault="0034511E">
      <w:pPr>
        <w:adjustRightInd w:val="0"/>
        <w:snapToGrid w:val="0"/>
        <w:spacing w:after="0" w:line="480" w:lineRule="auto"/>
        <w:ind w:left="400" w:hangingChars="200" w:hanging="400"/>
        <w:jc w:val="both"/>
        <w:rPr>
          <w:rFonts w:eastAsia="DengXian"/>
          <w:sz w:val="20"/>
          <w:lang w:eastAsia="zh-CN"/>
        </w:rPr>
      </w:pPr>
      <w:bookmarkStart w:id="85" w:name="_ENREF_6"/>
      <w:proofErr w:type="spellStart"/>
      <w:r>
        <w:rPr>
          <w:rFonts w:eastAsia="DengXian"/>
          <w:sz w:val="20"/>
          <w:lang w:eastAsia="zh-CN"/>
        </w:rPr>
        <w:t>Bråten</w:t>
      </w:r>
      <w:proofErr w:type="spellEnd"/>
      <w:r>
        <w:rPr>
          <w:rFonts w:eastAsia="DengXian"/>
          <w:sz w:val="20"/>
          <w:lang w:eastAsia="zh-CN"/>
        </w:rPr>
        <w:t xml:space="preserve">, I., &amp; </w:t>
      </w:r>
      <w:proofErr w:type="spellStart"/>
      <w:r>
        <w:rPr>
          <w:rFonts w:eastAsia="DengXian"/>
          <w:sz w:val="20"/>
          <w:lang w:eastAsia="zh-CN"/>
        </w:rPr>
        <w:t>Samuelstuen</w:t>
      </w:r>
      <w:proofErr w:type="spellEnd"/>
      <w:r>
        <w:rPr>
          <w:rFonts w:eastAsia="DengXian"/>
          <w:sz w:val="20"/>
          <w:lang w:eastAsia="zh-CN"/>
        </w:rPr>
        <w:t xml:space="preserve">, M. S. (2004). Does the influence of reading purpose on reports of strategic text processing depend on students' topic knowledge? </w:t>
      </w:r>
      <w:r>
        <w:rPr>
          <w:rFonts w:eastAsia="DengXian"/>
          <w:i/>
          <w:sz w:val="20"/>
          <w:lang w:eastAsia="zh-CN"/>
        </w:rPr>
        <w:t>Journal of Educational Psychology, 96</w:t>
      </w:r>
      <w:r>
        <w:rPr>
          <w:rFonts w:eastAsia="DengXian"/>
          <w:sz w:val="20"/>
          <w:lang w:eastAsia="zh-CN"/>
        </w:rPr>
        <w:t xml:space="preserve">(2), 324–336. </w:t>
      </w:r>
      <w:bookmarkEnd w:id="85"/>
    </w:p>
    <w:p w:rsidR="004D2580" w:rsidRDefault="0034511E">
      <w:pPr>
        <w:adjustRightInd w:val="0"/>
        <w:snapToGrid w:val="0"/>
        <w:spacing w:after="0" w:line="480" w:lineRule="auto"/>
        <w:ind w:left="400" w:hangingChars="200" w:hanging="400"/>
        <w:jc w:val="both"/>
        <w:rPr>
          <w:rFonts w:eastAsia="DengXian"/>
          <w:sz w:val="20"/>
          <w:lang w:eastAsia="zh-CN"/>
        </w:rPr>
      </w:pPr>
      <w:proofErr w:type="spellStart"/>
      <w:r>
        <w:rPr>
          <w:rFonts w:eastAsia="DengXian"/>
          <w:sz w:val="20"/>
          <w:lang w:eastAsia="zh-CN"/>
        </w:rPr>
        <w:t>Dolnicar</w:t>
      </w:r>
      <w:proofErr w:type="spellEnd"/>
      <w:r>
        <w:rPr>
          <w:rFonts w:eastAsia="DengXian"/>
          <w:sz w:val="20"/>
          <w:lang w:eastAsia="zh-CN"/>
        </w:rPr>
        <w:t>, S. (2002 December). A Review of Unquestioned Standards in Using Cluster Analysis for Data-driven Market Segmentation, CD Conference Proceedings of the Australian and New Zealand Marketing Academy Conference 2002, Deakin University, Melbourne.</w:t>
      </w:r>
    </w:p>
    <w:p w:rsidR="004D2580" w:rsidRDefault="0034511E">
      <w:pPr>
        <w:adjustRightInd w:val="0"/>
        <w:snapToGrid w:val="0"/>
        <w:spacing w:after="0" w:line="480" w:lineRule="auto"/>
        <w:ind w:left="400" w:hangingChars="200" w:hanging="400"/>
        <w:jc w:val="both"/>
        <w:rPr>
          <w:rFonts w:eastAsia="DengXian"/>
          <w:sz w:val="20"/>
          <w:lang w:eastAsia="zh-CN"/>
        </w:rPr>
      </w:pPr>
      <w:bookmarkStart w:id="86" w:name="_ENREF_7"/>
      <w:proofErr w:type="spellStart"/>
      <w:r>
        <w:rPr>
          <w:rFonts w:eastAsia="DengXian"/>
          <w:sz w:val="20"/>
          <w:lang w:val="sv-SE" w:eastAsia="zh-CN"/>
        </w:rPr>
        <w:t>Everitt</w:t>
      </w:r>
      <w:proofErr w:type="spellEnd"/>
      <w:r>
        <w:rPr>
          <w:rFonts w:eastAsia="DengXian"/>
          <w:sz w:val="20"/>
          <w:lang w:val="sv-SE" w:eastAsia="zh-CN"/>
        </w:rPr>
        <w:t xml:space="preserve">, B., Landau, S., </w:t>
      </w:r>
      <w:proofErr w:type="spellStart"/>
      <w:r>
        <w:rPr>
          <w:rFonts w:eastAsia="DengXian"/>
          <w:sz w:val="20"/>
          <w:lang w:val="sv-SE" w:eastAsia="zh-CN"/>
        </w:rPr>
        <w:t>Leese</w:t>
      </w:r>
      <w:proofErr w:type="spellEnd"/>
      <w:r>
        <w:rPr>
          <w:rFonts w:eastAsia="DengXian"/>
          <w:sz w:val="20"/>
          <w:lang w:val="sv-SE" w:eastAsia="zh-CN"/>
        </w:rPr>
        <w:t xml:space="preserve">, M., &amp; Stahl, D. (2001). </w:t>
      </w:r>
      <w:r>
        <w:rPr>
          <w:rFonts w:eastAsia="DengXian"/>
          <w:i/>
          <w:sz w:val="20"/>
          <w:lang w:eastAsia="zh-CN"/>
        </w:rPr>
        <w:t>Cluster analysis</w:t>
      </w:r>
      <w:r>
        <w:rPr>
          <w:rFonts w:eastAsia="DengXian" w:hint="eastAsia"/>
          <w:sz w:val="20"/>
          <w:lang w:eastAsia="zh-CN"/>
        </w:rPr>
        <w:t xml:space="preserve"> </w:t>
      </w:r>
      <w:r>
        <w:rPr>
          <w:rFonts w:eastAsia="DengXian"/>
          <w:sz w:val="22"/>
          <w:szCs w:val="22"/>
          <w:lang w:eastAsia="zh-CN"/>
        </w:rPr>
        <w:t xml:space="preserve">(4th </w:t>
      </w:r>
      <w:proofErr w:type="gramStart"/>
      <w:r>
        <w:rPr>
          <w:rFonts w:eastAsia="DengXian"/>
          <w:sz w:val="22"/>
          <w:szCs w:val="22"/>
          <w:lang w:eastAsia="zh-CN"/>
        </w:rPr>
        <w:t>ed</w:t>
      </w:r>
      <w:proofErr w:type="gramEnd"/>
      <w:r>
        <w:rPr>
          <w:rFonts w:eastAsia="DengXian"/>
          <w:sz w:val="22"/>
          <w:szCs w:val="22"/>
          <w:lang w:eastAsia="zh-CN"/>
        </w:rPr>
        <w:t xml:space="preserve">.). London: Oxford University Press. </w:t>
      </w:r>
      <w:r>
        <w:rPr>
          <w:rFonts w:eastAsia="DengXian"/>
          <w:sz w:val="20"/>
          <w:lang w:eastAsia="zh-CN"/>
        </w:rPr>
        <w:t xml:space="preserve"> </w:t>
      </w:r>
      <w:bookmarkEnd w:id="86"/>
    </w:p>
    <w:p w:rsidR="004D2580" w:rsidRDefault="0034511E">
      <w:pPr>
        <w:adjustRightInd w:val="0"/>
        <w:snapToGrid w:val="0"/>
        <w:spacing w:after="0" w:line="480" w:lineRule="auto"/>
        <w:ind w:left="400" w:hangingChars="200" w:hanging="400"/>
        <w:jc w:val="both"/>
        <w:rPr>
          <w:rFonts w:eastAsia="DengXian"/>
          <w:sz w:val="20"/>
          <w:lang w:eastAsia="zh-CN"/>
        </w:rPr>
      </w:pPr>
      <w:proofErr w:type="spellStart"/>
      <w:r>
        <w:rPr>
          <w:rFonts w:eastAsia="DengXian"/>
          <w:sz w:val="20"/>
          <w:lang w:val="sv-SE" w:eastAsia="zh-CN"/>
        </w:rPr>
        <w:t>Faul</w:t>
      </w:r>
      <w:proofErr w:type="spellEnd"/>
      <w:r>
        <w:rPr>
          <w:rFonts w:eastAsia="DengXian"/>
          <w:sz w:val="20"/>
          <w:lang w:val="sv-SE" w:eastAsia="zh-CN"/>
        </w:rPr>
        <w:t xml:space="preserve">, F., </w:t>
      </w:r>
      <w:proofErr w:type="spellStart"/>
      <w:r>
        <w:rPr>
          <w:rFonts w:eastAsia="DengXian"/>
          <w:sz w:val="20"/>
          <w:lang w:val="sv-SE" w:eastAsia="zh-CN"/>
        </w:rPr>
        <w:t>Erdfelder</w:t>
      </w:r>
      <w:proofErr w:type="spellEnd"/>
      <w:r>
        <w:rPr>
          <w:rFonts w:eastAsia="DengXian"/>
          <w:sz w:val="20"/>
          <w:lang w:val="sv-SE" w:eastAsia="zh-CN"/>
        </w:rPr>
        <w:t xml:space="preserve">, E., </w:t>
      </w:r>
      <w:proofErr w:type="spellStart"/>
      <w:r>
        <w:rPr>
          <w:rFonts w:eastAsia="DengXian"/>
          <w:sz w:val="20"/>
          <w:lang w:val="sv-SE" w:eastAsia="zh-CN"/>
        </w:rPr>
        <w:t>Buchner</w:t>
      </w:r>
      <w:proofErr w:type="spellEnd"/>
      <w:r>
        <w:rPr>
          <w:rFonts w:eastAsia="DengXian"/>
          <w:sz w:val="20"/>
          <w:lang w:val="sv-SE" w:eastAsia="zh-CN"/>
        </w:rPr>
        <w:t xml:space="preserve">, A., &amp; Lang, A. G. (2009). </w:t>
      </w:r>
      <w:r>
        <w:rPr>
          <w:rFonts w:eastAsia="DengXian"/>
          <w:sz w:val="20"/>
          <w:lang w:eastAsia="zh-CN"/>
        </w:rPr>
        <w:t xml:space="preserve">Statistical power analyses using G* Power 3.1: Tests for correlation and regression analyses. </w:t>
      </w:r>
      <w:proofErr w:type="spellStart"/>
      <w:r>
        <w:rPr>
          <w:rFonts w:eastAsia="DengXian"/>
          <w:i/>
          <w:sz w:val="20"/>
          <w:lang w:eastAsia="zh-CN"/>
        </w:rPr>
        <w:t>Behavior</w:t>
      </w:r>
      <w:proofErr w:type="spellEnd"/>
      <w:r>
        <w:rPr>
          <w:rFonts w:eastAsia="DengXian"/>
          <w:i/>
          <w:sz w:val="20"/>
          <w:lang w:eastAsia="zh-CN"/>
        </w:rPr>
        <w:t xml:space="preserve"> </w:t>
      </w:r>
      <w:r>
        <w:rPr>
          <w:rFonts w:eastAsia="DengXian" w:hint="eastAsia"/>
          <w:i/>
          <w:sz w:val="20"/>
          <w:lang w:eastAsia="zh-CN"/>
        </w:rPr>
        <w:t>R</w:t>
      </w:r>
      <w:r>
        <w:rPr>
          <w:rFonts w:eastAsia="DengXian"/>
          <w:i/>
          <w:sz w:val="20"/>
          <w:lang w:eastAsia="zh-CN"/>
        </w:rPr>
        <w:t xml:space="preserve">esearch </w:t>
      </w:r>
      <w:r>
        <w:rPr>
          <w:rFonts w:eastAsia="DengXian" w:hint="eastAsia"/>
          <w:i/>
          <w:sz w:val="20"/>
          <w:lang w:eastAsia="zh-CN"/>
        </w:rPr>
        <w:t>M</w:t>
      </w:r>
      <w:r>
        <w:rPr>
          <w:rFonts w:eastAsia="DengXian"/>
          <w:i/>
          <w:sz w:val="20"/>
          <w:lang w:eastAsia="zh-CN"/>
        </w:rPr>
        <w:t>ethods, 41</w:t>
      </w:r>
      <w:r>
        <w:rPr>
          <w:rFonts w:eastAsia="DengXian"/>
          <w:sz w:val="20"/>
          <w:lang w:eastAsia="zh-CN"/>
        </w:rPr>
        <w:t>(4), 1149–1160.</w:t>
      </w:r>
    </w:p>
    <w:p w:rsidR="004D2580" w:rsidRDefault="0034511E">
      <w:pPr>
        <w:adjustRightInd w:val="0"/>
        <w:snapToGrid w:val="0"/>
        <w:spacing w:after="0" w:line="480" w:lineRule="auto"/>
        <w:ind w:left="400" w:hangingChars="200" w:hanging="400"/>
        <w:jc w:val="both"/>
        <w:rPr>
          <w:rFonts w:eastAsia="DengXian"/>
          <w:sz w:val="20"/>
          <w:lang w:val="sv-SE" w:eastAsia="zh-CN"/>
        </w:rPr>
      </w:pPr>
      <w:proofErr w:type="spellStart"/>
      <w:r>
        <w:rPr>
          <w:rFonts w:eastAsia="DengXian"/>
          <w:sz w:val="20"/>
          <w:lang w:eastAsia="zh-CN"/>
        </w:rPr>
        <w:t>Formann</w:t>
      </w:r>
      <w:proofErr w:type="spellEnd"/>
      <w:r>
        <w:rPr>
          <w:rFonts w:eastAsia="DengXian"/>
          <w:sz w:val="20"/>
          <w:lang w:eastAsia="zh-CN"/>
        </w:rPr>
        <w:t xml:space="preserve">, A.K., (1984). </w:t>
      </w:r>
      <w:r>
        <w:rPr>
          <w:rFonts w:eastAsia="DengXian"/>
          <w:i/>
          <w:sz w:val="20"/>
          <w:lang w:eastAsia="zh-CN"/>
        </w:rPr>
        <w:t xml:space="preserve">Die Latent-Class-Analyse: </w:t>
      </w:r>
      <w:proofErr w:type="spellStart"/>
      <w:r>
        <w:rPr>
          <w:rFonts w:eastAsia="DengXian"/>
          <w:i/>
          <w:sz w:val="20"/>
          <w:lang w:eastAsia="zh-CN"/>
        </w:rPr>
        <w:t>Einführung</w:t>
      </w:r>
      <w:proofErr w:type="spellEnd"/>
      <w:r>
        <w:rPr>
          <w:rFonts w:eastAsia="DengXian"/>
          <w:i/>
          <w:sz w:val="20"/>
          <w:lang w:eastAsia="zh-CN"/>
        </w:rPr>
        <w:t xml:space="preserve"> in die </w:t>
      </w:r>
      <w:proofErr w:type="spellStart"/>
      <w:r>
        <w:rPr>
          <w:rFonts w:eastAsia="DengXian"/>
          <w:i/>
          <w:sz w:val="20"/>
          <w:lang w:eastAsia="zh-CN"/>
        </w:rPr>
        <w:t>Theorie</w:t>
      </w:r>
      <w:proofErr w:type="spellEnd"/>
      <w:r>
        <w:rPr>
          <w:rFonts w:eastAsia="DengXian"/>
          <w:i/>
          <w:sz w:val="20"/>
          <w:lang w:eastAsia="zh-CN"/>
        </w:rPr>
        <w:t xml:space="preserve"> und </w:t>
      </w:r>
      <w:proofErr w:type="spellStart"/>
      <w:r>
        <w:rPr>
          <w:rFonts w:eastAsia="DengXian"/>
          <w:i/>
          <w:sz w:val="20"/>
          <w:lang w:eastAsia="zh-CN"/>
        </w:rPr>
        <w:t>Anwendung</w:t>
      </w:r>
      <w:proofErr w:type="spellEnd"/>
      <w:r>
        <w:rPr>
          <w:rFonts w:eastAsia="DengXian"/>
          <w:i/>
          <w:sz w:val="20"/>
          <w:lang w:eastAsia="zh-CN"/>
        </w:rPr>
        <w:t xml:space="preserve">. </w:t>
      </w:r>
      <w:proofErr w:type="spellStart"/>
      <w:r>
        <w:rPr>
          <w:rFonts w:eastAsia="DengXian"/>
          <w:i/>
          <w:sz w:val="20"/>
          <w:lang w:val="sv-SE" w:eastAsia="zh-CN"/>
        </w:rPr>
        <w:t>Weinheim</w:t>
      </w:r>
      <w:proofErr w:type="spellEnd"/>
      <w:r>
        <w:rPr>
          <w:rFonts w:eastAsia="DengXian"/>
          <w:sz w:val="20"/>
          <w:lang w:val="sv-SE" w:eastAsia="zh-CN"/>
        </w:rPr>
        <w:t xml:space="preserve">: </w:t>
      </w:r>
      <w:proofErr w:type="spellStart"/>
      <w:r>
        <w:rPr>
          <w:rFonts w:eastAsia="DengXian"/>
          <w:sz w:val="20"/>
          <w:lang w:val="sv-SE" w:eastAsia="zh-CN"/>
        </w:rPr>
        <w:t>Beltz</w:t>
      </w:r>
      <w:proofErr w:type="spellEnd"/>
      <w:r>
        <w:rPr>
          <w:rFonts w:eastAsia="DengXian"/>
          <w:sz w:val="20"/>
          <w:lang w:val="sv-SE" w:eastAsia="zh-CN"/>
        </w:rPr>
        <w:t>.</w:t>
      </w:r>
    </w:p>
    <w:p w:rsidR="004D2580" w:rsidRDefault="0034511E">
      <w:pPr>
        <w:adjustRightInd w:val="0"/>
        <w:snapToGrid w:val="0"/>
        <w:spacing w:after="0" w:line="480" w:lineRule="auto"/>
        <w:ind w:left="400" w:hangingChars="200" w:hanging="400"/>
        <w:jc w:val="both"/>
        <w:rPr>
          <w:rFonts w:eastAsia="DengXian"/>
          <w:sz w:val="20"/>
          <w:lang w:eastAsia="zh-CN"/>
        </w:rPr>
      </w:pPr>
      <w:bookmarkStart w:id="87" w:name="_ENREF_8"/>
      <w:proofErr w:type="spellStart"/>
      <w:r>
        <w:rPr>
          <w:rFonts w:eastAsia="DengXian"/>
          <w:sz w:val="20"/>
          <w:lang w:val="sv-SE" w:eastAsia="zh-CN"/>
        </w:rPr>
        <w:t>Gier</w:t>
      </w:r>
      <w:proofErr w:type="spellEnd"/>
      <w:r>
        <w:rPr>
          <w:rFonts w:eastAsia="DengXian"/>
          <w:sz w:val="20"/>
          <w:lang w:val="sv-SE" w:eastAsia="zh-CN"/>
        </w:rPr>
        <w:t xml:space="preserve">, V. S., </w:t>
      </w:r>
      <w:proofErr w:type="spellStart"/>
      <w:r>
        <w:rPr>
          <w:rFonts w:eastAsia="DengXian"/>
          <w:sz w:val="20"/>
          <w:lang w:val="sv-SE" w:eastAsia="zh-CN"/>
        </w:rPr>
        <w:t>Herring</w:t>
      </w:r>
      <w:proofErr w:type="spellEnd"/>
      <w:r>
        <w:rPr>
          <w:rFonts w:eastAsia="DengXian"/>
          <w:sz w:val="20"/>
          <w:lang w:val="sv-SE" w:eastAsia="zh-CN"/>
        </w:rPr>
        <w:t xml:space="preserve">, D., </w:t>
      </w:r>
      <w:proofErr w:type="spellStart"/>
      <w:r>
        <w:rPr>
          <w:rFonts w:eastAsia="DengXian"/>
          <w:sz w:val="20"/>
          <w:lang w:val="sv-SE" w:eastAsia="zh-CN"/>
        </w:rPr>
        <w:t>Hudnell</w:t>
      </w:r>
      <w:proofErr w:type="spellEnd"/>
      <w:r>
        <w:rPr>
          <w:rFonts w:eastAsia="DengXian"/>
          <w:sz w:val="20"/>
          <w:lang w:val="sv-SE" w:eastAsia="zh-CN"/>
        </w:rPr>
        <w:t xml:space="preserve">, J., Montoya, J., &amp; </w:t>
      </w:r>
      <w:proofErr w:type="spellStart"/>
      <w:r>
        <w:rPr>
          <w:rFonts w:eastAsia="DengXian"/>
          <w:sz w:val="20"/>
          <w:lang w:val="sv-SE" w:eastAsia="zh-CN"/>
        </w:rPr>
        <w:t>Kreiner</w:t>
      </w:r>
      <w:proofErr w:type="spellEnd"/>
      <w:r>
        <w:rPr>
          <w:rFonts w:eastAsia="DengXian"/>
          <w:sz w:val="20"/>
          <w:lang w:val="sv-SE" w:eastAsia="zh-CN"/>
        </w:rPr>
        <w:t xml:space="preserve">, D. S. (2010). </w:t>
      </w:r>
      <w:proofErr w:type="gramStart"/>
      <w:r>
        <w:rPr>
          <w:rFonts w:eastAsia="DengXian"/>
          <w:sz w:val="20"/>
          <w:lang w:eastAsia="zh-CN"/>
        </w:rPr>
        <w:t>Active reading procedures for moderating the effects of poor highlighting.</w:t>
      </w:r>
      <w:proofErr w:type="gramEnd"/>
      <w:r>
        <w:rPr>
          <w:rFonts w:eastAsia="DengXian"/>
          <w:sz w:val="20"/>
          <w:lang w:eastAsia="zh-CN"/>
        </w:rPr>
        <w:t xml:space="preserve"> </w:t>
      </w:r>
      <w:proofErr w:type="gramStart"/>
      <w:r>
        <w:rPr>
          <w:rFonts w:eastAsia="DengXian"/>
          <w:i/>
          <w:sz w:val="20"/>
          <w:lang w:eastAsia="zh-CN"/>
        </w:rPr>
        <w:t>Reading Psychology, 31</w:t>
      </w:r>
      <w:r>
        <w:rPr>
          <w:rFonts w:eastAsia="DengXian"/>
          <w:sz w:val="20"/>
          <w:lang w:eastAsia="zh-CN"/>
        </w:rPr>
        <w:t>(1), 69–81.</w:t>
      </w:r>
      <w:proofErr w:type="gramEnd"/>
      <w:r>
        <w:rPr>
          <w:rFonts w:eastAsia="DengXian"/>
          <w:sz w:val="20"/>
          <w:lang w:eastAsia="zh-CN"/>
        </w:rPr>
        <w:t xml:space="preserve"> </w:t>
      </w:r>
      <w:bookmarkEnd w:id="87"/>
    </w:p>
    <w:p w:rsidR="004D2580" w:rsidRDefault="0034511E">
      <w:pPr>
        <w:adjustRightInd w:val="0"/>
        <w:snapToGrid w:val="0"/>
        <w:spacing w:after="0" w:line="480" w:lineRule="auto"/>
        <w:ind w:left="400" w:hangingChars="200" w:hanging="400"/>
        <w:jc w:val="both"/>
        <w:rPr>
          <w:rFonts w:eastAsia="DengXian"/>
          <w:sz w:val="20"/>
          <w:lang w:eastAsia="zh-CN"/>
        </w:rPr>
      </w:pPr>
      <w:bookmarkStart w:id="88" w:name="_ENREF_9"/>
      <w:proofErr w:type="spellStart"/>
      <w:proofErr w:type="gramStart"/>
      <w:r>
        <w:rPr>
          <w:rFonts w:eastAsia="DengXian"/>
          <w:sz w:val="20"/>
          <w:lang w:eastAsia="zh-CN"/>
        </w:rPr>
        <w:lastRenderedPageBreak/>
        <w:t>Gier</w:t>
      </w:r>
      <w:proofErr w:type="spellEnd"/>
      <w:r>
        <w:rPr>
          <w:rFonts w:eastAsia="DengXian"/>
          <w:sz w:val="20"/>
          <w:lang w:eastAsia="zh-CN"/>
        </w:rPr>
        <w:t xml:space="preserve">, V. S., </w:t>
      </w:r>
      <w:proofErr w:type="spellStart"/>
      <w:r>
        <w:rPr>
          <w:rFonts w:eastAsia="DengXian"/>
          <w:sz w:val="20"/>
          <w:lang w:eastAsia="zh-CN"/>
        </w:rPr>
        <w:t>Kreiner</w:t>
      </w:r>
      <w:proofErr w:type="spellEnd"/>
      <w:r>
        <w:rPr>
          <w:rFonts w:eastAsia="DengXian"/>
          <w:sz w:val="20"/>
          <w:lang w:eastAsia="zh-CN"/>
        </w:rPr>
        <w:t xml:space="preserve">, D., </w:t>
      </w:r>
      <w:proofErr w:type="spellStart"/>
      <w:r>
        <w:rPr>
          <w:rFonts w:eastAsia="DengXian"/>
          <w:sz w:val="20"/>
          <w:lang w:eastAsia="zh-CN"/>
        </w:rPr>
        <w:t>Hudnell</w:t>
      </w:r>
      <w:proofErr w:type="spellEnd"/>
      <w:r>
        <w:rPr>
          <w:rFonts w:eastAsia="DengXian"/>
          <w:sz w:val="20"/>
          <w:lang w:eastAsia="zh-CN"/>
        </w:rPr>
        <w:t>, J., Montoya, J., &amp; Herring, D. (2011).</w:t>
      </w:r>
      <w:proofErr w:type="gramEnd"/>
      <w:r>
        <w:rPr>
          <w:rFonts w:eastAsia="DengXian"/>
          <w:sz w:val="20"/>
          <w:lang w:eastAsia="zh-CN"/>
        </w:rPr>
        <w:t xml:space="preserve"> </w:t>
      </w:r>
      <w:proofErr w:type="gramStart"/>
      <w:r>
        <w:rPr>
          <w:rFonts w:eastAsia="DengXian"/>
          <w:sz w:val="20"/>
          <w:lang w:eastAsia="zh-CN"/>
        </w:rPr>
        <w:t>Using an electronic highlighter to eliminate the negative effects of pre-existing, inappropriate highlighting.</w:t>
      </w:r>
      <w:proofErr w:type="gramEnd"/>
      <w:r>
        <w:rPr>
          <w:rFonts w:eastAsia="DengXian"/>
          <w:sz w:val="20"/>
          <w:lang w:eastAsia="zh-CN"/>
        </w:rPr>
        <w:t xml:space="preserve"> </w:t>
      </w:r>
      <w:proofErr w:type="gramStart"/>
      <w:r>
        <w:rPr>
          <w:rFonts w:eastAsia="DengXian"/>
          <w:i/>
          <w:sz w:val="20"/>
          <w:lang w:eastAsia="zh-CN"/>
        </w:rPr>
        <w:t>Journal of College Reading and Learning, 41</w:t>
      </w:r>
      <w:r>
        <w:rPr>
          <w:rFonts w:eastAsia="DengXian"/>
          <w:sz w:val="20"/>
          <w:lang w:eastAsia="zh-CN"/>
        </w:rPr>
        <w:t>(2), 37–52.</w:t>
      </w:r>
      <w:proofErr w:type="gramEnd"/>
      <w:r>
        <w:rPr>
          <w:rFonts w:eastAsia="DengXian"/>
          <w:sz w:val="20"/>
          <w:lang w:eastAsia="zh-CN"/>
        </w:rPr>
        <w:t xml:space="preserve"> </w:t>
      </w:r>
      <w:bookmarkEnd w:id="88"/>
    </w:p>
    <w:p w:rsidR="004D2580" w:rsidRDefault="0034511E">
      <w:pPr>
        <w:adjustRightInd w:val="0"/>
        <w:snapToGrid w:val="0"/>
        <w:spacing w:after="0" w:line="480" w:lineRule="auto"/>
        <w:ind w:left="400" w:hangingChars="200" w:hanging="400"/>
        <w:jc w:val="both"/>
        <w:rPr>
          <w:rFonts w:eastAsia="DengXian"/>
          <w:sz w:val="20"/>
          <w:lang w:eastAsia="zh-CN"/>
        </w:rPr>
      </w:pPr>
      <w:bookmarkStart w:id="89" w:name="_ENREF_10"/>
      <w:proofErr w:type="spellStart"/>
      <w:proofErr w:type="gramStart"/>
      <w:r>
        <w:rPr>
          <w:rFonts w:eastAsia="DengXian"/>
          <w:sz w:val="20"/>
          <w:lang w:eastAsia="zh-CN"/>
        </w:rPr>
        <w:t>Gier</w:t>
      </w:r>
      <w:proofErr w:type="spellEnd"/>
      <w:r>
        <w:rPr>
          <w:rFonts w:eastAsia="DengXian"/>
          <w:sz w:val="20"/>
          <w:lang w:eastAsia="zh-CN"/>
        </w:rPr>
        <w:t xml:space="preserve">, V. S., </w:t>
      </w:r>
      <w:proofErr w:type="spellStart"/>
      <w:r>
        <w:rPr>
          <w:rFonts w:eastAsia="DengXian"/>
          <w:sz w:val="20"/>
          <w:lang w:eastAsia="zh-CN"/>
        </w:rPr>
        <w:t>Kreiner</w:t>
      </w:r>
      <w:proofErr w:type="spellEnd"/>
      <w:r>
        <w:rPr>
          <w:rFonts w:eastAsia="DengXian"/>
          <w:sz w:val="20"/>
          <w:lang w:eastAsia="zh-CN"/>
        </w:rPr>
        <w:t xml:space="preserve">, D. S., &amp; </w:t>
      </w:r>
      <w:proofErr w:type="spellStart"/>
      <w:r>
        <w:rPr>
          <w:rFonts w:eastAsia="DengXian"/>
          <w:sz w:val="20"/>
          <w:lang w:eastAsia="zh-CN"/>
        </w:rPr>
        <w:t>Natz</w:t>
      </w:r>
      <w:proofErr w:type="spellEnd"/>
      <w:r>
        <w:rPr>
          <w:rFonts w:eastAsia="DengXian"/>
          <w:sz w:val="20"/>
          <w:lang w:eastAsia="zh-CN"/>
        </w:rPr>
        <w:t>-Gonzalez, A. (2009).</w:t>
      </w:r>
      <w:proofErr w:type="gramEnd"/>
      <w:r>
        <w:rPr>
          <w:rFonts w:eastAsia="DengXian"/>
          <w:sz w:val="20"/>
          <w:lang w:eastAsia="zh-CN"/>
        </w:rPr>
        <w:t xml:space="preserve"> </w:t>
      </w:r>
      <w:proofErr w:type="gramStart"/>
      <w:r>
        <w:rPr>
          <w:rFonts w:eastAsia="DengXian"/>
          <w:sz w:val="20"/>
          <w:lang w:eastAsia="zh-CN"/>
        </w:rPr>
        <w:t xml:space="preserve">Harmful effects of </w:t>
      </w:r>
      <w:proofErr w:type="spellStart"/>
      <w:r>
        <w:rPr>
          <w:rFonts w:eastAsia="DengXian"/>
          <w:sz w:val="20"/>
          <w:lang w:eastAsia="zh-CN"/>
        </w:rPr>
        <w:t>preexisting</w:t>
      </w:r>
      <w:proofErr w:type="spellEnd"/>
      <w:r>
        <w:rPr>
          <w:rFonts w:eastAsia="DengXian"/>
          <w:sz w:val="20"/>
          <w:lang w:eastAsia="zh-CN"/>
        </w:rPr>
        <w:t xml:space="preserve"> inappropriate highlighting on reading comprehension and metacognitive accuracy.</w:t>
      </w:r>
      <w:proofErr w:type="gramEnd"/>
      <w:r>
        <w:rPr>
          <w:rFonts w:eastAsia="DengXian"/>
          <w:sz w:val="20"/>
          <w:lang w:eastAsia="zh-CN"/>
        </w:rPr>
        <w:t xml:space="preserve"> </w:t>
      </w:r>
      <w:r>
        <w:rPr>
          <w:rFonts w:eastAsia="DengXian"/>
          <w:i/>
          <w:sz w:val="20"/>
          <w:lang w:eastAsia="zh-CN"/>
        </w:rPr>
        <w:t>The Journal of General Psychology, 136</w:t>
      </w:r>
      <w:r>
        <w:rPr>
          <w:rFonts w:eastAsia="DengXian"/>
          <w:sz w:val="20"/>
          <w:lang w:eastAsia="zh-CN"/>
        </w:rPr>
        <w:t xml:space="preserve">(3), 287–302. </w:t>
      </w:r>
      <w:bookmarkEnd w:id="89"/>
    </w:p>
    <w:p w:rsidR="004D2580" w:rsidRDefault="0034511E">
      <w:pPr>
        <w:adjustRightInd w:val="0"/>
        <w:snapToGrid w:val="0"/>
        <w:spacing w:after="0" w:line="480" w:lineRule="auto"/>
        <w:ind w:left="400" w:hangingChars="200" w:hanging="400"/>
        <w:jc w:val="both"/>
        <w:rPr>
          <w:rFonts w:eastAsia="DengXian"/>
          <w:sz w:val="20"/>
          <w:lang w:eastAsia="zh-CN"/>
        </w:rPr>
      </w:pPr>
      <w:bookmarkStart w:id="90" w:name="_ENREF_11"/>
      <w:proofErr w:type="gramStart"/>
      <w:r>
        <w:rPr>
          <w:rFonts w:eastAsia="DengXian"/>
          <w:sz w:val="20"/>
          <w:lang w:eastAsia="zh-CN"/>
        </w:rPr>
        <w:t>Goldman, S. R., &amp; Saul, E. U. (1990).</w:t>
      </w:r>
      <w:proofErr w:type="gramEnd"/>
      <w:r>
        <w:rPr>
          <w:rFonts w:eastAsia="DengXian"/>
          <w:sz w:val="20"/>
          <w:lang w:eastAsia="zh-CN"/>
        </w:rPr>
        <w:t xml:space="preserve"> Flexibility in text processing: A strategy competition model. </w:t>
      </w:r>
      <w:r>
        <w:rPr>
          <w:rFonts w:eastAsia="DengXian"/>
          <w:i/>
          <w:sz w:val="20"/>
          <w:lang w:eastAsia="zh-CN"/>
        </w:rPr>
        <w:t>Learning and Individual Differences, 2</w:t>
      </w:r>
      <w:r>
        <w:rPr>
          <w:rFonts w:eastAsia="DengXian"/>
          <w:sz w:val="20"/>
          <w:lang w:eastAsia="zh-CN"/>
        </w:rPr>
        <w:t xml:space="preserve">(2), 181–219. </w:t>
      </w:r>
      <w:bookmarkEnd w:id="90"/>
    </w:p>
    <w:p w:rsidR="004D2580" w:rsidRDefault="0034511E">
      <w:pPr>
        <w:adjustRightInd w:val="0"/>
        <w:snapToGrid w:val="0"/>
        <w:spacing w:after="0" w:line="480" w:lineRule="auto"/>
        <w:ind w:left="400" w:hangingChars="200" w:hanging="400"/>
        <w:rPr>
          <w:rFonts w:eastAsia="DengXian"/>
          <w:sz w:val="20"/>
          <w:szCs w:val="20"/>
        </w:rPr>
      </w:pPr>
      <w:r>
        <w:rPr>
          <w:rFonts w:eastAsia="DengXian"/>
          <w:sz w:val="20"/>
          <w:lang w:eastAsia="zh-CN"/>
        </w:rPr>
        <w:t>Hyönä</w:t>
      </w:r>
      <w:r>
        <w:rPr>
          <w:rFonts w:eastAsia="DengXian"/>
          <w:sz w:val="20"/>
        </w:rPr>
        <w:t xml:space="preserve">, J. (1994). </w:t>
      </w:r>
      <w:proofErr w:type="gramStart"/>
      <w:r>
        <w:rPr>
          <w:rFonts w:eastAsia="DengXian"/>
          <w:sz w:val="20"/>
        </w:rPr>
        <w:t>Processing of topic shifts by adults and children.</w:t>
      </w:r>
      <w:proofErr w:type="gramEnd"/>
      <w:r>
        <w:rPr>
          <w:rFonts w:eastAsia="DengXian"/>
          <w:sz w:val="20"/>
        </w:rPr>
        <w:t xml:space="preserve"> </w:t>
      </w:r>
      <w:proofErr w:type="gramStart"/>
      <w:r>
        <w:rPr>
          <w:rFonts w:eastAsia="DengXian"/>
          <w:i/>
          <w:sz w:val="20"/>
        </w:rPr>
        <w:t>Reading Research Quarterly</w:t>
      </w:r>
      <w:r>
        <w:rPr>
          <w:rFonts w:eastAsia="DengXian"/>
          <w:sz w:val="20"/>
        </w:rPr>
        <w:t xml:space="preserve">, 29, </w:t>
      </w:r>
      <w:r>
        <w:rPr>
          <w:rFonts w:eastAsia="DengXian"/>
          <w:sz w:val="20"/>
          <w:szCs w:val="20"/>
        </w:rPr>
        <w:t>76-90.</w:t>
      </w:r>
      <w:proofErr w:type="gramEnd"/>
    </w:p>
    <w:p w:rsidR="004D2580" w:rsidRDefault="0034511E">
      <w:pPr>
        <w:adjustRightInd w:val="0"/>
        <w:snapToGrid w:val="0"/>
        <w:spacing w:after="0" w:line="480" w:lineRule="auto"/>
        <w:ind w:left="400" w:hangingChars="200" w:hanging="400"/>
        <w:jc w:val="both"/>
        <w:rPr>
          <w:rFonts w:eastAsia="DengXian"/>
          <w:sz w:val="20"/>
          <w:lang w:eastAsia="zh-CN"/>
        </w:rPr>
      </w:pPr>
      <w:r>
        <w:rPr>
          <w:rFonts w:eastAsia="DengXian"/>
          <w:sz w:val="20"/>
          <w:szCs w:val="20"/>
          <w:lang w:eastAsia="zh-CN"/>
        </w:rPr>
        <w:t>Hyönä</w:t>
      </w:r>
      <w:r>
        <w:rPr>
          <w:sz w:val="20"/>
          <w:szCs w:val="20"/>
        </w:rPr>
        <w:t xml:space="preserve">, J. (1995). </w:t>
      </w:r>
      <w:proofErr w:type="gramStart"/>
      <w:r>
        <w:rPr>
          <w:sz w:val="20"/>
          <w:szCs w:val="20"/>
        </w:rPr>
        <w:t>An eye movement analysis of topic-shift effect during repeated reading.</w:t>
      </w:r>
      <w:proofErr w:type="gramEnd"/>
      <w:r>
        <w:rPr>
          <w:sz w:val="20"/>
          <w:szCs w:val="20"/>
        </w:rPr>
        <w:t xml:space="preserve"> </w:t>
      </w:r>
      <w:r>
        <w:rPr>
          <w:i/>
          <w:iCs/>
          <w:sz w:val="20"/>
          <w:szCs w:val="20"/>
        </w:rPr>
        <w:t xml:space="preserve">Journal of Experimental Psychology: Learning, Memory, and Cognition, 21, </w:t>
      </w:r>
      <w:r>
        <w:rPr>
          <w:sz w:val="20"/>
          <w:szCs w:val="20"/>
        </w:rPr>
        <w:t>1365–1373.</w:t>
      </w:r>
    </w:p>
    <w:p w:rsidR="004D2580" w:rsidRDefault="0034511E">
      <w:pPr>
        <w:adjustRightInd w:val="0"/>
        <w:snapToGrid w:val="0"/>
        <w:spacing w:after="0" w:line="480" w:lineRule="auto"/>
        <w:ind w:left="400" w:hangingChars="200" w:hanging="400"/>
        <w:jc w:val="both"/>
        <w:rPr>
          <w:rFonts w:eastAsia="DengXian"/>
          <w:sz w:val="20"/>
          <w:lang w:eastAsia="zh-CN"/>
        </w:rPr>
      </w:pPr>
      <w:bookmarkStart w:id="91" w:name="_ENREF_12"/>
      <w:r>
        <w:rPr>
          <w:rFonts w:eastAsia="DengXian"/>
          <w:sz w:val="20"/>
          <w:lang w:eastAsia="zh-CN"/>
        </w:rPr>
        <w:t xml:space="preserve">Hyönä, J. (2010). </w:t>
      </w:r>
      <w:proofErr w:type="gramStart"/>
      <w:r>
        <w:rPr>
          <w:rFonts w:eastAsia="DengXian"/>
          <w:sz w:val="20"/>
          <w:lang w:eastAsia="zh-CN"/>
        </w:rPr>
        <w:t>The use of eye movements in the study of multimedia learning.</w:t>
      </w:r>
      <w:proofErr w:type="gramEnd"/>
      <w:r>
        <w:rPr>
          <w:rFonts w:eastAsia="DengXian"/>
          <w:sz w:val="20"/>
          <w:lang w:eastAsia="zh-CN"/>
        </w:rPr>
        <w:t xml:space="preserve"> </w:t>
      </w:r>
      <w:r>
        <w:rPr>
          <w:rFonts w:eastAsia="DengXian"/>
          <w:i/>
          <w:sz w:val="20"/>
          <w:lang w:eastAsia="zh-CN"/>
        </w:rPr>
        <w:t>Learning and Instruction, 20</w:t>
      </w:r>
      <w:r>
        <w:rPr>
          <w:rFonts w:eastAsia="DengXian"/>
          <w:sz w:val="20"/>
          <w:lang w:eastAsia="zh-CN"/>
        </w:rPr>
        <w:t xml:space="preserve">(2), 172–176. </w:t>
      </w:r>
      <w:bookmarkEnd w:id="91"/>
    </w:p>
    <w:p w:rsidR="004D2580" w:rsidRDefault="0034511E">
      <w:pPr>
        <w:adjustRightInd w:val="0"/>
        <w:snapToGrid w:val="0"/>
        <w:spacing w:after="0" w:line="480" w:lineRule="auto"/>
        <w:ind w:left="400" w:hangingChars="200" w:hanging="400"/>
        <w:jc w:val="both"/>
        <w:rPr>
          <w:rFonts w:eastAsia="DengXian"/>
          <w:sz w:val="20"/>
          <w:lang w:eastAsia="zh-CN"/>
        </w:rPr>
      </w:pPr>
      <w:bookmarkStart w:id="92" w:name="_ENREF_13"/>
      <w:proofErr w:type="gramStart"/>
      <w:r>
        <w:rPr>
          <w:sz w:val="20"/>
          <w:lang w:val="en-US"/>
        </w:rPr>
        <w:t xml:space="preserve">Hyönä, J., &amp; Lorch R. F. Jr. </w:t>
      </w:r>
      <w:r>
        <w:rPr>
          <w:rFonts w:eastAsia="DengXian"/>
          <w:sz w:val="20"/>
          <w:lang w:val="en-US" w:eastAsia="zh-CN"/>
        </w:rPr>
        <w:t>(2004).</w:t>
      </w:r>
      <w:proofErr w:type="gramEnd"/>
      <w:r>
        <w:rPr>
          <w:rFonts w:eastAsia="DengXian"/>
          <w:sz w:val="20"/>
          <w:lang w:val="en-US" w:eastAsia="zh-CN"/>
        </w:rPr>
        <w:t xml:space="preserve"> </w:t>
      </w:r>
      <w:r>
        <w:rPr>
          <w:rFonts w:eastAsia="DengXian"/>
          <w:sz w:val="20"/>
          <w:lang w:eastAsia="zh-CN"/>
        </w:rPr>
        <w:t xml:space="preserve">Effects of topic headings on text processing: Evidence from adult readers’ eye fixation patterns. </w:t>
      </w:r>
      <w:r>
        <w:rPr>
          <w:rFonts w:eastAsia="DengXian"/>
          <w:i/>
          <w:sz w:val="20"/>
          <w:lang w:eastAsia="zh-CN"/>
        </w:rPr>
        <w:t>Learning and Instruction, 14</w:t>
      </w:r>
      <w:r>
        <w:rPr>
          <w:rFonts w:eastAsia="DengXian"/>
          <w:sz w:val="20"/>
          <w:lang w:eastAsia="zh-CN"/>
        </w:rPr>
        <w:t xml:space="preserve">(2), 131–152. </w:t>
      </w:r>
      <w:bookmarkEnd w:id="92"/>
    </w:p>
    <w:p w:rsidR="004D2580" w:rsidRDefault="0034511E">
      <w:pPr>
        <w:adjustRightInd w:val="0"/>
        <w:snapToGrid w:val="0"/>
        <w:spacing w:after="0" w:line="480" w:lineRule="auto"/>
        <w:ind w:left="400" w:hangingChars="200" w:hanging="400"/>
        <w:jc w:val="both"/>
        <w:rPr>
          <w:rFonts w:eastAsia="DengXian"/>
          <w:sz w:val="20"/>
          <w:lang w:eastAsia="zh-CN"/>
        </w:rPr>
      </w:pPr>
      <w:bookmarkStart w:id="93" w:name="_ENREF_14"/>
      <w:proofErr w:type="gramStart"/>
      <w:r>
        <w:rPr>
          <w:sz w:val="20"/>
          <w:lang w:val="en-US"/>
        </w:rPr>
        <w:t xml:space="preserve">Hyönä, J., Lorch, R. F., Jr., &amp; </w:t>
      </w:r>
      <w:proofErr w:type="spellStart"/>
      <w:r>
        <w:rPr>
          <w:sz w:val="20"/>
          <w:lang w:val="en-US"/>
        </w:rPr>
        <w:t>Kaakinen</w:t>
      </w:r>
      <w:proofErr w:type="spellEnd"/>
      <w:r>
        <w:rPr>
          <w:sz w:val="20"/>
          <w:lang w:val="en-US"/>
        </w:rPr>
        <w:t>, J. K. (2002).</w:t>
      </w:r>
      <w:proofErr w:type="gramEnd"/>
      <w:r>
        <w:rPr>
          <w:sz w:val="20"/>
          <w:lang w:val="en-US"/>
        </w:rPr>
        <w:t xml:space="preserve"> </w:t>
      </w:r>
      <w:r>
        <w:rPr>
          <w:rFonts w:eastAsia="DengXian"/>
          <w:sz w:val="20"/>
          <w:lang w:eastAsia="zh-CN"/>
        </w:rPr>
        <w:t xml:space="preserve">Individual differences in reading to summarize expository text: Evidence from eye fixation patterns. </w:t>
      </w:r>
      <w:r>
        <w:rPr>
          <w:rFonts w:eastAsia="DengXian"/>
          <w:i/>
          <w:sz w:val="20"/>
          <w:lang w:eastAsia="zh-CN"/>
        </w:rPr>
        <w:t>Journal of Educational Psychology, 94</w:t>
      </w:r>
      <w:r>
        <w:rPr>
          <w:rFonts w:eastAsia="DengXian"/>
          <w:sz w:val="20"/>
          <w:lang w:eastAsia="zh-CN"/>
        </w:rPr>
        <w:t xml:space="preserve">(1), 44–55. </w:t>
      </w:r>
      <w:bookmarkEnd w:id="93"/>
    </w:p>
    <w:p w:rsidR="004D2580" w:rsidRDefault="0034511E">
      <w:pPr>
        <w:adjustRightInd w:val="0"/>
        <w:snapToGrid w:val="0"/>
        <w:spacing w:after="0" w:line="480" w:lineRule="auto"/>
        <w:ind w:left="400" w:hangingChars="200" w:hanging="400"/>
        <w:jc w:val="both"/>
        <w:rPr>
          <w:rFonts w:eastAsia="DengXian"/>
          <w:sz w:val="20"/>
          <w:lang w:eastAsia="zh-CN"/>
        </w:rPr>
      </w:pPr>
      <w:bookmarkStart w:id="94" w:name="_ENREF_15"/>
      <w:proofErr w:type="gramStart"/>
      <w:r>
        <w:rPr>
          <w:sz w:val="20"/>
          <w:lang w:val="en-US"/>
        </w:rPr>
        <w:t xml:space="preserve">Hyönä, J., Lorch, R. F., Jr., &amp; </w:t>
      </w:r>
      <w:proofErr w:type="spellStart"/>
      <w:r>
        <w:rPr>
          <w:sz w:val="20"/>
          <w:lang w:val="en-US"/>
        </w:rPr>
        <w:t>Rinck</w:t>
      </w:r>
      <w:proofErr w:type="spellEnd"/>
      <w:r>
        <w:rPr>
          <w:sz w:val="20"/>
          <w:lang w:val="en-US"/>
        </w:rPr>
        <w:t>, M. (2003).</w:t>
      </w:r>
      <w:proofErr w:type="gramEnd"/>
      <w:r>
        <w:rPr>
          <w:sz w:val="20"/>
          <w:lang w:val="en-US"/>
        </w:rPr>
        <w:t xml:space="preserve"> </w:t>
      </w:r>
      <w:r>
        <w:rPr>
          <w:rFonts w:eastAsia="DengXian"/>
          <w:sz w:val="20"/>
          <w:lang w:eastAsia="zh-CN"/>
        </w:rPr>
        <w:t xml:space="preserve">Eye movement measures to study global text processing. </w:t>
      </w:r>
      <w:r>
        <w:rPr>
          <w:rFonts w:eastAsia="DengXian" w:hint="eastAsia"/>
          <w:sz w:val="20"/>
          <w:lang w:eastAsia="zh-CN"/>
        </w:rPr>
        <w:t>In</w:t>
      </w:r>
      <w:r>
        <w:rPr>
          <w:rFonts w:eastAsia="DengXian"/>
          <w:sz w:val="20"/>
          <w:lang w:eastAsia="zh-CN"/>
        </w:rPr>
        <w:t xml:space="preserve"> Hyönä,</w:t>
      </w:r>
      <w:r>
        <w:rPr>
          <w:rFonts w:hint="eastAsia"/>
          <w:sz w:val="20"/>
        </w:rPr>
        <w:t xml:space="preserve"> </w:t>
      </w:r>
      <w:r>
        <w:rPr>
          <w:sz w:val="20"/>
        </w:rPr>
        <w:t>J.,</w:t>
      </w:r>
      <w:r>
        <w:rPr>
          <w:rFonts w:eastAsia="DengXian"/>
          <w:sz w:val="20"/>
          <w:lang w:eastAsia="zh-CN"/>
        </w:rPr>
        <w:t xml:space="preserve"> Radach, </w:t>
      </w:r>
      <w:r>
        <w:rPr>
          <w:sz w:val="20"/>
        </w:rPr>
        <w:t>R.,</w:t>
      </w:r>
      <w:r>
        <w:rPr>
          <w:rFonts w:eastAsia="DengXian"/>
          <w:sz w:val="20"/>
          <w:lang w:eastAsia="zh-CN"/>
        </w:rPr>
        <w:t xml:space="preserve"> &amp; </w:t>
      </w:r>
      <w:proofErr w:type="spellStart"/>
      <w:r>
        <w:rPr>
          <w:rFonts w:eastAsia="DengXian"/>
          <w:sz w:val="20"/>
          <w:lang w:eastAsia="zh-CN"/>
        </w:rPr>
        <w:t>Deubel</w:t>
      </w:r>
      <w:proofErr w:type="spellEnd"/>
      <w:r>
        <w:rPr>
          <w:rFonts w:eastAsia="DengXian"/>
          <w:sz w:val="20"/>
          <w:lang w:eastAsia="zh-CN"/>
        </w:rPr>
        <w:t xml:space="preserve"> </w:t>
      </w:r>
      <w:r>
        <w:rPr>
          <w:sz w:val="20"/>
        </w:rPr>
        <w:t>H.</w:t>
      </w:r>
      <w:r>
        <w:rPr>
          <w:rFonts w:eastAsia="DengXian"/>
          <w:sz w:val="20"/>
          <w:lang w:eastAsia="zh-CN"/>
        </w:rPr>
        <w:t xml:space="preserve"> (Eds.),</w:t>
      </w:r>
      <w:r>
        <w:rPr>
          <w:rFonts w:eastAsia="DengXian" w:hint="eastAsia"/>
          <w:sz w:val="20"/>
          <w:lang w:eastAsia="zh-CN"/>
        </w:rPr>
        <w:t xml:space="preserve"> </w:t>
      </w:r>
      <w:proofErr w:type="gramStart"/>
      <w:r>
        <w:rPr>
          <w:rFonts w:eastAsia="DengXian"/>
          <w:i/>
          <w:sz w:val="20"/>
          <w:lang w:eastAsia="zh-CN"/>
        </w:rPr>
        <w:t>The</w:t>
      </w:r>
      <w:proofErr w:type="gramEnd"/>
      <w:r>
        <w:rPr>
          <w:rFonts w:eastAsia="DengXian"/>
          <w:i/>
          <w:sz w:val="20"/>
          <w:lang w:eastAsia="zh-CN"/>
        </w:rPr>
        <w:t xml:space="preserve"> mind’s eye: Cognitive and applied aspects of eye movement research </w:t>
      </w:r>
      <w:r>
        <w:rPr>
          <w:rFonts w:eastAsia="DengXian" w:hint="eastAsia"/>
          <w:sz w:val="20"/>
          <w:lang w:eastAsia="zh-CN"/>
        </w:rPr>
        <w:t>(</w:t>
      </w:r>
      <w:r>
        <w:rPr>
          <w:rFonts w:eastAsia="DengXian"/>
          <w:sz w:val="20"/>
          <w:lang w:eastAsia="zh-CN"/>
        </w:rPr>
        <w:t>313–334</w:t>
      </w:r>
      <w:r>
        <w:rPr>
          <w:rFonts w:eastAsia="DengXian" w:hint="eastAsia"/>
          <w:sz w:val="20"/>
          <w:lang w:eastAsia="zh-CN"/>
        </w:rPr>
        <w:t>)</w:t>
      </w:r>
      <w:r>
        <w:rPr>
          <w:rFonts w:eastAsia="DengXian"/>
          <w:sz w:val="20"/>
          <w:lang w:eastAsia="zh-CN"/>
        </w:rPr>
        <w:t xml:space="preserve">. </w:t>
      </w:r>
      <w:bookmarkEnd w:id="94"/>
      <w:r>
        <w:rPr>
          <w:rFonts w:eastAsia="DengXian"/>
          <w:sz w:val="20"/>
          <w:lang w:eastAsia="zh-CN"/>
        </w:rPr>
        <w:t>Amsterdam: Elsevier.</w:t>
      </w:r>
    </w:p>
    <w:p w:rsidR="004D2580" w:rsidRDefault="0034511E">
      <w:pPr>
        <w:adjustRightInd w:val="0"/>
        <w:snapToGrid w:val="0"/>
        <w:spacing w:after="0" w:line="480" w:lineRule="auto"/>
        <w:ind w:left="400" w:hangingChars="200" w:hanging="400"/>
        <w:jc w:val="both"/>
        <w:rPr>
          <w:rFonts w:eastAsia="DengXian"/>
          <w:sz w:val="20"/>
          <w:lang w:eastAsia="zh-CN"/>
        </w:rPr>
      </w:pPr>
      <w:bookmarkStart w:id="95" w:name="_ENREF_16"/>
      <w:proofErr w:type="gramStart"/>
      <w:r>
        <w:rPr>
          <w:sz w:val="20"/>
          <w:lang w:val="en-US"/>
        </w:rPr>
        <w:t>Hyönä, J., &amp; Nurminen, A. M. (2006).</w:t>
      </w:r>
      <w:proofErr w:type="gramEnd"/>
      <w:r>
        <w:rPr>
          <w:sz w:val="20"/>
          <w:lang w:val="en-US"/>
        </w:rPr>
        <w:t xml:space="preserve"> </w:t>
      </w:r>
      <w:r>
        <w:rPr>
          <w:rFonts w:eastAsia="DengXian"/>
          <w:sz w:val="20"/>
          <w:lang w:eastAsia="zh-CN"/>
        </w:rPr>
        <w:t xml:space="preserve">Do adult readers know how they read? </w:t>
      </w:r>
      <w:proofErr w:type="gramStart"/>
      <w:r>
        <w:rPr>
          <w:rFonts w:eastAsia="DengXian"/>
          <w:sz w:val="20"/>
          <w:lang w:eastAsia="zh-CN"/>
        </w:rPr>
        <w:t>Evidence from eye movement patterns and verbal reports.</w:t>
      </w:r>
      <w:proofErr w:type="gramEnd"/>
      <w:r>
        <w:rPr>
          <w:rFonts w:eastAsia="DengXian"/>
          <w:sz w:val="20"/>
          <w:lang w:eastAsia="zh-CN"/>
        </w:rPr>
        <w:t xml:space="preserve"> </w:t>
      </w:r>
      <w:r>
        <w:rPr>
          <w:rFonts w:eastAsia="DengXian"/>
          <w:i/>
          <w:sz w:val="20"/>
          <w:lang w:eastAsia="zh-CN"/>
        </w:rPr>
        <w:t>British Journal of Psychology, 97</w:t>
      </w:r>
      <w:r>
        <w:rPr>
          <w:rFonts w:eastAsia="DengXian"/>
          <w:sz w:val="20"/>
          <w:lang w:eastAsia="zh-CN"/>
        </w:rPr>
        <w:t xml:space="preserve">(1), 31–50. </w:t>
      </w:r>
      <w:bookmarkEnd w:id="95"/>
    </w:p>
    <w:p w:rsidR="004D2580" w:rsidRDefault="0034511E">
      <w:pPr>
        <w:adjustRightInd w:val="0"/>
        <w:snapToGrid w:val="0"/>
        <w:spacing w:after="0" w:line="480" w:lineRule="auto"/>
        <w:ind w:left="400" w:hangingChars="200" w:hanging="400"/>
        <w:jc w:val="both"/>
        <w:rPr>
          <w:rFonts w:eastAsia="DengXian"/>
          <w:sz w:val="20"/>
          <w:lang w:eastAsia="zh-CN"/>
        </w:rPr>
      </w:pPr>
      <w:bookmarkStart w:id="96" w:name="_ENREF_17"/>
      <w:r>
        <w:rPr>
          <w:rFonts w:eastAsia="DengXian"/>
          <w:sz w:val="20"/>
          <w:lang w:val="fi-FI" w:eastAsia="zh-CN"/>
        </w:rPr>
        <w:t xml:space="preserve">Kaakinen, J. K., &amp; Hyönä, J. (2007). </w:t>
      </w:r>
      <w:r>
        <w:rPr>
          <w:rFonts w:eastAsia="DengXian"/>
          <w:sz w:val="20"/>
          <w:lang w:eastAsia="zh-CN"/>
        </w:rPr>
        <w:t xml:space="preserve">Perspective effects in repeated reading: An eye movement study. </w:t>
      </w:r>
      <w:r>
        <w:rPr>
          <w:rFonts w:eastAsia="DengXian"/>
          <w:i/>
          <w:sz w:val="20"/>
          <w:lang w:eastAsia="zh-CN"/>
        </w:rPr>
        <w:t>Memory &amp; Cognition, 35</w:t>
      </w:r>
      <w:r>
        <w:rPr>
          <w:rFonts w:eastAsia="DengXian"/>
          <w:sz w:val="20"/>
          <w:lang w:eastAsia="zh-CN"/>
        </w:rPr>
        <w:t xml:space="preserve">(6), 1323–1336. </w:t>
      </w:r>
      <w:bookmarkEnd w:id="96"/>
    </w:p>
    <w:p w:rsidR="004D2580" w:rsidRDefault="0034511E">
      <w:pPr>
        <w:adjustRightInd w:val="0"/>
        <w:snapToGrid w:val="0"/>
        <w:spacing w:after="0" w:line="480" w:lineRule="auto"/>
        <w:ind w:left="400" w:hangingChars="200" w:hanging="400"/>
        <w:jc w:val="both"/>
        <w:rPr>
          <w:rFonts w:eastAsia="DengXian"/>
          <w:sz w:val="20"/>
          <w:lang w:eastAsia="zh-CN"/>
        </w:rPr>
      </w:pPr>
      <w:bookmarkStart w:id="97" w:name="_ENREF_19"/>
      <w:proofErr w:type="spellStart"/>
      <w:proofErr w:type="gramStart"/>
      <w:r>
        <w:rPr>
          <w:sz w:val="20"/>
          <w:lang w:val="en-US"/>
        </w:rPr>
        <w:t>Kaakinen</w:t>
      </w:r>
      <w:proofErr w:type="spellEnd"/>
      <w:r>
        <w:rPr>
          <w:sz w:val="20"/>
          <w:lang w:val="en-US"/>
        </w:rPr>
        <w:t>, J. K., &amp; Hyönä, J. (2010).</w:t>
      </w:r>
      <w:proofErr w:type="gramEnd"/>
      <w:r>
        <w:rPr>
          <w:sz w:val="20"/>
          <w:lang w:val="en-US"/>
        </w:rPr>
        <w:t xml:space="preserve"> </w:t>
      </w:r>
      <w:proofErr w:type="gramStart"/>
      <w:r>
        <w:rPr>
          <w:rFonts w:eastAsia="DengXian"/>
          <w:sz w:val="20"/>
          <w:lang w:eastAsia="zh-CN"/>
        </w:rPr>
        <w:t>Task effects on eye movements during reading.</w:t>
      </w:r>
      <w:proofErr w:type="gramEnd"/>
      <w:r>
        <w:rPr>
          <w:rFonts w:eastAsia="DengXian"/>
          <w:sz w:val="20"/>
          <w:lang w:eastAsia="zh-CN"/>
        </w:rPr>
        <w:t xml:space="preserve"> </w:t>
      </w:r>
      <w:r>
        <w:rPr>
          <w:rFonts w:eastAsia="DengXian"/>
          <w:i/>
          <w:sz w:val="20"/>
          <w:lang w:eastAsia="zh-CN"/>
        </w:rPr>
        <w:t>Journal of Experimental Psychology: Learning, Memory, and Cognition, 36</w:t>
      </w:r>
      <w:r>
        <w:rPr>
          <w:rFonts w:eastAsia="DengXian"/>
          <w:sz w:val="20"/>
          <w:lang w:eastAsia="zh-CN"/>
        </w:rPr>
        <w:t>(6), 1561–</w:t>
      </w:r>
      <w:r>
        <w:rPr>
          <w:rFonts w:eastAsia="DengXian" w:hint="eastAsia"/>
          <w:sz w:val="20"/>
          <w:lang w:eastAsia="zh-CN"/>
        </w:rPr>
        <w:t>1566</w:t>
      </w:r>
      <w:r>
        <w:rPr>
          <w:rFonts w:eastAsia="DengXian"/>
          <w:sz w:val="20"/>
          <w:lang w:eastAsia="zh-CN"/>
        </w:rPr>
        <w:t xml:space="preserve">. </w:t>
      </w:r>
      <w:bookmarkEnd w:id="97"/>
    </w:p>
    <w:p w:rsidR="004D2580" w:rsidRDefault="0034511E">
      <w:pPr>
        <w:adjustRightInd w:val="0"/>
        <w:snapToGrid w:val="0"/>
        <w:spacing w:after="0" w:line="480" w:lineRule="auto"/>
        <w:ind w:left="400" w:hangingChars="200" w:hanging="400"/>
        <w:jc w:val="both"/>
        <w:rPr>
          <w:rFonts w:eastAsia="DengXian"/>
          <w:sz w:val="20"/>
          <w:lang w:eastAsia="zh-CN"/>
        </w:rPr>
      </w:pPr>
      <w:bookmarkStart w:id="98" w:name="_ENREF_20"/>
      <w:proofErr w:type="spellStart"/>
      <w:proofErr w:type="gramStart"/>
      <w:r>
        <w:rPr>
          <w:sz w:val="20"/>
          <w:lang w:val="en-US"/>
        </w:rPr>
        <w:t>Kaakinen</w:t>
      </w:r>
      <w:proofErr w:type="spellEnd"/>
      <w:r>
        <w:rPr>
          <w:sz w:val="20"/>
          <w:lang w:val="en-US"/>
        </w:rPr>
        <w:t>, J. K., &amp; Hyönä, J. (2014).</w:t>
      </w:r>
      <w:proofErr w:type="gramEnd"/>
      <w:r>
        <w:rPr>
          <w:sz w:val="20"/>
          <w:lang w:val="en-US"/>
        </w:rPr>
        <w:t xml:space="preserve"> </w:t>
      </w:r>
      <w:r>
        <w:rPr>
          <w:rFonts w:eastAsia="DengXian"/>
          <w:sz w:val="20"/>
          <w:lang w:eastAsia="zh-CN"/>
        </w:rPr>
        <w:t xml:space="preserve">Task relevance induces momentary changes in the functional visual field during reading. </w:t>
      </w:r>
      <w:r>
        <w:rPr>
          <w:rFonts w:eastAsia="DengXian"/>
          <w:i/>
          <w:sz w:val="20"/>
          <w:lang w:eastAsia="zh-CN"/>
        </w:rPr>
        <w:t>Psychological Science, 25</w:t>
      </w:r>
      <w:r>
        <w:rPr>
          <w:rFonts w:eastAsia="DengXian"/>
          <w:sz w:val="20"/>
          <w:lang w:eastAsia="zh-CN"/>
        </w:rPr>
        <w:t xml:space="preserve">(2), 626–632. </w:t>
      </w:r>
      <w:bookmarkEnd w:id="98"/>
    </w:p>
    <w:p w:rsidR="004D2580" w:rsidRDefault="0034511E">
      <w:pPr>
        <w:adjustRightInd w:val="0"/>
        <w:snapToGrid w:val="0"/>
        <w:spacing w:after="0" w:line="480" w:lineRule="auto"/>
        <w:ind w:left="400" w:hangingChars="200" w:hanging="400"/>
        <w:jc w:val="both"/>
        <w:rPr>
          <w:rFonts w:eastAsia="DengXian"/>
          <w:sz w:val="20"/>
          <w:lang w:eastAsia="zh-CN"/>
        </w:rPr>
      </w:pPr>
      <w:bookmarkStart w:id="99" w:name="_ENREF_21"/>
      <w:proofErr w:type="spellStart"/>
      <w:proofErr w:type="gramStart"/>
      <w:r>
        <w:rPr>
          <w:sz w:val="20"/>
          <w:lang w:val="en-US"/>
        </w:rPr>
        <w:lastRenderedPageBreak/>
        <w:t>Kaakinen</w:t>
      </w:r>
      <w:proofErr w:type="spellEnd"/>
      <w:r>
        <w:rPr>
          <w:sz w:val="20"/>
          <w:lang w:val="en-US"/>
        </w:rPr>
        <w:t>, J. K., Hyönä, J., &amp; Keenan, J. M. (2003).</w:t>
      </w:r>
      <w:proofErr w:type="gramEnd"/>
      <w:r>
        <w:rPr>
          <w:sz w:val="20"/>
          <w:lang w:val="en-US"/>
        </w:rPr>
        <w:t xml:space="preserve"> </w:t>
      </w:r>
      <w:r>
        <w:rPr>
          <w:rFonts w:eastAsia="DengXian"/>
          <w:sz w:val="20"/>
          <w:lang w:eastAsia="zh-CN"/>
        </w:rPr>
        <w:t xml:space="preserve">How prior knowledge, WMC, and relevance of information affect eye fixations in expository text. </w:t>
      </w:r>
      <w:r>
        <w:rPr>
          <w:rFonts w:eastAsia="DengXian"/>
          <w:i/>
          <w:sz w:val="20"/>
          <w:lang w:eastAsia="zh-CN"/>
        </w:rPr>
        <w:t>Journal of Experimental Psychology: Learning, Memory, and Cognition, 29</w:t>
      </w:r>
      <w:r>
        <w:rPr>
          <w:rFonts w:eastAsia="DengXian"/>
          <w:sz w:val="20"/>
          <w:lang w:eastAsia="zh-CN"/>
        </w:rPr>
        <w:t>(3), 447–</w:t>
      </w:r>
      <w:r>
        <w:rPr>
          <w:rFonts w:eastAsia="DengXian" w:hint="eastAsia"/>
          <w:sz w:val="20"/>
          <w:lang w:eastAsia="zh-CN"/>
        </w:rPr>
        <w:t>457</w:t>
      </w:r>
      <w:r>
        <w:rPr>
          <w:rFonts w:eastAsia="DengXian"/>
          <w:sz w:val="20"/>
          <w:lang w:eastAsia="zh-CN"/>
        </w:rPr>
        <w:t xml:space="preserve">. </w:t>
      </w:r>
      <w:bookmarkEnd w:id="99"/>
    </w:p>
    <w:p w:rsidR="004D2580" w:rsidRDefault="0034511E">
      <w:pPr>
        <w:adjustRightInd w:val="0"/>
        <w:snapToGrid w:val="0"/>
        <w:spacing w:after="0" w:line="480" w:lineRule="auto"/>
        <w:ind w:left="400" w:hangingChars="200" w:hanging="400"/>
        <w:jc w:val="both"/>
        <w:rPr>
          <w:rFonts w:eastAsia="DengXian"/>
          <w:sz w:val="20"/>
          <w:lang w:eastAsia="zh-CN"/>
        </w:rPr>
      </w:pPr>
      <w:bookmarkStart w:id="100" w:name="_ENREF_22"/>
      <w:proofErr w:type="spellStart"/>
      <w:proofErr w:type="gramStart"/>
      <w:r>
        <w:rPr>
          <w:rFonts w:eastAsia="DengXian"/>
          <w:sz w:val="20"/>
          <w:lang w:eastAsia="zh-CN"/>
        </w:rPr>
        <w:t>Kintsch</w:t>
      </w:r>
      <w:proofErr w:type="spellEnd"/>
      <w:r>
        <w:rPr>
          <w:rFonts w:eastAsia="DengXian"/>
          <w:sz w:val="20"/>
          <w:lang w:eastAsia="zh-CN"/>
        </w:rPr>
        <w:t>, W. (1988).</w:t>
      </w:r>
      <w:proofErr w:type="gramEnd"/>
      <w:r>
        <w:rPr>
          <w:rFonts w:eastAsia="DengXian"/>
          <w:sz w:val="20"/>
          <w:lang w:eastAsia="zh-CN"/>
        </w:rPr>
        <w:t xml:space="preserve"> The role of knowledge in discourse comprehension: A construction-integration model. </w:t>
      </w:r>
      <w:r>
        <w:rPr>
          <w:rFonts w:eastAsia="DengXian"/>
          <w:i/>
          <w:sz w:val="20"/>
          <w:lang w:eastAsia="zh-CN"/>
        </w:rPr>
        <w:t xml:space="preserve">Psychological </w:t>
      </w:r>
      <w:r>
        <w:rPr>
          <w:rFonts w:eastAsia="DengXian" w:hint="eastAsia"/>
          <w:i/>
          <w:sz w:val="20"/>
          <w:lang w:eastAsia="zh-CN"/>
        </w:rPr>
        <w:t>R</w:t>
      </w:r>
      <w:r>
        <w:rPr>
          <w:rFonts w:eastAsia="DengXian"/>
          <w:i/>
          <w:sz w:val="20"/>
          <w:lang w:eastAsia="zh-CN"/>
        </w:rPr>
        <w:t>eview, 95</w:t>
      </w:r>
      <w:r>
        <w:rPr>
          <w:rFonts w:eastAsia="DengXian"/>
          <w:sz w:val="20"/>
          <w:lang w:eastAsia="zh-CN"/>
        </w:rPr>
        <w:t>(2), 163–</w:t>
      </w:r>
      <w:r>
        <w:rPr>
          <w:rFonts w:eastAsia="DengXian" w:hint="eastAsia"/>
          <w:sz w:val="20"/>
          <w:lang w:eastAsia="zh-CN"/>
        </w:rPr>
        <w:t>182</w:t>
      </w:r>
      <w:r>
        <w:rPr>
          <w:rFonts w:eastAsia="DengXian"/>
          <w:sz w:val="20"/>
          <w:lang w:eastAsia="zh-CN"/>
        </w:rPr>
        <w:t xml:space="preserve">. </w:t>
      </w:r>
      <w:bookmarkEnd w:id="100"/>
    </w:p>
    <w:p w:rsidR="004D2580" w:rsidRDefault="0034511E">
      <w:pPr>
        <w:adjustRightInd w:val="0"/>
        <w:snapToGrid w:val="0"/>
        <w:spacing w:after="0" w:line="480" w:lineRule="auto"/>
        <w:ind w:left="400" w:hangingChars="200" w:hanging="400"/>
        <w:jc w:val="both"/>
        <w:rPr>
          <w:rFonts w:eastAsia="DengXian"/>
          <w:sz w:val="20"/>
          <w:lang w:eastAsia="zh-CN"/>
        </w:rPr>
      </w:pPr>
      <w:bookmarkStart w:id="101" w:name="_ENREF_23"/>
      <w:proofErr w:type="spellStart"/>
      <w:proofErr w:type="gramStart"/>
      <w:r>
        <w:rPr>
          <w:rFonts w:eastAsia="DengXian"/>
          <w:sz w:val="20"/>
          <w:lang w:eastAsia="zh-CN"/>
        </w:rPr>
        <w:t>Kintsch</w:t>
      </w:r>
      <w:proofErr w:type="spellEnd"/>
      <w:r>
        <w:rPr>
          <w:rFonts w:eastAsia="DengXian"/>
          <w:sz w:val="20"/>
          <w:lang w:eastAsia="zh-CN"/>
        </w:rPr>
        <w:t>, W. (1998).</w:t>
      </w:r>
      <w:proofErr w:type="gramEnd"/>
      <w:r>
        <w:rPr>
          <w:rFonts w:eastAsia="DengXian"/>
          <w:sz w:val="20"/>
          <w:lang w:eastAsia="zh-CN"/>
        </w:rPr>
        <w:t xml:space="preserve"> </w:t>
      </w:r>
      <w:r>
        <w:rPr>
          <w:rFonts w:eastAsia="DengXian"/>
          <w:i/>
          <w:sz w:val="20"/>
          <w:lang w:eastAsia="zh-CN"/>
        </w:rPr>
        <w:t>Comprehension: A paradigm for cognition</w:t>
      </w:r>
      <w:r>
        <w:rPr>
          <w:rFonts w:eastAsia="DengXian" w:hint="eastAsia"/>
          <w:sz w:val="20"/>
          <w:lang w:eastAsia="zh-CN"/>
        </w:rPr>
        <w:t>.</w:t>
      </w:r>
      <w:r>
        <w:rPr>
          <w:rFonts w:eastAsia="DengXian"/>
          <w:sz w:val="20"/>
          <w:lang w:eastAsia="zh-CN"/>
        </w:rPr>
        <w:t xml:space="preserve"> New York: Cambridge university press.</w:t>
      </w:r>
      <w:bookmarkEnd w:id="101"/>
    </w:p>
    <w:p w:rsidR="004D2580" w:rsidRDefault="0034511E">
      <w:pPr>
        <w:adjustRightInd w:val="0"/>
        <w:snapToGrid w:val="0"/>
        <w:spacing w:after="0" w:line="480" w:lineRule="auto"/>
        <w:ind w:left="400" w:hangingChars="200" w:hanging="400"/>
        <w:jc w:val="both"/>
        <w:rPr>
          <w:rFonts w:eastAsia="DengXian"/>
          <w:sz w:val="20"/>
          <w:lang w:eastAsia="zh-CN"/>
        </w:rPr>
      </w:pPr>
      <w:bookmarkStart w:id="102" w:name="_ENREF_24"/>
      <w:proofErr w:type="spellStart"/>
      <w:r>
        <w:rPr>
          <w:rFonts w:eastAsia="DengXian"/>
          <w:sz w:val="20"/>
          <w:lang w:val="sv-SE" w:eastAsia="zh-CN"/>
        </w:rPr>
        <w:t>Kintsch</w:t>
      </w:r>
      <w:proofErr w:type="spellEnd"/>
      <w:r>
        <w:rPr>
          <w:rFonts w:eastAsia="DengXian"/>
          <w:sz w:val="20"/>
          <w:lang w:val="sv-SE" w:eastAsia="zh-CN"/>
        </w:rPr>
        <w:t xml:space="preserve">, W., &amp; Van Dijk, T. A. (1978). </w:t>
      </w:r>
      <w:proofErr w:type="gramStart"/>
      <w:r>
        <w:rPr>
          <w:rFonts w:eastAsia="DengXian"/>
          <w:sz w:val="20"/>
          <w:lang w:eastAsia="zh-CN"/>
        </w:rPr>
        <w:t>Toward a model of text comprehension and production.</w:t>
      </w:r>
      <w:proofErr w:type="gramEnd"/>
      <w:r>
        <w:rPr>
          <w:rFonts w:eastAsia="DengXian"/>
          <w:sz w:val="20"/>
          <w:lang w:eastAsia="zh-CN"/>
        </w:rPr>
        <w:t xml:space="preserve"> </w:t>
      </w:r>
      <w:r>
        <w:rPr>
          <w:rFonts w:eastAsia="DengXian"/>
          <w:i/>
          <w:sz w:val="20"/>
          <w:lang w:eastAsia="zh-CN"/>
        </w:rPr>
        <w:t>Psychological Review, 85</w:t>
      </w:r>
      <w:r>
        <w:rPr>
          <w:rFonts w:eastAsia="DengXian"/>
          <w:sz w:val="20"/>
          <w:lang w:eastAsia="zh-CN"/>
        </w:rPr>
        <w:t>(5), 363–</w:t>
      </w:r>
      <w:r>
        <w:rPr>
          <w:rFonts w:eastAsia="DengXian" w:hint="eastAsia"/>
          <w:sz w:val="20"/>
          <w:lang w:eastAsia="zh-CN"/>
        </w:rPr>
        <w:t>394</w:t>
      </w:r>
      <w:r>
        <w:rPr>
          <w:rFonts w:eastAsia="DengXian"/>
          <w:sz w:val="20"/>
          <w:lang w:eastAsia="zh-CN"/>
        </w:rPr>
        <w:t xml:space="preserve">. </w:t>
      </w:r>
      <w:bookmarkEnd w:id="102"/>
    </w:p>
    <w:p w:rsidR="004D2580" w:rsidRDefault="0034511E">
      <w:pPr>
        <w:adjustRightInd w:val="0"/>
        <w:snapToGrid w:val="0"/>
        <w:spacing w:after="0" w:line="480" w:lineRule="auto"/>
        <w:ind w:left="400" w:hangingChars="200" w:hanging="400"/>
        <w:jc w:val="both"/>
        <w:rPr>
          <w:rFonts w:eastAsia="DengXian"/>
          <w:sz w:val="20"/>
          <w:lang w:eastAsia="zh-CN"/>
        </w:rPr>
      </w:pPr>
      <w:bookmarkStart w:id="103" w:name="_ENREF_25"/>
      <w:proofErr w:type="spellStart"/>
      <w:proofErr w:type="gramStart"/>
      <w:r>
        <w:rPr>
          <w:rFonts w:eastAsia="DengXian"/>
          <w:sz w:val="20"/>
          <w:lang w:eastAsia="zh-CN"/>
        </w:rPr>
        <w:t>Lemarié</w:t>
      </w:r>
      <w:proofErr w:type="spellEnd"/>
      <w:r>
        <w:rPr>
          <w:rFonts w:eastAsia="DengXian"/>
          <w:sz w:val="20"/>
          <w:lang w:eastAsia="zh-CN"/>
        </w:rPr>
        <w:t>, J., Lorch R. F.,</w:t>
      </w:r>
      <w:r>
        <w:rPr>
          <w:sz w:val="20"/>
        </w:rPr>
        <w:t xml:space="preserve"> Jr.,</w:t>
      </w:r>
      <w:r>
        <w:rPr>
          <w:rFonts w:eastAsia="DengXian"/>
          <w:sz w:val="20"/>
          <w:lang w:eastAsia="zh-CN"/>
        </w:rPr>
        <w:t xml:space="preserve"> </w:t>
      </w:r>
      <w:proofErr w:type="spellStart"/>
      <w:r>
        <w:rPr>
          <w:rFonts w:eastAsia="DengXian"/>
          <w:sz w:val="20"/>
          <w:lang w:eastAsia="zh-CN"/>
        </w:rPr>
        <w:t>Eyrolle</w:t>
      </w:r>
      <w:proofErr w:type="spellEnd"/>
      <w:r>
        <w:rPr>
          <w:rFonts w:eastAsia="DengXian"/>
          <w:sz w:val="20"/>
          <w:lang w:eastAsia="zh-CN"/>
        </w:rPr>
        <w:t xml:space="preserve">, H., &amp; </w:t>
      </w:r>
      <w:proofErr w:type="spellStart"/>
      <w:r>
        <w:rPr>
          <w:rFonts w:eastAsia="DengXian"/>
          <w:sz w:val="20"/>
          <w:lang w:eastAsia="zh-CN"/>
        </w:rPr>
        <w:t>Virbel</w:t>
      </w:r>
      <w:proofErr w:type="spellEnd"/>
      <w:r>
        <w:rPr>
          <w:rFonts w:eastAsia="DengXian"/>
          <w:sz w:val="20"/>
          <w:lang w:eastAsia="zh-CN"/>
        </w:rPr>
        <w:t>, J. (2008).</w:t>
      </w:r>
      <w:proofErr w:type="gramEnd"/>
      <w:r>
        <w:rPr>
          <w:rFonts w:eastAsia="DengXian"/>
          <w:sz w:val="20"/>
          <w:lang w:eastAsia="zh-CN"/>
        </w:rPr>
        <w:t xml:space="preserve"> SARA: A text-based and reader-based theory of </w:t>
      </w:r>
      <w:proofErr w:type="spellStart"/>
      <w:r>
        <w:rPr>
          <w:rFonts w:eastAsia="DengXian"/>
          <w:sz w:val="20"/>
          <w:lang w:eastAsia="zh-CN"/>
        </w:rPr>
        <w:t>signaling</w:t>
      </w:r>
      <w:proofErr w:type="spellEnd"/>
      <w:r>
        <w:rPr>
          <w:rFonts w:eastAsia="DengXian"/>
          <w:sz w:val="20"/>
          <w:lang w:eastAsia="zh-CN"/>
        </w:rPr>
        <w:t xml:space="preserve">. </w:t>
      </w:r>
      <w:r>
        <w:rPr>
          <w:rFonts w:eastAsia="DengXian"/>
          <w:i/>
          <w:sz w:val="20"/>
          <w:lang w:eastAsia="zh-CN"/>
        </w:rPr>
        <w:t>Educational Psychologist, 43</w:t>
      </w:r>
      <w:r>
        <w:rPr>
          <w:rFonts w:eastAsia="DengXian"/>
          <w:sz w:val="20"/>
          <w:lang w:eastAsia="zh-CN"/>
        </w:rPr>
        <w:t xml:space="preserve">(1), 27–48. </w:t>
      </w:r>
      <w:bookmarkEnd w:id="103"/>
    </w:p>
    <w:p w:rsidR="004D2580" w:rsidRDefault="0034511E">
      <w:pPr>
        <w:adjustRightInd w:val="0"/>
        <w:snapToGrid w:val="0"/>
        <w:spacing w:after="0" w:line="480" w:lineRule="auto"/>
        <w:ind w:left="400" w:hangingChars="200" w:hanging="400"/>
        <w:jc w:val="both"/>
        <w:rPr>
          <w:rFonts w:eastAsia="DengXian"/>
          <w:sz w:val="20"/>
          <w:lang w:eastAsia="zh-CN"/>
        </w:rPr>
      </w:pPr>
      <w:bookmarkStart w:id="104" w:name="_ENREF_26"/>
      <w:proofErr w:type="spellStart"/>
      <w:proofErr w:type="gramStart"/>
      <w:r>
        <w:rPr>
          <w:sz w:val="20"/>
          <w:lang w:val="en-US"/>
        </w:rPr>
        <w:t>Linderholm</w:t>
      </w:r>
      <w:proofErr w:type="spellEnd"/>
      <w:r>
        <w:rPr>
          <w:sz w:val="20"/>
          <w:lang w:val="en-US"/>
        </w:rPr>
        <w:t xml:space="preserve">, T., &amp; van den </w:t>
      </w:r>
      <w:proofErr w:type="spellStart"/>
      <w:r>
        <w:rPr>
          <w:sz w:val="20"/>
          <w:lang w:val="en-US"/>
        </w:rPr>
        <w:t>Broek</w:t>
      </w:r>
      <w:proofErr w:type="spellEnd"/>
      <w:r>
        <w:rPr>
          <w:sz w:val="20"/>
          <w:lang w:val="en-US"/>
        </w:rPr>
        <w:t>, P. (2002).</w:t>
      </w:r>
      <w:proofErr w:type="gramEnd"/>
      <w:r>
        <w:rPr>
          <w:sz w:val="20"/>
          <w:lang w:val="en-US"/>
        </w:rPr>
        <w:t xml:space="preserve"> </w:t>
      </w:r>
      <w:proofErr w:type="gramStart"/>
      <w:r>
        <w:rPr>
          <w:rFonts w:eastAsia="DengXian"/>
          <w:sz w:val="20"/>
          <w:lang w:eastAsia="zh-CN"/>
        </w:rPr>
        <w:t>The effects of reading purpose and working memory capacity on the processing of expository text.</w:t>
      </w:r>
      <w:proofErr w:type="gramEnd"/>
      <w:r>
        <w:rPr>
          <w:rFonts w:eastAsia="DengXian"/>
          <w:sz w:val="20"/>
          <w:lang w:eastAsia="zh-CN"/>
        </w:rPr>
        <w:t xml:space="preserve"> </w:t>
      </w:r>
      <w:r>
        <w:rPr>
          <w:rFonts w:eastAsia="DengXian"/>
          <w:i/>
          <w:sz w:val="20"/>
          <w:lang w:eastAsia="zh-CN"/>
        </w:rPr>
        <w:t xml:space="preserve">Journal of </w:t>
      </w:r>
      <w:r>
        <w:rPr>
          <w:rFonts w:eastAsia="DengXian" w:hint="eastAsia"/>
          <w:i/>
          <w:sz w:val="20"/>
          <w:lang w:eastAsia="zh-CN"/>
        </w:rPr>
        <w:t>E</w:t>
      </w:r>
      <w:r>
        <w:rPr>
          <w:rFonts w:eastAsia="DengXian"/>
          <w:i/>
          <w:sz w:val="20"/>
          <w:lang w:eastAsia="zh-CN"/>
        </w:rPr>
        <w:t xml:space="preserve">ducational </w:t>
      </w:r>
      <w:r>
        <w:rPr>
          <w:rFonts w:eastAsia="DengXian" w:hint="eastAsia"/>
          <w:i/>
          <w:sz w:val="20"/>
          <w:lang w:eastAsia="zh-CN"/>
        </w:rPr>
        <w:t>P</w:t>
      </w:r>
      <w:r>
        <w:rPr>
          <w:rFonts w:eastAsia="DengXian"/>
          <w:i/>
          <w:sz w:val="20"/>
          <w:lang w:eastAsia="zh-CN"/>
        </w:rPr>
        <w:t>sychology, 94</w:t>
      </w:r>
      <w:r>
        <w:rPr>
          <w:rFonts w:eastAsia="DengXian"/>
          <w:sz w:val="20"/>
          <w:lang w:eastAsia="zh-CN"/>
        </w:rPr>
        <w:t>(4), 778–</w:t>
      </w:r>
      <w:r>
        <w:rPr>
          <w:rFonts w:eastAsia="DengXian" w:hint="eastAsia"/>
          <w:sz w:val="20"/>
          <w:lang w:eastAsia="zh-CN"/>
        </w:rPr>
        <w:t>784</w:t>
      </w:r>
      <w:r>
        <w:rPr>
          <w:rFonts w:eastAsia="DengXian"/>
          <w:sz w:val="20"/>
          <w:lang w:eastAsia="zh-CN"/>
        </w:rPr>
        <w:t>.</w:t>
      </w:r>
    </w:p>
    <w:p w:rsidR="004D2580" w:rsidRDefault="0034511E">
      <w:pPr>
        <w:adjustRightInd w:val="0"/>
        <w:snapToGrid w:val="0"/>
        <w:spacing w:after="0" w:line="480" w:lineRule="auto"/>
        <w:ind w:left="400" w:hangingChars="200" w:hanging="400"/>
        <w:jc w:val="both"/>
        <w:rPr>
          <w:sz w:val="20"/>
        </w:rPr>
      </w:pPr>
      <w:proofErr w:type="spellStart"/>
      <w:r>
        <w:rPr>
          <w:sz w:val="20"/>
        </w:rPr>
        <w:t>Liversedge</w:t>
      </w:r>
      <w:proofErr w:type="spellEnd"/>
      <w:r>
        <w:rPr>
          <w:sz w:val="20"/>
        </w:rPr>
        <w:t xml:space="preserve">, S. P., </w:t>
      </w:r>
      <w:proofErr w:type="spellStart"/>
      <w:r>
        <w:rPr>
          <w:sz w:val="20"/>
        </w:rPr>
        <w:t>Drieghe</w:t>
      </w:r>
      <w:proofErr w:type="spellEnd"/>
      <w:r>
        <w:rPr>
          <w:sz w:val="20"/>
        </w:rPr>
        <w:t xml:space="preserve">, D., Li, X., Yan, G., Bai, X., &amp; Hyönä, J. (2016). Universality in eye movements and reading: A trilingual investigation. </w:t>
      </w:r>
      <w:r>
        <w:rPr>
          <w:i/>
          <w:sz w:val="20"/>
        </w:rPr>
        <w:t>Cognition, 147</w:t>
      </w:r>
      <w:r>
        <w:rPr>
          <w:sz w:val="20"/>
        </w:rPr>
        <w:t xml:space="preserve">, 1-20. </w:t>
      </w:r>
      <w:bookmarkEnd w:id="104"/>
    </w:p>
    <w:p w:rsidR="004D2580" w:rsidRDefault="0034511E">
      <w:pPr>
        <w:adjustRightInd w:val="0"/>
        <w:snapToGrid w:val="0"/>
        <w:spacing w:after="0" w:line="480" w:lineRule="auto"/>
        <w:ind w:left="400" w:hangingChars="200" w:hanging="400"/>
        <w:jc w:val="both"/>
        <w:rPr>
          <w:rFonts w:eastAsia="DengXian"/>
          <w:sz w:val="20"/>
          <w:lang w:eastAsia="zh-CN"/>
        </w:rPr>
      </w:pPr>
      <w:bookmarkStart w:id="105" w:name="_ENREF_27"/>
      <w:proofErr w:type="gramStart"/>
      <w:r>
        <w:rPr>
          <w:sz w:val="20"/>
        </w:rPr>
        <w:t xml:space="preserve">Lorch, R. F., Jr., Lorch, E. P., &amp; </w:t>
      </w:r>
      <w:proofErr w:type="spellStart"/>
      <w:r>
        <w:rPr>
          <w:sz w:val="20"/>
        </w:rPr>
        <w:t>Klusewitz</w:t>
      </w:r>
      <w:proofErr w:type="spellEnd"/>
      <w:r>
        <w:rPr>
          <w:sz w:val="20"/>
        </w:rPr>
        <w:t>, M. A. (1995)</w:t>
      </w:r>
      <w:r>
        <w:rPr>
          <w:rFonts w:eastAsia="DengXian"/>
          <w:sz w:val="20"/>
          <w:lang w:eastAsia="zh-CN"/>
        </w:rPr>
        <w:t>.</w:t>
      </w:r>
      <w:proofErr w:type="gramEnd"/>
      <w:r>
        <w:rPr>
          <w:rFonts w:eastAsia="DengXian"/>
          <w:sz w:val="20"/>
          <w:lang w:eastAsia="zh-CN"/>
        </w:rPr>
        <w:t xml:space="preserve"> </w:t>
      </w:r>
      <w:proofErr w:type="gramStart"/>
      <w:r>
        <w:rPr>
          <w:rFonts w:eastAsia="DengXian"/>
          <w:sz w:val="20"/>
          <w:lang w:eastAsia="zh-CN"/>
        </w:rPr>
        <w:t>Effects of typographical cues on reading and recall of text.</w:t>
      </w:r>
      <w:proofErr w:type="gramEnd"/>
      <w:r>
        <w:rPr>
          <w:rFonts w:eastAsia="DengXian"/>
          <w:sz w:val="20"/>
          <w:lang w:eastAsia="zh-CN"/>
        </w:rPr>
        <w:t xml:space="preserve"> </w:t>
      </w:r>
      <w:r>
        <w:rPr>
          <w:rFonts w:eastAsia="DengXian"/>
          <w:i/>
          <w:sz w:val="20"/>
          <w:lang w:eastAsia="zh-CN"/>
        </w:rPr>
        <w:t xml:space="preserve">Contemporary </w:t>
      </w:r>
      <w:r>
        <w:rPr>
          <w:rFonts w:eastAsia="DengXian" w:hint="eastAsia"/>
          <w:i/>
          <w:sz w:val="20"/>
          <w:lang w:eastAsia="zh-CN"/>
        </w:rPr>
        <w:t>E</w:t>
      </w:r>
      <w:r>
        <w:rPr>
          <w:rFonts w:eastAsia="DengXian"/>
          <w:i/>
          <w:sz w:val="20"/>
          <w:lang w:eastAsia="zh-CN"/>
        </w:rPr>
        <w:t xml:space="preserve">ducational </w:t>
      </w:r>
      <w:r>
        <w:rPr>
          <w:rFonts w:eastAsia="DengXian" w:hint="eastAsia"/>
          <w:i/>
          <w:sz w:val="20"/>
          <w:lang w:eastAsia="zh-CN"/>
        </w:rPr>
        <w:t>P</w:t>
      </w:r>
      <w:r>
        <w:rPr>
          <w:rFonts w:eastAsia="DengXian"/>
          <w:i/>
          <w:sz w:val="20"/>
          <w:lang w:eastAsia="zh-CN"/>
        </w:rPr>
        <w:t>sychology, 20</w:t>
      </w:r>
      <w:r>
        <w:rPr>
          <w:rFonts w:eastAsia="DengXian"/>
          <w:sz w:val="20"/>
          <w:lang w:eastAsia="zh-CN"/>
        </w:rPr>
        <w:t xml:space="preserve">(1), 51–64. </w:t>
      </w:r>
      <w:bookmarkEnd w:id="105"/>
    </w:p>
    <w:p w:rsidR="004D2580" w:rsidRDefault="0034511E">
      <w:pPr>
        <w:adjustRightInd w:val="0"/>
        <w:snapToGrid w:val="0"/>
        <w:spacing w:after="0" w:line="480" w:lineRule="auto"/>
        <w:ind w:left="400" w:hangingChars="200" w:hanging="400"/>
        <w:jc w:val="both"/>
        <w:rPr>
          <w:rFonts w:eastAsia="DengXian"/>
          <w:sz w:val="20"/>
          <w:lang w:eastAsia="zh-CN"/>
        </w:rPr>
      </w:pPr>
      <w:bookmarkStart w:id="106" w:name="_ENREF_28"/>
      <w:r>
        <w:rPr>
          <w:rFonts w:eastAsia="DengXian"/>
          <w:sz w:val="20"/>
          <w:lang w:eastAsia="zh-CN"/>
        </w:rPr>
        <w:t>Lorch R. F.</w:t>
      </w:r>
      <w:r>
        <w:rPr>
          <w:sz w:val="20"/>
        </w:rPr>
        <w:t>, Jr.</w:t>
      </w:r>
      <w:r>
        <w:rPr>
          <w:rFonts w:eastAsia="DengXian"/>
          <w:sz w:val="20"/>
          <w:lang w:eastAsia="zh-CN"/>
        </w:rPr>
        <w:t xml:space="preserve"> (1989). </w:t>
      </w:r>
      <w:proofErr w:type="gramStart"/>
      <w:r>
        <w:rPr>
          <w:rFonts w:eastAsia="DengXian"/>
          <w:sz w:val="20"/>
          <w:lang w:eastAsia="zh-CN"/>
        </w:rPr>
        <w:t>Text-</w:t>
      </w:r>
      <w:proofErr w:type="spellStart"/>
      <w:r>
        <w:rPr>
          <w:rFonts w:eastAsia="DengXian"/>
          <w:sz w:val="20"/>
          <w:lang w:eastAsia="zh-CN"/>
        </w:rPr>
        <w:t>signaling</w:t>
      </w:r>
      <w:proofErr w:type="spellEnd"/>
      <w:r>
        <w:rPr>
          <w:rFonts w:eastAsia="DengXian"/>
          <w:sz w:val="20"/>
          <w:lang w:eastAsia="zh-CN"/>
        </w:rPr>
        <w:t xml:space="preserve"> devices and their effects on reading and memory processes.</w:t>
      </w:r>
      <w:proofErr w:type="gramEnd"/>
      <w:r>
        <w:rPr>
          <w:rFonts w:eastAsia="DengXian"/>
          <w:sz w:val="20"/>
          <w:lang w:eastAsia="zh-CN"/>
        </w:rPr>
        <w:t xml:space="preserve"> </w:t>
      </w:r>
      <w:r>
        <w:rPr>
          <w:rFonts w:eastAsia="DengXian"/>
          <w:i/>
          <w:sz w:val="20"/>
          <w:lang w:eastAsia="zh-CN"/>
        </w:rPr>
        <w:t xml:space="preserve">Educational </w:t>
      </w:r>
      <w:r>
        <w:rPr>
          <w:rFonts w:eastAsia="DengXian" w:hint="eastAsia"/>
          <w:i/>
          <w:sz w:val="20"/>
          <w:lang w:eastAsia="zh-CN"/>
        </w:rPr>
        <w:t>P</w:t>
      </w:r>
      <w:r>
        <w:rPr>
          <w:rFonts w:eastAsia="DengXian"/>
          <w:i/>
          <w:sz w:val="20"/>
          <w:lang w:eastAsia="zh-CN"/>
        </w:rPr>
        <w:t xml:space="preserve">sychology </w:t>
      </w:r>
      <w:r>
        <w:rPr>
          <w:rFonts w:eastAsia="DengXian" w:hint="eastAsia"/>
          <w:i/>
          <w:sz w:val="20"/>
          <w:lang w:eastAsia="zh-CN"/>
        </w:rPr>
        <w:t>R</w:t>
      </w:r>
      <w:r>
        <w:rPr>
          <w:rFonts w:eastAsia="DengXian"/>
          <w:i/>
          <w:sz w:val="20"/>
          <w:lang w:eastAsia="zh-CN"/>
        </w:rPr>
        <w:t>eview, 1</w:t>
      </w:r>
      <w:r>
        <w:rPr>
          <w:rFonts w:eastAsia="DengXian"/>
          <w:sz w:val="20"/>
          <w:lang w:eastAsia="zh-CN"/>
        </w:rPr>
        <w:t xml:space="preserve">(3), 209–234. </w:t>
      </w:r>
      <w:bookmarkEnd w:id="106"/>
    </w:p>
    <w:p w:rsidR="004D2580" w:rsidRDefault="0034511E">
      <w:pPr>
        <w:adjustRightInd w:val="0"/>
        <w:snapToGrid w:val="0"/>
        <w:spacing w:after="0" w:line="480" w:lineRule="auto"/>
        <w:ind w:left="400" w:hangingChars="200" w:hanging="400"/>
        <w:jc w:val="both"/>
        <w:rPr>
          <w:rFonts w:eastAsia="DengXian"/>
          <w:sz w:val="20"/>
          <w:lang w:eastAsia="zh-CN"/>
        </w:rPr>
      </w:pPr>
      <w:bookmarkStart w:id="107" w:name="_ENREF_29"/>
      <w:proofErr w:type="gramStart"/>
      <w:r>
        <w:rPr>
          <w:rFonts w:eastAsia="DengXian"/>
          <w:sz w:val="20"/>
          <w:lang w:eastAsia="zh-CN"/>
        </w:rPr>
        <w:t xml:space="preserve">Lorch R. F., </w:t>
      </w:r>
      <w:r>
        <w:rPr>
          <w:sz w:val="20"/>
        </w:rPr>
        <w:t>Jr.,</w:t>
      </w:r>
      <w:r>
        <w:rPr>
          <w:rFonts w:eastAsia="DengXian"/>
          <w:sz w:val="20"/>
          <w:lang w:eastAsia="zh-CN"/>
        </w:rPr>
        <w:t xml:space="preserve"> Chen, H.-T., &amp; </w:t>
      </w:r>
      <w:proofErr w:type="spellStart"/>
      <w:r>
        <w:rPr>
          <w:rFonts w:eastAsia="DengXian"/>
          <w:sz w:val="20"/>
          <w:lang w:eastAsia="zh-CN"/>
        </w:rPr>
        <w:t>Lemarié</w:t>
      </w:r>
      <w:proofErr w:type="spellEnd"/>
      <w:r>
        <w:rPr>
          <w:rFonts w:eastAsia="DengXian"/>
          <w:sz w:val="20"/>
          <w:lang w:eastAsia="zh-CN"/>
        </w:rPr>
        <w:t>, J. (2012).</w:t>
      </w:r>
      <w:proofErr w:type="gramEnd"/>
      <w:r>
        <w:rPr>
          <w:rFonts w:eastAsia="DengXian"/>
          <w:sz w:val="20"/>
          <w:lang w:eastAsia="zh-CN"/>
        </w:rPr>
        <w:t xml:space="preserve"> Communicating headings and preview sentences in text and speech. </w:t>
      </w:r>
      <w:r>
        <w:rPr>
          <w:rFonts w:eastAsia="DengXian"/>
          <w:i/>
          <w:sz w:val="20"/>
          <w:lang w:eastAsia="zh-CN"/>
        </w:rPr>
        <w:t>Journal of Experimental Psychology: Applied, 18</w:t>
      </w:r>
      <w:r>
        <w:rPr>
          <w:rFonts w:eastAsia="DengXian"/>
          <w:sz w:val="20"/>
          <w:lang w:eastAsia="zh-CN"/>
        </w:rPr>
        <w:t>(3), 265–</w:t>
      </w:r>
      <w:r>
        <w:rPr>
          <w:rFonts w:eastAsia="DengXian" w:hint="eastAsia"/>
          <w:sz w:val="20"/>
          <w:lang w:eastAsia="zh-CN"/>
        </w:rPr>
        <w:t>276</w:t>
      </w:r>
      <w:r>
        <w:rPr>
          <w:rFonts w:eastAsia="DengXian"/>
          <w:sz w:val="20"/>
          <w:lang w:eastAsia="zh-CN"/>
        </w:rPr>
        <w:t xml:space="preserve">. </w:t>
      </w:r>
      <w:bookmarkEnd w:id="107"/>
    </w:p>
    <w:p w:rsidR="004D2580" w:rsidRDefault="0034511E">
      <w:pPr>
        <w:adjustRightInd w:val="0"/>
        <w:snapToGrid w:val="0"/>
        <w:spacing w:after="0" w:line="480" w:lineRule="auto"/>
        <w:ind w:left="400" w:hangingChars="200" w:hanging="400"/>
        <w:jc w:val="both"/>
        <w:rPr>
          <w:rFonts w:eastAsia="DengXian"/>
          <w:sz w:val="20"/>
          <w:lang w:eastAsia="zh-CN"/>
        </w:rPr>
      </w:pPr>
      <w:bookmarkStart w:id="108" w:name="_ENREF_30"/>
      <w:proofErr w:type="gramStart"/>
      <w:r>
        <w:rPr>
          <w:rFonts w:eastAsia="DengXian"/>
          <w:sz w:val="20"/>
          <w:lang w:eastAsia="zh-CN"/>
        </w:rPr>
        <w:t xml:space="preserve">Lorch R. F., </w:t>
      </w:r>
      <w:r>
        <w:rPr>
          <w:sz w:val="20"/>
        </w:rPr>
        <w:t>Jr.,</w:t>
      </w:r>
      <w:r>
        <w:rPr>
          <w:rFonts w:eastAsia="DengXian"/>
          <w:sz w:val="20"/>
          <w:lang w:eastAsia="zh-CN"/>
        </w:rPr>
        <w:t xml:space="preserve"> </w:t>
      </w:r>
      <w:proofErr w:type="spellStart"/>
      <w:r>
        <w:rPr>
          <w:rFonts w:eastAsia="DengXian"/>
          <w:sz w:val="20"/>
          <w:lang w:eastAsia="zh-CN"/>
        </w:rPr>
        <w:t>Lemarié</w:t>
      </w:r>
      <w:proofErr w:type="spellEnd"/>
      <w:r>
        <w:rPr>
          <w:rFonts w:eastAsia="DengXian"/>
          <w:sz w:val="20"/>
          <w:lang w:eastAsia="zh-CN"/>
        </w:rPr>
        <w:t>, J., &amp; Chen, H.-T.</w:t>
      </w:r>
      <w:proofErr w:type="gramEnd"/>
      <w:r>
        <w:rPr>
          <w:rFonts w:eastAsia="DengXian"/>
          <w:sz w:val="20"/>
          <w:lang w:eastAsia="zh-CN"/>
        </w:rPr>
        <w:t xml:space="preserve"> (2013). </w:t>
      </w:r>
      <w:proofErr w:type="spellStart"/>
      <w:r>
        <w:rPr>
          <w:rFonts w:eastAsia="DengXian"/>
          <w:sz w:val="20"/>
          <w:lang w:eastAsia="zh-CN"/>
        </w:rPr>
        <w:t>Signaling</w:t>
      </w:r>
      <w:proofErr w:type="spellEnd"/>
      <w:r>
        <w:rPr>
          <w:rFonts w:eastAsia="DengXian"/>
          <w:sz w:val="20"/>
          <w:lang w:eastAsia="zh-CN"/>
        </w:rPr>
        <w:t xml:space="preserve"> topic structure via headings or preview sentences. </w:t>
      </w:r>
      <w:proofErr w:type="spellStart"/>
      <w:r>
        <w:rPr>
          <w:rFonts w:eastAsia="DengXian"/>
          <w:i/>
          <w:sz w:val="20"/>
          <w:lang w:eastAsia="zh-CN"/>
        </w:rPr>
        <w:t>Psicología</w:t>
      </w:r>
      <w:proofErr w:type="spellEnd"/>
      <w:r>
        <w:rPr>
          <w:rFonts w:eastAsia="DengXian"/>
          <w:i/>
          <w:sz w:val="20"/>
          <w:lang w:eastAsia="zh-CN"/>
        </w:rPr>
        <w:t xml:space="preserve"> </w:t>
      </w:r>
      <w:proofErr w:type="spellStart"/>
      <w:r>
        <w:rPr>
          <w:rFonts w:eastAsia="DengXian"/>
          <w:i/>
          <w:sz w:val="20"/>
          <w:lang w:eastAsia="zh-CN"/>
        </w:rPr>
        <w:t>Educativa</w:t>
      </w:r>
      <w:proofErr w:type="spellEnd"/>
      <w:r>
        <w:rPr>
          <w:rFonts w:eastAsia="DengXian"/>
          <w:i/>
          <w:sz w:val="20"/>
          <w:lang w:eastAsia="zh-CN"/>
        </w:rPr>
        <w:t>, 19</w:t>
      </w:r>
      <w:r>
        <w:rPr>
          <w:rFonts w:eastAsia="DengXian"/>
          <w:sz w:val="20"/>
          <w:lang w:eastAsia="zh-CN"/>
        </w:rPr>
        <w:t xml:space="preserve">(2), 59–66. </w:t>
      </w:r>
      <w:bookmarkEnd w:id="108"/>
    </w:p>
    <w:p w:rsidR="004D2580" w:rsidRDefault="0034511E">
      <w:pPr>
        <w:adjustRightInd w:val="0"/>
        <w:snapToGrid w:val="0"/>
        <w:spacing w:after="0" w:line="480" w:lineRule="auto"/>
        <w:ind w:left="400" w:hangingChars="200" w:hanging="400"/>
        <w:jc w:val="both"/>
        <w:rPr>
          <w:rFonts w:eastAsia="DengXian"/>
          <w:sz w:val="20"/>
          <w:lang w:eastAsia="zh-CN"/>
        </w:rPr>
      </w:pPr>
      <w:bookmarkStart w:id="109" w:name="_ENREF_31"/>
      <w:proofErr w:type="gramStart"/>
      <w:r>
        <w:rPr>
          <w:rFonts w:eastAsia="DengXian"/>
          <w:sz w:val="20"/>
          <w:lang w:eastAsia="zh-CN"/>
        </w:rPr>
        <w:t xml:space="preserve">Lorch R. F., </w:t>
      </w:r>
      <w:r>
        <w:rPr>
          <w:sz w:val="20"/>
        </w:rPr>
        <w:t>Jr.,</w:t>
      </w:r>
      <w:r>
        <w:rPr>
          <w:rFonts w:eastAsia="DengXian"/>
          <w:sz w:val="20"/>
          <w:lang w:eastAsia="zh-CN"/>
        </w:rPr>
        <w:t xml:space="preserve"> </w:t>
      </w:r>
      <w:proofErr w:type="spellStart"/>
      <w:r>
        <w:rPr>
          <w:rFonts w:eastAsia="DengXian"/>
          <w:sz w:val="20"/>
          <w:lang w:eastAsia="zh-CN"/>
        </w:rPr>
        <w:t>Lemarié</w:t>
      </w:r>
      <w:proofErr w:type="spellEnd"/>
      <w:r>
        <w:rPr>
          <w:rFonts w:eastAsia="DengXian"/>
          <w:sz w:val="20"/>
          <w:lang w:eastAsia="zh-CN"/>
        </w:rPr>
        <w:t>, J., &amp; Grant, R. A. (2011a).</w:t>
      </w:r>
      <w:proofErr w:type="gramEnd"/>
      <w:r>
        <w:rPr>
          <w:rFonts w:eastAsia="DengXian"/>
          <w:sz w:val="20"/>
          <w:lang w:eastAsia="zh-CN"/>
        </w:rPr>
        <w:t xml:space="preserve"> </w:t>
      </w:r>
      <w:proofErr w:type="spellStart"/>
      <w:proofErr w:type="gramStart"/>
      <w:r>
        <w:rPr>
          <w:rFonts w:eastAsia="DengXian"/>
          <w:sz w:val="20"/>
          <w:lang w:eastAsia="zh-CN"/>
        </w:rPr>
        <w:t>Signaling</w:t>
      </w:r>
      <w:proofErr w:type="spellEnd"/>
      <w:r>
        <w:rPr>
          <w:rFonts w:eastAsia="DengXian"/>
          <w:sz w:val="20"/>
          <w:lang w:eastAsia="zh-CN"/>
        </w:rPr>
        <w:t xml:space="preserve"> hierarchical and sequential organization in expository text.</w:t>
      </w:r>
      <w:proofErr w:type="gramEnd"/>
      <w:r>
        <w:rPr>
          <w:rFonts w:eastAsia="DengXian"/>
          <w:sz w:val="20"/>
          <w:lang w:eastAsia="zh-CN"/>
        </w:rPr>
        <w:t xml:space="preserve"> </w:t>
      </w:r>
      <w:r>
        <w:rPr>
          <w:rFonts w:eastAsia="DengXian"/>
          <w:i/>
          <w:sz w:val="20"/>
          <w:lang w:eastAsia="zh-CN"/>
        </w:rPr>
        <w:t>Scientific Studies of Reading, 15</w:t>
      </w:r>
      <w:r>
        <w:rPr>
          <w:rFonts w:eastAsia="DengXian"/>
          <w:sz w:val="20"/>
          <w:lang w:eastAsia="zh-CN"/>
        </w:rPr>
        <w:t xml:space="preserve">(3), 267–284. </w:t>
      </w:r>
      <w:bookmarkEnd w:id="109"/>
    </w:p>
    <w:p w:rsidR="004D2580" w:rsidRDefault="0034511E">
      <w:pPr>
        <w:adjustRightInd w:val="0"/>
        <w:snapToGrid w:val="0"/>
        <w:spacing w:after="0" w:line="480" w:lineRule="auto"/>
        <w:ind w:left="400" w:hangingChars="200" w:hanging="400"/>
        <w:jc w:val="both"/>
        <w:rPr>
          <w:rFonts w:eastAsia="DengXian"/>
          <w:sz w:val="20"/>
          <w:lang w:eastAsia="zh-CN"/>
        </w:rPr>
      </w:pPr>
      <w:bookmarkStart w:id="110" w:name="_ENREF_32"/>
      <w:proofErr w:type="gramStart"/>
      <w:r>
        <w:rPr>
          <w:rFonts w:eastAsia="DengXian"/>
          <w:sz w:val="20"/>
          <w:lang w:eastAsia="zh-CN"/>
        </w:rPr>
        <w:t xml:space="preserve">Lorch R. F., </w:t>
      </w:r>
      <w:r>
        <w:rPr>
          <w:sz w:val="20"/>
        </w:rPr>
        <w:t>Jr.,</w:t>
      </w:r>
      <w:r>
        <w:rPr>
          <w:rFonts w:eastAsia="DengXian"/>
          <w:sz w:val="20"/>
          <w:lang w:eastAsia="zh-CN"/>
        </w:rPr>
        <w:t xml:space="preserve"> </w:t>
      </w:r>
      <w:proofErr w:type="spellStart"/>
      <w:r>
        <w:rPr>
          <w:rFonts w:eastAsia="DengXian"/>
          <w:sz w:val="20"/>
          <w:lang w:eastAsia="zh-CN"/>
        </w:rPr>
        <w:t>Lemarié</w:t>
      </w:r>
      <w:proofErr w:type="spellEnd"/>
      <w:r>
        <w:rPr>
          <w:rFonts w:eastAsia="DengXian"/>
          <w:sz w:val="20"/>
          <w:lang w:eastAsia="zh-CN"/>
        </w:rPr>
        <w:t>, J., &amp; Grant, R. A. (2011b).</w:t>
      </w:r>
      <w:proofErr w:type="gramEnd"/>
      <w:r>
        <w:rPr>
          <w:rFonts w:eastAsia="DengXian"/>
          <w:sz w:val="20"/>
          <w:lang w:eastAsia="zh-CN"/>
        </w:rPr>
        <w:t xml:space="preserve"> Three information functions of headings: A test of the SARA theory of </w:t>
      </w:r>
      <w:proofErr w:type="spellStart"/>
      <w:r>
        <w:rPr>
          <w:rFonts w:eastAsia="DengXian"/>
          <w:sz w:val="20"/>
          <w:lang w:eastAsia="zh-CN"/>
        </w:rPr>
        <w:t>signaling</w:t>
      </w:r>
      <w:proofErr w:type="spellEnd"/>
      <w:r>
        <w:rPr>
          <w:rFonts w:eastAsia="DengXian"/>
          <w:sz w:val="20"/>
          <w:lang w:eastAsia="zh-CN"/>
        </w:rPr>
        <w:t xml:space="preserve">. </w:t>
      </w:r>
      <w:r>
        <w:rPr>
          <w:rFonts w:eastAsia="DengXian"/>
          <w:i/>
          <w:sz w:val="20"/>
          <w:lang w:eastAsia="zh-CN"/>
        </w:rPr>
        <w:t>Discourse Processes, 48</w:t>
      </w:r>
      <w:r>
        <w:rPr>
          <w:rFonts w:eastAsia="DengXian"/>
          <w:sz w:val="20"/>
          <w:lang w:eastAsia="zh-CN"/>
        </w:rPr>
        <w:t xml:space="preserve">(3), 139–160. </w:t>
      </w:r>
      <w:bookmarkEnd w:id="110"/>
    </w:p>
    <w:p w:rsidR="004D2580" w:rsidRDefault="0034511E">
      <w:pPr>
        <w:adjustRightInd w:val="0"/>
        <w:snapToGrid w:val="0"/>
        <w:spacing w:after="0" w:line="480" w:lineRule="auto"/>
        <w:ind w:left="400" w:hangingChars="200" w:hanging="400"/>
        <w:jc w:val="both"/>
        <w:rPr>
          <w:rFonts w:eastAsia="DengXian"/>
          <w:sz w:val="20"/>
          <w:lang w:eastAsia="zh-CN"/>
        </w:rPr>
      </w:pPr>
      <w:bookmarkStart w:id="111" w:name="_ENREF_33"/>
      <w:proofErr w:type="gramStart"/>
      <w:r>
        <w:rPr>
          <w:rFonts w:eastAsia="DengXian"/>
          <w:sz w:val="20"/>
          <w:lang w:eastAsia="zh-CN"/>
        </w:rPr>
        <w:t xml:space="preserve">Lorch R. F., </w:t>
      </w:r>
      <w:r>
        <w:rPr>
          <w:sz w:val="20"/>
        </w:rPr>
        <w:t>Jr.,</w:t>
      </w:r>
      <w:r>
        <w:rPr>
          <w:rFonts w:eastAsia="DengXian"/>
          <w:sz w:val="20"/>
          <w:lang w:eastAsia="zh-CN"/>
        </w:rPr>
        <w:t xml:space="preserve"> &amp; Lorch, E. P. (1996a).</w:t>
      </w:r>
      <w:proofErr w:type="gramEnd"/>
      <w:r>
        <w:rPr>
          <w:rFonts w:eastAsia="DengXian"/>
          <w:sz w:val="20"/>
          <w:lang w:eastAsia="zh-CN"/>
        </w:rPr>
        <w:t xml:space="preserve"> </w:t>
      </w:r>
      <w:proofErr w:type="gramStart"/>
      <w:r>
        <w:rPr>
          <w:rFonts w:eastAsia="DengXian"/>
          <w:sz w:val="20"/>
          <w:lang w:eastAsia="zh-CN"/>
        </w:rPr>
        <w:t>Effects of headings on text recall and summarization.</w:t>
      </w:r>
      <w:proofErr w:type="gramEnd"/>
      <w:r>
        <w:rPr>
          <w:rFonts w:eastAsia="DengXian"/>
          <w:sz w:val="20"/>
          <w:lang w:eastAsia="zh-CN"/>
        </w:rPr>
        <w:t xml:space="preserve"> </w:t>
      </w:r>
      <w:r>
        <w:rPr>
          <w:rFonts w:eastAsia="DengXian"/>
          <w:i/>
          <w:sz w:val="20"/>
          <w:lang w:eastAsia="zh-CN"/>
        </w:rPr>
        <w:t>Contemporary Educational Psychology, 21</w:t>
      </w:r>
      <w:r>
        <w:rPr>
          <w:rFonts w:eastAsia="DengXian"/>
          <w:sz w:val="20"/>
          <w:lang w:eastAsia="zh-CN"/>
        </w:rPr>
        <w:t xml:space="preserve">(3), 261–278. </w:t>
      </w:r>
      <w:bookmarkEnd w:id="111"/>
    </w:p>
    <w:p w:rsidR="004D2580" w:rsidRDefault="0034511E">
      <w:pPr>
        <w:adjustRightInd w:val="0"/>
        <w:snapToGrid w:val="0"/>
        <w:spacing w:after="0" w:line="480" w:lineRule="auto"/>
        <w:ind w:left="400" w:hangingChars="200" w:hanging="400"/>
        <w:jc w:val="both"/>
        <w:rPr>
          <w:rFonts w:eastAsia="DengXian"/>
          <w:sz w:val="20"/>
          <w:lang w:eastAsia="zh-CN"/>
        </w:rPr>
      </w:pPr>
      <w:bookmarkStart w:id="112" w:name="_ENREF_34"/>
      <w:proofErr w:type="gramStart"/>
      <w:r>
        <w:rPr>
          <w:rFonts w:eastAsia="DengXian"/>
          <w:sz w:val="20"/>
          <w:lang w:eastAsia="zh-CN"/>
        </w:rPr>
        <w:lastRenderedPageBreak/>
        <w:t xml:space="preserve">Lorch R. F., </w:t>
      </w:r>
      <w:r>
        <w:rPr>
          <w:sz w:val="20"/>
        </w:rPr>
        <w:t>Jr.,</w:t>
      </w:r>
      <w:r>
        <w:rPr>
          <w:rFonts w:eastAsia="DengXian"/>
          <w:sz w:val="20"/>
          <w:lang w:eastAsia="zh-CN"/>
        </w:rPr>
        <w:t xml:space="preserve"> &amp; Lorch, E. P. (1996b).</w:t>
      </w:r>
      <w:proofErr w:type="gramEnd"/>
      <w:r>
        <w:rPr>
          <w:rFonts w:eastAsia="DengXian"/>
          <w:sz w:val="20"/>
          <w:lang w:eastAsia="zh-CN"/>
        </w:rPr>
        <w:t xml:space="preserve"> </w:t>
      </w:r>
      <w:proofErr w:type="gramStart"/>
      <w:r>
        <w:rPr>
          <w:rFonts w:eastAsia="DengXian"/>
          <w:sz w:val="20"/>
          <w:lang w:eastAsia="zh-CN"/>
        </w:rPr>
        <w:t>Effects of organizational signals on free recall of expository text.</w:t>
      </w:r>
      <w:proofErr w:type="gramEnd"/>
      <w:r>
        <w:rPr>
          <w:rFonts w:eastAsia="DengXian"/>
          <w:sz w:val="20"/>
          <w:lang w:eastAsia="zh-CN"/>
        </w:rPr>
        <w:t xml:space="preserve"> </w:t>
      </w:r>
      <w:r>
        <w:rPr>
          <w:rFonts w:eastAsia="DengXian"/>
          <w:i/>
          <w:sz w:val="20"/>
          <w:lang w:eastAsia="zh-CN"/>
        </w:rPr>
        <w:t xml:space="preserve">Journal of </w:t>
      </w:r>
      <w:r>
        <w:rPr>
          <w:rFonts w:eastAsia="DengXian" w:hint="eastAsia"/>
          <w:i/>
          <w:sz w:val="20"/>
          <w:lang w:eastAsia="zh-CN"/>
        </w:rPr>
        <w:t>E</w:t>
      </w:r>
      <w:r>
        <w:rPr>
          <w:rFonts w:eastAsia="DengXian"/>
          <w:i/>
          <w:sz w:val="20"/>
          <w:lang w:eastAsia="zh-CN"/>
        </w:rPr>
        <w:t xml:space="preserve">ducational </w:t>
      </w:r>
      <w:r>
        <w:rPr>
          <w:rFonts w:eastAsia="DengXian" w:hint="eastAsia"/>
          <w:i/>
          <w:sz w:val="20"/>
          <w:lang w:eastAsia="zh-CN"/>
        </w:rPr>
        <w:t>P</w:t>
      </w:r>
      <w:r>
        <w:rPr>
          <w:rFonts w:eastAsia="DengXian"/>
          <w:i/>
          <w:sz w:val="20"/>
          <w:lang w:eastAsia="zh-CN"/>
        </w:rPr>
        <w:t>sychology, 88</w:t>
      </w:r>
      <w:r>
        <w:rPr>
          <w:rFonts w:eastAsia="DengXian"/>
          <w:sz w:val="20"/>
          <w:lang w:eastAsia="zh-CN"/>
        </w:rPr>
        <w:t>(1), 38–</w:t>
      </w:r>
      <w:r>
        <w:rPr>
          <w:rFonts w:eastAsia="DengXian" w:hint="eastAsia"/>
          <w:sz w:val="20"/>
          <w:lang w:eastAsia="zh-CN"/>
        </w:rPr>
        <w:t>48</w:t>
      </w:r>
      <w:r>
        <w:rPr>
          <w:rFonts w:eastAsia="DengXian"/>
          <w:sz w:val="20"/>
          <w:lang w:eastAsia="zh-CN"/>
        </w:rPr>
        <w:t xml:space="preserve">. </w:t>
      </w:r>
      <w:bookmarkEnd w:id="112"/>
    </w:p>
    <w:p w:rsidR="004D2580" w:rsidRDefault="0034511E">
      <w:pPr>
        <w:adjustRightInd w:val="0"/>
        <w:snapToGrid w:val="0"/>
        <w:spacing w:after="0" w:line="480" w:lineRule="auto"/>
        <w:ind w:left="400" w:hangingChars="200" w:hanging="400"/>
        <w:jc w:val="both"/>
        <w:rPr>
          <w:rFonts w:eastAsia="DengXian"/>
          <w:sz w:val="20"/>
          <w:lang w:eastAsia="zh-CN"/>
        </w:rPr>
      </w:pPr>
      <w:bookmarkStart w:id="113" w:name="_ENREF_35"/>
      <w:proofErr w:type="gramStart"/>
      <w:r>
        <w:rPr>
          <w:rFonts w:eastAsia="DengXian"/>
          <w:sz w:val="20"/>
          <w:lang w:eastAsia="zh-CN"/>
        </w:rPr>
        <w:t xml:space="preserve">Lorch R. F., </w:t>
      </w:r>
      <w:r>
        <w:rPr>
          <w:sz w:val="20"/>
        </w:rPr>
        <w:t>Jr.,</w:t>
      </w:r>
      <w:r>
        <w:rPr>
          <w:rFonts w:eastAsia="DengXian"/>
          <w:sz w:val="20"/>
          <w:lang w:eastAsia="zh-CN"/>
        </w:rPr>
        <w:t xml:space="preserve"> Lorch, E. P., &amp; Inman, W. E. (1993).</w:t>
      </w:r>
      <w:proofErr w:type="gramEnd"/>
      <w:r>
        <w:rPr>
          <w:rFonts w:eastAsia="DengXian"/>
          <w:sz w:val="20"/>
          <w:lang w:eastAsia="zh-CN"/>
        </w:rPr>
        <w:t xml:space="preserve"> Effects of </w:t>
      </w:r>
      <w:proofErr w:type="spellStart"/>
      <w:r>
        <w:rPr>
          <w:rFonts w:eastAsia="DengXian"/>
          <w:sz w:val="20"/>
          <w:lang w:eastAsia="zh-CN"/>
        </w:rPr>
        <w:t>signaling</w:t>
      </w:r>
      <w:proofErr w:type="spellEnd"/>
      <w:r>
        <w:rPr>
          <w:rFonts w:eastAsia="DengXian"/>
          <w:sz w:val="20"/>
          <w:lang w:eastAsia="zh-CN"/>
        </w:rPr>
        <w:t xml:space="preserve"> topic structure on text recall. </w:t>
      </w:r>
      <w:r>
        <w:rPr>
          <w:rFonts w:eastAsia="DengXian"/>
          <w:i/>
          <w:sz w:val="20"/>
          <w:lang w:eastAsia="zh-CN"/>
        </w:rPr>
        <w:t xml:space="preserve">Journal of </w:t>
      </w:r>
      <w:r>
        <w:rPr>
          <w:rFonts w:eastAsia="DengXian" w:hint="eastAsia"/>
          <w:i/>
          <w:sz w:val="20"/>
          <w:lang w:eastAsia="zh-CN"/>
        </w:rPr>
        <w:t>E</w:t>
      </w:r>
      <w:r>
        <w:rPr>
          <w:rFonts w:eastAsia="DengXian"/>
          <w:i/>
          <w:sz w:val="20"/>
          <w:lang w:eastAsia="zh-CN"/>
        </w:rPr>
        <w:t xml:space="preserve">ducational </w:t>
      </w:r>
      <w:r>
        <w:rPr>
          <w:rFonts w:eastAsia="DengXian" w:hint="eastAsia"/>
          <w:i/>
          <w:sz w:val="20"/>
          <w:lang w:eastAsia="zh-CN"/>
        </w:rPr>
        <w:t>P</w:t>
      </w:r>
      <w:r>
        <w:rPr>
          <w:rFonts w:eastAsia="DengXian"/>
          <w:i/>
          <w:sz w:val="20"/>
          <w:lang w:eastAsia="zh-CN"/>
        </w:rPr>
        <w:t>sychology, 85</w:t>
      </w:r>
      <w:r>
        <w:rPr>
          <w:rFonts w:eastAsia="DengXian"/>
          <w:sz w:val="20"/>
          <w:lang w:eastAsia="zh-CN"/>
        </w:rPr>
        <w:t>(2), 281–</w:t>
      </w:r>
      <w:r>
        <w:rPr>
          <w:rFonts w:eastAsia="DengXian" w:hint="eastAsia"/>
          <w:sz w:val="20"/>
          <w:lang w:eastAsia="zh-CN"/>
        </w:rPr>
        <w:t>290</w:t>
      </w:r>
      <w:r>
        <w:rPr>
          <w:rFonts w:eastAsia="DengXian"/>
          <w:sz w:val="20"/>
          <w:lang w:eastAsia="zh-CN"/>
        </w:rPr>
        <w:t xml:space="preserve">. </w:t>
      </w:r>
      <w:bookmarkEnd w:id="113"/>
    </w:p>
    <w:p w:rsidR="004D2580" w:rsidRDefault="0034511E">
      <w:pPr>
        <w:adjustRightInd w:val="0"/>
        <w:snapToGrid w:val="0"/>
        <w:spacing w:after="0" w:line="480" w:lineRule="auto"/>
        <w:ind w:left="400" w:hangingChars="200" w:hanging="400"/>
        <w:jc w:val="both"/>
        <w:rPr>
          <w:rFonts w:eastAsia="DengXian"/>
          <w:sz w:val="20"/>
          <w:lang w:eastAsia="zh-CN"/>
        </w:rPr>
      </w:pPr>
      <w:bookmarkStart w:id="114" w:name="_ENREF_36"/>
      <w:proofErr w:type="gramStart"/>
      <w:r>
        <w:rPr>
          <w:rFonts w:eastAsia="DengXian"/>
          <w:sz w:val="20"/>
          <w:lang w:eastAsia="zh-CN"/>
        </w:rPr>
        <w:t xml:space="preserve">Lorch R. F., </w:t>
      </w:r>
      <w:r>
        <w:rPr>
          <w:sz w:val="20"/>
        </w:rPr>
        <w:t>Jr.,</w:t>
      </w:r>
      <w:r>
        <w:rPr>
          <w:rFonts w:eastAsia="DengXian"/>
          <w:sz w:val="20"/>
          <w:lang w:eastAsia="zh-CN"/>
        </w:rPr>
        <w:t xml:space="preserve"> Lorch, E. P., &amp; </w:t>
      </w:r>
      <w:proofErr w:type="spellStart"/>
      <w:r>
        <w:rPr>
          <w:rFonts w:eastAsia="DengXian"/>
          <w:sz w:val="20"/>
          <w:lang w:eastAsia="zh-CN"/>
        </w:rPr>
        <w:t>Mogan</w:t>
      </w:r>
      <w:proofErr w:type="spellEnd"/>
      <w:r>
        <w:rPr>
          <w:rFonts w:eastAsia="DengXian"/>
          <w:sz w:val="20"/>
          <w:lang w:eastAsia="zh-CN"/>
        </w:rPr>
        <w:t>, A. M. (1987).</w:t>
      </w:r>
      <w:proofErr w:type="gramEnd"/>
      <w:r>
        <w:rPr>
          <w:rFonts w:eastAsia="DengXian"/>
          <w:sz w:val="20"/>
          <w:lang w:eastAsia="zh-CN"/>
        </w:rPr>
        <w:t xml:space="preserve"> Task effects and individual differences in on</w:t>
      </w:r>
      <w:r>
        <w:rPr>
          <w:rFonts w:ascii="SimSun" w:hAnsi="SimSun" w:cs="SimSun" w:hint="eastAsia"/>
          <w:sz w:val="20"/>
          <w:lang w:eastAsia="zh-CN"/>
        </w:rPr>
        <w:t>‐</w:t>
      </w:r>
      <w:r>
        <w:rPr>
          <w:rFonts w:eastAsia="DengXian"/>
          <w:sz w:val="20"/>
          <w:lang w:eastAsia="zh-CN"/>
        </w:rPr>
        <w:t xml:space="preserve">line processing of the topic structure of a text. </w:t>
      </w:r>
      <w:r>
        <w:rPr>
          <w:rFonts w:eastAsia="DengXian"/>
          <w:i/>
          <w:sz w:val="20"/>
          <w:lang w:eastAsia="zh-CN"/>
        </w:rPr>
        <w:t>Discourse Processes, 10</w:t>
      </w:r>
      <w:r>
        <w:rPr>
          <w:rFonts w:eastAsia="DengXian"/>
          <w:sz w:val="20"/>
          <w:lang w:eastAsia="zh-CN"/>
        </w:rPr>
        <w:t xml:space="preserve">(1), 63–80. </w:t>
      </w:r>
      <w:bookmarkEnd w:id="114"/>
    </w:p>
    <w:p w:rsidR="004D2580" w:rsidRDefault="0034511E">
      <w:pPr>
        <w:adjustRightInd w:val="0"/>
        <w:snapToGrid w:val="0"/>
        <w:spacing w:after="0" w:line="480" w:lineRule="auto"/>
        <w:ind w:left="400" w:hangingChars="200" w:hanging="400"/>
        <w:jc w:val="both"/>
        <w:rPr>
          <w:rFonts w:eastAsia="DengXian"/>
          <w:sz w:val="20"/>
          <w:lang w:eastAsia="zh-CN"/>
        </w:rPr>
      </w:pPr>
      <w:bookmarkStart w:id="115" w:name="_ENREF_37"/>
      <w:proofErr w:type="spellStart"/>
      <w:proofErr w:type="gramStart"/>
      <w:r>
        <w:rPr>
          <w:rFonts w:eastAsia="DengXian"/>
          <w:sz w:val="20"/>
          <w:lang w:eastAsia="zh-CN"/>
        </w:rPr>
        <w:t>Mautone</w:t>
      </w:r>
      <w:proofErr w:type="spellEnd"/>
      <w:r>
        <w:rPr>
          <w:rFonts w:eastAsia="DengXian"/>
          <w:sz w:val="20"/>
          <w:lang w:eastAsia="zh-CN"/>
        </w:rPr>
        <w:t>, P. D., &amp; Mayer, R. E. (2001).</w:t>
      </w:r>
      <w:proofErr w:type="gramEnd"/>
      <w:r>
        <w:rPr>
          <w:rFonts w:eastAsia="DengXian"/>
          <w:sz w:val="20"/>
          <w:lang w:eastAsia="zh-CN"/>
        </w:rPr>
        <w:t xml:space="preserve"> </w:t>
      </w:r>
      <w:proofErr w:type="spellStart"/>
      <w:proofErr w:type="gramStart"/>
      <w:r>
        <w:rPr>
          <w:rFonts w:eastAsia="DengXian"/>
          <w:sz w:val="20"/>
          <w:lang w:eastAsia="zh-CN"/>
        </w:rPr>
        <w:t>Signaling</w:t>
      </w:r>
      <w:proofErr w:type="spellEnd"/>
      <w:r>
        <w:rPr>
          <w:rFonts w:eastAsia="DengXian"/>
          <w:sz w:val="20"/>
          <w:lang w:eastAsia="zh-CN"/>
        </w:rPr>
        <w:t xml:space="preserve"> as a cognitive guide in multimedia learning.</w:t>
      </w:r>
      <w:proofErr w:type="gramEnd"/>
      <w:r>
        <w:rPr>
          <w:rFonts w:eastAsia="DengXian"/>
          <w:sz w:val="20"/>
          <w:lang w:eastAsia="zh-CN"/>
        </w:rPr>
        <w:t xml:space="preserve"> </w:t>
      </w:r>
      <w:r>
        <w:rPr>
          <w:rFonts w:eastAsia="DengXian"/>
          <w:i/>
          <w:sz w:val="20"/>
          <w:lang w:eastAsia="zh-CN"/>
        </w:rPr>
        <w:t xml:space="preserve">Journal of </w:t>
      </w:r>
      <w:r>
        <w:rPr>
          <w:rFonts w:eastAsia="DengXian" w:hint="eastAsia"/>
          <w:i/>
          <w:sz w:val="20"/>
          <w:lang w:eastAsia="zh-CN"/>
        </w:rPr>
        <w:t>E</w:t>
      </w:r>
      <w:r>
        <w:rPr>
          <w:rFonts w:eastAsia="DengXian"/>
          <w:i/>
          <w:sz w:val="20"/>
          <w:lang w:eastAsia="zh-CN"/>
        </w:rPr>
        <w:t xml:space="preserve">ducational </w:t>
      </w:r>
      <w:r>
        <w:rPr>
          <w:rFonts w:eastAsia="DengXian" w:hint="eastAsia"/>
          <w:i/>
          <w:sz w:val="20"/>
          <w:lang w:eastAsia="zh-CN"/>
        </w:rPr>
        <w:t>P</w:t>
      </w:r>
      <w:r>
        <w:rPr>
          <w:rFonts w:eastAsia="DengXian"/>
          <w:i/>
          <w:sz w:val="20"/>
          <w:lang w:eastAsia="zh-CN"/>
        </w:rPr>
        <w:t>sychology, 93</w:t>
      </w:r>
      <w:r>
        <w:rPr>
          <w:rFonts w:eastAsia="DengXian"/>
          <w:sz w:val="20"/>
          <w:lang w:eastAsia="zh-CN"/>
        </w:rPr>
        <w:t>(2), 377–</w:t>
      </w:r>
      <w:r>
        <w:rPr>
          <w:rFonts w:eastAsia="DengXian" w:hint="eastAsia"/>
          <w:sz w:val="20"/>
          <w:lang w:eastAsia="zh-CN"/>
        </w:rPr>
        <w:t>389</w:t>
      </w:r>
      <w:r>
        <w:rPr>
          <w:rFonts w:eastAsia="DengXian"/>
          <w:sz w:val="20"/>
          <w:lang w:eastAsia="zh-CN"/>
        </w:rPr>
        <w:t xml:space="preserve">. </w:t>
      </w:r>
      <w:bookmarkEnd w:id="115"/>
    </w:p>
    <w:p w:rsidR="004D2580" w:rsidRDefault="0034511E">
      <w:pPr>
        <w:adjustRightInd w:val="0"/>
        <w:snapToGrid w:val="0"/>
        <w:spacing w:after="0" w:line="480" w:lineRule="auto"/>
        <w:ind w:left="400" w:hangingChars="200" w:hanging="400"/>
        <w:jc w:val="both"/>
        <w:rPr>
          <w:rFonts w:eastAsia="DengXian"/>
          <w:sz w:val="20"/>
          <w:lang w:eastAsia="zh-CN"/>
        </w:rPr>
      </w:pPr>
      <w:bookmarkStart w:id="116" w:name="_ENREF_38"/>
      <w:r>
        <w:rPr>
          <w:rFonts w:eastAsia="DengXian"/>
          <w:sz w:val="20"/>
          <w:lang w:eastAsia="zh-CN"/>
        </w:rPr>
        <w:t xml:space="preserve">Mayer, R. E. (2005). </w:t>
      </w:r>
      <w:proofErr w:type="gramStart"/>
      <w:r>
        <w:rPr>
          <w:rFonts w:eastAsia="DengXian"/>
          <w:i/>
          <w:sz w:val="20"/>
          <w:lang w:eastAsia="zh-CN"/>
        </w:rPr>
        <w:t>The Cambridge handbook of multimedia learning</w:t>
      </w:r>
      <w:r>
        <w:rPr>
          <w:rFonts w:eastAsia="DengXian" w:hint="eastAsia"/>
          <w:sz w:val="20"/>
          <w:lang w:eastAsia="zh-CN"/>
        </w:rPr>
        <w:t>.</w:t>
      </w:r>
      <w:proofErr w:type="gramEnd"/>
      <w:r>
        <w:rPr>
          <w:rFonts w:eastAsia="DengXian" w:hint="eastAsia"/>
          <w:sz w:val="20"/>
          <w:lang w:eastAsia="zh-CN"/>
        </w:rPr>
        <w:t xml:space="preserve"> New York</w:t>
      </w:r>
      <w:r>
        <w:rPr>
          <w:rFonts w:eastAsia="DengXian"/>
          <w:sz w:val="20"/>
          <w:lang w:eastAsia="zh-CN"/>
        </w:rPr>
        <w:t>: Cambridge university press.</w:t>
      </w:r>
      <w:bookmarkEnd w:id="116"/>
    </w:p>
    <w:p w:rsidR="004D2580" w:rsidRDefault="0034511E">
      <w:pPr>
        <w:adjustRightInd w:val="0"/>
        <w:snapToGrid w:val="0"/>
        <w:spacing w:after="0" w:line="480" w:lineRule="auto"/>
        <w:ind w:left="400" w:hangingChars="200" w:hanging="400"/>
        <w:jc w:val="both"/>
        <w:rPr>
          <w:rFonts w:eastAsia="DengXian"/>
          <w:sz w:val="20"/>
          <w:lang w:eastAsia="zh-CN"/>
        </w:rPr>
      </w:pPr>
      <w:bookmarkStart w:id="117" w:name="_ENREF_39"/>
      <w:proofErr w:type="spellStart"/>
      <w:proofErr w:type="gramStart"/>
      <w:r>
        <w:rPr>
          <w:rFonts w:eastAsia="DengXian"/>
          <w:sz w:val="20"/>
          <w:lang w:eastAsia="zh-CN"/>
        </w:rPr>
        <w:t>McCrudden</w:t>
      </w:r>
      <w:proofErr w:type="spellEnd"/>
      <w:r>
        <w:rPr>
          <w:rFonts w:eastAsia="DengXian"/>
          <w:sz w:val="20"/>
          <w:lang w:eastAsia="zh-CN"/>
        </w:rPr>
        <w:t xml:space="preserve">, M. T., </w:t>
      </w:r>
      <w:proofErr w:type="spellStart"/>
      <w:r>
        <w:rPr>
          <w:rFonts w:eastAsia="DengXian"/>
          <w:sz w:val="20"/>
          <w:lang w:eastAsia="zh-CN"/>
        </w:rPr>
        <w:t>Magliano</w:t>
      </w:r>
      <w:proofErr w:type="spellEnd"/>
      <w:r>
        <w:rPr>
          <w:rFonts w:eastAsia="DengXian"/>
          <w:sz w:val="20"/>
          <w:lang w:eastAsia="zh-CN"/>
        </w:rPr>
        <w:t>, J. P., &amp; Schraw, G. (2010).</w:t>
      </w:r>
      <w:proofErr w:type="gramEnd"/>
      <w:r>
        <w:rPr>
          <w:rFonts w:eastAsia="DengXian"/>
          <w:sz w:val="20"/>
          <w:lang w:eastAsia="zh-CN"/>
        </w:rPr>
        <w:t xml:space="preserve"> Exploring how relevance instructions affect personal reading intentions, reading goals and text processing: A mixed methods study. </w:t>
      </w:r>
      <w:r>
        <w:rPr>
          <w:rFonts w:eastAsia="DengXian"/>
          <w:i/>
          <w:sz w:val="20"/>
          <w:lang w:eastAsia="zh-CN"/>
        </w:rPr>
        <w:t xml:space="preserve">Contemporary </w:t>
      </w:r>
      <w:r>
        <w:rPr>
          <w:rFonts w:eastAsia="DengXian" w:hint="eastAsia"/>
          <w:i/>
          <w:sz w:val="20"/>
          <w:lang w:eastAsia="zh-CN"/>
        </w:rPr>
        <w:t>E</w:t>
      </w:r>
      <w:r>
        <w:rPr>
          <w:rFonts w:eastAsia="DengXian"/>
          <w:i/>
          <w:sz w:val="20"/>
          <w:lang w:eastAsia="zh-CN"/>
        </w:rPr>
        <w:t xml:space="preserve">ducational </w:t>
      </w:r>
      <w:r>
        <w:rPr>
          <w:rFonts w:eastAsia="DengXian" w:hint="eastAsia"/>
          <w:i/>
          <w:sz w:val="20"/>
          <w:lang w:eastAsia="zh-CN"/>
        </w:rPr>
        <w:t>P</w:t>
      </w:r>
      <w:r>
        <w:rPr>
          <w:rFonts w:eastAsia="DengXian"/>
          <w:i/>
          <w:sz w:val="20"/>
          <w:lang w:eastAsia="zh-CN"/>
        </w:rPr>
        <w:t>sychology, 35</w:t>
      </w:r>
      <w:r>
        <w:rPr>
          <w:rFonts w:eastAsia="DengXian"/>
          <w:sz w:val="20"/>
          <w:lang w:eastAsia="zh-CN"/>
        </w:rPr>
        <w:t xml:space="preserve">(4), 229–241. </w:t>
      </w:r>
      <w:bookmarkEnd w:id="117"/>
    </w:p>
    <w:p w:rsidR="004D2580" w:rsidRDefault="0034511E">
      <w:pPr>
        <w:adjustRightInd w:val="0"/>
        <w:snapToGrid w:val="0"/>
        <w:spacing w:after="0" w:line="480" w:lineRule="auto"/>
        <w:ind w:left="400" w:hangingChars="200" w:hanging="400"/>
        <w:jc w:val="both"/>
        <w:rPr>
          <w:rFonts w:eastAsia="DengXian"/>
          <w:sz w:val="20"/>
          <w:lang w:eastAsia="zh-CN"/>
        </w:rPr>
      </w:pPr>
      <w:bookmarkStart w:id="118" w:name="_ENREF_40"/>
      <w:proofErr w:type="spellStart"/>
      <w:proofErr w:type="gramStart"/>
      <w:r>
        <w:rPr>
          <w:rFonts w:eastAsia="DengXian"/>
          <w:sz w:val="20"/>
          <w:lang w:eastAsia="zh-CN"/>
        </w:rPr>
        <w:t>McCrudden</w:t>
      </w:r>
      <w:proofErr w:type="spellEnd"/>
      <w:r>
        <w:rPr>
          <w:rFonts w:eastAsia="DengXian"/>
          <w:sz w:val="20"/>
          <w:lang w:eastAsia="zh-CN"/>
        </w:rPr>
        <w:t>, M. T., &amp; Schraw, G. (2007).</w:t>
      </w:r>
      <w:proofErr w:type="gramEnd"/>
      <w:r>
        <w:rPr>
          <w:rFonts w:eastAsia="DengXian"/>
          <w:sz w:val="20"/>
          <w:lang w:eastAsia="zh-CN"/>
        </w:rPr>
        <w:t xml:space="preserve"> </w:t>
      </w:r>
      <w:proofErr w:type="gramStart"/>
      <w:r>
        <w:rPr>
          <w:rFonts w:eastAsia="DengXian"/>
          <w:sz w:val="20"/>
          <w:lang w:eastAsia="zh-CN"/>
        </w:rPr>
        <w:t>Relevance and goal-focusing in text processing.</w:t>
      </w:r>
      <w:proofErr w:type="gramEnd"/>
      <w:r>
        <w:rPr>
          <w:rFonts w:eastAsia="DengXian"/>
          <w:sz w:val="20"/>
          <w:lang w:eastAsia="zh-CN"/>
        </w:rPr>
        <w:t xml:space="preserve"> </w:t>
      </w:r>
      <w:r>
        <w:rPr>
          <w:rFonts w:eastAsia="DengXian"/>
          <w:i/>
          <w:sz w:val="20"/>
          <w:lang w:eastAsia="zh-CN"/>
        </w:rPr>
        <w:t xml:space="preserve">Educational </w:t>
      </w:r>
      <w:r>
        <w:rPr>
          <w:rFonts w:eastAsia="DengXian" w:hint="eastAsia"/>
          <w:i/>
          <w:sz w:val="20"/>
          <w:lang w:eastAsia="zh-CN"/>
        </w:rPr>
        <w:t>P</w:t>
      </w:r>
      <w:r>
        <w:rPr>
          <w:rFonts w:eastAsia="DengXian"/>
          <w:i/>
          <w:sz w:val="20"/>
          <w:lang w:eastAsia="zh-CN"/>
        </w:rPr>
        <w:t xml:space="preserve">sychology </w:t>
      </w:r>
      <w:r>
        <w:rPr>
          <w:rFonts w:eastAsia="DengXian" w:hint="eastAsia"/>
          <w:i/>
          <w:sz w:val="20"/>
          <w:lang w:eastAsia="zh-CN"/>
        </w:rPr>
        <w:t>R</w:t>
      </w:r>
      <w:r>
        <w:rPr>
          <w:rFonts w:eastAsia="DengXian"/>
          <w:i/>
          <w:sz w:val="20"/>
          <w:lang w:eastAsia="zh-CN"/>
        </w:rPr>
        <w:t>eview, 19</w:t>
      </w:r>
      <w:r>
        <w:rPr>
          <w:rFonts w:eastAsia="DengXian"/>
          <w:sz w:val="20"/>
          <w:lang w:eastAsia="zh-CN"/>
        </w:rPr>
        <w:t xml:space="preserve">(2), 113–139. </w:t>
      </w:r>
      <w:bookmarkEnd w:id="118"/>
    </w:p>
    <w:p w:rsidR="004D2580" w:rsidRDefault="0034511E">
      <w:pPr>
        <w:adjustRightInd w:val="0"/>
        <w:snapToGrid w:val="0"/>
        <w:spacing w:after="0" w:line="480" w:lineRule="auto"/>
        <w:ind w:left="400" w:hangingChars="200" w:hanging="400"/>
        <w:jc w:val="both"/>
        <w:rPr>
          <w:rFonts w:eastAsia="DengXian"/>
          <w:sz w:val="20"/>
          <w:lang w:eastAsia="zh-CN"/>
        </w:rPr>
      </w:pPr>
      <w:bookmarkStart w:id="119" w:name="_ENREF_41"/>
      <w:proofErr w:type="spellStart"/>
      <w:proofErr w:type="gramStart"/>
      <w:r>
        <w:rPr>
          <w:rFonts w:eastAsia="DengXian"/>
          <w:sz w:val="20"/>
          <w:lang w:eastAsia="zh-CN"/>
        </w:rPr>
        <w:t>McKoon</w:t>
      </w:r>
      <w:proofErr w:type="spellEnd"/>
      <w:r>
        <w:rPr>
          <w:rFonts w:eastAsia="DengXian"/>
          <w:sz w:val="20"/>
          <w:lang w:eastAsia="zh-CN"/>
        </w:rPr>
        <w:t>, G., &amp; Ratcliff, R. (1992).</w:t>
      </w:r>
      <w:proofErr w:type="gramEnd"/>
      <w:r>
        <w:rPr>
          <w:rFonts w:eastAsia="DengXian"/>
          <w:sz w:val="20"/>
          <w:lang w:eastAsia="zh-CN"/>
        </w:rPr>
        <w:t xml:space="preserve"> </w:t>
      </w:r>
      <w:proofErr w:type="gramStart"/>
      <w:r>
        <w:rPr>
          <w:rFonts w:eastAsia="DengXian"/>
          <w:sz w:val="20"/>
          <w:lang w:eastAsia="zh-CN"/>
        </w:rPr>
        <w:t>Inference during reading.</w:t>
      </w:r>
      <w:proofErr w:type="gramEnd"/>
      <w:r>
        <w:rPr>
          <w:rFonts w:eastAsia="DengXian"/>
          <w:sz w:val="20"/>
          <w:lang w:eastAsia="zh-CN"/>
        </w:rPr>
        <w:t xml:space="preserve"> </w:t>
      </w:r>
      <w:r>
        <w:rPr>
          <w:rFonts w:eastAsia="DengXian"/>
          <w:i/>
          <w:sz w:val="20"/>
          <w:lang w:eastAsia="zh-CN"/>
        </w:rPr>
        <w:t xml:space="preserve">Psychological </w:t>
      </w:r>
      <w:r>
        <w:rPr>
          <w:rFonts w:eastAsia="DengXian" w:hint="eastAsia"/>
          <w:i/>
          <w:sz w:val="20"/>
          <w:lang w:eastAsia="zh-CN"/>
        </w:rPr>
        <w:t>R</w:t>
      </w:r>
      <w:r>
        <w:rPr>
          <w:rFonts w:eastAsia="DengXian"/>
          <w:i/>
          <w:sz w:val="20"/>
          <w:lang w:eastAsia="zh-CN"/>
        </w:rPr>
        <w:t>eview, 99</w:t>
      </w:r>
      <w:r>
        <w:rPr>
          <w:rFonts w:eastAsia="DengXian"/>
          <w:sz w:val="20"/>
          <w:lang w:eastAsia="zh-CN"/>
        </w:rPr>
        <w:t>(3), 440–</w:t>
      </w:r>
      <w:r>
        <w:rPr>
          <w:rFonts w:eastAsia="DengXian" w:hint="eastAsia"/>
          <w:sz w:val="20"/>
          <w:lang w:eastAsia="zh-CN"/>
        </w:rPr>
        <w:t>466</w:t>
      </w:r>
      <w:r>
        <w:rPr>
          <w:rFonts w:eastAsia="DengXian"/>
          <w:sz w:val="20"/>
          <w:lang w:eastAsia="zh-CN"/>
        </w:rPr>
        <w:t xml:space="preserve">. </w:t>
      </w:r>
      <w:bookmarkEnd w:id="119"/>
    </w:p>
    <w:p w:rsidR="004D2580" w:rsidRDefault="0034511E">
      <w:pPr>
        <w:adjustRightInd w:val="0"/>
        <w:snapToGrid w:val="0"/>
        <w:spacing w:after="0" w:line="480" w:lineRule="auto"/>
        <w:ind w:left="400" w:hangingChars="200" w:hanging="400"/>
        <w:jc w:val="both"/>
        <w:rPr>
          <w:rFonts w:eastAsia="DengXian"/>
          <w:sz w:val="20"/>
          <w:lang w:eastAsia="zh-CN"/>
        </w:rPr>
      </w:pPr>
      <w:bookmarkStart w:id="120" w:name="_ENREF_42"/>
      <w:r>
        <w:rPr>
          <w:rFonts w:eastAsia="DengXian"/>
          <w:sz w:val="20"/>
          <w:lang w:eastAsia="zh-CN"/>
        </w:rPr>
        <w:t xml:space="preserve">Meyer, B. J. (1975). </w:t>
      </w:r>
      <w:proofErr w:type="gramStart"/>
      <w:r>
        <w:rPr>
          <w:rFonts w:eastAsia="DengXian"/>
          <w:i/>
          <w:sz w:val="20"/>
          <w:lang w:eastAsia="zh-CN"/>
        </w:rPr>
        <w:t>The organization of prose and its effects on memory</w:t>
      </w:r>
      <w:r>
        <w:rPr>
          <w:rFonts w:eastAsia="DengXian" w:hint="eastAsia"/>
          <w:sz w:val="20"/>
          <w:lang w:eastAsia="zh-CN"/>
        </w:rPr>
        <w:t>.</w:t>
      </w:r>
      <w:proofErr w:type="gramEnd"/>
      <w:r>
        <w:rPr>
          <w:rFonts w:eastAsia="DengXian"/>
          <w:sz w:val="20"/>
          <w:lang w:eastAsia="zh-CN"/>
        </w:rPr>
        <w:t xml:space="preserve"> Amsterdam</w:t>
      </w:r>
      <w:r>
        <w:rPr>
          <w:rFonts w:eastAsia="DengXian" w:hint="eastAsia"/>
          <w:sz w:val="20"/>
          <w:lang w:eastAsia="zh-CN"/>
        </w:rPr>
        <w:t xml:space="preserve">: </w:t>
      </w:r>
      <w:r>
        <w:rPr>
          <w:rFonts w:eastAsia="DengXian"/>
          <w:sz w:val="20"/>
          <w:lang w:eastAsia="zh-CN"/>
        </w:rPr>
        <w:t xml:space="preserve">North-Holland Pub. </w:t>
      </w:r>
      <w:proofErr w:type="gramStart"/>
      <w:r>
        <w:rPr>
          <w:rFonts w:eastAsia="DengXian"/>
          <w:sz w:val="20"/>
          <w:lang w:eastAsia="zh-CN"/>
        </w:rPr>
        <w:t>Co.</w:t>
      </w:r>
      <w:proofErr w:type="gramEnd"/>
      <w:r>
        <w:rPr>
          <w:rFonts w:eastAsia="DengXian"/>
          <w:sz w:val="20"/>
          <w:lang w:eastAsia="zh-CN"/>
        </w:rPr>
        <w:t> </w:t>
      </w:r>
      <w:bookmarkEnd w:id="120"/>
    </w:p>
    <w:p w:rsidR="004D2580" w:rsidRDefault="0034511E">
      <w:pPr>
        <w:adjustRightInd w:val="0"/>
        <w:snapToGrid w:val="0"/>
        <w:spacing w:after="0" w:line="480" w:lineRule="auto"/>
        <w:ind w:left="400" w:hangingChars="200" w:hanging="400"/>
        <w:jc w:val="both"/>
        <w:rPr>
          <w:rFonts w:eastAsia="DengXian"/>
          <w:sz w:val="20"/>
          <w:lang w:eastAsia="zh-CN"/>
        </w:rPr>
      </w:pPr>
      <w:bookmarkStart w:id="121" w:name="_ENREF_43"/>
      <w:proofErr w:type="gramStart"/>
      <w:r>
        <w:rPr>
          <w:rFonts w:eastAsia="DengXian"/>
          <w:sz w:val="20"/>
          <w:lang w:val="en-US" w:eastAsia="zh-CN"/>
        </w:rPr>
        <w:t>Meyer, B. J., Brandt, D. M., &amp; Bluth, G. J. (1980).</w:t>
      </w:r>
      <w:proofErr w:type="gramEnd"/>
      <w:r>
        <w:rPr>
          <w:rFonts w:eastAsia="DengXian"/>
          <w:sz w:val="20"/>
          <w:lang w:val="en-US" w:eastAsia="zh-CN"/>
        </w:rPr>
        <w:t xml:space="preserve"> </w:t>
      </w:r>
      <w:r>
        <w:rPr>
          <w:rFonts w:eastAsia="DengXian"/>
          <w:sz w:val="20"/>
          <w:lang w:eastAsia="zh-CN"/>
        </w:rPr>
        <w:t xml:space="preserve">Use of top-level structure in text: Key for reading comprehension of ninth-grade students. </w:t>
      </w:r>
      <w:proofErr w:type="gramStart"/>
      <w:r>
        <w:rPr>
          <w:rFonts w:eastAsia="DengXian"/>
          <w:i/>
          <w:sz w:val="20"/>
          <w:lang w:eastAsia="zh-CN"/>
        </w:rPr>
        <w:t xml:space="preserve">Reading </w:t>
      </w:r>
      <w:r>
        <w:rPr>
          <w:rFonts w:eastAsia="DengXian" w:hint="eastAsia"/>
          <w:i/>
          <w:sz w:val="20"/>
          <w:lang w:eastAsia="zh-CN"/>
        </w:rPr>
        <w:t>R</w:t>
      </w:r>
      <w:r>
        <w:rPr>
          <w:rFonts w:eastAsia="DengXian"/>
          <w:i/>
          <w:sz w:val="20"/>
          <w:lang w:eastAsia="zh-CN"/>
        </w:rPr>
        <w:t xml:space="preserve">esearch </w:t>
      </w:r>
      <w:r>
        <w:rPr>
          <w:rFonts w:eastAsia="DengXian" w:hint="eastAsia"/>
          <w:i/>
          <w:sz w:val="20"/>
          <w:lang w:eastAsia="zh-CN"/>
        </w:rPr>
        <w:t>Q</w:t>
      </w:r>
      <w:r>
        <w:rPr>
          <w:rFonts w:eastAsia="DengXian"/>
          <w:i/>
          <w:sz w:val="20"/>
          <w:lang w:eastAsia="zh-CN"/>
        </w:rPr>
        <w:t>uarterly</w:t>
      </w:r>
      <w:r>
        <w:rPr>
          <w:rFonts w:eastAsia="DengXian"/>
          <w:sz w:val="20"/>
          <w:lang w:eastAsia="zh-CN"/>
        </w:rPr>
        <w:t xml:space="preserve">, </w:t>
      </w:r>
      <w:r>
        <w:rPr>
          <w:rFonts w:eastAsia="DengXian" w:hint="eastAsia"/>
          <w:i/>
          <w:sz w:val="20"/>
          <w:lang w:eastAsia="zh-CN"/>
        </w:rPr>
        <w:t xml:space="preserve">16, </w:t>
      </w:r>
      <w:r>
        <w:rPr>
          <w:rFonts w:eastAsia="DengXian"/>
          <w:sz w:val="20"/>
          <w:lang w:eastAsia="zh-CN"/>
        </w:rPr>
        <w:t>72–103.</w:t>
      </w:r>
      <w:proofErr w:type="gramEnd"/>
      <w:r>
        <w:rPr>
          <w:rFonts w:eastAsia="DengXian"/>
          <w:sz w:val="20"/>
          <w:lang w:eastAsia="zh-CN"/>
        </w:rPr>
        <w:t xml:space="preserve"> </w:t>
      </w:r>
      <w:bookmarkEnd w:id="121"/>
    </w:p>
    <w:p w:rsidR="004D2580" w:rsidRDefault="0034511E">
      <w:pPr>
        <w:adjustRightInd w:val="0"/>
        <w:snapToGrid w:val="0"/>
        <w:spacing w:after="0" w:line="480" w:lineRule="auto"/>
        <w:ind w:left="400" w:hangingChars="200" w:hanging="400"/>
        <w:jc w:val="both"/>
        <w:rPr>
          <w:rFonts w:eastAsia="DengXian"/>
          <w:sz w:val="20"/>
          <w:lang w:eastAsia="zh-CN"/>
        </w:rPr>
      </w:pPr>
      <w:bookmarkStart w:id="122" w:name="_ENREF_44"/>
      <w:proofErr w:type="gramStart"/>
      <w:r>
        <w:rPr>
          <w:rFonts w:eastAsia="DengXian"/>
          <w:sz w:val="20"/>
          <w:lang w:eastAsia="zh-CN"/>
        </w:rPr>
        <w:t>Meyer, B. J., &amp; Poon, L. W. (2001).</w:t>
      </w:r>
      <w:proofErr w:type="gramEnd"/>
      <w:r>
        <w:rPr>
          <w:rFonts w:eastAsia="DengXian"/>
          <w:sz w:val="20"/>
          <w:lang w:eastAsia="zh-CN"/>
        </w:rPr>
        <w:t xml:space="preserve"> </w:t>
      </w:r>
      <w:proofErr w:type="gramStart"/>
      <w:r>
        <w:rPr>
          <w:rFonts w:eastAsia="DengXian"/>
          <w:sz w:val="20"/>
          <w:lang w:eastAsia="zh-CN"/>
        </w:rPr>
        <w:t xml:space="preserve">Effects of structure strategy training and </w:t>
      </w:r>
      <w:proofErr w:type="spellStart"/>
      <w:r>
        <w:rPr>
          <w:rFonts w:eastAsia="DengXian"/>
          <w:sz w:val="20"/>
          <w:lang w:eastAsia="zh-CN"/>
        </w:rPr>
        <w:t>signaling</w:t>
      </w:r>
      <w:proofErr w:type="spellEnd"/>
      <w:r>
        <w:rPr>
          <w:rFonts w:eastAsia="DengXian"/>
          <w:sz w:val="20"/>
          <w:lang w:eastAsia="zh-CN"/>
        </w:rPr>
        <w:t xml:space="preserve"> on recall of text.</w:t>
      </w:r>
      <w:proofErr w:type="gramEnd"/>
      <w:r>
        <w:rPr>
          <w:rFonts w:eastAsia="DengXian"/>
          <w:sz w:val="20"/>
          <w:lang w:eastAsia="zh-CN"/>
        </w:rPr>
        <w:t xml:space="preserve"> </w:t>
      </w:r>
      <w:r>
        <w:rPr>
          <w:rFonts w:eastAsia="DengXian"/>
          <w:i/>
          <w:sz w:val="20"/>
          <w:lang w:eastAsia="zh-CN"/>
        </w:rPr>
        <w:t xml:space="preserve">Journal of </w:t>
      </w:r>
      <w:r>
        <w:rPr>
          <w:rFonts w:eastAsia="DengXian" w:hint="eastAsia"/>
          <w:i/>
          <w:sz w:val="20"/>
          <w:lang w:eastAsia="zh-CN"/>
        </w:rPr>
        <w:t>E</w:t>
      </w:r>
      <w:r>
        <w:rPr>
          <w:rFonts w:eastAsia="DengXian"/>
          <w:i/>
          <w:sz w:val="20"/>
          <w:lang w:eastAsia="zh-CN"/>
        </w:rPr>
        <w:t xml:space="preserve">ducational </w:t>
      </w:r>
      <w:r>
        <w:rPr>
          <w:rFonts w:eastAsia="DengXian" w:hint="eastAsia"/>
          <w:i/>
          <w:sz w:val="20"/>
          <w:lang w:eastAsia="zh-CN"/>
        </w:rPr>
        <w:t>P</w:t>
      </w:r>
      <w:r>
        <w:rPr>
          <w:rFonts w:eastAsia="DengXian"/>
          <w:i/>
          <w:sz w:val="20"/>
          <w:lang w:eastAsia="zh-CN"/>
        </w:rPr>
        <w:t>sychology, 93</w:t>
      </w:r>
      <w:r>
        <w:rPr>
          <w:rFonts w:eastAsia="DengXian"/>
          <w:sz w:val="20"/>
          <w:lang w:eastAsia="zh-CN"/>
        </w:rPr>
        <w:t>(1), 141–</w:t>
      </w:r>
      <w:r>
        <w:rPr>
          <w:rFonts w:eastAsia="DengXian" w:hint="eastAsia"/>
          <w:sz w:val="20"/>
          <w:lang w:eastAsia="zh-CN"/>
        </w:rPr>
        <w:t>159</w:t>
      </w:r>
      <w:r>
        <w:rPr>
          <w:rFonts w:eastAsia="DengXian"/>
          <w:sz w:val="20"/>
          <w:lang w:eastAsia="zh-CN"/>
        </w:rPr>
        <w:t xml:space="preserve">. </w:t>
      </w:r>
      <w:bookmarkEnd w:id="122"/>
    </w:p>
    <w:p w:rsidR="004D2580" w:rsidRDefault="0034511E">
      <w:pPr>
        <w:adjustRightInd w:val="0"/>
        <w:snapToGrid w:val="0"/>
        <w:spacing w:after="0" w:line="480" w:lineRule="auto"/>
        <w:ind w:left="400" w:hangingChars="200" w:hanging="400"/>
        <w:jc w:val="both"/>
        <w:rPr>
          <w:rFonts w:eastAsia="DengXian"/>
          <w:sz w:val="22"/>
          <w:szCs w:val="22"/>
          <w:lang w:eastAsia="zh-CN"/>
        </w:rPr>
      </w:pPr>
      <w:bookmarkStart w:id="123" w:name="_ENREF_45"/>
      <w:proofErr w:type="gramStart"/>
      <w:r>
        <w:rPr>
          <w:rFonts w:eastAsia="DengXian"/>
          <w:sz w:val="20"/>
          <w:lang w:eastAsia="zh-CN"/>
        </w:rPr>
        <w:t>Meyer, B. J., Young, C. J., &amp; Bartlett, B. J. (</w:t>
      </w:r>
      <w:r>
        <w:rPr>
          <w:rFonts w:eastAsia="DengXian" w:hint="eastAsia"/>
          <w:sz w:val="20"/>
          <w:lang w:eastAsia="zh-CN"/>
        </w:rPr>
        <w:t>1989</w:t>
      </w:r>
      <w:r>
        <w:rPr>
          <w:rFonts w:eastAsia="DengXian"/>
          <w:sz w:val="20"/>
          <w:lang w:eastAsia="zh-CN"/>
        </w:rPr>
        <w:t>).</w:t>
      </w:r>
      <w:proofErr w:type="gramEnd"/>
      <w:r>
        <w:rPr>
          <w:rFonts w:eastAsia="DengXian"/>
          <w:sz w:val="20"/>
          <w:lang w:eastAsia="zh-CN"/>
        </w:rPr>
        <w:t xml:space="preserve"> </w:t>
      </w:r>
      <w:r>
        <w:rPr>
          <w:rFonts w:eastAsia="DengXian"/>
          <w:i/>
          <w:sz w:val="20"/>
          <w:lang w:eastAsia="zh-CN"/>
        </w:rPr>
        <w:t>Memory improved: Reading and memory enhancement across the life span through strategic text structures</w:t>
      </w:r>
      <w:r>
        <w:rPr>
          <w:rFonts w:eastAsia="DengXian" w:hint="eastAsia"/>
          <w:sz w:val="20"/>
          <w:lang w:eastAsia="zh-CN"/>
        </w:rPr>
        <w:t>.</w:t>
      </w:r>
      <w:r>
        <w:rPr>
          <w:rFonts w:ascii="Arial" w:hAnsi="Arial" w:cs="Arial"/>
          <w:sz w:val="12"/>
          <w:szCs w:val="12"/>
        </w:rPr>
        <w:t xml:space="preserve"> </w:t>
      </w:r>
      <w:r>
        <w:rPr>
          <w:rFonts w:eastAsia="DengXian"/>
          <w:sz w:val="20"/>
          <w:lang w:eastAsia="zh-CN"/>
        </w:rPr>
        <w:t>New Jersey</w:t>
      </w:r>
      <w:r>
        <w:rPr>
          <w:rFonts w:eastAsia="DengXian" w:hint="eastAsia"/>
          <w:sz w:val="20"/>
          <w:lang w:eastAsia="zh-CN"/>
        </w:rPr>
        <w:t>:</w:t>
      </w:r>
      <w:r>
        <w:rPr>
          <w:rFonts w:ascii="Arial" w:eastAsia="DengXian" w:hAnsi="Arial" w:cs="Arial"/>
          <w:sz w:val="12"/>
          <w:szCs w:val="12"/>
          <w:lang w:eastAsia="zh-CN"/>
        </w:rPr>
        <w:t> </w:t>
      </w:r>
      <w:r>
        <w:rPr>
          <w:rFonts w:eastAsia="DengXian"/>
          <w:iCs/>
          <w:sz w:val="20"/>
          <w:szCs w:val="20"/>
          <w:lang w:eastAsia="zh-CN"/>
        </w:rPr>
        <w:t>Lawrence Erlbaum Associates</w:t>
      </w:r>
      <w:r>
        <w:rPr>
          <w:rFonts w:eastAsia="DengXian"/>
          <w:sz w:val="20"/>
          <w:szCs w:val="20"/>
          <w:lang w:eastAsia="zh-CN"/>
        </w:rPr>
        <w:t>.</w:t>
      </w:r>
      <w:bookmarkEnd w:id="123"/>
    </w:p>
    <w:p w:rsidR="004D2580" w:rsidRDefault="0034511E">
      <w:pPr>
        <w:adjustRightInd w:val="0"/>
        <w:snapToGrid w:val="0"/>
        <w:spacing w:after="0" w:line="480" w:lineRule="auto"/>
        <w:ind w:left="400" w:hangingChars="200" w:hanging="400"/>
        <w:jc w:val="both"/>
        <w:rPr>
          <w:rFonts w:eastAsia="DengXian"/>
          <w:sz w:val="20"/>
          <w:lang w:eastAsia="zh-CN"/>
        </w:rPr>
      </w:pPr>
      <w:bookmarkStart w:id="124" w:name="_ENREF_46"/>
      <w:proofErr w:type="spellStart"/>
      <w:r>
        <w:rPr>
          <w:rFonts w:eastAsia="DengXian"/>
          <w:sz w:val="20"/>
          <w:lang w:eastAsia="zh-CN"/>
        </w:rPr>
        <w:t>Minguela</w:t>
      </w:r>
      <w:proofErr w:type="spellEnd"/>
      <w:r>
        <w:rPr>
          <w:rFonts w:eastAsia="DengXian"/>
          <w:sz w:val="20"/>
          <w:lang w:eastAsia="zh-CN"/>
        </w:rPr>
        <w:t xml:space="preserve">, M., </w:t>
      </w:r>
      <w:proofErr w:type="spellStart"/>
      <w:r>
        <w:rPr>
          <w:rFonts w:eastAsia="DengXian"/>
          <w:sz w:val="20"/>
          <w:lang w:eastAsia="zh-CN"/>
        </w:rPr>
        <w:t>Solé</w:t>
      </w:r>
      <w:proofErr w:type="spellEnd"/>
      <w:r>
        <w:rPr>
          <w:rFonts w:eastAsia="DengXian"/>
          <w:sz w:val="20"/>
          <w:lang w:eastAsia="zh-CN"/>
        </w:rPr>
        <w:t xml:space="preserve">, I., &amp; </w:t>
      </w:r>
      <w:proofErr w:type="spellStart"/>
      <w:r>
        <w:rPr>
          <w:rFonts w:eastAsia="DengXian"/>
          <w:sz w:val="20"/>
          <w:lang w:eastAsia="zh-CN"/>
        </w:rPr>
        <w:t>Pieschl</w:t>
      </w:r>
      <w:proofErr w:type="spellEnd"/>
      <w:r>
        <w:rPr>
          <w:rFonts w:eastAsia="DengXian"/>
          <w:sz w:val="20"/>
          <w:lang w:eastAsia="zh-CN"/>
        </w:rPr>
        <w:t xml:space="preserve">, S. (2015). Flexible self-regulated reading as a cue for deep comprehension: evidence from online and offline measures. </w:t>
      </w:r>
      <w:r>
        <w:rPr>
          <w:rFonts w:eastAsia="DengXian"/>
          <w:i/>
          <w:sz w:val="20"/>
          <w:lang w:eastAsia="zh-CN"/>
        </w:rPr>
        <w:t>Reading and Writing, 28</w:t>
      </w:r>
      <w:r>
        <w:rPr>
          <w:rFonts w:eastAsia="DengXian"/>
          <w:sz w:val="20"/>
          <w:lang w:eastAsia="zh-CN"/>
        </w:rPr>
        <w:t xml:space="preserve">(5), 721–744. </w:t>
      </w:r>
      <w:bookmarkEnd w:id="124"/>
    </w:p>
    <w:p w:rsidR="004D2580" w:rsidRDefault="0034511E">
      <w:pPr>
        <w:adjustRightInd w:val="0"/>
        <w:snapToGrid w:val="0"/>
        <w:spacing w:after="0" w:line="480" w:lineRule="auto"/>
        <w:ind w:left="400" w:hangingChars="200" w:hanging="400"/>
        <w:jc w:val="both"/>
        <w:rPr>
          <w:rFonts w:eastAsia="DengXian"/>
          <w:sz w:val="20"/>
          <w:lang w:eastAsia="zh-CN"/>
        </w:rPr>
      </w:pPr>
      <w:bookmarkStart w:id="125" w:name="_ENREF_47"/>
      <w:proofErr w:type="gramStart"/>
      <w:r>
        <w:rPr>
          <w:sz w:val="20"/>
          <w:lang w:val="en-US"/>
        </w:rPr>
        <w:t xml:space="preserve">Narvaez, D., van den </w:t>
      </w:r>
      <w:proofErr w:type="spellStart"/>
      <w:r>
        <w:rPr>
          <w:sz w:val="20"/>
          <w:lang w:val="en-US"/>
        </w:rPr>
        <w:t>Broek</w:t>
      </w:r>
      <w:proofErr w:type="spellEnd"/>
      <w:r>
        <w:rPr>
          <w:sz w:val="20"/>
          <w:lang w:val="en-US"/>
        </w:rPr>
        <w:t>, P., &amp; Ruiz, A. B. (1999).</w:t>
      </w:r>
      <w:proofErr w:type="gramEnd"/>
      <w:r>
        <w:rPr>
          <w:sz w:val="20"/>
          <w:lang w:val="en-US"/>
        </w:rPr>
        <w:t xml:space="preserve"> </w:t>
      </w:r>
      <w:proofErr w:type="gramStart"/>
      <w:r>
        <w:rPr>
          <w:rFonts w:eastAsia="DengXian"/>
          <w:sz w:val="20"/>
          <w:lang w:eastAsia="zh-CN"/>
        </w:rPr>
        <w:t>The influence of reading purpose on inference generation and comprehension in reading.</w:t>
      </w:r>
      <w:proofErr w:type="gramEnd"/>
      <w:r>
        <w:rPr>
          <w:rFonts w:eastAsia="DengXian"/>
          <w:sz w:val="20"/>
          <w:lang w:eastAsia="zh-CN"/>
        </w:rPr>
        <w:t xml:space="preserve"> </w:t>
      </w:r>
      <w:r>
        <w:rPr>
          <w:rFonts w:eastAsia="DengXian"/>
          <w:i/>
          <w:sz w:val="20"/>
          <w:lang w:eastAsia="zh-CN"/>
        </w:rPr>
        <w:t xml:space="preserve">Journal of </w:t>
      </w:r>
      <w:r>
        <w:rPr>
          <w:rFonts w:eastAsia="DengXian" w:hint="eastAsia"/>
          <w:i/>
          <w:sz w:val="20"/>
          <w:lang w:eastAsia="zh-CN"/>
        </w:rPr>
        <w:t>E</w:t>
      </w:r>
      <w:r>
        <w:rPr>
          <w:rFonts w:eastAsia="DengXian"/>
          <w:i/>
          <w:sz w:val="20"/>
          <w:lang w:eastAsia="zh-CN"/>
        </w:rPr>
        <w:t xml:space="preserve">ducational </w:t>
      </w:r>
      <w:r>
        <w:rPr>
          <w:rFonts w:eastAsia="DengXian" w:hint="eastAsia"/>
          <w:i/>
          <w:sz w:val="20"/>
          <w:lang w:eastAsia="zh-CN"/>
        </w:rPr>
        <w:t>P</w:t>
      </w:r>
      <w:r>
        <w:rPr>
          <w:rFonts w:eastAsia="DengXian"/>
          <w:i/>
          <w:sz w:val="20"/>
          <w:lang w:eastAsia="zh-CN"/>
        </w:rPr>
        <w:t>sychology, 91</w:t>
      </w:r>
      <w:r>
        <w:rPr>
          <w:rFonts w:eastAsia="DengXian"/>
          <w:sz w:val="20"/>
          <w:lang w:eastAsia="zh-CN"/>
        </w:rPr>
        <w:t>(3), 488–</w:t>
      </w:r>
      <w:r>
        <w:rPr>
          <w:rFonts w:eastAsia="DengXian" w:hint="eastAsia"/>
          <w:sz w:val="20"/>
          <w:lang w:eastAsia="zh-CN"/>
        </w:rPr>
        <w:t>496</w:t>
      </w:r>
      <w:r>
        <w:rPr>
          <w:rFonts w:eastAsia="DengXian"/>
          <w:sz w:val="20"/>
          <w:lang w:eastAsia="zh-CN"/>
        </w:rPr>
        <w:t xml:space="preserve">. </w:t>
      </w:r>
      <w:bookmarkEnd w:id="125"/>
    </w:p>
    <w:p w:rsidR="004D2580" w:rsidRDefault="0034511E">
      <w:pPr>
        <w:adjustRightInd w:val="0"/>
        <w:snapToGrid w:val="0"/>
        <w:spacing w:after="0" w:line="480" w:lineRule="auto"/>
        <w:ind w:left="400" w:hangingChars="200" w:hanging="400"/>
        <w:jc w:val="both"/>
        <w:rPr>
          <w:rFonts w:eastAsia="DengXian"/>
          <w:sz w:val="20"/>
          <w:lang w:eastAsia="zh-CN"/>
        </w:rPr>
      </w:pPr>
      <w:bookmarkStart w:id="126" w:name="_ENREF_48"/>
      <w:proofErr w:type="spellStart"/>
      <w:proofErr w:type="gramStart"/>
      <w:r>
        <w:rPr>
          <w:rFonts w:eastAsia="DengXian"/>
          <w:sz w:val="20"/>
          <w:lang w:eastAsia="zh-CN"/>
        </w:rPr>
        <w:lastRenderedPageBreak/>
        <w:t>Naumann</w:t>
      </w:r>
      <w:proofErr w:type="spellEnd"/>
      <w:r>
        <w:rPr>
          <w:rFonts w:eastAsia="DengXian"/>
          <w:sz w:val="20"/>
          <w:lang w:eastAsia="zh-CN"/>
        </w:rPr>
        <w:t xml:space="preserve">, J., Richter, T., </w:t>
      </w:r>
      <w:proofErr w:type="spellStart"/>
      <w:r>
        <w:rPr>
          <w:rFonts w:eastAsia="DengXian"/>
          <w:sz w:val="20"/>
          <w:lang w:eastAsia="zh-CN"/>
        </w:rPr>
        <w:t>Flender</w:t>
      </w:r>
      <w:proofErr w:type="spellEnd"/>
      <w:r>
        <w:rPr>
          <w:rFonts w:eastAsia="DengXian"/>
          <w:sz w:val="20"/>
          <w:lang w:eastAsia="zh-CN"/>
        </w:rPr>
        <w:t xml:space="preserve">, J., </w:t>
      </w:r>
      <w:proofErr w:type="spellStart"/>
      <w:r>
        <w:rPr>
          <w:rFonts w:eastAsia="DengXian"/>
          <w:sz w:val="20"/>
          <w:lang w:eastAsia="zh-CN"/>
        </w:rPr>
        <w:t>Christmann</w:t>
      </w:r>
      <w:proofErr w:type="spellEnd"/>
      <w:r>
        <w:rPr>
          <w:rFonts w:eastAsia="DengXian"/>
          <w:sz w:val="20"/>
          <w:lang w:eastAsia="zh-CN"/>
        </w:rPr>
        <w:t xml:space="preserve">, U., &amp; </w:t>
      </w:r>
      <w:proofErr w:type="spellStart"/>
      <w:r>
        <w:rPr>
          <w:rFonts w:eastAsia="DengXian"/>
          <w:sz w:val="20"/>
          <w:lang w:eastAsia="zh-CN"/>
        </w:rPr>
        <w:t>Groeben</w:t>
      </w:r>
      <w:proofErr w:type="spellEnd"/>
      <w:r>
        <w:rPr>
          <w:rFonts w:eastAsia="DengXian"/>
          <w:sz w:val="20"/>
          <w:lang w:eastAsia="zh-CN"/>
        </w:rPr>
        <w:t>, N. (2007).</w:t>
      </w:r>
      <w:proofErr w:type="gramEnd"/>
      <w:r>
        <w:rPr>
          <w:rFonts w:eastAsia="DengXian"/>
          <w:sz w:val="20"/>
          <w:lang w:eastAsia="zh-CN"/>
        </w:rPr>
        <w:t xml:space="preserve"> </w:t>
      </w:r>
      <w:proofErr w:type="spellStart"/>
      <w:r>
        <w:rPr>
          <w:rFonts w:eastAsia="DengXian"/>
          <w:sz w:val="20"/>
          <w:lang w:eastAsia="zh-CN"/>
        </w:rPr>
        <w:t>Signaling</w:t>
      </w:r>
      <w:proofErr w:type="spellEnd"/>
      <w:r>
        <w:rPr>
          <w:rFonts w:eastAsia="DengXian"/>
          <w:sz w:val="20"/>
          <w:lang w:eastAsia="zh-CN"/>
        </w:rPr>
        <w:t xml:space="preserve"> in expository hypertexts compensates for deficits in reading skill. </w:t>
      </w:r>
      <w:r>
        <w:rPr>
          <w:rFonts w:eastAsia="DengXian"/>
          <w:i/>
          <w:sz w:val="20"/>
          <w:lang w:eastAsia="zh-CN"/>
        </w:rPr>
        <w:t xml:space="preserve">Journal of </w:t>
      </w:r>
      <w:r>
        <w:rPr>
          <w:rFonts w:eastAsia="DengXian" w:hint="eastAsia"/>
          <w:i/>
          <w:sz w:val="20"/>
          <w:lang w:eastAsia="zh-CN"/>
        </w:rPr>
        <w:t>E</w:t>
      </w:r>
      <w:r>
        <w:rPr>
          <w:rFonts w:eastAsia="DengXian"/>
          <w:i/>
          <w:sz w:val="20"/>
          <w:lang w:eastAsia="zh-CN"/>
        </w:rPr>
        <w:t xml:space="preserve">ducational </w:t>
      </w:r>
      <w:r>
        <w:rPr>
          <w:rFonts w:eastAsia="DengXian" w:hint="eastAsia"/>
          <w:i/>
          <w:sz w:val="20"/>
          <w:lang w:eastAsia="zh-CN"/>
        </w:rPr>
        <w:t>P</w:t>
      </w:r>
      <w:r>
        <w:rPr>
          <w:rFonts w:eastAsia="DengXian"/>
          <w:i/>
          <w:sz w:val="20"/>
          <w:lang w:eastAsia="zh-CN"/>
        </w:rPr>
        <w:t>sychology, 99</w:t>
      </w:r>
      <w:r>
        <w:rPr>
          <w:rFonts w:eastAsia="DengXian"/>
          <w:sz w:val="20"/>
          <w:lang w:eastAsia="zh-CN"/>
        </w:rPr>
        <w:t>(4), 791–</w:t>
      </w:r>
      <w:r>
        <w:rPr>
          <w:rFonts w:eastAsia="DengXian" w:hint="eastAsia"/>
          <w:sz w:val="20"/>
          <w:lang w:eastAsia="zh-CN"/>
        </w:rPr>
        <w:t>807</w:t>
      </w:r>
      <w:r>
        <w:rPr>
          <w:rFonts w:eastAsia="DengXian"/>
          <w:sz w:val="20"/>
          <w:lang w:eastAsia="zh-CN"/>
        </w:rPr>
        <w:t xml:space="preserve">. </w:t>
      </w:r>
      <w:bookmarkEnd w:id="126"/>
    </w:p>
    <w:p w:rsidR="004D2580" w:rsidRDefault="0034511E">
      <w:pPr>
        <w:adjustRightInd w:val="0"/>
        <w:snapToGrid w:val="0"/>
        <w:spacing w:after="0" w:line="480" w:lineRule="auto"/>
        <w:ind w:left="400" w:hangingChars="200" w:hanging="400"/>
        <w:jc w:val="both"/>
        <w:rPr>
          <w:rFonts w:eastAsia="DengXian"/>
          <w:sz w:val="20"/>
          <w:lang w:eastAsia="zh-CN"/>
        </w:rPr>
      </w:pPr>
      <w:bookmarkStart w:id="127" w:name="_ENREF_49"/>
      <w:proofErr w:type="gramStart"/>
      <w:r>
        <w:rPr>
          <w:rFonts w:eastAsia="DengXian"/>
          <w:sz w:val="20"/>
          <w:lang w:eastAsia="zh-CN"/>
        </w:rPr>
        <w:t>Ponce, H. R., &amp; Mayer, R. E. (2014).</w:t>
      </w:r>
      <w:proofErr w:type="gramEnd"/>
      <w:r>
        <w:rPr>
          <w:rFonts w:eastAsia="DengXian"/>
          <w:sz w:val="20"/>
          <w:lang w:eastAsia="zh-CN"/>
        </w:rPr>
        <w:t xml:space="preserve"> An eye movement analysis of highlighting and graphic organizer study aids for learning from expository text. </w:t>
      </w:r>
      <w:r>
        <w:rPr>
          <w:rFonts w:eastAsia="DengXian"/>
          <w:i/>
          <w:sz w:val="20"/>
          <w:lang w:eastAsia="zh-CN"/>
        </w:rPr>
        <w:t xml:space="preserve">Computers in Human </w:t>
      </w:r>
      <w:proofErr w:type="spellStart"/>
      <w:r>
        <w:rPr>
          <w:rFonts w:eastAsia="DengXian"/>
          <w:i/>
          <w:sz w:val="20"/>
          <w:lang w:eastAsia="zh-CN"/>
        </w:rPr>
        <w:t>Behavior</w:t>
      </w:r>
      <w:proofErr w:type="spellEnd"/>
      <w:r>
        <w:rPr>
          <w:rFonts w:eastAsia="DengXian"/>
          <w:i/>
          <w:sz w:val="20"/>
          <w:lang w:eastAsia="zh-CN"/>
        </w:rPr>
        <w:t>, 41</w:t>
      </w:r>
      <w:r>
        <w:rPr>
          <w:rFonts w:eastAsia="DengXian"/>
          <w:sz w:val="20"/>
          <w:lang w:eastAsia="zh-CN"/>
        </w:rPr>
        <w:t xml:space="preserve">, 21–32. </w:t>
      </w:r>
      <w:bookmarkEnd w:id="127"/>
    </w:p>
    <w:p w:rsidR="004D2580" w:rsidRDefault="0034511E">
      <w:pPr>
        <w:adjustRightInd w:val="0"/>
        <w:snapToGrid w:val="0"/>
        <w:spacing w:after="0" w:line="480" w:lineRule="auto"/>
        <w:ind w:left="400" w:hangingChars="200" w:hanging="400"/>
        <w:jc w:val="both"/>
        <w:rPr>
          <w:rFonts w:eastAsia="DengXian"/>
          <w:sz w:val="20"/>
          <w:lang w:eastAsia="zh-CN"/>
        </w:rPr>
      </w:pPr>
      <w:bookmarkStart w:id="128" w:name="_ENREF_50"/>
      <w:proofErr w:type="gramStart"/>
      <w:r>
        <w:rPr>
          <w:rFonts w:eastAsia="DengXian"/>
          <w:sz w:val="20"/>
          <w:lang w:eastAsia="zh-CN"/>
        </w:rPr>
        <w:t xml:space="preserve">Radach, R., </w:t>
      </w:r>
      <w:proofErr w:type="spellStart"/>
      <w:r>
        <w:rPr>
          <w:rFonts w:eastAsia="DengXian"/>
          <w:sz w:val="20"/>
          <w:lang w:eastAsia="zh-CN"/>
        </w:rPr>
        <w:t>Huestegge</w:t>
      </w:r>
      <w:proofErr w:type="spellEnd"/>
      <w:r>
        <w:rPr>
          <w:rFonts w:eastAsia="DengXian"/>
          <w:sz w:val="20"/>
          <w:lang w:eastAsia="zh-CN"/>
        </w:rPr>
        <w:t>, L., &amp; Reilly, R. (2008).</w:t>
      </w:r>
      <w:proofErr w:type="gramEnd"/>
      <w:r>
        <w:rPr>
          <w:rFonts w:eastAsia="DengXian"/>
          <w:sz w:val="20"/>
          <w:lang w:eastAsia="zh-CN"/>
        </w:rPr>
        <w:t xml:space="preserve"> The role of global top-down factors in local eye-movement control in reading. </w:t>
      </w:r>
      <w:r>
        <w:rPr>
          <w:rFonts w:eastAsia="DengXian"/>
          <w:i/>
          <w:sz w:val="20"/>
          <w:lang w:eastAsia="zh-CN"/>
        </w:rPr>
        <w:t xml:space="preserve">Psychological </w:t>
      </w:r>
      <w:r>
        <w:rPr>
          <w:rFonts w:eastAsia="DengXian" w:hint="eastAsia"/>
          <w:i/>
          <w:sz w:val="20"/>
          <w:lang w:eastAsia="zh-CN"/>
        </w:rPr>
        <w:t>R</w:t>
      </w:r>
      <w:r>
        <w:rPr>
          <w:rFonts w:eastAsia="DengXian"/>
          <w:i/>
          <w:sz w:val="20"/>
          <w:lang w:eastAsia="zh-CN"/>
        </w:rPr>
        <w:t>esearch, 72</w:t>
      </w:r>
      <w:r>
        <w:rPr>
          <w:rFonts w:eastAsia="DengXian"/>
          <w:sz w:val="20"/>
          <w:lang w:eastAsia="zh-CN"/>
        </w:rPr>
        <w:t xml:space="preserve">(6), 675–688. </w:t>
      </w:r>
      <w:bookmarkEnd w:id="128"/>
    </w:p>
    <w:p w:rsidR="004D2580" w:rsidRDefault="0034511E">
      <w:pPr>
        <w:adjustRightInd w:val="0"/>
        <w:snapToGrid w:val="0"/>
        <w:spacing w:after="0" w:line="480" w:lineRule="auto"/>
        <w:ind w:left="400" w:hangingChars="200" w:hanging="400"/>
        <w:jc w:val="both"/>
        <w:rPr>
          <w:rFonts w:eastAsia="DengXian"/>
          <w:sz w:val="20"/>
          <w:lang w:eastAsia="zh-CN"/>
        </w:rPr>
      </w:pPr>
      <w:bookmarkStart w:id="129" w:name="_ENREF_51"/>
      <w:proofErr w:type="gramStart"/>
      <w:r>
        <w:rPr>
          <w:rFonts w:eastAsia="DengXian"/>
          <w:sz w:val="20"/>
          <w:lang w:eastAsia="zh-CN"/>
        </w:rPr>
        <w:t>Ray, M. N., &amp; Meyer, B. J. (2011).</w:t>
      </w:r>
      <w:proofErr w:type="gramEnd"/>
      <w:r>
        <w:rPr>
          <w:rFonts w:eastAsia="DengXian"/>
          <w:sz w:val="20"/>
          <w:lang w:eastAsia="zh-CN"/>
        </w:rPr>
        <w:t xml:space="preserve"> Individual differences in children's knowledge of expository text structures: A review of literature. </w:t>
      </w:r>
      <w:r>
        <w:rPr>
          <w:rFonts w:eastAsia="DengXian"/>
          <w:i/>
          <w:sz w:val="20"/>
          <w:lang w:eastAsia="zh-CN"/>
        </w:rPr>
        <w:t>International Electronic Journal of Elementary Education, 4</w:t>
      </w:r>
      <w:r>
        <w:rPr>
          <w:rFonts w:eastAsia="DengXian"/>
          <w:sz w:val="20"/>
          <w:lang w:eastAsia="zh-CN"/>
        </w:rPr>
        <w:t>(1), 67–</w:t>
      </w:r>
      <w:r>
        <w:rPr>
          <w:rFonts w:eastAsia="DengXian" w:hint="eastAsia"/>
          <w:sz w:val="20"/>
          <w:lang w:eastAsia="zh-CN"/>
        </w:rPr>
        <w:t>82</w:t>
      </w:r>
      <w:r>
        <w:rPr>
          <w:rFonts w:eastAsia="DengXian"/>
          <w:sz w:val="20"/>
          <w:lang w:eastAsia="zh-CN"/>
        </w:rPr>
        <w:t xml:space="preserve">. </w:t>
      </w:r>
      <w:bookmarkEnd w:id="129"/>
    </w:p>
    <w:p w:rsidR="004D2580" w:rsidRDefault="0034511E">
      <w:pPr>
        <w:adjustRightInd w:val="0"/>
        <w:snapToGrid w:val="0"/>
        <w:spacing w:after="0" w:line="480" w:lineRule="auto"/>
        <w:ind w:left="400" w:hangingChars="200" w:hanging="400"/>
        <w:jc w:val="both"/>
        <w:rPr>
          <w:rFonts w:eastAsia="DengXian"/>
          <w:sz w:val="20"/>
          <w:lang w:eastAsia="zh-CN"/>
        </w:rPr>
      </w:pPr>
      <w:bookmarkStart w:id="130" w:name="_ENREF_52"/>
      <w:proofErr w:type="gramStart"/>
      <w:r>
        <w:rPr>
          <w:sz w:val="20"/>
          <w:lang w:val="en-US"/>
        </w:rPr>
        <w:t xml:space="preserve">Rayner, K., &amp; </w:t>
      </w:r>
      <w:proofErr w:type="spellStart"/>
      <w:r>
        <w:rPr>
          <w:sz w:val="20"/>
          <w:lang w:val="en-US"/>
        </w:rPr>
        <w:t>Sereno</w:t>
      </w:r>
      <w:proofErr w:type="spellEnd"/>
      <w:r>
        <w:rPr>
          <w:sz w:val="20"/>
          <w:lang w:val="en-US"/>
        </w:rPr>
        <w:t>, S. C. (1994).</w:t>
      </w:r>
      <w:proofErr w:type="gramEnd"/>
      <w:r>
        <w:rPr>
          <w:sz w:val="20"/>
          <w:lang w:val="en-US"/>
        </w:rPr>
        <w:t xml:space="preserve"> </w:t>
      </w:r>
      <w:r>
        <w:rPr>
          <w:rFonts w:eastAsia="DengXian"/>
          <w:sz w:val="20"/>
          <w:lang w:eastAsia="zh-CN"/>
        </w:rPr>
        <w:t xml:space="preserve">Eye movements in reading: Psycholinguistic studies. </w:t>
      </w:r>
      <w:bookmarkEnd w:id="130"/>
      <w:proofErr w:type="gramStart"/>
      <w:r>
        <w:rPr>
          <w:rFonts w:eastAsia="DengXian"/>
          <w:sz w:val="20"/>
          <w:lang w:eastAsia="zh-CN"/>
        </w:rPr>
        <w:t xml:space="preserve">In M. A. </w:t>
      </w:r>
      <w:proofErr w:type="spellStart"/>
      <w:r>
        <w:rPr>
          <w:rFonts w:eastAsia="DengXian"/>
          <w:sz w:val="20"/>
          <w:lang w:eastAsia="zh-CN"/>
        </w:rPr>
        <w:t>Gernsbacher</w:t>
      </w:r>
      <w:proofErr w:type="spellEnd"/>
      <w:r>
        <w:rPr>
          <w:rFonts w:eastAsia="DengXian"/>
          <w:sz w:val="20"/>
          <w:lang w:eastAsia="zh-CN"/>
        </w:rPr>
        <w:t xml:space="preserve"> (Ed.), </w:t>
      </w:r>
      <w:r>
        <w:rPr>
          <w:rFonts w:eastAsia="DengXian"/>
          <w:i/>
          <w:sz w:val="20"/>
          <w:lang w:eastAsia="zh-CN"/>
        </w:rPr>
        <w:t>Handbook of psycholinguistics (pp. 57–81)</w:t>
      </w:r>
      <w:r>
        <w:rPr>
          <w:rFonts w:eastAsia="DengXian"/>
          <w:sz w:val="20"/>
          <w:lang w:eastAsia="zh-CN"/>
        </w:rPr>
        <w:t>.</w:t>
      </w:r>
      <w:proofErr w:type="gramEnd"/>
      <w:r>
        <w:rPr>
          <w:rFonts w:eastAsia="DengXian"/>
          <w:sz w:val="20"/>
          <w:lang w:eastAsia="zh-CN"/>
        </w:rPr>
        <w:t xml:space="preserve"> San Diego, CA: Academic Press.</w:t>
      </w:r>
    </w:p>
    <w:p w:rsidR="004D2580" w:rsidRDefault="0034511E">
      <w:pPr>
        <w:adjustRightInd w:val="0"/>
        <w:snapToGrid w:val="0"/>
        <w:spacing w:after="0" w:line="480" w:lineRule="auto"/>
        <w:ind w:left="400" w:hangingChars="200" w:hanging="400"/>
        <w:jc w:val="both"/>
        <w:rPr>
          <w:rFonts w:eastAsia="DengXian"/>
          <w:sz w:val="20"/>
          <w:lang w:eastAsia="zh-CN"/>
        </w:rPr>
      </w:pPr>
      <w:bookmarkStart w:id="131" w:name="_ENREF_53"/>
      <w:proofErr w:type="gramStart"/>
      <w:r>
        <w:rPr>
          <w:rFonts w:eastAsia="DengXian"/>
          <w:sz w:val="20"/>
          <w:lang w:eastAsia="zh-CN"/>
        </w:rPr>
        <w:t>Ritchey, K., Schuster, J., &amp; Allen, J. (2008).</w:t>
      </w:r>
      <w:proofErr w:type="gramEnd"/>
      <w:r>
        <w:rPr>
          <w:rFonts w:eastAsia="DengXian"/>
          <w:sz w:val="20"/>
          <w:lang w:eastAsia="zh-CN"/>
        </w:rPr>
        <w:t xml:space="preserve"> How the relationship between text and headings influences readers’ memory. </w:t>
      </w:r>
      <w:r>
        <w:rPr>
          <w:rFonts w:eastAsia="DengXian"/>
          <w:i/>
          <w:sz w:val="20"/>
          <w:lang w:eastAsia="zh-CN"/>
        </w:rPr>
        <w:t xml:space="preserve">Contemporary </w:t>
      </w:r>
      <w:r>
        <w:rPr>
          <w:rFonts w:eastAsia="DengXian" w:hint="eastAsia"/>
          <w:i/>
          <w:sz w:val="20"/>
          <w:lang w:eastAsia="zh-CN"/>
        </w:rPr>
        <w:t>E</w:t>
      </w:r>
      <w:r>
        <w:rPr>
          <w:rFonts w:eastAsia="DengXian"/>
          <w:i/>
          <w:sz w:val="20"/>
          <w:lang w:eastAsia="zh-CN"/>
        </w:rPr>
        <w:t xml:space="preserve">ducational </w:t>
      </w:r>
      <w:r>
        <w:rPr>
          <w:rFonts w:eastAsia="DengXian" w:hint="eastAsia"/>
          <w:i/>
          <w:sz w:val="20"/>
          <w:lang w:eastAsia="zh-CN"/>
        </w:rPr>
        <w:t>P</w:t>
      </w:r>
      <w:r>
        <w:rPr>
          <w:rFonts w:eastAsia="DengXian"/>
          <w:i/>
          <w:sz w:val="20"/>
          <w:lang w:eastAsia="zh-CN"/>
        </w:rPr>
        <w:t>sychology, 33</w:t>
      </w:r>
      <w:r>
        <w:rPr>
          <w:rFonts w:eastAsia="DengXian"/>
          <w:sz w:val="20"/>
          <w:lang w:eastAsia="zh-CN"/>
        </w:rPr>
        <w:t xml:space="preserve">(4), 859–874. </w:t>
      </w:r>
      <w:bookmarkEnd w:id="131"/>
    </w:p>
    <w:p w:rsidR="004D2580" w:rsidRDefault="0034511E">
      <w:pPr>
        <w:adjustRightInd w:val="0"/>
        <w:snapToGrid w:val="0"/>
        <w:spacing w:after="0" w:line="480" w:lineRule="auto"/>
        <w:ind w:left="400" w:hangingChars="200" w:hanging="400"/>
        <w:jc w:val="both"/>
        <w:rPr>
          <w:rFonts w:eastAsia="DengXian"/>
          <w:sz w:val="20"/>
          <w:lang w:eastAsia="zh-CN"/>
        </w:rPr>
      </w:pPr>
      <w:bookmarkStart w:id="132" w:name="_ENREF_54"/>
      <w:proofErr w:type="gramStart"/>
      <w:r>
        <w:rPr>
          <w:rFonts w:eastAsia="DengXian"/>
          <w:sz w:val="20"/>
          <w:lang w:eastAsia="zh-CN"/>
        </w:rPr>
        <w:t xml:space="preserve">Sanchez, R. P., Lorch, E. P., &amp; Lorch R. F. </w:t>
      </w:r>
      <w:r>
        <w:rPr>
          <w:sz w:val="20"/>
        </w:rPr>
        <w:t>Jr.</w:t>
      </w:r>
      <w:r>
        <w:rPr>
          <w:rFonts w:eastAsia="DengXian"/>
          <w:sz w:val="20"/>
          <w:lang w:eastAsia="zh-CN"/>
        </w:rPr>
        <w:t xml:space="preserve"> (2001).</w:t>
      </w:r>
      <w:proofErr w:type="gramEnd"/>
      <w:r>
        <w:rPr>
          <w:rFonts w:eastAsia="DengXian"/>
          <w:sz w:val="20"/>
          <w:lang w:eastAsia="zh-CN"/>
        </w:rPr>
        <w:t xml:space="preserve"> </w:t>
      </w:r>
      <w:proofErr w:type="gramStart"/>
      <w:r>
        <w:rPr>
          <w:rFonts w:eastAsia="DengXian"/>
          <w:sz w:val="20"/>
          <w:lang w:eastAsia="zh-CN"/>
        </w:rPr>
        <w:t>Effects of headings on text processing strategies.</w:t>
      </w:r>
      <w:proofErr w:type="gramEnd"/>
      <w:r>
        <w:rPr>
          <w:rFonts w:eastAsia="DengXian"/>
          <w:sz w:val="20"/>
          <w:lang w:eastAsia="zh-CN"/>
        </w:rPr>
        <w:t xml:space="preserve"> </w:t>
      </w:r>
      <w:r>
        <w:rPr>
          <w:rFonts w:eastAsia="DengXian"/>
          <w:i/>
          <w:sz w:val="20"/>
          <w:lang w:eastAsia="zh-CN"/>
        </w:rPr>
        <w:t xml:space="preserve">Contemporary </w:t>
      </w:r>
      <w:r>
        <w:rPr>
          <w:rFonts w:eastAsia="DengXian" w:hint="eastAsia"/>
          <w:i/>
          <w:sz w:val="20"/>
          <w:lang w:eastAsia="zh-CN"/>
        </w:rPr>
        <w:t>E</w:t>
      </w:r>
      <w:r>
        <w:rPr>
          <w:rFonts w:eastAsia="DengXian"/>
          <w:i/>
          <w:sz w:val="20"/>
          <w:lang w:eastAsia="zh-CN"/>
        </w:rPr>
        <w:t xml:space="preserve">ducational </w:t>
      </w:r>
      <w:r>
        <w:rPr>
          <w:rFonts w:eastAsia="DengXian" w:hint="eastAsia"/>
          <w:i/>
          <w:sz w:val="20"/>
          <w:lang w:eastAsia="zh-CN"/>
        </w:rPr>
        <w:t>P</w:t>
      </w:r>
      <w:r>
        <w:rPr>
          <w:rFonts w:eastAsia="DengXian"/>
          <w:i/>
          <w:sz w:val="20"/>
          <w:lang w:eastAsia="zh-CN"/>
        </w:rPr>
        <w:t>sychology, 26</w:t>
      </w:r>
      <w:r>
        <w:rPr>
          <w:rFonts w:eastAsia="DengXian"/>
          <w:sz w:val="20"/>
          <w:lang w:eastAsia="zh-CN"/>
        </w:rPr>
        <w:t xml:space="preserve">(3), 418–428. </w:t>
      </w:r>
      <w:bookmarkEnd w:id="132"/>
    </w:p>
    <w:p w:rsidR="004D2580" w:rsidRDefault="0034511E">
      <w:pPr>
        <w:adjustRightInd w:val="0"/>
        <w:snapToGrid w:val="0"/>
        <w:spacing w:after="0" w:line="480" w:lineRule="auto"/>
        <w:ind w:left="400" w:hangingChars="200" w:hanging="400"/>
        <w:jc w:val="both"/>
        <w:rPr>
          <w:rFonts w:eastAsia="DengXian"/>
          <w:sz w:val="20"/>
          <w:lang w:eastAsia="zh-CN"/>
        </w:rPr>
      </w:pPr>
      <w:bookmarkStart w:id="133" w:name="_ENREF_55"/>
      <w:proofErr w:type="spellStart"/>
      <w:proofErr w:type="gramStart"/>
      <w:r>
        <w:rPr>
          <w:rFonts w:eastAsia="DengXian"/>
          <w:sz w:val="20"/>
          <w:lang w:eastAsia="zh-CN"/>
        </w:rPr>
        <w:t>Scheiter</w:t>
      </w:r>
      <w:proofErr w:type="spellEnd"/>
      <w:r>
        <w:rPr>
          <w:rFonts w:eastAsia="DengXian"/>
          <w:sz w:val="20"/>
          <w:lang w:eastAsia="zh-CN"/>
        </w:rPr>
        <w:t xml:space="preserve">, K., &amp; </w:t>
      </w:r>
      <w:proofErr w:type="spellStart"/>
      <w:r>
        <w:rPr>
          <w:rFonts w:eastAsia="DengXian"/>
          <w:sz w:val="20"/>
          <w:lang w:eastAsia="zh-CN"/>
        </w:rPr>
        <w:t>Eitel</w:t>
      </w:r>
      <w:proofErr w:type="spellEnd"/>
      <w:r>
        <w:rPr>
          <w:rFonts w:eastAsia="DengXian"/>
          <w:sz w:val="20"/>
          <w:lang w:eastAsia="zh-CN"/>
        </w:rPr>
        <w:t>, A. (2015).</w:t>
      </w:r>
      <w:proofErr w:type="gramEnd"/>
      <w:r>
        <w:rPr>
          <w:rFonts w:eastAsia="DengXian"/>
          <w:sz w:val="20"/>
          <w:lang w:eastAsia="zh-CN"/>
        </w:rPr>
        <w:t xml:space="preserve"> Signals foster multimedia learning by supporting integration of highlighted text and diagram elements. </w:t>
      </w:r>
      <w:r>
        <w:rPr>
          <w:rFonts w:eastAsia="DengXian"/>
          <w:i/>
          <w:sz w:val="20"/>
          <w:lang w:eastAsia="zh-CN"/>
        </w:rPr>
        <w:t xml:space="preserve">Learning and </w:t>
      </w:r>
      <w:r>
        <w:rPr>
          <w:rFonts w:eastAsia="DengXian" w:hint="eastAsia"/>
          <w:i/>
          <w:sz w:val="20"/>
          <w:lang w:eastAsia="zh-CN"/>
        </w:rPr>
        <w:t>I</w:t>
      </w:r>
      <w:r>
        <w:rPr>
          <w:rFonts w:eastAsia="DengXian"/>
          <w:i/>
          <w:sz w:val="20"/>
          <w:lang w:eastAsia="zh-CN"/>
        </w:rPr>
        <w:t>nstruction, 36</w:t>
      </w:r>
      <w:r>
        <w:rPr>
          <w:rFonts w:eastAsia="DengXian" w:hint="eastAsia"/>
          <w:sz w:val="20"/>
          <w:lang w:eastAsia="zh-CN"/>
        </w:rPr>
        <w:t>(1)</w:t>
      </w:r>
      <w:r>
        <w:rPr>
          <w:rFonts w:eastAsia="DengXian"/>
          <w:sz w:val="20"/>
          <w:lang w:eastAsia="zh-CN"/>
        </w:rPr>
        <w:t xml:space="preserve">, 11–26. </w:t>
      </w:r>
      <w:bookmarkEnd w:id="133"/>
    </w:p>
    <w:p w:rsidR="004D2580" w:rsidRDefault="0034511E">
      <w:pPr>
        <w:adjustRightInd w:val="0"/>
        <w:snapToGrid w:val="0"/>
        <w:spacing w:after="0" w:line="480" w:lineRule="auto"/>
        <w:ind w:left="400" w:hangingChars="200" w:hanging="400"/>
        <w:jc w:val="both"/>
        <w:rPr>
          <w:rFonts w:eastAsia="DengXian"/>
          <w:sz w:val="20"/>
          <w:lang w:eastAsia="zh-CN"/>
        </w:rPr>
      </w:pPr>
      <w:bookmarkStart w:id="134" w:name="_ENREF_56"/>
      <w:proofErr w:type="spellStart"/>
      <w:proofErr w:type="gramStart"/>
      <w:r>
        <w:rPr>
          <w:rFonts w:eastAsia="DengXian"/>
          <w:sz w:val="20"/>
          <w:lang w:eastAsia="zh-CN"/>
        </w:rPr>
        <w:t>Schotter</w:t>
      </w:r>
      <w:proofErr w:type="spellEnd"/>
      <w:r>
        <w:rPr>
          <w:rFonts w:eastAsia="DengXian"/>
          <w:sz w:val="20"/>
          <w:lang w:eastAsia="zh-CN"/>
        </w:rPr>
        <w:t>, E. R., Bicknell, K., Howard, I., Levy, R., &amp; Rayner, K. (2014).</w:t>
      </w:r>
      <w:proofErr w:type="gramEnd"/>
      <w:r>
        <w:rPr>
          <w:rFonts w:eastAsia="DengXian"/>
          <w:sz w:val="20"/>
          <w:lang w:eastAsia="zh-CN"/>
        </w:rPr>
        <w:t xml:space="preserve"> Task effects reveal cognitive flexibility responding to frequency and predictability: Evidence from eye movements in reading and proofreading. </w:t>
      </w:r>
      <w:r>
        <w:rPr>
          <w:rFonts w:eastAsia="DengXian"/>
          <w:i/>
          <w:sz w:val="20"/>
          <w:lang w:eastAsia="zh-CN"/>
        </w:rPr>
        <w:t>Cognition, 131</w:t>
      </w:r>
      <w:r>
        <w:rPr>
          <w:rFonts w:eastAsia="DengXian"/>
          <w:sz w:val="20"/>
          <w:lang w:eastAsia="zh-CN"/>
        </w:rPr>
        <w:t xml:space="preserve">(1), 1–27. </w:t>
      </w:r>
      <w:bookmarkEnd w:id="134"/>
    </w:p>
    <w:p w:rsidR="004D2580" w:rsidRDefault="0034511E">
      <w:pPr>
        <w:adjustRightInd w:val="0"/>
        <w:snapToGrid w:val="0"/>
        <w:spacing w:after="0" w:line="480" w:lineRule="auto"/>
        <w:ind w:left="400" w:hangingChars="200" w:hanging="400"/>
        <w:jc w:val="both"/>
        <w:rPr>
          <w:rFonts w:eastAsia="DengXian"/>
          <w:sz w:val="20"/>
          <w:lang w:eastAsia="zh-CN"/>
        </w:rPr>
      </w:pPr>
      <w:bookmarkStart w:id="135" w:name="_ENREF_57"/>
      <w:proofErr w:type="gramStart"/>
      <w:r>
        <w:rPr>
          <w:sz w:val="20"/>
          <w:lang w:val="en-US"/>
        </w:rPr>
        <w:t>van</w:t>
      </w:r>
      <w:proofErr w:type="gramEnd"/>
      <w:r>
        <w:rPr>
          <w:sz w:val="20"/>
          <w:lang w:val="en-US"/>
        </w:rPr>
        <w:t xml:space="preserve"> den </w:t>
      </w:r>
      <w:proofErr w:type="spellStart"/>
      <w:r>
        <w:rPr>
          <w:sz w:val="20"/>
          <w:lang w:val="en-US"/>
        </w:rPr>
        <w:t>Broek</w:t>
      </w:r>
      <w:proofErr w:type="spellEnd"/>
      <w:r>
        <w:rPr>
          <w:sz w:val="20"/>
          <w:lang w:val="en-US"/>
        </w:rPr>
        <w:t xml:space="preserve">, P., &amp; </w:t>
      </w:r>
      <w:proofErr w:type="spellStart"/>
      <w:r>
        <w:rPr>
          <w:sz w:val="20"/>
          <w:lang w:val="en-US"/>
        </w:rPr>
        <w:t>Espin</w:t>
      </w:r>
      <w:proofErr w:type="spellEnd"/>
      <w:r>
        <w:rPr>
          <w:sz w:val="20"/>
          <w:lang w:val="en-US"/>
        </w:rPr>
        <w:t xml:space="preserve">, C. A. (2012). </w:t>
      </w:r>
      <w:r>
        <w:rPr>
          <w:rFonts w:eastAsia="DengXian"/>
          <w:sz w:val="20"/>
          <w:lang w:eastAsia="zh-CN"/>
        </w:rPr>
        <w:t xml:space="preserve">Connecting cognitive theory and assessment: Measuring individual differences in reading comprehension. </w:t>
      </w:r>
      <w:r>
        <w:rPr>
          <w:rFonts w:eastAsia="DengXian"/>
          <w:i/>
          <w:sz w:val="20"/>
          <w:lang w:eastAsia="zh-CN"/>
        </w:rPr>
        <w:t>School Psychology Review, 41</w:t>
      </w:r>
      <w:r>
        <w:rPr>
          <w:rFonts w:eastAsia="DengXian"/>
          <w:sz w:val="20"/>
          <w:lang w:eastAsia="zh-CN"/>
        </w:rPr>
        <w:t>(3), 315–</w:t>
      </w:r>
      <w:r>
        <w:rPr>
          <w:rFonts w:eastAsia="DengXian" w:hint="eastAsia"/>
          <w:sz w:val="20"/>
          <w:lang w:eastAsia="zh-CN"/>
        </w:rPr>
        <w:t>325</w:t>
      </w:r>
      <w:r>
        <w:rPr>
          <w:rFonts w:eastAsia="DengXian"/>
          <w:sz w:val="20"/>
          <w:lang w:eastAsia="zh-CN"/>
        </w:rPr>
        <w:t xml:space="preserve">. </w:t>
      </w:r>
      <w:bookmarkEnd w:id="135"/>
    </w:p>
    <w:p w:rsidR="004D2580" w:rsidRDefault="0034511E">
      <w:pPr>
        <w:adjustRightInd w:val="0"/>
        <w:snapToGrid w:val="0"/>
        <w:spacing w:after="0" w:line="480" w:lineRule="auto"/>
        <w:ind w:left="400" w:hangingChars="200" w:hanging="400"/>
        <w:jc w:val="both"/>
        <w:rPr>
          <w:rFonts w:eastAsia="DengXian"/>
          <w:sz w:val="20"/>
          <w:lang w:eastAsia="zh-CN"/>
        </w:rPr>
      </w:pPr>
      <w:bookmarkStart w:id="136" w:name="_ENREF_58"/>
      <w:proofErr w:type="gramStart"/>
      <w:r>
        <w:rPr>
          <w:sz w:val="20"/>
          <w:lang w:val="en-US"/>
        </w:rPr>
        <w:t>van</w:t>
      </w:r>
      <w:proofErr w:type="gramEnd"/>
      <w:r>
        <w:rPr>
          <w:sz w:val="20"/>
          <w:lang w:val="en-US"/>
        </w:rPr>
        <w:t xml:space="preserve"> den </w:t>
      </w:r>
      <w:proofErr w:type="spellStart"/>
      <w:r>
        <w:rPr>
          <w:sz w:val="20"/>
          <w:lang w:val="en-US"/>
        </w:rPr>
        <w:t>Broek</w:t>
      </w:r>
      <w:proofErr w:type="spellEnd"/>
      <w:r>
        <w:rPr>
          <w:sz w:val="20"/>
          <w:lang w:val="en-US"/>
        </w:rPr>
        <w:t xml:space="preserve">, P., Lorch, R. F., </w:t>
      </w:r>
      <w:proofErr w:type="spellStart"/>
      <w:r>
        <w:rPr>
          <w:sz w:val="20"/>
          <w:lang w:val="en-US"/>
        </w:rPr>
        <w:t>Linderholm</w:t>
      </w:r>
      <w:proofErr w:type="spellEnd"/>
      <w:r>
        <w:rPr>
          <w:sz w:val="20"/>
          <w:lang w:val="en-US"/>
        </w:rPr>
        <w:t xml:space="preserve">, T., &amp; Gustafson, M. (2001). </w:t>
      </w:r>
      <w:proofErr w:type="gramStart"/>
      <w:r>
        <w:rPr>
          <w:rFonts w:eastAsia="DengXian"/>
          <w:sz w:val="20"/>
          <w:lang w:eastAsia="zh-CN"/>
        </w:rPr>
        <w:t>The effects of readers’ goals on inference generation and memory for texts.</w:t>
      </w:r>
      <w:proofErr w:type="gramEnd"/>
      <w:r>
        <w:rPr>
          <w:rFonts w:eastAsia="DengXian"/>
          <w:sz w:val="20"/>
          <w:lang w:eastAsia="zh-CN"/>
        </w:rPr>
        <w:t xml:space="preserve"> </w:t>
      </w:r>
      <w:r>
        <w:rPr>
          <w:rFonts w:eastAsia="DengXian"/>
          <w:i/>
          <w:sz w:val="20"/>
          <w:lang w:eastAsia="zh-CN"/>
        </w:rPr>
        <w:t>Memory &amp; Cognition, 29</w:t>
      </w:r>
      <w:r>
        <w:rPr>
          <w:rFonts w:eastAsia="DengXian"/>
          <w:sz w:val="20"/>
          <w:lang w:eastAsia="zh-CN"/>
        </w:rPr>
        <w:t xml:space="preserve">(8), 1081–1087. </w:t>
      </w:r>
      <w:bookmarkEnd w:id="136"/>
    </w:p>
    <w:p w:rsidR="004D2580" w:rsidRDefault="0034511E">
      <w:pPr>
        <w:adjustRightInd w:val="0"/>
        <w:snapToGrid w:val="0"/>
        <w:spacing w:after="0" w:line="480" w:lineRule="auto"/>
        <w:ind w:left="400" w:hangingChars="200" w:hanging="400"/>
        <w:jc w:val="both"/>
        <w:rPr>
          <w:rFonts w:eastAsia="DengXian"/>
          <w:sz w:val="20"/>
          <w:lang w:eastAsia="zh-CN"/>
        </w:rPr>
      </w:pPr>
      <w:bookmarkStart w:id="137" w:name="_ENREF_59"/>
      <w:proofErr w:type="gramStart"/>
      <w:r>
        <w:rPr>
          <w:rFonts w:eastAsia="DengXian"/>
          <w:sz w:val="20"/>
          <w:lang w:eastAsia="zh-CN"/>
        </w:rPr>
        <w:t>Wang, Z., Sabatini, J., O’Reilly, T., &amp; Feng, G. (2017).</w:t>
      </w:r>
      <w:proofErr w:type="gramEnd"/>
      <w:r>
        <w:rPr>
          <w:rFonts w:eastAsia="DengXian"/>
          <w:sz w:val="20"/>
          <w:lang w:eastAsia="zh-CN"/>
        </w:rPr>
        <w:t xml:space="preserve"> How Individual Differences Interact With Task Demands in Text Processing. </w:t>
      </w:r>
      <w:r>
        <w:rPr>
          <w:rFonts w:eastAsia="DengXian"/>
          <w:i/>
          <w:sz w:val="20"/>
          <w:lang w:eastAsia="zh-CN"/>
        </w:rPr>
        <w:t>Scientific Studies of Reading, 21</w:t>
      </w:r>
      <w:r>
        <w:rPr>
          <w:rFonts w:eastAsia="DengXian"/>
          <w:sz w:val="20"/>
          <w:lang w:eastAsia="zh-CN"/>
        </w:rPr>
        <w:t xml:space="preserve">(2), 165–178. </w:t>
      </w:r>
      <w:bookmarkEnd w:id="137"/>
    </w:p>
    <w:p w:rsidR="004D2580" w:rsidRDefault="0034511E">
      <w:pPr>
        <w:adjustRightInd w:val="0"/>
        <w:snapToGrid w:val="0"/>
        <w:spacing w:after="0" w:line="480" w:lineRule="auto"/>
        <w:ind w:left="400" w:hangingChars="200" w:hanging="400"/>
        <w:jc w:val="both"/>
        <w:rPr>
          <w:rFonts w:eastAsia="DengXian"/>
          <w:sz w:val="20"/>
          <w:lang w:eastAsia="zh-CN"/>
        </w:rPr>
      </w:pPr>
      <w:bookmarkStart w:id="138" w:name="_ENREF_60"/>
      <w:proofErr w:type="gramStart"/>
      <w:r>
        <w:rPr>
          <w:rFonts w:eastAsia="DengXian"/>
          <w:sz w:val="20"/>
          <w:lang w:eastAsia="zh-CN"/>
        </w:rPr>
        <w:t>Wiley, J., &amp; Rayner, K. (2000).</w:t>
      </w:r>
      <w:proofErr w:type="gramEnd"/>
      <w:r>
        <w:rPr>
          <w:rFonts w:eastAsia="DengXian"/>
          <w:sz w:val="20"/>
          <w:lang w:eastAsia="zh-CN"/>
        </w:rPr>
        <w:t xml:space="preserve"> Effects of titles on the processing of text and lexically ambiguous words: Evidence from eye movements. </w:t>
      </w:r>
      <w:r>
        <w:rPr>
          <w:rFonts w:eastAsia="DengXian"/>
          <w:i/>
          <w:sz w:val="20"/>
          <w:lang w:eastAsia="zh-CN"/>
        </w:rPr>
        <w:t>Memory &amp; Cognition, 28</w:t>
      </w:r>
      <w:r>
        <w:rPr>
          <w:rFonts w:eastAsia="DengXian"/>
          <w:sz w:val="20"/>
          <w:lang w:eastAsia="zh-CN"/>
        </w:rPr>
        <w:t xml:space="preserve">(6), 1011–1021. </w:t>
      </w:r>
      <w:bookmarkEnd w:id="138"/>
    </w:p>
    <w:p w:rsidR="004D2580" w:rsidRDefault="0034511E">
      <w:pPr>
        <w:adjustRightInd w:val="0"/>
        <w:snapToGrid w:val="0"/>
        <w:spacing w:after="0" w:line="480" w:lineRule="auto"/>
        <w:ind w:left="400" w:hangingChars="200" w:hanging="400"/>
        <w:jc w:val="both"/>
        <w:rPr>
          <w:rFonts w:eastAsia="DengXian"/>
          <w:sz w:val="20"/>
          <w:lang w:eastAsia="zh-CN"/>
        </w:rPr>
      </w:pPr>
      <w:bookmarkStart w:id="139" w:name="_ENREF_61"/>
      <w:proofErr w:type="spellStart"/>
      <w:proofErr w:type="gramStart"/>
      <w:r>
        <w:rPr>
          <w:sz w:val="20"/>
          <w:lang w:val="en-US"/>
        </w:rPr>
        <w:lastRenderedPageBreak/>
        <w:t>Yeari</w:t>
      </w:r>
      <w:proofErr w:type="spellEnd"/>
      <w:r>
        <w:rPr>
          <w:sz w:val="20"/>
          <w:lang w:val="en-US"/>
        </w:rPr>
        <w:t xml:space="preserve">, M., </w:t>
      </w:r>
      <w:proofErr w:type="spellStart"/>
      <w:r>
        <w:rPr>
          <w:sz w:val="20"/>
          <w:lang w:val="en-US"/>
        </w:rPr>
        <w:t>Oudega</w:t>
      </w:r>
      <w:proofErr w:type="spellEnd"/>
      <w:r>
        <w:rPr>
          <w:sz w:val="20"/>
          <w:lang w:val="en-US"/>
        </w:rPr>
        <w:t xml:space="preserve">, M., &amp; van den </w:t>
      </w:r>
      <w:proofErr w:type="spellStart"/>
      <w:r>
        <w:rPr>
          <w:sz w:val="20"/>
          <w:lang w:val="en-US"/>
        </w:rPr>
        <w:t>Broek</w:t>
      </w:r>
      <w:proofErr w:type="spellEnd"/>
      <w:r>
        <w:rPr>
          <w:sz w:val="20"/>
          <w:lang w:val="en-US"/>
        </w:rPr>
        <w:t>, P. (2017).</w:t>
      </w:r>
      <w:proofErr w:type="gramEnd"/>
      <w:r>
        <w:rPr>
          <w:sz w:val="20"/>
          <w:lang w:val="en-US"/>
        </w:rPr>
        <w:t xml:space="preserve"> </w:t>
      </w:r>
      <w:r>
        <w:rPr>
          <w:rFonts w:eastAsia="DengXian"/>
          <w:sz w:val="20"/>
          <w:lang w:eastAsia="zh-CN"/>
        </w:rPr>
        <w:t xml:space="preserve">The effect of highlighting on processing and memory of central and peripheral text information: evidence from eye movements. </w:t>
      </w:r>
      <w:bookmarkEnd w:id="139"/>
      <w:r>
        <w:rPr>
          <w:rFonts w:eastAsia="DengXian"/>
          <w:i/>
          <w:sz w:val="20"/>
          <w:lang w:eastAsia="zh-CN"/>
        </w:rPr>
        <w:t>Journal of Research in Reading</w:t>
      </w:r>
      <w:proofErr w:type="gramStart"/>
      <w:r>
        <w:rPr>
          <w:rFonts w:eastAsia="DengXian" w:hint="eastAsia"/>
          <w:i/>
          <w:sz w:val="20"/>
          <w:lang w:eastAsia="zh-CN"/>
        </w:rPr>
        <w:t>,40</w:t>
      </w:r>
      <w:proofErr w:type="gramEnd"/>
      <w:r>
        <w:rPr>
          <w:rFonts w:eastAsia="DengXian" w:hint="eastAsia"/>
          <w:i/>
          <w:sz w:val="20"/>
          <w:lang w:eastAsia="zh-CN"/>
        </w:rPr>
        <w:t>(4),365</w:t>
      </w:r>
      <w:r>
        <w:rPr>
          <w:rFonts w:eastAsia="DengXian"/>
          <w:sz w:val="20"/>
          <w:lang w:eastAsia="zh-CN"/>
        </w:rPr>
        <w:t>–</w:t>
      </w:r>
      <w:r>
        <w:rPr>
          <w:rFonts w:eastAsia="DengXian" w:hint="eastAsia"/>
          <w:i/>
          <w:sz w:val="20"/>
          <w:lang w:eastAsia="zh-CN"/>
        </w:rPr>
        <w:t>383.</w:t>
      </w:r>
    </w:p>
    <w:p w:rsidR="004D2580" w:rsidRDefault="0034511E">
      <w:pPr>
        <w:adjustRightInd w:val="0"/>
        <w:snapToGrid w:val="0"/>
        <w:spacing w:after="0" w:line="480" w:lineRule="auto"/>
        <w:ind w:left="400" w:hangingChars="200" w:hanging="400"/>
        <w:jc w:val="both"/>
        <w:rPr>
          <w:rFonts w:eastAsia="DengXian"/>
          <w:sz w:val="20"/>
          <w:lang w:eastAsia="zh-CN"/>
        </w:rPr>
      </w:pPr>
      <w:bookmarkStart w:id="140" w:name="_ENREF_62"/>
      <w:proofErr w:type="spellStart"/>
      <w:r>
        <w:rPr>
          <w:rFonts w:eastAsia="DengXian"/>
          <w:sz w:val="20"/>
          <w:lang w:val="en-US" w:eastAsia="zh-CN"/>
        </w:rPr>
        <w:t>Yeari</w:t>
      </w:r>
      <w:proofErr w:type="spellEnd"/>
      <w:r>
        <w:rPr>
          <w:rFonts w:eastAsia="DengXian"/>
          <w:sz w:val="20"/>
          <w:lang w:val="en-US" w:eastAsia="zh-CN"/>
        </w:rPr>
        <w:t xml:space="preserve">, M., van den </w:t>
      </w:r>
      <w:proofErr w:type="spellStart"/>
      <w:r>
        <w:rPr>
          <w:rFonts w:eastAsia="DengXian"/>
          <w:sz w:val="20"/>
          <w:lang w:val="en-US" w:eastAsia="zh-CN"/>
        </w:rPr>
        <w:t>Broek</w:t>
      </w:r>
      <w:proofErr w:type="spellEnd"/>
      <w:r>
        <w:rPr>
          <w:rFonts w:eastAsia="DengXian"/>
          <w:sz w:val="20"/>
          <w:lang w:val="en-US" w:eastAsia="zh-CN"/>
        </w:rPr>
        <w:t xml:space="preserve">, P., &amp; </w:t>
      </w:r>
      <w:proofErr w:type="spellStart"/>
      <w:r>
        <w:rPr>
          <w:rFonts w:eastAsia="DengXian"/>
          <w:sz w:val="20"/>
          <w:lang w:val="en-US" w:eastAsia="zh-CN"/>
        </w:rPr>
        <w:t>Oudega</w:t>
      </w:r>
      <w:proofErr w:type="spellEnd"/>
      <w:r>
        <w:rPr>
          <w:rFonts w:eastAsia="DengXian"/>
          <w:sz w:val="20"/>
          <w:lang w:val="en-US" w:eastAsia="zh-CN"/>
        </w:rPr>
        <w:t xml:space="preserve">, M. (2015). </w:t>
      </w:r>
      <w:r>
        <w:rPr>
          <w:rFonts w:eastAsia="DengXian"/>
          <w:sz w:val="20"/>
          <w:lang w:eastAsia="zh-CN"/>
        </w:rPr>
        <w:t xml:space="preserve">Processing and memory of central versus peripheral information as a function of reading goals: evidence from eye-movements. </w:t>
      </w:r>
      <w:r>
        <w:rPr>
          <w:rFonts w:eastAsia="DengXian"/>
          <w:i/>
          <w:sz w:val="20"/>
          <w:lang w:eastAsia="zh-CN"/>
        </w:rPr>
        <w:t>Reading and Writing, 28</w:t>
      </w:r>
      <w:r>
        <w:rPr>
          <w:rFonts w:eastAsia="DengXian"/>
          <w:sz w:val="20"/>
          <w:lang w:eastAsia="zh-CN"/>
        </w:rPr>
        <w:t>(8), 1071–1097.</w:t>
      </w:r>
      <w:bookmarkEnd w:id="140"/>
    </w:p>
    <w:p w:rsidR="004D2580" w:rsidRDefault="0034511E">
      <w:pPr>
        <w:spacing w:after="0" w:line="240" w:lineRule="auto"/>
        <w:rPr>
          <w:rFonts w:eastAsia="DengXian"/>
          <w:sz w:val="20"/>
          <w:lang w:eastAsia="zh-CN"/>
        </w:rPr>
      </w:pPr>
      <w:r>
        <w:rPr>
          <w:rFonts w:eastAsia="DengXian"/>
          <w:sz w:val="20"/>
          <w:lang w:eastAsia="zh-CN"/>
        </w:rPr>
        <w:br w:type="page"/>
      </w:r>
    </w:p>
    <w:p w:rsidR="004D2580" w:rsidRDefault="0034511E">
      <w:pPr>
        <w:jc w:val="center"/>
        <w:rPr>
          <w:b/>
          <w:sz w:val="20"/>
          <w:szCs w:val="20"/>
        </w:rPr>
      </w:pPr>
      <w:r>
        <w:rPr>
          <w:rFonts w:hint="eastAsia"/>
          <w:b/>
          <w:sz w:val="20"/>
          <w:szCs w:val="20"/>
        </w:rPr>
        <w:lastRenderedPageBreak/>
        <w:t>Appendix</w:t>
      </w:r>
    </w:p>
    <w:p w:rsidR="004D2580" w:rsidRDefault="0034511E">
      <w:pPr>
        <w:rPr>
          <w:b/>
          <w:sz w:val="20"/>
          <w:szCs w:val="20"/>
        </w:rPr>
      </w:pPr>
      <w:r>
        <w:rPr>
          <w:b/>
          <w:sz w:val="20"/>
          <w:szCs w:val="20"/>
        </w:rPr>
        <w:t>Table 1</w:t>
      </w:r>
    </w:p>
    <w:p w:rsidR="004D2580" w:rsidRDefault="0034511E">
      <w:pPr>
        <w:widowControl w:val="0"/>
        <w:spacing w:after="100" w:afterAutospacing="1" w:line="240" w:lineRule="auto"/>
        <w:rPr>
          <w:rFonts w:eastAsiaTheme="minorEastAsia"/>
          <w:kern w:val="2"/>
          <w:sz w:val="20"/>
          <w:szCs w:val="20"/>
          <w:lang w:val="en-US" w:eastAsia="zh-CN"/>
        </w:rPr>
      </w:pPr>
      <w:r>
        <w:rPr>
          <w:sz w:val="20"/>
          <w:szCs w:val="20"/>
        </w:rPr>
        <w:t xml:space="preserve">Correlations between fist-pass reading time, second-pass reading time, and summary score in the </w:t>
      </w:r>
      <w:r>
        <w:rPr>
          <w:rFonts w:eastAsiaTheme="minorEastAsia"/>
          <w:kern w:val="2"/>
          <w:sz w:val="20"/>
          <w:szCs w:val="20"/>
          <w:lang w:val="en-US" w:eastAsia="zh-CN"/>
        </w:rPr>
        <w:t>summary task for each reader group</w:t>
      </w:r>
    </w:p>
    <w:tbl>
      <w:tblPr>
        <w:tblStyle w:val="TableGrid"/>
        <w:tblW w:w="830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9"/>
        <w:gridCol w:w="1538"/>
        <w:gridCol w:w="2385"/>
        <w:gridCol w:w="1316"/>
        <w:gridCol w:w="1498"/>
      </w:tblGrid>
      <w:tr w:rsidR="004D2580">
        <w:tc>
          <w:tcPr>
            <w:tcW w:w="1569" w:type="dxa"/>
            <w:tcBorders>
              <w:top w:val="single" w:sz="12" w:space="0" w:color="auto"/>
              <w:bottom w:val="single" w:sz="8"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Reader  Group</w:t>
            </w:r>
          </w:p>
        </w:tc>
        <w:tc>
          <w:tcPr>
            <w:tcW w:w="1538" w:type="dxa"/>
            <w:tcBorders>
              <w:top w:val="single" w:sz="12" w:space="0" w:color="auto"/>
              <w:bottom w:val="single" w:sz="8"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hint="eastAsia"/>
                <w:kern w:val="2"/>
                <w:sz w:val="20"/>
                <w:szCs w:val="20"/>
                <w:lang w:val="en-US" w:eastAsia="zh-CN"/>
              </w:rPr>
              <w:t>Sentence type</w:t>
            </w:r>
          </w:p>
        </w:tc>
        <w:tc>
          <w:tcPr>
            <w:tcW w:w="2385" w:type="dxa"/>
            <w:tcBorders>
              <w:top w:val="single" w:sz="12" w:space="0" w:color="auto"/>
              <w:bottom w:val="single" w:sz="8" w:space="0" w:color="auto"/>
            </w:tcBorders>
          </w:tcPr>
          <w:p w:rsidR="004D2580" w:rsidRDefault="004D2580">
            <w:pPr>
              <w:widowControl w:val="0"/>
              <w:spacing w:after="0" w:line="240" w:lineRule="auto"/>
              <w:jc w:val="center"/>
              <w:rPr>
                <w:rFonts w:eastAsiaTheme="minorEastAsia"/>
                <w:kern w:val="2"/>
                <w:sz w:val="20"/>
                <w:szCs w:val="20"/>
                <w:lang w:val="en-US" w:eastAsia="zh-CN"/>
              </w:rPr>
            </w:pPr>
          </w:p>
        </w:tc>
        <w:tc>
          <w:tcPr>
            <w:tcW w:w="1316" w:type="dxa"/>
            <w:tcBorders>
              <w:top w:val="single" w:sz="12" w:space="0" w:color="auto"/>
              <w:bottom w:val="single" w:sz="8"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Second-pass reading time</w:t>
            </w:r>
          </w:p>
        </w:tc>
        <w:tc>
          <w:tcPr>
            <w:tcW w:w="1498" w:type="dxa"/>
            <w:tcBorders>
              <w:top w:val="single" w:sz="12" w:space="0" w:color="auto"/>
              <w:bottom w:val="single" w:sz="8"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Summary score</w:t>
            </w:r>
          </w:p>
        </w:tc>
      </w:tr>
      <w:tr w:rsidR="004D2580">
        <w:tc>
          <w:tcPr>
            <w:tcW w:w="1569" w:type="dxa"/>
            <w:vMerge w:val="restart"/>
            <w:tcBorders>
              <w:top w:val="single" w:sz="8" w:space="0" w:color="auto"/>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hint="eastAsia"/>
                <w:kern w:val="2"/>
                <w:sz w:val="20"/>
                <w:szCs w:val="20"/>
                <w:lang w:val="en-US" w:eastAsia="zh-CN"/>
              </w:rPr>
              <w:t>FLRs</w:t>
            </w:r>
          </w:p>
        </w:tc>
        <w:tc>
          <w:tcPr>
            <w:tcW w:w="1538" w:type="dxa"/>
            <w:vMerge w:val="restart"/>
            <w:tcBorders>
              <w:top w:val="single" w:sz="8" w:space="0" w:color="auto"/>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Topic </w:t>
            </w:r>
            <w:r>
              <w:rPr>
                <w:rFonts w:eastAsiaTheme="minorEastAsia"/>
                <w:kern w:val="2"/>
                <w:sz w:val="20"/>
                <w:szCs w:val="20"/>
                <w:lang w:val="en-US" w:eastAsia="zh-CN"/>
              </w:rPr>
              <w:t>sentence</w:t>
            </w:r>
          </w:p>
        </w:tc>
        <w:tc>
          <w:tcPr>
            <w:tcW w:w="2385" w:type="dxa"/>
            <w:tcBorders>
              <w:top w:val="single" w:sz="8" w:space="0" w:color="auto"/>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single" w:sz="8" w:space="0" w:color="auto"/>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.028</w:t>
            </w:r>
          </w:p>
        </w:tc>
        <w:tc>
          <w:tcPr>
            <w:tcW w:w="1498" w:type="dxa"/>
            <w:tcBorders>
              <w:top w:val="single" w:sz="8" w:space="0" w:color="auto"/>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.193</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-.533**</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Media</w:t>
            </w:r>
            <w:r>
              <w:rPr>
                <w:kern w:val="2"/>
                <w:sz w:val="20"/>
                <w:lang w:val="en-US"/>
              </w:rPr>
              <w:t>l</w:t>
            </w:r>
            <w:r>
              <w:rPr>
                <w:rFonts w:hint="eastAsia"/>
                <w:kern w:val="2"/>
                <w:sz w:val="20"/>
                <w:lang w:val="en-US"/>
              </w:rPr>
              <w:t xml:space="preserve"> </w:t>
            </w:r>
            <w:r>
              <w:rPr>
                <w:rFonts w:eastAsiaTheme="minorEastAsia" w:hint="eastAsia"/>
                <w:kern w:val="2"/>
                <w:sz w:val="20"/>
                <w:szCs w:val="20"/>
                <w:lang w:val="en-US" w:eastAsia="zh-CN"/>
              </w:rPr>
              <w:t>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.338</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.141</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-.053</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End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.022</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.010</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-.260</w:t>
            </w:r>
          </w:p>
        </w:tc>
      </w:tr>
      <w:tr w:rsidR="004D2580">
        <w:tc>
          <w:tcPr>
            <w:tcW w:w="1569" w:type="dxa"/>
            <w:vMerge w:val="restart"/>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SLRs</w:t>
            </w: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Topic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-.276</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.595</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.555</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Media</w:t>
            </w:r>
            <w:r>
              <w:rPr>
                <w:kern w:val="2"/>
                <w:sz w:val="20"/>
                <w:lang w:val="en-US"/>
              </w:rPr>
              <w:t>l</w:t>
            </w:r>
            <w:r>
              <w:rPr>
                <w:rFonts w:eastAsiaTheme="minorEastAsia" w:hint="eastAsia"/>
                <w:kern w:val="2"/>
                <w:sz w:val="20"/>
                <w:szCs w:val="20"/>
                <w:lang w:val="en-US" w:eastAsia="zh-CN"/>
              </w:rPr>
              <w:t xml:space="preserve">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-.552</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-.393</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.221</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End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.234</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-.044</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.906*</w:t>
            </w:r>
          </w:p>
        </w:tc>
      </w:tr>
      <w:tr w:rsidR="004D2580">
        <w:tc>
          <w:tcPr>
            <w:tcW w:w="1569" w:type="dxa"/>
            <w:vMerge w:val="restart"/>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NSRs</w:t>
            </w: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Topic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.287</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-.162</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-.660</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Media</w:t>
            </w:r>
            <w:r>
              <w:rPr>
                <w:kern w:val="2"/>
                <w:sz w:val="20"/>
                <w:lang w:val="en-US"/>
              </w:rPr>
              <w:t>l</w:t>
            </w:r>
            <w:r>
              <w:rPr>
                <w:rFonts w:eastAsiaTheme="minorEastAsia" w:hint="eastAsia"/>
                <w:kern w:val="2"/>
                <w:sz w:val="20"/>
                <w:szCs w:val="20"/>
                <w:lang w:val="en-US" w:eastAsia="zh-CN"/>
              </w:rPr>
              <w:t xml:space="preserve">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-.555</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-.113</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.342</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End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-.163</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.341</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-.851*</w:t>
            </w:r>
          </w:p>
        </w:tc>
      </w:tr>
      <w:tr w:rsidR="004D2580">
        <w:tc>
          <w:tcPr>
            <w:tcW w:w="1569" w:type="dxa"/>
            <w:vMerge w:val="restart"/>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TSPs</w:t>
            </w: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Topic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-.357</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-.417</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-.161</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Media</w:t>
            </w:r>
            <w:r>
              <w:rPr>
                <w:kern w:val="2"/>
                <w:sz w:val="20"/>
                <w:lang w:val="en-US"/>
              </w:rPr>
              <w:t>l</w:t>
            </w:r>
            <w:r>
              <w:rPr>
                <w:rFonts w:eastAsiaTheme="minorEastAsia" w:hint="eastAsia"/>
                <w:kern w:val="2"/>
                <w:sz w:val="20"/>
                <w:szCs w:val="20"/>
                <w:lang w:val="en-US" w:eastAsia="zh-CN"/>
              </w:rPr>
              <w:t xml:space="preserve">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-.288</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-.470</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.180</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End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-.658</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-.377</w:t>
            </w:r>
          </w:p>
        </w:tc>
      </w:tr>
      <w:tr w:rsidR="004D2580">
        <w:tc>
          <w:tcPr>
            <w:tcW w:w="1569" w:type="dxa"/>
            <w:vMerge/>
            <w:tcBorders>
              <w:top w:val="nil"/>
              <w:bottom w:val="single" w:sz="12" w:space="0" w:color="auto"/>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single" w:sz="12" w:space="0" w:color="auto"/>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single" w:sz="12" w:space="0" w:color="auto"/>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single" w:sz="12" w:space="0" w:color="auto"/>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single" w:sz="12"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.272</w:t>
            </w:r>
          </w:p>
        </w:tc>
      </w:tr>
    </w:tbl>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Note: *p &lt; .05; **p &lt; .01.</w:t>
      </w:r>
    </w:p>
    <w:p w:rsidR="004D2580" w:rsidRDefault="0034511E">
      <w:pPr>
        <w:widowControl w:val="0"/>
        <w:spacing w:after="0" w:line="240" w:lineRule="auto"/>
        <w:rPr>
          <w:rFonts w:eastAsiaTheme="minorEastAsia"/>
          <w:b/>
          <w:kern w:val="2"/>
          <w:sz w:val="20"/>
          <w:szCs w:val="20"/>
          <w:lang w:val="en-US" w:eastAsia="zh-CN"/>
        </w:rPr>
      </w:pPr>
      <w:r>
        <w:rPr>
          <w:rFonts w:eastAsiaTheme="minorEastAsia"/>
          <w:kern w:val="2"/>
          <w:sz w:val="20"/>
          <w:szCs w:val="20"/>
          <w:lang w:val="en-US" w:eastAsia="zh-CN"/>
        </w:rPr>
        <w:br w:type="page"/>
      </w:r>
      <w:r>
        <w:rPr>
          <w:rFonts w:eastAsiaTheme="minorEastAsia"/>
          <w:b/>
          <w:kern w:val="2"/>
          <w:sz w:val="20"/>
          <w:szCs w:val="20"/>
          <w:lang w:val="en-US" w:eastAsia="zh-CN"/>
        </w:rPr>
        <w:lastRenderedPageBreak/>
        <w:t>Table 2</w:t>
      </w:r>
    </w:p>
    <w:p w:rsidR="004D2580" w:rsidRDefault="0034511E">
      <w:pPr>
        <w:widowControl w:val="0"/>
        <w:spacing w:after="100" w:afterAutospacing="1" w:line="240" w:lineRule="auto"/>
        <w:rPr>
          <w:rFonts w:eastAsiaTheme="minorEastAsia"/>
          <w:kern w:val="2"/>
          <w:sz w:val="20"/>
          <w:szCs w:val="20"/>
          <w:lang w:val="en-US" w:eastAsia="zh-CN"/>
        </w:rPr>
      </w:pPr>
      <w:r>
        <w:rPr>
          <w:rFonts w:eastAsiaTheme="minorEastAsia"/>
          <w:kern w:val="2"/>
          <w:sz w:val="20"/>
          <w:szCs w:val="20"/>
          <w:lang w:val="en-US" w:eastAsia="zh-CN"/>
        </w:rPr>
        <w:t>Correlations between fist-pass reading time, second-pass reading time, and summary score in the verification task for each reader group</w:t>
      </w:r>
    </w:p>
    <w:tbl>
      <w:tblPr>
        <w:tblStyle w:val="TableGrid"/>
        <w:tblW w:w="830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9"/>
        <w:gridCol w:w="1538"/>
        <w:gridCol w:w="2385"/>
        <w:gridCol w:w="1316"/>
        <w:gridCol w:w="1498"/>
      </w:tblGrid>
      <w:tr w:rsidR="004D2580">
        <w:tc>
          <w:tcPr>
            <w:tcW w:w="1569" w:type="dxa"/>
            <w:tcBorders>
              <w:top w:val="single" w:sz="12" w:space="0" w:color="auto"/>
              <w:bottom w:val="single" w:sz="8"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Reader  Group</w:t>
            </w:r>
          </w:p>
        </w:tc>
        <w:tc>
          <w:tcPr>
            <w:tcW w:w="1538" w:type="dxa"/>
            <w:tcBorders>
              <w:top w:val="single" w:sz="12" w:space="0" w:color="auto"/>
              <w:bottom w:val="single" w:sz="8"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hint="eastAsia"/>
                <w:kern w:val="2"/>
                <w:sz w:val="20"/>
                <w:szCs w:val="20"/>
                <w:lang w:val="en-US" w:eastAsia="zh-CN"/>
              </w:rPr>
              <w:t>Sentence type</w:t>
            </w:r>
          </w:p>
        </w:tc>
        <w:tc>
          <w:tcPr>
            <w:tcW w:w="2385" w:type="dxa"/>
            <w:tcBorders>
              <w:top w:val="single" w:sz="12" w:space="0" w:color="auto"/>
              <w:bottom w:val="single" w:sz="8" w:space="0" w:color="auto"/>
            </w:tcBorders>
          </w:tcPr>
          <w:p w:rsidR="004D2580" w:rsidRDefault="004D2580">
            <w:pPr>
              <w:widowControl w:val="0"/>
              <w:spacing w:after="0" w:line="240" w:lineRule="auto"/>
              <w:jc w:val="center"/>
              <w:rPr>
                <w:rFonts w:eastAsiaTheme="minorEastAsia"/>
                <w:kern w:val="2"/>
                <w:sz w:val="20"/>
                <w:szCs w:val="20"/>
                <w:lang w:val="en-US" w:eastAsia="zh-CN"/>
              </w:rPr>
            </w:pPr>
          </w:p>
        </w:tc>
        <w:tc>
          <w:tcPr>
            <w:tcW w:w="1316" w:type="dxa"/>
            <w:tcBorders>
              <w:top w:val="single" w:sz="12" w:space="0" w:color="auto"/>
              <w:bottom w:val="single" w:sz="8"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Second-pass reading time</w:t>
            </w:r>
          </w:p>
        </w:tc>
        <w:tc>
          <w:tcPr>
            <w:tcW w:w="1498" w:type="dxa"/>
            <w:tcBorders>
              <w:top w:val="single" w:sz="12" w:space="0" w:color="auto"/>
              <w:bottom w:val="single" w:sz="8"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Summary score</w:t>
            </w:r>
          </w:p>
        </w:tc>
      </w:tr>
      <w:tr w:rsidR="004D2580">
        <w:tc>
          <w:tcPr>
            <w:tcW w:w="1569" w:type="dxa"/>
            <w:vMerge w:val="restart"/>
            <w:tcBorders>
              <w:top w:val="single" w:sz="8" w:space="0" w:color="auto"/>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hint="eastAsia"/>
                <w:kern w:val="2"/>
                <w:sz w:val="20"/>
                <w:szCs w:val="20"/>
                <w:lang w:val="en-US" w:eastAsia="zh-CN"/>
              </w:rPr>
              <w:t>FLRs</w:t>
            </w:r>
          </w:p>
        </w:tc>
        <w:tc>
          <w:tcPr>
            <w:tcW w:w="1538" w:type="dxa"/>
            <w:vMerge w:val="restart"/>
            <w:tcBorders>
              <w:top w:val="single" w:sz="8" w:space="0" w:color="auto"/>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Topic </w:t>
            </w:r>
            <w:r>
              <w:rPr>
                <w:rFonts w:eastAsiaTheme="minorEastAsia"/>
                <w:kern w:val="2"/>
                <w:sz w:val="20"/>
                <w:szCs w:val="20"/>
                <w:lang w:val="en-US" w:eastAsia="zh-CN"/>
              </w:rPr>
              <w:t>sentence</w:t>
            </w:r>
          </w:p>
        </w:tc>
        <w:tc>
          <w:tcPr>
            <w:tcW w:w="2385" w:type="dxa"/>
            <w:tcBorders>
              <w:top w:val="single" w:sz="8" w:space="0" w:color="auto"/>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single" w:sz="8" w:space="0" w:color="auto"/>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-.125</w:t>
            </w:r>
          </w:p>
        </w:tc>
        <w:tc>
          <w:tcPr>
            <w:tcW w:w="1498" w:type="dxa"/>
            <w:tcBorders>
              <w:top w:val="single" w:sz="8" w:space="0" w:color="auto"/>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-.432*</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.193</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Media</w:t>
            </w:r>
            <w:r>
              <w:rPr>
                <w:kern w:val="2"/>
                <w:sz w:val="20"/>
                <w:lang w:val="en-US"/>
              </w:rPr>
              <w:t>l</w:t>
            </w:r>
            <w:r>
              <w:rPr>
                <w:rFonts w:eastAsiaTheme="minorEastAsia" w:hint="eastAsia"/>
                <w:kern w:val="2"/>
                <w:sz w:val="20"/>
                <w:szCs w:val="20"/>
                <w:lang w:val="en-US" w:eastAsia="zh-CN"/>
              </w:rPr>
              <w:t xml:space="preserve">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-.054</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.032</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-.074</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End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.254</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.002</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.111</w:t>
            </w:r>
          </w:p>
        </w:tc>
      </w:tr>
      <w:tr w:rsidR="004D2580">
        <w:tc>
          <w:tcPr>
            <w:tcW w:w="1569" w:type="dxa"/>
            <w:vMerge w:val="restart"/>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SLRs</w:t>
            </w: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Topic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.840*</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-.673</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-.654</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Media</w:t>
            </w:r>
            <w:r>
              <w:rPr>
                <w:kern w:val="2"/>
                <w:sz w:val="20"/>
                <w:lang w:val="en-US"/>
              </w:rPr>
              <w:t>l</w:t>
            </w:r>
            <w:r>
              <w:rPr>
                <w:rFonts w:eastAsiaTheme="minorEastAsia" w:hint="eastAsia"/>
                <w:kern w:val="2"/>
                <w:sz w:val="20"/>
                <w:szCs w:val="20"/>
                <w:lang w:val="en-US" w:eastAsia="zh-CN"/>
              </w:rPr>
              <w:t xml:space="preserve">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-.887*</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.058</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-.303</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End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shd w:val="clear" w:color="auto" w:fill="auto"/>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-.781</w:t>
            </w:r>
          </w:p>
        </w:tc>
        <w:tc>
          <w:tcPr>
            <w:tcW w:w="1498" w:type="dxa"/>
            <w:tcBorders>
              <w:top w:val="nil"/>
              <w:bottom w:val="nil"/>
              <w:right w:val="nil"/>
            </w:tcBorders>
            <w:shd w:val="clear" w:color="auto" w:fill="auto"/>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.263</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-.506</w:t>
            </w:r>
          </w:p>
        </w:tc>
      </w:tr>
      <w:tr w:rsidR="004D2580">
        <w:tc>
          <w:tcPr>
            <w:tcW w:w="1569" w:type="dxa"/>
            <w:vMerge w:val="restart"/>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NSRs</w:t>
            </w: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Topic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-.179</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.194</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.248</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Media</w:t>
            </w:r>
            <w:r>
              <w:rPr>
                <w:kern w:val="2"/>
                <w:sz w:val="20"/>
                <w:lang w:val="en-US"/>
              </w:rPr>
              <w:t>l</w:t>
            </w:r>
            <w:r>
              <w:rPr>
                <w:rFonts w:eastAsiaTheme="minorEastAsia" w:hint="eastAsia"/>
                <w:kern w:val="2"/>
                <w:sz w:val="20"/>
                <w:szCs w:val="20"/>
                <w:lang w:val="en-US" w:eastAsia="zh-CN"/>
              </w:rPr>
              <w:t xml:space="preserve">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-.793*</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-.567</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.263</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End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shd w:val="clear" w:color="auto" w:fill="auto"/>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.151</w:t>
            </w:r>
          </w:p>
        </w:tc>
        <w:tc>
          <w:tcPr>
            <w:tcW w:w="1498" w:type="dxa"/>
            <w:tcBorders>
              <w:top w:val="nil"/>
              <w:bottom w:val="nil"/>
              <w:right w:val="nil"/>
            </w:tcBorders>
            <w:shd w:val="clear" w:color="auto" w:fill="auto"/>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.168</w:t>
            </w:r>
          </w:p>
        </w:tc>
      </w:tr>
      <w:tr w:rsidR="004D2580">
        <w:tc>
          <w:tcPr>
            <w:tcW w:w="1569" w:type="dxa"/>
            <w:vMerge/>
            <w:tcBorders>
              <w:top w:val="nil"/>
              <w:bottom w:val="single" w:sz="12" w:space="0" w:color="auto"/>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single" w:sz="12" w:space="0" w:color="auto"/>
            </w:tcBorders>
          </w:tcPr>
          <w:p w:rsidR="004D2580" w:rsidRDefault="004D2580">
            <w:pPr>
              <w:widowControl w:val="0"/>
              <w:spacing w:after="0" w:line="240" w:lineRule="auto"/>
              <w:jc w:val="center"/>
              <w:rPr>
                <w:rFonts w:eastAsiaTheme="minorEastAsia"/>
                <w:kern w:val="2"/>
                <w:sz w:val="20"/>
                <w:szCs w:val="20"/>
                <w:lang w:val="en-US" w:eastAsia="zh-CN"/>
              </w:rPr>
            </w:pPr>
          </w:p>
        </w:tc>
        <w:tc>
          <w:tcPr>
            <w:tcW w:w="2385" w:type="dxa"/>
            <w:tcBorders>
              <w:top w:val="nil"/>
              <w:bottom w:val="single" w:sz="12" w:space="0" w:color="auto"/>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single" w:sz="12" w:space="0" w:color="auto"/>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single" w:sz="12"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 xml:space="preserve">  .970**</w:t>
            </w:r>
          </w:p>
        </w:tc>
      </w:tr>
    </w:tbl>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Note: *p &lt; .05; **p &lt; .01.</w:t>
      </w:r>
    </w:p>
    <w:p w:rsidR="004D2580" w:rsidRDefault="004D2580">
      <w:pPr>
        <w:widowControl w:val="0"/>
        <w:spacing w:after="0" w:line="240" w:lineRule="auto"/>
        <w:jc w:val="center"/>
        <w:rPr>
          <w:rFonts w:eastAsiaTheme="minorEastAsia"/>
          <w:kern w:val="2"/>
          <w:sz w:val="20"/>
          <w:szCs w:val="20"/>
          <w:lang w:val="en-US" w:eastAsia="zh-CN"/>
        </w:rPr>
      </w:pPr>
    </w:p>
    <w:p w:rsidR="004D2580" w:rsidRDefault="0034511E">
      <w:pPr>
        <w:widowControl w:val="0"/>
        <w:spacing w:after="0" w:line="240" w:lineRule="auto"/>
        <w:rPr>
          <w:rFonts w:eastAsiaTheme="minorEastAsia"/>
          <w:b/>
          <w:kern w:val="2"/>
          <w:sz w:val="20"/>
          <w:szCs w:val="20"/>
          <w:lang w:val="en-US" w:eastAsia="zh-CN"/>
        </w:rPr>
      </w:pPr>
      <w:r>
        <w:rPr>
          <w:rFonts w:eastAsiaTheme="minorEastAsia"/>
          <w:kern w:val="2"/>
          <w:sz w:val="20"/>
          <w:szCs w:val="20"/>
          <w:lang w:val="en-US" w:eastAsia="zh-CN"/>
        </w:rPr>
        <w:br w:type="page"/>
      </w:r>
      <w:r>
        <w:rPr>
          <w:rFonts w:eastAsiaTheme="minorEastAsia"/>
          <w:b/>
          <w:kern w:val="2"/>
          <w:sz w:val="20"/>
          <w:szCs w:val="20"/>
          <w:lang w:val="en-US" w:eastAsia="zh-CN"/>
        </w:rPr>
        <w:lastRenderedPageBreak/>
        <w:t>Table 3</w:t>
      </w:r>
    </w:p>
    <w:p w:rsidR="004D2580" w:rsidRDefault="0034511E">
      <w:pPr>
        <w:widowControl w:val="0"/>
        <w:spacing w:after="100" w:afterAutospacing="1" w:line="240" w:lineRule="auto"/>
        <w:rPr>
          <w:rFonts w:eastAsiaTheme="minorEastAsia"/>
          <w:kern w:val="2"/>
          <w:sz w:val="20"/>
          <w:szCs w:val="20"/>
          <w:lang w:val="en-US" w:eastAsia="zh-CN"/>
        </w:rPr>
      </w:pPr>
      <w:r>
        <w:rPr>
          <w:rFonts w:eastAsiaTheme="minorEastAsia"/>
          <w:kern w:val="2"/>
          <w:sz w:val="20"/>
          <w:szCs w:val="20"/>
          <w:lang w:val="en-US" w:eastAsia="zh-CN"/>
        </w:rPr>
        <w:t>Correlations between fist-pass reading time, second-pass reading time, and summary score in the signaling condition for each reader group</w:t>
      </w:r>
    </w:p>
    <w:tbl>
      <w:tblPr>
        <w:tblStyle w:val="TableGrid"/>
        <w:tblW w:w="830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9"/>
        <w:gridCol w:w="1538"/>
        <w:gridCol w:w="2385"/>
        <w:gridCol w:w="1316"/>
        <w:gridCol w:w="1498"/>
      </w:tblGrid>
      <w:tr w:rsidR="004D2580">
        <w:tc>
          <w:tcPr>
            <w:tcW w:w="1569" w:type="dxa"/>
            <w:tcBorders>
              <w:top w:val="single" w:sz="12" w:space="0" w:color="auto"/>
              <w:bottom w:val="single" w:sz="8"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Reader  Group</w:t>
            </w:r>
          </w:p>
        </w:tc>
        <w:tc>
          <w:tcPr>
            <w:tcW w:w="1538" w:type="dxa"/>
            <w:tcBorders>
              <w:top w:val="single" w:sz="12" w:space="0" w:color="auto"/>
              <w:bottom w:val="single" w:sz="8" w:space="0" w:color="auto"/>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Sentence type</w:t>
            </w:r>
          </w:p>
        </w:tc>
        <w:tc>
          <w:tcPr>
            <w:tcW w:w="2385" w:type="dxa"/>
            <w:tcBorders>
              <w:top w:val="single" w:sz="12" w:space="0" w:color="auto"/>
              <w:bottom w:val="single" w:sz="8" w:space="0" w:color="auto"/>
            </w:tcBorders>
          </w:tcPr>
          <w:p w:rsidR="004D2580" w:rsidRDefault="004D2580">
            <w:pPr>
              <w:widowControl w:val="0"/>
              <w:spacing w:after="0" w:line="240" w:lineRule="auto"/>
              <w:rPr>
                <w:rFonts w:eastAsiaTheme="minorEastAsia"/>
                <w:kern w:val="2"/>
                <w:sz w:val="20"/>
                <w:szCs w:val="20"/>
                <w:lang w:val="en-US" w:eastAsia="zh-CN"/>
              </w:rPr>
            </w:pPr>
          </w:p>
        </w:tc>
        <w:tc>
          <w:tcPr>
            <w:tcW w:w="1316" w:type="dxa"/>
            <w:tcBorders>
              <w:top w:val="single" w:sz="12" w:space="0" w:color="auto"/>
              <w:bottom w:val="single" w:sz="8"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Second-pass reading time</w:t>
            </w:r>
          </w:p>
        </w:tc>
        <w:tc>
          <w:tcPr>
            <w:tcW w:w="1498" w:type="dxa"/>
            <w:tcBorders>
              <w:top w:val="single" w:sz="12" w:space="0" w:color="auto"/>
              <w:bottom w:val="single" w:sz="8"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Summary score</w:t>
            </w:r>
          </w:p>
        </w:tc>
      </w:tr>
      <w:tr w:rsidR="004D2580">
        <w:tc>
          <w:tcPr>
            <w:tcW w:w="1569" w:type="dxa"/>
            <w:vMerge w:val="restart"/>
            <w:tcBorders>
              <w:top w:val="single" w:sz="8" w:space="0" w:color="auto"/>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hint="eastAsia"/>
                <w:kern w:val="2"/>
                <w:sz w:val="20"/>
                <w:szCs w:val="20"/>
                <w:lang w:val="en-US" w:eastAsia="zh-CN"/>
              </w:rPr>
              <w:t>FLRs</w:t>
            </w:r>
          </w:p>
        </w:tc>
        <w:tc>
          <w:tcPr>
            <w:tcW w:w="1538" w:type="dxa"/>
            <w:vMerge w:val="restart"/>
            <w:tcBorders>
              <w:top w:val="single" w:sz="8" w:space="0" w:color="auto"/>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Topic </w:t>
            </w:r>
            <w:r>
              <w:rPr>
                <w:rFonts w:eastAsiaTheme="minorEastAsia"/>
                <w:kern w:val="2"/>
                <w:sz w:val="20"/>
                <w:szCs w:val="20"/>
                <w:lang w:val="en-US" w:eastAsia="zh-CN"/>
              </w:rPr>
              <w:t>sentence</w:t>
            </w:r>
          </w:p>
        </w:tc>
        <w:tc>
          <w:tcPr>
            <w:tcW w:w="2385" w:type="dxa"/>
            <w:tcBorders>
              <w:top w:val="single" w:sz="8" w:space="0" w:color="auto"/>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single" w:sz="8" w:space="0" w:color="auto"/>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-.363</w:t>
            </w:r>
          </w:p>
        </w:tc>
        <w:tc>
          <w:tcPr>
            <w:tcW w:w="1498" w:type="dxa"/>
            <w:tcBorders>
              <w:top w:val="single" w:sz="8" w:space="0" w:color="auto"/>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.090</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-.079</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Media</w:t>
            </w:r>
            <w:r>
              <w:rPr>
                <w:kern w:val="2"/>
                <w:sz w:val="20"/>
                <w:lang w:val="en-US"/>
              </w:rPr>
              <w:t>l</w:t>
            </w:r>
            <w:r>
              <w:rPr>
                <w:rFonts w:eastAsiaTheme="minorEastAsia" w:hint="eastAsia"/>
                <w:kern w:val="2"/>
                <w:sz w:val="20"/>
                <w:szCs w:val="20"/>
                <w:lang w:val="en-US" w:eastAsia="zh-CN"/>
              </w:rPr>
              <w:t xml:space="preserve">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.449*</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.271</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-.138</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End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-.118</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.052</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-.266</w:t>
            </w:r>
          </w:p>
        </w:tc>
      </w:tr>
      <w:tr w:rsidR="004D2580">
        <w:tc>
          <w:tcPr>
            <w:tcW w:w="1569" w:type="dxa"/>
            <w:vMerge w:val="restart"/>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SLRs</w:t>
            </w: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Topic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.357</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-.532</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.025</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Media</w:t>
            </w:r>
            <w:r>
              <w:rPr>
                <w:kern w:val="2"/>
                <w:sz w:val="20"/>
                <w:lang w:val="en-US"/>
              </w:rPr>
              <w:t>l</w:t>
            </w:r>
            <w:r>
              <w:rPr>
                <w:rFonts w:eastAsiaTheme="minorEastAsia" w:hint="eastAsia"/>
                <w:kern w:val="2"/>
                <w:sz w:val="20"/>
                <w:szCs w:val="20"/>
                <w:lang w:val="en-US" w:eastAsia="zh-CN"/>
              </w:rPr>
              <w:t xml:space="preserve">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.064</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-.253</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.135</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End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-.385</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.370</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.308</w:t>
            </w:r>
          </w:p>
        </w:tc>
      </w:tr>
      <w:tr w:rsidR="004D2580">
        <w:tc>
          <w:tcPr>
            <w:tcW w:w="1569" w:type="dxa"/>
            <w:vMerge w:val="restart"/>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NSRs</w:t>
            </w: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Topic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-.438</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.448</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-.159</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Media</w:t>
            </w:r>
            <w:r>
              <w:rPr>
                <w:kern w:val="2"/>
                <w:sz w:val="20"/>
                <w:lang w:val="en-US"/>
              </w:rPr>
              <w:t>l</w:t>
            </w:r>
            <w:r>
              <w:rPr>
                <w:rFonts w:eastAsiaTheme="minorEastAsia" w:hint="eastAsia"/>
                <w:kern w:val="2"/>
                <w:sz w:val="20"/>
                <w:szCs w:val="20"/>
                <w:lang w:val="en-US" w:eastAsia="zh-CN"/>
              </w:rPr>
              <w:t xml:space="preserve">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-.274</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-.121</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.258</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End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-.298</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-.324</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.669</w:t>
            </w:r>
          </w:p>
        </w:tc>
      </w:tr>
      <w:tr w:rsidR="004D2580">
        <w:tc>
          <w:tcPr>
            <w:tcW w:w="1569" w:type="dxa"/>
            <w:vMerge w:val="restart"/>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TSPs</w:t>
            </w: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Topic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-.295</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-.404</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-.057</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Media</w:t>
            </w:r>
            <w:r>
              <w:rPr>
                <w:kern w:val="2"/>
                <w:sz w:val="20"/>
                <w:lang w:val="en-US"/>
              </w:rPr>
              <w:t>l</w:t>
            </w:r>
            <w:r>
              <w:rPr>
                <w:rFonts w:eastAsiaTheme="minorEastAsia" w:hint="eastAsia"/>
                <w:kern w:val="2"/>
                <w:sz w:val="20"/>
                <w:szCs w:val="20"/>
                <w:lang w:val="en-US" w:eastAsia="zh-CN"/>
              </w:rPr>
              <w:t xml:space="preserve">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-.509</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.032</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-.525</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End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-.632</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.147</w:t>
            </w:r>
          </w:p>
        </w:tc>
      </w:tr>
      <w:tr w:rsidR="004D2580">
        <w:tc>
          <w:tcPr>
            <w:tcW w:w="1569" w:type="dxa"/>
            <w:vMerge/>
            <w:tcBorders>
              <w:top w:val="nil"/>
              <w:bottom w:val="single" w:sz="12" w:space="0" w:color="auto"/>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single" w:sz="12" w:space="0" w:color="auto"/>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single" w:sz="12" w:space="0" w:color="auto"/>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single" w:sz="12" w:space="0" w:color="auto"/>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single" w:sz="12" w:space="0" w:color="auto"/>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-.388</w:t>
            </w:r>
          </w:p>
        </w:tc>
      </w:tr>
    </w:tbl>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Note: *p &lt; .05.</w:t>
      </w:r>
    </w:p>
    <w:p w:rsidR="004D2580" w:rsidRDefault="004D2580">
      <w:pPr>
        <w:widowControl w:val="0"/>
        <w:spacing w:after="0" w:line="240" w:lineRule="auto"/>
        <w:jc w:val="center"/>
        <w:rPr>
          <w:rFonts w:eastAsiaTheme="minorEastAsia"/>
          <w:kern w:val="2"/>
          <w:sz w:val="20"/>
          <w:szCs w:val="20"/>
          <w:lang w:val="en-US" w:eastAsia="zh-CN"/>
        </w:rPr>
      </w:pPr>
    </w:p>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br w:type="page"/>
      </w:r>
    </w:p>
    <w:p w:rsidR="004D2580" w:rsidRDefault="0034511E">
      <w:pPr>
        <w:widowControl w:val="0"/>
        <w:spacing w:after="0" w:line="240" w:lineRule="auto"/>
        <w:rPr>
          <w:rFonts w:eastAsiaTheme="minorEastAsia"/>
          <w:b/>
          <w:kern w:val="2"/>
          <w:sz w:val="20"/>
          <w:szCs w:val="20"/>
          <w:lang w:val="en-US" w:eastAsia="zh-CN"/>
        </w:rPr>
      </w:pPr>
      <w:r>
        <w:rPr>
          <w:rFonts w:eastAsiaTheme="minorEastAsia"/>
          <w:b/>
          <w:kern w:val="2"/>
          <w:sz w:val="20"/>
          <w:szCs w:val="20"/>
          <w:lang w:val="en-US" w:eastAsia="zh-CN"/>
        </w:rPr>
        <w:lastRenderedPageBreak/>
        <w:t>Table 4</w:t>
      </w:r>
    </w:p>
    <w:p w:rsidR="004D2580" w:rsidRDefault="0034511E">
      <w:pPr>
        <w:widowControl w:val="0"/>
        <w:spacing w:after="100" w:afterAutospacing="1" w:line="240" w:lineRule="auto"/>
        <w:rPr>
          <w:rFonts w:eastAsiaTheme="minorEastAsia"/>
          <w:kern w:val="2"/>
          <w:sz w:val="20"/>
          <w:szCs w:val="20"/>
          <w:lang w:val="en-US" w:eastAsia="zh-CN"/>
        </w:rPr>
      </w:pPr>
      <w:r>
        <w:rPr>
          <w:rFonts w:eastAsiaTheme="minorEastAsia"/>
          <w:kern w:val="2"/>
          <w:sz w:val="20"/>
          <w:szCs w:val="20"/>
          <w:lang w:val="en-US" w:eastAsia="zh-CN"/>
        </w:rPr>
        <w:t>Correlations between fist-pass reading time, second-pass reading time, and summary score in the no signaling condition for each reader group</w:t>
      </w:r>
    </w:p>
    <w:tbl>
      <w:tblPr>
        <w:tblStyle w:val="TableGrid"/>
        <w:tblW w:w="830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9"/>
        <w:gridCol w:w="1538"/>
        <w:gridCol w:w="2385"/>
        <w:gridCol w:w="1316"/>
        <w:gridCol w:w="1498"/>
      </w:tblGrid>
      <w:tr w:rsidR="004D2580">
        <w:tc>
          <w:tcPr>
            <w:tcW w:w="1569" w:type="dxa"/>
            <w:tcBorders>
              <w:top w:val="single" w:sz="12" w:space="0" w:color="auto"/>
              <w:bottom w:val="single" w:sz="8"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Reader  Group</w:t>
            </w:r>
          </w:p>
        </w:tc>
        <w:tc>
          <w:tcPr>
            <w:tcW w:w="1538" w:type="dxa"/>
            <w:tcBorders>
              <w:top w:val="single" w:sz="12" w:space="0" w:color="auto"/>
              <w:bottom w:val="single" w:sz="8"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hint="eastAsia"/>
                <w:kern w:val="2"/>
                <w:sz w:val="20"/>
                <w:szCs w:val="20"/>
                <w:lang w:val="en-US" w:eastAsia="zh-CN"/>
              </w:rPr>
              <w:t>Sentence type</w:t>
            </w:r>
          </w:p>
        </w:tc>
        <w:tc>
          <w:tcPr>
            <w:tcW w:w="2385" w:type="dxa"/>
            <w:tcBorders>
              <w:top w:val="single" w:sz="12" w:space="0" w:color="auto"/>
              <w:bottom w:val="single" w:sz="8" w:space="0" w:color="auto"/>
            </w:tcBorders>
          </w:tcPr>
          <w:p w:rsidR="004D2580" w:rsidRDefault="004D2580">
            <w:pPr>
              <w:widowControl w:val="0"/>
              <w:spacing w:after="0" w:line="240" w:lineRule="auto"/>
              <w:jc w:val="center"/>
              <w:rPr>
                <w:rFonts w:eastAsiaTheme="minorEastAsia"/>
                <w:kern w:val="2"/>
                <w:sz w:val="20"/>
                <w:szCs w:val="20"/>
                <w:lang w:val="en-US" w:eastAsia="zh-CN"/>
              </w:rPr>
            </w:pPr>
          </w:p>
        </w:tc>
        <w:tc>
          <w:tcPr>
            <w:tcW w:w="1316" w:type="dxa"/>
            <w:tcBorders>
              <w:top w:val="single" w:sz="12" w:space="0" w:color="auto"/>
              <w:bottom w:val="single" w:sz="8"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Second-pass reading time</w:t>
            </w:r>
          </w:p>
        </w:tc>
        <w:tc>
          <w:tcPr>
            <w:tcW w:w="1498" w:type="dxa"/>
            <w:tcBorders>
              <w:top w:val="single" w:sz="12" w:space="0" w:color="auto"/>
              <w:bottom w:val="single" w:sz="8" w:space="0" w:color="auto"/>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Summary score</w:t>
            </w:r>
          </w:p>
        </w:tc>
      </w:tr>
      <w:tr w:rsidR="004D2580">
        <w:tc>
          <w:tcPr>
            <w:tcW w:w="1569" w:type="dxa"/>
            <w:vMerge w:val="restart"/>
            <w:tcBorders>
              <w:top w:val="single" w:sz="8" w:space="0" w:color="auto"/>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hint="eastAsia"/>
                <w:kern w:val="2"/>
                <w:sz w:val="20"/>
                <w:szCs w:val="20"/>
                <w:lang w:val="en-US" w:eastAsia="zh-CN"/>
              </w:rPr>
              <w:t>FLRs</w:t>
            </w:r>
          </w:p>
        </w:tc>
        <w:tc>
          <w:tcPr>
            <w:tcW w:w="1538" w:type="dxa"/>
            <w:vMerge w:val="restart"/>
            <w:tcBorders>
              <w:top w:val="single" w:sz="8" w:space="0" w:color="auto"/>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Topic </w:t>
            </w:r>
            <w:r>
              <w:rPr>
                <w:rFonts w:eastAsiaTheme="minorEastAsia"/>
                <w:kern w:val="2"/>
                <w:sz w:val="20"/>
                <w:szCs w:val="20"/>
                <w:lang w:val="en-US" w:eastAsia="zh-CN"/>
              </w:rPr>
              <w:t>sentence</w:t>
            </w:r>
          </w:p>
        </w:tc>
        <w:tc>
          <w:tcPr>
            <w:tcW w:w="2385" w:type="dxa"/>
            <w:tcBorders>
              <w:top w:val="single" w:sz="8" w:space="0" w:color="auto"/>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single" w:sz="8" w:space="0" w:color="auto"/>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.159</w:t>
            </w:r>
          </w:p>
        </w:tc>
        <w:tc>
          <w:tcPr>
            <w:tcW w:w="1498" w:type="dxa"/>
            <w:tcBorders>
              <w:top w:val="single" w:sz="8" w:space="0" w:color="auto"/>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-.184</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.209</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Media</w:t>
            </w:r>
            <w:r>
              <w:rPr>
                <w:kern w:val="2"/>
                <w:sz w:val="20"/>
                <w:lang w:val="en-US"/>
              </w:rPr>
              <w:t>l</w:t>
            </w:r>
            <w:r>
              <w:rPr>
                <w:rFonts w:eastAsiaTheme="minorEastAsia" w:hint="eastAsia"/>
                <w:kern w:val="2"/>
                <w:sz w:val="20"/>
                <w:szCs w:val="20"/>
                <w:lang w:val="en-US" w:eastAsia="zh-CN"/>
              </w:rPr>
              <w:t xml:space="preserve">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-.020</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.133</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-.286</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End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.643**</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-.088</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-.421</w:t>
            </w:r>
          </w:p>
        </w:tc>
      </w:tr>
      <w:tr w:rsidR="004D2580">
        <w:tc>
          <w:tcPr>
            <w:tcW w:w="1569" w:type="dxa"/>
            <w:vMerge w:val="restart"/>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SLRs</w:t>
            </w: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Topic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.702*</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.171</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-.235</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Media</w:t>
            </w:r>
            <w:r>
              <w:rPr>
                <w:kern w:val="2"/>
                <w:sz w:val="20"/>
                <w:lang w:val="en-US"/>
              </w:rPr>
              <w:t>l</w:t>
            </w:r>
            <w:r>
              <w:rPr>
                <w:rFonts w:eastAsiaTheme="minorEastAsia" w:hint="eastAsia"/>
                <w:kern w:val="2"/>
                <w:sz w:val="20"/>
                <w:szCs w:val="20"/>
                <w:lang w:val="en-US" w:eastAsia="zh-CN"/>
              </w:rPr>
              <w:t xml:space="preserve">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.236</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.639*</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.022</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End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.076</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.534</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-.247</w:t>
            </w:r>
          </w:p>
        </w:tc>
      </w:tr>
      <w:tr w:rsidR="004D2580">
        <w:tc>
          <w:tcPr>
            <w:tcW w:w="1569" w:type="dxa"/>
            <w:vMerge w:val="restart"/>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NSRs</w:t>
            </w: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Topic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-.546</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-.055</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.610</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Media</w:t>
            </w:r>
            <w:r>
              <w:rPr>
                <w:kern w:val="2"/>
                <w:sz w:val="20"/>
                <w:lang w:val="en-US"/>
              </w:rPr>
              <w:t>l</w:t>
            </w:r>
            <w:r>
              <w:rPr>
                <w:rFonts w:eastAsiaTheme="minorEastAsia" w:hint="eastAsia"/>
                <w:kern w:val="2"/>
                <w:sz w:val="20"/>
                <w:szCs w:val="20"/>
                <w:lang w:val="en-US" w:eastAsia="zh-CN"/>
              </w:rPr>
              <w:t xml:space="preserve">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.543</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-.357</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-.205</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End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.267</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-.069</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-.173</w:t>
            </w:r>
          </w:p>
        </w:tc>
      </w:tr>
      <w:tr w:rsidR="004D2580">
        <w:tc>
          <w:tcPr>
            <w:tcW w:w="1569" w:type="dxa"/>
            <w:vMerge w:val="restart"/>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TSPs</w:t>
            </w: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Topic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-.616</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-.502</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.141</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Media</w:t>
            </w:r>
            <w:r>
              <w:rPr>
                <w:kern w:val="2"/>
                <w:sz w:val="20"/>
                <w:lang w:val="en-US"/>
              </w:rPr>
              <w:t>l</w:t>
            </w:r>
            <w:r>
              <w:rPr>
                <w:rFonts w:eastAsiaTheme="minorEastAsia" w:hint="eastAsia"/>
                <w:kern w:val="2"/>
                <w:sz w:val="20"/>
                <w:szCs w:val="20"/>
                <w:lang w:val="en-US" w:eastAsia="zh-CN"/>
              </w:rPr>
              <w:t xml:space="preserve">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-.373</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.456</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nil"/>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nil"/>
            </w:tcBorders>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-.538</w:t>
            </w:r>
          </w:p>
        </w:tc>
      </w:tr>
      <w:tr w:rsidR="004D2580">
        <w:tc>
          <w:tcPr>
            <w:tcW w:w="1569" w:type="dxa"/>
            <w:vMerge/>
            <w:tcBorders>
              <w:top w:val="nil"/>
              <w:bottom w:val="nil"/>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val="restart"/>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End sentence</w:t>
            </w:r>
          </w:p>
        </w:tc>
        <w:tc>
          <w:tcPr>
            <w:tcW w:w="2385" w:type="dxa"/>
            <w:tcBorders>
              <w:top w:val="nil"/>
              <w:bottom w:val="nil"/>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First</w:t>
            </w:r>
            <w:r>
              <w:rPr>
                <w:rFonts w:eastAsiaTheme="minorEastAsia" w:hint="eastAsia"/>
                <w:kern w:val="2"/>
                <w:sz w:val="20"/>
                <w:szCs w:val="20"/>
                <w:lang w:val="en-US" w:eastAsia="zh-CN"/>
              </w:rPr>
              <w:t xml:space="preserve">-pass </w:t>
            </w:r>
            <w:r>
              <w:rPr>
                <w:rFonts w:eastAsiaTheme="minorEastAsia"/>
                <w:kern w:val="2"/>
                <w:sz w:val="20"/>
                <w:szCs w:val="20"/>
                <w:lang w:val="en-US" w:eastAsia="zh-CN"/>
              </w:rPr>
              <w:t>reading time</w:t>
            </w:r>
          </w:p>
        </w:tc>
        <w:tc>
          <w:tcPr>
            <w:tcW w:w="1316"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.637</w:t>
            </w:r>
          </w:p>
        </w:tc>
        <w:tc>
          <w:tcPr>
            <w:tcW w:w="1498" w:type="dxa"/>
            <w:tcBorders>
              <w:top w:val="nil"/>
              <w:bottom w:val="nil"/>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-.716</w:t>
            </w:r>
          </w:p>
        </w:tc>
      </w:tr>
      <w:tr w:rsidR="004D2580">
        <w:tc>
          <w:tcPr>
            <w:tcW w:w="1569" w:type="dxa"/>
            <w:vMerge/>
            <w:tcBorders>
              <w:top w:val="nil"/>
              <w:bottom w:val="single" w:sz="12" w:space="0" w:color="auto"/>
            </w:tcBorders>
          </w:tcPr>
          <w:p w:rsidR="004D2580" w:rsidRDefault="004D2580">
            <w:pPr>
              <w:widowControl w:val="0"/>
              <w:spacing w:after="0" w:line="240" w:lineRule="auto"/>
              <w:jc w:val="center"/>
              <w:rPr>
                <w:rFonts w:eastAsiaTheme="minorEastAsia"/>
                <w:kern w:val="2"/>
                <w:sz w:val="20"/>
                <w:szCs w:val="20"/>
                <w:lang w:val="en-US" w:eastAsia="zh-CN"/>
              </w:rPr>
            </w:pPr>
          </w:p>
        </w:tc>
        <w:tc>
          <w:tcPr>
            <w:tcW w:w="1538" w:type="dxa"/>
            <w:vMerge/>
            <w:tcBorders>
              <w:top w:val="nil"/>
              <w:bottom w:val="single" w:sz="12" w:space="0" w:color="auto"/>
            </w:tcBorders>
          </w:tcPr>
          <w:p w:rsidR="004D2580" w:rsidRDefault="004D2580">
            <w:pPr>
              <w:widowControl w:val="0"/>
              <w:spacing w:after="0" w:line="240" w:lineRule="auto"/>
              <w:rPr>
                <w:rFonts w:eastAsiaTheme="minorEastAsia"/>
                <w:kern w:val="2"/>
                <w:sz w:val="20"/>
                <w:szCs w:val="20"/>
                <w:lang w:val="en-US" w:eastAsia="zh-CN"/>
              </w:rPr>
            </w:pPr>
          </w:p>
        </w:tc>
        <w:tc>
          <w:tcPr>
            <w:tcW w:w="2385" w:type="dxa"/>
            <w:tcBorders>
              <w:top w:val="nil"/>
              <w:bottom w:val="single" w:sz="12" w:space="0" w:color="auto"/>
            </w:tcBorders>
          </w:tcPr>
          <w:p w:rsidR="004D2580" w:rsidRDefault="0034511E">
            <w:pPr>
              <w:widowControl w:val="0"/>
              <w:spacing w:after="0" w:line="240" w:lineRule="auto"/>
              <w:rPr>
                <w:rFonts w:eastAsiaTheme="minorEastAsia"/>
                <w:kern w:val="2"/>
                <w:sz w:val="20"/>
                <w:szCs w:val="20"/>
                <w:lang w:val="en-US" w:eastAsia="zh-CN"/>
              </w:rPr>
            </w:pPr>
            <w:r>
              <w:rPr>
                <w:rFonts w:eastAsiaTheme="minorEastAsia" w:hint="eastAsia"/>
                <w:kern w:val="2"/>
                <w:sz w:val="20"/>
                <w:szCs w:val="20"/>
                <w:lang w:val="en-US" w:eastAsia="zh-CN"/>
              </w:rPr>
              <w:t xml:space="preserve">Second-pass </w:t>
            </w:r>
            <w:r>
              <w:rPr>
                <w:rFonts w:eastAsiaTheme="minorEastAsia"/>
                <w:kern w:val="2"/>
                <w:sz w:val="20"/>
                <w:szCs w:val="20"/>
                <w:lang w:val="en-US" w:eastAsia="zh-CN"/>
              </w:rPr>
              <w:t>reading time</w:t>
            </w:r>
          </w:p>
        </w:tc>
        <w:tc>
          <w:tcPr>
            <w:tcW w:w="1316" w:type="dxa"/>
            <w:tcBorders>
              <w:top w:val="nil"/>
              <w:bottom w:val="single" w:sz="12" w:space="0" w:color="auto"/>
            </w:tcBorders>
          </w:tcPr>
          <w:p w:rsidR="004D2580" w:rsidRDefault="004D2580">
            <w:pPr>
              <w:widowControl w:val="0"/>
              <w:spacing w:after="0" w:line="240" w:lineRule="auto"/>
              <w:jc w:val="center"/>
              <w:rPr>
                <w:rFonts w:eastAsiaTheme="minorEastAsia"/>
                <w:kern w:val="2"/>
                <w:sz w:val="20"/>
                <w:szCs w:val="20"/>
                <w:lang w:val="en-US" w:eastAsia="zh-CN"/>
              </w:rPr>
            </w:pPr>
          </w:p>
        </w:tc>
        <w:tc>
          <w:tcPr>
            <w:tcW w:w="1498" w:type="dxa"/>
            <w:tcBorders>
              <w:top w:val="nil"/>
              <w:bottom w:val="single" w:sz="12" w:space="0" w:color="auto"/>
            </w:tcBorders>
            <w:vAlign w:val="center"/>
          </w:tcPr>
          <w:p w:rsidR="004D2580" w:rsidRDefault="0034511E">
            <w:pPr>
              <w:widowControl w:val="0"/>
              <w:spacing w:after="0" w:line="240" w:lineRule="auto"/>
              <w:jc w:val="center"/>
              <w:rPr>
                <w:rFonts w:eastAsiaTheme="minorEastAsia"/>
                <w:kern w:val="2"/>
                <w:sz w:val="20"/>
                <w:szCs w:val="20"/>
                <w:lang w:val="en-US" w:eastAsia="zh-CN"/>
              </w:rPr>
            </w:pPr>
            <w:r>
              <w:rPr>
                <w:rFonts w:eastAsiaTheme="minorEastAsia"/>
                <w:kern w:val="2"/>
                <w:sz w:val="20"/>
                <w:szCs w:val="20"/>
                <w:lang w:val="en-US" w:eastAsia="zh-CN"/>
              </w:rPr>
              <w:t>-.202</w:t>
            </w:r>
          </w:p>
        </w:tc>
      </w:tr>
    </w:tbl>
    <w:p w:rsidR="004D2580" w:rsidRDefault="0034511E">
      <w:pPr>
        <w:widowControl w:val="0"/>
        <w:spacing w:after="0" w:line="240" w:lineRule="auto"/>
        <w:rPr>
          <w:rFonts w:eastAsiaTheme="minorEastAsia"/>
          <w:kern w:val="2"/>
          <w:sz w:val="20"/>
          <w:szCs w:val="20"/>
          <w:lang w:val="en-US" w:eastAsia="zh-CN"/>
        </w:rPr>
      </w:pPr>
      <w:r>
        <w:rPr>
          <w:rFonts w:eastAsiaTheme="minorEastAsia"/>
          <w:kern w:val="2"/>
          <w:sz w:val="20"/>
          <w:szCs w:val="20"/>
          <w:lang w:val="en-US" w:eastAsia="zh-CN"/>
        </w:rPr>
        <w:t>Note: *p &lt; .05; **p &lt; .01.</w:t>
      </w:r>
    </w:p>
    <w:sectPr w:rsidR="004D2580" w:rsidSect="0034511E">
      <w:type w:val="continuous"/>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1D21" w:rsidRDefault="00321D21">
      <w:pPr>
        <w:spacing w:after="0" w:line="240" w:lineRule="auto"/>
      </w:pPr>
      <w:r>
        <w:separator/>
      </w:r>
    </w:p>
  </w:endnote>
  <w:endnote w:type="continuationSeparator" w:id="0">
    <w:p w:rsidR="00321D21" w:rsidRDefault="00321D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engXian">
    <w:altName w:val="Arial Unicode MS"/>
    <w:charset w:val="86"/>
    <w:family w:val="auto"/>
    <w:pitch w:val="variable"/>
    <w:sig w:usb0="00000000" w:usb1="38CF7CFA" w:usb2="00000016" w:usb3="00000000" w:csb0="0004000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AFF" w:usb1="C0007843" w:usb2="00000009" w:usb3="00000000" w:csb0="000001FF" w:csb1="00000000"/>
  </w:font>
  <w:font w:name="AdvSTP_PSTimR">
    <w:altName w:val="Times New Roman"/>
    <w:charset w:val="00"/>
    <w:family w:val="roman"/>
    <w:pitch w:val="default"/>
    <w:sig w:usb0="00000000" w:usb1="00000000" w:usb2="00000000" w:usb3="00000000" w:csb0="00040001" w:csb1="00000000"/>
  </w:font>
  <w:font w:name="AdvOTf9433e2d+fb">
    <w:altName w:val="Times New Roman"/>
    <w:charset w:val="00"/>
    <w:family w:val="roman"/>
    <w:pitch w:val="default"/>
    <w:sig w:usb0="00000000" w:usb1="00000000" w:usb2="00000000" w:usb3="00000000" w:csb0="00040001" w:csb1="00000000"/>
  </w:font>
  <w:font w:name="SabonLTStd-Italic">
    <w:altName w:val="Times New Roman"/>
    <w:charset w:val="00"/>
    <w:family w:val="roman"/>
    <w:pitch w:val="default"/>
    <w:sig w:usb0="00000000" w:usb1="00000000" w:usb2="00000000" w:usb3="00000000" w:csb0="00040001" w:csb1="00000000"/>
  </w:font>
  <w:font w:name="SabonLTStd-Bold">
    <w:altName w:val="Times New Roman"/>
    <w:charset w:val="00"/>
    <w:family w:val="roman"/>
    <w:pitch w:val="default"/>
    <w:sig w:usb0="00000000" w:usb1="00000000" w:usb2="00000000" w:usb3="00000000" w:csb0="00040001" w:csb1="00000000"/>
  </w:font>
  <w:font w:name="sans-serif">
    <w:altName w:val="微软雅黑"/>
    <w:charset w:val="00"/>
    <w:family w:val="auto"/>
    <w:pitch w:val="default"/>
    <w:sig w:usb0="00000000" w:usb1="00000000" w:usb2="00000000" w:usb3="00000000" w:csb0="00040001"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511E" w:rsidRDefault="0034511E">
    <w:pPr>
      <w:pStyle w:val="Footer"/>
      <w:jc w:val="right"/>
    </w:pPr>
    <w:r>
      <w:fldChar w:fldCharType="begin"/>
    </w:r>
    <w:r>
      <w:instrText xml:space="preserve"> PAGE </w:instrText>
    </w:r>
    <w:r>
      <w:fldChar w:fldCharType="separate"/>
    </w:r>
    <w:r w:rsidR="003D5D6F">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1D21" w:rsidRDefault="00321D21">
      <w:pPr>
        <w:spacing w:after="0" w:line="240" w:lineRule="auto"/>
      </w:pPr>
      <w:r>
        <w:separator/>
      </w:r>
    </w:p>
  </w:footnote>
  <w:footnote w:type="continuationSeparator" w:id="0">
    <w:p w:rsidR="00321D21" w:rsidRDefault="00321D2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511E" w:rsidRDefault="0034511E">
    <w:pPr>
      <w:pStyle w:val="Header"/>
      <w:jc w:val="left"/>
      <w:rPr>
        <w:color w:val="000000" w:themeColor="text1"/>
        <w:sz w:val="22"/>
        <w:szCs w:val="22"/>
      </w:rPr>
    </w:pPr>
    <w:r>
      <w:rPr>
        <w:rFonts w:hint="eastAsia"/>
        <w:color w:val="000000" w:themeColor="text1"/>
        <w:sz w:val="22"/>
        <w:szCs w:val="22"/>
        <w:lang w:eastAsia="zh-CN"/>
      </w:rPr>
      <w:t xml:space="preserve">How task instructions and topic </w:t>
    </w:r>
    <w:proofErr w:type="spellStart"/>
    <w:r>
      <w:rPr>
        <w:color w:val="000000" w:themeColor="text1"/>
        <w:sz w:val="22"/>
        <w:szCs w:val="22"/>
        <w:lang w:eastAsia="zh-CN"/>
      </w:rPr>
      <w:t>signaling</w:t>
    </w:r>
    <w:proofErr w:type="spellEnd"/>
    <w:r>
      <w:rPr>
        <w:rFonts w:hint="eastAsia"/>
        <w:color w:val="000000" w:themeColor="text1"/>
        <w:sz w:val="22"/>
        <w:szCs w:val="22"/>
        <w:lang w:eastAsia="zh-CN"/>
      </w:rPr>
      <w:t xml:space="preserve"> affect text processing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AE26C0"/>
    <w:multiLevelType w:val="multilevel"/>
    <w:tmpl w:val="5DAE26C0"/>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7"/>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7A4D1F"/>
    <w:rsid w:val="000001CF"/>
    <w:rsid w:val="00000A8B"/>
    <w:rsid w:val="000010EF"/>
    <w:rsid w:val="0000224B"/>
    <w:rsid w:val="000022B4"/>
    <w:rsid w:val="000026CD"/>
    <w:rsid w:val="000037C8"/>
    <w:rsid w:val="000038E7"/>
    <w:rsid w:val="0000473F"/>
    <w:rsid w:val="0000568C"/>
    <w:rsid w:val="000064D6"/>
    <w:rsid w:val="00006ECA"/>
    <w:rsid w:val="00007F80"/>
    <w:rsid w:val="000102DD"/>
    <w:rsid w:val="0001046D"/>
    <w:rsid w:val="00010732"/>
    <w:rsid w:val="0001253E"/>
    <w:rsid w:val="00012DD8"/>
    <w:rsid w:val="00014BBC"/>
    <w:rsid w:val="00016903"/>
    <w:rsid w:val="0001749F"/>
    <w:rsid w:val="00017605"/>
    <w:rsid w:val="00017DAF"/>
    <w:rsid w:val="00017DC3"/>
    <w:rsid w:val="000226BF"/>
    <w:rsid w:val="00022D13"/>
    <w:rsid w:val="000232F1"/>
    <w:rsid w:val="00023680"/>
    <w:rsid w:val="0002388A"/>
    <w:rsid w:val="00023963"/>
    <w:rsid w:val="000239E1"/>
    <w:rsid w:val="00023B83"/>
    <w:rsid w:val="00023EFC"/>
    <w:rsid w:val="00023F64"/>
    <w:rsid w:val="00024FD8"/>
    <w:rsid w:val="00025879"/>
    <w:rsid w:val="00025C13"/>
    <w:rsid w:val="00026687"/>
    <w:rsid w:val="00026783"/>
    <w:rsid w:val="000272D6"/>
    <w:rsid w:val="00030B91"/>
    <w:rsid w:val="00030CFC"/>
    <w:rsid w:val="00031297"/>
    <w:rsid w:val="00031831"/>
    <w:rsid w:val="00031ACA"/>
    <w:rsid w:val="00031E90"/>
    <w:rsid w:val="00032816"/>
    <w:rsid w:val="00032D24"/>
    <w:rsid w:val="0003309E"/>
    <w:rsid w:val="0003426E"/>
    <w:rsid w:val="0003599C"/>
    <w:rsid w:val="00035B00"/>
    <w:rsid w:val="00036CDE"/>
    <w:rsid w:val="00036F4D"/>
    <w:rsid w:val="00037258"/>
    <w:rsid w:val="000372F8"/>
    <w:rsid w:val="00040841"/>
    <w:rsid w:val="0004085C"/>
    <w:rsid w:val="00041619"/>
    <w:rsid w:val="00041D8B"/>
    <w:rsid w:val="000423DD"/>
    <w:rsid w:val="00042785"/>
    <w:rsid w:val="00043162"/>
    <w:rsid w:val="0004389B"/>
    <w:rsid w:val="000447DF"/>
    <w:rsid w:val="00045716"/>
    <w:rsid w:val="00045824"/>
    <w:rsid w:val="00045E20"/>
    <w:rsid w:val="00047132"/>
    <w:rsid w:val="000508E9"/>
    <w:rsid w:val="00050905"/>
    <w:rsid w:val="00051726"/>
    <w:rsid w:val="00053550"/>
    <w:rsid w:val="0005448B"/>
    <w:rsid w:val="000547FE"/>
    <w:rsid w:val="000548C6"/>
    <w:rsid w:val="00054FF2"/>
    <w:rsid w:val="0005564A"/>
    <w:rsid w:val="00055BA6"/>
    <w:rsid w:val="00056FBA"/>
    <w:rsid w:val="000574D0"/>
    <w:rsid w:val="00057C98"/>
    <w:rsid w:val="000601E2"/>
    <w:rsid w:val="000608A3"/>
    <w:rsid w:val="000618B3"/>
    <w:rsid w:val="00061F5F"/>
    <w:rsid w:val="0006221F"/>
    <w:rsid w:val="00062742"/>
    <w:rsid w:val="00063743"/>
    <w:rsid w:val="000637C2"/>
    <w:rsid w:val="00063B7D"/>
    <w:rsid w:val="00064900"/>
    <w:rsid w:val="00065DF3"/>
    <w:rsid w:val="00067330"/>
    <w:rsid w:val="000679A1"/>
    <w:rsid w:val="000702B5"/>
    <w:rsid w:val="0007044A"/>
    <w:rsid w:val="0007096A"/>
    <w:rsid w:val="00070BA1"/>
    <w:rsid w:val="00071B8E"/>
    <w:rsid w:val="000724B1"/>
    <w:rsid w:val="000726EC"/>
    <w:rsid w:val="000733BD"/>
    <w:rsid w:val="00073E52"/>
    <w:rsid w:val="000741D8"/>
    <w:rsid w:val="00074D66"/>
    <w:rsid w:val="000751B8"/>
    <w:rsid w:val="00076259"/>
    <w:rsid w:val="00076738"/>
    <w:rsid w:val="00076CD9"/>
    <w:rsid w:val="00080C51"/>
    <w:rsid w:val="00080EEB"/>
    <w:rsid w:val="000814AC"/>
    <w:rsid w:val="00081991"/>
    <w:rsid w:val="000820AC"/>
    <w:rsid w:val="000828DD"/>
    <w:rsid w:val="00085597"/>
    <w:rsid w:val="0008688D"/>
    <w:rsid w:val="0009021A"/>
    <w:rsid w:val="0009135A"/>
    <w:rsid w:val="000935EC"/>
    <w:rsid w:val="00093677"/>
    <w:rsid w:val="000941E3"/>
    <w:rsid w:val="0009432C"/>
    <w:rsid w:val="000947DF"/>
    <w:rsid w:val="0009689B"/>
    <w:rsid w:val="00097E74"/>
    <w:rsid w:val="000A04C1"/>
    <w:rsid w:val="000A05D5"/>
    <w:rsid w:val="000A1152"/>
    <w:rsid w:val="000A17DF"/>
    <w:rsid w:val="000A1857"/>
    <w:rsid w:val="000A2C11"/>
    <w:rsid w:val="000A37A3"/>
    <w:rsid w:val="000A4419"/>
    <w:rsid w:val="000A44BE"/>
    <w:rsid w:val="000A4937"/>
    <w:rsid w:val="000A4939"/>
    <w:rsid w:val="000A4E5C"/>
    <w:rsid w:val="000A5F08"/>
    <w:rsid w:val="000A7E80"/>
    <w:rsid w:val="000B041A"/>
    <w:rsid w:val="000B0BF4"/>
    <w:rsid w:val="000B0FA1"/>
    <w:rsid w:val="000B1341"/>
    <w:rsid w:val="000B1571"/>
    <w:rsid w:val="000B2322"/>
    <w:rsid w:val="000B3DFA"/>
    <w:rsid w:val="000B4DA1"/>
    <w:rsid w:val="000B4ED0"/>
    <w:rsid w:val="000B501A"/>
    <w:rsid w:val="000B586C"/>
    <w:rsid w:val="000B58FB"/>
    <w:rsid w:val="000B5922"/>
    <w:rsid w:val="000B5C5C"/>
    <w:rsid w:val="000B6859"/>
    <w:rsid w:val="000B6B1B"/>
    <w:rsid w:val="000B6E64"/>
    <w:rsid w:val="000B72D4"/>
    <w:rsid w:val="000B7F54"/>
    <w:rsid w:val="000C075C"/>
    <w:rsid w:val="000C2C35"/>
    <w:rsid w:val="000C3905"/>
    <w:rsid w:val="000C3AFA"/>
    <w:rsid w:val="000C408C"/>
    <w:rsid w:val="000C4320"/>
    <w:rsid w:val="000C463D"/>
    <w:rsid w:val="000C5E79"/>
    <w:rsid w:val="000C6D9C"/>
    <w:rsid w:val="000C764C"/>
    <w:rsid w:val="000C7662"/>
    <w:rsid w:val="000D0AB5"/>
    <w:rsid w:val="000D0D9C"/>
    <w:rsid w:val="000D2E05"/>
    <w:rsid w:val="000D3921"/>
    <w:rsid w:val="000D40C0"/>
    <w:rsid w:val="000D419C"/>
    <w:rsid w:val="000D4844"/>
    <w:rsid w:val="000D594D"/>
    <w:rsid w:val="000D5DCB"/>
    <w:rsid w:val="000D6483"/>
    <w:rsid w:val="000E05EA"/>
    <w:rsid w:val="000E26B2"/>
    <w:rsid w:val="000E4423"/>
    <w:rsid w:val="000E44DF"/>
    <w:rsid w:val="000E5B57"/>
    <w:rsid w:val="000E637D"/>
    <w:rsid w:val="000E65FB"/>
    <w:rsid w:val="000E6E85"/>
    <w:rsid w:val="000E7575"/>
    <w:rsid w:val="000E76C6"/>
    <w:rsid w:val="000E7B0A"/>
    <w:rsid w:val="000F05B9"/>
    <w:rsid w:val="000F088A"/>
    <w:rsid w:val="000F15B6"/>
    <w:rsid w:val="000F196B"/>
    <w:rsid w:val="000F1D0D"/>
    <w:rsid w:val="000F282A"/>
    <w:rsid w:val="000F28BF"/>
    <w:rsid w:val="000F29A1"/>
    <w:rsid w:val="000F2EE1"/>
    <w:rsid w:val="000F387C"/>
    <w:rsid w:val="000F488B"/>
    <w:rsid w:val="000F4D9E"/>
    <w:rsid w:val="000F6B4E"/>
    <w:rsid w:val="001006F6"/>
    <w:rsid w:val="0010073F"/>
    <w:rsid w:val="00100AC3"/>
    <w:rsid w:val="00100B0E"/>
    <w:rsid w:val="0010158C"/>
    <w:rsid w:val="00101709"/>
    <w:rsid w:val="00102279"/>
    <w:rsid w:val="0010319C"/>
    <w:rsid w:val="00104110"/>
    <w:rsid w:val="0010458D"/>
    <w:rsid w:val="0010460B"/>
    <w:rsid w:val="00104B55"/>
    <w:rsid w:val="00104C18"/>
    <w:rsid w:val="00105E66"/>
    <w:rsid w:val="00106FC1"/>
    <w:rsid w:val="00110D41"/>
    <w:rsid w:val="00110F1C"/>
    <w:rsid w:val="00111C4C"/>
    <w:rsid w:val="00112827"/>
    <w:rsid w:val="001171B0"/>
    <w:rsid w:val="001171DA"/>
    <w:rsid w:val="00121143"/>
    <w:rsid w:val="001217DB"/>
    <w:rsid w:val="001219EE"/>
    <w:rsid w:val="00122122"/>
    <w:rsid w:val="001225A8"/>
    <w:rsid w:val="001229D4"/>
    <w:rsid w:val="00122FD1"/>
    <w:rsid w:val="0012380D"/>
    <w:rsid w:val="00124573"/>
    <w:rsid w:val="00124A5B"/>
    <w:rsid w:val="001262B6"/>
    <w:rsid w:val="001264BA"/>
    <w:rsid w:val="001304BC"/>
    <w:rsid w:val="001316FD"/>
    <w:rsid w:val="0013191B"/>
    <w:rsid w:val="00131DD3"/>
    <w:rsid w:val="001322C4"/>
    <w:rsid w:val="0013265A"/>
    <w:rsid w:val="00132835"/>
    <w:rsid w:val="00132E1F"/>
    <w:rsid w:val="00133945"/>
    <w:rsid w:val="00134CC7"/>
    <w:rsid w:val="001353B8"/>
    <w:rsid w:val="00135446"/>
    <w:rsid w:val="00135A04"/>
    <w:rsid w:val="00135EDF"/>
    <w:rsid w:val="00136052"/>
    <w:rsid w:val="00136836"/>
    <w:rsid w:val="0013711A"/>
    <w:rsid w:val="001371F4"/>
    <w:rsid w:val="00137322"/>
    <w:rsid w:val="0013776E"/>
    <w:rsid w:val="0013784F"/>
    <w:rsid w:val="0014096B"/>
    <w:rsid w:val="00141415"/>
    <w:rsid w:val="00141D69"/>
    <w:rsid w:val="0014213A"/>
    <w:rsid w:val="00142565"/>
    <w:rsid w:val="00143288"/>
    <w:rsid w:val="00143F9B"/>
    <w:rsid w:val="001441BF"/>
    <w:rsid w:val="001442A7"/>
    <w:rsid w:val="0014465C"/>
    <w:rsid w:val="00144A25"/>
    <w:rsid w:val="0014557F"/>
    <w:rsid w:val="0014594A"/>
    <w:rsid w:val="001464FC"/>
    <w:rsid w:val="00146AD5"/>
    <w:rsid w:val="00146B7A"/>
    <w:rsid w:val="0014761F"/>
    <w:rsid w:val="00147C99"/>
    <w:rsid w:val="00147CCD"/>
    <w:rsid w:val="00150DA1"/>
    <w:rsid w:val="00151584"/>
    <w:rsid w:val="0015294D"/>
    <w:rsid w:val="00153B09"/>
    <w:rsid w:val="001541AF"/>
    <w:rsid w:val="00154222"/>
    <w:rsid w:val="00155494"/>
    <w:rsid w:val="00157327"/>
    <w:rsid w:val="001602D4"/>
    <w:rsid w:val="00160D8A"/>
    <w:rsid w:val="00161534"/>
    <w:rsid w:val="00161536"/>
    <w:rsid w:val="00163357"/>
    <w:rsid w:val="0016367A"/>
    <w:rsid w:val="00163EB3"/>
    <w:rsid w:val="00164410"/>
    <w:rsid w:val="00164DBB"/>
    <w:rsid w:val="00167771"/>
    <w:rsid w:val="001700F2"/>
    <w:rsid w:val="00170547"/>
    <w:rsid w:val="00170E15"/>
    <w:rsid w:val="00172A06"/>
    <w:rsid w:val="00175A88"/>
    <w:rsid w:val="00175B48"/>
    <w:rsid w:val="00175C38"/>
    <w:rsid w:val="001768DF"/>
    <w:rsid w:val="00176C70"/>
    <w:rsid w:val="00176FAF"/>
    <w:rsid w:val="0017718B"/>
    <w:rsid w:val="00177A59"/>
    <w:rsid w:val="00177C2C"/>
    <w:rsid w:val="001800A6"/>
    <w:rsid w:val="001807BF"/>
    <w:rsid w:val="00180D4D"/>
    <w:rsid w:val="00181B1D"/>
    <w:rsid w:val="001833B3"/>
    <w:rsid w:val="00183CAB"/>
    <w:rsid w:val="0018422E"/>
    <w:rsid w:val="00185160"/>
    <w:rsid w:val="001852C6"/>
    <w:rsid w:val="001859DF"/>
    <w:rsid w:val="00185F8C"/>
    <w:rsid w:val="00186332"/>
    <w:rsid w:val="00186EB1"/>
    <w:rsid w:val="001873BC"/>
    <w:rsid w:val="00187A52"/>
    <w:rsid w:val="00187C4E"/>
    <w:rsid w:val="00190DE3"/>
    <w:rsid w:val="00191D64"/>
    <w:rsid w:val="00191E14"/>
    <w:rsid w:val="0019260A"/>
    <w:rsid w:val="001929DC"/>
    <w:rsid w:val="00192AEE"/>
    <w:rsid w:val="0019341F"/>
    <w:rsid w:val="00193D44"/>
    <w:rsid w:val="00193EDE"/>
    <w:rsid w:val="00194A93"/>
    <w:rsid w:val="00194F35"/>
    <w:rsid w:val="00195697"/>
    <w:rsid w:val="00195C3D"/>
    <w:rsid w:val="00196D58"/>
    <w:rsid w:val="00197104"/>
    <w:rsid w:val="00197ACA"/>
    <w:rsid w:val="001A1311"/>
    <w:rsid w:val="001A16C4"/>
    <w:rsid w:val="001A3E46"/>
    <w:rsid w:val="001A3E80"/>
    <w:rsid w:val="001A4406"/>
    <w:rsid w:val="001A4C2B"/>
    <w:rsid w:val="001A54E4"/>
    <w:rsid w:val="001A6964"/>
    <w:rsid w:val="001A6975"/>
    <w:rsid w:val="001A69B7"/>
    <w:rsid w:val="001A6A46"/>
    <w:rsid w:val="001A765D"/>
    <w:rsid w:val="001B0081"/>
    <w:rsid w:val="001B047A"/>
    <w:rsid w:val="001B069E"/>
    <w:rsid w:val="001B0BC9"/>
    <w:rsid w:val="001B1DCF"/>
    <w:rsid w:val="001B21BD"/>
    <w:rsid w:val="001B27DB"/>
    <w:rsid w:val="001B2973"/>
    <w:rsid w:val="001B30FA"/>
    <w:rsid w:val="001B3892"/>
    <w:rsid w:val="001B4700"/>
    <w:rsid w:val="001B4E21"/>
    <w:rsid w:val="001B73C2"/>
    <w:rsid w:val="001B77FD"/>
    <w:rsid w:val="001C10A6"/>
    <w:rsid w:val="001C1354"/>
    <w:rsid w:val="001C136A"/>
    <w:rsid w:val="001C1B91"/>
    <w:rsid w:val="001C1BF2"/>
    <w:rsid w:val="001C26D8"/>
    <w:rsid w:val="001C30D6"/>
    <w:rsid w:val="001C4BA1"/>
    <w:rsid w:val="001C5449"/>
    <w:rsid w:val="001C5642"/>
    <w:rsid w:val="001C5EA6"/>
    <w:rsid w:val="001C617D"/>
    <w:rsid w:val="001C6342"/>
    <w:rsid w:val="001C696D"/>
    <w:rsid w:val="001C6DF9"/>
    <w:rsid w:val="001C76A2"/>
    <w:rsid w:val="001C794F"/>
    <w:rsid w:val="001D03CC"/>
    <w:rsid w:val="001D065F"/>
    <w:rsid w:val="001D12C3"/>
    <w:rsid w:val="001D186B"/>
    <w:rsid w:val="001D1BAF"/>
    <w:rsid w:val="001D2130"/>
    <w:rsid w:val="001D3A2A"/>
    <w:rsid w:val="001D41FE"/>
    <w:rsid w:val="001D4997"/>
    <w:rsid w:val="001D4B0F"/>
    <w:rsid w:val="001D4B88"/>
    <w:rsid w:val="001D4E34"/>
    <w:rsid w:val="001D55C5"/>
    <w:rsid w:val="001D5EAE"/>
    <w:rsid w:val="001D7B96"/>
    <w:rsid w:val="001E0A88"/>
    <w:rsid w:val="001E0ED3"/>
    <w:rsid w:val="001E0F0A"/>
    <w:rsid w:val="001E2A81"/>
    <w:rsid w:val="001E4377"/>
    <w:rsid w:val="001E4421"/>
    <w:rsid w:val="001E56D0"/>
    <w:rsid w:val="001E5AD4"/>
    <w:rsid w:val="001E5DFB"/>
    <w:rsid w:val="001E708F"/>
    <w:rsid w:val="001E7E00"/>
    <w:rsid w:val="001F157F"/>
    <w:rsid w:val="001F17C1"/>
    <w:rsid w:val="001F1D45"/>
    <w:rsid w:val="001F2A6C"/>
    <w:rsid w:val="001F2E38"/>
    <w:rsid w:val="001F3145"/>
    <w:rsid w:val="001F3B15"/>
    <w:rsid w:val="001F405A"/>
    <w:rsid w:val="001F51CA"/>
    <w:rsid w:val="001F55CA"/>
    <w:rsid w:val="001F6D6A"/>
    <w:rsid w:val="002009C6"/>
    <w:rsid w:val="002021F2"/>
    <w:rsid w:val="00203091"/>
    <w:rsid w:val="0020346C"/>
    <w:rsid w:val="00203649"/>
    <w:rsid w:val="002052EA"/>
    <w:rsid w:val="002067A8"/>
    <w:rsid w:val="00210A4E"/>
    <w:rsid w:val="00211183"/>
    <w:rsid w:val="00213048"/>
    <w:rsid w:val="00213620"/>
    <w:rsid w:val="00213864"/>
    <w:rsid w:val="00213F17"/>
    <w:rsid w:val="00214C70"/>
    <w:rsid w:val="00215D7D"/>
    <w:rsid w:val="00220840"/>
    <w:rsid w:val="0022227C"/>
    <w:rsid w:val="002225D1"/>
    <w:rsid w:val="0022362E"/>
    <w:rsid w:val="0022431F"/>
    <w:rsid w:val="0022444F"/>
    <w:rsid w:val="002247EF"/>
    <w:rsid w:val="00225469"/>
    <w:rsid w:val="00225A2F"/>
    <w:rsid w:val="00226D1C"/>
    <w:rsid w:val="002273B2"/>
    <w:rsid w:val="00227E5F"/>
    <w:rsid w:val="00231975"/>
    <w:rsid w:val="00231A8B"/>
    <w:rsid w:val="00232082"/>
    <w:rsid w:val="00233F1E"/>
    <w:rsid w:val="0023458D"/>
    <w:rsid w:val="002347D4"/>
    <w:rsid w:val="00234F01"/>
    <w:rsid w:val="00235C7C"/>
    <w:rsid w:val="00235F6E"/>
    <w:rsid w:val="002367EC"/>
    <w:rsid w:val="00237D6B"/>
    <w:rsid w:val="00240315"/>
    <w:rsid w:val="002404FE"/>
    <w:rsid w:val="00240F8E"/>
    <w:rsid w:val="002427FB"/>
    <w:rsid w:val="002434C9"/>
    <w:rsid w:val="00243981"/>
    <w:rsid w:val="00243C94"/>
    <w:rsid w:val="00243E01"/>
    <w:rsid w:val="00246498"/>
    <w:rsid w:val="00246F36"/>
    <w:rsid w:val="00246FFA"/>
    <w:rsid w:val="002476C5"/>
    <w:rsid w:val="0025019F"/>
    <w:rsid w:val="00250533"/>
    <w:rsid w:val="0025175A"/>
    <w:rsid w:val="002529B2"/>
    <w:rsid w:val="00253E06"/>
    <w:rsid w:val="0025505E"/>
    <w:rsid w:val="002560B9"/>
    <w:rsid w:val="002574D6"/>
    <w:rsid w:val="00260664"/>
    <w:rsid w:val="002611EE"/>
    <w:rsid w:val="002611F4"/>
    <w:rsid w:val="002613C8"/>
    <w:rsid w:val="0026366C"/>
    <w:rsid w:val="00265690"/>
    <w:rsid w:val="002658D6"/>
    <w:rsid w:val="0026655E"/>
    <w:rsid w:val="00267547"/>
    <w:rsid w:val="002678AE"/>
    <w:rsid w:val="00267EC5"/>
    <w:rsid w:val="00270AE1"/>
    <w:rsid w:val="00270DA7"/>
    <w:rsid w:val="0027186C"/>
    <w:rsid w:val="00271D03"/>
    <w:rsid w:val="00272914"/>
    <w:rsid w:val="00273D0D"/>
    <w:rsid w:val="00274B31"/>
    <w:rsid w:val="00274CA6"/>
    <w:rsid w:val="00274CCA"/>
    <w:rsid w:val="00275BFD"/>
    <w:rsid w:val="00275E97"/>
    <w:rsid w:val="00276178"/>
    <w:rsid w:val="00276F74"/>
    <w:rsid w:val="00280D6A"/>
    <w:rsid w:val="00280E75"/>
    <w:rsid w:val="00281230"/>
    <w:rsid w:val="0028180F"/>
    <w:rsid w:val="002819D7"/>
    <w:rsid w:val="00282B77"/>
    <w:rsid w:val="00282E39"/>
    <w:rsid w:val="00283360"/>
    <w:rsid w:val="002834E7"/>
    <w:rsid w:val="00283DA5"/>
    <w:rsid w:val="00283F64"/>
    <w:rsid w:val="002842A3"/>
    <w:rsid w:val="00287C4A"/>
    <w:rsid w:val="00290553"/>
    <w:rsid w:val="002922BF"/>
    <w:rsid w:val="002939AE"/>
    <w:rsid w:val="0029558B"/>
    <w:rsid w:val="00295BAD"/>
    <w:rsid w:val="00296A51"/>
    <w:rsid w:val="00296E57"/>
    <w:rsid w:val="00297F64"/>
    <w:rsid w:val="002A312F"/>
    <w:rsid w:val="002A3ED9"/>
    <w:rsid w:val="002A46C4"/>
    <w:rsid w:val="002A5E15"/>
    <w:rsid w:val="002A6877"/>
    <w:rsid w:val="002A7E54"/>
    <w:rsid w:val="002B0769"/>
    <w:rsid w:val="002B1169"/>
    <w:rsid w:val="002B15B1"/>
    <w:rsid w:val="002B2B44"/>
    <w:rsid w:val="002B41BA"/>
    <w:rsid w:val="002B495A"/>
    <w:rsid w:val="002B4ED1"/>
    <w:rsid w:val="002B5C9D"/>
    <w:rsid w:val="002B6D96"/>
    <w:rsid w:val="002B77EB"/>
    <w:rsid w:val="002C0303"/>
    <w:rsid w:val="002C0875"/>
    <w:rsid w:val="002C0C2C"/>
    <w:rsid w:val="002C0F6A"/>
    <w:rsid w:val="002C12E4"/>
    <w:rsid w:val="002C1492"/>
    <w:rsid w:val="002C169D"/>
    <w:rsid w:val="002C1934"/>
    <w:rsid w:val="002C1BF9"/>
    <w:rsid w:val="002C2C5F"/>
    <w:rsid w:val="002C30D7"/>
    <w:rsid w:val="002C4D51"/>
    <w:rsid w:val="002C4FCE"/>
    <w:rsid w:val="002C5002"/>
    <w:rsid w:val="002C5027"/>
    <w:rsid w:val="002C54D5"/>
    <w:rsid w:val="002C5B84"/>
    <w:rsid w:val="002C6455"/>
    <w:rsid w:val="002C77E3"/>
    <w:rsid w:val="002C7BB1"/>
    <w:rsid w:val="002D24DB"/>
    <w:rsid w:val="002D3210"/>
    <w:rsid w:val="002D4232"/>
    <w:rsid w:val="002D47E7"/>
    <w:rsid w:val="002D7F1E"/>
    <w:rsid w:val="002E0108"/>
    <w:rsid w:val="002E166B"/>
    <w:rsid w:val="002E2AA7"/>
    <w:rsid w:val="002E3838"/>
    <w:rsid w:val="002E3B87"/>
    <w:rsid w:val="002E3EA9"/>
    <w:rsid w:val="002E4139"/>
    <w:rsid w:val="002E5473"/>
    <w:rsid w:val="002E6345"/>
    <w:rsid w:val="002E63A3"/>
    <w:rsid w:val="002E6DF7"/>
    <w:rsid w:val="002E72E5"/>
    <w:rsid w:val="002F18E5"/>
    <w:rsid w:val="002F3274"/>
    <w:rsid w:val="002F3752"/>
    <w:rsid w:val="002F38BC"/>
    <w:rsid w:val="002F4062"/>
    <w:rsid w:val="002F476D"/>
    <w:rsid w:val="002F4FE5"/>
    <w:rsid w:val="002F584F"/>
    <w:rsid w:val="002F7DA3"/>
    <w:rsid w:val="0030012C"/>
    <w:rsid w:val="003003FF"/>
    <w:rsid w:val="003008F6"/>
    <w:rsid w:val="00303108"/>
    <w:rsid w:val="003039EF"/>
    <w:rsid w:val="0030524E"/>
    <w:rsid w:val="00305EFF"/>
    <w:rsid w:val="00307044"/>
    <w:rsid w:val="00311D5B"/>
    <w:rsid w:val="003125C3"/>
    <w:rsid w:val="00313129"/>
    <w:rsid w:val="00313C90"/>
    <w:rsid w:val="00314040"/>
    <w:rsid w:val="003159CB"/>
    <w:rsid w:val="00315B36"/>
    <w:rsid w:val="00316782"/>
    <w:rsid w:val="003179E9"/>
    <w:rsid w:val="00317CC2"/>
    <w:rsid w:val="00320EB9"/>
    <w:rsid w:val="003214CC"/>
    <w:rsid w:val="0032162E"/>
    <w:rsid w:val="00321D21"/>
    <w:rsid w:val="00323C7C"/>
    <w:rsid w:val="00324257"/>
    <w:rsid w:val="00324D6B"/>
    <w:rsid w:val="00325707"/>
    <w:rsid w:val="00327DB5"/>
    <w:rsid w:val="00330257"/>
    <w:rsid w:val="00330A51"/>
    <w:rsid w:val="00332E99"/>
    <w:rsid w:val="00333F29"/>
    <w:rsid w:val="00334A0E"/>
    <w:rsid w:val="00335864"/>
    <w:rsid w:val="00335B0D"/>
    <w:rsid w:val="003370AB"/>
    <w:rsid w:val="003370C6"/>
    <w:rsid w:val="00340EC5"/>
    <w:rsid w:val="003415E9"/>
    <w:rsid w:val="00342330"/>
    <w:rsid w:val="003439F6"/>
    <w:rsid w:val="0034471F"/>
    <w:rsid w:val="0034511E"/>
    <w:rsid w:val="0034535C"/>
    <w:rsid w:val="003465A5"/>
    <w:rsid w:val="00346B51"/>
    <w:rsid w:val="00346FB0"/>
    <w:rsid w:val="003470F2"/>
    <w:rsid w:val="00351BF4"/>
    <w:rsid w:val="00352205"/>
    <w:rsid w:val="00352D3A"/>
    <w:rsid w:val="00353242"/>
    <w:rsid w:val="00354195"/>
    <w:rsid w:val="003542EA"/>
    <w:rsid w:val="00354443"/>
    <w:rsid w:val="0035586E"/>
    <w:rsid w:val="00356522"/>
    <w:rsid w:val="0035683F"/>
    <w:rsid w:val="00356F1C"/>
    <w:rsid w:val="00357392"/>
    <w:rsid w:val="00357B4D"/>
    <w:rsid w:val="00357BB4"/>
    <w:rsid w:val="00360BE1"/>
    <w:rsid w:val="00360E34"/>
    <w:rsid w:val="00361019"/>
    <w:rsid w:val="00361093"/>
    <w:rsid w:val="003629C7"/>
    <w:rsid w:val="00362B0E"/>
    <w:rsid w:val="00362BC4"/>
    <w:rsid w:val="00363DF9"/>
    <w:rsid w:val="00364304"/>
    <w:rsid w:val="00364DCD"/>
    <w:rsid w:val="00364EE9"/>
    <w:rsid w:val="00365100"/>
    <w:rsid w:val="003655F1"/>
    <w:rsid w:val="00366568"/>
    <w:rsid w:val="00366834"/>
    <w:rsid w:val="0036767D"/>
    <w:rsid w:val="00370A42"/>
    <w:rsid w:val="00370CB2"/>
    <w:rsid w:val="00371A2A"/>
    <w:rsid w:val="00371D04"/>
    <w:rsid w:val="0037218B"/>
    <w:rsid w:val="00372FAA"/>
    <w:rsid w:val="00373DD1"/>
    <w:rsid w:val="00373DF4"/>
    <w:rsid w:val="00374AF1"/>
    <w:rsid w:val="003764E1"/>
    <w:rsid w:val="0037720A"/>
    <w:rsid w:val="003774AF"/>
    <w:rsid w:val="00381BB0"/>
    <w:rsid w:val="003825EB"/>
    <w:rsid w:val="00383374"/>
    <w:rsid w:val="00383B9E"/>
    <w:rsid w:val="003845F9"/>
    <w:rsid w:val="00384D13"/>
    <w:rsid w:val="003855A3"/>
    <w:rsid w:val="00385A7A"/>
    <w:rsid w:val="00390F04"/>
    <w:rsid w:val="00391815"/>
    <w:rsid w:val="003924C6"/>
    <w:rsid w:val="003935DA"/>
    <w:rsid w:val="00393AB1"/>
    <w:rsid w:val="003945EE"/>
    <w:rsid w:val="00395253"/>
    <w:rsid w:val="003954E6"/>
    <w:rsid w:val="00395A6C"/>
    <w:rsid w:val="00395F2B"/>
    <w:rsid w:val="00396976"/>
    <w:rsid w:val="0039697D"/>
    <w:rsid w:val="00397BA0"/>
    <w:rsid w:val="003A0285"/>
    <w:rsid w:val="003A1905"/>
    <w:rsid w:val="003A239F"/>
    <w:rsid w:val="003A25A0"/>
    <w:rsid w:val="003A35F9"/>
    <w:rsid w:val="003A3F5C"/>
    <w:rsid w:val="003A4891"/>
    <w:rsid w:val="003A5398"/>
    <w:rsid w:val="003A595D"/>
    <w:rsid w:val="003A622D"/>
    <w:rsid w:val="003A66B3"/>
    <w:rsid w:val="003A7366"/>
    <w:rsid w:val="003A7582"/>
    <w:rsid w:val="003A7FBA"/>
    <w:rsid w:val="003B0516"/>
    <w:rsid w:val="003B0DDD"/>
    <w:rsid w:val="003B1661"/>
    <w:rsid w:val="003B2033"/>
    <w:rsid w:val="003B226F"/>
    <w:rsid w:val="003B32E4"/>
    <w:rsid w:val="003B387A"/>
    <w:rsid w:val="003B3C48"/>
    <w:rsid w:val="003B3E26"/>
    <w:rsid w:val="003B4A93"/>
    <w:rsid w:val="003B4C13"/>
    <w:rsid w:val="003B623E"/>
    <w:rsid w:val="003C04E2"/>
    <w:rsid w:val="003C1028"/>
    <w:rsid w:val="003C13E0"/>
    <w:rsid w:val="003C1FC1"/>
    <w:rsid w:val="003C2F74"/>
    <w:rsid w:val="003C44FB"/>
    <w:rsid w:val="003C4A3B"/>
    <w:rsid w:val="003C4C09"/>
    <w:rsid w:val="003C4E18"/>
    <w:rsid w:val="003C64F2"/>
    <w:rsid w:val="003C6A21"/>
    <w:rsid w:val="003C6AC5"/>
    <w:rsid w:val="003C721E"/>
    <w:rsid w:val="003C72A8"/>
    <w:rsid w:val="003D0E8B"/>
    <w:rsid w:val="003D12CC"/>
    <w:rsid w:val="003D2292"/>
    <w:rsid w:val="003D4B33"/>
    <w:rsid w:val="003D4F1E"/>
    <w:rsid w:val="003D5D6F"/>
    <w:rsid w:val="003D651A"/>
    <w:rsid w:val="003D7134"/>
    <w:rsid w:val="003D77F3"/>
    <w:rsid w:val="003D78ED"/>
    <w:rsid w:val="003E0AEE"/>
    <w:rsid w:val="003E0D23"/>
    <w:rsid w:val="003E19D9"/>
    <w:rsid w:val="003E2650"/>
    <w:rsid w:val="003E274B"/>
    <w:rsid w:val="003E31DB"/>
    <w:rsid w:val="003E36D3"/>
    <w:rsid w:val="003E3AE5"/>
    <w:rsid w:val="003E47EB"/>
    <w:rsid w:val="003E754C"/>
    <w:rsid w:val="003E7B6E"/>
    <w:rsid w:val="003F091F"/>
    <w:rsid w:val="003F0E40"/>
    <w:rsid w:val="003F147B"/>
    <w:rsid w:val="003F1E5A"/>
    <w:rsid w:val="003F1F37"/>
    <w:rsid w:val="003F37A5"/>
    <w:rsid w:val="003F40FC"/>
    <w:rsid w:val="003F429D"/>
    <w:rsid w:val="003F4C84"/>
    <w:rsid w:val="003F6151"/>
    <w:rsid w:val="003F6B54"/>
    <w:rsid w:val="003F79D8"/>
    <w:rsid w:val="003F7A89"/>
    <w:rsid w:val="003F7CDD"/>
    <w:rsid w:val="00401471"/>
    <w:rsid w:val="004019D4"/>
    <w:rsid w:val="00402AA2"/>
    <w:rsid w:val="00403DAE"/>
    <w:rsid w:val="00404190"/>
    <w:rsid w:val="00404CA7"/>
    <w:rsid w:val="00404E82"/>
    <w:rsid w:val="00405333"/>
    <w:rsid w:val="00406645"/>
    <w:rsid w:val="00406DD4"/>
    <w:rsid w:val="00406DFD"/>
    <w:rsid w:val="00407952"/>
    <w:rsid w:val="00407C8D"/>
    <w:rsid w:val="004114C6"/>
    <w:rsid w:val="00411B8A"/>
    <w:rsid w:val="00412138"/>
    <w:rsid w:val="00413CF2"/>
    <w:rsid w:val="00414381"/>
    <w:rsid w:val="0041487B"/>
    <w:rsid w:val="00414B5E"/>
    <w:rsid w:val="0041628F"/>
    <w:rsid w:val="0041710A"/>
    <w:rsid w:val="00417939"/>
    <w:rsid w:val="00417A3D"/>
    <w:rsid w:val="00417D07"/>
    <w:rsid w:val="0042101D"/>
    <w:rsid w:val="0042358F"/>
    <w:rsid w:val="00423930"/>
    <w:rsid w:val="00423D77"/>
    <w:rsid w:val="0042520A"/>
    <w:rsid w:val="00425394"/>
    <w:rsid w:val="00425C51"/>
    <w:rsid w:val="00426609"/>
    <w:rsid w:val="00426DDA"/>
    <w:rsid w:val="00430437"/>
    <w:rsid w:val="004311C3"/>
    <w:rsid w:val="004311C6"/>
    <w:rsid w:val="00431357"/>
    <w:rsid w:val="0043288A"/>
    <w:rsid w:val="004332BF"/>
    <w:rsid w:val="00433FAE"/>
    <w:rsid w:val="004341B3"/>
    <w:rsid w:val="00434AEE"/>
    <w:rsid w:val="00434C14"/>
    <w:rsid w:val="00434D11"/>
    <w:rsid w:val="0043527F"/>
    <w:rsid w:val="00435BB5"/>
    <w:rsid w:val="00436531"/>
    <w:rsid w:val="0043712D"/>
    <w:rsid w:val="0043715C"/>
    <w:rsid w:val="0044014B"/>
    <w:rsid w:val="004423B5"/>
    <w:rsid w:val="004430B3"/>
    <w:rsid w:val="00443785"/>
    <w:rsid w:val="00443D85"/>
    <w:rsid w:val="00443F4C"/>
    <w:rsid w:val="004442B3"/>
    <w:rsid w:val="00444F17"/>
    <w:rsid w:val="00445456"/>
    <w:rsid w:val="00445C47"/>
    <w:rsid w:val="00447822"/>
    <w:rsid w:val="0045024E"/>
    <w:rsid w:val="004504DD"/>
    <w:rsid w:val="004516DE"/>
    <w:rsid w:val="00452027"/>
    <w:rsid w:val="0045213A"/>
    <w:rsid w:val="00452D76"/>
    <w:rsid w:val="004531AC"/>
    <w:rsid w:val="00453E3F"/>
    <w:rsid w:val="00453F0C"/>
    <w:rsid w:val="00454105"/>
    <w:rsid w:val="00454A58"/>
    <w:rsid w:val="004552CB"/>
    <w:rsid w:val="004575B1"/>
    <w:rsid w:val="00457C82"/>
    <w:rsid w:val="0046071A"/>
    <w:rsid w:val="00460E22"/>
    <w:rsid w:val="004623D6"/>
    <w:rsid w:val="00462A19"/>
    <w:rsid w:val="004630D9"/>
    <w:rsid w:val="00464C14"/>
    <w:rsid w:val="0046719F"/>
    <w:rsid w:val="004671A1"/>
    <w:rsid w:val="0046786F"/>
    <w:rsid w:val="00470C0E"/>
    <w:rsid w:val="00471020"/>
    <w:rsid w:val="00471266"/>
    <w:rsid w:val="004715D7"/>
    <w:rsid w:val="00471FBF"/>
    <w:rsid w:val="00472342"/>
    <w:rsid w:val="0047280B"/>
    <w:rsid w:val="00473654"/>
    <w:rsid w:val="004766AC"/>
    <w:rsid w:val="00476DE4"/>
    <w:rsid w:val="00476FB8"/>
    <w:rsid w:val="00477B5F"/>
    <w:rsid w:val="0048101B"/>
    <w:rsid w:val="00481450"/>
    <w:rsid w:val="0048148D"/>
    <w:rsid w:val="00482629"/>
    <w:rsid w:val="004827E9"/>
    <w:rsid w:val="00483406"/>
    <w:rsid w:val="004847FE"/>
    <w:rsid w:val="00485A32"/>
    <w:rsid w:val="00485C13"/>
    <w:rsid w:val="00486269"/>
    <w:rsid w:val="004867DA"/>
    <w:rsid w:val="004878B4"/>
    <w:rsid w:val="00490097"/>
    <w:rsid w:val="00492032"/>
    <w:rsid w:val="00492E3D"/>
    <w:rsid w:val="004930A6"/>
    <w:rsid w:val="00493E4F"/>
    <w:rsid w:val="00494FAB"/>
    <w:rsid w:val="00495F6C"/>
    <w:rsid w:val="00497505"/>
    <w:rsid w:val="004A25F1"/>
    <w:rsid w:val="004A2AD1"/>
    <w:rsid w:val="004A4FE1"/>
    <w:rsid w:val="004A5EB9"/>
    <w:rsid w:val="004A61C8"/>
    <w:rsid w:val="004A7555"/>
    <w:rsid w:val="004A7801"/>
    <w:rsid w:val="004B017F"/>
    <w:rsid w:val="004B06FB"/>
    <w:rsid w:val="004B0B5F"/>
    <w:rsid w:val="004B1D2E"/>
    <w:rsid w:val="004B1ED2"/>
    <w:rsid w:val="004B3DE0"/>
    <w:rsid w:val="004B4045"/>
    <w:rsid w:val="004B4F37"/>
    <w:rsid w:val="004B5DBF"/>
    <w:rsid w:val="004B7326"/>
    <w:rsid w:val="004B7F11"/>
    <w:rsid w:val="004C0C80"/>
    <w:rsid w:val="004C0F82"/>
    <w:rsid w:val="004C2F45"/>
    <w:rsid w:val="004C314B"/>
    <w:rsid w:val="004C322B"/>
    <w:rsid w:val="004C3304"/>
    <w:rsid w:val="004C39B6"/>
    <w:rsid w:val="004C5FFA"/>
    <w:rsid w:val="004C6D16"/>
    <w:rsid w:val="004C6EAA"/>
    <w:rsid w:val="004C7B3C"/>
    <w:rsid w:val="004D05D3"/>
    <w:rsid w:val="004D0B35"/>
    <w:rsid w:val="004D1200"/>
    <w:rsid w:val="004D144F"/>
    <w:rsid w:val="004D2580"/>
    <w:rsid w:val="004D2722"/>
    <w:rsid w:val="004D39DD"/>
    <w:rsid w:val="004D5AC8"/>
    <w:rsid w:val="004D60AE"/>
    <w:rsid w:val="004D68DD"/>
    <w:rsid w:val="004D77ED"/>
    <w:rsid w:val="004D7A2B"/>
    <w:rsid w:val="004E03BA"/>
    <w:rsid w:val="004E19B3"/>
    <w:rsid w:val="004E1BA1"/>
    <w:rsid w:val="004E1FA7"/>
    <w:rsid w:val="004E2800"/>
    <w:rsid w:val="004E319B"/>
    <w:rsid w:val="004E39E9"/>
    <w:rsid w:val="004E3BF1"/>
    <w:rsid w:val="004E5C1F"/>
    <w:rsid w:val="004E6552"/>
    <w:rsid w:val="004E7A3E"/>
    <w:rsid w:val="004F0264"/>
    <w:rsid w:val="004F04EA"/>
    <w:rsid w:val="004F0B03"/>
    <w:rsid w:val="004F1185"/>
    <w:rsid w:val="004F3143"/>
    <w:rsid w:val="004F396F"/>
    <w:rsid w:val="004F3C5E"/>
    <w:rsid w:val="004F3CFD"/>
    <w:rsid w:val="004F4087"/>
    <w:rsid w:val="004F40B2"/>
    <w:rsid w:val="004F4A7C"/>
    <w:rsid w:val="004F4FC2"/>
    <w:rsid w:val="004F5B09"/>
    <w:rsid w:val="004F67E8"/>
    <w:rsid w:val="004F682A"/>
    <w:rsid w:val="004F793E"/>
    <w:rsid w:val="004F7C3F"/>
    <w:rsid w:val="00502C8A"/>
    <w:rsid w:val="00503025"/>
    <w:rsid w:val="005039CD"/>
    <w:rsid w:val="00504344"/>
    <w:rsid w:val="00511221"/>
    <w:rsid w:val="005117EB"/>
    <w:rsid w:val="00513667"/>
    <w:rsid w:val="00513804"/>
    <w:rsid w:val="0051396D"/>
    <w:rsid w:val="00513AE6"/>
    <w:rsid w:val="00515E37"/>
    <w:rsid w:val="005200A8"/>
    <w:rsid w:val="005204FF"/>
    <w:rsid w:val="005208E1"/>
    <w:rsid w:val="00521BB3"/>
    <w:rsid w:val="005221DE"/>
    <w:rsid w:val="0052256F"/>
    <w:rsid w:val="00522D27"/>
    <w:rsid w:val="00522D44"/>
    <w:rsid w:val="00524285"/>
    <w:rsid w:val="00525C18"/>
    <w:rsid w:val="00527BF9"/>
    <w:rsid w:val="005306EC"/>
    <w:rsid w:val="0053084B"/>
    <w:rsid w:val="00530CD9"/>
    <w:rsid w:val="0053337F"/>
    <w:rsid w:val="00533676"/>
    <w:rsid w:val="00533785"/>
    <w:rsid w:val="00534B2F"/>
    <w:rsid w:val="0053676F"/>
    <w:rsid w:val="00536C7C"/>
    <w:rsid w:val="005406FD"/>
    <w:rsid w:val="00540A4E"/>
    <w:rsid w:val="00540C14"/>
    <w:rsid w:val="00541836"/>
    <w:rsid w:val="00541A49"/>
    <w:rsid w:val="00545E44"/>
    <w:rsid w:val="00546D56"/>
    <w:rsid w:val="005471C2"/>
    <w:rsid w:val="00547C06"/>
    <w:rsid w:val="00547DCC"/>
    <w:rsid w:val="00550DCE"/>
    <w:rsid w:val="00552355"/>
    <w:rsid w:val="0055236B"/>
    <w:rsid w:val="00552CFF"/>
    <w:rsid w:val="00555640"/>
    <w:rsid w:val="00555ABF"/>
    <w:rsid w:val="00556034"/>
    <w:rsid w:val="005568A9"/>
    <w:rsid w:val="00557E03"/>
    <w:rsid w:val="005600DC"/>
    <w:rsid w:val="005605D5"/>
    <w:rsid w:val="00560F8B"/>
    <w:rsid w:val="005613B5"/>
    <w:rsid w:val="00561746"/>
    <w:rsid w:val="005617FB"/>
    <w:rsid w:val="00561FF9"/>
    <w:rsid w:val="005626F9"/>
    <w:rsid w:val="00562DE5"/>
    <w:rsid w:val="00563302"/>
    <w:rsid w:val="005635AC"/>
    <w:rsid w:val="00564191"/>
    <w:rsid w:val="005650CD"/>
    <w:rsid w:val="005660D5"/>
    <w:rsid w:val="00567144"/>
    <w:rsid w:val="00567A60"/>
    <w:rsid w:val="00570718"/>
    <w:rsid w:val="00570AFB"/>
    <w:rsid w:val="00571233"/>
    <w:rsid w:val="00572103"/>
    <w:rsid w:val="005738AA"/>
    <w:rsid w:val="00573941"/>
    <w:rsid w:val="00574614"/>
    <w:rsid w:val="00580CC8"/>
    <w:rsid w:val="00581A11"/>
    <w:rsid w:val="00585797"/>
    <w:rsid w:val="005862FE"/>
    <w:rsid w:val="005873F1"/>
    <w:rsid w:val="00590F3A"/>
    <w:rsid w:val="00591C46"/>
    <w:rsid w:val="0059200E"/>
    <w:rsid w:val="00592D5B"/>
    <w:rsid w:val="00594C12"/>
    <w:rsid w:val="00595377"/>
    <w:rsid w:val="00595FB9"/>
    <w:rsid w:val="005A12F3"/>
    <w:rsid w:val="005A222F"/>
    <w:rsid w:val="005A44EC"/>
    <w:rsid w:val="005A4B4A"/>
    <w:rsid w:val="005A5C7C"/>
    <w:rsid w:val="005A70EA"/>
    <w:rsid w:val="005B06B5"/>
    <w:rsid w:val="005B0F01"/>
    <w:rsid w:val="005B0F45"/>
    <w:rsid w:val="005B245A"/>
    <w:rsid w:val="005B2BE7"/>
    <w:rsid w:val="005B6672"/>
    <w:rsid w:val="005B6FCF"/>
    <w:rsid w:val="005C0CA4"/>
    <w:rsid w:val="005C166C"/>
    <w:rsid w:val="005C2334"/>
    <w:rsid w:val="005C2B4C"/>
    <w:rsid w:val="005C35ED"/>
    <w:rsid w:val="005C3DCB"/>
    <w:rsid w:val="005C3ECB"/>
    <w:rsid w:val="005C4AF7"/>
    <w:rsid w:val="005C4DDD"/>
    <w:rsid w:val="005C5BAF"/>
    <w:rsid w:val="005C5E57"/>
    <w:rsid w:val="005C6EEE"/>
    <w:rsid w:val="005D07A0"/>
    <w:rsid w:val="005D13E8"/>
    <w:rsid w:val="005D30C8"/>
    <w:rsid w:val="005D52FF"/>
    <w:rsid w:val="005D6262"/>
    <w:rsid w:val="005D63D4"/>
    <w:rsid w:val="005D6471"/>
    <w:rsid w:val="005D703E"/>
    <w:rsid w:val="005D7644"/>
    <w:rsid w:val="005D7ACB"/>
    <w:rsid w:val="005D7DA5"/>
    <w:rsid w:val="005E0B6D"/>
    <w:rsid w:val="005E2B90"/>
    <w:rsid w:val="005E2FD8"/>
    <w:rsid w:val="005E33BC"/>
    <w:rsid w:val="005E36D6"/>
    <w:rsid w:val="005E469C"/>
    <w:rsid w:val="005E46F1"/>
    <w:rsid w:val="005E49C2"/>
    <w:rsid w:val="005E64DB"/>
    <w:rsid w:val="005E6AD7"/>
    <w:rsid w:val="005E797C"/>
    <w:rsid w:val="005E7CFE"/>
    <w:rsid w:val="005F2979"/>
    <w:rsid w:val="005F363F"/>
    <w:rsid w:val="005F39F1"/>
    <w:rsid w:val="005F3B75"/>
    <w:rsid w:val="005F4210"/>
    <w:rsid w:val="005F52A9"/>
    <w:rsid w:val="005F53B0"/>
    <w:rsid w:val="005F5559"/>
    <w:rsid w:val="005F7508"/>
    <w:rsid w:val="006010FA"/>
    <w:rsid w:val="00601D96"/>
    <w:rsid w:val="0060216A"/>
    <w:rsid w:val="006025EB"/>
    <w:rsid w:val="00603046"/>
    <w:rsid w:val="00603728"/>
    <w:rsid w:val="006041E5"/>
    <w:rsid w:val="0060469D"/>
    <w:rsid w:val="00605028"/>
    <w:rsid w:val="00605D20"/>
    <w:rsid w:val="00606062"/>
    <w:rsid w:val="0061058C"/>
    <w:rsid w:val="00612EE1"/>
    <w:rsid w:val="00613478"/>
    <w:rsid w:val="00613762"/>
    <w:rsid w:val="006156F1"/>
    <w:rsid w:val="00616DB1"/>
    <w:rsid w:val="0062045F"/>
    <w:rsid w:val="00621731"/>
    <w:rsid w:val="00622DB5"/>
    <w:rsid w:val="00623AFC"/>
    <w:rsid w:val="00623D1F"/>
    <w:rsid w:val="00623DCE"/>
    <w:rsid w:val="0062612E"/>
    <w:rsid w:val="00626335"/>
    <w:rsid w:val="0062659E"/>
    <w:rsid w:val="00626F5C"/>
    <w:rsid w:val="0062702A"/>
    <w:rsid w:val="00627AC8"/>
    <w:rsid w:val="00627B90"/>
    <w:rsid w:val="00627CFC"/>
    <w:rsid w:val="0063089D"/>
    <w:rsid w:val="0063133D"/>
    <w:rsid w:val="00632F00"/>
    <w:rsid w:val="00634D35"/>
    <w:rsid w:val="0063566E"/>
    <w:rsid w:val="00636633"/>
    <w:rsid w:val="0063685A"/>
    <w:rsid w:val="0063691E"/>
    <w:rsid w:val="00636C32"/>
    <w:rsid w:val="006379A5"/>
    <w:rsid w:val="00640551"/>
    <w:rsid w:val="00641CD4"/>
    <w:rsid w:val="00642D37"/>
    <w:rsid w:val="0064304E"/>
    <w:rsid w:val="0064330F"/>
    <w:rsid w:val="00643A54"/>
    <w:rsid w:val="00643E7F"/>
    <w:rsid w:val="0064476B"/>
    <w:rsid w:val="006448A4"/>
    <w:rsid w:val="00644E98"/>
    <w:rsid w:val="00645883"/>
    <w:rsid w:val="00645BE6"/>
    <w:rsid w:val="00645E21"/>
    <w:rsid w:val="00646098"/>
    <w:rsid w:val="006461CD"/>
    <w:rsid w:val="00646DF4"/>
    <w:rsid w:val="0065066D"/>
    <w:rsid w:val="00651989"/>
    <w:rsid w:val="006521FF"/>
    <w:rsid w:val="0065263D"/>
    <w:rsid w:val="00653022"/>
    <w:rsid w:val="00653E4E"/>
    <w:rsid w:val="00653E65"/>
    <w:rsid w:val="00655DFA"/>
    <w:rsid w:val="00656228"/>
    <w:rsid w:val="00657F98"/>
    <w:rsid w:val="00660822"/>
    <w:rsid w:val="00660FAE"/>
    <w:rsid w:val="00662C02"/>
    <w:rsid w:val="00662CE8"/>
    <w:rsid w:val="00663544"/>
    <w:rsid w:val="00663800"/>
    <w:rsid w:val="0066391F"/>
    <w:rsid w:val="00664D2E"/>
    <w:rsid w:val="00664D93"/>
    <w:rsid w:val="00665B6E"/>
    <w:rsid w:val="006662CA"/>
    <w:rsid w:val="00666ED7"/>
    <w:rsid w:val="006674A7"/>
    <w:rsid w:val="00667970"/>
    <w:rsid w:val="0066798B"/>
    <w:rsid w:val="006704EE"/>
    <w:rsid w:val="00670F06"/>
    <w:rsid w:val="00673178"/>
    <w:rsid w:val="00673A1A"/>
    <w:rsid w:val="00673C01"/>
    <w:rsid w:val="00673CC3"/>
    <w:rsid w:val="00674BDC"/>
    <w:rsid w:val="00674F85"/>
    <w:rsid w:val="0067557C"/>
    <w:rsid w:val="0067633D"/>
    <w:rsid w:val="00677BDF"/>
    <w:rsid w:val="00681579"/>
    <w:rsid w:val="006829A3"/>
    <w:rsid w:val="00682B49"/>
    <w:rsid w:val="00683A12"/>
    <w:rsid w:val="00683D63"/>
    <w:rsid w:val="00683FEE"/>
    <w:rsid w:val="0068491A"/>
    <w:rsid w:val="00686654"/>
    <w:rsid w:val="0068798B"/>
    <w:rsid w:val="00691153"/>
    <w:rsid w:val="00691384"/>
    <w:rsid w:val="00692107"/>
    <w:rsid w:val="00692111"/>
    <w:rsid w:val="006932B5"/>
    <w:rsid w:val="00693DC4"/>
    <w:rsid w:val="0069406F"/>
    <w:rsid w:val="00694328"/>
    <w:rsid w:val="00695896"/>
    <w:rsid w:val="00695A5E"/>
    <w:rsid w:val="006971C1"/>
    <w:rsid w:val="00697235"/>
    <w:rsid w:val="006973F2"/>
    <w:rsid w:val="00697C69"/>
    <w:rsid w:val="006A0971"/>
    <w:rsid w:val="006A10D3"/>
    <w:rsid w:val="006A2743"/>
    <w:rsid w:val="006A2B58"/>
    <w:rsid w:val="006A387C"/>
    <w:rsid w:val="006A42AA"/>
    <w:rsid w:val="006A4FDD"/>
    <w:rsid w:val="006A5077"/>
    <w:rsid w:val="006A5487"/>
    <w:rsid w:val="006A5998"/>
    <w:rsid w:val="006A7608"/>
    <w:rsid w:val="006A7BCC"/>
    <w:rsid w:val="006B082F"/>
    <w:rsid w:val="006B178C"/>
    <w:rsid w:val="006B5034"/>
    <w:rsid w:val="006B748C"/>
    <w:rsid w:val="006C01FB"/>
    <w:rsid w:val="006C07B6"/>
    <w:rsid w:val="006C1428"/>
    <w:rsid w:val="006C1C88"/>
    <w:rsid w:val="006C1FE7"/>
    <w:rsid w:val="006C26F0"/>
    <w:rsid w:val="006C4984"/>
    <w:rsid w:val="006C56AF"/>
    <w:rsid w:val="006D0F50"/>
    <w:rsid w:val="006D21E7"/>
    <w:rsid w:val="006D28C3"/>
    <w:rsid w:val="006D32A4"/>
    <w:rsid w:val="006D472C"/>
    <w:rsid w:val="006D5371"/>
    <w:rsid w:val="006D5517"/>
    <w:rsid w:val="006D7CC7"/>
    <w:rsid w:val="006E017C"/>
    <w:rsid w:val="006E0921"/>
    <w:rsid w:val="006E294E"/>
    <w:rsid w:val="006E32B9"/>
    <w:rsid w:val="006E33F7"/>
    <w:rsid w:val="006E3840"/>
    <w:rsid w:val="006E3BE7"/>
    <w:rsid w:val="006E3F87"/>
    <w:rsid w:val="006E43C8"/>
    <w:rsid w:val="006E4C88"/>
    <w:rsid w:val="006E4E4C"/>
    <w:rsid w:val="006E4FB5"/>
    <w:rsid w:val="006E59C8"/>
    <w:rsid w:val="006E6FDF"/>
    <w:rsid w:val="006E7393"/>
    <w:rsid w:val="006E7F95"/>
    <w:rsid w:val="006F0397"/>
    <w:rsid w:val="006F05FC"/>
    <w:rsid w:val="006F0987"/>
    <w:rsid w:val="006F0CB8"/>
    <w:rsid w:val="006F1CA8"/>
    <w:rsid w:val="006F2075"/>
    <w:rsid w:val="006F22BC"/>
    <w:rsid w:val="006F4FFA"/>
    <w:rsid w:val="006F5496"/>
    <w:rsid w:val="006F551E"/>
    <w:rsid w:val="006F6208"/>
    <w:rsid w:val="006F7D7B"/>
    <w:rsid w:val="006F7EF1"/>
    <w:rsid w:val="0070004E"/>
    <w:rsid w:val="00700D01"/>
    <w:rsid w:val="007018B0"/>
    <w:rsid w:val="00701911"/>
    <w:rsid w:val="00701A09"/>
    <w:rsid w:val="007020B5"/>
    <w:rsid w:val="007023BE"/>
    <w:rsid w:val="00702BC1"/>
    <w:rsid w:val="00704012"/>
    <w:rsid w:val="00706E4B"/>
    <w:rsid w:val="007077D6"/>
    <w:rsid w:val="007109C0"/>
    <w:rsid w:val="007116E1"/>
    <w:rsid w:val="00711996"/>
    <w:rsid w:val="00711C9B"/>
    <w:rsid w:val="00711FFC"/>
    <w:rsid w:val="00712285"/>
    <w:rsid w:val="007128E4"/>
    <w:rsid w:val="00713A6E"/>
    <w:rsid w:val="00715A2D"/>
    <w:rsid w:val="00715A81"/>
    <w:rsid w:val="007164F4"/>
    <w:rsid w:val="00717620"/>
    <w:rsid w:val="00721291"/>
    <w:rsid w:val="007214E3"/>
    <w:rsid w:val="0072167B"/>
    <w:rsid w:val="0072237D"/>
    <w:rsid w:val="0072252C"/>
    <w:rsid w:val="007230EF"/>
    <w:rsid w:val="007235D8"/>
    <w:rsid w:val="007237AF"/>
    <w:rsid w:val="00723C41"/>
    <w:rsid w:val="00724DC2"/>
    <w:rsid w:val="00725094"/>
    <w:rsid w:val="00726235"/>
    <w:rsid w:val="0072663F"/>
    <w:rsid w:val="007267F3"/>
    <w:rsid w:val="00726C37"/>
    <w:rsid w:val="007310FD"/>
    <w:rsid w:val="0073164F"/>
    <w:rsid w:val="00731CD3"/>
    <w:rsid w:val="0073283D"/>
    <w:rsid w:val="007328B3"/>
    <w:rsid w:val="00733050"/>
    <w:rsid w:val="007330F1"/>
    <w:rsid w:val="00736236"/>
    <w:rsid w:val="00736D8E"/>
    <w:rsid w:val="007378F4"/>
    <w:rsid w:val="00740C75"/>
    <w:rsid w:val="00740F72"/>
    <w:rsid w:val="007420AC"/>
    <w:rsid w:val="00742239"/>
    <w:rsid w:val="00742444"/>
    <w:rsid w:val="00742798"/>
    <w:rsid w:val="00742CC7"/>
    <w:rsid w:val="00744E9A"/>
    <w:rsid w:val="0074573D"/>
    <w:rsid w:val="0074647F"/>
    <w:rsid w:val="0075046B"/>
    <w:rsid w:val="007509F9"/>
    <w:rsid w:val="007516BE"/>
    <w:rsid w:val="00751825"/>
    <w:rsid w:val="00752776"/>
    <w:rsid w:val="007543FC"/>
    <w:rsid w:val="00754B63"/>
    <w:rsid w:val="00754B99"/>
    <w:rsid w:val="00755CAC"/>
    <w:rsid w:val="0075622C"/>
    <w:rsid w:val="007572D4"/>
    <w:rsid w:val="00757FFA"/>
    <w:rsid w:val="00760B3D"/>
    <w:rsid w:val="00761C6E"/>
    <w:rsid w:val="00762264"/>
    <w:rsid w:val="00762870"/>
    <w:rsid w:val="00763BDB"/>
    <w:rsid w:val="0076445A"/>
    <w:rsid w:val="00764B0C"/>
    <w:rsid w:val="007650A2"/>
    <w:rsid w:val="00765969"/>
    <w:rsid w:val="007662E0"/>
    <w:rsid w:val="007668C4"/>
    <w:rsid w:val="00766DE4"/>
    <w:rsid w:val="0076799B"/>
    <w:rsid w:val="00770A00"/>
    <w:rsid w:val="007710D7"/>
    <w:rsid w:val="007718DA"/>
    <w:rsid w:val="00772DB3"/>
    <w:rsid w:val="007736BA"/>
    <w:rsid w:val="0077523D"/>
    <w:rsid w:val="0077529D"/>
    <w:rsid w:val="007753F3"/>
    <w:rsid w:val="007754BC"/>
    <w:rsid w:val="007755F2"/>
    <w:rsid w:val="00775867"/>
    <w:rsid w:val="00775D91"/>
    <w:rsid w:val="00777A01"/>
    <w:rsid w:val="00777DE6"/>
    <w:rsid w:val="00777FE8"/>
    <w:rsid w:val="007810B1"/>
    <w:rsid w:val="007817CD"/>
    <w:rsid w:val="0078301C"/>
    <w:rsid w:val="00783C61"/>
    <w:rsid w:val="0078408B"/>
    <w:rsid w:val="00784BCB"/>
    <w:rsid w:val="0078586A"/>
    <w:rsid w:val="00786E95"/>
    <w:rsid w:val="00787583"/>
    <w:rsid w:val="00790714"/>
    <w:rsid w:val="00790BAA"/>
    <w:rsid w:val="00790CDD"/>
    <w:rsid w:val="00790F30"/>
    <w:rsid w:val="007914BA"/>
    <w:rsid w:val="007917FE"/>
    <w:rsid w:val="007919A3"/>
    <w:rsid w:val="007929A8"/>
    <w:rsid w:val="00793CB3"/>
    <w:rsid w:val="0079592C"/>
    <w:rsid w:val="007960AC"/>
    <w:rsid w:val="007970E0"/>
    <w:rsid w:val="0079719E"/>
    <w:rsid w:val="007A0B1E"/>
    <w:rsid w:val="007A2CA1"/>
    <w:rsid w:val="007A34ED"/>
    <w:rsid w:val="007A4084"/>
    <w:rsid w:val="007A41D8"/>
    <w:rsid w:val="007A4D1F"/>
    <w:rsid w:val="007A5687"/>
    <w:rsid w:val="007A5EE7"/>
    <w:rsid w:val="007A6B13"/>
    <w:rsid w:val="007A6E1D"/>
    <w:rsid w:val="007A777A"/>
    <w:rsid w:val="007A7FA7"/>
    <w:rsid w:val="007B0707"/>
    <w:rsid w:val="007B07BB"/>
    <w:rsid w:val="007B175B"/>
    <w:rsid w:val="007B1889"/>
    <w:rsid w:val="007B2492"/>
    <w:rsid w:val="007B3297"/>
    <w:rsid w:val="007B4520"/>
    <w:rsid w:val="007B4B08"/>
    <w:rsid w:val="007B5134"/>
    <w:rsid w:val="007B5F84"/>
    <w:rsid w:val="007B6706"/>
    <w:rsid w:val="007B6DC5"/>
    <w:rsid w:val="007C1206"/>
    <w:rsid w:val="007C1BB1"/>
    <w:rsid w:val="007C2555"/>
    <w:rsid w:val="007C2AA3"/>
    <w:rsid w:val="007C34D2"/>
    <w:rsid w:val="007C4B17"/>
    <w:rsid w:val="007C4FEE"/>
    <w:rsid w:val="007C5628"/>
    <w:rsid w:val="007C6BFD"/>
    <w:rsid w:val="007C6FDD"/>
    <w:rsid w:val="007D2BEC"/>
    <w:rsid w:val="007D2D25"/>
    <w:rsid w:val="007D2E17"/>
    <w:rsid w:val="007D440F"/>
    <w:rsid w:val="007D44A9"/>
    <w:rsid w:val="007D6DCD"/>
    <w:rsid w:val="007D7015"/>
    <w:rsid w:val="007D72D8"/>
    <w:rsid w:val="007E0920"/>
    <w:rsid w:val="007E4E60"/>
    <w:rsid w:val="007E4F96"/>
    <w:rsid w:val="007E5359"/>
    <w:rsid w:val="007E6799"/>
    <w:rsid w:val="007F418F"/>
    <w:rsid w:val="007F47BF"/>
    <w:rsid w:val="007F48CF"/>
    <w:rsid w:val="007F573B"/>
    <w:rsid w:val="007F5B62"/>
    <w:rsid w:val="007F639B"/>
    <w:rsid w:val="007F7EB6"/>
    <w:rsid w:val="008000A0"/>
    <w:rsid w:val="0080061F"/>
    <w:rsid w:val="00801BE3"/>
    <w:rsid w:val="00802458"/>
    <w:rsid w:val="008029E6"/>
    <w:rsid w:val="0080315F"/>
    <w:rsid w:val="0080357A"/>
    <w:rsid w:val="00804BE0"/>
    <w:rsid w:val="008059DD"/>
    <w:rsid w:val="008062E4"/>
    <w:rsid w:val="008119B9"/>
    <w:rsid w:val="008122A4"/>
    <w:rsid w:val="00813484"/>
    <w:rsid w:val="00813950"/>
    <w:rsid w:val="0081566B"/>
    <w:rsid w:val="00815CDE"/>
    <w:rsid w:val="008174F6"/>
    <w:rsid w:val="00817594"/>
    <w:rsid w:val="00820294"/>
    <w:rsid w:val="00820E84"/>
    <w:rsid w:val="0082169F"/>
    <w:rsid w:val="00822C18"/>
    <w:rsid w:val="008244D8"/>
    <w:rsid w:val="00824F19"/>
    <w:rsid w:val="008255FD"/>
    <w:rsid w:val="00825B36"/>
    <w:rsid w:val="00825E9F"/>
    <w:rsid w:val="00826007"/>
    <w:rsid w:val="00826400"/>
    <w:rsid w:val="00826C41"/>
    <w:rsid w:val="00826DA8"/>
    <w:rsid w:val="0082708F"/>
    <w:rsid w:val="00827C9B"/>
    <w:rsid w:val="00827DC9"/>
    <w:rsid w:val="00827E7C"/>
    <w:rsid w:val="0083068E"/>
    <w:rsid w:val="008312DB"/>
    <w:rsid w:val="008319B3"/>
    <w:rsid w:val="0083371C"/>
    <w:rsid w:val="00833C2A"/>
    <w:rsid w:val="00833C48"/>
    <w:rsid w:val="008346E8"/>
    <w:rsid w:val="00834E95"/>
    <w:rsid w:val="00836137"/>
    <w:rsid w:val="008368B5"/>
    <w:rsid w:val="00836958"/>
    <w:rsid w:val="00836D5A"/>
    <w:rsid w:val="00837435"/>
    <w:rsid w:val="008376E7"/>
    <w:rsid w:val="008378A7"/>
    <w:rsid w:val="008410FB"/>
    <w:rsid w:val="008416C0"/>
    <w:rsid w:val="00841D4C"/>
    <w:rsid w:val="00841F5A"/>
    <w:rsid w:val="00844316"/>
    <w:rsid w:val="00845BF5"/>
    <w:rsid w:val="00845E6E"/>
    <w:rsid w:val="00847323"/>
    <w:rsid w:val="00847EA8"/>
    <w:rsid w:val="00847FAF"/>
    <w:rsid w:val="00850E43"/>
    <w:rsid w:val="0085219F"/>
    <w:rsid w:val="00852642"/>
    <w:rsid w:val="00853076"/>
    <w:rsid w:val="00853697"/>
    <w:rsid w:val="008555F2"/>
    <w:rsid w:val="00855C1F"/>
    <w:rsid w:val="0085612F"/>
    <w:rsid w:val="00856CFB"/>
    <w:rsid w:val="00857B3E"/>
    <w:rsid w:val="00857FAF"/>
    <w:rsid w:val="008621A7"/>
    <w:rsid w:val="00862229"/>
    <w:rsid w:val="008622C9"/>
    <w:rsid w:val="00862811"/>
    <w:rsid w:val="0086292D"/>
    <w:rsid w:val="008629F1"/>
    <w:rsid w:val="00862AB5"/>
    <w:rsid w:val="00862EEF"/>
    <w:rsid w:val="00864428"/>
    <w:rsid w:val="0086594F"/>
    <w:rsid w:val="00866629"/>
    <w:rsid w:val="00866C23"/>
    <w:rsid w:val="00867C24"/>
    <w:rsid w:val="0087048A"/>
    <w:rsid w:val="00871240"/>
    <w:rsid w:val="00871BEC"/>
    <w:rsid w:val="00872544"/>
    <w:rsid w:val="008729F9"/>
    <w:rsid w:val="00872B99"/>
    <w:rsid w:val="008735E0"/>
    <w:rsid w:val="0087503D"/>
    <w:rsid w:val="00875C41"/>
    <w:rsid w:val="0087646D"/>
    <w:rsid w:val="00877E4B"/>
    <w:rsid w:val="00880391"/>
    <w:rsid w:val="00881802"/>
    <w:rsid w:val="0088217B"/>
    <w:rsid w:val="0088288B"/>
    <w:rsid w:val="008833F9"/>
    <w:rsid w:val="008841A9"/>
    <w:rsid w:val="00884F86"/>
    <w:rsid w:val="008864D1"/>
    <w:rsid w:val="00887920"/>
    <w:rsid w:val="00887B3A"/>
    <w:rsid w:val="00887BB1"/>
    <w:rsid w:val="00890CBC"/>
    <w:rsid w:val="0089132C"/>
    <w:rsid w:val="008925AB"/>
    <w:rsid w:val="00892A78"/>
    <w:rsid w:val="008935D0"/>
    <w:rsid w:val="00894142"/>
    <w:rsid w:val="0089557D"/>
    <w:rsid w:val="00897139"/>
    <w:rsid w:val="008974F2"/>
    <w:rsid w:val="008A0732"/>
    <w:rsid w:val="008A0A5E"/>
    <w:rsid w:val="008A215B"/>
    <w:rsid w:val="008A2891"/>
    <w:rsid w:val="008A28A7"/>
    <w:rsid w:val="008A3D0A"/>
    <w:rsid w:val="008A52BC"/>
    <w:rsid w:val="008A5DEC"/>
    <w:rsid w:val="008A6E82"/>
    <w:rsid w:val="008B0BA0"/>
    <w:rsid w:val="008B20E0"/>
    <w:rsid w:val="008B2505"/>
    <w:rsid w:val="008B2943"/>
    <w:rsid w:val="008B3C69"/>
    <w:rsid w:val="008B4C2D"/>
    <w:rsid w:val="008B5AC7"/>
    <w:rsid w:val="008B6100"/>
    <w:rsid w:val="008B69FA"/>
    <w:rsid w:val="008C0697"/>
    <w:rsid w:val="008C0C2A"/>
    <w:rsid w:val="008C1ED7"/>
    <w:rsid w:val="008C2745"/>
    <w:rsid w:val="008C2E34"/>
    <w:rsid w:val="008C3392"/>
    <w:rsid w:val="008C3B07"/>
    <w:rsid w:val="008C3E1B"/>
    <w:rsid w:val="008C46AE"/>
    <w:rsid w:val="008C4E6F"/>
    <w:rsid w:val="008C5632"/>
    <w:rsid w:val="008C5C8A"/>
    <w:rsid w:val="008C5F1F"/>
    <w:rsid w:val="008C6BA4"/>
    <w:rsid w:val="008C6C20"/>
    <w:rsid w:val="008D034F"/>
    <w:rsid w:val="008D0824"/>
    <w:rsid w:val="008D0A4C"/>
    <w:rsid w:val="008D1571"/>
    <w:rsid w:val="008D1C13"/>
    <w:rsid w:val="008D1E07"/>
    <w:rsid w:val="008D2570"/>
    <w:rsid w:val="008D26A4"/>
    <w:rsid w:val="008D2AD7"/>
    <w:rsid w:val="008D4833"/>
    <w:rsid w:val="008D51EE"/>
    <w:rsid w:val="008D561E"/>
    <w:rsid w:val="008D5874"/>
    <w:rsid w:val="008D6166"/>
    <w:rsid w:val="008E2467"/>
    <w:rsid w:val="008E2E7B"/>
    <w:rsid w:val="008E3FC5"/>
    <w:rsid w:val="008E4E99"/>
    <w:rsid w:val="008E68DC"/>
    <w:rsid w:val="008E693C"/>
    <w:rsid w:val="008E7B97"/>
    <w:rsid w:val="008F11D3"/>
    <w:rsid w:val="008F29E5"/>
    <w:rsid w:val="008F2A01"/>
    <w:rsid w:val="008F2B48"/>
    <w:rsid w:val="008F39A8"/>
    <w:rsid w:val="008F4443"/>
    <w:rsid w:val="008F4539"/>
    <w:rsid w:val="008F4AB2"/>
    <w:rsid w:val="008F58F7"/>
    <w:rsid w:val="008F61FD"/>
    <w:rsid w:val="008F6876"/>
    <w:rsid w:val="0090007E"/>
    <w:rsid w:val="0090009B"/>
    <w:rsid w:val="009008F0"/>
    <w:rsid w:val="00900E8C"/>
    <w:rsid w:val="00902260"/>
    <w:rsid w:val="0090248F"/>
    <w:rsid w:val="009027FC"/>
    <w:rsid w:val="00903881"/>
    <w:rsid w:val="0090410C"/>
    <w:rsid w:val="009046DE"/>
    <w:rsid w:val="00904CB3"/>
    <w:rsid w:val="00904EC4"/>
    <w:rsid w:val="00905299"/>
    <w:rsid w:val="009059AF"/>
    <w:rsid w:val="009072F4"/>
    <w:rsid w:val="00907F54"/>
    <w:rsid w:val="00910087"/>
    <w:rsid w:val="00910196"/>
    <w:rsid w:val="00910639"/>
    <w:rsid w:val="00910D0B"/>
    <w:rsid w:val="009125CD"/>
    <w:rsid w:val="00912850"/>
    <w:rsid w:val="0091346B"/>
    <w:rsid w:val="009164C7"/>
    <w:rsid w:val="009205F3"/>
    <w:rsid w:val="0092213E"/>
    <w:rsid w:val="0092252A"/>
    <w:rsid w:val="00922B17"/>
    <w:rsid w:val="00923255"/>
    <w:rsid w:val="00923E35"/>
    <w:rsid w:val="00923F79"/>
    <w:rsid w:val="0092452F"/>
    <w:rsid w:val="00925205"/>
    <w:rsid w:val="009259DF"/>
    <w:rsid w:val="00925CE5"/>
    <w:rsid w:val="00925D9B"/>
    <w:rsid w:val="00926CDC"/>
    <w:rsid w:val="009271A1"/>
    <w:rsid w:val="009302C2"/>
    <w:rsid w:val="00933168"/>
    <w:rsid w:val="00933EA2"/>
    <w:rsid w:val="009341D2"/>
    <w:rsid w:val="00934836"/>
    <w:rsid w:val="009359D8"/>
    <w:rsid w:val="00936130"/>
    <w:rsid w:val="00936234"/>
    <w:rsid w:val="00936707"/>
    <w:rsid w:val="0093740A"/>
    <w:rsid w:val="00940463"/>
    <w:rsid w:val="009411AE"/>
    <w:rsid w:val="00943256"/>
    <w:rsid w:val="0094334A"/>
    <w:rsid w:val="00944F78"/>
    <w:rsid w:val="009452E1"/>
    <w:rsid w:val="009454B8"/>
    <w:rsid w:val="00945C59"/>
    <w:rsid w:val="00945D4B"/>
    <w:rsid w:val="00945DAF"/>
    <w:rsid w:val="0094769D"/>
    <w:rsid w:val="0095040D"/>
    <w:rsid w:val="00950A2A"/>
    <w:rsid w:val="00950A5A"/>
    <w:rsid w:val="00950A93"/>
    <w:rsid w:val="00952985"/>
    <w:rsid w:val="009542FF"/>
    <w:rsid w:val="00955BD1"/>
    <w:rsid w:val="00956602"/>
    <w:rsid w:val="0095683C"/>
    <w:rsid w:val="00956E89"/>
    <w:rsid w:val="00957005"/>
    <w:rsid w:val="00957044"/>
    <w:rsid w:val="009571B2"/>
    <w:rsid w:val="009601E1"/>
    <w:rsid w:val="0096050B"/>
    <w:rsid w:val="009609F8"/>
    <w:rsid w:val="00960B49"/>
    <w:rsid w:val="00961790"/>
    <w:rsid w:val="0096226F"/>
    <w:rsid w:val="00964107"/>
    <w:rsid w:val="0096427C"/>
    <w:rsid w:val="00964575"/>
    <w:rsid w:val="00964A53"/>
    <w:rsid w:val="00966184"/>
    <w:rsid w:val="009672B8"/>
    <w:rsid w:val="00970517"/>
    <w:rsid w:val="0097129A"/>
    <w:rsid w:val="009717D3"/>
    <w:rsid w:val="00972217"/>
    <w:rsid w:val="0097248E"/>
    <w:rsid w:val="009729ED"/>
    <w:rsid w:val="00972A47"/>
    <w:rsid w:val="00973764"/>
    <w:rsid w:val="00974367"/>
    <w:rsid w:val="009749F3"/>
    <w:rsid w:val="00975693"/>
    <w:rsid w:val="009761BF"/>
    <w:rsid w:val="00976E83"/>
    <w:rsid w:val="00977243"/>
    <w:rsid w:val="00980214"/>
    <w:rsid w:val="00981552"/>
    <w:rsid w:val="009815CC"/>
    <w:rsid w:val="009817DE"/>
    <w:rsid w:val="009824C4"/>
    <w:rsid w:val="009842D3"/>
    <w:rsid w:val="009852DD"/>
    <w:rsid w:val="00985CAD"/>
    <w:rsid w:val="00986AC2"/>
    <w:rsid w:val="00987938"/>
    <w:rsid w:val="00987BCC"/>
    <w:rsid w:val="00990643"/>
    <w:rsid w:val="00991801"/>
    <w:rsid w:val="00991CFF"/>
    <w:rsid w:val="00992A91"/>
    <w:rsid w:val="00994474"/>
    <w:rsid w:val="00994E64"/>
    <w:rsid w:val="009951CD"/>
    <w:rsid w:val="00995AE2"/>
    <w:rsid w:val="00996204"/>
    <w:rsid w:val="0099773C"/>
    <w:rsid w:val="009978E2"/>
    <w:rsid w:val="00997935"/>
    <w:rsid w:val="009A0396"/>
    <w:rsid w:val="009A0B56"/>
    <w:rsid w:val="009A194A"/>
    <w:rsid w:val="009A2D35"/>
    <w:rsid w:val="009A42E4"/>
    <w:rsid w:val="009A4373"/>
    <w:rsid w:val="009A4571"/>
    <w:rsid w:val="009A4818"/>
    <w:rsid w:val="009A70B5"/>
    <w:rsid w:val="009A71D5"/>
    <w:rsid w:val="009A72D3"/>
    <w:rsid w:val="009B033C"/>
    <w:rsid w:val="009B1AE9"/>
    <w:rsid w:val="009B1C11"/>
    <w:rsid w:val="009B34E9"/>
    <w:rsid w:val="009B411B"/>
    <w:rsid w:val="009B53FF"/>
    <w:rsid w:val="009B56A7"/>
    <w:rsid w:val="009B7177"/>
    <w:rsid w:val="009C01C0"/>
    <w:rsid w:val="009C0702"/>
    <w:rsid w:val="009C10FE"/>
    <w:rsid w:val="009C1210"/>
    <w:rsid w:val="009C15A9"/>
    <w:rsid w:val="009C20B1"/>
    <w:rsid w:val="009C2149"/>
    <w:rsid w:val="009C3916"/>
    <w:rsid w:val="009C42CE"/>
    <w:rsid w:val="009C4658"/>
    <w:rsid w:val="009C4700"/>
    <w:rsid w:val="009C4984"/>
    <w:rsid w:val="009C51F1"/>
    <w:rsid w:val="009C5FD1"/>
    <w:rsid w:val="009C6740"/>
    <w:rsid w:val="009C6814"/>
    <w:rsid w:val="009C6D3E"/>
    <w:rsid w:val="009C7029"/>
    <w:rsid w:val="009D004B"/>
    <w:rsid w:val="009D0203"/>
    <w:rsid w:val="009D07F1"/>
    <w:rsid w:val="009D25CF"/>
    <w:rsid w:val="009D30BB"/>
    <w:rsid w:val="009D3C06"/>
    <w:rsid w:val="009D41E2"/>
    <w:rsid w:val="009D5010"/>
    <w:rsid w:val="009D5A08"/>
    <w:rsid w:val="009D5D44"/>
    <w:rsid w:val="009D5E20"/>
    <w:rsid w:val="009D764E"/>
    <w:rsid w:val="009E0370"/>
    <w:rsid w:val="009E03B4"/>
    <w:rsid w:val="009E059E"/>
    <w:rsid w:val="009E0FE9"/>
    <w:rsid w:val="009E27DA"/>
    <w:rsid w:val="009E3B38"/>
    <w:rsid w:val="009E3EB6"/>
    <w:rsid w:val="009E40D0"/>
    <w:rsid w:val="009E42E1"/>
    <w:rsid w:val="009E4451"/>
    <w:rsid w:val="009E44C3"/>
    <w:rsid w:val="009E6107"/>
    <w:rsid w:val="009E6409"/>
    <w:rsid w:val="009E659C"/>
    <w:rsid w:val="009E66EE"/>
    <w:rsid w:val="009E6F1A"/>
    <w:rsid w:val="009E713C"/>
    <w:rsid w:val="009E763B"/>
    <w:rsid w:val="009E7FBF"/>
    <w:rsid w:val="009F0C7F"/>
    <w:rsid w:val="009F1C39"/>
    <w:rsid w:val="009F266F"/>
    <w:rsid w:val="009F5359"/>
    <w:rsid w:val="009F591E"/>
    <w:rsid w:val="009F6697"/>
    <w:rsid w:val="009F760C"/>
    <w:rsid w:val="00A007FC"/>
    <w:rsid w:val="00A01D12"/>
    <w:rsid w:val="00A0220C"/>
    <w:rsid w:val="00A022BF"/>
    <w:rsid w:val="00A02CDC"/>
    <w:rsid w:val="00A03471"/>
    <w:rsid w:val="00A04DE0"/>
    <w:rsid w:val="00A12C47"/>
    <w:rsid w:val="00A1377A"/>
    <w:rsid w:val="00A139BE"/>
    <w:rsid w:val="00A13EC0"/>
    <w:rsid w:val="00A15AEA"/>
    <w:rsid w:val="00A16FAD"/>
    <w:rsid w:val="00A174E4"/>
    <w:rsid w:val="00A211F4"/>
    <w:rsid w:val="00A21D2B"/>
    <w:rsid w:val="00A2276D"/>
    <w:rsid w:val="00A23685"/>
    <w:rsid w:val="00A24626"/>
    <w:rsid w:val="00A2497E"/>
    <w:rsid w:val="00A26406"/>
    <w:rsid w:val="00A26B8B"/>
    <w:rsid w:val="00A3026C"/>
    <w:rsid w:val="00A30A64"/>
    <w:rsid w:val="00A31143"/>
    <w:rsid w:val="00A321FB"/>
    <w:rsid w:val="00A33790"/>
    <w:rsid w:val="00A339C4"/>
    <w:rsid w:val="00A3501B"/>
    <w:rsid w:val="00A36398"/>
    <w:rsid w:val="00A37377"/>
    <w:rsid w:val="00A40207"/>
    <w:rsid w:val="00A40282"/>
    <w:rsid w:val="00A404E8"/>
    <w:rsid w:val="00A419DF"/>
    <w:rsid w:val="00A41D8A"/>
    <w:rsid w:val="00A428BE"/>
    <w:rsid w:val="00A44A9D"/>
    <w:rsid w:val="00A45070"/>
    <w:rsid w:val="00A454CD"/>
    <w:rsid w:val="00A45A97"/>
    <w:rsid w:val="00A46A52"/>
    <w:rsid w:val="00A47358"/>
    <w:rsid w:val="00A47368"/>
    <w:rsid w:val="00A4771E"/>
    <w:rsid w:val="00A50359"/>
    <w:rsid w:val="00A50483"/>
    <w:rsid w:val="00A50674"/>
    <w:rsid w:val="00A50E19"/>
    <w:rsid w:val="00A512CA"/>
    <w:rsid w:val="00A5290B"/>
    <w:rsid w:val="00A52C70"/>
    <w:rsid w:val="00A54A02"/>
    <w:rsid w:val="00A54D23"/>
    <w:rsid w:val="00A56BDE"/>
    <w:rsid w:val="00A56F48"/>
    <w:rsid w:val="00A60001"/>
    <w:rsid w:val="00A600A7"/>
    <w:rsid w:val="00A60652"/>
    <w:rsid w:val="00A62818"/>
    <w:rsid w:val="00A63759"/>
    <w:rsid w:val="00A63D6C"/>
    <w:rsid w:val="00A641E1"/>
    <w:rsid w:val="00A64A53"/>
    <w:rsid w:val="00A64B22"/>
    <w:rsid w:val="00A65114"/>
    <w:rsid w:val="00A651CE"/>
    <w:rsid w:val="00A65A1B"/>
    <w:rsid w:val="00A65E60"/>
    <w:rsid w:val="00A66B8E"/>
    <w:rsid w:val="00A671E5"/>
    <w:rsid w:val="00A70477"/>
    <w:rsid w:val="00A708B8"/>
    <w:rsid w:val="00A71089"/>
    <w:rsid w:val="00A71B2D"/>
    <w:rsid w:val="00A72881"/>
    <w:rsid w:val="00A73CED"/>
    <w:rsid w:val="00A74AB7"/>
    <w:rsid w:val="00A753E5"/>
    <w:rsid w:val="00A758B6"/>
    <w:rsid w:val="00A761C3"/>
    <w:rsid w:val="00A762C6"/>
    <w:rsid w:val="00A8072B"/>
    <w:rsid w:val="00A815D6"/>
    <w:rsid w:val="00A8225E"/>
    <w:rsid w:val="00A83A00"/>
    <w:rsid w:val="00A83D8D"/>
    <w:rsid w:val="00A83FEB"/>
    <w:rsid w:val="00A8453A"/>
    <w:rsid w:val="00A857E6"/>
    <w:rsid w:val="00A87325"/>
    <w:rsid w:val="00A87F19"/>
    <w:rsid w:val="00A90B6F"/>
    <w:rsid w:val="00A91D59"/>
    <w:rsid w:val="00A92542"/>
    <w:rsid w:val="00A92A3E"/>
    <w:rsid w:val="00A93635"/>
    <w:rsid w:val="00A93C8F"/>
    <w:rsid w:val="00A94FBD"/>
    <w:rsid w:val="00A97046"/>
    <w:rsid w:val="00A9758D"/>
    <w:rsid w:val="00AA0718"/>
    <w:rsid w:val="00AA18F0"/>
    <w:rsid w:val="00AA2340"/>
    <w:rsid w:val="00AA269C"/>
    <w:rsid w:val="00AA2737"/>
    <w:rsid w:val="00AA2806"/>
    <w:rsid w:val="00AA4497"/>
    <w:rsid w:val="00AA4550"/>
    <w:rsid w:val="00AA5FD5"/>
    <w:rsid w:val="00AA6406"/>
    <w:rsid w:val="00AA6749"/>
    <w:rsid w:val="00AA6DE2"/>
    <w:rsid w:val="00AA715F"/>
    <w:rsid w:val="00AA797E"/>
    <w:rsid w:val="00AA7CE1"/>
    <w:rsid w:val="00AB1BF0"/>
    <w:rsid w:val="00AB2DE0"/>
    <w:rsid w:val="00AB3121"/>
    <w:rsid w:val="00AB420D"/>
    <w:rsid w:val="00AB45FD"/>
    <w:rsid w:val="00AB498D"/>
    <w:rsid w:val="00AB5BFA"/>
    <w:rsid w:val="00AB6663"/>
    <w:rsid w:val="00AB71A9"/>
    <w:rsid w:val="00AC06FB"/>
    <w:rsid w:val="00AC1030"/>
    <w:rsid w:val="00AC3175"/>
    <w:rsid w:val="00AC38BD"/>
    <w:rsid w:val="00AC3C2E"/>
    <w:rsid w:val="00AC3C31"/>
    <w:rsid w:val="00AC4FA1"/>
    <w:rsid w:val="00AC4FA3"/>
    <w:rsid w:val="00AC5263"/>
    <w:rsid w:val="00AC61CF"/>
    <w:rsid w:val="00AC6253"/>
    <w:rsid w:val="00AC6283"/>
    <w:rsid w:val="00AC62BA"/>
    <w:rsid w:val="00AC741B"/>
    <w:rsid w:val="00AD00F8"/>
    <w:rsid w:val="00AD0281"/>
    <w:rsid w:val="00AD0C29"/>
    <w:rsid w:val="00AD10B1"/>
    <w:rsid w:val="00AD2041"/>
    <w:rsid w:val="00AD23D5"/>
    <w:rsid w:val="00AD29C1"/>
    <w:rsid w:val="00AD35B9"/>
    <w:rsid w:val="00AD37DC"/>
    <w:rsid w:val="00AD3EF5"/>
    <w:rsid w:val="00AD419B"/>
    <w:rsid w:val="00AD5693"/>
    <w:rsid w:val="00AD5B8F"/>
    <w:rsid w:val="00AD69C5"/>
    <w:rsid w:val="00AD7F47"/>
    <w:rsid w:val="00AE005C"/>
    <w:rsid w:val="00AE2261"/>
    <w:rsid w:val="00AE22A8"/>
    <w:rsid w:val="00AE377B"/>
    <w:rsid w:val="00AE3A26"/>
    <w:rsid w:val="00AE3BF6"/>
    <w:rsid w:val="00AE433E"/>
    <w:rsid w:val="00AE4582"/>
    <w:rsid w:val="00AE4AA8"/>
    <w:rsid w:val="00AE4B19"/>
    <w:rsid w:val="00AE5516"/>
    <w:rsid w:val="00AE5CBB"/>
    <w:rsid w:val="00AE621E"/>
    <w:rsid w:val="00AF224E"/>
    <w:rsid w:val="00AF24E3"/>
    <w:rsid w:val="00AF330E"/>
    <w:rsid w:val="00AF4FA9"/>
    <w:rsid w:val="00AF7077"/>
    <w:rsid w:val="00AF7FA5"/>
    <w:rsid w:val="00AF7FC6"/>
    <w:rsid w:val="00B0138A"/>
    <w:rsid w:val="00B0199F"/>
    <w:rsid w:val="00B01EA4"/>
    <w:rsid w:val="00B02538"/>
    <w:rsid w:val="00B02669"/>
    <w:rsid w:val="00B046AD"/>
    <w:rsid w:val="00B05656"/>
    <w:rsid w:val="00B05A10"/>
    <w:rsid w:val="00B06784"/>
    <w:rsid w:val="00B067C6"/>
    <w:rsid w:val="00B075CA"/>
    <w:rsid w:val="00B07F05"/>
    <w:rsid w:val="00B11521"/>
    <w:rsid w:val="00B115A9"/>
    <w:rsid w:val="00B136D5"/>
    <w:rsid w:val="00B14864"/>
    <w:rsid w:val="00B151A4"/>
    <w:rsid w:val="00B16983"/>
    <w:rsid w:val="00B17B09"/>
    <w:rsid w:val="00B21D61"/>
    <w:rsid w:val="00B21E02"/>
    <w:rsid w:val="00B228AB"/>
    <w:rsid w:val="00B236C8"/>
    <w:rsid w:val="00B23D8A"/>
    <w:rsid w:val="00B23EA5"/>
    <w:rsid w:val="00B25258"/>
    <w:rsid w:val="00B2528B"/>
    <w:rsid w:val="00B253DB"/>
    <w:rsid w:val="00B25A6F"/>
    <w:rsid w:val="00B27777"/>
    <w:rsid w:val="00B305A3"/>
    <w:rsid w:val="00B31ED9"/>
    <w:rsid w:val="00B3219E"/>
    <w:rsid w:val="00B322A1"/>
    <w:rsid w:val="00B32EB2"/>
    <w:rsid w:val="00B3303E"/>
    <w:rsid w:val="00B3374B"/>
    <w:rsid w:val="00B342E4"/>
    <w:rsid w:val="00B349DC"/>
    <w:rsid w:val="00B35C14"/>
    <w:rsid w:val="00B36C03"/>
    <w:rsid w:val="00B37A90"/>
    <w:rsid w:val="00B37C93"/>
    <w:rsid w:val="00B413B2"/>
    <w:rsid w:val="00B41E67"/>
    <w:rsid w:val="00B43302"/>
    <w:rsid w:val="00B43BDA"/>
    <w:rsid w:val="00B44731"/>
    <w:rsid w:val="00B447B5"/>
    <w:rsid w:val="00B45497"/>
    <w:rsid w:val="00B4599D"/>
    <w:rsid w:val="00B46A05"/>
    <w:rsid w:val="00B46A33"/>
    <w:rsid w:val="00B46BA7"/>
    <w:rsid w:val="00B50E16"/>
    <w:rsid w:val="00B5212B"/>
    <w:rsid w:val="00B54516"/>
    <w:rsid w:val="00B54F3C"/>
    <w:rsid w:val="00B5686F"/>
    <w:rsid w:val="00B5752D"/>
    <w:rsid w:val="00B61D28"/>
    <w:rsid w:val="00B638C4"/>
    <w:rsid w:val="00B63F1A"/>
    <w:rsid w:val="00B64E05"/>
    <w:rsid w:val="00B64E5D"/>
    <w:rsid w:val="00B6690A"/>
    <w:rsid w:val="00B66AF5"/>
    <w:rsid w:val="00B66E0C"/>
    <w:rsid w:val="00B66E51"/>
    <w:rsid w:val="00B673E0"/>
    <w:rsid w:val="00B708D6"/>
    <w:rsid w:val="00B724B0"/>
    <w:rsid w:val="00B73070"/>
    <w:rsid w:val="00B738F2"/>
    <w:rsid w:val="00B742BC"/>
    <w:rsid w:val="00B75546"/>
    <w:rsid w:val="00B755CD"/>
    <w:rsid w:val="00B75795"/>
    <w:rsid w:val="00B76B8D"/>
    <w:rsid w:val="00B76C17"/>
    <w:rsid w:val="00B77042"/>
    <w:rsid w:val="00B77D1B"/>
    <w:rsid w:val="00B8192B"/>
    <w:rsid w:val="00B8278D"/>
    <w:rsid w:val="00B8325E"/>
    <w:rsid w:val="00B8424A"/>
    <w:rsid w:val="00B845D5"/>
    <w:rsid w:val="00B848D6"/>
    <w:rsid w:val="00B85A79"/>
    <w:rsid w:val="00B85C66"/>
    <w:rsid w:val="00B85D8F"/>
    <w:rsid w:val="00B86C23"/>
    <w:rsid w:val="00B87B76"/>
    <w:rsid w:val="00B87B7B"/>
    <w:rsid w:val="00B91EC2"/>
    <w:rsid w:val="00B923F1"/>
    <w:rsid w:val="00B92A67"/>
    <w:rsid w:val="00B937D1"/>
    <w:rsid w:val="00B93950"/>
    <w:rsid w:val="00B951E0"/>
    <w:rsid w:val="00B96101"/>
    <w:rsid w:val="00B9651A"/>
    <w:rsid w:val="00B976BD"/>
    <w:rsid w:val="00BA0CE4"/>
    <w:rsid w:val="00BA1292"/>
    <w:rsid w:val="00BA148D"/>
    <w:rsid w:val="00BA1883"/>
    <w:rsid w:val="00BA1EC4"/>
    <w:rsid w:val="00BA2BAC"/>
    <w:rsid w:val="00BA337B"/>
    <w:rsid w:val="00BA501E"/>
    <w:rsid w:val="00BA559F"/>
    <w:rsid w:val="00BA5A46"/>
    <w:rsid w:val="00BA69F7"/>
    <w:rsid w:val="00BA72C0"/>
    <w:rsid w:val="00BB0A8F"/>
    <w:rsid w:val="00BB1D72"/>
    <w:rsid w:val="00BB2064"/>
    <w:rsid w:val="00BB24A9"/>
    <w:rsid w:val="00BB24B4"/>
    <w:rsid w:val="00BB2566"/>
    <w:rsid w:val="00BB3857"/>
    <w:rsid w:val="00BB5925"/>
    <w:rsid w:val="00BB725E"/>
    <w:rsid w:val="00BB7EBB"/>
    <w:rsid w:val="00BC11D8"/>
    <w:rsid w:val="00BC127D"/>
    <w:rsid w:val="00BC12AB"/>
    <w:rsid w:val="00BC17A9"/>
    <w:rsid w:val="00BC1BD2"/>
    <w:rsid w:val="00BC2717"/>
    <w:rsid w:val="00BC3606"/>
    <w:rsid w:val="00BC41BA"/>
    <w:rsid w:val="00BC4CFD"/>
    <w:rsid w:val="00BC5019"/>
    <w:rsid w:val="00BC778C"/>
    <w:rsid w:val="00BC77C8"/>
    <w:rsid w:val="00BC7995"/>
    <w:rsid w:val="00BD05AF"/>
    <w:rsid w:val="00BD0D13"/>
    <w:rsid w:val="00BD0DC0"/>
    <w:rsid w:val="00BD1395"/>
    <w:rsid w:val="00BD15FC"/>
    <w:rsid w:val="00BD18E4"/>
    <w:rsid w:val="00BD2A21"/>
    <w:rsid w:val="00BD2A6C"/>
    <w:rsid w:val="00BD2CC2"/>
    <w:rsid w:val="00BD3192"/>
    <w:rsid w:val="00BD4225"/>
    <w:rsid w:val="00BD4237"/>
    <w:rsid w:val="00BD53C6"/>
    <w:rsid w:val="00BD5869"/>
    <w:rsid w:val="00BD5A75"/>
    <w:rsid w:val="00BD725E"/>
    <w:rsid w:val="00BD75B7"/>
    <w:rsid w:val="00BE0123"/>
    <w:rsid w:val="00BE0128"/>
    <w:rsid w:val="00BE062F"/>
    <w:rsid w:val="00BE14BA"/>
    <w:rsid w:val="00BE1D86"/>
    <w:rsid w:val="00BE3791"/>
    <w:rsid w:val="00BE4907"/>
    <w:rsid w:val="00BE5130"/>
    <w:rsid w:val="00BE522D"/>
    <w:rsid w:val="00BE6135"/>
    <w:rsid w:val="00BE62A1"/>
    <w:rsid w:val="00BE6414"/>
    <w:rsid w:val="00BE6B58"/>
    <w:rsid w:val="00BE7F41"/>
    <w:rsid w:val="00BF0211"/>
    <w:rsid w:val="00BF1626"/>
    <w:rsid w:val="00BF239E"/>
    <w:rsid w:val="00BF38B5"/>
    <w:rsid w:val="00BF3907"/>
    <w:rsid w:val="00BF3BE6"/>
    <w:rsid w:val="00BF4371"/>
    <w:rsid w:val="00BF4A59"/>
    <w:rsid w:val="00BF780C"/>
    <w:rsid w:val="00BF7DF1"/>
    <w:rsid w:val="00C00AB1"/>
    <w:rsid w:val="00C00D6A"/>
    <w:rsid w:val="00C01BC0"/>
    <w:rsid w:val="00C021E3"/>
    <w:rsid w:val="00C0260A"/>
    <w:rsid w:val="00C04E7F"/>
    <w:rsid w:val="00C05670"/>
    <w:rsid w:val="00C061B4"/>
    <w:rsid w:val="00C06705"/>
    <w:rsid w:val="00C06A64"/>
    <w:rsid w:val="00C0722F"/>
    <w:rsid w:val="00C0760A"/>
    <w:rsid w:val="00C110F5"/>
    <w:rsid w:val="00C1281C"/>
    <w:rsid w:val="00C13122"/>
    <w:rsid w:val="00C14BE7"/>
    <w:rsid w:val="00C15293"/>
    <w:rsid w:val="00C15C6A"/>
    <w:rsid w:val="00C15EC3"/>
    <w:rsid w:val="00C16546"/>
    <w:rsid w:val="00C16A4E"/>
    <w:rsid w:val="00C20686"/>
    <w:rsid w:val="00C22DEF"/>
    <w:rsid w:val="00C23696"/>
    <w:rsid w:val="00C24376"/>
    <w:rsid w:val="00C245F1"/>
    <w:rsid w:val="00C2566F"/>
    <w:rsid w:val="00C26914"/>
    <w:rsid w:val="00C26C22"/>
    <w:rsid w:val="00C26D7B"/>
    <w:rsid w:val="00C271F5"/>
    <w:rsid w:val="00C274D9"/>
    <w:rsid w:val="00C3059B"/>
    <w:rsid w:val="00C313EF"/>
    <w:rsid w:val="00C316E8"/>
    <w:rsid w:val="00C32B23"/>
    <w:rsid w:val="00C3338A"/>
    <w:rsid w:val="00C33728"/>
    <w:rsid w:val="00C33D8B"/>
    <w:rsid w:val="00C34231"/>
    <w:rsid w:val="00C34913"/>
    <w:rsid w:val="00C35C41"/>
    <w:rsid w:val="00C362FB"/>
    <w:rsid w:val="00C36479"/>
    <w:rsid w:val="00C36B43"/>
    <w:rsid w:val="00C37AC6"/>
    <w:rsid w:val="00C41105"/>
    <w:rsid w:val="00C423FA"/>
    <w:rsid w:val="00C42A83"/>
    <w:rsid w:val="00C44005"/>
    <w:rsid w:val="00C4451A"/>
    <w:rsid w:val="00C4461A"/>
    <w:rsid w:val="00C446E2"/>
    <w:rsid w:val="00C45A9E"/>
    <w:rsid w:val="00C4606B"/>
    <w:rsid w:val="00C47E16"/>
    <w:rsid w:val="00C506CD"/>
    <w:rsid w:val="00C522F8"/>
    <w:rsid w:val="00C52BED"/>
    <w:rsid w:val="00C52EBD"/>
    <w:rsid w:val="00C53B58"/>
    <w:rsid w:val="00C54218"/>
    <w:rsid w:val="00C547CA"/>
    <w:rsid w:val="00C54AE4"/>
    <w:rsid w:val="00C54FDF"/>
    <w:rsid w:val="00C55AA7"/>
    <w:rsid w:val="00C55E16"/>
    <w:rsid w:val="00C56988"/>
    <w:rsid w:val="00C57135"/>
    <w:rsid w:val="00C5768E"/>
    <w:rsid w:val="00C6003E"/>
    <w:rsid w:val="00C608B6"/>
    <w:rsid w:val="00C60FE1"/>
    <w:rsid w:val="00C6190F"/>
    <w:rsid w:val="00C62633"/>
    <w:rsid w:val="00C62C18"/>
    <w:rsid w:val="00C640B0"/>
    <w:rsid w:val="00C64616"/>
    <w:rsid w:val="00C64903"/>
    <w:rsid w:val="00C66A12"/>
    <w:rsid w:val="00C673A9"/>
    <w:rsid w:val="00C70DDE"/>
    <w:rsid w:val="00C74B66"/>
    <w:rsid w:val="00C74D8D"/>
    <w:rsid w:val="00C77C60"/>
    <w:rsid w:val="00C80B81"/>
    <w:rsid w:val="00C80CFA"/>
    <w:rsid w:val="00C80EF3"/>
    <w:rsid w:val="00C811C5"/>
    <w:rsid w:val="00C81531"/>
    <w:rsid w:val="00C8484E"/>
    <w:rsid w:val="00C84D33"/>
    <w:rsid w:val="00C84D73"/>
    <w:rsid w:val="00C86E26"/>
    <w:rsid w:val="00C876E7"/>
    <w:rsid w:val="00C9005F"/>
    <w:rsid w:val="00C927E8"/>
    <w:rsid w:val="00C96D5C"/>
    <w:rsid w:val="00C976A6"/>
    <w:rsid w:val="00CA0DF6"/>
    <w:rsid w:val="00CA0F27"/>
    <w:rsid w:val="00CA1097"/>
    <w:rsid w:val="00CA11B6"/>
    <w:rsid w:val="00CA14AD"/>
    <w:rsid w:val="00CA17A5"/>
    <w:rsid w:val="00CA2640"/>
    <w:rsid w:val="00CA3FF9"/>
    <w:rsid w:val="00CA5987"/>
    <w:rsid w:val="00CA606E"/>
    <w:rsid w:val="00CA7986"/>
    <w:rsid w:val="00CB0402"/>
    <w:rsid w:val="00CB0CB2"/>
    <w:rsid w:val="00CB23F8"/>
    <w:rsid w:val="00CB4889"/>
    <w:rsid w:val="00CB4CCA"/>
    <w:rsid w:val="00CB5F3F"/>
    <w:rsid w:val="00CB6042"/>
    <w:rsid w:val="00CC061E"/>
    <w:rsid w:val="00CC0A57"/>
    <w:rsid w:val="00CC1737"/>
    <w:rsid w:val="00CC1858"/>
    <w:rsid w:val="00CC1AC4"/>
    <w:rsid w:val="00CC27BD"/>
    <w:rsid w:val="00CC3A8E"/>
    <w:rsid w:val="00CC4C85"/>
    <w:rsid w:val="00CC5BC2"/>
    <w:rsid w:val="00CC6482"/>
    <w:rsid w:val="00CC6C14"/>
    <w:rsid w:val="00CD12AC"/>
    <w:rsid w:val="00CD149D"/>
    <w:rsid w:val="00CD1793"/>
    <w:rsid w:val="00CD3DE4"/>
    <w:rsid w:val="00CD63FD"/>
    <w:rsid w:val="00CD6717"/>
    <w:rsid w:val="00CD7F12"/>
    <w:rsid w:val="00CD7F34"/>
    <w:rsid w:val="00CE0629"/>
    <w:rsid w:val="00CE2AEC"/>
    <w:rsid w:val="00CE2E99"/>
    <w:rsid w:val="00CE3D11"/>
    <w:rsid w:val="00CE3D45"/>
    <w:rsid w:val="00CE44F4"/>
    <w:rsid w:val="00CE451D"/>
    <w:rsid w:val="00CE559B"/>
    <w:rsid w:val="00CE5BBA"/>
    <w:rsid w:val="00CE5F66"/>
    <w:rsid w:val="00CE6200"/>
    <w:rsid w:val="00CE723F"/>
    <w:rsid w:val="00CE7983"/>
    <w:rsid w:val="00CF0494"/>
    <w:rsid w:val="00CF0F98"/>
    <w:rsid w:val="00CF11EF"/>
    <w:rsid w:val="00CF2146"/>
    <w:rsid w:val="00CF2D9D"/>
    <w:rsid w:val="00CF3E0E"/>
    <w:rsid w:val="00CF3E61"/>
    <w:rsid w:val="00CF4152"/>
    <w:rsid w:val="00CF46FA"/>
    <w:rsid w:val="00CF5C29"/>
    <w:rsid w:val="00CF65E1"/>
    <w:rsid w:val="00CF74C8"/>
    <w:rsid w:val="00D0055A"/>
    <w:rsid w:val="00D01E4B"/>
    <w:rsid w:val="00D01FEA"/>
    <w:rsid w:val="00D02DC5"/>
    <w:rsid w:val="00D0311C"/>
    <w:rsid w:val="00D0348E"/>
    <w:rsid w:val="00D03D64"/>
    <w:rsid w:val="00D048DF"/>
    <w:rsid w:val="00D0526F"/>
    <w:rsid w:val="00D11155"/>
    <w:rsid w:val="00D14A44"/>
    <w:rsid w:val="00D157E2"/>
    <w:rsid w:val="00D16676"/>
    <w:rsid w:val="00D171E4"/>
    <w:rsid w:val="00D17C2D"/>
    <w:rsid w:val="00D17D3D"/>
    <w:rsid w:val="00D223F0"/>
    <w:rsid w:val="00D22D20"/>
    <w:rsid w:val="00D2400A"/>
    <w:rsid w:val="00D2577A"/>
    <w:rsid w:val="00D26234"/>
    <w:rsid w:val="00D267FE"/>
    <w:rsid w:val="00D30A06"/>
    <w:rsid w:val="00D31728"/>
    <w:rsid w:val="00D319A2"/>
    <w:rsid w:val="00D31F3E"/>
    <w:rsid w:val="00D32613"/>
    <w:rsid w:val="00D33775"/>
    <w:rsid w:val="00D337CC"/>
    <w:rsid w:val="00D33A15"/>
    <w:rsid w:val="00D3413C"/>
    <w:rsid w:val="00D35AA4"/>
    <w:rsid w:val="00D40410"/>
    <w:rsid w:val="00D41EC6"/>
    <w:rsid w:val="00D4278F"/>
    <w:rsid w:val="00D42A80"/>
    <w:rsid w:val="00D44922"/>
    <w:rsid w:val="00D44979"/>
    <w:rsid w:val="00D459D1"/>
    <w:rsid w:val="00D45B4D"/>
    <w:rsid w:val="00D532E8"/>
    <w:rsid w:val="00D53814"/>
    <w:rsid w:val="00D5401B"/>
    <w:rsid w:val="00D558EC"/>
    <w:rsid w:val="00D56EA8"/>
    <w:rsid w:val="00D56ED4"/>
    <w:rsid w:val="00D57657"/>
    <w:rsid w:val="00D5797F"/>
    <w:rsid w:val="00D621A7"/>
    <w:rsid w:val="00D621B8"/>
    <w:rsid w:val="00D6260D"/>
    <w:rsid w:val="00D62863"/>
    <w:rsid w:val="00D62C79"/>
    <w:rsid w:val="00D633B1"/>
    <w:rsid w:val="00D63D7D"/>
    <w:rsid w:val="00D64198"/>
    <w:rsid w:val="00D644F7"/>
    <w:rsid w:val="00D65885"/>
    <w:rsid w:val="00D66126"/>
    <w:rsid w:val="00D67A31"/>
    <w:rsid w:val="00D70A1B"/>
    <w:rsid w:val="00D7129D"/>
    <w:rsid w:val="00D74027"/>
    <w:rsid w:val="00D74829"/>
    <w:rsid w:val="00D753AB"/>
    <w:rsid w:val="00D76E5E"/>
    <w:rsid w:val="00D77CB1"/>
    <w:rsid w:val="00D77FFB"/>
    <w:rsid w:val="00D806DB"/>
    <w:rsid w:val="00D81882"/>
    <w:rsid w:val="00D82177"/>
    <w:rsid w:val="00D82901"/>
    <w:rsid w:val="00D8292F"/>
    <w:rsid w:val="00D83AC7"/>
    <w:rsid w:val="00D8401D"/>
    <w:rsid w:val="00D845BC"/>
    <w:rsid w:val="00D84600"/>
    <w:rsid w:val="00D853D3"/>
    <w:rsid w:val="00D85635"/>
    <w:rsid w:val="00D856E1"/>
    <w:rsid w:val="00D8675C"/>
    <w:rsid w:val="00D8739E"/>
    <w:rsid w:val="00D90ADC"/>
    <w:rsid w:val="00D90D83"/>
    <w:rsid w:val="00D91469"/>
    <w:rsid w:val="00D92C54"/>
    <w:rsid w:val="00D9306F"/>
    <w:rsid w:val="00D93300"/>
    <w:rsid w:val="00D94ED4"/>
    <w:rsid w:val="00D95192"/>
    <w:rsid w:val="00D95A50"/>
    <w:rsid w:val="00D9795F"/>
    <w:rsid w:val="00DA01AF"/>
    <w:rsid w:val="00DA12F9"/>
    <w:rsid w:val="00DA22EA"/>
    <w:rsid w:val="00DA3476"/>
    <w:rsid w:val="00DA38A6"/>
    <w:rsid w:val="00DA3EC5"/>
    <w:rsid w:val="00DA44AF"/>
    <w:rsid w:val="00DA5787"/>
    <w:rsid w:val="00DA67DF"/>
    <w:rsid w:val="00DA6DA7"/>
    <w:rsid w:val="00DB04D1"/>
    <w:rsid w:val="00DB1405"/>
    <w:rsid w:val="00DB1948"/>
    <w:rsid w:val="00DB1DB6"/>
    <w:rsid w:val="00DB257C"/>
    <w:rsid w:val="00DB3593"/>
    <w:rsid w:val="00DB3A36"/>
    <w:rsid w:val="00DB3FE7"/>
    <w:rsid w:val="00DB475A"/>
    <w:rsid w:val="00DB4C67"/>
    <w:rsid w:val="00DB5AB0"/>
    <w:rsid w:val="00DB6A48"/>
    <w:rsid w:val="00DB7213"/>
    <w:rsid w:val="00DB7D20"/>
    <w:rsid w:val="00DC10B7"/>
    <w:rsid w:val="00DC243F"/>
    <w:rsid w:val="00DC2CE3"/>
    <w:rsid w:val="00DC300D"/>
    <w:rsid w:val="00DC4487"/>
    <w:rsid w:val="00DC4727"/>
    <w:rsid w:val="00DC51D5"/>
    <w:rsid w:val="00DC55D8"/>
    <w:rsid w:val="00DC63E7"/>
    <w:rsid w:val="00DC7FBA"/>
    <w:rsid w:val="00DD220E"/>
    <w:rsid w:val="00DD26FA"/>
    <w:rsid w:val="00DD3010"/>
    <w:rsid w:val="00DD315D"/>
    <w:rsid w:val="00DD33A4"/>
    <w:rsid w:val="00DD3F9E"/>
    <w:rsid w:val="00DD4363"/>
    <w:rsid w:val="00DD6235"/>
    <w:rsid w:val="00DD6341"/>
    <w:rsid w:val="00DD6591"/>
    <w:rsid w:val="00DE2408"/>
    <w:rsid w:val="00DE2AA0"/>
    <w:rsid w:val="00DE3D3E"/>
    <w:rsid w:val="00DE439C"/>
    <w:rsid w:val="00DE4F0D"/>
    <w:rsid w:val="00DE4F49"/>
    <w:rsid w:val="00DE5591"/>
    <w:rsid w:val="00DE6ECB"/>
    <w:rsid w:val="00DE7194"/>
    <w:rsid w:val="00DF1CE3"/>
    <w:rsid w:val="00DF33ED"/>
    <w:rsid w:val="00DF3419"/>
    <w:rsid w:val="00DF3E6B"/>
    <w:rsid w:val="00DF5F12"/>
    <w:rsid w:val="00DF757D"/>
    <w:rsid w:val="00E00109"/>
    <w:rsid w:val="00E00E7B"/>
    <w:rsid w:val="00E01926"/>
    <w:rsid w:val="00E01B72"/>
    <w:rsid w:val="00E01BA2"/>
    <w:rsid w:val="00E02BC4"/>
    <w:rsid w:val="00E02FA5"/>
    <w:rsid w:val="00E02FEC"/>
    <w:rsid w:val="00E0403A"/>
    <w:rsid w:val="00E056D0"/>
    <w:rsid w:val="00E06474"/>
    <w:rsid w:val="00E06828"/>
    <w:rsid w:val="00E06C3C"/>
    <w:rsid w:val="00E06D34"/>
    <w:rsid w:val="00E10FDC"/>
    <w:rsid w:val="00E118D6"/>
    <w:rsid w:val="00E118F8"/>
    <w:rsid w:val="00E1288E"/>
    <w:rsid w:val="00E1419A"/>
    <w:rsid w:val="00E14F91"/>
    <w:rsid w:val="00E15955"/>
    <w:rsid w:val="00E15D60"/>
    <w:rsid w:val="00E16033"/>
    <w:rsid w:val="00E1713B"/>
    <w:rsid w:val="00E205EE"/>
    <w:rsid w:val="00E234F1"/>
    <w:rsid w:val="00E23D96"/>
    <w:rsid w:val="00E23F65"/>
    <w:rsid w:val="00E24E4A"/>
    <w:rsid w:val="00E25E2B"/>
    <w:rsid w:val="00E26593"/>
    <w:rsid w:val="00E26B69"/>
    <w:rsid w:val="00E26C60"/>
    <w:rsid w:val="00E274B4"/>
    <w:rsid w:val="00E27700"/>
    <w:rsid w:val="00E27CF3"/>
    <w:rsid w:val="00E27D9D"/>
    <w:rsid w:val="00E308C1"/>
    <w:rsid w:val="00E31FB1"/>
    <w:rsid w:val="00E32106"/>
    <w:rsid w:val="00E327B4"/>
    <w:rsid w:val="00E33246"/>
    <w:rsid w:val="00E33E1C"/>
    <w:rsid w:val="00E34154"/>
    <w:rsid w:val="00E341FA"/>
    <w:rsid w:val="00E34333"/>
    <w:rsid w:val="00E3475A"/>
    <w:rsid w:val="00E34A27"/>
    <w:rsid w:val="00E34B38"/>
    <w:rsid w:val="00E34BCB"/>
    <w:rsid w:val="00E34F68"/>
    <w:rsid w:val="00E34FCB"/>
    <w:rsid w:val="00E36CB0"/>
    <w:rsid w:val="00E40F10"/>
    <w:rsid w:val="00E42764"/>
    <w:rsid w:val="00E4349D"/>
    <w:rsid w:val="00E43F1E"/>
    <w:rsid w:val="00E45459"/>
    <w:rsid w:val="00E45707"/>
    <w:rsid w:val="00E45B9E"/>
    <w:rsid w:val="00E461C8"/>
    <w:rsid w:val="00E461DC"/>
    <w:rsid w:val="00E46E60"/>
    <w:rsid w:val="00E472E8"/>
    <w:rsid w:val="00E47AAE"/>
    <w:rsid w:val="00E50056"/>
    <w:rsid w:val="00E51516"/>
    <w:rsid w:val="00E51882"/>
    <w:rsid w:val="00E52975"/>
    <w:rsid w:val="00E53570"/>
    <w:rsid w:val="00E543D1"/>
    <w:rsid w:val="00E54D39"/>
    <w:rsid w:val="00E54E77"/>
    <w:rsid w:val="00E56853"/>
    <w:rsid w:val="00E56941"/>
    <w:rsid w:val="00E571B4"/>
    <w:rsid w:val="00E60553"/>
    <w:rsid w:val="00E611A2"/>
    <w:rsid w:val="00E61221"/>
    <w:rsid w:val="00E63386"/>
    <w:rsid w:val="00E64319"/>
    <w:rsid w:val="00E6519B"/>
    <w:rsid w:val="00E65444"/>
    <w:rsid w:val="00E66416"/>
    <w:rsid w:val="00E66503"/>
    <w:rsid w:val="00E6694B"/>
    <w:rsid w:val="00E669A8"/>
    <w:rsid w:val="00E676D9"/>
    <w:rsid w:val="00E67CC0"/>
    <w:rsid w:val="00E7004C"/>
    <w:rsid w:val="00E70C1D"/>
    <w:rsid w:val="00E71063"/>
    <w:rsid w:val="00E713BA"/>
    <w:rsid w:val="00E72D78"/>
    <w:rsid w:val="00E74185"/>
    <w:rsid w:val="00E75F20"/>
    <w:rsid w:val="00E77810"/>
    <w:rsid w:val="00E82392"/>
    <w:rsid w:val="00E82DFD"/>
    <w:rsid w:val="00E837BD"/>
    <w:rsid w:val="00E8393D"/>
    <w:rsid w:val="00E84310"/>
    <w:rsid w:val="00E8438C"/>
    <w:rsid w:val="00E84BF8"/>
    <w:rsid w:val="00E85862"/>
    <w:rsid w:val="00E86277"/>
    <w:rsid w:val="00E8629D"/>
    <w:rsid w:val="00E86C9D"/>
    <w:rsid w:val="00E87CB8"/>
    <w:rsid w:val="00E87FAF"/>
    <w:rsid w:val="00E90216"/>
    <w:rsid w:val="00E9153B"/>
    <w:rsid w:val="00E92DB6"/>
    <w:rsid w:val="00E93376"/>
    <w:rsid w:val="00E94716"/>
    <w:rsid w:val="00E95062"/>
    <w:rsid w:val="00E95C7B"/>
    <w:rsid w:val="00E9719F"/>
    <w:rsid w:val="00E97776"/>
    <w:rsid w:val="00E97D0A"/>
    <w:rsid w:val="00E97ED3"/>
    <w:rsid w:val="00EA238F"/>
    <w:rsid w:val="00EA355E"/>
    <w:rsid w:val="00EA42BE"/>
    <w:rsid w:val="00EA50C7"/>
    <w:rsid w:val="00EA587B"/>
    <w:rsid w:val="00EA7ED4"/>
    <w:rsid w:val="00EB034B"/>
    <w:rsid w:val="00EB2CE0"/>
    <w:rsid w:val="00EB2D0F"/>
    <w:rsid w:val="00EB59BD"/>
    <w:rsid w:val="00EB6552"/>
    <w:rsid w:val="00EB677F"/>
    <w:rsid w:val="00EB6BA2"/>
    <w:rsid w:val="00EB6C85"/>
    <w:rsid w:val="00EB763E"/>
    <w:rsid w:val="00EC0715"/>
    <w:rsid w:val="00EC0FAE"/>
    <w:rsid w:val="00EC3D7A"/>
    <w:rsid w:val="00EC5326"/>
    <w:rsid w:val="00EC6442"/>
    <w:rsid w:val="00EC75E1"/>
    <w:rsid w:val="00ED0A85"/>
    <w:rsid w:val="00ED0C5D"/>
    <w:rsid w:val="00ED187C"/>
    <w:rsid w:val="00ED249B"/>
    <w:rsid w:val="00ED2AB5"/>
    <w:rsid w:val="00ED3040"/>
    <w:rsid w:val="00ED3AE9"/>
    <w:rsid w:val="00ED3BA0"/>
    <w:rsid w:val="00ED4FD6"/>
    <w:rsid w:val="00ED56EF"/>
    <w:rsid w:val="00ED635D"/>
    <w:rsid w:val="00ED70ED"/>
    <w:rsid w:val="00EE0415"/>
    <w:rsid w:val="00EE18E4"/>
    <w:rsid w:val="00EE2720"/>
    <w:rsid w:val="00EE27FA"/>
    <w:rsid w:val="00EE2A5E"/>
    <w:rsid w:val="00EE3E38"/>
    <w:rsid w:val="00EE40CD"/>
    <w:rsid w:val="00EE4FE9"/>
    <w:rsid w:val="00EE5A17"/>
    <w:rsid w:val="00EE7196"/>
    <w:rsid w:val="00EE77DC"/>
    <w:rsid w:val="00EF0533"/>
    <w:rsid w:val="00EF0665"/>
    <w:rsid w:val="00EF073D"/>
    <w:rsid w:val="00EF0B47"/>
    <w:rsid w:val="00EF3866"/>
    <w:rsid w:val="00EF4148"/>
    <w:rsid w:val="00EF48C4"/>
    <w:rsid w:val="00EF4FEA"/>
    <w:rsid w:val="00EF5BE5"/>
    <w:rsid w:val="00EF5C22"/>
    <w:rsid w:val="00EF65DA"/>
    <w:rsid w:val="00F005AA"/>
    <w:rsid w:val="00F005FC"/>
    <w:rsid w:val="00F00C88"/>
    <w:rsid w:val="00F014B7"/>
    <w:rsid w:val="00F01A9F"/>
    <w:rsid w:val="00F02447"/>
    <w:rsid w:val="00F0270C"/>
    <w:rsid w:val="00F0474A"/>
    <w:rsid w:val="00F05A41"/>
    <w:rsid w:val="00F074A2"/>
    <w:rsid w:val="00F1157F"/>
    <w:rsid w:val="00F1175A"/>
    <w:rsid w:val="00F118E8"/>
    <w:rsid w:val="00F11A74"/>
    <w:rsid w:val="00F11B46"/>
    <w:rsid w:val="00F13110"/>
    <w:rsid w:val="00F13168"/>
    <w:rsid w:val="00F1755D"/>
    <w:rsid w:val="00F2063C"/>
    <w:rsid w:val="00F21B6E"/>
    <w:rsid w:val="00F22262"/>
    <w:rsid w:val="00F2238E"/>
    <w:rsid w:val="00F22744"/>
    <w:rsid w:val="00F23245"/>
    <w:rsid w:val="00F241B7"/>
    <w:rsid w:val="00F2420C"/>
    <w:rsid w:val="00F25731"/>
    <w:rsid w:val="00F26F6E"/>
    <w:rsid w:val="00F276C8"/>
    <w:rsid w:val="00F27FD5"/>
    <w:rsid w:val="00F30467"/>
    <w:rsid w:val="00F3126F"/>
    <w:rsid w:val="00F31DE1"/>
    <w:rsid w:val="00F322AE"/>
    <w:rsid w:val="00F325AC"/>
    <w:rsid w:val="00F33350"/>
    <w:rsid w:val="00F33B4D"/>
    <w:rsid w:val="00F33C78"/>
    <w:rsid w:val="00F3548E"/>
    <w:rsid w:val="00F35945"/>
    <w:rsid w:val="00F3661F"/>
    <w:rsid w:val="00F36F16"/>
    <w:rsid w:val="00F379F0"/>
    <w:rsid w:val="00F379F6"/>
    <w:rsid w:val="00F40ACB"/>
    <w:rsid w:val="00F40DC1"/>
    <w:rsid w:val="00F41734"/>
    <w:rsid w:val="00F44541"/>
    <w:rsid w:val="00F4522C"/>
    <w:rsid w:val="00F45EFC"/>
    <w:rsid w:val="00F466BC"/>
    <w:rsid w:val="00F46B90"/>
    <w:rsid w:val="00F478C3"/>
    <w:rsid w:val="00F47DCA"/>
    <w:rsid w:val="00F50115"/>
    <w:rsid w:val="00F504E7"/>
    <w:rsid w:val="00F50F04"/>
    <w:rsid w:val="00F512F4"/>
    <w:rsid w:val="00F518C5"/>
    <w:rsid w:val="00F5334C"/>
    <w:rsid w:val="00F538DB"/>
    <w:rsid w:val="00F5622E"/>
    <w:rsid w:val="00F567F9"/>
    <w:rsid w:val="00F56D5C"/>
    <w:rsid w:val="00F60B89"/>
    <w:rsid w:val="00F619A2"/>
    <w:rsid w:val="00F622F8"/>
    <w:rsid w:val="00F63A66"/>
    <w:rsid w:val="00F64991"/>
    <w:rsid w:val="00F64E38"/>
    <w:rsid w:val="00F6530C"/>
    <w:rsid w:val="00F656AC"/>
    <w:rsid w:val="00F65C8D"/>
    <w:rsid w:val="00F671A9"/>
    <w:rsid w:val="00F678AF"/>
    <w:rsid w:val="00F67FFB"/>
    <w:rsid w:val="00F70176"/>
    <w:rsid w:val="00F71657"/>
    <w:rsid w:val="00F717EC"/>
    <w:rsid w:val="00F72A3F"/>
    <w:rsid w:val="00F733BF"/>
    <w:rsid w:val="00F74310"/>
    <w:rsid w:val="00F75037"/>
    <w:rsid w:val="00F75FB7"/>
    <w:rsid w:val="00F7664B"/>
    <w:rsid w:val="00F7685F"/>
    <w:rsid w:val="00F77A0F"/>
    <w:rsid w:val="00F80220"/>
    <w:rsid w:val="00F80C6D"/>
    <w:rsid w:val="00F819A5"/>
    <w:rsid w:val="00F81C4B"/>
    <w:rsid w:val="00F83C70"/>
    <w:rsid w:val="00F85ADA"/>
    <w:rsid w:val="00F8688C"/>
    <w:rsid w:val="00F90A04"/>
    <w:rsid w:val="00F91E37"/>
    <w:rsid w:val="00F9212B"/>
    <w:rsid w:val="00F9241F"/>
    <w:rsid w:val="00F9274E"/>
    <w:rsid w:val="00F92F15"/>
    <w:rsid w:val="00F93ABF"/>
    <w:rsid w:val="00F947B3"/>
    <w:rsid w:val="00F94B66"/>
    <w:rsid w:val="00F9523E"/>
    <w:rsid w:val="00F9527E"/>
    <w:rsid w:val="00F952E9"/>
    <w:rsid w:val="00F96959"/>
    <w:rsid w:val="00F971D3"/>
    <w:rsid w:val="00F97B57"/>
    <w:rsid w:val="00FA0226"/>
    <w:rsid w:val="00FA1AC3"/>
    <w:rsid w:val="00FA2DFC"/>
    <w:rsid w:val="00FA38B3"/>
    <w:rsid w:val="00FA41D4"/>
    <w:rsid w:val="00FA466C"/>
    <w:rsid w:val="00FA5C13"/>
    <w:rsid w:val="00FA5D20"/>
    <w:rsid w:val="00FA6597"/>
    <w:rsid w:val="00FA66B4"/>
    <w:rsid w:val="00FA6DDE"/>
    <w:rsid w:val="00FA6E39"/>
    <w:rsid w:val="00FB0AA5"/>
    <w:rsid w:val="00FB1455"/>
    <w:rsid w:val="00FB2FC8"/>
    <w:rsid w:val="00FB39FC"/>
    <w:rsid w:val="00FB48AA"/>
    <w:rsid w:val="00FB79AA"/>
    <w:rsid w:val="00FB7D1C"/>
    <w:rsid w:val="00FC004C"/>
    <w:rsid w:val="00FC072A"/>
    <w:rsid w:val="00FC09CB"/>
    <w:rsid w:val="00FC288D"/>
    <w:rsid w:val="00FC294F"/>
    <w:rsid w:val="00FC30DD"/>
    <w:rsid w:val="00FC5637"/>
    <w:rsid w:val="00FC6085"/>
    <w:rsid w:val="00FC65BC"/>
    <w:rsid w:val="00FC719F"/>
    <w:rsid w:val="00FC7A82"/>
    <w:rsid w:val="00FD001E"/>
    <w:rsid w:val="00FD1EEE"/>
    <w:rsid w:val="00FD294F"/>
    <w:rsid w:val="00FD2F86"/>
    <w:rsid w:val="00FD485C"/>
    <w:rsid w:val="00FD4C5C"/>
    <w:rsid w:val="00FD502F"/>
    <w:rsid w:val="00FD7463"/>
    <w:rsid w:val="00FE1182"/>
    <w:rsid w:val="00FE12B6"/>
    <w:rsid w:val="00FE2220"/>
    <w:rsid w:val="00FE2DDA"/>
    <w:rsid w:val="00FE347B"/>
    <w:rsid w:val="00FE3D0A"/>
    <w:rsid w:val="00FE69B4"/>
    <w:rsid w:val="00FE77F4"/>
    <w:rsid w:val="00FE7D5A"/>
    <w:rsid w:val="00FF0828"/>
    <w:rsid w:val="00FF0AB5"/>
    <w:rsid w:val="00FF1349"/>
    <w:rsid w:val="00FF31A3"/>
    <w:rsid w:val="00FF330F"/>
    <w:rsid w:val="00FF427A"/>
    <w:rsid w:val="00FF42C1"/>
    <w:rsid w:val="00FF4D4E"/>
    <w:rsid w:val="00FF6181"/>
    <w:rsid w:val="00FF68F6"/>
    <w:rsid w:val="00FF6E4E"/>
    <w:rsid w:val="023C29EF"/>
    <w:rsid w:val="090A4FD8"/>
    <w:rsid w:val="0AB50A60"/>
    <w:rsid w:val="14DC3669"/>
    <w:rsid w:val="1B942FA7"/>
    <w:rsid w:val="1C4646C9"/>
    <w:rsid w:val="1C5F4949"/>
    <w:rsid w:val="20A551C3"/>
    <w:rsid w:val="21B613B9"/>
    <w:rsid w:val="2A0D02C0"/>
    <w:rsid w:val="2C340745"/>
    <w:rsid w:val="301321D2"/>
    <w:rsid w:val="35AD6CEC"/>
    <w:rsid w:val="367F4E5E"/>
    <w:rsid w:val="3E107622"/>
    <w:rsid w:val="3E282AA2"/>
    <w:rsid w:val="3EE0694C"/>
    <w:rsid w:val="3FC00D05"/>
    <w:rsid w:val="3FD45D43"/>
    <w:rsid w:val="406D235F"/>
    <w:rsid w:val="470053C1"/>
    <w:rsid w:val="48626171"/>
    <w:rsid w:val="4E87151F"/>
    <w:rsid w:val="522A64EF"/>
    <w:rsid w:val="52BE3C89"/>
    <w:rsid w:val="52BF5539"/>
    <w:rsid w:val="5381786E"/>
    <w:rsid w:val="54F47033"/>
    <w:rsid w:val="55AF23BB"/>
    <w:rsid w:val="5AD92182"/>
    <w:rsid w:val="5B0B58C6"/>
    <w:rsid w:val="5DD0190B"/>
    <w:rsid w:val="61D631E9"/>
    <w:rsid w:val="628942C1"/>
    <w:rsid w:val="649A61B5"/>
    <w:rsid w:val="6538211C"/>
    <w:rsid w:val="6B706D57"/>
    <w:rsid w:val="6C131EA9"/>
    <w:rsid w:val="6F2A0144"/>
    <w:rsid w:val="74B9664B"/>
    <w:rsid w:val="751E09AF"/>
    <w:rsid w:val="77FF2814"/>
    <w:rsid w:val="7A046C9D"/>
    <w:rsid w:val="7AFD7A52"/>
    <w:rsid w:val="7C5F51C7"/>
    <w:rsid w:val="7DCA4709"/>
    <w:rsid w:val="7EB90A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qFormat="1"/>
    <w:lsdException w:name="annotation text" w:semiHidden="0" w:qFormat="1"/>
    <w:lsdException w:name="header" w:semiHidden="0" w:qFormat="1"/>
    <w:lsdException w:name="footer" w:semiHidden="0" w:uiPriority="0" w:unhideWhenUsed="0" w:qFormat="1"/>
    <w:lsdException w:name="caption" w:uiPriority="35" w:qFormat="1"/>
    <w:lsdException w:name="footnote reference" w:semiHidden="0" w:qFormat="1"/>
    <w:lsdException w:name="annotation reference" w:semiHidden="0" w:uiPriority="0" w:qFormat="1"/>
    <w:lsdException w:name="Title" w:semiHidden="0" w:uiPriority="10" w:unhideWhenUsed="0" w:qFormat="1"/>
    <w:lsdException w:name="Default Paragraph Font" w:uiPriority="1"/>
    <w:lsdException w:name="Subtitle" w:semiHidden="0" w:uiPriority="11" w:unhideWhenUsed="0" w:qFormat="1"/>
    <w:lsdException w:name="Date" w:qFormat="1"/>
    <w:lsdException w:name="Hyperlink" w:semiHidden="0" w:unhideWhenUsed="0" w:qFormat="1"/>
    <w:lsdException w:name="FollowedHyperlink" w:semiHidden="0" w:qFormat="1"/>
    <w:lsdException w:name="Strong" w:semiHidden="0" w:uiPriority="22" w:unhideWhenUsed="0" w:qFormat="1"/>
    <w:lsdException w:name="Emphasis" w:semiHidden="0" w:uiPriority="20" w:unhideWhenUsed="0" w:qFormat="1"/>
    <w:lsdException w:name="Normal (Web)" w:semiHidden="0" w:qFormat="1"/>
    <w:lsdException w:name="HTML Cite" w:semiHidden="0" w:qFormat="1"/>
    <w:lsdException w:name="HTML Code" w:semiHidden="0" w:qFormat="1"/>
    <w:lsdException w:name="HTML Typewriter" w:semiHidden="0" w:qFormat="1"/>
    <w:lsdException w:name="Normal Table" w:qFormat="1"/>
    <w:lsdException w:name="annotation subject" w:semiHidden="0" w:qFormat="1"/>
    <w:lsdException w:name="Balloon Text" w:semiHidden="0"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SimSun" w:hAnsi="Times New Roman" w:cs="Times New Roman"/>
      <w:sz w:val="24"/>
      <w:szCs w:val="24"/>
      <w:lang w:val="en-GB"/>
    </w:rPr>
  </w:style>
  <w:style w:type="paragraph" w:styleId="Heading1">
    <w:name w:val="heading 1"/>
    <w:basedOn w:val="Normal"/>
    <w:next w:val="Normal"/>
    <w:link w:val="Heading1Char"/>
    <w:uiPriority w:val="9"/>
    <w:qFormat/>
    <w:pPr>
      <w:keepNext/>
      <w:keepLines/>
      <w:spacing w:before="340" w:after="330" w:line="578" w:lineRule="auto"/>
      <w:outlineLvl w:val="0"/>
    </w:pPr>
    <w:rPr>
      <w:b/>
      <w:bCs/>
      <w:kern w:val="44"/>
      <w:sz w:val="44"/>
      <w:szCs w:val="44"/>
    </w:rPr>
  </w:style>
  <w:style w:type="paragraph" w:styleId="Heading2">
    <w:name w:val="heading 2"/>
    <w:basedOn w:val="Normal"/>
    <w:next w:val="Normal"/>
    <w:link w:val="Heading2Char"/>
    <w:uiPriority w:val="9"/>
    <w:qFormat/>
    <w:pPr>
      <w:keepNext/>
      <w:keepLines/>
      <w:spacing w:before="260" w:after="260" w:line="416" w:lineRule="auto"/>
      <w:outlineLvl w:val="1"/>
    </w:pPr>
    <w:rPr>
      <w:rFonts w:ascii="Cambria" w:hAnsi="Cambria"/>
      <w:b/>
      <w:bCs/>
      <w:sz w:val="32"/>
      <w:szCs w:val="32"/>
    </w:rPr>
  </w:style>
  <w:style w:type="paragraph" w:styleId="Heading3">
    <w:name w:val="heading 3"/>
    <w:basedOn w:val="Normal"/>
    <w:next w:val="Normal"/>
    <w:link w:val="Heading3Char"/>
    <w:qFormat/>
    <w:pPr>
      <w:spacing w:before="100" w:beforeAutospacing="1" w:after="100" w:afterAutospacing="1"/>
      <w:outlineLvl w:val="2"/>
    </w:pPr>
    <w:rPr>
      <w:rFonts w:ascii="SimSun" w:hAnsi="SimSun" w:cs="SimSun"/>
      <w:b/>
      <w:bCs/>
      <w:sz w:val="27"/>
      <w:szCs w:val="27"/>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qFormat/>
    <w:rPr>
      <w:rFonts w:ascii="Tahoma" w:eastAsia="DengXian" w:hAnsi="Tahoma" w:cs="Tahoma"/>
      <w:sz w:val="16"/>
      <w:lang w:eastAsia="zh-CN"/>
    </w:rPr>
  </w:style>
  <w:style w:type="paragraph" w:styleId="Date">
    <w:name w:val="Date"/>
    <w:basedOn w:val="Normal"/>
    <w:next w:val="Normal"/>
    <w:link w:val="DateChar"/>
    <w:uiPriority w:val="99"/>
    <w:semiHidden/>
    <w:unhideWhenUsed/>
    <w:qFormat/>
    <w:pPr>
      <w:ind w:leftChars="2500" w:left="100"/>
    </w:pPr>
  </w:style>
  <w:style w:type="paragraph" w:styleId="BalloonText">
    <w:name w:val="Balloon Text"/>
    <w:basedOn w:val="Normal"/>
    <w:link w:val="BalloonTextChar"/>
    <w:uiPriority w:val="99"/>
    <w:unhideWhenUsed/>
    <w:qFormat/>
    <w:rPr>
      <w:rFonts w:ascii="Tahoma" w:eastAsia="DengXian" w:hAnsi="Tahoma" w:cs="Tahoma"/>
      <w:sz w:val="16"/>
      <w:szCs w:val="18"/>
      <w:lang w:eastAsia="zh-CN"/>
    </w:rPr>
  </w:style>
  <w:style w:type="paragraph" w:styleId="Footer">
    <w:name w:val="footer"/>
    <w:link w:val="FooterChar"/>
    <w:qFormat/>
    <w:pPr>
      <w:widowControl w:val="0"/>
      <w:tabs>
        <w:tab w:val="center" w:pos="4153"/>
        <w:tab w:val="right" w:pos="8306"/>
      </w:tabs>
    </w:pPr>
    <w:rPr>
      <w:rFonts w:ascii="Times New Roman" w:eastAsia="Arial Unicode MS" w:hAnsi="Arial Unicode MS" w:cs="Arial Unicode MS"/>
      <w:color w:val="000000"/>
      <w:kern w:val="2"/>
      <w:sz w:val="18"/>
      <w:szCs w:val="18"/>
      <w:u w:color="000000"/>
      <w:lang w:eastAsia="zh-CN"/>
    </w:rPr>
  </w:style>
  <w:style w:type="paragraph" w:styleId="Header">
    <w:name w:val="header"/>
    <w:basedOn w:val="Normal"/>
    <w:link w:val="HeaderChar"/>
    <w:uiPriority w:val="99"/>
    <w:unhideWhenUsed/>
    <w:qFormat/>
    <w:pPr>
      <w:pBdr>
        <w:bottom w:val="single" w:sz="6" w:space="1" w:color="auto"/>
      </w:pBdr>
      <w:tabs>
        <w:tab w:val="center" w:pos="4153"/>
        <w:tab w:val="right" w:pos="8306"/>
      </w:tabs>
      <w:snapToGrid w:val="0"/>
      <w:jc w:val="center"/>
    </w:pPr>
    <w:rPr>
      <w:rFonts w:eastAsia="DengXian"/>
      <w:sz w:val="18"/>
      <w:szCs w:val="18"/>
    </w:rPr>
  </w:style>
  <w:style w:type="paragraph" w:styleId="FootnoteText">
    <w:name w:val="footnote text"/>
    <w:basedOn w:val="Normal"/>
    <w:link w:val="FootnoteTextChar"/>
    <w:uiPriority w:val="99"/>
    <w:unhideWhenUsed/>
    <w:qFormat/>
    <w:pPr>
      <w:snapToGrid w:val="0"/>
    </w:pPr>
    <w:rPr>
      <w:rFonts w:eastAsia="DengXian"/>
      <w:sz w:val="18"/>
      <w:szCs w:val="18"/>
    </w:rPr>
  </w:style>
  <w:style w:type="paragraph" w:styleId="NormalWeb">
    <w:name w:val="Normal (Web)"/>
    <w:basedOn w:val="Normal"/>
    <w:uiPriority w:val="99"/>
    <w:unhideWhenUsed/>
    <w:qFormat/>
    <w:pPr>
      <w:textAlignment w:val="baseline"/>
    </w:pPr>
    <w:rPr>
      <w:lang w:eastAsia="zh-CN"/>
    </w:rPr>
  </w:style>
  <w:style w:type="paragraph" w:styleId="CommentSubject">
    <w:name w:val="annotation subject"/>
    <w:basedOn w:val="CommentText"/>
    <w:next w:val="CommentText"/>
    <w:link w:val="CommentSubjectChar"/>
    <w:uiPriority w:val="99"/>
    <w:unhideWhenUsed/>
    <w:qFormat/>
    <w:rPr>
      <w:rFonts w:ascii="Times New Roman" w:hAnsi="Times New Roman" w:cs="Times New Roman"/>
      <w:b/>
      <w:bCs/>
      <w:sz w:val="24"/>
    </w:rPr>
  </w:style>
  <w:style w:type="table" w:styleId="TableGrid">
    <w:name w:val="Table Grid"/>
    <w:basedOn w:val="TableNormal"/>
    <w:uiPriority w:val="39"/>
    <w:qFormat/>
    <w:rPr>
      <w:rFonts w:ascii="Times New Roman" w:eastAsia="SimSu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Pr>
      <w:b/>
      <w:sz w:val="24"/>
      <w:szCs w:val="24"/>
      <w:vertAlign w:val="baseline"/>
    </w:rPr>
  </w:style>
  <w:style w:type="character" w:styleId="FollowedHyperlink">
    <w:name w:val="FollowedHyperlink"/>
    <w:uiPriority w:val="99"/>
    <w:unhideWhenUsed/>
    <w:qFormat/>
    <w:rPr>
      <w:color w:val="316C9D"/>
      <w:sz w:val="24"/>
      <w:szCs w:val="24"/>
      <w:u w:val="none"/>
      <w:vertAlign w:val="baseline"/>
    </w:rPr>
  </w:style>
  <w:style w:type="character" w:styleId="Emphasis">
    <w:name w:val="Emphasis"/>
    <w:uiPriority w:val="20"/>
    <w:qFormat/>
    <w:rPr>
      <w:i/>
      <w:color w:val="316C9D"/>
      <w:sz w:val="24"/>
      <w:szCs w:val="24"/>
      <w:vertAlign w:val="baseline"/>
    </w:rPr>
  </w:style>
  <w:style w:type="character" w:styleId="HTMLTypewriter">
    <w:name w:val="HTML Typewriter"/>
    <w:uiPriority w:val="99"/>
    <w:unhideWhenUsed/>
    <w:qFormat/>
    <w:rPr>
      <w:rFonts w:ascii="Courier New" w:hAnsi="Courier New"/>
      <w:sz w:val="18"/>
      <w:szCs w:val="18"/>
    </w:rPr>
  </w:style>
  <w:style w:type="character" w:styleId="Hyperlink">
    <w:name w:val="Hyperlink"/>
    <w:uiPriority w:val="99"/>
    <w:qFormat/>
    <w:rPr>
      <w:u w:val="single"/>
    </w:rPr>
  </w:style>
  <w:style w:type="character" w:styleId="HTMLCode">
    <w:name w:val="HTML Code"/>
    <w:uiPriority w:val="99"/>
    <w:unhideWhenUsed/>
    <w:qFormat/>
    <w:rPr>
      <w:rFonts w:ascii="Courier New" w:hAnsi="Courier New"/>
      <w:sz w:val="24"/>
      <w:szCs w:val="24"/>
      <w:vertAlign w:val="baseline"/>
    </w:rPr>
  </w:style>
  <w:style w:type="character" w:styleId="CommentReference">
    <w:name w:val="annotation reference"/>
    <w:unhideWhenUsed/>
    <w:qFormat/>
    <w:rPr>
      <w:sz w:val="21"/>
      <w:szCs w:val="21"/>
    </w:rPr>
  </w:style>
  <w:style w:type="character" w:styleId="HTMLCite">
    <w:name w:val="HTML Cite"/>
    <w:uiPriority w:val="99"/>
    <w:unhideWhenUsed/>
    <w:qFormat/>
    <w:rPr>
      <w:i/>
      <w:sz w:val="24"/>
      <w:szCs w:val="24"/>
      <w:vertAlign w:val="baseline"/>
    </w:rPr>
  </w:style>
  <w:style w:type="character" w:styleId="FootnoteReference">
    <w:name w:val="footnote reference"/>
    <w:uiPriority w:val="99"/>
    <w:unhideWhenUsed/>
    <w:qFormat/>
    <w:rPr>
      <w:vertAlign w:val="superscript"/>
    </w:rPr>
  </w:style>
  <w:style w:type="character" w:customStyle="1" w:styleId="Heading1Char">
    <w:name w:val="Heading 1 Char"/>
    <w:link w:val="Heading1"/>
    <w:uiPriority w:val="9"/>
    <w:qFormat/>
    <w:rPr>
      <w:rFonts w:ascii="Times New Roman" w:eastAsia="SimSun" w:hAnsi="Times New Roman" w:cs="Times New Roman"/>
      <w:b/>
      <w:bCs/>
      <w:kern w:val="44"/>
      <w:sz w:val="44"/>
      <w:szCs w:val="44"/>
      <w:lang w:val="en-GB" w:eastAsia="en-US"/>
    </w:rPr>
  </w:style>
  <w:style w:type="character" w:customStyle="1" w:styleId="Heading2Char">
    <w:name w:val="Heading 2 Char"/>
    <w:link w:val="Heading2"/>
    <w:uiPriority w:val="9"/>
    <w:qFormat/>
    <w:rPr>
      <w:rFonts w:ascii="Cambria" w:eastAsia="SimSun" w:hAnsi="Cambria" w:cs="Times New Roman"/>
      <w:b/>
      <w:bCs/>
      <w:kern w:val="0"/>
      <w:sz w:val="32"/>
      <w:szCs w:val="32"/>
      <w:lang w:val="en-GB" w:eastAsia="en-US"/>
    </w:rPr>
  </w:style>
  <w:style w:type="character" w:customStyle="1" w:styleId="Heading3Char">
    <w:name w:val="Heading 3 Char"/>
    <w:link w:val="Heading3"/>
    <w:qFormat/>
    <w:rPr>
      <w:rFonts w:ascii="SimSun" w:eastAsia="SimSun" w:hAnsi="SimSun" w:cs="SimSun"/>
      <w:b/>
      <w:bCs/>
      <w:kern w:val="0"/>
      <w:sz w:val="27"/>
      <w:szCs w:val="27"/>
      <w:lang w:val="en-GB"/>
    </w:rPr>
  </w:style>
  <w:style w:type="character" w:customStyle="1" w:styleId="CommentTextChar">
    <w:name w:val="Comment Text Char"/>
    <w:link w:val="CommentText"/>
    <w:uiPriority w:val="99"/>
    <w:qFormat/>
    <w:rPr>
      <w:rFonts w:ascii="Tahoma" w:eastAsia="DengXian" w:hAnsi="Tahoma" w:cs="Tahoma"/>
      <w:kern w:val="0"/>
      <w:sz w:val="16"/>
      <w:szCs w:val="24"/>
      <w:lang w:val="en-GB"/>
    </w:rPr>
  </w:style>
  <w:style w:type="character" w:customStyle="1" w:styleId="CommentSubjectChar">
    <w:name w:val="Comment Subject Char"/>
    <w:link w:val="CommentSubject"/>
    <w:uiPriority w:val="99"/>
    <w:qFormat/>
    <w:rPr>
      <w:rFonts w:ascii="Times New Roman" w:eastAsia="DengXian" w:hAnsi="Times New Roman" w:cs="Times New Roman"/>
      <w:b/>
      <w:bCs/>
      <w:kern w:val="0"/>
      <w:sz w:val="24"/>
      <w:szCs w:val="24"/>
      <w:lang w:val="en-GB"/>
    </w:rPr>
  </w:style>
  <w:style w:type="character" w:customStyle="1" w:styleId="BalloonTextChar">
    <w:name w:val="Balloon Text Char"/>
    <w:link w:val="BalloonText"/>
    <w:uiPriority w:val="99"/>
    <w:qFormat/>
    <w:rPr>
      <w:rFonts w:ascii="Tahoma" w:eastAsia="DengXian" w:hAnsi="Tahoma" w:cs="Tahoma"/>
      <w:kern w:val="0"/>
      <w:sz w:val="16"/>
      <w:szCs w:val="18"/>
      <w:lang w:val="en-GB"/>
    </w:rPr>
  </w:style>
  <w:style w:type="character" w:customStyle="1" w:styleId="FooterChar">
    <w:name w:val="Footer Char"/>
    <w:link w:val="Footer"/>
    <w:qFormat/>
    <w:rPr>
      <w:rFonts w:ascii="Times New Roman" w:eastAsia="Arial Unicode MS" w:hAnsi="Arial Unicode MS" w:cs="Arial Unicode MS"/>
      <w:color w:val="000000"/>
      <w:sz w:val="18"/>
      <w:szCs w:val="18"/>
      <w:u w:color="000000"/>
    </w:rPr>
  </w:style>
  <w:style w:type="character" w:customStyle="1" w:styleId="HeaderChar">
    <w:name w:val="Header Char"/>
    <w:link w:val="Header"/>
    <w:uiPriority w:val="99"/>
    <w:qFormat/>
    <w:rPr>
      <w:rFonts w:ascii="Times New Roman" w:eastAsia="DengXian" w:hAnsi="Times New Roman" w:cs="Times New Roman"/>
      <w:kern w:val="0"/>
      <w:sz w:val="18"/>
      <w:szCs w:val="18"/>
      <w:lang w:val="en-GB" w:eastAsia="en-US"/>
    </w:rPr>
  </w:style>
  <w:style w:type="character" w:customStyle="1" w:styleId="FootnoteTextChar">
    <w:name w:val="Footnote Text Char"/>
    <w:link w:val="FootnoteText"/>
    <w:uiPriority w:val="99"/>
    <w:qFormat/>
    <w:rPr>
      <w:rFonts w:ascii="Times New Roman" w:eastAsia="DengXian" w:hAnsi="Times New Roman" w:cs="Times New Roman"/>
      <w:kern w:val="0"/>
      <w:sz w:val="18"/>
      <w:szCs w:val="18"/>
      <w:lang w:val="en-GB" w:eastAsia="en-US"/>
    </w:rPr>
  </w:style>
  <w:style w:type="character" w:customStyle="1" w:styleId="fontstyle01">
    <w:name w:val="fontstyle01"/>
    <w:qFormat/>
    <w:rPr>
      <w:rFonts w:ascii="AdvSTP_PSTimR" w:hAnsi="AdvSTP_PSTimR" w:hint="default"/>
      <w:color w:val="000000"/>
      <w:sz w:val="20"/>
      <w:szCs w:val="20"/>
    </w:rPr>
  </w:style>
  <w:style w:type="paragraph" w:customStyle="1" w:styleId="EndNoteBibliographyTitle">
    <w:name w:val="EndNote Bibliography Title"/>
    <w:basedOn w:val="Normal"/>
    <w:link w:val="EndNoteBibliographyTitleChar"/>
    <w:qFormat/>
    <w:pPr>
      <w:jc w:val="center"/>
    </w:pPr>
    <w:rPr>
      <w:rFonts w:eastAsia="DengXian"/>
      <w:sz w:val="20"/>
      <w:lang w:eastAsia="zh-CN"/>
    </w:rPr>
  </w:style>
  <w:style w:type="character" w:customStyle="1" w:styleId="EndNoteBibliographyTitleChar">
    <w:name w:val="EndNote Bibliography Title Char"/>
    <w:link w:val="EndNoteBibliographyTitle"/>
    <w:qFormat/>
    <w:rPr>
      <w:rFonts w:ascii="Times New Roman" w:eastAsia="DengXian" w:hAnsi="Times New Roman" w:cs="Times New Roman"/>
      <w:kern w:val="0"/>
      <w:sz w:val="20"/>
      <w:szCs w:val="24"/>
      <w:lang w:val="en-GB"/>
    </w:rPr>
  </w:style>
  <w:style w:type="paragraph" w:customStyle="1" w:styleId="EndNoteBibliography">
    <w:name w:val="EndNote Bibliography"/>
    <w:basedOn w:val="Normal"/>
    <w:link w:val="EndNoteBibliographyChar"/>
    <w:qFormat/>
    <w:pPr>
      <w:spacing w:line="240" w:lineRule="auto"/>
      <w:jc w:val="both"/>
    </w:pPr>
    <w:rPr>
      <w:rFonts w:eastAsia="DengXian"/>
      <w:sz w:val="20"/>
      <w:lang w:eastAsia="zh-CN"/>
    </w:rPr>
  </w:style>
  <w:style w:type="character" w:customStyle="1" w:styleId="EndNoteBibliographyChar">
    <w:name w:val="EndNote Bibliography Char"/>
    <w:link w:val="EndNoteBibliography"/>
    <w:qFormat/>
    <w:rPr>
      <w:rFonts w:ascii="Times New Roman" w:eastAsia="DengXian" w:hAnsi="Times New Roman" w:cs="Times New Roman"/>
      <w:kern w:val="0"/>
      <w:sz w:val="20"/>
      <w:szCs w:val="24"/>
      <w:lang w:val="en-GB"/>
    </w:rPr>
  </w:style>
  <w:style w:type="paragraph" w:styleId="ListParagraph">
    <w:name w:val="List Paragraph"/>
    <w:basedOn w:val="Normal"/>
    <w:uiPriority w:val="34"/>
    <w:qFormat/>
    <w:pPr>
      <w:widowControl w:val="0"/>
      <w:ind w:firstLineChars="200" w:firstLine="420"/>
      <w:jc w:val="both"/>
    </w:pPr>
    <w:rPr>
      <w:rFonts w:ascii="Calibri" w:hAnsi="Calibri"/>
      <w:kern w:val="2"/>
      <w:sz w:val="21"/>
      <w:szCs w:val="22"/>
      <w:lang w:eastAsia="zh-CN"/>
    </w:rPr>
  </w:style>
  <w:style w:type="character" w:customStyle="1" w:styleId="downsmgreen2">
    <w:name w:val="downsm_green2"/>
    <w:qFormat/>
  </w:style>
  <w:style w:type="character" w:customStyle="1" w:styleId="collapsetext">
    <w:name w:val="collapsetext"/>
    <w:qFormat/>
  </w:style>
  <w:style w:type="character" w:customStyle="1" w:styleId="fontstyle11">
    <w:name w:val="fontstyle11"/>
    <w:qFormat/>
    <w:rPr>
      <w:rFonts w:ascii="AdvOTf9433e2d+fb" w:hAnsi="AdvOTf9433e2d+fb" w:hint="default"/>
      <w:color w:val="231F20"/>
      <w:sz w:val="20"/>
      <w:szCs w:val="20"/>
    </w:rPr>
  </w:style>
  <w:style w:type="character" w:customStyle="1" w:styleId="downsmred">
    <w:name w:val="downsm_red"/>
    <w:qFormat/>
  </w:style>
  <w:style w:type="character" w:customStyle="1" w:styleId="downsmblue2">
    <w:name w:val="downsm_blue2"/>
    <w:qFormat/>
  </w:style>
  <w:style w:type="character" w:customStyle="1" w:styleId="label">
    <w:name w:val="label"/>
    <w:qFormat/>
  </w:style>
  <w:style w:type="character" w:customStyle="1" w:styleId="divider">
    <w:name w:val="divider"/>
    <w:qFormat/>
  </w:style>
  <w:style w:type="character" w:customStyle="1" w:styleId="upsmgrey">
    <w:name w:val="upsm_grey"/>
    <w:qFormat/>
  </w:style>
  <w:style w:type="character" w:customStyle="1" w:styleId="upsmblue">
    <w:name w:val="upsm_blue"/>
    <w:qFormat/>
  </w:style>
  <w:style w:type="character" w:customStyle="1" w:styleId="fontstyle21">
    <w:name w:val="fontstyle21"/>
    <w:qFormat/>
    <w:rPr>
      <w:rFonts w:ascii="SabonLTStd-Italic" w:hAnsi="SabonLTStd-Italic" w:hint="default"/>
      <w:i/>
      <w:iCs/>
      <w:color w:val="231F20"/>
      <w:sz w:val="16"/>
      <w:szCs w:val="16"/>
    </w:rPr>
  </w:style>
  <w:style w:type="character" w:customStyle="1" w:styleId="icon1">
    <w:name w:val="icon1"/>
    <w:qFormat/>
    <w:rPr>
      <w:sz w:val="16"/>
      <w:szCs w:val="0"/>
      <w:u w:val="none"/>
    </w:rPr>
  </w:style>
  <w:style w:type="character" w:customStyle="1" w:styleId="wideformula">
    <w:name w:val="wideformula"/>
    <w:qFormat/>
  </w:style>
  <w:style w:type="character" w:customStyle="1" w:styleId="icon">
    <w:name w:val="icon"/>
    <w:qFormat/>
    <w:rPr>
      <w:sz w:val="16"/>
      <w:szCs w:val="0"/>
      <w:u w:val="none"/>
    </w:rPr>
  </w:style>
  <w:style w:type="character" w:customStyle="1" w:styleId="articlealttitle">
    <w:name w:val="articlealttitle"/>
    <w:qFormat/>
  </w:style>
  <w:style w:type="character" w:customStyle="1" w:styleId="interref1">
    <w:name w:val="interref1"/>
    <w:qFormat/>
  </w:style>
  <w:style w:type="character" w:customStyle="1" w:styleId="expandtext">
    <w:name w:val="expandtext"/>
    <w:qFormat/>
  </w:style>
  <w:style w:type="character" w:customStyle="1" w:styleId="a">
    <w:name w:val="红色"/>
    <w:qFormat/>
    <w:rPr>
      <w:color w:val="C82505"/>
      <w:lang w:val="en-US"/>
    </w:rPr>
  </w:style>
  <w:style w:type="character" w:customStyle="1" w:styleId="downsmscidir">
    <w:name w:val="downsm_sci_dir"/>
    <w:qFormat/>
  </w:style>
  <w:style w:type="character" w:customStyle="1" w:styleId="formulatext">
    <w:name w:val="formulatext"/>
    <w:qFormat/>
    <w:rPr>
      <w:spacing w:val="21"/>
    </w:rPr>
  </w:style>
  <w:style w:type="character" w:customStyle="1" w:styleId="downsmgreen">
    <w:name w:val="downsm_green"/>
    <w:qFormat/>
  </w:style>
  <w:style w:type="character" w:customStyle="1" w:styleId="showhideicon">
    <w:name w:val="showhideicon"/>
    <w:qFormat/>
  </w:style>
  <w:style w:type="character" w:customStyle="1" w:styleId="usrname">
    <w:name w:val="usrname"/>
    <w:qFormat/>
    <w:rPr>
      <w:color w:val="990000"/>
    </w:rPr>
  </w:style>
  <w:style w:type="character" w:customStyle="1" w:styleId="fontstyle31">
    <w:name w:val="fontstyle31"/>
    <w:qFormat/>
    <w:rPr>
      <w:rFonts w:ascii="SabonLTStd-Bold" w:hAnsi="SabonLTStd-Bold" w:hint="default"/>
      <w:b/>
      <w:bCs/>
      <w:color w:val="231F20"/>
      <w:sz w:val="16"/>
      <w:szCs w:val="16"/>
    </w:rPr>
  </w:style>
  <w:style w:type="character" w:customStyle="1" w:styleId="rerunlink">
    <w:name w:val="rerunlink"/>
    <w:qFormat/>
    <w:rPr>
      <w:b/>
    </w:rPr>
  </w:style>
  <w:style w:type="character" w:customStyle="1" w:styleId="upsmorange">
    <w:name w:val="upsm_orange"/>
    <w:qFormat/>
  </w:style>
  <w:style w:type="character" w:customStyle="1" w:styleId="upsmscidir">
    <w:name w:val="upsm_sci_dir"/>
    <w:qFormat/>
  </w:style>
  <w:style w:type="character" w:customStyle="1" w:styleId="downsmorange">
    <w:name w:val="downsm_orange"/>
    <w:qFormat/>
  </w:style>
  <w:style w:type="character" w:customStyle="1" w:styleId="imgfulldiv">
    <w:name w:val="imgfull+div"/>
    <w:qFormat/>
  </w:style>
  <w:style w:type="character" w:customStyle="1" w:styleId="upsmgreen">
    <w:name w:val="upsm_green"/>
    <w:qFormat/>
  </w:style>
  <w:style w:type="character" w:customStyle="1" w:styleId="iconarrow">
    <w:name w:val="iconarrow"/>
    <w:qFormat/>
  </w:style>
  <w:style w:type="character" w:customStyle="1" w:styleId="infoiconie">
    <w:name w:val="infoicon_ie"/>
    <w:qFormat/>
  </w:style>
  <w:style w:type="character" w:customStyle="1" w:styleId="subtext">
    <w:name w:val="subtext"/>
    <w:qFormat/>
    <w:rPr>
      <w:color w:val="5C5C5C"/>
    </w:rPr>
  </w:style>
  <w:style w:type="character" w:customStyle="1" w:styleId="hovertext">
    <w:name w:val="hovertext"/>
    <w:qFormat/>
    <w:rPr>
      <w:b/>
      <w:color w:val="5C5C5C"/>
      <w:sz w:val="22"/>
      <w:szCs w:val="22"/>
      <w:u w:val="none"/>
    </w:rPr>
  </w:style>
  <w:style w:type="character" w:customStyle="1" w:styleId="hit">
    <w:name w:val="hit"/>
    <w:qFormat/>
    <w:rPr>
      <w:shd w:val="clear" w:color="auto" w:fill="FFFFDD"/>
    </w:rPr>
  </w:style>
  <w:style w:type="character" w:customStyle="1" w:styleId="hovericon">
    <w:name w:val="hovericon"/>
    <w:qFormat/>
  </w:style>
  <w:style w:type="character" w:customStyle="1" w:styleId="exportarrow">
    <w:name w:val="exportarrow"/>
    <w:qFormat/>
  </w:style>
  <w:style w:type="character" w:customStyle="1" w:styleId="sansserif">
    <w:name w:val="sansserif"/>
    <w:qFormat/>
    <w:rPr>
      <w:rFonts w:ascii="sans-serif" w:eastAsia="sans-serif" w:hAnsi="sans-serif" w:cs="sans-serif"/>
    </w:rPr>
  </w:style>
  <w:style w:type="character" w:customStyle="1" w:styleId="EndNoteCategoryHeadingChar">
    <w:name w:val="EndNote Category Heading Char"/>
    <w:link w:val="EndNoteCategoryHeading"/>
    <w:qFormat/>
    <w:rPr>
      <w:rFonts w:eastAsia="Arial Unicode MS" w:hAnsi="Arial Unicode MS" w:cs="Arial Unicode MS"/>
      <w:b/>
      <w:color w:val="000000"/>
      <w:sz w:val="24"/>
      <w:szCs w:val="24"/>
      <w:u w:color="000000"/>
      <w:lang w:eastAsia="en-US"/>
    </w:rPr>
  </w:style>
  <w:style w:type="paragraph" w:customStyle="1" w:styleId="EndNoteCategoryHeading">
    <w:name w:val="EndNote Category Heading"/>
    <w:basedOn w:val="Normal"/>
    <w:link w:val="EndNoteCategoryHeadingChar"/>
    <w:qFormat/>
    <w:pPr>
      <w:spacing w:before="120" w:after="120"/>
    </w:pPr>
    <w:rPr>
      <w:rFonts w:asciiTheme="minorHAnsi" w:eastAsia="Arial Unicode MS" w:hAnsi="Arial Unicode MS" w:cs="Arial Unicode MS"/>
      <w:b/>
      <w:color w:val="000000"/>
      <w:kern w:val="2"/>
      <w:u w:color="000000"/>
      <w:lang w:val="en-US"/>
    </w:rPr>
  </w:style>
  <w:style w:type="character" w:customStyle="1" w:styleId="downsmgrey2">
    <w:name w:val="downsm_grey2"/>
    <w:qFormat/>
  </w:style>
  <w:style w:type="character" w:customStyle="1" w:styleId="crossout">
    <w:name w:val="crossout"/>
    <w:qFormat/>
    <w:rPr>
      <w:strike/>
    </w:rPr>
  </w:style>
  <w:style w:type="character" w:customStyle="1" w:styleId="interref">
    <w:name w:val="interref"/>
    <w:qFormat/>
  </w:style>
  <w:style w:type="character" w:customStyle="1" w:styleId="poet">
    <w:name w:val="poet"/>
    <w:qFormat/>
  </w:style>
  <w:style w:type="character" w:customStyle="1" w:styleId="score">
    <w:name w:val="score"/>
    <w:qFormat/>
    <w:rPr>
      <w:b/>
      <w:color w:val="999999"/>
      <w:sz w:val="27"/>
      <w:szCs w:val="27"/>
    </w:rPr>
  </w:style>
  <w:style w:type="character" w:customStyle="1" w:styleId="mathcodespan">
    <w:name w:val="mathcode&gt;span"/>
    <w:qFormat/>
  </w:style>
  <w:style w:type="character" w:customStyle="1" w:styleId="downsmgrey">
    <w:name w:val="downsm_grey"/>
    <w:qFormat/>
  </w:style>
  <w:style w:type="character" w:customStyle="1" w:styleId="AChar">
    <w:name w:val="正文 A Char"/>
    <w:link w:val="A0"/>
    <w:qFormat/>
    <w:rPr>
      <w:rFonts w:eastAsia="Arial Unicode MS" w:hAnsi="Arial Unicode MS" w:cs="Arial Unicode MS"/>
      <w:color w:val="000000"/>
      <w:szCs w:val="21"/>
      <w:u w:color="000000"/>
    </w:rPr>
  </w:style>
  <w:style w:type="paragraph" w:customStyle="1" w:styleId="A0">
    <w:name w:val="正文 A"/>
    <w:link w:val="AChar"/>
    <w:qFormat/>
    <w:pPr>
      <w:widowControl w:val="0"/>
      <w:jc w:val="both"/>
    </w:pPr>
    <w:rPr>
      <w:rFonts w:eastAsia="Arial Unicode MS" w:hAnsi="Arial Unicode MS" w:cs="Arial Unicode MS"/>
      <w:color w:val="000000"/>
      <w:kern w:val="2"/>
      <w:sz w:val="21"/>
      <w:szCs w:val="21"/>
      <w:u w:color="000000"/>
      <w:lang w:eastAsia="zh-CN"/>
    </w:rPr>
  </w:style>
  <w:style w:type="character" w:customStyle="1" w:styleId="underline">
    <w:name w:val="underline"/>
    <w:qFormat/>
    <w:rPr>
      <w:u w:val="single"/>
    </w:rPr>
  </w:style>
  <w:style w:type="character" w:customStyle="1" w:styleId="mathcode">
    <w:name w:val="mathcode"/>
    <w:qFormat/>
  </w:style>
  <w:style w:type="character" w:customStyle="1" w:styleId="hover20">
    <w:name w:val="hover20"/>
    <w:qFormat/>
    <w:rPr>
      <w:u w:val="none"/>
    </w:rPr>
  </w:style>
  <w:style w:type="character" w:customStyle="1" w:styleId="upsmred">
    <w:name w:val="upsm_red"/>
    <w:qFormat/>
  </w:style>
  <w:style w:type="character" w:customStyle="1" w:styleId="smallcaps">
    <w:name w:val="smallcaps"/>
    <w:qFormat/>
    <w:rPr>
      <w:smallCaps/>
    </w:rPr>
  </w:style>
  <w:style w:type="paragraph" w:customStyle="1" w:styleId="1">
    <w:name w:val="修订1"/>
    <w:uiPriority w:val="99"/>
    <w:semiHidden/>
    <w:qFormat/>
    <w:rPr>
      <w:rFonts w:ascii="Times New Roman" w:eastAsia="SimSun" w:hAnsi="Times New Roman" w:cs="Times New Roman"/>
      <w:sz w:val="24"/>
      <w:szCs w:val="24"/>
    </w:rPr>
  </w:style>
  <w:style w:type="character" w:customStyle="1" w:styleId="Char1">
    <w:name w:val="批注主题 Char1"/>
    <w:uiPriority w:val="99"/>
    <w:semiHidden/>
    <w:qFormat/>
    <w:rPr>
      <w:rFonts w:ascii="Tahoma" w:eastAsia="SimSun" w:hAnsi="Tahoma" w:cs="Tahoma"/>
      <w:b/>
      <w:bCs/>
      <w:sz w:val="24"/>
      <w:szCs w:val="24"/>
      <w:lang w:eastAsia="en-US"/>
    </w:rPr>
  </w:style>
  <w:style w:type="character" w:customStyle="1" w:styleId="Char10">
    <w:name w:val="脚注文本 Char1"/>
    <w:uiPriority w:val="99"/>
    <w:semiHidden/>
    <w:qFormat/>
    <w:rPr>
      <w:rFonts w:eastAsia="SimSun"/>
      <w:sz w:val="18"/>
      <w:szCs w:val="18"/>
      <w:lang w:eastAsia="en-US"/>
    </w:rPr>
  </w:style>
  <w:style w:type="paragraph" w:customStyle="1" w:styleId="Style1">
    <w:name w:val="_Style 1"/>
    <w:basedOn w:val="Normal"/>
    <w:uiPriority w:val="34"/>
    <w:qFormat/>
    <w:pPr>
      <w:widowControl w:val="0"/>
      <w:ind w:firstLineChars="200" w:firstLine="420"/>
      <w:jc w:val="both"/>
    </w:pPr>
    <w:rPr>
      <w:rFonts w:ascii="Calibri" w:hAnsi="Calibri"/>
      <w:kern w:val="2"/>
      <w:sz w:val="21"/>
      <w:szCs w:val="22"/>
      <w:lang w:eastAsia="zh-CN"/>
    </w:rPr>
  </w:style>
  <w:style w:type="paragraph" w:customStyle="1" w:styleId="Style2">
    <w:name w:val="_Style 2"/>
    <w:basedOn w:val="Normal"/>
    <w:uiPriority w:val="34"/>
    <w:qFormat/>
    <w:pPr>
      <w:widowControl w:val="0"/>
      <w:ind w:firstLineChars="200" w:firstLine="420"/>
      <w:jc w:val="both"/>
    </w:pPr>
    <w:rPr>
      <w:rFonts w:ascii="Calibri" w:hAnsi="Calibri"/>
      <w:kern w:val="2"/>
      <w:sz w:val="21"/>
      <w:szCs w:val="22"/>
      <w:lang w:eastAsia="zh-CN"/>
    </w:rPr>
  </w:style>
  <w:style w:type="paragraph" w:customStyle="1" w:styleId="a1">
    <w:name w:val="页眉与页脚"/>
    <w:qFormat/>
    <w:pPr>
      <w:tabs>
        <w:tab w:val="right" w:pos="9020"/>
      </w:tabs>
    </w:pPr>
    <w:rPr>
      <w:rFonts w:ascii="Helvetica" w:eastAsia="Arial Unicode MS" w:hAnsi="Arial Unicode MS" w:cs="Arial Unicode MS"/>
      <w:color w:val="000000"/>
      <w:sz w:val="24"/>
      <w:szCs w:val="24"/>
      <w:lang w:eastAsia="zh-CN"/>
    </w:rPr>
  </w:style>
  <w:style w:type="paragraph" w:customStyle="1" w:styleId="a2">
    <w:name w:val="默认"/>
    <w:qFormat/>
    <w:rPr>
      <w:rFonts w:ascii="Helvetica" w:eastAsia="Helvetica" w:hAnsi="Helvetica" w:cs="Helvetica"/>
      <w:color w:val="000000"/>
      <w:sz w:val="22"/>
      <w:szCs w:val="22"/>
      <w:lang w:eastAsia="zh-CN"/>
    </w:rPr>
  </w:style>
  <w:style w:type="table" w:customStyle="1" w:styleId="TableNormal1">
    <w:name w:val="Table Normal1"/>
    <w:qFormat/>
    <w:rPr>
      <w:rFonts w:ascii="Times New Roman" w:eastAsia="SimSun" w:hAnsi="Times New Roman" w:cs="Times New Roman"/>
    </w:rPr>
    <w:tblPr>
      <w:tblCellMar>
        <w:top w:w="0" w:type="dxa"/>
        <w:left w:w="0" w:type="dxa"/>
        <w:bottom w:w="0" w:type="dxa"/>
        <w:right w:w="0" w:type="dxa"/>
      </w:tblCellMar>
    </w:tblPr>
  </w:style>
  <w:style w:type="character" w:customStyle="1" w:styleId="apple-converted-space">
    <w:name w:val="apple-converted-space"/>
    <w:basedOn w:val="DefaultParagraphFont"/>
    <w:qFormat/>
  </w:style>
  <w:style w:type="character" w:customStyle="1" w:styleId="texhtml">
    <w:name w:val="texhtml"/>
    <w:basedOn w:val="DefaultParagraphFont"/>
    <w:qFormat/>
  </w:style>
  <w:style w:type="character" w:customStyle="1" w:styleId="DateChar">
    <w:name w:val="Date Char"/>
    <w:basedOn w:val="DefaultParagraphFont"/>
    <w:link w:val="Date"/>
    <w:uiPriority w:val="99"/>
    <w:semiHidden/>
    <w:qFormat/>
    <w:rPr>
      <w:rFonts w:ascii="Times New Roman" w:eastAsia="SimSun" w:hAnsi="Times New Roman" w:cs="Times New Roman"/>
      <w:sz w:val="24"/>
      <w:szCs w:val="24"/>
      <w:lang w:val="en-GB" w:eastAsia="en-US"/>
    </w:rPr>
  </w:style>
  <w:style w:type="paragraph" w:customStyle="1" w:styleId="2">
    <w:name w:val="修订2"/>
    <w:hidden/>
    <w:uiPriority w:val="99"/>
    <w:semiHidden/>
    <w:qFormat/>
    <w:rPr>
      <w:rFonts w:ascii="Times New Roman" w:eastAsia="SimSun" w:hAnsi="Times New Roman" w:cs="Times New Roman"/>
      <w:sz w:val="24"/>
      <w:szCs w:val="24"/>
      <w:lang w:val="en-GB"/>
    </w:rPr>
  </w:style>
  <w:style w:type="paragraph" w:customStyle="1" w:styleId="3">
    <w:name w:val="修订3"/>
    <w:hidden/>
    <w:uiPriority w:val="99"/>
    <w:semiHidden/>
    <w:qFormat/>
    <w:rPr>
      <w:rFonts w:ascii="Times New Roman" w:eastAsia="SimSun" w:hAnsi="Times New Roman" w:cs="Times New Roman"/>
      <w:sz w:val="24"/>
      <w:szCs w:val="24"/>
      <w:lang w:val="en-GB"/>
    </w:rPr>
  </w:style>
  <w:style w:type="paragraph" w:customStyle="1" w:styleId="Revision1">
    <w:name w:val="Revision1"/>
    <w:hidden/>
    <w:uiPriority w:val="99"/>
    <w:semiHidden/>
    <w:qFormat/>
    <w:rPr>
      <w:rFonts w:ascii="Times New Roman" w:eastAsia="SimSun" w:hAnsi="Times New Roman" w:cs="Times New Roman"/>
      <w:sz w:val="24"/>
      <w:szCs w:val="24"/>
      <w:lang w:val="en-GB"/>
    </w:rPr>
  </w:style>
  <w:style w:type="paragraph" w:customStyle="1" w:styleId="Revision2">
    <w:name w:val="Revision2"/>
    <w:hidden/>
    <w:uiPriority w:val="99"/>
    <w:semiHidden/>
    <w:pPr>
      <w:spacing w:after="0" w:line="240" w:lineRule="auto"/>
    </w:pPr>
    <w:rPr>
      <w:rFonts w:ascii="Times New Roman" w:eastAsia="SimSun" w:hAnsi="Times New Roman" w:cs="Times New Roman"/>
      <w:sz w:val="24"/>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qFormat="1"/>
    <w:lsdException w:name="annotation text" w:semiHidden="0" w:qFormat="1"/>
    <w:lsdException w:name="header" w:semiHidden="0" w:qFormat="1"/>
    <w:lsdException w:name="footer" w:semiHidden="0" w:uiPriority="0" w:unhideWhenUsed="0" w:qFormat="1"/>
    <w:lsdException w:name="caption" w:uiPriority="35" w:qFormat="1"/>
    <w:lsdException w:name="footnote reference" w:semiHidden="0" w:qFormat="1"/>
    <w:lsdException w:name="annotation reference" w:semiHidden="0" w:uiPriority="0" w:qFormat="1"/>
    <w:lsdException w:name="Title" w:semiHidden="0" w:uiPriority="10" w:unhideWhenUsed="0" w:qFormat="1"/>
    <w:lsdException w:name="Default Paragraph Font" w:uiPriority="1"/>
    <w:lsdException w:name="Subtitle" w:semiHidden="0" w:uiPriority="11" w:unhideWhenUsed="0" w:qFormat="1"/>
    <w:lsdException w:name="Date" w:qFormat="1"/>
    <w:lsdException w:name="Hyperlink" w:semiHidden="0" w:unhideWhenUsed="0" w:qFormat="1"/>
    <w:lsdException w:name="FollowedHyperlink" w:semiHidden="0" w:qFormat="1"/>
    <w:lsdException w:name="Strong" w:semiHidden="0" w:uiPriority="22" w:unhideWhenUsed="0" w:qFormat="1"/>
    <w:lsdException w:name="Emphasis" w:semiHidden="0" w:uiPriority="20" w:unhideWhenUsed="0" w:qFormat="1"/>
    <w:lsdException w:name="Normal (Web)" w:semiHidden="0" w:qFormat="1"/>
    <w:lsdException w:name="HTML Cite" w:semiHidden="0" w:qFormat="1"/>
    <w:lsdException w:name="HTML Code" w:semiHidden="0" w:qFormat="1"/>
    <w:lsdException w:name="HTML Typewriter" w:semiHidden="0" w:qFormat="1"/>
    <w:lsdException w:name="Normal Table" w:qFormat="1"/>
    <w:lsdException w:name="annotation subject" w:semiHidden="0" w:qFormat="1"/>
    <w:lsdException w:name="Balloon Text" w:semiHidden="0"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SimSun" w:hAnsi="Times New Roman" w:cs="Times New Roman"/>
      <w:sz w:val="24"/>
      <w:szCs w:val="24"/>
      <w:lang w:val="en-GB"/>
    </w:rPr>
  </w:style>
  <w:style w:type="paragraph" w:styleId="Heading1">
    <w:name w:val="heading 1"/>
    <w:basedOn w:val="Normal"/>
    <w:next w:val="Normal"/>
    <w:link w:val="Heading1Char"/>
    <w:uiPriority w:val="9"/>
    <w:qFormat/>
    <w:pPr>
      <w:keepNext/>
      <w:keepLines/>
      <w:spacing w:before="340" w:after="330" w:line="578" w:lineRule="auto"/>
      <w:outlineLvl w:val="0"/>
    </w:pPr>
    <w:rPr>
      <w:b/>
      <w:bCs/>
      <w:kern w:val="44"/>
      <w:sz w:val="44"/>
      <w:szCs w:val="44"/>
    </w:rPr>
  </w:style>
  <w:style w:type="paragraph" w:styleId="Heading2">
    <w:name w:val="heading 2"/>
    <w:basedOn w:val="Normal"/>
    <w:next w:val="Normal"/>
    <w:link w:val="Heading2Char"/>
    <w:uiPriority w:val="9"/>
    <w:qFormat/>
    <w:pPr>
      <w:keepNext/>
      <w:keepLines/>
      <w:spacing w:before="260" w:after="260" w:line="416" w:lineRule="auto"/>
      <w:outlineLvl w:val="1"/>
    </w:pPr>
    <w:rPr>
      <w:rFonts w:ascii="Cambria" w:hAnsi="Cambria"/>
      <w:b/>
      <w:bCs/>
      <w:sz w:val="32"/>
      <w:szCs w:val="32"/>
    </w:rPr>
  </w:style>
  <w:style w:type="paragraph" w:styleId="Heading3">
    <w:name w:val="heading 3"/>
    <w:basedOn w:val="Normal"/>
    <w:next w:val="Normal"/>
    <w:link w:val="Heading3Char"/>
    <w:qFormat/>
    <w:pPr>
      <w:spacing w:before="100" w:beforeAutospacing="1" w:after="100" w:afterAutospacing="1"/>
      <w:outlineLvl w:val="2"/>
    </w:pPr>
    <w:rPr>
      <w:rFonts w:ascii="SimSun" w:hAnsi="SimSun" w:cs="SimSun"/>
      <w:b/>
      <w:bCs/>
      <w:sz w:val="27"/>
      <w:szCs w:val="27"/>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qFormat/>
    <w:rPr>
      <w:rFonts w:ascii="Tahoma" w:eastAsia="DengXian" w:hAnsi="Tahoma" w:cs="Tahoma"/>
      <w:sz w:val="16"/>
      <w:lang w:eastAsia="zh-CN"/>
    </w:rPr>
  </w:style>
  <w:style w:type="paragraph" w:styleId="Date">
    <w:name w:val="Date"/>
    <w:basedOn w:val="Normal"/>
    <w:next w:val="Normal"/>
    <w:link w:val="DateChar"/>
    <w:uiPriority w:val="99"/>
    <w:semiHidden/>
    <w:unhideWhenUsed/>
    <w:qFormat/>
    <w:pPr>
      <w:ind w:leftChars="2500" w:left="100"/>
    </w:pPr>
  </w:style>
  <w:style w:type="paragraph" w:styleId="BalloonText">
    <w:name w:val="Balloon Text"/>
    <w:basedOn w:val="Normal"/>
    <w:link w:val="BalloonTextChar"/>
    <w:uiPriority w:val="99"/>
    <w:unhideWhenUsed/>
    <w:qFormat/>
    <w:rPr>
      <w:rFonts w:ascii="Tahoma" w:eastAsia="DengXian" w:hAnsi="Tahoma" w:cs="Tahoma"/>
      <w:sz w:val="16"/>
      <w:szCs w:val="18"/>
      <w:lang w:eastAsia="zh-CN"/>
    </w:rPr>
  </w:style>
  <w:style w:type="paragraph" w:styleId="Footer">
    <w:name w:val="footer"/>
    <w:link w:val="FooterChar"/>
    <w:qFormat/>
    <w:pPr>
      <w:widowControl w:val="0"/>
      <w:tabs>
        <w:tab w:val="center" w:pos="4153"/>
        <w:tab w:val="right" w:pos="8306"/>
      </w:tabs>
    </w:pPr>
    <w:rPr>
      <w:rFonts w:ascii="Times New Roman" w:eastAsia="Arial Unicode MS" w:hAnsi="Arial Unicode MS" w:cs="Arial Unicode MS"/>
      <w:color w:val="000000"/>
      <w:kern w:val="2"/>
      <w:sz w:val="18"/>
      <w:szCs w:val="18"/>
      <w:u w:color="000000"/>
      <w:lang w:eastAsia="zh-CN"/>
    </w:rPr>
  </w:style>
  <w:style w:type="paragraph" w:styleId="Header">
    <w:name w:val="header"/>
    <w:basedOn w:val="Normal"/>
    <w:link w:val="HeaderChar"/>
    <w:uiPriority w:val="99"/>
    <w:unhideWhenUsed/>
    <w:qFormat/>
    <w:pPr>
      <w:pBdr>
        <w:bottom w:val="single" w:sz="6" w:space="1" w:color="auto"/>
      </w:pBdr>
      <w:tabs>
        <w:tab w:val="center" w:pos="4153"/>
        <w:tab w:val="right" w:pos="8306"/>
      </w:tabs>
      <w:snapToGrid w:val="0"/>
      <w:jc w:val="center"/>
    </w:pPr>
    <w:rPr>
      <w:rFonts w:eastAsia="DengXian"/>
      <w:sz w:val="18"/>
      <w:szCs w:val="18"/>
    </w:rPr>
  </w:style>
  <w:style w:type="paragraph" w:styleId="FootnoteText">
    <w:name w:val="footnote text"/>
    <w:basedOn w:val="Normal"/>
    <w:link w:val="FootnoteTextChar"/>
    <w:uiPriority w:val="99"/>
    <w:unhideWhenUsed/>
    <w:qFormat/>
    <w:pPr>
      <w:snapToGrid w:val="0"/>
    </w:pPr>
    <w:rPr>
      <w:rFonts w:eastAsia="DengXian"/>
      <w:sz w:val="18"/>
      <w:szCs w:val="18"/>
    </w:rPr>
  </w:style>
  <w:style w:type="paragraph" w:styleId="NormalWeb">
    <w:name w:val="Normal (Web)"/>
    <w:basedOn w:val="Normal"/>
    <w:uiPriority w:val="99"/>
    <w:unhideWhenUsed/>
    <w:qFormat/>
    <w:pPr>
      <w:textAlignment w:val="baseline"/>
    </w:pPr>
    <w:rPr>
      <w:lang w:eastAsia="zh-CN"/>
    </w:rPr>
  </w:style>
  <w:style w:type="paragraph" w:styleId="CommentSubject">
    <w:name w:val="annotation subject"/>
    <w:basedOn w:val="CommentText"/>
    <w:next w:val="CommentText"/>
    <w:link w:val="CommentSubjectChar"/>
    <w:uiPriority w:val="99"/>
    <w:unhideWhenUsed/>
    <w:qFormat/>
    <w:rPr>
      <w:rFonts w:ascii="Times New Roman" w:hAnsi="Times New Roman" w:cs="Times New Roman"/>
      <w:b/>
      <w:bCs/>
      <w:sz w:val="24"/>
    </w:rPr>
  </w:style>
  <w:style w:type="table" w:styleId="TableGrid">
    <w:name w:val="Table Grid"/>
    <w:basedOn w:val="TableNormal"/>
    <w:uiPriority w:val="39"/>
    <w:qFormat/>
    <w:rPr>
      <w:rFonts w:ascii="Times New Roman" w:eastAsia="SimSu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Pr>
      <w:b/>
      <w:sz w:val="24"/>
      <w:szCs w:val="24"/>
      <w:vertAlign w:val="baseline"/>
    </w:rPr>
  </w:style>
  <w:style w:type="character" w:styleId="FollowedHyperlink">
    <w:name w:val="FollowedHyperlink"/>
    <w:uiPriority w:val="99"/>
    <w:unhideWhenUsed/>
    <w:qFormat/>
    <w:rPr>
      <w:color w:val="316C9D"/>
      <w:sz w:val="24"/>
      <w:szCs w:val="24"/>
      <w:u w:val="none"/>
      <w:vertAlign w:val="baseline"/>
    </w:rPr>
  </w:style>
  <w:style w:type="character" w:styleId="Emphasis">
    <w:name w:val="Emphasis"/>
    <w:uiPriority w:val="20"/>
    <w:qFormat/>
    <w:rPr>
      <w:i/>
      <w:color w:val="316C9D"/>
      <w:sz w:val="24"/>
      <w:szCs w:val="24"/>
      <w:vertAlign w:val="baseline"/>
    </w:rPr>
  </w:style>
  <w:style w:type="character" w:styleId="HTMLTypewriter">
    <w:name w:val="HTML Typewriter"/>
    <w:uiPriority w:val="99"/>
    <w:unhideWhenUsed/>
    <w:qFormat/>
    <w:rPr>
      <w:rFonts w:ascii="Courier New" w:hAnsi="Courier New"/>
      <w:sz w:val="18"/>
      <w:szCs w:val="18"/>
    </w:rPr>
  </w:style>
  <w:style w:type="character" w:styleId="Hyperlink">
    <w:name w:val="Hyperlink"/>
    <w:uiPriority w:val="99"/>
    <w:qFormat/>
    <w:rPr>
      <w:u w:val="single"/>
    </w:rPr>
  </w:style>
  <w:style w:type="character" w:styleId="HTMLCode">
    <w:name w:val="HTML Code"/>
    <w:uiPriority w:val="99"/>
    <w:unhideWhenUsed/>
    <w:qFormat/>
    <w:rPr>
      <w:rFonts w:ascii="Courier New" w:hAnsi="Courier New"/>
      <w:sz w:val="24"/>
      <w:szCs w:val="24"/>
      <w:vertAlign w:val="baseline"/>
    </w:rPr>
  </w:style>
  <w:style w:type="character" w:styleId="CommentReference">
    <w:name w:val="annotation reference"/>
    <w:unhideWhenUsed/>
    <w:qFormat/>
    <w:rPr>
      <w:sz w:val="21"/>
      <w:szCs w:val="21"/>
    </w:rPr>
  </w:style>
  <w:style w:type="character" w:styleId="HTMLCite">
    <w:name w:val="HTML Cite"/>
    <w:uiPriority w:val="99"/>
    <w:unhideWhenUsed/>
    <w:qFormat/>
    <w:rPr>
      <w:i/>
      <w:sz w:val="24"/>
      <w:szCs w:val="24"/>
      <w:vertAlign w:val="baseline"/>
    </w:rPr>
  </w:style>
  <w:style w:type="character" w:styleId="FootnoteReference">
    <w:name w:val="footnote reference"/>
    <w:uiPriority w:val="99"/>
    <w:unhideWhenUsed/>
    <w:qFormat/>
    <w:rPr>
      <w:vertAlign w:val="superscript"/>
    </w:rPr>
  </w:style>
  <w:style w:type="character" w:customStyle="1" w:styleId="Heading1Char">
    <w:name w:val="Heading 1 Char"/>
    <w:link w:val="Heading1"/>
    <w:uiPriority w:val="9"/>
    <w:qFormat/>
    <w:rPr>
      <w:rFonts w:ascii="Times New Roman" w:eastAsia="SimSun" w:hAnsi="Times New Roman" w:cs="Times New Roman"/>
      <w:b/>
      <w:bCs/>
      <w:kern w:val="44"/>
      <w:sz w:val="44"/>
      <w:szCs w:val="44"/>
      <w:lang w:val="en-GB" w:eastAsia="en-US"/>
    </w:rPr>
  </w:style>
  <w:style w:type="character" w:customStyle="1" w:styleId="Heading2Char">
    <w:name w:val="Heading 2 Char"/>
    <w:link w:val="Heading2"/>
    <w:uiPriority w:val="9"/>
    <w:qFormat/>
    <w:rPr>
      <w:rFonts w:ascii="Cambria" w:eastAsia="SimSun" w:hAnsi="Cambria" w:cs="Times New Roman"/>
      <w:b/>
      <w:bCs/>
      <w:kern w:val="0"/>
      <w:sz w:val="32"/>
      <w:szCs w:val="32"/>
      <w:lang w:val="en-GB" w:eastAsia="en-US"/>
    </w:rPr>
  </w:style>
  <w:style w:type="character" w:customStyle="1" w:styleId="Heading3Char">
    <w:name w:val="Heading 3 Char"/>
    <w:link w:val="Heading3"/>
    <w:qFormat/>
    <w:rPr>
      <w:rFonts w:ascii="SimSun" w:eastAsia="SimSun" w:hAnsi="SimSun" w:cs="SimSun"/>
      <w:b/>
      <w:bCs/>
      <w:kern w:val="0"/>
      <w:sz w:val="27"/>
      <w:szCs w:val="27"/>
      <w:lang w:val="en-GB"/>
    </w:rPr>
  </w:style>
  <w:style w:type="character" w:customStyle="1" w:styleId="CommentTextChar">
    <w:name w:val="Comment Text Char"/>
    <w:link w:val="CommentText"/>
    <w:uiPriority w:val="99"/>
    <w:qFormat/>
    <w:rPr>
      <w:rFonts w:ascii="Tahoma" w:eastAsia="DengXian" w:hAnsi="Tahoma" w:cs="Tahoma"/>
      <w:kern w:val="0"/>
      <w:sz w:val="16"/>
      <w:szCs w:val="24"/>
      <w:lang w:val="en-GB"/>
    </w:rPr>
  </w:style>
  <w:style w:type="character" w:customStyle="1" w:styleId="CommentSubjectChar">
    <w:name w:val="Comment Subject Char"/>
    <w:link w:val="CommentSubject"/>
    <w:uiPriority w:val="99"/>
    <w:qFormat/>
    <w:rPr>
      <w:rFonts w:ascii="Times New Roman" w:eastAsia="DengXian" w:hAnsi="Times New Roman" w:cs="Times New Roman"/>
      <w:b/>
      <w:bCs/>
      <w:kern w:val="0"/>
      <w:sz w:val="24"/>
      <w:szCs w:val="24"/>
      <w:lang w:val="en-GB"/>
    </w:rPr>
  </w:style>
  <w:style w:type="character" w:customStyle="1" w:styleId="BalloonTextChar">
    <w:name w:val="Balloon Text Char"/>
    <w:link w:val="BalloonText"/>
    <w:uiPriority w:val="99"/>
    <w:qFormat/>
    <w:rPr>
      <w:rFonts w:ascii="Tahoma" w:eastAsia="DengXian" w:hAnsi="Tahoma" w:cs="Tahoma"/>
      <w:kern w:val="0"/>
      <w:sz w:val="16"/>
      <w:szCs w:val="18"/>
      <w:lang w:val="en-GB"/>
    </w:rPr>
  </w:style>
  <w:style w:type="character" w:customStyle="1" w:styleId="FooterChar">
    <w:name w:val="Footer Char"/>
    <w:link w:val="Footer"/>
    <w:qFormat/>
    <w:rPr>
      <w:rFonts w:ascii="Times New Roman" w:eastAsia="Arial Unicode MS" w:hAnsi="Arial Unicode MS" w:cs="Arial Unicode MS"/>
      <w:color w:val="000000"/>
      <w:sz w:val="18"/>
      <w:szCs w:val="18"/>
      <w:u w:color="000000"/>
    </w:rPr>
  </w:style>
  <w:style w:type="character" w:customStyle="1" w:styleId="HeaderChar">
    <w:name w:val="Header Char"/>
    <w:link w:val="Header"/>
    <w:uiPriority w:val="99"/>
    <w:qFormat/>
    <w:rPr>
      <w:rFonts w:ascii="Times New Roman" w:eastAsia="DengXian" w:hAnsi="Times New Roman" w:cs="Times New Roman"/>
      <w:kern w:val="0"/>
      <w:sz w:val="18"/>
      <w:szCs w:val="18"/>
      <w:lang w:val="en-GB" w:eastAsia="en-US"/>
    </w:rPr>
  </w:style>
  <w:style w:type="character" w:customStyle="1" w:styleId="FootnoteTextChar">
    <w:name w:val="Footnote Text Char"/>
    <w:link w:val="FootnoteText"/>
    <w:uiPriority w:val="99"/>
    <w:qFormat/>
    <w:rPr>
      <w:rFonts w:ascii="Times New Roman" w:eastAsia="DengXian" w:hAnsi="Times New Roman" w:cs="Times New Roman"/>
      <w:kern w:val="0"/>
      <w:sz w:val="18"/>
      <w:szCs w:val="18"/>
      <w:lang w:val="en-GB" w:eastAsia="en-US"/>
    </w:rPr>
  </w:style>
  <w:style w:type="character" w:customStyle="1" w:styleId="fontstyle01">
    <w:name w:val="fontstyle01"/>
    <w:qFormat/>
    <w:rPr>
      <w:rFonts w:ascii="AdvSTP_PSTimR" w:hAnsi="AdvSTP_PSTimR" w:hint="default"/>
      <w:color w:val="000000"/>
      <w:sz w:val="20"/>
      <w:szCs w:val="20"/>
    </w:rPr>
  </w:style>
  <w:style w:type="paragraph" w:customStyle="1" w:styleId="EndNoteBibliographyTitle">
    <w:name w:val="EndNote Bibliography Title"/>
    <w:basedOn w:val="Normal"/>
    <w:link w:val="EndNoteBibliographyTitleChar"/>
    <w:qFormat/>
    <w:pPr>
      <w:jc w:val="center"/>
    </w:pPr>
    <w:rPr>
      <w:rFonts w:eastAsia="DengXian"/>
      <w:sz w:val="20"/>
      <w:lang w:eastAsia="zh-CN"/>
    </w:rPr>
  </w:style>
  <w:style w:type="character" w:customStyle="1" w:styleId="EndNoteBibliographyTitleChar">
    <w:name w:val="EndNote Bibliography Title Char"/>
    <w:link w:val="EndNoteBibliographyTitle"/>
    <w:qFormat/>
    <w:rPr>
      <w:rFonts w:ascii="Times New Roman" w:eastAsia="DengXian" w:hAnsi="Times New Roman" w:cs="Times New Roman"/>
      <w:kern w:val="0"/>
      <w:sz w:val="20"/>
      <w:szCs w:val="24"/>
      <w:lang w:val="en-GB"/>
    </w:rPr>
  </w:style>
  <w:style w:type="paragraph" w:customStyle="1" w:styleId="EndNoteBibliography">
    <w:name w:val="EndNote Bibliography"/>
    <w:basedOn w:val="Normal"/>
    <w:link w:val="EndNoteBibliographyChar"/>
    <w:qFormat/>
    <w:pPr>
      <w:spacing w:line="240" w:lineRule="auto"/>
      <w:jc w:val="both"/>
    </w:pPr>
    <w:rPr>
      <w:rFonts w:eastAsia="DengXian"/>
      <w:sz w:val="20"/>
      <w:lang w:eastAsia="zh-CN"/>
    </w:rPr>
  </w:style>
  <w:style w:type="character" w:customStyle="1" w:styleId="EndNoteBibliographyChar">
    <w:name w:val="EndNote Bibliography Char"/>
    <w:link w:val="EndNoteBibliography"/>
    <w:qFormat/>
    <w:rPr>
      <w:rFonts w:ascii="Times New Roman" w:eastAsia="DengXian" w:hAnsi="Times New Roman" w:cs="Times New Roman"/>
      <w:kern w:val="0"/>
      <w:sz w:val="20"/>
      <w:szCs w:val="24"/>
      <w:lang w:val="en-GB"/>
    </w:rPr>
  </w:style>
  <w:style w:type="paragraph" w:styleId="ListParagraph">
    <w:name w:val="List Paragraph"/>
    <w:basedOn w:val="Normal"/>
    <w:uiPriority w:val="34"/>
    <w:qFormat/>
    <w:pPr>
      <w:widowControl w:val="0"/>
      <w:ind w:firstLineChars="200" w:firstLine="420"/>
      <w:jc w:val="both"/>
    </w:pPr>
    <w:rPr>
      <w:rFonts w:ascii="Calibri" w:hAnsi="Calibri"/>
      <w:kern w:val="2"/>
      <w:sz w:val="21"/>
      <w:szCs w:val="22"/>
      <w:lang w:eastAsia="zh-CN"/>
    </w:rPr>
  </w:style>
  <w:style w:type="character" w:customStyle="1" w:styleId="downsmgreen2">
    <w:name w:val="downsm_green2"/>
    <w:qFormat/>
  </w:style>
  <w:style w:type="character" w:customStyle="1" w:styleId="collapsetext">
    <w:name w:val="collapsetext"/>
    <w:qFormat/>
  </w:style>
  <w:style w:type="character" w:customStyle="1" w:styleId="fontstyle11">
    <w:name w:val="fontstyle11"/>
    <w:qFormat/>
    <w:rPr>
      <w:rFonts w:ascii="AdvOTf9433e2d+fb" w:hAnsi="AdvOTf9433e2d+fb" w:hint="default"/>
      <w:color w:val="231F20"/>
      <w:sz w:val="20"/>
      <w:szCs w:val="20"/>
    </w:rPr>
  </w:style>
  <w:style w:type="character" w:customStyle="1" w:styleId="downsmred">
    <w:name w:val="downsm_red"/>
    <w:qFormat/>
  </w:style>
  <w:style w:type="character" w:customStyle="1" w:styleId="downsmblue2">
    <w:name w:val="downsm_blue2"/>
    <w:qFormat/>
  </w:style>
  <w:style w:type="character" w:customStyle="1" w:styleId="label">
    <w:name w:val="label"/>
    <w:qFormat/>
  </w:style>
  <w:style w:type="character" w:customStyle="1" w:styleId="divider">
    <w:name w:val="divider"/>
    <w:qFormat/>
  </w:style>
  <w:style w:type="character" w:customStyle="1" w:styleId="upsmgrey">
    <w:name w:val="upsm_grey"/>
    <w:qFormat/>
  </w:style>
  <w:style w:type="character" w:customStyle="1" w:styleId="upsmblue">
    <w:name w:val="upsm_blue"/>
    <w:qFormat/>
  </w:style>
  <w:style w:type="character" w:customStyle="1" w:styleId="fontstyle21">
    <w:name w:val="fontstyle21"/>
    <w:qFormat/>
    <w:rPr>
      <w:rFonts w:ascii="SabonLTStd-Italic" w:hAnsi="SabonLTStd-Italic" w:hint="default"/>
      <w:i/>
      <w:iCs/>
      <w:color w:val="231F20"/>
      <w:sz w:val="16"/>
      <w:szCs w:val="16"/>
    </w:rPr>
  </w:style>
  <w:style w:type="character" w:customStyle="1" w:styleId="icon1">
    <w:name w:val="icon1"/>
    <w:qFormat/>
    <w:rPr>
      <w:sz w:val="16"/>
      <w:szCs w:val="0"/>
      <w:u w:val="none"/>
    </w:rPr>
  </w:style>
  <w:style w:type="character" w:customStyle="1" w:styleId="wideformula">
    <w:name w:val="wideformula"/>
    <w:qFormat/>
  </w:style>
  <w:style w:type="character" w:customStyle="1" w:styleId="icon">
    <w:name w:val="icon"/>
    <w:qFormat/>
    <w:rPr>
      <w:sz w:val="16"/>
      <w:szCs w:val="0"/>
      <w:u w:val="none"/>
    </w:rPr>
  </w:style>
  <w:style w:type="character" w:customStyle="1" w:styleId="articlealttitle">
    <w:name w:val="articlealttitle"/>
    <w:qFormat/>
  </w:style>
  <w:style w:type="character" w:customStyle="1" w:styleId="interref1">
    <w:name w:val="interref1"/>
    <w:qFormat/>
  </w:style>
  <w:style w:type="character" w:customStyle="1" w:styleId="expandtext">
    <w:name w:val="expandtext"/>
    <w:qFormat/>
  </w:style>
  <w:style w:type="character" w:customStyle="1" w:styleId="a">
    <w:name w:val="红色"/>
    <w:qFormat/>
    <w:rPr>
      <w:color w:val="C82505"/>
      <w:lang w:val="en-US"/>
    </w:rPr>
  </w:style>
  <w:style w:type="character" w:customStyle="1" w:styleId="downsmscidir">
    <w:name w:val="downsm_sci_dir"/>
    <w:qFormat/>
  </w:style>
  <w:style w:type="character" w:customStyle="1" w:styleId="formulatext">
    <w:name w:val="formulatext"/>
    <w:qFormat/>
    <w:rPr>
      <w:spacing w:val="21"/>
    </w:rPr>
  </w:style>
  <w:style w:type="character" w:customStyle="1" w:styleId="downsmgreen">
    <w:name w:val="downsm_green"/>
    <w:qFormat/>
  </w:style>
  <w:style w:type="character" w:customStyle="1" w:styleId="showhideicon">
    <w:name w:val="showhideicon"/>
    <w:qFormat/>
  </w:style>
  <w:style w:type="character" w:customStyle="1" w:styleId="usrname">
    <w:name w:val="usrname"/>
    <w:qFormat/>
    <w:rPr>
      <w:color w:val="990000"/>
    </w:rPr>
  </w:style>
  <w:style w:type="character" w:customStyle="1" w:styleId="fontstyle31">
    <w:name w:val="fontstyle31"/>
    <w:qFormat/>
    <w:rPr>
      <w:rFonts w:ascii="SabonLTStd-Bold" w:hAnsi="SabonLTStd-Bold" w:hint="default"/>
      <w:b/>
      <w:bCs/>
      <w:color w:val="231F20"/>
      <w:sz w:val="16"/>
      <w:szCs w:val="16"/>
    </w:rPr>
  </w:style>
  <w:style w:type="character" w:customStyle="1" w:styleId="rerunlink">
    <w:name w:val="rerunlink"/>
    <w:qFormat/>
    <w:rPr>
      <w:b/>
    </w:rPr>
  </w:style>
  <w:style w:type="character" w:customStyle="1" w:styleId="upsmorange">
    <w:name w:val="upsm_orange"/>
    <w:qFormat/>
  </w:style>
  <w:style w:type="character" w:customStyle="1" w:styleId="upsmscidir">
    <w:name w:val="upsm_sci_dir"/>
    <w:qFormat/>
  </w:style>
  <w:style w:type="character" w:customStyle="1" w:styleId="downsmorange">
    <w:name w:val="downsm_orange"/>
    <w:qFormat/>
  </w:style>
  <w:style w:type="character" w:customStyle="1" w:styleId="imgfulldiv">
    <w:name w:val="imgfull+div"/>
    <w:qFormat/>
  </w:style>
  <w:style w:type="character" w:customStyle="1" w:styleId="upsmgreen">
    <w:name w:val="upsm_green"/>
    <w:qFormat/>
  </w:style>
  <w:style w:type="character" w:customStyle="1" w:styleId="iconarrow">
    <w:name w:val="iconarrow"/>
    <w:qFormat/>
  </w:style>
  <w:style w:type="character" w:customStyle="1" w:styleId="infoiconie">
    <w:name w:val="infoicon_ie"/>
    <w:qFormat/>
  </w:style>
  <w:style w:type="character" w:customStyle="1" w:styleId="subtext">
    <w:name w:val="subtext"/>
    <w:qFormat/>
    <w:rPr>
      <w:color w:val="5C5C5C"/>
    </w:rPr>
  </w:style>
  <w:style w:type="character" w:customStyle="1" w:styleId="hovertext">
    <w:name w:val="hovertext"/>
    <w:qFormat/>
    <w:rPr>
      <w:b/>
      <w:color w:val="5C5C5C"/>
      <w:sz w:val="22"/>
      <w:szCs w:val="22"/>
      <w:u w:val="none"/>
    </w:rPr>
  </w:style>
  <w:style w:type="character" w:customStyle="1" w:styleId="hit">
    <w:name w:val="hit"/>
    <w:qFormat/>
    <w:rPr>
      <w:shd w:val="clear" w:color="auto" w:fill="FFFFDD"/>
    </w:rPr>
  </w:style>
  <w:style w:type="character" w:customStyle="1" w:styleId="hovericon">
    <w:name w:val="hovericon"/>
    <w:qFormat/>
  </w:style>
  <w:style w:type="character" w:customStyle="1" w:styleId="exportarrow">
    <w:name w:val="exportarrow"/>
    <w:qFormat/>
  </w:style>
  <w:style w:type="character" w:customStyle="1" w:styleId="sansserif">
    <w:name w:val="sansserif"/>
    <w:qFormat/>
    <w:rPr>
      <w:rFonts w:ascii="sans-serif" w:eastAsia="sans-serif" w:hAnsi="sans-serif" w:cs="sans-serif"/>
    </w:rPr>
  </w:style>
  <w:style w:type="character" w:customStyle="1" w:styleId="EndNoteCategoryHeadingChar">
    <w:name w:val="EndNote Category Heading Char"/>
    <w:link w:val="EndNoteCategoryHeading"/>
    <w:qFormat/>
    <w:rPr>
      <w:rFonts w:eastAsia="Arial Unicode MS" w:hAnsi="Arial Unicode MS" w:cs="Arial Unicode MS"/>
      <w:b/>
      <w:color w:val="000000"/>
      <w:sz w:val="24"/>
      <w:szCs w:val="24"/>
      <w:u w:color="000000"/>
      <w:lang w:eastAsia="en-US"/>
    </w:rPr>
  </w:style>
  <w:style w:type="paragraph" w:customStyle="1" w:styleId="EndNoteCategoryHeading">
    <w:name w:val="EndNote Category Heading"/>
    <w:basedOn w:val="Normal"/>
    <w:link w:val="EndNoteCategoryHeadingChar"/>
    <w:qFormat/>
    <w:pPr>
      <w:spacing w:before="120" w:after="120"/>
    </w:pPr>
    <w:rPr>
      <w:rFonts w:asciiTheme="minorHAnsi" w:eastAsia="Arial Unicode MS" w:hAnsi="Arial Unicode MS" w:cs="Arial Unicode MS"/>
      <w:b/>
      <w:color w:val="000000"/>
      <w:kern w:val="2"/>
      <w:u w:color="000000"/>
      <w:lang w:val="en-US"/>
    </w:rPr>
  </w:style>
  <w:style w:type="character" w:customStyle="1" w:styleId="downsmgrey2">
    <w:name w:val="downsm_grey2"/>
    <w:qFormat/>
  </w:style>
  <w:style w:type="character" w:customStyle="1" w:styleId="crossout">
    <w:name w:val="crossout"/>
    <w:qFormat/>
    <w:rPr>
      <w:strike/>
    </w:rPr>
  </w:style>
  <w:style w:type="character" w:customStyle="1" w:styleId="interref">
    <w:name w:val="interref"/>
    <w:qFormat/>
  </w:style>
  <w:style w:type="character" w:customStyle="1" w:styleId="poet">
    <w:name w:val="poet"/>
    <w:qFormat/>
  </w:style>
  <w:style w:type="character" w:customStyle="1" w:styleId="score">
    <w:name w:val="score"/>
    <w:qFormat/>
    <w:rPr>
      <w:b/>
      <w:color w:val="999999"/>
      <w:sz w:val="27"/>
      <w:szCs w:val="27"/>
    </w:rPr>
  </w:style>
  <w:style w:type="character" w:customStyle="1" w:styleId="mathcodespan">
    <w:name w:val="mathcode&gt;span"/>
    <w:qFormat/>
  </w:style>
  <w:style w:type="character" w:customStyle="1" w:styleId="downsmgrey">
    <w:name w:val="downsm_grey"/>
    <w:qFormat/>
  </w:style>
  <w:style w:type="character" w:customStyle="1" w:styleId="AChar">
    <w:name w:val="正文 A Char"/>
    <w:link w:val="A0"/>
    <w:qFormat/>
    <w:rPr>
      <w:rFonts w:eastAsia="Arial Unicode MS" w:hAnsi="Arial Unicode MS" w:cs="Arial Unicode MS"/>
      <w:color w:val="000000"/>
      <w:szCs w:val="21"/>
      <w:u w:color="000000"/>
    </w:rPr>
  </w:style>
  <w:style w:type="paragraph" w:customStyle="1" w:styleId="A0">
    <w:name w:val="正文 A"/>
    <w:link w:val="AChar"/>
    <w:qFormat/>
    <w:pPr>
      <w:widowControl w:val="0"/>
      <w:jc w:val="both"/>
    </w:pPr>
    <w:rPr>
      <w:rFonts w:eastAsia="Arial Unicode MS" w:hAnsi="Arial Unicode MS" w:cs="Arial Unicode MS"/>
      <w:color w:val="000000"/>
      <w:kern w:val="2"/>
      <w:sz w:val="21"/>
      <w:szCs w:val="21"/>
      <w:u w:color="000000"/>
      <w:lang w:eastAsia="zh-CN"/>
    </w:rPr>
  </w:style>
  <w:style w:type="character" w:customStyle="1" w:styleId="underline">
    <w:name w:val="underline"/>
    <w:qFormat/>
    <w:rPr>
      <w:u w:val="single"/>
    </w:rPr>
  </w:style>
  <w:style w:type="character" w:customStyle="1" w:styleId="mathcode">
    <w:name w:val="mathcode"/>
    <w:qFormat/>
  </w:style>
  <w:style w:type="character" w:customStyle="1" w:styleId="hover20">
    <w:name w:val="hover20"/>
    <w:qFormat/>
    <w:rPr>
      <w:u w:val="none"/>
    </w:rPr>
  </w:style>
  <w:style w:type="character" w:customStyle="1" w:styleId="upsmred">
    <w:name w:val="upsm_red"/>
    <w:qFormat/>
  </w:style>
  <w:style w:type="character" w:customStyle="1" w:styleId="smallcaps">
    <w:name w:val="smallcaps"/>
    <w:qFormat/>
    <w:rPr>
      <w:smallCaps/>
    </w:rPr>
  </w:style>
  <w:style w:type="paragraph" w:customStyle="1" w:styleId="1">
    <w:name w:val="修订1"/>
    <w:uiPriority w:val="99"/>
    <w:semiHidden/>
    <w:qFormat/>
    <w:rPr>
      <w:rFonts w:ascii="Times New Roman" w:eastAsia="SimSun" w:hAnsi="Times New Roman" w:cs="Times New Roman"/>
      <w:sz w:val="24"/>
      <w:szCs w:val="24"/>
    </w:rPr>
  </w:style>
  <w:style w:type="character" w:customStyle="1" w:styleId="Char1">
    <w:name w:val="批注主题 Char1"/>
    <w:uiPriority w:val="99"/>
    <w:semiHidden/>
    <w:qFormat/>
    <w:rPr>
      <w:rFonts w:ascii="Tahoma" w:eastAsia="SimSun" w:hAnsi="Tahoma" w:cs="Tahoma"/>
      <w:b/>
      <w:bCs/>
      <w:sz w:val="24"/>
      <w:szCs w:val="24"/>
      <w:lang w:eastAsia="en-US"/>
    </w:rPr>
  </w:style>
  <w:style w:type="character" w:customStyle="1" w:styleId="Char10">
    <w:name w:val="脚注文本 Char1"/>
    <w:uiPriority w:val="99"/>
    <w:semiHidden/>
    <w:qFormat/>
    <w:rPr>
      <w:rFonts w:eastAsia="SimSun"/>
      <w:sz w:val="18"/>
      <w:szCs w:val="18"/>
      <w:lang w:eastAsia="en-US"/>
    </w:rPr>
  </w:style>
  <w:style w:type="paragraph" w:customStyle="1" w:styleId="Style1">
    <w:name w:val="_Style 1"/>
    <w:basedOn w:val="Normal"/>
    <w:uiPriority w:val="34"/>
    <w:qFormat/>
    <w:pPr>
      <w:widowControl w:val="0"/>
      <w:ind w:firstLineChars="200" w:firstLine="420"/>
      <w:jc w:val="both"/>
    </w:pPr>
    <w:rPr>
      <w:rFonts w:ascii="Calibri" w:hAnsi="Calibri"/>
      <w:kern w:val="2"/>
      <w:sz w:val="21"/>
      <w:szCs w:val="22"/>
      <w:lang w:eastAsia="zh-CN"/>
    </w:rPr>
  </w:style>
  <w:style w:type="paragraph" w:customStyle="1" w:styleId="Style2">
    <w:name w:val="_Style 2"/>
    <w:basedOn w:val="Normal"/>
    <w:uiPriority w:val="34"/>
    <w:qFormat/>
    <w:pPr>
      <w:widowControl w:val="0"/>
      <w:ind w:firstLineChars="200" w:firstLine="420"/>
      <w:jc w:val="both"/>
    </w:pPr>
    <w:rPr>
      <w:rFonts w:ascii="Calibri" w:hAnsi="Calibri"/>
      <w:kern w:val="2"/>
      <w:sz w:val="21"/>
      <w:szCs w:val="22"/>
      <w:lang w:eastAsia="zh-CN"/>
    </w:rPr>
  </w:style>
  <w:style w:type="paragraph" w:customStyle="1" w:styleId="a1">
    <w:name w:val="页眉与页脚"/>
    <w:qFormat/>
    <w:pPr>
      <w:tabs>
        <w:tab w:val="right" w:pos="9020"/>
      </w:tabs>
    </w:pPr>
    <w:rPr>
      <w:rFonts w:ascii="Helvetica" w:eastAsia="Arial Unicode MS" w:hAnsi="Arial Unicode MS" w:cs="Arial Unicode MS"/>
      <w:color w:val="000000"/>
      <w:sz w:val="24"/>
      <w:szCs w:val="24"/>
      <w:lang w:eastAsia="zh-CN"/>
    </w:rPr>
  </w:style>
  <w:style w:type="paragraph" w:customStyle="1" w:styleId="a2">
    <w:name w:val="默认"/>
    <w:qFormat/>
    <w:rPr>
      <w:rFonts w:ascii="Helvetica" w:eastAsia="Helvetica" w:hAnsi="Helvetica" w:cs="Helvetica"/>
      <w:color w:val="000000"/>
      <w:sz w:val="22"/>
      <w:szCs w:val="22"/>
      <w:lang w:eastAsia="zh-CN"/>
    </w:rPr>
  </w:style>
  <w:style w:type="table" w:customStyle="1" w:styleId="TableNormal1">
    <w:name w:val="Table Normal1"/>
    <w:qFormat/>
    <w:rPr>
      <w:rFonts w:ascii="Times New Roman" w:eastAsia="SimSun" w:hAnsi="Times New Roman" w:cs="Times New Roman"/>
    </w:rPr>
    <w:tblPr>
      <w:tblCellMar>
        <w:top w:w="0" w:type="dxa"/>
        <w:left w:w="0" w:type="dxa"/>
        <w:bottom w:w="0" w:type="dxa"/>
        <w:right w:w="0" w:type="dxa"/>
      </w:tblCellMar>
    </w:tblPr>
  </w:style>
  <w:style w:type="character" w:customStyle="1" w:styleId="apple-converted-space">
    <w:name w:val="apple-converted-space"/>
    <w:basedOn w:val="DefaultParagraphFont"/>
    <w:qFormat/>
  </w:style>
  <w:style w:type="character" w:customStyle="1" w:styleId="texhtml">
    <w:name w:val="texhtml"/>
    <w:basedOn w:val="DefaultParagraphFont"/>
    <w:qFormat/>
  </w:style>
  <w:style w:type="character" w:customStyle="1" w:styleId="DateChar">
    <w:name w:val="Date Char"/>
    <w:basedOn w:val="DefaultParagraphFont"/>
    <w:link w:val="Date"/>
    <w:uiPriority w:val="99"/>
    <w:semiHidden/>
    <w:qFormat/>
    <w:rPr>
      <w:rFonts w:ascii="Times New Roman" w:eastAsia="SimSun" w:hAnsi="Times New Roman" w:cs="Times New Roman"/>
      <w:sz w:val="24"/>
      <w:szCs w:val="24"/>
      <w:lang w:val="en-GB" w:eastAsia="en-US"/>
    </w:rPr>
  </w:style>
  <w:style w:type="paragraph" w:customStyle="1" w:styleId="2">
    <w:name w:val="修订2"/>
    <w:hidden/>
    <w:uiPriority w:val="99"/>
    <w:semiHidden/>
    <w:qFormat/>
    <w:rPr>
      <w:rFonts w:ascii="Times New Roman" w:eastAsia="SimSun" w:hAnsi="Times New Roman" w:cs="Times New Roman"/>
      <w:sz w:val="24"/>
      <w:szCs w:val="24"/>
      <w:lang w:val="en-GB"/>
    </w:rPr>
  </w:style>
  <w:style w:type="paragraph" w:customStyle="1" w:styleId="3">
    <w:name w:val="修订3"/>
    <w:hidden/>
    <w:uiPriority w:val="99"/>
    <w:semiHidden/>
    <w:qFormat/>
    <w:rPr>
      <w:rFonts w:ascii="Times New Roman" w:eastAsia="SimSun" w:hAnsi="Times New Roman" w:cs="Times New Roman"/>
      <w:sz w:val="24"/>
      <w:szCs w:val="24"/>
      <w:lang w:val="en-GB"/>
    </w:rPr>
  </w:style>
  <w:style w:type="paragraph" w:customStyle="1" w:styleId="Revision1">
    <w:name w:val="Revision1"/>
    <w:hidden/>
    <w:uiPriority w:val="99"/>
    <w:semiHidden/>
    <w:qFormat/>
    <w:rPr>
      <w:rFonts w:ascii="Times New Roman" w:eastAsia="SimSun" w:hAnsi="Times New Roman" w:cs="Times New Roman"/>
      <w:sz w:val="24"/>
      <w:szCs w:val="24"/>
      <w:lang w:val="en-GB"/>
    </w:rPr>
  </w:style>
  <w:style w:type="paragraph" w:customStyle="1" w:styleId="Revision2">
    <w:name w:val="Revision2"/>
    <w:hidden/>
    <w:uiPriority w:val="99"/>
    <w:semiHidden/>
    <w:pPr>
      <w:spacing w:after="0" w:line="240" w:lineRule="auto"/>
    </w:pPr>
    <w:rPr>
      <w:rFonts w:ascii="Times New Roman" w:eastAsia="SimSun" w:hAnsi="Times New Roman" w:cs="Times New Roman"/>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jpeg"/><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image" Target="media/image3.jpeg"/><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image" Target="media/image2.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DE1631E-FF72-4A2E-8B63-477CCEB93A71}">
  <ds:schemaRefs>
    <ds:schemaRef ds:uri="http://schemas.openxmlformats.org/officeDocument/2006/bibliography"/>
  </ds:schemaRefs>
</ds:datastoreItem>
</file>

<file path=customXml/itemProps3.xml><?xml version="1.0" encoding="utf-8"?>
<ds:datastoreItem xmlns:ds="http://schemas.openxmlformats.org/officeDocument/2006/customXml" ds:itemID="{10B52F9D-7918-4AB8-92B7-B94D3AF017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49</Pages>
  <Words>9334</Words>
  <Characters>82427</Characters>
  <Application>Microsoft Office Word</Application>
  <DocSecurity>0</DocSecurity>
  <Lines>1248</Lines>
  <Paragraphs>367</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91394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Jukka Hyönä</cp:lastModifiedBy>
  <cp:revision>4</cp:revision>
  <cp:lastPrinted>2019-02-01T03:16:00Z</cp:lastPrinted>
  <dcterms:created xsi:type="dcterms:W3CDTF">2019-08-30T11:47:00Z</dcterms:created>
  <dcterms:modified xsi:type="dcterms:W3CDTF">2019-08-30T11:48:00Z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ies>
</file>