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1D2F57" w14:textId="657E42D8" w:rsidR="007806FD" w:rsidRDefault="00BD1B5F">
      <w:pPr>
        <w:rPr>
          <w:rFonts w:ascii="Times New Roman" w:eastAsia="Times New Roman" w:hAnsi="Times New Roman" w:cs="Times New Roman"/>
          <w:b/>
          <w:sz w:val="24"/>
          <w:szCs w:val="24"/>
          <w:lang w:val="en-GB"/>
        </w:rPr>
      </w:pPr>
      <w:bookmarkStart w:id="0" w:name="_GoBack"/>
      <w:bookmarkEnd w:id="0"/>
      <w:r w:rsidRPr="002A05C5">
        <w:rPr>
          <w:rFonts w:ascii="Times New Roman" w:eastAsia="Times New Roman" w:hAnsi="Times New Roman" w:cs="Times New Roman"/>
          <w:b/>
          <w:sz w:val="24"/>
          <w:szCs w:val="24"/>
          <w:lang w:val="en-GB"/>
        </w:rPr>
        <w:t>Futures images of woodchips as an energy source in Finland</w:t>
      </w:r>
    </w:p>
    <w:p w14:paraId="37D74ACF" w14:textId="6E466172" w:rsidR="00377338" w:rsidRDefault="00377338">
      <w:pPr>
        <w:rPr>
          <w:rFonts w:ascii="Times New Roman" w:eastAsia="Times New Roman" w:hAnsi="Times New Roman" w:cs="Times New Roman"/>
          <w:b/>
          <w:sz w:val="24"/>
          <w:szCs w:val="24"/>
          <w:lang w:val="en-GB"/>
        </w:rPr>
      </w:pPr>
    </w:p>
    <w:p w14:paraId="1D1543EF" w14:textId="19C14970" w:rsidR="00377338" w:rsidRPr="000D7494" w:rsidRDefault="00377338">
      <w:pPr>
        <w:rPr>
          <w:rFonts w:ascii="Times New Roman" w:eastAsia="Times New Roman" w:hAnsi="Times New Roman" w:cs="Times New Roman"/>
          <w:sz w:val="24"/>
          <w:szCs w:val="24"/>
          <w:lang w:val="fi-FI"/>
        </w:rPr>
      </w:pPr>
      <w:r w:rsidRPr="000D7494">
        <w:rPr>
          <w:rFonts w:ascii="Times New Roman" w:eastAsia="Times New Roman" w:hAnsi="Times New Roman" w:cs="Times New Roman"/>
          <w:sz w:val="24"/>
          <w:szCs w:val="24"/>
          <w:lang w:val="fi-FI"/>
        </w:rPr>
        <w:t>Marileena Mäkelä (1), Marjukka Parkkinen (1), Jari Lyytimäki (2), Nina A. Nygrén (1)</w:t>
      </w:r>
    </w:p>
    <w:p w14:paraId="272B1FD0" w14:textId="3C702509" w:rsidR="00377338" w:rsidRPr="000D7494" w:rsidRDefault="00377338">
      <w:pPr>
        <w:rPr>
          <w:rFonts w:ascii="Times New Roman" w:eastAsia="Times New Roman" w:hAnsi="Times New Roman" w:cs="Times New Roman"/>
          <w:sz w:val="24"/>
          <w:szCs w:val="24"/>
          <w:lang w:val="fi-FI"/>
        </w:rPr>
      </w:pPr>
    </w:p>
    <w:p w14:paraId="3549A622" w14:textId="4DC8397E" w:rsidR="00377338" w:rsidRPr="000D7494" w:rsidRDefault="00377338" w:rsidP="000D7494">
      <w:pPr>
        <w:pStyle w:val="ListParagraph"/>
        <w:numPr>
          <w:ilvl w:val="0"/>
          <w:numId w:val="23"/>
        </w:numPr>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en-GB"/>
        </w:rPr>
        <w:t>University of Turku</w:t>
      </w:r>
      <w:r w:rsidRPr="000D7494">
        <w:rPr>
          <w:rFonts w:ascii="Times New Roman" w:eastAsia="Times New Roman" w:hAnsi="Times New Roman" w:cs="Times New Roman"/>
          <w:sz w:val="24"/>
          <w:szCs w:val="24"/>
          <w:lang w:val="en-GB"/>
        </w:rPr>
        <w:br/>
        <w:t>Turku School of Economics</w:t>
      </w:r>
      <w:r w:rsidRPr="000D7494">
        <w:rPr>
          <w:rFonts w:ascii="Times New Roman" w:eastAsia="Times New Roman" w:hAnsi="Times New Roman" w:cs="Times New Roman"/>
          <w:sz w:val="24"/>
          <w:szCs w:val="24"/>
          <w:lang w:val="en-GB"/>
        </w:rPr>
        <w:br/>
        <w:t>Finland Futures Research Centre</w:t>
      </w:r>
      <w:r w:rsidRPr="000D7494">
        <w:rPr>
          <w:rFonts w:ascii="Times New Roman" w:eastAsia="Times New Roman" w:hAnsi="Times New Roman" w:cs="Times New Roman"/>
          <w:sz w:val="24"/>
          <w:szCs w:val="24"/>
          <w:lang w:val="en-GB"/>
        </w:rPr>
        <w:br/>
        <w:t>20400 Turku</w:t>
      </w:r>
      <w:r w:rsidRPr="000D7494">
        <w:rPr>
          <w:rFonts w:ascii="Times New Roman" w:eastAsia="Times New Roman" w:hAnsi="Times New Roman" w:cs="Times New Roman"/>
          <w:sz w:val="24"/>
          <w:szCs w:val="24"/>
          <w:lang w:val="en-GB"/>
        </w:rPr>
        <w:br/>
        <w:t>Finland</w:t>
      </w:r>
    </w:p>
    <w:p w14:paraId="155280A6" w14:textId="43B3EAC7" w:rsidR="00377338" w:rsidRPr="000D7494" w:rsidRDefault="00377338" w:rsidP="000D7494">
      <w:pPr>
        <w:pStyle w:val="ListParagraph"/>
        <w:numPr>
          <w:ilvl w:val="0"/>
          <w:numId w:val="23"/>
        </w:numPr>
        <w:rPr>
          <w:rFonts w:ascii="Times New Roman" w:eastAsia="Times New Roman" w:hAnsi="Times New Roman" w:cs="Times New Roman"/>
          <w:sz w:val="24"/>
          <w:szCs w:val="24"/>
        </w:rPr>
      </w:pPr>
      <w:r w:rsidRPr="000D7494">
        <w:rPr>
          <w:rFonts w:ascii="Times New Roman" w:eastAsia="Times New Roman" w:hAnsi="Times New Roman" w:cs="Times New Roman"/>
          <w:sz w:val="24"/>
          <w:szCs w:val="24"/>
        </w:rPr>
        <w:t>Finnish Environment Institute</w:t>
      </w:r>
      <w:r w:rsidRPr="000D7494">
        <w:rPr>
          <w:rFonts w:ascii="Times New Roman" w:eastAsia="Times New Roman" w:hAnsi="Times New Roman" w:cs="Times New Roman"/>
          <w:sz w:val="24"/>
          <w:szCs w:val="24"/>
        </w:rPr>
        <w:br/>
        <w:t>Latokartanonkaa</w:t>
      </w:r>
      <w:r w:rsidR="000D7494" w:rsidRPr="000D7494">
        <w:rPr>
          <w:rFonts w:ascii="Times New Roman" w:eastAsia="Times New Roman" w:hAnsi="Times New Roman" w:cs="Times New Roman"/>
          <w:sz w:val="24"/>
          <w:szCs w:val="24"/>
        </w:rPr>
        <w:t>ri</w:t>
      </w:r>
      <w:r w:rsidRPr="000D7494">
        <w:rPr>
          <w:rFonts w:ascii="Times New Roman" w:eastAsia="Times New Roman" w:hAnsi="Times New Roman" w:cs="Times New Roman"/>
          <w:sz w:val="24"/>
          <w:szCs w:val="24"/>
        </w:rPr>
        <w:t xml:space="preserve"> 11</w:t>
      </w:r>
      <w:r w:rsidRPr="000D7494">
        <w:rPr>
          <w:rFonts w:ascii="Times New Roman" w:eastAsia="Times New Roman" w:hAnsi="Times New Roman" w:cs="Times New Roman"/>
          <w:sz w:val="24"/>
          <w:szCs w:val="24"/>
        </w:rPr>
        <w:br/>
        <w:t>00790 Helsinki</w:t>
      </w:r>
      <w:r w:rsidRPr="000D7494">
        <w:rPr>
          <w:rFonts w:ascii="Times New Roman" w:eastAsia="Times New Roman" w:hAnsi="Times New Roman" w:cs="Times New Roman"/>
          <w:sz w:val="24"/>
          <w:szCs w:val="24"/>
        </w:rPr>
        <w:br/>
        <w:t>Finland</w:t>
      </w:r>
    </w:p>
    <w:p w14:paraId="1CDCEF1E" w14:textId="3ADA7B0A" w:rsidR="00377338" w:rsidRDefault="00377338" w:rsidP="000D7494">
      <w:pPr>
        <w:ind w:left="360"/>
        <w:rPr>
          <w:rFonts w:ascii="Times New Roman" w:eastAsia="Times New Roman" w:hAnsi="Times New Roman" w:cs="Times New Roman"/>
          <w:b/>
          <w:sz w:val="24"/>
          <w:szCs w:val="24"/>
          <w:lang w:val="fi-FI"/>
        </w:rPr>
      </w:pPr>
    </w:p>
    <w:p w14:paraId="55699835" w14:textId="77777777" w:rsidR="000D7494" w:rsidRPr="00E65A8F" w:rsidRDefault="000D7494" w:rsidP="000D7494">
      <w:pPr>
        <w:spacing w:line="240" w:lineRule="auto"/>
        <w:rPr>
          <w:rFonts w:ascii="Times New Roman" w:eastAsia="Times New Roman" w:hAnsi="Times New Roman" w:cs="Times New Roman"/>
          <w:sz w:val="24"/>
          <w:szCs w:val="24"/>
          <w:lang w:val="en-GB"/>
        </w:rPr>
      </w:pPr>
      <w:r w:rsidRPr="00E65A8F">
        <w:rPr>
          <w:rFonts w:ascii="Times New Roman" w:eastAsia="Times New Roman" w:hAnsi="Times New Roman" w:cs="Times New Roman"/>
          <w:b/>
          <w:bCs/>
          <w:color w:val="000000"/>
          <w:sz w:val="24"/>
          <w:szCs w:val="24"/>
          <w:lang w:val="en-GB"/>
        </w:rPr>
        <w:t>Highlights</w:t>
      </w:r>
    </w:p>
    <w:p w14:paraId="4F011F0A" w14:textId="77777777" w:rsidR="000D7494" w:rsidRPr="00E65A8F" w:rsidRDefault="000D7494" w:rsidP="000D7494">
      <w:pPr>
        <w:spacing w:line="240" w:lineRule="auto"/>
        <w:rPr>
          <w:rFonts w:ascii="Times New Roman" w:eastAsia="Times New Roman" w:hAnsi="Times New Roman" w:cs="Times New Roman"/>
          <w:sz w:val="24"/>
          <w:szCs w:val="24"/>
          <w:lang w:val="en-GB"/>
        </w:rPr>
      </w:pPr>
      <w:r w:rsidRPr="00E65A8F">
        <w:rPr>
          <w:rFonts w:ascii="Times New Roman" w:eastAsia="Times New Roman" w:hAnsi="Times New Roman" w:cs="Times New Roman"/>
          <w:color w:val="000000"/>
          <w:sz w:val="24"/>
          <w:szCs w:val="24"/>
          <w:lang w:val="en-GB"/>
        </w:rPr>
        <w:t> </w:t>
      </w:r>
    </w:p>
    <w:p w14:paraId="7910B126" w14:textId="77777777" w:rsidR="000D7494" w:rsidRPr="00423C2F" w:rsidRDefault="000D7494" w:rsidP="000D7494">
      <w:pPr>
        <w:pStyle w:val="ListParagraph"/>
        <w:numPr>
          <w:ilvl w:val="0"/>
          <w:numId w:val="25"/>
        </w:numPr>
        <w:spacing w:after="0" w:line="240" w:lineRule="auto"/>
        <w:rPr>
          <w:rFonts w:ascii="Times New Roman" w:eastAsia="Times New Roman" w:hAnsi="Times New Roman" w:cs="Times New Roman"/>
          <w:sz w:val="24"/>
          <w:szCs w:val="24"/>
          <w:lang w:val="en-GB" w:eastAsia="fi-FI"/>
        </w:rPr>
      </w:pPr>
      <w:r w:rsidRPr="00423C2F">
        <w:rPr>
          <w:rFonts w:ascii="Times New Roman" w:eastAsia="Times New Roman" w:hAnsi="Times New Roman" w:cs="Times New Roman"/>
          <w:color w:val="000000"/>
          <w:sz w:val="24"/>
          <w:szCs w:val="24"/>
          <w:lang w:val="en-GB" w:eastAsia="fi-FI"/>
        </w:rPr>
        <w:t>Five futures images of woodchip energy use in Finland are created.</w:t>
      </w:r>
    </w:p>
    <w:p w14:paraId="1068FBF0" w14:textId="77777777" w:rsidR="000D7494" w:rsidRPr="00423C2F" w:rsidRDefault="000D7494" w:rsidP="000D7494">
      <w:pPr>
        <w:pStyle w:val="ListParagraph"/>
        <w:numPr>
          <w:ilvl w:val="0"/>
          <w:numId w:val="25"/>
        </w:numPr>
        <w:spacing w:after="0" w:line="240" w:lineRule="auto"/>
        <w:rPr>
          <w:rFonts w:ascii="Times New Roman" w:eastAsia="Times New Roman" w:hAnsi="Times New Roman" w:cs="Times New Roman"/>
          <w:sz w:val="24"/>
          <w:szCs w:val="24"/>
          <w:lang w:val="en-GB" w:eastAsia="fi-FI"/>
        </w:rPr>
      </w:pPr>
      <w:r w:rsidRPr="00423C2F">
        <w:rPr>
          <w:rFonts w:ascii="Times New Roman" w:eastAsia="Times New Roman" w:hAnsi="Times New Roman" w:cs="Times New Roman"/>
          <w:color w:val="000000"/>
          <w:sz w:val="24"/>
          <w:szCs w:val="24"/>
          <w:lang w:val="en-GB" w:eastAsia="fi-FI"/>
        </w:rPr>
        <w:t>The futures images vary based on the type of operator and the role of international regulation.</w:t>
      </w:r>
    </w:p>
    <w:p w14:paraId="2695E6DA" w14:textId="77777777" w:rsidR="000D7494" w:rsidRPr="00423C2F" w:rsidRDefault="000D7494" w:rsidP="000D7494">
      <w:pPr>
        <w:pStyle w:val="ListParagraph"/>
        <w:numPr>
          <w:ilvl w:val="0"/>
          <w:numId w:val="25"/>
        </w:numPr>
        <w:spacing w:after="0" w:line="240" w:lineRule="auto"/>
        <w:rPr>
          <w:rFonts w:ascii="Times New Roman" w:eastAsia="Times New Roman" w:hAnsi="Times New Roman" w:cs="Times New Roman"/>
          <w:sz w:val="24"/>
          <w:szCs w:val="24"/>
          <w:lang w:val="en-GB" w:eastAsia="fi-FI"/>
        </w:rPr>
      </w:pPr>
      <w:r w:rsidRPr="00423C2F">
        <w:rPr>
          <w:rFonts w:ascii="Times New Roman" w:eastAsia="Times New Roman" w:hAnsi="Times New Roman" w:cs="Times New Roman"/>
          <w:color w:val="000000"/>
          <w:sz w:val="24"/>
          <w:szCs w:val="24"/>
          <w:lang w:val="en-GB" w:eastAsia="fi-FI"/>
        </w:rPr>
        <w:t>In the futures images, forest use varies from preservation to the strong promotion of using woodchips as an energy source. </w:t>
      </w:r>
    </w:p>
    <w:p w14:paraId="5FC609AB" w14:textId="77777777" w:rsidR="000D7494" w:rsidRPr="00423C2F" w:rsidRDefault="000D7494" w:rsidP="000D7494">
      <w:pPr>
        <w:pStyle w:val="ListParagraph"/>
        <w:numPr>
          <w:ilvl w:val="0"/>
          <w:numId w:val="25"/>
        </w:numPr>
        <w:spacing w:after="0" w:line="240" w:lineRule="auto"/>
        <w:rPr>
          <w:rFonts w:ascii="Times New Roman" w:eastAsia="Times New Roman" w:hAnsi="Times New Roman" w:cs="Times New Roman"/>
          <w:sz w:val="24"/>
          <w:szCs w:val="24"/>
          <w:lang w:val="en-GB" w:eastAsia="fi-FI"/>
        </w:rPr>
      </w:pPr>
      <w:r w:rsidRPr="00423C2F">
        <w:rPr>
          <w:rFonts w:ascii="Times New Roman" w:eastAsia="Times New Roman" w:hAnsi="Times New Roman" w:cs="Times New Roman"/>
          <w:color w:val="000000"/>
          <w:sz w:val="24"/>
          <w:szCs w:val="24"/>
          <w:lang w:val="en-GB" w:eastAsia="fi-FI"/>
        </w:rPr>
        <w:t>Transition pathways for the current regime of using woodchips as an energy source are identified.</w:t>
      </w:r>
    </w:p>
    <w:p w14:paraId="6AAEF7E9" w14:textId="77777777" w:rsidR="000D7494" w:rsidRPr="000D7494" w:rsidRDefault="000D7494" w:rsidP="000D7494">
      <w:pPr>
        <w:ind w:left="360"/>
        <w:rPr>
          <w:rFonts w:ascii="Times New Roman" w:eastAsia="Times New Roman" w:hAnsi="Times New Roman" w:cs="Times New Roman"/>
          <w:b/>
          <w:sz w:val="24"/>
          <w:szCs w:val="24"/>
          <w:lang w:val="en-GB"/>
        </w:rPr>
      </w:pPr>
    </w:p>
    <w:p w14:paraId="6FAE0401" w14:textId="77777777" w:rsidR="007806FD" w:rsidRPr="002A05C5" w:rsidRDefault="00BD1B5F">
      <w:pPr>
        <w:spacing w:before="480" w:after="12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Abstract</w:t>
      </w:r>
    </w:p>
    <w:p w14:paraId="7686F9EE" w14:textId="77777777" w:rsidR="00AE06F1" w:rsidRPr="00DC107E" w:rsidRDefault="00AE06F1" w:rsidP="00AE06F1">
      <w:pPr>
        <w:pStyle w:val="NormalWeb"/>
        <w:rPr>
          <w:lang w:val="en-GB"/>
        </w:rPr>
      </w:pPr>
      <w:r w:rsidRPr="00DC107E">
        <w:rPr>
          <w:lang w:val="en-GB"/>
        </w:rPr>
        <w:t>Wood is the most widely used renewable energy source in the world. However, there are competing views on how wood should be used in the future</w:t>
      </w:r>
      <w:r>
        <w:rPr>
          <w:lang w:val="en-GB"/>
        </w:rPr>
        <w:t xml:space="preserve">. </w:t>
      </w:r>
      <w:r w:rsidRPr="00DC107E">
        <w:rPr>
          <w:lang w:val="en-GB"/>
        </w:rPr>
        <w:t>The objective of this study is to examine conceptions related to alternative futures for the use of woodchips as an energy source in Finland. We construct futures images based on two data sources describing the views favoring the use of woodchips: thematic interviews with woodchip users and newspaper articles. The futures images are constructed based on two key themes that emerge from our data</w:t>
      </w:r>
      <w:r>
        <w:rPr>
          <w:lang w:val="en-GB"/>
        </w:rPr>
        <w:t>. First, the a</w:t>
      </w:r>
      <w:r w:rsidRPr="00DC107E">
        <w:rPr>
          <w:lang w:val="en-GB"/>
        </w:rPr>
        <w:t>lternatives are imagined for the types of the operators using woodchips in the future, varying between small- and large-scale use.</w:t>
      </w:r>
      <w:r>
        <w:rPr>
          <w:lang w:val="en-GB"/>
        </w:rPr>
        <w:t xml:space="preserve"> Second, t</w:t>
      </w:r>
      <w:r w:rsidRPr="00DC107E">
        <w:rPr>
          <w:lang w:val="en-GB"/>
        </w:rPr>
        <w:t>he strong role of regulations, particularly at the European Union level, will be the key driver of the future use of woodchips as an energy source. The results show wide variation in the potential goals of public governance, ranging from regulations designed to strongly support the use of woodchips as an energy source to almost complete conservation of forests. Focusing on the regime level, we identify possible transition pathways illustrating how the use of woodchips could change in the future and discuss possible policy implications.</w:t>
      </w:r>
    </w:p>
    <w:p w14:paraId="01DC8DAF" w14:textId="0BEBF79D" w:rsidR="007806FD" w:rsidRPr="002A05C5" w:rsidRDefault="007806FD">
      <w:pPr>
        <w:spacing w:before="240"/>
        <w:rPr>
          <w:rFonts w:ascii="Times New Roman" w:eastAsia="Times New Roman" w:hAnsi="Times New Roman" w:cs="Times New Roman"/>
          <w:sz w:val="24"/>
          <w:szCs w:val="24"/>
          <w:lang w:val="en-GB"/>
        </w:rPr>
      </w:pPr>
    </w:p>
    <w:p w14:paraId="3A09B067"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lastRenderedPageBreak/>
        <w:t>Keywords:</w:t>
      </w:r>
    </w:p>
    <w:p w14:paraId="20C12671"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Multi-level perspective; Bioenergy; Woodchips; Media coverage; Renewable energy; Futures image</w:t>
      </w:r>
    </w:p>
    <w:p w14:paraId="2CEC8F19"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0A3A87F4" w14:textId="77777777" w:rsidR="007806FD" w:rsidRPr="002A05C5" w:rsidRDefault="00BD1B5F">
      <w:pPr>
        <w:spacing w:before="480" w:after="12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1. Introduction</w:t>
      </w:r>
    </w:p>
    <w:p w14:paraId="4399B8F7" w14:textId="02FB4999"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There is currently an ongoing transition from the use of fossil fuels to renewable energy sources due to the urgent challenge of climate change. United Nations’ Sustainable Development Goals</w:t>
      </w:r>
      <w:r w:rsidR="002A05C5">
        <w:rPr>
          <w:rFonts w:ascii="Times New Roman" w:eastAsia="Times New Roman" w:hAnsi="Times New Roman" w:cs="Times New Roman"/>
          <w:sz w:val="24"/>
          <w:szCs w:val="24"/>
          <w:lang w:val="en-GB"/>
        </w:rPr>
        <w:t xml:space="preserve"> (SGDs)</w:t>
      </w:r>
      <w:r w:rsidRPr="002A05C5">
        <w:rPr>
          <w:rFonts w:ascii="Times New Roman" w:eastAsia="Times New Roman" w:hAnsi="Times New Roman" w:cs="Times New Roman"/>
          <w:sz w:val="24"/>
          <w:szCs w:val="24"/>
          <w:lang w:val="en-GB"/>
        </w:rPr>
        <w:t xml:space="preserve"> address both the need for renewable energy in SDG 7, and mitigation of climate change in</w:t>
      </w:r>
      <w:r w:rsidR="002A05C5">
        <w:rPr>
          <w:rFonts w:ascii="Times New Roman" w:eastAsia="Times New Roman" w:hAnsi="Times New Roman" w:cs="Times New Roman"/>
          <w:sz w:val="24"/>
          <w:szCs w:val="24"/>
          <w:lang w:val="en-GB"/>
        </w:rPr>
        <w:t xml:space="preserve"> SDG 13 (United Nations, 2019).</w:t>
      </w:r>
      <w:r w:rsidRPr="002A05C5">
        <w:rPr>
          <w:rFonts w:ascii="Times New Roman" w:eastAsia="Times New Roman" w:hAnsi="Times New Roman" w:cs="Times New Roman"/>
          <w:sz w:val="24"/>
          <w:szCs w:val="24"/>
          <w:lang w:val="en-GB"/>
        </w:rPr>
        <w:t xml:space="preserve"> SDG 7 focuses on clean and affordable energy and aims for a substantial increase in the share of renewable energy in the global energy mix by 2030, whereas the sub-target of SDG13 addresses the national policies for climate change mitigation. In the EU, the 2020 Energy Strategy aims to increase the share of renewable energy to at least 20% of consumption by 2020 (EU, 2010). In 2016, the total primary energy supply was at 13,761 Mtoe</w:t>
      </w:r>
      <w:r w:rsidRPr="002A05C5">
        <w:rPr>
          <w:rStyle w:val="FootnoteReference"/>
          <w:rFonts w:ascii="Times New Roman" w:eastAsia="Times New Roman" w:hAnsi="Times New Roman" w:cs="Times New Roman"/>
          <w:sz w:val="24"/>
          <w:szCs w:val="24"/>
          <w:lang w:val="en-GB"/>
        </w:rPr>
        <w:footnoteReference w:id="1"/>
      </w:r>
      <w:r w:rsidRPr="002A05C5">
        <w:rPr>
          <w:rFonts w:ascii="Times New Roman" w:eastAsia="Times New Roman" w:hAnsi="Times New Roman" w:cs="Times New Roman"/>
          <w:sz w:val="24"/>
          <w:szCs w:val="24"/>
          <w:lang w:val="en-GB"/>
        </w:rPr>
        <w:t xml:space="preserve"> globally, 81% of which was produced by fossil fuels (IEA, 2018). The use of renewable energy sources grows significantly annually, reaching a 17% annual increase in 2017 (BP, 2018). However, t</w:t>
      </w:r>
      <w:r w:rsidR="002A05C5">
        <w:rPr>
          <w:rFonts w:ascii="Times New Roman" w:eastAsia="Times New Roman" w:hAnsi="Times New Roman" w:cs="Times New Roman"/>
          <w:sz w:val="24"/>
          <w:szCs w:val="24"/>
          <w:lang w:val="en-GB"/>
        </w:rPr>
        <w:t xml:space="preserve">he energy demand grows as well. </w:t>
      </w:r>
      <w:r w:rsidRPr="002A05C5">
        <w:rPr>
          <w:rFonts w:ascii="Times New Roman" w:eastAsia="Times New Roman" w:hAnsi="Times New Roman" w:cs="Times New Roman"/>
          <w:sz w:val="24"/>
          <w:szCs w:val="24"/>
          <w:lang w:val="en-GB"/>
        </w:rPr>
        <w:t>Based on the existing energy policies and announced policy intentions, the amount of global energy consumption is projected to increase almost 80% between 2016 and 2040 (IEA, 2018).</w:t>
      </w:r>
    </w:p>
    <w:p w14:paraId="7B59BC76" w14:textId="5B173D0E"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In this article, we focus on wood as an energy source. Wood is the most common renewable energy source worldwide, outpacing hydropower by approximately a factor of 5 and solar and wind power by a factor of 100 (IEA, 2018). The Food and Agriculture Organisation of the United Nations (FAO) estimates that about 6% of the total global primary energy supply is comprised of wood (FAO, 2018). Wood has been widely used throughout history</w:t>
      </w:r>
      <w:r w:rsidRPr="002A05C5">
        <w:rPr>
          <w:rStyle w:val="FootnoteReference"/>
          <w:rFonts w:ascii="Times New Roman" w:eastAsia="Times New Roman" w:hAnsi="Times New Roman" w:cs="Times New Roman"/>
          <w:sz w:val="24"/>
          <w:szCs w:val="24"/>
          <w:lang w:val="en-GB"/>
        </w:rPr>
        <w:footnoteReference w:id="2"/>
      </w:r>
      <w:r w:rsidRPr="002A05C5">
        <w:rPr>
          <w:rFonts w:ascii="Times New Roman" w:eastAsia="Times New Roman" w:hAnsi="Times New Roman" w:cs="Times New Roman"/>
          <w:sz w:val="24"/>
          <w:szCs w:val="24"/>
          <w:lang w:val="en-GB"/>
        </w:rPr>
        <w:t xml:space="preserve"> and is still the most important energy source for cooking and heating in many developing countries (FAO, 2018). In Europe in 2016, wood-based energy sources totalled 45% of the consumption of renewable energy and 6% of the total energy consumption (Eurostat, 2019).</w:t>
      </w:r>
    </w:p>
    <w:p w14:paraId="3C9FFED1" w14:textId="460D8C02"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A range of studies has analysed the social, economic, and ecological implications of using wood as an energy source, but studies specifically focusing on the future wood energy are relatively rare. Typically</w:t>
      </w:r>
      <w:r w:rsidR="002A05C5">
        <w:rPr>
          <w:rFonts w:ascii="Times New Roman" w:eastAsia="Times New Roman" w:hAnsi="Times New Roman" w:cs="Times New Roman"/>
          <w:sz w:val="24"/>
          <w:szCs w:val="24"/>
          <w:lang w:val="en-GB"/>
        </w:rPr>
        <w:t>,</w:t>
      </w:r>
      <w:r w:rsidRPr="002A05C5">
        <w:rPr>
          <w:rFonts w:ascii="Times New Roman" w:eastAsia="Times New Roman" w:hAnsi="Times New Roman" w:cs="Times New Roman"/>
          <w:sz w:val="24"/>
          <w:szCs w:val="24"/>
          <w:lang w:val="en-GB"/>
        </w:rPr>
        <w:t xml:space="preserve"> the main assumption in the wood energy studies has been that wood energy will be used in the future and often in increased amounts. For example, Tapio, Rintamäki, </w:t>
      </w:r>
      <w:r w:rsidRPr="002A05C5">
        <w:rPr>
          <w:rFonts w:ascii="Times New Roman" w:eastAsia="Times New Roman" w:hAnsi="Times New Roman" w:cs="Times New Roman"/>
          <w:sz w:val="24"/>
          <w:szCs w:val="24"/>
          <w:lang w:val="en-GB"/>
        </w:rPr>
        <w:lastRenderedPageBreak/>
        <w:t xml:space="preserve">Rikkonen, and Ruotsalainen (2017) created six energy scenarios for farms up to the year 2030. They showed that the role of wood burning will likely remain prominent in the future, whereas the role of other renewable energy sources varies in different scenarios. Similarly, Rikkonen, Tapio, and Rintamäki (2019) analysed business opportunities for small-scale renewable energy production and found that business opportunities lay, especially, in wood and biogas. </w:t>
      </w:r>
    </w:p>
    <w:p w14:paraId="60FF6CD1" w14:textId="195C3D48"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Pr="00EB5C2A">
        <w:rPr>
          <w:rFonts w:ascii="Times New Roman" w:eastAsia="Times New Roman" w:hAnsi="Times New Roman" w:cs="Times New Roman"/>
          <w:sz w:val="24"/>
          <w:szCs w:val="24"/>
          <w:lang w:val="en-GB"/>
        </w:rPr>
        <w:t>However, criticism is increasingly presented. As Guo, Song and Buhain (2015) point out, there are both socio-economic (e.g. land rights, energy security and labour conditions) and environmental (e.g. CO</w:t>
      </w:r>
      <w:r w:rsidRPr="00EB5C2A">
        <w:rPr>
          <w:rFonts w:ascii="Times New Roman" w:eastAsia="Times New Roman" w:hAnsi="Times New Roman" w:cs="Times New Roman"/>
          <w:sz w:val="24"/>
          <w:szCs w:val="24"/>
          <w:vertAlign w:val="subscript"/>
          <w:lang w:val="en-GB"/>
        </w:rPr>
        <w:t>2</w:t>
      </w:r>
      <w:r w:rsidRPr="00EB5C2A">
        <w:rPr>
          <w:rFonts w:ascii="Times New Roman" w:eastAsia="Times New Roman" w:hAnsi="Times New Roman" w:cs="Times New Roman"/>
          <w:sz w:val="24"/>
          <w:szCs w:val="24"/>
          <w:lang w:val="en-GB"/>
        </w:rPr>
        <w:t xml:space="preserve"> emissions, biodiversity and water issues) impacts related to the use of wood energy. More precisely, </w:t>
      </w:r>
      <w:r w:rsidR="00556F30" w:rsidRPr="00EB5C2A">
        <w:rPr>
          <w:rFonts w:ascii="Times New Roman" w:eastAsia="Times New Roman" w:hAnsi="Times New Roman" w:cs="Times New Roman"/>
          <w:sz w:val="24"/>
          <w:szCs w:val="24"/>
          <w:lang w:val="en-GB"/>
        </w:rPr>
        <w:t xml:space="preserve">Kangas, Lyytimäki, Saarela and Primmer </w:t>
      </w:r>
      <w:r w:rsidRPr="00EB5C2A">
        <w:rPr>
          <w:rFonts w:ascii="Times New Roman" w:eastAsia="Times New Roman" w:hAnsi="Times New Roman" w:cs="Times New Roman"/>
          <w:sz w:val="24"/>
          <w:szCs w:val="24"/>
          <w:lang w:val="en-GB"/>
        </w:rPr>
        <w:t>(2018) studied stakeholders’ views regarding tree stump extraction in Finland and found that different stakeholders emphasised different impacts of stump removal, such as bioenergy goals, biodiversity conservation, and economic and employment goals. Leban, Malovrh, Strirn, and Krč</w:t>
      </w:r>
      <w:r w:rsidRPr="002A05C5">
        <w:rPr>
          <w:rFonts w:ascii="Times New Roman" w:eastAsia="Times New Roman" w:hAnsi="Times New Roman" w:cs="Times New Roman"/>
          <w:sz w:val="24"/>
          <w:szCs w:val="24"/>
          <w:lang w:val="en-GB"/>
        </w:rPr>
        <w:t xml:space="preserve"> (2016) as well as Campbell, Tyron, and Anderson (2016) studied individuals’ views regarding the acceptability of using forests as an energy source. In Leban et al.’s (2016) study, forest management professionals did not appreciate ‘fuel production’ as the main purpose of forests. Similarly, Campbell et al. (2016) focused on North America and noticed that the citizens of Montana did not approve of the idea of production doubling despite seeing forest energy production as positive. A study by Kallio, Salminen, and Sievänen (2013) created three scenarios for the year 2025 to compare the effects of wood energy on the carbon balance. They found that for Finland to meet its EU target (38% of national total energy consumption covered by renewable energy by 2020), the use of wood energy should be increased. This would mean that the net greenhouse gas (GHG) emissions from forests would increase, although forests would still be a carbon sink. The EU’s goal set for Finland was already reached in 2014, and currently, the share is over 40% (Statistics Finland, 2018).</w:t>
      </w:r>
    </w:p>
    <w:p w14:paraId="41FE8669" w14:textId="32315B73" w:rsidR="007806FD" w:rsidRPr="00EB5C2A"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The objective of this paper is to examine conceptions related to alternative futures of woodchip energy in Finland. We focus on the views of actors favouring the use of woodchips. Woodchips are a mature, regime-level energy source that has solid technological ground, a well-established production chain, and institutionalised policy support (Kuitto, 2005). Wood-based bioenergy has been a cornerstone of Finnish energy policies, and most Finns have traditionally welcomed bioenergy as a domestic renewable energy source. However, concerns about the ecological sustainability of using forest resources have been increasingly voiced, also in Finland. In particular, the concept of a circular economy and the cascade principle aiming to extend the material use of wood products challenges the conventional use of wood as an energy source (Raitanen, Antikainen, Turunen, Primmer &amp; Seppälä, 2017). In addition, it is important to research which kinds of mechanisms lead to certain futures images. For example, currently, the emphasis is on changing regulations rather than technological innovations that utilise woodchips more efficiently. Earlier research has suggested that current structures and deeply rooted </w:t>
      </w:r>
      <w:r w:rsidRPr="00EB5C2A">
        <w:rPr>
          <w:rFonts w:ascii="Times New Roman" w:eastAsia="Times New Roman" w:hAnsi="Times New Roman" w:cs="Times New Roman"/>
          <w:sz w:val="24"/>
          <w:szCs w:val="24"/>
          <w:lang w:val="en-GB"/>
        </w:rPr>
        <w:t>practices of woodchip processing, logistics, and burning prevent the diffusion of new innovations, such as the more energy-efficient use of fresh chips harvested during the winter months (</w:t>
      </w:r>
      <w:r w:rsidR="00556F30" w:rsidRPr="00EB5C2A">
        <w:rPr>
          <w:rFonts w:ascii="Times New Roman" w:eastAsia="Times New Roman" w:hAnsi="Times New Roman" w:cs="Times New Roman"/>
          <w:sz w:val="24"/>
          <w:szCs w:val="24"/>
          <w:lang w:val="en-GB"/>
        </w:rPr>
        <w:t>Lyytimäki</w:t>
      </w:r>
      <w:r w:rsidRPr="00EB5C2A">
        <w:rPr>
          <w:rFonts w:ascii="Times New Roman" w:eastAsia="Times New Roman" w:hAnsi="Times New Roman" w:cs="Times New Roman"/>
          <w:sz w:val="24"/>
          <w:szCs w:val="24"/>
          <w:lang w:val="en-GB"/>
        </w:rPr>
        <w:t xml:space="preserve">, 2019). </w:t>
      </w:r>
    </w:p>
    <w:p w14:paraId="5C7746FB"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EB5C2A">
        <w:rPr>
          <w:rFonts w:ascii="Times New Roman" w:eastAsia="Times New Roman" w:hAnsi="Times New Roman" w:cs="Times New Roman"/>
          <w:sz w:val="24"/>
          <w:szCs w:val="24"/>
          <w:lang w:val="en-GB"/>
        </w:rPr>
        <w:t>Our research question is ‘how, if at all, the future of woodchip use in Finland may be changed by regime actors and for which reasons’. To accomplish this objective, we first identify, form,</w:t>
      </w:r>
      <w:r w:rsidRPr="002A05C5">
        <w:rPr>
          <w:rFonts w:ascii="Times New Roman" w:eastAsia="Times New Roman" w:hAnsi="Times New Roman" w:cs="Times New Roman"/>
          <w:sz w:val="24"/>
          <w:szCs w:val="24"/>
          <w:lang w:val="en-GB"/>
        </w:rPr>
        <w:t xml:space="preserve"> and analyse alternative futures images regarding the use of woodchips as an energy source in Finland, as well as the changes, drivers, and dynamics related to these images. The futures images are based on two data sources. We conducted interviews with woodchip users and analysed newspaper articles addressing the use of woodchips. In the discussion, we reflect the alternative futures images with different transition pathways of the multi-level perspective (MLP) framework (Geels &amp; Schot, 2007; 2011). MLP and the transition pathways, which portray change through different types of alignments between the levels, provide a framework to study changes in woodchip use on a general level. Although the MLP framework has been used to analyse </w:t>
      </w:r>
      <w:r w:rsidRPr="002A05C5">
        <w:rPr>
          <w:rFonts w:ascii="Times New Roman" w:eastAsia="Times New Roman" w:hAnsi="Times New Roman" w:cs="Times New Roman"/>
          <w:i/>
          <w:sz w:val="24"/>
          <w:szCs w:val="24"/>
          <w:lang w:val="en-GB"/>
        </w:rPr>
        <w:t>ex-post</w:t>
      </w:r>
      <w:r w:rsidRPr="002A05C5">
        <w:rPr>
          <w:rFonts w:ascii="Times New Roman" w:eastAsia="Times New Roman" w:hAnsi="Times New Roman" w:cs="Times New Roman"/>
          <w:sz w:val="24"/>
          <w:szCs w:val="24"/>
          <w:lang w:val="en-GB"/>
        </w:rPr>
        <w:t xml:space="preserve"> transition, this paper tests the potential of the framework by re-orienting its focus to the imagination of transition towards alternative futures. Thus, the methodological aim of this paper is to examine the potential of combining the MLP framework with futures studies in practice to develop tools for a better understanding of the dynamics of change.</w:t>
      </w:r>
    </w:p>
    <w:p w14:paraId="66EAE70B" w14:textId="627A47B9"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The structure of the paper is as follows. In the next section, we present the MLP framework. In the third section, we introduce the conceptual framework of our study, namely the futures images. The fourth section provides a brief overview of wood energy use in Finland and the </w:t>
      </w:r>
      <w:r w:rsidR="0021526B">
        <w:rPr>
          <w:rFonts w:ascii="Times New Roman" w:eastAsia="Times New Roman" w:hAnsi="Times New Roman" w:cs="Times New Roman"/>
          <w:sz w:val="24"/>
          <w:szCs w:val="24"/>
          <w:lang w:val="en-GB"/>
        </w:rPr>
        <w:t>materials</w:t>
      </w:r>
      <w:r w:rsidRPr="002A05C5">
        <w:rPr>
          <w:rFonts w:ascii="Times New Roman" w:eastAsia="Times New Roman" w:hAnsi="Times New Roman" w:cs="Times New Roman"/>
          <w:sz w:val="24"/>
          <w:szCs w:val="24"/>
          <w:lang w:val="en-GB"/>
        </w:rPr>
        <w:t xml:space="preserve"> and methods applied in our data gathering process. We provide the results of the analysis in section five, the discussion in section six, and conclusions in section seven.</w:t>
      </w:r>
    </w:p>
    <w:p w14:paraId="5CAE855C" w14:textId="77777777" w:rsidR="007806FD" w:rsidRPr="002A05C5" w:rsidRDefault="00BD1B5F">
      <w:pPr>
        <w:spacing w:before="480" w:after="12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2. Multi-level perspective: Is the regime changing?</w:t>
      </w:r>
    </w:p>
    <w:p w14:paraId="40AEDA31" w14:textId="22C025DE" w:rsidR="007806FD" w:rsidRPr="002A05C5" w:rsidRDefault="00BD1B5F" w:rsidP="00490A4E">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00490A4E" w:rsidRPr="002A05C5">
        <w:rPr>
          <w:rFonts w:ascii="Times New Roman" w:eastAsia="Times New Roman" w:hAnsi="Times New Roman" w:cs="Times New Roman"/>
          <w:sz w:val="24"/>
          <w:szCs w:val="24"/>
          <w:lang w:val="en-GB"/>
        </w:rPr>
        <w:tab/>
      </w:r>
      <w:r w:rsidRPr="002A05C5">
        <w:rPr>
          <w:rFonts w:ascii="Times New Roman" w:eastAsia="Times New Roman" w:hAnsi="Times New Roman" w:cs="Times New Roman"/>
          <w:sz w:val="24"/>
          <w:szCs w:val="24"/>
          <w:lang w:val="en-GB"/>
        </w:rPr>
        <w:t xml:space="preserve">Multi-level perspective (MLP) is an analytical framework used for studying complex and long-term socio-technical transitions. Whereas the early MLP research emphasised the alignment of simultaneous developments in different layers, attention has been recently given to, for example, alternative outcomes resulting from interactions with different timings, particularly the pressure emerging from the landscape level. Geels et al. (2018) categorise the debates in low-carbon socio-technical transition research under those concerning either the emergence, diffusion, or impact of innovations. In addition to these, there are topics that crosscut the three aforementioned themes. In this paper, MLP and its transition pathways are used as an analytical framework to discuss how the use of woodchips may change in the future. </w:t>
      </w:r>
    </w:p>
    <w:p w14:paraId="0EF56990"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MLP approaches transitions as the result of the alignment of developments that occur on three levels: technological niche innovations, the socio-technical regime, and the socio-technical landscape. Niche innovations are novelties, often radical, that emerge from small outlier networks. The regime is the layer of stable, existing trajectories and development formed by scientists, policymakers, and users. The landscape is an environment of slow development beyond the influence of actors in the other two layers. (Geels &amp; Schot, 2007; 2011.) To summarise, transitions occur as a result of interplay that allows radical breakthroughs to enter markets: pressure from the landscape towards the existing regime level, as well as opportunities for niche innovations that open within the destabilised regime level.</w:t>
      </w:r>
    </w:p>
    <w:p w14:paraId="77DF7208"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To differentiate the possible transition paths, Geels and Schot (2011) suggest a typology of five transition pathways built on three different criteria: the 1) timing of multi-level interactions, 2) nature of the interactions, and 3) types of landscape change. The interactions can be formed, for example, through reinforcing disruptive or competitive developments between the layers. The suggested transition pathways are described as follows (Geels &amp; Schot, 2010; Geels et al., 2016):</w:t>
      </w:r>
    </w:p>
    <w:p w14:paraId="52268A00" w14:textId="062AF2B9" w:rsidR="007806FD" w:rsidRPr="0021526B" w:rsidRDefault="00BD1B5F" w:rsidP="0021526B">
      <w:pPr>
        <w:pStyle w:val="ListParagraph"/>
        <w:numPr>
          <w:ilvl w:val="0"/>
          <w:numId w:val="20"/>
        </w:numPr>
        <w:rPr>
          <w:rFonts w:ascii="Times New Roman" w:eastAsia="Times New Roman" w:hAnsi="Times New Roman" w:cs="Times New Roman"/>
          <w:sz w:val="24"/>
          <w:szCs w:val="24"/>
          <w:lang w:val="en-GB"/>
        </w:rPr>
      </w:pPr>
      <w:r w:rsidRPr="0021526B">
        <w:rPr>
          <w:rFonts w:ascii="Times New Roman" w:eastAsia="Times New Roman" w:hAnsi="Times New Roman" w:cs="Times New Roman"/>
          <w:sz w:val="24"/>
          <w:szCs w:val="24"/>
          <w:lang w:val="en-GB"/>
        </w:rPr>
        <w:t>The transformation pathway, in which moderate pressure from the landscape level occurs during insufficiently developed niche innovations. Incumbent actors respond by modifying the direction of innovation activities. As a result, the current regime is gradually reoriented.</w:t>
      </w:r>
    </w:p>
    <w:p w14:paraId="2B890DD3" w14:textId="01392B82" w:rsidR="007806FD" w:rsidRPr="0021526B" w:rsidRDefault="00BD1B5F" w:rsidP="0021526B">
      <w:pPr>
        <w:pStyle w:val="ListParagraph"/>
        <w:numPr>
          <w:ilvl w:val="0"/>
          <w:numId w:val="20"/>
        </w:numPr>
        <w:rPr>
          <w:rFonts w:ascii="Times New Roman" w:eastAsia="Times New Roman" w:hAnsi="Times New Roman" w:cs="Times New Roman"/>
          <w:sz w:val="24"/>
          <w:szCs w:val="24"/>
          <w:lang w:val="en-GB"/>
        </w:rPr>
      </w:pPr>
      <w:r w:rsidRPr="0021526B">
        <w:rPr>
          <w:rFonts w:ascii="Times New Roman" w:eastAsia="Times New Roman" w:hAnsi="Times New Roman" w:cs="Times New Roman"/>
          <w:sz w:val="24"/>
          <w:szCs w:val="24"/>
          <w:lang w:val="en-GB"/>
        </w:rPr>
        <w:t>The de-alignment/re-alignment pathway, in which a sudden and divergent landscape change causes regime actors to lose their faith in the current system. This results in an erosion of the regime. If the niche innovations are insufficiently developed, there will be competition between several co-existing ones. One of the niches will become dominant and re-align the new regime.</w:t>
      </w:r>
    </w:p>
    <w:p w14:paraId="43E419BD" w14:textId="6AA1C626" w:rsidR="007806FD" w:rsidRPr="0021526B" w:rsidRDefault="00BD1B5F" w:rsidP="0021526B">
      <w:pPr>
        <w:pStyle w:val="ListParagraph"/>
        <w:numPr>
          <w:ilvl w:val="0"/>
          <w:numId w:val="20"/>
        </w:numPr>
        <w:rPr>
          <w:rFonts w:ascii="Times New Roman" w:eastAsia="Times New Roman" w:hAnsi="Times New Roman" w:cs="Times New Roman"/>
          <w:sz w:val="24"/>
          <w:szCs w:val="24"/>
          <w:lang w:val="en-GB"/>
        </w:rPr>
      </w:pPr>
      <w:r w:rsidRPr="0021526B">
        <w:rPr>
          <w:rFonts w:ascii="Times New Roman" w:eastAsia="Times New Roman" w:hAnsi="Times New Roman" w:cs="Times New Roman"/>
          <w:sz w:val="24"/>
          <w:szCs w:val="24"/>
          <w:lang w:val="en-GB"/>
        </w:rPr>
        <w:t>The technological substitution pathway, in which severe landscape pressure allows a sufficiently developed niche innovation to break through and replace the current regime. The breakthrough can occur either as a result of limited institutional change and disruption by innovations with superior characteristics or as a result of rules that are re-adjusted to suit the new niche technologies.</w:t>
      </w:r>
    </w:p>
    <w:p w14:paraId="20BC4972" w14:textId="46613EB3" w:rsidR="007806FD" w:rsidRPr="0021526B" w:rsidRDefault="00BD1B5F" w:rsidP="0021526B">
      <w:pPr>
        <w:pStyle w:val="ListParagraph"/>
        <w:numPr>
          <w:ilvl w:val="0"/>
          <w:numId w:val="20"/>
        </w:numPr>
        <w:rPr>
          <w:rFonts w:ascii="Times New Roman" w:eastAsia="Times New Roman" w:hAnsi="Times New Roman" w:cs="Times New Roman"/>
          <w:sz w:val="24"/>
          <w:szCs w:val="24"/>
          <w:lang w:val="en-GB"/>
        </w:rPr>
      </w:pPr>
      <w:r w:rsidRPr="0021526B">
        <w:rPr>
          <w:rFonts w:ascii="Times New Roman" w:eastAsia="Times New Roman" w:hAnsi="Times New Roman" w:cs="Times New Roman"/>
          <w:sz w:val="24"/>
          <w:szCs w:val="24"/>
          <w:lang w:val="en-GB"/>
        </w:rPr>
        <w:t>The reconfiguration pathway, in which transformation occurs through a combination of niche-innovations and the prevailing regime level. In this pathway, niche-innovations are initially adopted by the regime to solve local problems, triggering changes in the fundamentals of the regime.</w:t>
      </w:r>
    </w:p>
    <w:p w14:paraId="725A4F76" w14:textId="24AD3103" w:rsidR="007806FD" w:rsidRPr="0021526B" w:rsidRDefault="00BD1B5F" w:rsidP="0021526B">
      <w:pPr>
        <w:pStyle w:val="ListParagraph"/>
        <w:numPr>
          <w:ilvl w:val="0"/>
          <w:numId w:val="20"/>
        </w:numPr>
        <w:rPr>
          <w:rFonts w:ascii="Times New Roman" w:eastAsia="Times New Roman" w:hAnsi="Times New Roman" w:cs="Times New Roman"/>
          <w:sz w:val="24"/>
          <w:szCs w:val="24"/>
          <w:lang w:val="en-GB"/>
        </w:rPr>
      </w:pPr>
      <w:r w:rsidRPr="0021526B">
        <w:rPr>
          <w:rFonts w:ascii="Times New Roman" w:eastAsia="Times New Roman" w:hAnsi="Times New Roman" w:cs="Times New Roman"/>
          <w:sz w:val="24"/>
          <w:szCs w:val="24"/>
          <w:lang w:val="en-GB"/>
        </w:rPr>
        <w:t>Mixed pathways, which refers to a situation in which a series of transition pathways occur as a result of a disruptive change on the landscape level (Geels &amp; Schot, 2011; Geels et al., 2016).</w:t>
      </w:r>
    </w:p>
    <w:p w14:paraId="0DA752CA"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According to Geels and Schot (2007), the underlying conceptualisation of MLP is the multidimensional model of agency. Actors engage in actions to achieve their own purposes or goals. Fundamental to these actions are cognitive schemas and rules that are partly shared. Importantly, if we consider that these rules manifest through different perceptions of possible futures, the concept of futures images enables an analysis of the schemas, guiding us towards the future. This study is, therefore, an effort to examine not only how futures of woodchips use are perceived, but how the rules and development paths are negotiated in public and through public media.</w:t>
      </w:r>
    </w:p>
    <w:p w14:paraId="671FB8AB" w14:textId="77777777" w:rsidR="007806FD" w:rsidRPr="002A05C5" w:rsidRDefault="00BD1B5F">
      <w:pPr>
        <w:spacing w:before="480" w:after="12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3. Futures image</w:t>
      </w:r>
    </w:p>
    <w:p w14:paraId="46FC552F" w14:textId="6ECBC424"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In this paper, we use the concept of a futures image</w:t>
      </w:r>
      <w:r w:rsidRPr="002A05C5">
        <w:rPr>
          <w:rStyle w:val="FootnoteReference"/>
          <w:rFonts w:ascii="Times New Roman" w:eastAsia="Times New Roman" w:hAnsi="Times New Roman" w:cs="Times New Roman"/>
          <w:sz w:val="24"/>
          <w:szCs w:val="24"/>
          <w:lang w:val="en-GB"/>
        </w:rPr>
        <w:footnoteReference w:id="3"/>
      </w:r>
      <w:r w:rsidRPr="002A05C5">
        <w:rPr>
          <w:rFonts w:ascii="Times New Roman" w:eastAsia="Times New Roman" w:hAnsi="Times New Roman" w:cs="Times New Roman"/>
          <w:sz w:val="24"/>
          <w:szCs w:val="24"/>
          <w:lang w:val="en-GB"/>
        </w:rPr>
        <w:t xml:space="preserve"> to focus on the state of the future instead of the development paths leading to it. Futures images refer to expectations that concern a future state of things to come (Bell &amp; Mau, 1971). These images may concern probable, possible, or preferable futures (Amara, 1981). The creation of futures images through assessments and assumptions is a way of trying to make the future more predictable and transparent (Rubin, 2013).</w:t>
      </w:r>
    </w:p>
    <w:p w14:paraId="595CB67A"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concept of futures image and the idea that futures images shape people’s actions are shared by many futures researchers. To study how this knowledge affects people, the futures images and how they are formed must be analysed (Bell, 1997). Thus, the exploration of futures images is important for understanding social change. Decision-making involves the deliberation of alternative futures images and is followed by action accordingly. Consequently, the futures emerge as a result of individual and collective action. Bell and Mau (1971) acknowledge the coexistence of different imaginary futures, which result from the struggle to control futures. Thus, the analysis of varied futures images is an analysis of different kinds of expectations, partly transforming into the emerging futures they depict. Concerning transitions, images are at the core of value-laden and -driven debates and, therefore, objects of strategic behaviour (Beers, Veldkamp, Hermans, van Apeldoorn, Vervoort &amp; Kok, 2010).</w:t>
      </w:r>
    </w:p>
    <w:p w14:paraId="54D14E52" w14:textId="2C7977C2"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The concept of futures image has seldom been applied in energy research. We identified four studies published in academic journals that had constructed futures images on either directly or partly related to future energy use. Wallgren and Höjer (2009) studied energy use in the food system. Their end result was a futures image of sustainable food consumption in 2050, wherein energy efficiency was the key component. Agricultural production and related technology were developed with a focus on energy efficiency. Similar changes were estimated in households, where, for example, raw food was preferred over cooked meals. Similarly, Kuhmonen (2017) focused on the food system. He proposed four futures images, and one of these touched upon energy. In his ‘green food chain’ image, the flows of food, feed, and energy are intertwined as, for example, food can be produced in forests. Similarly, Kuhmonen and Kuhmonen (2015) studied rural futures. They created four futures images for the rural countryside, and one of these also addressed energy. In their ‘decentralised bio-economy’ image, the countryside was seen as a source of renewable energy that provides a livelihood for rural people. The only study that addressed the futures images of energy production directly was conducted by Ruggiero, Varho, and Rikkonen (2015). They studied the transition to distributed energy generation in Finland and created three futures images (‘prosperity’, ‘steady growth’, and ‘stagnation’) with the names referring to the implementation of distributed energy generation. </w:t>
      </w:r>
    </w:p>
    <w:p w14:paraId="00115F68"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4 Context of the study, material and methods</w:t>
      </w:r>
    </w:p>
    <w:p w14:paraId="665EEFA7"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4.1 Wood energy and woodchips use in Finland</w:t>
      </w:r>
    </w:p>
    <w:p w14:paraId="60A6424F" w14:textId="4AF414E2" w:rsidR="007806FD" w:rsidRPr="002A05C5" w:rsidRDefault="00BD1B5F" w:rsidP="00490A4E">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00490A4E" w:rsidRPr="002A05C5">
        <w:rPr>
          <w:rFonts w:ascii="Times New Roman" w:eastAsia="Times New Roman" w:hAnsi="Times New Roman" w:cs="Times New Roman"/>
          <w:sz w:val="24"/>
          <w:szCs w:val="24"/>
          <w:lang w:val="en-GB"/>
        </w:rPr>
        <w:tab/>
      </w:r>
      <w:r w:rsidRPr="002A05C5">
        <w:rPr>
          <w:rFonts w:ascii="Times New Roman" w:eastAsia="Times New Roman" w:hAnsi="Times New Roman" w:cs="Times New Roman"/>
          <w:sz w:val="24"/>
          <w:szCs w:val="24"/>
          <w:lang w:val="en-GB"/>
        </w:rPr>
        <w:t xml:space="preserve">Finland is the land of forests. Over 70% of Finland’s surface area is covered by forests, which makes Finland the number one country in Europe for forest coverage (Ministry of Agriculture and Forestry, 2018). In this section, we provide a brief overview of the use of wood energy in Finland in the past and the future targets. </w:t>
      </w:r>
    </w:p>
    <w:p w14:paraId="654AB913" w14:textId="4A4CB10E"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Due to the wide forest resources,</w:t>
      </w:r>
      <w:r w:rsidR="00490A4E" w:rsidRPr="002A05C5">
        <w:rPr>
          <w:rFonts w:ascii="Times New Roman" w:eastAsia="Times New Roman" w:hAnsi="Times New Roman" w:cs="Times New Roman"/>
          <w:sz w:val="24"/>
          <w:szCs w:val="24"/>
          <w:lang w:val="en-GB"/>
        </w:rPr>
        <w:t xml:space="preserve"> </w:t>
      </w:r>
      <w:r w:rsidRPr="002A05C5">
        <w:rPr>
          <w:rFonts w:ascii="Times New Roman" w:eastAsia="Times New Roman" w:hAnsi="Times New Roman" w:cs="Times New Roman"/>
          <w:sz w:val="24"/>
          <w:szCs w:val="24"/>
          <w:lang w:val="en-GB"/>
        </w:rPr>
        <w:t>wood-based energy sources are important in Finland. Wood is the most common energy source in Finland, with 376,300 TJ energy consumption in 2018 (Statistics Finland, 2019). Wood-based fuels comprise about 74% of the total national consumption of renewable energy and over about one-fourth (27%) of the total energy consumption (Natural Resources Institute Finland, 2019). Solid wood-based fuels comprise about 37% and the remainder comes from small-scale heating (17%) and other forest industry side-products (2%). Bark from trees and woodchips was the most important solid fuels burned in heat and power plants. In 2018, 19.9 million m</w:t>
      </w:r>
      <w:r w:rsidRPr="002A05C5">
        <w:rPr>
          <w:rFonts w:ascii="Times New Roman" w:eastAsia="Times New Roman" w:hAnsi="Times New Roman" w:cs="Times New Roman"/>
          <w:sz w:val="24"/>
          <w:szCs w:val="24"/>
          <w:vertAlign w:val="superscript"/>
          <w:lang w:val="en-GB"/>
        </w:rPr>
        <w:t>3</w:t>
      </w:r>
      <w:r w:rsidRPr="002A05C5">
        <w:rPr>
          <w:rFonts w:ascii="Times New Roman" w:eastAsia="Times New Roman" w:hAnsi="Times New Roman" w:cs="Times New Roman"/>
          <w:sz w:val="24"/>
          <w:szCs w:val="24"/>
          <w:lang w:val="en-GB"/>
        </w:rPr>
        <w:t xml:space="preserve"> of wood was used for energy. Bark was burned with 7.7 million m</w:t>
      </w:r>
      <w:r w:rsidRPr="002A05C5">
        <w:rPr>
          <w:rFonts w:ascii="Times New Roman" w:eastAsia="Times New Roman" w:hAnsi="Times New Roman" w:cs="Times New Roman"/>
          <w:sz w:val="24"/>
          <w:szCs w:val="24"/>
          <w:vertAlign w:val="superscript"/>
          <w:lang w:val="en-GB"/>
        </w:rPr>
        <w:t>3</w:t>
      </w:r>
      <w:r w:rsidRPr="002A05C5">
        <w:rPr>
          <w:rFonts w:ascii="Times New Roman" w:eastAsia="Times New Roman" w:hAnsi="Times New Roman" w:cs="Times New Roman"/>
          <w:sz w:val="24"/>
          <w:szCs w:val="24"/>
          <w:lang w:val="en-GB"/>
        </w:rPr>
        <w:t>, woodchips with 7.4 million m</w:t>
      </w:r>
      <w:r w:rsidRPr="002A05C5">
        <w:rPr>
          <w:rFonts w:ascii="Times New Roman" w:eastAsia="Times New Roman" w:hAnsi="Times New Roman" w:cs="Times New Roman"/>
          <w:sz w:val="24"/>
          <w:szCs w:val="24"/>
          <w:vertAlign w:val="superscript"/>
          <w:lang w:val="en-GB"/>
        </w:rPr>
        <w:t>3</w:t>
      </w:r>
      <w:r w:rsidRPr="002A05C5">
        <w:rPr>
          <w:rFonts w:ascii="Times New Roman" w:eastAsia="Times New Roman" w:hAnsi="Times New Roman" w:cs="Times New Roman"/>
          <w:sz w:val="24"/>
          <w:szCs w:val="24"/>
          <w:lang w:val="en-GB"/>
        </w:rPr>
        <w:t xml:space="preserve"> and sawdust with 2.5 million m</w:t>
      </w:r>
      <w:r w:rsidRPr="002A05C5">
        <w:rPr>
          <w:rFonts w:ascii="Times New Roman" w:eastAsia="Times New Roman" w:hAnsi="Times New Roman" w:cs="Times New Roman"/>
          <w:sz w:val="24"/>
          <w:szCs w:val="24"/>
          <w:vertAlign w:val="superscript"/>
          <w:lang w:val="en-GB"/>
        </w:rPr>
        <w:t>3</w:t>
      </w:r>
      <w:r w:rsidRPr="002A05C5">
        <w:rPr>
          <w:rFonts w:ascii="Times New Roman" w:eastAsia="Times New Roman" w:hAnsi="Times New Roman" w:cs="Times New Roman"/>
          <w:sz w:val="24"/>
          <w:szCs w:val="24"/>
          <w:lang w:val="en-GB"/>
        </w:rPr>
        <w:t xml:space="preserve"> in heat and power plants. In addition, woodchips were used 0.6 million m</w:t>
      </w:r>
      <w:r w:rsidRPr="002A05C5">
        <w:rPr>
          <w:rFonts w:ascii="Times New Roman" w:eastAsia="Times New Roman" w:hAnsi="Times New Roman" w:cs="Times New Roman"/>
          <w:sz w:val="24"/>
          <w:szCs w:val="24"/>
          <w:vertAlign w:val="superscript"/>
          <w:lang w:val="en-GB"/>
        </w:rPr>
        <w:t>3</w:t>
      </w:r>
      <w:r w:rsidRPr="002A05C5">
        <w:rPr>
          <w:rFonts w:ascii="Times New Roman" w:eastAsia="Times New Roman" w:hAnsi="Times New Roman" w:cs="Times New Roman"/>
          <w:sz w:val="24"/>
          <w:szCs w:val="24"/>
          <w:lang w:val="en-GB"/>
        </w:rPr>
        <w:t xml:space="preserve"> in small-scale heating. (Natural Resource Institute Finland, 2019) Therefore, Finland provides a particularly interesting case to study the dynamics of wood-based energy.</w:t>
      </w:r>
    </w:p>
    <w:p w14:paraId="7EAAE8B6" w14:textId="1FCC3C8C"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Woodchips are a solid wood-based fuel that is chipped from all parts of timber, including tops, branches, stumps, and trunks (Finnish Forest Research Institute, 2014). Normally, woodchips are produced from timber that cannot be used by forest industry production. This includes small-sized wood, as well as large-sized wood that is damaged or otherwise unsuitable for industrial use. Woodchips originate mainly from pre-commercial forest thinning operations that enhance the growth of remaining trees and enables future commercial wood harvesting. Therefore, the use of woodchips causes no direct risk of deforestation in Finland. However, the use of tree stumps from clear-cut logging for woodchips has raised concerns because of its </w:t>
      </w:r>
      <w:r w:rsidRPr="00EB5C2A">
        <w:rPr>
          <w:rFonts w:ascii="Times New Roman" w:eastAsia="Times New Roman" w:hAnsi="Times New Roman" w:cs="Times New Roman"/>
          <w:sz w:val="24"/>
          <w:szCs w:val="24"/>
          <w:lang w:val="en-GB"/>
        </w:rPr>
        <w:t>harmful effects on land use and recreation, biodiversity, climate change, and water quality (</w:t>
      </w:r>
      <w:r w:rsidR="00556F30" w:rsidRPr="00EB5C2A">
        <w:rPr>
          <w:rFonts w:ascii="Times New Roman" w:eastAsia="Times New Roman" w:hAnsi="Times New Roman" w:cs="Times New Roman"/>
          <w:sz w:val="24"/>
          <w:szCs w:val="24"/>
          <w:lang w:val="en-GB"/>
        </w:rPr>
        <w:t>Kangas et al.</w:t>
      </w:r>
      <w:r w:rsidRPr="00EB5C2A">
        <w:rPr>
          <w:rFonts w:ascii="Times New Roman" w:eastAsia="Times New Roman" w:hAnsi="Times New Roman" w:cs="Times New Roman"/>
          <w:sz w:val="24"/>
          <w:szCs w:val="24"/>
          <w:lang w:val="en-GB"/>
        </w:rPr>
        <w:t>, 2018). In recent years, the use of tree stumps decreased from the peak level of 0.8 million m</w:t>
      </w:r>
      <w:r w:rsidRPr="00EB5C2A">
        <w:rPr>
          <w:rFonts w:ascii="Times New Roman" w:eastAsia="Times New Roman" w:hAnsi="Times New Roman" w:cs="Times New Roman"/>
          <w:sz w:val="24"/>
          <w:szCs w:val="24"/>
          <w:vertAlign w:val="superscript"/>
          <w:lang w:val="en-GB"/>
        </w:rPr>
        <w:t>3</w:t>
      </w:r>
      <w:r w:rsidRPr="00EB5C2A">
        <w:rPr>
          <w:rFonts w:ascii="Times New Roman" w:eastAsia="Times New Roman" w:hAnsi="Times New Roman" w:cs="Times New Roman"/>
          <w:sz w:val="24"/>
          <w:szCs w:val="24"/>
          <w:lang w:val="en-GB"/>
        </w:rPr>
        <w:t xml:space="preserve"> in 2013 to 0.4 million m</w:t>
      </w:r>
      <w:r w:rsidRPr="00EB5C2A">
        <w:rPr>
          <w:rFonts w:ascii="Times New Roman" w:eastAsia="Times New Roman" w:hAnsi="Times New Roman" w:cs="Times New Roman"/>
          <w:sz w:val="24"/>
          <w:szCs w:val="24"/>
          <w:vertAlign w:val="superscript"/>
          <w:lang w:val="en-GB"/>
        </w:rPr>
        <w:t>3</w:t>
      </w:r>
      <w:r w:rsidRPr="00EB5C2A">
        <w:rPr>
          <w:rFonts w:ascii="Times New Roman" w:eastAsia="Times New Roman" w:hAnsi="Times New Roman" w:cs="Times New Roman"/>
          <w:sz w:val="24"/>
          <w:szCs w:val="24"/>
          <w:lang w:val="en-GB"/>
        </w:rPr>
        <w:t xml:space="preserve"> in 2018 (Natural Resources Institute Finland, 2019).</w:t>
      </w:r>
      <w:r w:rsidRPr="002A05C5">
        <w:rPr>
          <w:rFonts w:ascii="Times New Roman" w:eastAsia="Times New Roman" w:hAnsi="Times New Roman" w:cs="Times New Roman"/>
          <w:sz w:val="24"/>
          <w:szCs w:val="24"/>
          <w:lang w:val="en-GB"/>
        </w:rPr>
        <w:t xml:space="preserve"> </w:t>
      </w:r>
    </w:p>
    <w:p w14:paraId="7DAE9403"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annual consumption of woodchips in Finland between 1955 and 2018 is presented in Figure 1. As the figure indicates, the consumption of woodchips stayed at a very modest level until the end of the 1990s, except for few years in the early 1980s due to the energy crisis and the country’s goal of energy self-sufficiency (Hakkila, 2003). Since the early 2000s, woodchip consumption has increased over 700%. The increase in consumption that began in 2008 is mainly due to competing fuels, such as peat and side streams of wood from the forest industry, being in short supply (Finnish Forest Research Institute, 2009; 2010). Additionally, since 2011, the use of wood in power plants has been supported by subsidies (Act No 1396/2010). Discussions regarding climate change mitigation and promoting the use of renewable energy has also played a role in the increase (Hakkila, 2003). In 2018, the yearly consumption was around 8 million m</w:t>
      </w:r>
      <w:r w:rsidRPr="002A05C5">
        <w:rPr>
          <w:rFonts w:ascii="Times New Roman" w:eastAsia="Times New Roman" w:hAnsi="Times New Roman" w:cs="Times New Roman"/>
          <w:sz w:val="24"/>
          <w:szCs w:val="24"/>
          <w:vertAlign w:val="superscript"/>
          <w:lang w:val="en-GB"/>
        </w:rPr>
        <w:t>3</w:t>
      </w:r>
      <w:r w:rsidRPr="002A05C5">
        <w:rPr>
          <w:rFonts w:ascii="Times New Roman" w:eastAsia="Times New Roman" w:hAnsi="Times New Roman" w:cs="Times New Roman"/>
          <w:sz w:val="24"/>
          <w:szCs w:val="24"/>
          <w:lang w:val="en-GB"/>
        </w:rPr>
        <w:t xml:space="preserve"> (Natural Resources Institute Finland, 2019). </w:t>
      </w:r>
    </w:p>
    <w:p w14:paraId="2D7127B5" w14:textId="6DE33774"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00377338">
        <w:rPr>
          <w:rFonts w:ascii="Times New Roman" w:eastAsia="Times New Roman" w:hAnsi="Times New Roman" w:cs="Times New Roman"/>
          <w:noProof/>
          <w:sz w:val="24"/>
          <w:szCs w:val="24"/>
          <w:lang w:val="fi-FI"/>
        </w:rPr>
        <w:drawing>
          <wp:inline distT="0" distB="0" distL="0" distR="0" wp14:anchorId="40D3503B" wp14:editId="267EB1F8">
            <wp:extent cx="5943600" cy="416750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jpg"/>
                    <pic:cNvPicPr/>
                  </pic:nvPicPr>
                  <pic:blipFill>
                    <a:blip r:embed="rId8">
                      <a:extLst>
                        <a:ext uri="{28A0092B-C50C-407E-A947-70E740481C1C}">
                          <a14:useLocalDpi xmlns:a14="http://schemas.microsoft.com/office/drawing/2010/main" val="0"/>
                        </a:ext>
                      </a:extLst>
                    </a:blip>
                    <a:stretch>
                      <a:fillRect/>
                    </a:stretch>
                  </pic:blipFill>
                  <pic:spPr>
                    <a:xfrm>
                      <a:off x="0" y="0"/>
                      <a:ext cx="5943600" cy="4167505"/>
                    </a:xfrm>
                    <a:prstGeom prst="rect">
                      <a:avLst/>
                    </a:prstGeom>
                  </pic:spPr>
                </pic:pic>
              </a:graphicData>
            </a:graphic>
          </wp:inline>
        </w:drawing>
      </w:r>
    </w:p>
    <w:p w14:paraId="690D24E4" w14:textId="4AFCAF43" w:rsidR="007806FD" w:rsidRPr="002A05C5" w:rsidRDefault="00BD1B5F">
      <w:pPr>
        <w:spacing w:before="240"/>
        <w:rPr>
          <w:rFonts w:ascii="Times New Roman" w:eastAsia="Times New Roman" w:hAnsi="Times New Roman" w:cs="Times New Roman"/>
          <w:sz w:val="20"/>
          <w:szCs w:val="20"/>
          <w:lang w:val="en-GB"/>
        </w:rPr>
      </w:pPr>
      <w:r w:rsidRPr="002A05C5">
        <w:rPr>
          <w:rFonts w:ascii="Times New Roman" w:eastAsia="Times New Roman" w:hAnsi="Times New Roman" w:cs="Times New Roman"/>
          <w:b/>
          <w:sz w:val="20"/>
          <w:szCs w:val="20"/>
          <w:lang w:val="en-GB"/>
        </w:rPr>
        <w:t xml:space="preserve">Fig. 1. </w:t>
      </w:r>
      <w:r w:rsidRPr="002A05C5">
        <w:rPr>
          <w:rFonts w:ascii="Times New Roman" w:eastAsia="Times New Roman" w:hAnsi="Times New Roman" w:cs="Times New Roman"/>
          <w:sz w:val="20"/>
          <w:szCs w:val="20"/>
          <w:lang w:val="en-GB"/>
        </w:rPr>
        <w:t>The yearly consumption of woodchips in heat and energy plants from 1955 to 2018 in Finland (Natural Resources Institute Finland, 2019; Kuitto, 2005)</w:t>
      </w:r>
      <w:r w:rsidR="00490A4E" w:rsidRPr="002A05C5">
        <w:rPr>
          <w:rStyle w:val="FootnoteReference"/>
          <w:rFonts w:ascii="Times New Roman" w:eastAsia="Times New Roman" w:hAnsi="Times New Roman" w:cs="Times New Roman"/>
          <w:sz w:val="20"/>
          <w:szCs w:val="20"/>
          <w:lang w:val="en-GB"/>
        </w:rPr>
        <w:footnoteReference w:id="4"/>
      </w:r>
      <w:r w:rsidRPr="002A05C5">
        <w:rPr>
          <w:rFonts w:ascii="Times New Roman" w:eastAsia="Times New Roman" w:hAnsi="Times New Roman" w:cs="Times New Roman"/>
          <w:sz w:val="20"/>
          <w:szCs w:val="20"/>
          <w:lang w:val="en-GB"/>
        </w:rPr>
        <w:t>.</w:t>
      </w:r>
    </w:p>
    <w:p w14:paraId="384D2C60"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03AC27C9"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Based on the National Energy and Climate Strategy for 2030 government report, the use of woodchips should increase significantly in the future due to increased use for heat and electricity production, as well as fuel production for transport (Huttunen, 2017). The report estimates that in 2030, the use will be around 14 to 18 million m</w:t>
      </w:r>
      <w:r w:rsidRPr="002A05C5">
        <w:rPr>
          <w:rFonts w:ascii="Times New Roman" w:eastAsia="Times New Roman" w:hAnsi="Times New Roman" w:cs="Times New Roman"/>
          <w:sz w:val="24"/>
          <w:szCs w:val="24"/>
          <w:vertAlign w:val="superscript"/>
          <w:lang w:val="en-GB"/>
        </w:rPr>
        <w:t>3</w:t>
      </w:r>
      <w:r w:rsidRPr="002A05C5">
        <w:rPr>
          <w:rFonts w:ascii="Times New Roman" w:eastAsia="Times New Roman" w:hAnsi="Times New Roman" w:cs="Times New Roman"/>
          <w:sz w:val="24"/>
          <w:szCs w:val="24"/>
          <w:lang w:val="en-GB"/>
        </w:rPr>
        <w:t xml:space="preserve"> (Huttunen, 2017). This would mean at least a 100% increase compared to the current level (see Fig. 1). </w:t>
      </w:r>
    </w:p>
    <w:p w14:paraId="7E7EF360"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Most woodchips are burned in large, combined heat and power plants. Heat production plants use about one-third of the woodchips, and the remainder is burned in small-scale housing, mainly in agricultural farms(Natural Resources Institute Finland, 2017). The use of woodchips is currently increasing in heat production but decreasing in combined heat and power plants, while small-scale use is stable (Natural Resources Institute Finland, 2018). According to the National Energy and Climate Strategy, it is anticipated that small-scale use will increase significantly in the future (Huttunen, 2017).</w:t>
      </w:r>
    </w:p>
    <w:p w14:paraId="674BB444" w14:textId="77777777" w:rsidR="007806FD" w:rsidRPr="002A05C5" w:rsidRDefault="00BD1B5F">
      <w:pPr>
        <w:spacing w:before="240"/>
        <w:rPr>
          <w:rFonts w:ascii="Times New Roman" w:eastAsia="Times New Roman" w:hAnsi="Times New Roman" w:cs="Times New Roman"/>
          <w:b/>
          <w:lang w:val="en-GB"/>
        </w:rPr>
      </w:pPr>
      <w:r w:rsidRPr="002A05C5">
        <w:rPr>
          <w:rFonts w:ascii="Times New Roman" w:eastAsia="Times New Roman" w:hAnsi="Times New Roman" w:cs="Times New Roman"/>
          <w:b/>
          <w:lang w:val="en-GB"/>
        </w:rPr>
        <w:t xml:space="preserve"> </w:t>
      </w:r>
    </w:p>
    <w:p w14:paraId="5E4F816C" w14:textId="77777777" w:rsidR="007806FD" w:rsidRPr="002A05C5" w:rsidRDefault="00BD1B5F">
      <w:pPr>
        <w:spacing w:before="480" w:after="12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4.2. Interviews and newspaper articles</w:t>
      </w:r>
    </w:p>
    <w:p w14:paraId="44D43375" w14:textId="2C3D3A80" w:rsidR="007806FD" w:rsidRPr="002A05C5" w:rsidRDefault="00BD1B5F" w:rsidP="00490A4E">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00490A4E" w:rsidRPr="002A05C5">
        <w:rPr>
          <w:rFonts w:ascii="Times New Roman" w:eastAsia="Times New Roman" w:hAnsi="Times New Roman" w:cs="Times New Roman"/>
          <w:sz w:val="24"/>
          <w:szCs w:val="24"/>
          <w:lang w:val="en-GB"/>
        </w:rPr>
        <w:tab/>
      </w:r>
      <w:r w:rsidRPr="002A05C5">
        <w:rPr>
          <w:rFonts w:ascii="Times New Roman" w:eastAsia="Times New Roman" w:hAnsi="Times New Roman" w:cs="Times New Roman"/>
          <w:sz w:val="24"/>
          <w:szCs w:val="24"/>
          <w:lang w:val="en-GB"/>
        </w:rPr>
        <w:t xml:space="preserve">The five futures images presented in this paper are based on material gathered from two different sources. Our primary data consists of the semi-structured thematic interviews providing viewpoints from actors that are directly involved in the production or use of woodchips as an energy source. Data from interviews are used to paint an in-depth picture of the factors influencing the use of decentralised renewable energy. The secondary data is gathered from newspaper </w:t>
      </w:r>
      <w:r w:rsidRPr="002A05C5">
        <w:rPr>
          <w:rFonts w:ascii="Times New Roman" w:eastAsia="Times New Roman" w:hAnsi="Times New Roman" w:cs="Times New Roman"/>
          <w:i/>
          <w:sz w:val="24"/>
          <w:szCs w:val="24"/>
          <w:lang w:val="en-GB"/>
        </w:rPr>
        <w:t>Maaseudun</w:t>
      </w:r>
      <w:r w:rsidRPr="002A05C5">
        <w:rPr>
          <w:rFonts w:ascii="Times New Roman" w:eastAsia="Times New Roman" w:hAnsi="Times New Roman" w:cs="Times New Roman"/>
          <w:sz w:val="24"/>
          <w:szCs w:val="24"/>
          <w:lang w:val="en-GB"/>
        </w:rPr>
        <w:t xml:space="preserve"> </w:t>
      </w:r>
      <w:r w:rsidRPr="002A05C5">
        <w:rPr>
          <w:rFonts w:ascii="Times New Roman" w:eastAsia="Times New Roman" w:hAnsi="Times New Roman" w:cs="Times New Roman"/>
          <w:i/>
          <w:sz w:val="24"/>
          <w:szCs w:val="24"/>
          <w:lang w:val="en-GB"/>
        </w:rPr>
        <w:t>Tulevaisuus</w:t>
      </w:r>
      <w:r w:rsidRPr="002A05C5">
        <w:rPr>
          <w:rFonts w:ascii="Times New Roman" w:eastAsia="Times New Roman" w:hAnsi="Times New Roman" w:cs="Times New Roman"/>
          <w:sz w:val="24"/>
          <w:szCs w:val="24"/>
          <w:lang w:val="en-GB"/>
        </w:rPr>
        <w:t xml:space="preserve"> [Future of the Countryside] which broadens the scope beyond private views of individuals to include publicly shared representations. The newspaper items are studied to develop a broader understanding of the public debate surrounding the topic. The </w:t>
      </w:r>
      <w:r w:rsidR="00831CA5">
        <w:rPr>
          <w:rFonts w:ascii="Times New Roman" w:eastAsia="Times New Roman" w:hAnsi="Times New Roman" w:cs="Times New Roman"/>
          <w:sz w:val="24"/>
          <w:szCs w:val="24"/>
          <w:lang w:val="en-GB"/>
        </w:rPr>
        <w:t>materials</w:t>
      </w:r>
      <w:r w:rsidRPr="002A05C5">
        <w:rPr>
          <w:rFonts w:ascii="Times New Roman" w:eastAsia="Times New Roman" w:hAnsi="Times New Roman" w:cs="Times New Roman"/>
          <w:sz w:val="24"/>
          <w:szCs w:val="24"/>
          <w:lang w:val="en-GB"/>
        </w:rPr>
        <w:t xml:space="preserve"> and analysis are described in detail in the next section.</w:t>
      </w:r>
    </w:p>
    <w:p w14:paraId="1BC6EF6A" w14:textId="77777777" w:rsidR="007806FD" w:rsidRPr="002A05C5" w:rsidRDefault="00BD1B5F">
      <w:pPr>
        <w:spacing w:before="360" w:after="80"/>
        <w:rPr>
          <w:rFonts w:ascii="Times New Roman" w:eastAsia="Times New Roman" w:hAnsi="Times New Roman" w:cs="Times New Roman"/>
          <w:b/>
          <w:i/>
          <w:sz w:val="24"/>
          <w:szCs w:val="24"/>
          <w:lang w:val="en-GB"/>
        </w:rPr>
      </w:pPr>
      <w:r w:rsidRPr="002A05C5">
        <w:rPr>
          <w:rFonts w:ascii="Times New Roman" w:eastAsia="Times New Roman" w:hAnsi="Times New Roman" w:cs="Times New Roman"/>
          <w:b/>
          <w:i/>
          <w:sz w:val="24"/>
          <w:szCs w:val="24"/>
          <w:lang w:val="en-GB"/>
        </w:rPr>
        <w:t>4.2.1 Interviews</w:t>
      </w:r>
    </w:p>
    <w:p w14:paraId="39DB7C2A"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Semi-structured interviews were conducted among different users or operators of woodchips. Altogether, 18 interviews were conducted with 23 interviewees (see Table 1 for additional details). The interviews lasted between 33 and 60 minutes. Both women and men were interviewed. The interviews were conducted by one of the authors of this paper. The interviewees were identified as being one of four different types of woodchip users. The first group consists of small-scale users, typically farmers. Except for the gardening business, all of these interviewees owned some forest land (typically, 100 hectares or more). Their annual woodchip use varied from 100 to 800 m</w:t>
      </w:r>
      <w:r w:rsidRPr="002A05C5">
        <w:rPr>
          <w:rFonts w:ascii="Times New Roman" w:eastAsia="Times New Roman" w:hAnsi="Times New Roman" w:cs="Times New Roman"/>
          <w:sz w:val="24"/>
          <w:szCs w:val="24"/>
          <w:vertAlign w:val="superscript"/>
          <w:lang w:val="en-GB"/>
        </w:rPr>
        <w:t>3</w:t>
      </w:r>
      <w:r w:rsidRPr="002A05C5">
        <w:rPr>
          <w:rFonts w:ascii="Times New Roman" w:eastAsia="Times New Roman" w:hAnsi="Times New Roman" w:cs="Times New Roman"/>
          <w:sz w:val="24"/>
          <w:szCs w:val="24"/>
          <w:lang w:val="en-GB"/>
        </w:rPr>
        <w:t xml:space="preserve"> which equals approximately to 80 MWh to 640 MWh. The second group of interviewees consisted of one engineering office that designs woodchip power plants and one entrepreneur that is one of the largest woodchip providers in Finland. These companies do not use woodchips themselves. The third group consisted of medium-sized, typically municipality-owned power plants. Their annual woodchip consumption varied from 15 to 300 GWh. The fourth group was made up of large-scale woodchip users that were large energy or forest industry companies. Their yearly woodchip consumption varied from 800 to 7000 GWh.</w:t>
      </w:r>
    </w:p>
    <w:p w14:paraId="34373C1D" w14:textId="6353775E"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Our aim was to purposefully select a representative group of interviewees and to collect the views of different types of woodchips users. In earlier futures research, futures images or scenarios have been created using data from 10-20 individual participants (e.g. Kaboli &amp; Tapio, 2018; Kuhmonen &amp; Kuhmonen, 2015; Tapio &amp; Varho, 2005). In addition, as Guest, Bunce and Johnson (2005) point out, the saturation may appear at low level of interviews, in their data with 12 interviews. In this study, we considered the material saturated with 18 interviews.</w:t>
      </w:r>
    </w:p>
    <w:p w14:paraId="4609EABE" w14:textId="77777777" w:rsidR="007806FD" w:rsidRPr="002A05C5" w:rsidRDefault="00BD1B5F">
      <w:pPr>
        <w:spacing w:before="240"/>
        <w:rPr>
          <w:rFonts w:ascii="Times New Roman" w:eastAsia="Times New Roman" w:hAnsi="Times New Roman" w:cs="Times New Roman"/>
          <w:sz w:val="20"/>
          <w:szCs w:val="20"/>
          <w:lang w:val="en-GB"/>
        </w:rPr>
      </w:pPr>
      <w:r w:rsidRPr="002A05C5">
        <w:rPr>
          <w:rFonts w:ascii="Times New Roman" w:eastAsia="Times New Roman" w:hAnsi="Times New Roman" w:cs="Times New Roman"/>
          <w:sz w:val="20"/>
          <w:szCs w:val="20"/>
          <w:lang w:val="en-GB"/>
        </w:rPr>
        <w:t xml:space="preserve"> </w:t>
      </w:r>
    </w:p>
    <w:p w14:paraId="597AE6EF" w14:textId="14EC958E"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xml:space="preserve">Table 1 </w:t>
      </w:r>
      <w:r w:rsidRPr="002A05C5">
        <w:rPr>
          <w:rFonts w:ascii="Times New Roman" w:eastAsia="Times New Roman" w:hAnsi="Times New Roman" w:cs="Times New Roman"/>
          <w:color w:val="000000"/>
          <w:lang w:val="en-GB"/>
        </w:rPr>
        <w:t>A description of the interviewees.</w:t>
      </w:r>
    </w:p>
    <w:p w14:paraId="5AFA3AAF"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tbl>
      <w:tblPr>
        <w:tblW w:w="0" w:type="auto"/>
        <w:tblBorders>
          <w:top w:val="single" w:sz="8" w:space="0" w:color="7F7F7F"/>
          <w:bottom w:val="single" w:sz="8" w:space="0" w:color="7F7F7F"/>
        </w:tblBorders>
        <w:tblCellMar>
          <w:top w:w="15" w:type="dxa"/>
          <w:left w:w="15" w:type="dxa"/>
          <w:bottom w:w="15" w:type="dxa"/>
          <w:right w:w="15" w:type="dxa"/>
        </w:tblCellMar>
        <w:tblLook w:val="04A0" w:firstRow="1" w:lastRow="0" w:firstColumn="1" w:lastColumn="0" w:noHBand="0" w:noVBand="1"/>
      </w:tblPr>
      <w:tblGrid>
        <w:gridCol w:w="701"/>
        <w:gridCol w:w="2512"/>
        <w:gridCol w:w="2370"/>
        <w:gridCol w:w="1888"/>
        <w:gridCol w:w="1889"/>
      </w:tblGrid>
      <w:tr w:rsidR="00377338" w:rsidRPr="002A05C5" w14:paraId="3FCEF505" w14:textId="77777777" w:rsidTr="00F9626E">
        <w:trPr>
          <w:trHeight w:val="479"/>
        </w:trPr>
        <w:tc>
          <w:tcPr>
            <w:tcW w:w="701" w:type="dxa"/>
            <w:tcMar>
              <w:top w:w="100" w:type="dxa"/>
              <w:left w:w="100" w:type="dxa"/>
              <w:bottom w:w="100" w:type="dxa"/>
              <w:right w:w="100" w:type="dxa"/>
            </w:tcMar>
            <w:hideMark/>
          </w:tcPr>
          <w:p w14:paraId="4CAA3FF0"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xml:space="preserve"> No.</w:t>
            </w:r>
          </w:p>
        </w:tc>
        <w:tc>
          <w:tcPr>
            <w:tcW w:w="2512" w:type="dxa"/>
            <w:tcMar>
              <w:top w:w="100" w:type="dxa"/>
              <w:left w:w="100" w:type="dxa"/>
              <w:bottom w:w="100" w:type="dxa"/>
              <w:right w:w="100" w:type="dxa"/>
            </w:tcMar>
            <w:hideMark/>
          </w:tcPr>
          <w:p w14:paraId="3A63B766"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Description</w:t>
            </w:r>
          </w:p>
        </w:tc>
        <w:tc>
          <w:tcPr>
            <w:tcW w:w="0" w:type="auto"/>
            <w:tcMar>
              <w:top w:w="100" w:type="dxa"/>
              <w:left w:w="100" w:type="dxa"/>
              <w:bottom w:w="100" w:type="dxa"/>
              <w:right w:w="100" w:type="dxa"/>
            </w:tcMar>
            <w:hideMark/>
          </w:tcPr>
          <w:p w14:paraId="1E7F9C66"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Interviewee(s)</w:t>
            </w:r>
          </w:p>
        </w:tc>
        <w:tc>
          <w:tcPr>
            <w:tcW w:w="0" w:type="auto"/>
            <w:tcMar>
              <w:top w:w="100" w:type="dxa"/>
              <w:left w:w="100" w:type="dxa"/>
              <w:bottom w:w="100" w:type="dxa"/>
              <w:right w:w="100" w:type="dxa"/>
            </w:tcMar>
            <w:hideMark/>
          </w:tcPr>
          <w:p w14:paraId="209FAE74"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Sex of the interviewee(s)</w:t>
            </w:r>
          </w:p>
        </w:tc>
        <w:tc>
          <w:tcPr>
            <w:tcW w:w="0" w:type="auto"/>
            <w:tcMar>
              <w:top w:w="100" w:type="dxa"/>
              <w:left w:w="100" w:type="dxa"/>
              <w:bottom w:w="100" w:type="dxa"/>
              <w:right w:w="100" w:type="dxa"/>
            </w:tcMar>
            <w:hideMark/>
          </w:tcPr>
          <w:p w14:paraId="28F450D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Duration of the interview (min)</w:t>
            </w:r>
          </w:p>
        </w:tc>
      </w:tr>
      <w:tr w:rsidR="00377338" w:rsidRPr="002A05C5" w14:paraId="201E13E2" w14:textId="77777777" w:rsidTr="00F9626E">
        <w:trPr>
          <w:trHeight w:val="41"/>
        </w:trPr>
        <w:tc>
          <w:tcPr>
            <w:tcW w:w="0" w:type="auto"/>
            <w:gridSpan w:val="5"/>
            <w:tcMar>
              <w:top w:w="100" w:type="dxa"/>
              <w:left w:w="100" w:type="dxa"/>
              <w:bottom w:w="100" w:type="dxa"/>
              <w:right w:w="100" w:type="dxa"/>
            </w:tcMar>
            <w:hideMark/>
          </w:tcPr>
          <w:p w14:paraId="019A864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1. Group: Small-scale users of woodchips</w:t>
            </w:r>
          </w:p>
        </w:tc>
      </w:tr>
      <w:tr w:rsidR="00377338" w:rsidRPr="002A05C5" w14:paraId="4108C8ED" w14:textId="77777777" w:rsidTr="00F9626E">
        <w:trPr>
          <w:trHeight w:val="25"/>
        </w:trPr>
        <w:tc>
          <w:tcPr>
            <w:tcW w:w="701" w:type="dxa"/>
            <w:tcMar>
              <w:top w:w="100" w:type="dxa"/>
              <w:left w:w="100" w:type="dxa"/>
              <w:bottom w:w="100" w:type="dxa"/>
              <w:right w:w="100" w:type="dxa"/>
            </w:tcMar>
            <w:hideMark/>
          </w:tcPr>
          <w:p w14:paraId="3CED808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w:t>
            </w:r>
          </w:p>
        </w:tc>
        <w:tc>
          <w:tcPr>
            <w:tcW w:w="2512" w:type="dxa"/>
            <w:tcMar>
              <w:top w:w="100" w:type="dxa"/>
              <w:left w:w="100" w:type="dxa"/>
              <w:bottom w:w="100" w:type="dxa"/>
              <w:right w:w="100" w:type="dxa"/>
            </w:tcMar>
            <w:hideMark/>
          </w:tcPr>
          <w:p w14:paraId="7E68553A"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Organic farm</w:t>
            </w:r>
          </w:p>
        </w:tc>
        <w:tc>
          <w:tcPr>
            <w:tcW w:w="0" w:type="auto"/>
            <w:tcMar>
              <w:top w:w="100" w:type="dxa"/>
              <w:left w:w="100" w:type="dxa"/>
              <w:bottom w:w="100" w:type="dxa"/>
              <w:right w:w="100" w:type="dxa"/>
            </w:tcMar>
            <w:hideMark/>
          </w:tcPr>
          <w:p w14:paraId="039A919A"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The farmer</w:t>
            </w:r>
          </w:p>
        </w:tc>
        <w:tc>
          <w:tcPr>
            <w:tcW w:w="0" w:type="auto"/>
            <w:tcMar>
              <w:top w:w="100" w:type="dxa"/>
              <w:left w:w="100" w:type="dxa"/>
              <w:bottom w:w="100" w:type="dxa"/>
              <w:right w:w="100" w:type="dxa"/>
            </w:tcMar>
            <w:hideMark/>
          </w:tcPr>
          <w:p w14:paraId="5BD07A6A"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67F51A8F"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44</w:t>
            </w:r>
          </w:p>
        </w:tc>
      </w:tr>
      <w:tr w:rsidR="00377338" w:rsidRPr="002A05C5" w14:paraId="38F2EC2C" w14:textId="77777777" w:rsidTr="00F9626E">
        <w:trPr>
          <w:trHeight w:val="110"/>
        </w:trPr>
        <w:tc>
          <w:tcPr>
            <w:tcW w:w="701" w:type="dxa"/>
            <w:tcMar>
              <w:top w:w="100" w:type="dxa"/>
              <w:left w:w="100" w:type="dxa"/>
              <w:bottom w:w="100" w:type="dxa"/>
              <w:right w:w="100" w:type="dxa"/>
            </w:tcMar>
            <w:hideMark/>
          </w:tcPr>
          <w:p w14:paraId="0910F1EF"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2</w:t>
            </w:r>
          </w:p>
        </w:tc>
        <w:tc>
          <w:tcPr>
            <w:tcW w:w="2512" w:type="dxa"/>
            <w:tcMar>
              <w:top w:w="100" w:type="dxa"/>
              <w:left w:w="100" w:type="dxa"/>
              <w:bottom w:w="100" w:type="dxa"/>
              <w:right w:w="100" w:type="dxa"/>
            </w:tcMar>
            <w:hideMark/>
          </w:tcPr>
          <w:p w14:paraId="6A1E1C63"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Greenhouse gardening business</w:t>
            </w:r>
          </w:p>
        </w:tc>
        <w:tc>
          <w:tcPr>
            <w:tcW w:w="0" w:type="auto"/>
            <w:tcMar>
              <w:top w:w="100" w:type="dxa"/>
              <w:left w:w="100" w:type="dxa"/>
              <w:bottom w:w="100" w:type="dxa"/>
              <w:right w:w="100" w:type="dxa"/>
            </w:tcMar>
            <w:hideMark/>
          </w:tcPr>
          <w:p w14:paraId="2033F58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The previous and current owner</w:t>
            </w:r>
          </w:p>
        </w:tc>
        <w:tc>
          <w:tcPr>
            <w:tcW w:w="0" w:type="auto"/>
            <w:tcMar>
              <w:top w:w="100" w:type="dxa"/>
              <w:left w:w="100" w:type="dxa"/>
              <w:bottom w:w="100" w:type="dxa"/>
              <w:right w:w="100" w:type="dxa"/>
            </w:tcMar>
            <w:hideMark/>
          </w:tcPr>
          <w:p w14:paraId="045E332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Both male</w:t>
            </w:r>
          </w:p>
        </w:tc>
        <w:tc>
          <w:tcPr>
            <w:tcW w:w="0" w:type="auto"/>
            <w:tcMar>
              <w:top w:w="100" w:type="dxa"/>
              <w:left w:w="100" w:type="dxa"/>
              <w:bottom w:w="100" w:type="dxa"/>
              <w:right w:w="100" w:type="dxa"/>
            </w:tcMar>
            <w:hideMark/>
          </w:tcPr>
          <w:p w14:paraId="2CDD181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33</w:t>
            </w:r>
          </w:p>
        </w:tc>
      </w:tr>
      <w:tr w:rsidR="00377338" w:rsidRPr="002A05C5" w14:paraId="67CBEF7A" w14:textId="77777777" w:rsidTr="00F9626E">
        <w:trPr>
          <w:trHeight w:val="25"/>
        </w:trPr>
        <w:tc>
          <w:tcPr>
            <w:tcW w:w="701" w:type="dxa"/>
            <w:tcMar>
              <w:top w:w="100" w:type="dxa"/>
              <w:left w:w="100" w:type="dxa"/>
              <w:bottom w:w="100" w:type="dxa"/>
              <w:right w:w="100" w:type="dxa"/>
            </w:tcMar>
            <w:hideMark/>
          </w:tcPr>
          <w:p w14:paraId="5A5B337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3</w:t>
            </w:r>
          </w:p>
        </w:tc>
        <w:tc>
          <w:tcPr>
            <w:tcW w:w="2512" w:type="dxa"/>
            <w:tcMar>
              <w:top w:w="100" w:type="dxa"/>
              <w:left w:w="100" w:type="dxa"/>
              <w:bottom w:w="100" w:type="dxa"/>
              <w:right w:w="100" w:type="dxa"/>
            </w:tcMar>
            <w:hideMark/>
          </w:tcPr>
          <w:p w14:paraId="77D15F9F"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Eco-village community A</w:t>
            </w:r>
          </w:p>
        </w:tc>
        <w:tc>
          <w:tcPr>
            <w:tcW w:w="0" w:type="auto"/>
            <w:tcMar>
              <w:top w:w="100" w:type="dxa"/>
              <w:left w:w="100" w:type="dxa"/>
              <w:bottom w:w="100" w:type="dxa"/>
              <w:right w:w="100" w:type="dxa"/>
            </w:tcMar>
            <w:hideMark/>
          </w:tcPr>
          <w:p w14:paraId="364E545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Four members</w:t>
            </w:r>
          </w:p>
        </w:tc>
        <w:tc>
          <w:tcPr>
            <w:tcW w:w="0" w:type="auto"/>
            <w:tcMar>
              <w:top w:w="100" w:type="dxa"/>
              <w:left w:w="100" w:type="dxa"/>
              <w:bottom w:w="100" w:type="dxa"/>
              <w:right w:w="100" w:type="dxa"/>
            </w:tcMar>
            <w:hideMark/>
          </w:tcPr>
          <w:p w14:paraId="760677E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All male</w:t>
            </w:r>
          </w:p>
        </w:tc>
        <w:tc>
          <w:tcPr>
            <w:tcW w:w="0" w:type="auto"/>
            <w:tcMar>
              <w:top w:w="100" w:type="dxa"/>
              <w:left w:w="100" w:type="dxa"/>
              <w:bottom w:w="100" w:type="dxa"/>
              <w:right w:w="100" w:type="dxa"/>
            </w:tcMar>
            <w:hideMark/>
          </w:tcPr>
          <w:p w14:paraId="7133B5A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59</w:t>
            </w:r>
          </w:p>
        </w:tc>
      </w:tr>
      <w:tr w:rsidR="00377338" w:rsidRPr="002A05C5" w14:paraId="70A7ABBF" w14:textId="77777777" w:rsidTr="00F9626E">
        <w:trPr>
          <w:trHeight w:val="183"/>
        </w:trPr>
        <w:tc>
          <w:tcPr>
            <w:tcW w:w="701" w:type="dxa"/>
            <w:tcMar>
              <w:top w:w="100" w:type="dxa"/>
              <w:left w:w="100" w:type="dxa"/>
              <w:bottom w:w="100" w:type="dxa"/>
              <w:right w:w="100" w:type="dxa"/>
            </w:tcMar>
            <w:hideMark/>
          </w:tcPr>
          <w:p w14:paraId="15AEFD4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w:t>
            </w:r>
          </w:p>
        </w:tc>
        <w:tc>
          <w:tcPr>
            <w:tcW w:w="2512" w:type="dxa"/>
            <w:tcMar>
              <w:top w:w="100" w:type="dxa"/>
              <w:left w:w="100" w:type="dxa"/>
              <w:bottom w:w="100" w:type="dxa"/>
              <w:right w:w="100" w:type="dxa"/>
            </w:tcMar>
            <w:hideMark/>
          </w:tcPr>
          <w:p w14:paraId="75366999"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Grain farm (shifting from woodchips to ground-source heat)</w:t>
            </w:r>
          </w:p>
        </w:tc>
        <w:tc>
          <w:tcPr>
            <w:tcW w:w="0" w:type="auto"/>
            <w:tcMar>
              <w:top w:w="100" w:type="dxa"/>
              <w:left w:w="100" w:type="dxa"/>
              <w:bottom w:w="100" w:type="dxa"/>
              <w:right w:w="100" w:type="dxa"/>
            </w:tcMar>
            <w:hideMark/>
          </w:tcPr>
          <w:p w14:paraId="437DFB4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The previous farmer’s spouse</w:t>
            </w:r>
          </w:p>
        </w:tc>
        <w:tc>
          <w:tcPr>
            <w:tcW w:w="0" w:type="auto"/>
            <w:tcMar>
              <w:top w:w="100" w:type="dxa"/>
              <w:left w:w="100" w:type="dxa"/>
              <w:bottom w:w="100" w:type="dxa"/>
              <w:right w:w="100" w:type="dxa"/>
            </w:tcMar>
            <w:hideMark/>
          </w:tcPr>
          <w:p w14:paraId="531CE360"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Female</w:t>
            </w:r>
          </w:p>
        </w:tc>
        <w:tc>
          <w:tcPr>
            <w:tcW w:w="0" w:type="auto"/>
            <w:tcMar>
              <w:top w:w="100" w:type="dxa"/>
              <w:left w:w="100" w:type="dxa"/>
              <w:bottom w:w="100" w:type="dxa"/>
              <w:right w:w="100" w:type="dxa"/>
            </w:tcMar>
            <w:hideMark/>
          </w:tcPr>
          <w:p w14:paraId="164BAFE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40</w:t>
            </w:r>
          </w:p>
        </w:tc>
      </w:tr>
      <w:tr w:rsidR="00377338" w:rsidRPr="002A05C5" w14:paraId="3FD33A0B" w14:textId="77777777" w:rsidTr="00F9626E">
        <w:trPr>
          <w:trHeight w:val="25"/>
        </w:trPr>
        <w:tc>
          <w:tcPr>
            <w:tcW w:w="701" w:type="dxa"/>
            <w:tcMar>
              <w:top w:w="100" w:type="dxa"/>
              <w:left w:w="100" w:type="dxa"/>
              <w:bottom w:w="100" w:type="dxa"/>
              <w:right w:w="100" w:type="dxa"/>
            </w:tcMar>
            <w:hideMark/>
          </w:tcPr>
          <w:p w14:paraId="6B74AA2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5</w:t>
            </w:r>
          </w:p>
        </w:tc>
        <w:tc>
          <w:tcPr>
            <w:tcW w:w="2512" w:type="dxa"/>
            <w:tcMar>
              <w:top w:w="100" w:type="dxa"/>
              <w:left w:w="100" w:type="dxa"/>
              <w:bottom w:w="100" w:type="dxa"/>
              <w:right w:w="100" w:type="dxa"/>
            </w:tcMar>
            <w:hideMark/>
          </w:tcPr>
          <w:p w14:paraId="75AFBBFB"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Grain farm &amp; Bed and breakfast</w:t>
            </w:r>
          </w:p>
        </w:tc>
        <w:tc>
          <w:tcPr>
            <w:tcW w:w="0" w:type="auto"/>
            <w:tcMar>
              <w:top w:w="100" w:type="dxa"/>
              <w:left w:w="100" w:type="dxa"/>
              <w:bottom w:w="100" w:type="dxa"/>
              <w:right w:w="100" w:type="dxa"/>
            </w:tcMar>
            <w:hideMark/>
          </w:tcPr>
          <w:p w14:paraId="71CB801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The farmers</w:t>
            </w:r>
          </w:p>
        </w:tc>
        <w:tc>
          <w:tcPr>
            <w:tcW w:w="0" w:type="auto"/>
            <w:tcMar>
              <w:top w:w="100" w:type="dxa"/>
              <w:left w:w="100" w:type="dxa"/>
              <w:bottom w:w="100" w:type="dxa"/>
              <w:right w:w="100" w:type="dxa"/>
            </w:tcMar>
            <w:hideMark/>
          </w:tcPr>
          <w:p w14:paraId="26FE18EC"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 and female</w:t>
            </w:r>
          </w:p>
        </w:tc>
        <w:tc>
          <w:tcPr>
            <w:tcW w:w="0" w:type="auto"/>
            <w:tcMar>
              <w:top w:w="100" w:type="dxa"/>
              <w:left w:w="100" w:type="dxa"/>
              <w:bottom w:w="100" w:type="dxa"/>
              <w:right w:w="100" w:type="dxa"/>
            </w:tcMar>
            <w:hideMark/>
          </w:tcPr>
          <w:p w14:paraId="7D0EE77A"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49</w:t>
            </w:r>
          </w:p>
        </w:tc>
      </w:tr>
      <w:tr w:rsidR="00377338" w:rsidRPr="002A05C5" w14:paraId="72C7C394" w14:textId="77777777" w:rsidTr="00F9626E">
        <w:trPr>
          <w:trHeight w:val="25"/>
        </w:trPr>
        <w:tc>
          <w:tcPr>
            <w:tcW w:w="701" w:type="dxa"/>
            <w:tcMar>
              <w:top w:w="100" w:type="dxa"/>
              <w:left w:w="100" w:type="dxa"/>
              <w:bottom w:w="100" w:type="dxa"/>
              <w:right w:w="100" w:type="dxa"/>
            </w:tcMar>
            <w:hideMark/>
          </w:tcPr>
          <w:p w14:paraId="2566824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6</w:t>
            </w:r>
          </w:p>
        </w:tc>
        <w:tc>
          <w:tcPr>
            <w:tcW w:w="2512" w:type="dxa"/>
            <w:tcMar>
              <w:top w:w="100" w:type="dxa"/>
              <w:left w:w="100" w:type="dxa"/>
              <w:bottom w:w="100" w:type="dxa"/>
              <w:right w:w="100" w:type="dxa"/>
            </w:tcMar>
            <w:hideMark/>
          </w:tcPr>
          <w:p w14:paraId="689FAB50"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Grain farm &amp; Carpenter’s workshop</w:t>
            </w:r>
          </w:p>
        </w:tc>
        <w:tc>
          <w:tcPr>
            <w:tcW w:w="0" w:type="auto"/>
            <w:tcMar>
              <w:top w:w="100" w:type="dxa"/>
              <w:left w:w="100" w:type="dxa"/>
              <w:bottom w:w="100" w:type="dxa"/>
              <w:right w:w="100" w:type="dxa"/>
            </w:tcMar>
            <w:hideMark/>
          </w:tcPr>
          <w:p w14:paraId="507C02A3"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The farmer</w:t>
            </w:r>
          </w:p>
        </w:tc>
        <w:tc>
          <w:tcPr>
            <w:tcW w:w="0" w:type="auto"/>
            <w:tcMar>
              <w:top w:w="100" w:type="dxa"/>
              <w:left w:w="100" w:type="dxa"/>
              <w:bottom w:w="100" w:type="dxa"/>
              <w:right w:w="100" w:type="dxa"/>
            </w:tcMar>
            <w:hideMark/>
          </w:tcPr>
          <w:p w14:paraId="407E1A9B"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40CF7BA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42</w:t>
            </w:r>
          </w:p>
        </w:tc>
      </w:tr>
      <w:tr w:rsidR="00377338" w:rsidRPr="002A05C5" w14:paraId="5BB67EEF" w14:textId="77777777" w:rsidTr="00F9626E">
        <w:trPr>
          <w:trHeight w:val="25"/>
        </w:trPr>
        <w:tc>
          <w:tcPr>
            <w:tcW w:w="701" w:type="dxa"/>
            <w:tcMar>
              <w:top w:w="100" w:type="dxa"/>
              <w:left w:w="100" w:type="dxa"/>
              <w:bottom w:w="100" w:type="dxa"/>
              <w:right w:w="100" w:type="dxa"/>
            </w:tcMar>
            <w:hideMark/>
          </w:tcPr>
          <w:p w14:paraId="74A70604"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7</w:t>
            </w:r>
          </w:p>
        </w:tc>
        <w:tc>
          <w:tcPr>
            <w:tcW w:w="2512" w:type="dxa"/>
            <w:tcMar>
              <w:top w:w="100" w:type="dxa"/>
              <w:left w:w="100" w:type="dxa"/>
              <w:bottom w:w="100" w:type="dxa"/>
              <w:right w:w="100" w:type="dxa"/>
            </w:tcMar>
            <w:hideMark/>
          </w:tcPr>
          <w:p w14:paraId="469EAE0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Cattle farm</w:t>
            </w:r>
          </w:p>
        </w:tc>
        <w:tc>
          <w:tcPr>
            <w:tcW w:w="0" w:type="auto"/>
            <w:tcMar>
              <w:top w:w="100" w:type="dxa"/>
              <w:left w:w="100" w:type="dxa"/>
              <w:bottom w:w="100" w:type="dxa"/>
              <w:right w:w="100" w:type="dxa"/>
            </w:tcMar>
            <w:hideMark/>
          </w:tcPr>
          <w:p w14:paraId="5087360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The farmer</w:t>
            </w:r>
          </w:p>
        </w:tc>
        <w:tc>
          <w:tcPr>
            <w:tcW w:w="0" w:type="auto"/>
            <w:tcMar>
              <w:top w:w="100" w:type="dxa"/>
              <w:left w:w="100" w:type="dxa"/>
              <w:bottom w:w="100" w:type="dxa"/>
              <w:right w:w="100" w:type="dxa"/>
            </w:tcMar>
            <w:hideMark/>
          </w:tcPr>
          <w:p w14:paraId="6E2FC10B"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390DA66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57</w:t>
            </w:r>
          </w:p>
        </w:tc>
      </w:tr>
      <w:tr w:rsidR="00377338" w:rsidRPr="002A05C5" w14:paraId="1C16B199" w14:textId="77777777" w:rsidTr="00F9626E">
        <w:trPr>
          <w:trHeight w:val="25"/>
        </w:trPr>
        <w:tc>
          <w:tcPr>
            <w:tcW w:w="701" w:type="dxa"/>
            <w:tcMar>
              <w:top w:w="100" w:type="dxa"/>
              <w:left w:w="100" w:type="dxa"/>
              <w:bottom w:w="100" w:type="dxa"/>
              <w:right w:w="100" w:type="dxa"/>
            </w:tcMar>
            <w:hideMark/>
          </w:tcPr>
          <w:p w14:paraId="033080C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8</w:t>
            </w:r>
          </w:p>
        </w:tc>
        <w:tc>
          <w:tcPr>
            <w:tcW w:w="2512" w:type="dxa"/>
            <w:tcMar>
              <w:top w:w="100" w:type="dxa"/>
              <w:left w:w="100" w:type="dxa"/>
              <w:bottom w:w="100" w:type="dxa"/>
              <w:right w:w="100" w:type="dxa"/>
            </w:tcMar>
            <w:hideMark/>
          </w:tcPr>
          <w:p w14:paraId="76C8FF9F"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Eco-village community B</w:t>
            </w:r>
          </w:p>
        </w:tc>
        <w:tc>
          <w:tcPr>
            <w:tcW w:w="0" w:type="auto"/>
            <w:tcMar>
              <w:top w:w="100" w:type="dxa"/>
              <w:left w:w="100" w:type="dxa"/>
              <w:bottom w:w="100" w:type="dxa"/>
              <w:right w:w="100" w:type="dxa"/>
            </w:tcMar>
            <w:hideMark/>
          </w:tcPr>
          <w:p w14:paraId="180372D9"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A member</w:t>
            </w:r>
          </w:p>
        </w:tc>
        <w:tc>
          <w:tcPr>
            <w:tcW w:w="0" w:type="auto"/>
            <w:tcMar>
              <w:top w:w="100" w:type="dxa"/>
              <w:left w:w="100" w:type="dxa"/>
              <w:bottom w:w="100" w:type="dxa"/>
              <w:right w:w="100" w:type="dxa"/>
            </w:tcMar>
            <w:hideMark/>
          </w:tcPr>
          <w:p w14:paraId="5759B19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26FEE7FE"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47</w:t>
            </w:r>
          </w:p>
        </w:tc>
      </w:tr>
      <w:tr w:rsidR="00377338" w:rsidRPr="002A05C5" w14:paraId="225B3979" w14:textId="77777777" w:rsidTr="00F9626E">
        <w:trPr>
          <w:trHeight w:val="25"/>
        </w:trPr>
        <w:tc>
          <w:tcPr>
            <w:tcW w:w="0" w:type="auto"/>
            <w:gridSpan w:val="5"/>
            <w:tcMar>
              <w:top w:w="100" w:type="dxa"/>
              <w:left w:w="100" w:type="dxa"/>
              <w:bottom w:w="100" w:type="dxa"/>
              <w:right w:w="100" w:type="dxa"/>
            </w:tcMar>
            <w:hideMark/>
          </w:tcPr>
          <w:p w14:paraId="2DA8088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2. Group: Engineering offices &amp; woodchip entrepreneurs</w:t>
            </w:r>
          </w:p>
        </w:tc>
      </w:tr>
      <w:tr w:rsidR="00377338" w:rsidRPr="002A05C5" w14:paraId="5A4AC77E" w14:textId="77777777" w:rsidTr="00F9626E">
        <w:trPr>
          <w:trHeight w:val="25"/>
        </w:trPr>
        <w:tc>
          <w:tcPr>
            <w:tcW w:w="701" w:type="dxa"/>
            <w:tcMar>
              <w:top w:w="100" w:type="dxa"/>
              <w:left w:w="100" w:type="dxa"/>
              <w:bottom w:w="100" w:type="dxa"/>
              <w:right w:w="100" w:type="dxa"/>
            </w:tcMar>
            <w:hideMark/>
          </w:tcPr>
          <w:p w14:paraId="20B88D0F"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9</w:t>
            </w:r>
          </w:p>
        </w:tc>
        <w:tc>
          <w:tcPr>
            <w:tcW w:w="2512" w:type="dxa"/>
            <w:tcMar>
              <w:top w:w="100" w:type="dxa"/>
              <w:left w:w="100" w:type="dxa"/>
              <w:bottom w:w="100" w:type="dxa"/>
              <w:right w:w="100" w:type="dxa"/>
            </w:tcMar>
            <w:hideMark/>
          </w:tcPr>
          <w:p w14:paraId="6308317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Engineering office</w:t>
            </w:r>
          </w:p>
        </w:tc>
        <w:tc>
          <w:tcPr>
            <w:tcW w:w="0" w:type="auto"/>
            <w:tcMar>
              <w:top w:w="100" w:type="dxa"/>
              <w:left w:w="100" w:type="dxa"/>
              <w:bottom w:w="100" w:type="dxa"/>
              <w:right w:w="100" w:type="dxa"/>
            </w:tcMar>
            <w:hideMark/>
          </w:tcPr>
          <w:p w14:paraId="4C5EAB33"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The owner</w:t>
            </w:r>
          </w:p>
        </w:tc>
        <w:tc>
          <w:tcPr>
            <w:tcW w:w="0" w:type="auto"/>
            <w:tcMar>
              <w:top w:w="100" w:type="dxa"/>
              <w:left w:w="100" w:type="dxa"/>
              <w:bottom w:w="100" w:type="dxa"/>
              <w:right w:w="100" w:type="dxa"/>
            </w:tcMar>
            <w:hideMark/>
          </w:tcPr>
          <w:p w14:paraId="66DA9ED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6C0D6E3B"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51</w:t>
            </w:r>
          </w:p>
        </w:tc>
      </w:tr>
      <w:tr w:rsidR="00377338" w:rsidRPr="002A05C5" w14:paraId="18163FD7" w14:textId="77777777" w:rsidTr="00F9626E">
        <w:trPr>
          <w:trHeight w:val="25"/>
        </w:trPr>
        <w:tc>
          <w:tcPr>
            <w:tcW w:w="701" w:type="dxa"/>
            <w:tcMar>
              <w:top w:w="100" w:type="dxa"/>
              <w:left w:w="100" w:type="dxa"/>
              <w:bottom w:w="100" w:type="dxa"/>
              <w:right w:w="100" w:type="dxa"/>
            </w:tcMar>
            <w:hideMark/>
          </w:tcPr>
          <w:p w14:paraId="01D4029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10</w:t>
            </w:r>
          </w:p>
        </w:tc>
        <w:tc>
          <w:tcPr>
            <w:tcW w:w="2512" w:type="dxa"/>
            <w:tcMar>
              <w:top w:w="100" w:type="dxa"/>
              <w:left w:w="100" w:type="dxa"/>
              <w:bottom w:w="100" w:type="dxa"/>
              <w:right w:w="100" w:type="dxa"/>
            </w:tcMar>
            <w:hideMark/>
          </w:tcPr>
          <w:p w14:paraId="3D734DB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Woodchip entrepreneur</w:t>
            </w:r>
          </w:p>
        </w:tc>
        <w:tc>
          <w:tcPr>
            <w:tcW w:w="0" w:type="auto"/>
            <w:tcMar>
              <w:top w:w="100" w:type="dxa"/>
              <w:left w:w="100" w:type="dxa"/>
              <w:bottom w:w="100" w:type="dxa"/>
              <w:right w:w="100" w:type="dxa"/>
            </w:tcMar>
            <w:hideMark/>
          </w:tcPr>
          <w:p w14:paraId="0B78510E"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Business unit manager</w:t>
            </w:r>
          </w:p>
        </w:tc>
        <w:tc>
          <w:tcPr>
            <w:tcW w:w="0" w:type="auto"/>
            <w:tcMar>
              <w:top w:w="100" w:type="dxa"/>
              <w:left w:w="100" w:type="dxa"/>
              <w:bottom w:w="100" w:type="dxa"/>
              <w:right w:w="100" w:type="dxa"/>
            </w:tcMar>
            <w:hideMark/>
          </w:tcPr>
          <w:p w14:paraId="21CA30B9"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64BBEA3E"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45</w:t>
            </w:r>
          </w:p>
        </w:tc>
      </w:tr>
      <w:tr w:rsidR="00377338" w:rsidRPr="002A05C5" w14:paraId="7F72F7B7" w14:textId="77777777" w:rsidTr="00F9626E">
        <w:trPr>
          <w:trHeight w:val="110"/>
        </w:trPr>
        <w:tc>
          <w:tcPr>
            <w:tcW w:w="0" w:type="auto"/>
            <w:gridSpan w:val="5"/>
            <w:tcMar>
              <w:top w:w="100" w:type="dxa"/>
              <w:left w:w="100" w:type="dxa"/>
              <w:bottom w:w="100" w:type="dxa"/>
              <w:right w:w="100" w:type="dxa"/>
            </w:tcMar>
            <w:hideMark/>
          </w:tcPr>
          <w:p w14:paraId="289BE37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3. Group: Medium-sized energy companies</w:t>
            </w:r>
          </w:p>
        </w:tc>
      </w:tr>
      <w:tr w:rsidR="00377338" w:rsidRPr="002A05C5" w14:paraId="3C59E061" w14:textId="77777777" w:rsidTr="00F9626E">
        <w:trPr>
          <w:trHeight w:val="61"/>
        </w:trPr>
        <w:tc>
          <w:tcPr>
            <w:tcW w:w="701" w:type="dxa"/>
            <w:tcMar>
              <w:top w:w="100" w:type="dxa"/>
              <w:left w:w="100" w:type="dxa"/>
              <w:bottom w:w="100" w:type="dxa"/>
              <w:right w:w="100" w:type="dxa"/>
            </w:tcMar>
            <w:hideMark/>
          </w:tcPr>
          <w:p w14:paraId="7896285B"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11</w:t>
            </w:r>
          </w:p>
        </w:tc>
        <w:tc>
          <w:tcPr>
            <w:tcW w:w="2512" w:type="dxa"/>
            <w:tcMar>
              <w:top w:w="100" w:type="dxa"/>
              <w:left w:w="100" w:type="dxa"/>
              <w:bottom w:w="100" w:type="dxa"/>
              <w:right w:w="100" w:type="dxa"/>
            </w:tcMar>
            <w:hideMark/>
          </w:tcPr>
          <w:p w14:paraId="3397151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Energy company A</w:t>
            </w:r>
          </w:p>
        </w:tc>
        <w:tc>
          <w:tcPr>
            <w:tcW w:w="0" w:type="auto"/>
            <w:tcMar>
              <w:top w:w="100" w:type="dxa"/>
              <w:left w:w="100" w:type="dxa"/>
              <w:bottom w:w="100" w:type="dxa"/>
              <w:right w:w="100" w:type="dxa"/>
            </w:tcMar>
            <w:hideMark/>
          </w:tcPr>
          <w:p w14:paraId="4610A15E"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CEO</w:t>
            </w:r>
          </w:p>
        </w:tc>
        <w:tc>
          <w:tcPr>
            <w:tcW w:w="0" w:type="auto"/>
            <w:tcMar>
              <w:top w:w="100" w:type="dxa"/>
              <w:left w:w="100" w:type="dxa"/>
              <w:bottom w:w="100" w:type="dxa"/>
              <w:right w:w="100" w:type="dxa"/>
            </w:tcMar>
            <w:hideMark/>
          </w:tcPr>
          <w:p w14:paraId="070B6BB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5C3019C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43</w:t>
            </w:r>
          </w:p>
        </w:tc>
      </w:tr>
      <w:tr w:rsidR="00377338" w:rsidRPr="002A05C5" w14:paraId="68F984F9" w14:textId="77777777" w:rsidTr="00F9626E">
        <w:trPr>
          <w:trHeight w:val="25"/>
        </w:trPr>
        <w:tc>
          <w:tcPr>
            <w:tcW w:w="701" w:type="dxa"/>
            <w:tcMar>
              <w:top w:w="100" w:type="dxa"/>
              <w:left w:w="100" w:type="dxa"/>
              <w:bottom w:w="100" w:type="dxa"/>
              <w:right w:w="100" w:type="dxa"/>
            </w:tcMar>
            <w:hideMark/>
          </w:tcPr>
          <w:p w14:paraId="5F01B11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12</w:t>
            </w:r>
          </w:p>
        </w:tc>
        <w:tc>
          <w:tcPr>
            <w:tcW w:w="2512" w:type="dxa"/>
            <w:tcMar>
              <w:top w:w="100" w:type="dxa"/>
              <w:left w:w="100" w:type="dxa"/>
              <w:bottom w:w="100" w:type="dxa"/>
              <w:right w:w="100" w:type="dxa"/>
            </w:tcMar>
            <w:hideMark/>
          </w:tcPr>
          <w:p w14:paraId="5EF3C6F9"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Energy company B</w:t>
            </w:r>
          </w:p>
        </w:tc>
        <w:tc>
          <w:tcPr>
            <w:tcW w:w="0" w:type="auto"/>
            <w:tcMar>
              <w:top w:w="100" w:type="dxa"/>
              <w:left w:w="100" w:type="dxa"/>
              <w:bottom w:w="100" w:type="dxa"/>
              <w:right w:w="100" w:type="dxa"/>
            </w:tcMar>
            <w:hideMark/>
          </w:tcPr>
          <w:p w14:paraId="492535D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CEO</w:t>
            </w:r>
          </w:p>
        </w:tc>
        <w:tc>
          <w:tcPr>
            <w:tcW w:w="0" w:type="auto"/>
            <w:tcMar>
              <w:top w:w="100" w:type="dxa"/>
              <w:left w:w="100" w:type="dxa"/>
              <w:bottom w:w="100" w:type="dxa"/>
              <w:right w:w="100" w:type="dxa"/>
            </w:tcMar>
            <w:hideMark/>
          </w:tcPr>
          <w:p w14:paraId="338E7A54"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7BF7B57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59</w:t>
            </w:r>
          </w:p>
        </w:tc>
      </w:tr>
      <w:tr w:rsidR="00377338" w:rsidRPr="002A05C5" w14:paraId="5D018AE9" w14:textId="77777777" w:rsidTr="00F9626E">
        <w:trPr>
          <w:trHeight w:val="116"/>
        </w:trPr>
        <w:tc>
          <w:tcPr>
            <w:tcW w:w="701" w:type="dxa"/>
            <w:tcMar>
              <w:top w:w="100" w:type="dxa"/>
              <w:left w:w="100" w:type="dxa"/>
              <w:bottom w:w="100" w:type="dxa"/>
              <w:right w:w="100" w:type="dxa"/>
            </w:tcMar>
            <w:hideMark/>
          </w:tcPr>
          <w:p w14:paraId="476F304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13</w:t>
            </w:r>
          </w:p>
        </w:tc>
        <w:tc>
          <w:tcPr>
            <w:tcW w:w="2512" w:type="dxa"/>
            <w:tcMar>
              <w:top w:w="100" w:type="dxa"/>
              <w:left w:w="100" w:type="dxa"/>
              <w:bottom w:w="100" w:type="dxa"/>
              <w:right w:w="100" w:type="dxa"/>
            </w:tcMar>
            <w:hideMark/>
          </w:tcPr>
          <w:p w14:paraId="0F9BFC3F"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Energy company C</w:t>
            </w:r>
          </w:p>
        </w:tc>
        <w:tc>
          <w:tcPr>
            <w:tcW w:w="0" w:type="auto"/>
            <w:tcMar>
              <w:top w:w="100" w:type="dxa"/>
              <w:left w:w="100" w:type="dxa"/>
              <w:bottom w:w="100" w:type="dxa"/>
              <w:right w:w="100" w:type="dxa"/>
            </w:tcMar>
            <w:hideMark/>
          </w:tcPr>
          <w:p w14:paraId="6E28B84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Director, energy production</w:t>
            </w:r>
          </w:p>
        </w:tc>
        <w:tc>
          <w:tcPr>
            <w:tcW w:w="0" w:type="auto"/>
            <w:tcMar>
              <w:top w:w="100" w:type="dxa"/>
              <w:left w:w="100" w:type="dxa"/>
              <w:bottom w:w="100" w:type="dxa"/>
              <w:right w:w="100" w:type="dxa"/>
            </w:tcMar>
            <w:hideMark/>
          </w:tcPr>
          <w:p w14:paraId="2B3363C0"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6D86874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59</w:t>
            </w:r>
          </w:p>
        </w:tc>
      </w:tr>
      <w:tr w:rsidR="00377338" w:rsidRPr="002A05C5" w14:paraId="1941DA4C" w14:textId="77777777" w:rsidTr="00F9626E">
        <w:trPr>
          <w:trHeight w:val="25"/>
        </w:trPr>
        <w:tc>
          <w:tcPr>
            <w:tcW w:w="701" w:type="dxa"/>
            <w:tcMar>
              <w:top w:w="100" w:type="dxa"/>
              <w:left w:w="100" w:type="dxa"/>
              <w:bottom w:w="100" w:type="dxa"/>
              <w:right w:w="100" w:type="dxa"/>
            </w:tcMar>
            <w:hideMark/>
          </w:tcPr>
          <w:p w14:paraId="1F3AE2E4"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14</w:t>
            </w:r>
          </w:p>
        </w:tc>
        <w:tc>
          <w:tcPr>
            <w:tcW w:w="2512" w:type="dxa"/>
            <w:tcMar>
              <w:top w:w="100" w:type="dxa"/>
              <w:left w:w="100" w:type="dxa"/>
              <w:bottom w:w="100" w:type="dxa"/>
              <w:right w:w="100" w:type="dxa"/>
            </w:tcMar>
            <w:hideMark/>
          </w:tcPr>
          <w:p w14:paraId="311EFAE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Energy company D</w:t>
            </w:r>
          </w:p>
        </w:tc>
        <w:tc>
          <w:tcPr>
            <w:tcW w:w="0" w:type="auto"/>
            <w:tcMar>
              <w:top w:w="100" w:type="dxa"/>
              <w:left w:w="100" w:type="dxa"/>
              <w:bottom w:w="100" w:type="dxa"/>
              <w:right w:w="100" w:type="dxa"/>
            </w:tcMar>
            <w:hideMark/>
          </w:tcPr>
          <w:p w14:paraId="0C8D357C"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CEO</w:t>
            </w:r>
          </w:p>
        </w:tc>
        <w:tc>
          <w:tcPr>
            <w:tcW w:w="0" w:type="auto"/>
            <w:tcMar>
              <w:top w:w="100" w:type="dxa"/>
              <w:left w:w="100" w:type="dxa"/>
              <w:bottom w:w="100" w:type="dxa"/>
              <w:right w:w="100" w:type="dxa"/>
            </w:tcMar>
            <w:hideMark/>
          </w:tcPr>
          <w:p w14:paraId="2049924B"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417DFC3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45</w:t>
            </w:r>
          </w:p>
        </w:tc>
      </w:tr>
      <w:tr w:rsidR="00377338" w:rsidRPr="002A05C5" w14:paraId="1DF4ED45" w14:textId="77777777" w:rsidTr="00F9626E">
        <w:trPr>
          <w:trHeight w:val="62"/>
        </w:trPr>
        <w:tc>
          <w:tcPr>
            <w:tcW w:w="0" w:type="auto"/>
            <w:gridSpan w:val="5"/>
            <w:tcMar>
              <w:top w:w="100" w:type="dxa"/>
              <w:left w:w="100" w:type="dxa"/>
              <w:bottom w:w="100" w:type="dxa"/>
              <w:right w:w="100" w:type="dxa"/>
            </w:tcMar>
            <w:hideMark/>
          </w:tcPr>
          <w:p w14:paraId="0E6042F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4. Group: Large-scale energy companies</w:t>
            </w:r>
          </w:p>
        </w:tc>
      </w:tr>
      <w:tr w:rsidR="00377338" w:rsidRPr="002A05C5" w14:paraId="445E9297" w14:textId="77777777" w:rsidTr="00F9626E">
        <w:trPr>
          <w:trHeight w:val="168"/>
        </w:trPr>
        <w:tc>
          <w:tcPr>
            <w:tcW w:w="701" w:type="dxa"/>
            <w:tcMar>
              <w:top w:w="100" w:type="dxa"/>
              <w:left w:w="100" w:type="dxa"/>
              <w:bottom w:w="100" w:type="dxa"/>
              <w:right w:w="100" w:type="dxa"/>
            </w:tcMar>
            <w:hideMark/>
          </w:tcPr>
          <w:p w14:paraId="583F421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15</w:t>
            </w:r>
          </w:p>
        </w:tc>
        <w:tc>
          <w:tcPr>
            <w:tcW w:w="2512" w:type="dxa"/>
            <w:tcMar>
              <w:top w:w="100" w:type="dxa"/>
              <w:left w:w="100" w:type="dxa"/>
              <w:bottom w:w="100" w:type="dxa"/>
              <w:right w:w="100" w:type="dxa"/>
            </w:tcMar>
            <w:hideMark/>
          </w:tcPr>
          <w:p w14:paraId="0DD8286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Energy company E</w:t>
            </w:r>
          </w:p>
        </w:tc>
        <w:tc>
          <w:tcPr>
            <w:tcW w:w="0" w:type="auto"/>
            <w:tcMar>
              <w:top w:w="100" w:type="dxa"/>
              <w:left w:w="100" w:type="dxa"/>
              <w:bottom w:w="100" w:type="dxa"/>
              <w:right w:w="100" w:type="dxa"/>
            </w:tcMar>
            <w:hideMark/>
          </w:tcPr>
          <w:p w14:paraId="3892D76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Director, heat division</w:t>
            </w:r>
          </w:p>
        </w:tc>
        <w:tc>
          <w:tcPr>
            <w:tcW w:w="0" w:type="auto"/>
            <w:tcMar>
              <w:top w:w="100" w:type="dxa"/>
              <w:left w:w="100" w:type="dxa"/>
              <w:bottom w:w="100" w:type="dxa"/>
              <w:right w:w="100" w:type="dxa"/>
            </w:tcMar>
            <w:hideMark/>
          </w:tcPr>
          <w:p w14:paraId="745E580A"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62647EBA"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57</w:t>
            </w:r>
          </w:p>
        </w:tc>
      </w:tr>
      <w:tr w:rsidR="00377338" w:rsidRPr="002A05C5" w14:paraId="162C413F" w14:textId="77777777" w:rsidTr="00F9626E">
        <w:trPr>
          <w:trHeight w:val="118"/>
        </w:trPr>
        <w:tc>
          <w:tcPr>
            <w:tcW w:w="701" w:type="dxa"/>
            <w:tcMar>
              <w:top w:w="100" w:type="dxa"/>
              <w:left w:w="100" w:type="dxa"/>
              <w:bottom w:w="100" w:type="dxa"/>
              <w:right w:w="100" w:type="dxa"/>
            </w:tcMar>
            <w:hideMark/>
          </w:tcPr>
          <w:p w14:paraId="7B2A8FB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16</w:t>
            </w:r>
          </w:p>
        </w:tc>
        <w:tc>
          <w:tcPr>
            <w:tcW w:w="2512" w:type="dxa"/>
            <w:tcMar>
              <w:top w:w="100" w:type="dxa"/>
              <w:left w:w="100" w:type="dxa"/>
              <w:bottom w:w="100" w:type="dxa"/>
              <w:right w:w="100" w:type="dxa"/>
            </w:tcMar>
            <w:hideMark/>
          </w:tcPr>
          <w:p w14:paraId="2AD7FF54"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Energy company F</w:t>
            </w:r>
          </w:p>
        </w:tc>
        <w:tc>
          <w:tcPr>
            <w:tcW w:w="0" w:type="auto"/>
            <w:tcMar>
              <w:top w:w="100" w:type="dxa"/>
              <w:left w:w="100" w:type="dxa"/>
              <w:bottom w:w="100" w:type="dxa"/>
              <w:right w:w="100" w:type="dxa"/>
            </w:tcMar>
            <w:hideMark/>
          </w:tcPr>
          <w:p w14:paraId="3B6AF4A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Manager, fuel supply</w:t>
            </w:r>
          </w:p>
        </w:tc>
        <w:tc>
          <w:tcPr>
            <w:tcW w:w="0" w:type="auto"/>
            <w:tcMar>
              <w:top w:w="100" w:type="dxa"/>
              <w:left w:w="100" w:type="dxa"/>
              <w:bottom w:w="100" w:type="dxa"/>
              <w:right w:w="100" w:type="dxa"/>
            </w:tcMar>
            <w:hideMark/>
          </w:tcPr>
          <w:p w14:paraId="1137D0C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2550572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60</w:t>
            </w:r>
          </w:p>
        </w:tc>
      </w:tr>
      <w:tr w:rsidR="00377338" w:rsidRPr="002A05C5" w14:paraId="730E14EE" w14:textId="77777777" w:rsidTr="00F9626E">
        <w:trPr>
          <w:trHeight w:val="508"/>
        </w:trPr>
        <w:tc>
          <w:tcPr>
            <w:tcW w:w="701" w:type="dxa"/>
            <w:tcMar>
              <w:top w:w="100" w:type="dxa"/>
              <w:left w:w="100" w:type="dxa"/>
              <w:bottom w:w="100" w:type="dxa"/>
              <w:right w:w="100" w:type="dxa"/>
            </w:tcMar>
            <w:hideMark/>
          </w:tcPr>
          <w:p w14:paraId="3ACFCBB4"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17</w:t>
            </w:r>
          </w:p>
        </w:tc>
        <w:tc>
          <w:tcPr>
            <w:tcW w:w="2512" w:type="dxa"/>
            <w:tcMar>
              <w:top w:w="100" w:type="dxa"/>
              <w:left w:w="100" w:type="dxa"/>
              <w:bottom w:w="100" w:type="dxa"/>
              <w:right w:w="100" w:type="dxa"/>
            </w:tcMar>
            <w:hideMark/>
          </w:tcPr>
          <w:p w14:paraId="50C68C9C"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Energy company G</w:t>
            </w:r>
          </w:p>
        </w:tc>
        <w:tc>
          <w:tcPr>
            <w:tcW w:w="0" w:type="auto"/>
            <w:tcMar>
              <w:top w:w="100" w:type="dxa"/>
              <w:left w:w="100" w:type="dxa"/>
              <w:bottom w:w="100" w:type="dxa"/>
              <w:right w:w="100" w:type="dxa"/>
            </w:tcMar>
            <w:hideMark/>
          </w:tcPr>
          <w:p w14:paraId="6C0D1CC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Development manager, energy division</w:t>
            </w:r>
          </w:p>
        </w:tc>
        <w:tc>
          <w:tcPr>
            <w:tcW w:w="0" w:type="auto"/>
            <w:tcMar>
              <w:top w:w="100" w:type="dxa"/>
              <w:left w:w="100" w:type="dxa"/>
              <w:bottom w:w="100" w:type="dxa"/>
              <w:right w:w="100" w:type="dxa"/>
            </w:tcMar>
            <w:hideMark/>
          </w:tcPr>
          <w:p w14:paraId="4E16E666"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5F91AFB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54</w:t>
            </w:r>
          </w:p>
        </w:tc>
      </w:tr>
      <w:tr w:rsidR="00377338" w:rsidRPr="002A05C5" w14:paraId="79C1F9F3" w14:textId="77777777" w:rsidTr="00F9626E">
        <w:trPr>
          <w:trHeight w:val="311"/>
        </w:trPr>
        <w:tc>
          <w:tcPr>
            <w:tcW w:w="701" w:type="dxa"/>
            <w:tcMar>
              <w:top w:w="100" w:type="dxa"/>
              <w:left w:w="100" w:type="dxa"/>
              <w:bottom w:w="100" w:type="dxa"/>
              <w:right w:w="100" w:type="dxa"/>
            </w:tcMar>
            <w:hideMark/>
          </w:tcPr>
          <w:p w14:paraId="7E45E36C"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18</w:t>
            </w:r>
          </w:p>
        </w:tc>
        <w:tc>
          <w:tcPr>
            <w:tcW w:w="2512" w:type="dxa"/>
            <w:tcMar>
              <w:top w:w="100" w:type="dxa"/>
              <w:left w:w="100" w:type="dxa"/>
              <w:bottom w:w="100" w:type="dxa"/>
              <w:right w:w="100" w:type="dxa"/>
            </w:tcMar>
            <w:hideMark/>
          </w:tcPr>
          <w:p w14:paraId="5A3294E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Forest industry company A</w:t>
            </w:r>
          </w:p>
        </w:tc>
        <w:tc>
          <w:tcPr>
            <w:tcW w:w="0" w:type="auto"/>
            <w:tcMar>
              <w:top w:w="100" w:type="dxa"/>
              <w:left w:w="100" w:type="dxa"/>
              <w:bottom w:w="100" w:type="dxa"/>
              <w:right w:w="100" w:type="dxa"/>
            </w:tcMar>
            <w:hideMark/>
          </w:tcPr>
          <w:p w14:paraId="618746B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Manager, sourcing &amp; forest energy</w:t>
            </w:r>
          </w:p>
        </w:tc>
        <w:tc>
          <w:tcPr>
            <w:tcW w:w="0" w:type="auto"/>
            <w:tcMar>
              <w:top w:w="100" w:type="dxa"/>
              <w:left w:w="100" w:type="dxa"/>
              <w:bottom w:w="100" w:type="dxa"/>
              <w:right w:w="100" w:type="dxa"/>
            </w:tcMar>
            <w:hideMark/>
          </w:tcPr>
          <w:p w14:paraId="1DB0004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Male</w:t>
            </w:r>
          </w:p>
        </w:tc>
        <w:tc>
          <w:tcPr>
            <w:tcW w:w="0" w:type="auto"/>
            <w:tcMar>
              <w:top w:w="100" w:type="dxa"/>
              <w:left w:w="100" w:type="dxa"/>
              <w:bottom w:w="100" w:type="dxa"/>
              <w:right w:w="100" w:type="dxa"/>
            </w:tcMar>
            <w:hideMark/>
          </w:tcPr>
          <w:p w14:paraId="0407163C"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46</w:t>
            </w:r>
          </w:p>
          <w:p w14:paraId="1EECB3FF"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tc>
      </w:tr>
    </w:tbl>
    <w:p w14:paraId="219EE7F3" w14:textId="77777777" w:rsidR="00377338" w:rsidRPr="002A05C5" w:rsidRDefault="00377338" w:rsidP="00377338">
      <w:pPr>
        <w:spacing w:line="240" w:lineRule="auto"/>
        <w:rPr>
          <w:rFonts w:ascii="Times New Roman" w:eastAsia="Times New Roman" w:hAnsi="Times New Roman" w:cs="Times New Roman"/>
          <w:color w:val="000000"/>
          <w:lang w:val="en-GB"/>
        </w:rPr>
      </w:pPr>
      <w:r w:rsidRPr="002A05C5">
        <w:rPr>
          <w:rFonts w:ascii="Times New Roman" w:eastAsia="Times New Roman" w:hAnsi="Times New Roman" w:cs="Times New Roman"/>
          <w:color w:val="000000"/>
          <w:lang w:val="en-GB"/>
        </w:rPr>
        <w:t> </w:t>
      </w:r>
    </w:p>
    <w:p w14:paraId="0209C6E6" w14:textId="77777777" w:rsidR="007806FD" w:rsidRPr="002A05C5" w:rsidRDefault="00BD1B5F">
      <w:pPr>
        <w:spacing w:before="360" w:after="8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 xml:space="preserve">4.2.2 The </w:t>
      </w:r>
      <w:r w:rsidRPr="002A05C5">
        <w:rPr>
          <w:rFonts w:ascii="Times New Roman" w:eastAsia="Times New Roman" w:hAnsi="Times New Roman" w:cs="Times New Roman"/>
          <w:b/>
          <w:i/>
          <w:sz w:val="24"/>
          <w:szCs w:val="24"/>
          <w:lang w:val="en-GB"/>
        </w:rPr>
        <w:t xml:space="preserve">Maaseudun Tulevaisuus </w:t>
      </w:r>
      <w:r w:rsidRPr="002A05C5">
        <w:rPr>
          <w:rFonts w:ascii="Times New Roman" w:eastAsia="Times New Roman" w:hAnsi="Times New Roman" w:cs="Times New Roman"/>
          <w:b/>
          <w:sz w:val="24"/>
          <w:szCs w:val="24"/>
          <w:lang w:val="en-GB"/>
        </w:rPr>
        <w:t>newspaper</w:t>
      </w:r>
    </w:p>
    <w:p w14:paraId="4C201E5A"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Data was collected from the newspaper </w:t>
      </w:r>
      <w:r w:rsidRPr="002A05C5">
        <w:rPr>
          <w:rFonts w:ascii="Times New Roman" w:eastAsia="Times New Roman" w:hAnsi="Times New Roman" w:cs="Times New Roman"/>
          <w:i/>
          <w:sz w:val="24"/>
          <w:szCs w:val="24"/>
          <w:lang w:val="en-GB"/>
        </w:rPr>
        <w:t>Maaseudun Tulevaisuus</w:t>
      </w:r>
      <w:r w:rsidRPr="002A05C5">
        <w:rPr>
          <w:rFonts w:ascii="Times New Roman" w:eastAsia="Times New Roman" w:hAnsi="Times New Roman" w:cs="Times New Roman"/>
          <w:sz w:val="24"/>
          <w:szCs w:val="24"/>
          <w:lang w:val="en-GB"/>
        </w:rPr>
        <w:t xml:space="preserve"> (hereafter referred to as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focuses on agriculture and forestry and related business and enterprises, as well as topics concerning rural lifestyles in general. It is the second-largest morning paper in Finland, published by Viestilehdet Ltd, which is owned by the national Farmers’ Union. The newspaper is not aligned with any political party. It is the chief organ of the Central Union of Agricultural Producers and Forest Owners (MTK).</w:t>
      </w:r>
    </w:p>
    <w:p w14:paraId="07393067"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The newspaper material was collected in January 2017 using an online search of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’s digital edition, which requires a subscription. The data consists of 43 news items, opinion pieces, and columns addressing woodchips published in 2015 and 2016. Based on testing several search strategies, the general-level keyword denoting “woodchip” (</w:t>
      </w:r>
      <w:r w:rsidRPr="002A05C5">
        <w:rPr>
          <w:rFonts w:ascii="Times New Roman" w:eastAsia="Times New Roman" w:hAnsi="Times New Roman" w:cs="Times New Roman"/>
          <w:i/>
          <w:sz w:val="24"/>
          <w:szCs w:val="24"/>
          <w:lang w:val="en-GB"/>
        </w:rPr>
        <w:t>hake</w:t>
      </w:r>
      <w:r w:rsidRPr="002A05C5">
        <w:rPr>
          <w:rFonts w:ascii="Times New Roman" w:eastAsia="Times New Roman" w:hAnsi="Times New Roman" w:cs="Times New Roman"/>
          <w:sz w:val="24"/>
          <w:szCs w:val="24"/>
          <w:lang w:val="en-GB"/>
        </w:rPr>
        <w:t xml:space="preserve">* or </w:t>
      </w:r>
      <w:r w:rsidRPr="002A05C5">
        <w:rPr>
          <w:rFonts w:ascii="Times New Roman" w:eastAsia="Times New Roman" w:hAnsi="Times New Roman" w:cs="Times New Roman"/>
          <w:i/>
          <w:sz w:val="24"/>
          <w:szCs w:val="24"/>
          <w:lang w:val="en-GB"/>
        </w:rPr>
        <w:t>hakkee</w:t>
      </w:r>
      <w:r w:rsidRPr="002A05C5">
        <w:rPr>
          <w:rFonts w:ascii="Times New Roman" w:eastAsia="Times New Roman" w:hAnsi="Times New Roman" w:cs="Times New Roman"/>
          <w:sz w:val="24"/>
          <w:szCs w:val="24"/>
          <w:lang w:val="en-GB"/>
        </w:rPr>
        <w:t>* in Finnish) was considered adequate to produce a comprehensive picture of the coverage. The use of wildcards (*) was necessary because of the challenges posed by inflexion and grammatical cases in the Finnish language. The items included the search term anywhere in the articles’ title, figures, picture captions, or text. Thus, the search included items that mentioned woodchips only in passing. After the gathering phase, news items mentioning woodchips only briefly were omitted from the final dataset.</w:t>
      </w:r>
    </w:p>
    <w:p w14:paraId="38029165" w14:textId="77777777" w:rsidR="007806FD" w:rsidRPr="002A05C5" w:rsidRDefault="00BD1B5F">
      <w:pPr>
        <w:spacing w:before="360" w:after="8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4.3 Qualitative thematic text analysis with the PESTEC table</w:t>
      </w:r>
    </w:p>
    <w:p w14:paraId="5590AF73"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As an analysis method, we deployed a qualitative thematic text analysis. The analysis was deductive as the data were categorised by applying a specific framework instead of forming categories from the data itself (Kuckartz, 2014). In this study, PESTEC dimensions were deployed for categorisation, classifying the data according to political, economic, social, technological, environmental, and cultural dimensions. PESTEC is a variation of PEST or PESTLE (where </w:t>
      </w:r>
      <w:r w:rsidRPr="002A05C5">
        <w:rPr>
          <w:rFonts w:ascii="Times New Roman" w:eastAsia="Times New Roman" w:hAnsi="Times New Roman" w:cs="Times New Roman"/>
          <w:i/>
          <w:sz w:val="24"/>
          <w:szCs w:val="24"/>
          <w:lang w:val="en-GB"/>
        </w:rPr>
        <w:t>L</w:t>
      </w:r>
      <w:r w:rsidRPr="002A05C5">
        <w:rPr>
          <w:rFonts w:ascii="Times New Roman" w:eastAsia="Times New Roman" w:hAnsi="Times New Roman" w:cs="Times New Roman"/>
          <w:sz w:val="24"/>
          <w:szCs w:val="24"/>
          <w:lang w:val="en-GB"/>
        </w:rPr>
        <w:t xml:space="preserve"> refers to legal aspects), which are tools designed to assess factors within the macro environment of an industry or a phenomenon. In the industrial foresight context, where the tool has its roots, PEST is used to examine an industry’s future challenges and opportunities (Warner, 2010). </w:t>
      </w:r>
    </w:p>
    <w:p w14:paraId="2AA7ADDD"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In this research, the six PESTEC dimensions — political, economic, social, technological, environmental and cultural — gave the coding a structure as the main categories of analysis. During the first round of reading and coding, the data were assigned to the six PESTEC categories. For example, regarding the political dimension, the researchers coded the data to answer the question, ‘Which political aspects affect the use of woodchips as an energy source?’ NVivo software was used in this part of the analysis. The analysis of the cultural dimension differed from the other factors, as there were few explicit references to cultural aspects influencing the use of woodchips in the data. Rather, the cultural aspect was a constitutive and implicit one, comprising the whole image. It is constructed by the researchers based on the latent, rather than the manifest, content of the data. After coding the data in the six main categories in NVivo, the data was further divided in different sub-categories in a text file. At this point, the sub-categories comprised alternative states of the future. For example, inside the category of political aspects, divergent views on political developments were separated as distinct sub-categories, such as international regulation (including EU regulation and climate mitigation regulation as categories) and national regulation (including energy policy, regional and rural policy). The number of sub-categories within each category varied according to the diversity of viewpoints in the data. </w:t>
      </w:r>
    </w:p>
    <w:p w14:paraId="7DC5BE04"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In practice, the data were coded iteratively, with several rounds of reading and coding of the text, as well as reflection by the two researchers, each coding her own data. One author was responsible for coding the interview data, and the other was responsible for the newspaper data. As the analysis of two different datasets was experimental, the results were continuously discussed by the two authors to identify contradictions between the datasets. </w:t>
      </w:r>
    </w:p>
    <w:p w14:paraId="26178B47" w14:textId="3D90811F"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The two constitutive themes influencing the future use of woodchips as an energy source in Finland were identified based on the first reading. These two themes served as the foundation and the starting point for the analysis as the futures images were constructed using variables of these themes. First, alternative futures were imagined for the types of operators using woodchips in the future, varying from small-scale use (e.g. farms) to large-scale use and corporate operators. Second, the strong role of regulations at both the international and national level was seen to influence the use of wood as an energy source and in general. The main issue was whether the </w:t>
      </w:r>
      <w:r w:rsidR="00831CA5">
        <w:rPr>
          <w:rFonts w:ascii="Times New Roman" w:eastAsia="Times New Roman" w:hAnsi="Times New Roman" w:cs="Times New Roman"/>
          <w:sz w:val="24"/>
          <w:szCs w:val="24"/>
          <w:lang w:val="en-GB"/>
        </w:rPr>
        <w:t>burning of woodchips is allowed and</w:t>
      </w:r>
      <w:r w:rsidRPr="002A05C5">
        <w:rPr>
          <w:rFonts w:ascii="Times New Roman" w:eastAsia="Times New Roman" w:hAnsi="Times New Roman" w:cs="Times New Roman"/>
          <w:sz w:val="24"/>
          <w:szCs w:val="24"/>
          <w:lang w:val="en-GB"/>
        </w:rPr>
        <w:t xml:space="preserve"> wood is considered an acceptable renewable energy source, or forests are considered to be in need of conservation and must be regarded as carbon sinks.</w:t>
      </w:r>
    </w:p>
    <w:p w14:paraId="7046E4F4"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Two important notions regarding the role and content of the futures images require attention. First, the images are not necessarily likely to occur, nor are they intended to be. The role of the images is not to predict how future woodchip use in Finland will occur. Second, the futures images are divergent because none of the images appears as such in the data, but they have been constructed to convey possible alternative futures. Rather, the purpose of divergent, and even extreme images, is to describe alternative transition paths and their impacts. In analysing alternative transition pathways, it would not be useful to describe five possible and highly probable futures that closely resemble one another.</w:t>
      </w:r>
    </w:p>
    <w:p w14:paraId="6ACA4D63"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Our original research data were in Finnish. We conducted the interviews in Finnish and the newspaper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is published in Finnish. We have translated the quoted parts of the interviewees’ responses and newspaper items from Finnish to English. The codes at the end of the interview quotations refer to the numbering in Table 1. The quoted newspaper items are listed in the references.</w:t>
      </w:r>
    </w:p>
    <w:p w14:paraId="6E07CCC4"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3C477A82"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4.4 Limitations of the current research</w:t>
      </w:r>
    </w:p>
    <w:p w14:paraId="5F5E22B6" w14:textId="69EF7273" w:rsidR="007806FD" w:rsidRPr="00EB5C2A" w:rsidRDefault="00BD1B5F" w:rsidP="00490A4E">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00490A4E" w:rsidRPr="002A05C5">
        <w:rPr>
          <w:rFonts w:ascii="Times New Roman" w:eastAsia="Times New Roman" w:hAnsi="Times New Roman" w:cs="Times New Roman"/>
          <w:sz w:val="24"/>
          <w:szCs w:val="24"/>
          <w:lang w:val="en-GB"/>
        </w:rPr>
        <w:tab/>
      </w:r>
      <w:r w:rsidRPr="002A05C5">
        <w:rPr>
          <w:rFonts w:ascii="Times New Roman" w:eastAsia="Times New Roman" w:hAnsi="Times New Roman" w:cs="Times New Roman"/>
          <w:sz w:val="24"/>
          <w:szCs w:val="24"/>
          <w:lang w:val="en-GB"/>
        </w:rPr>
        <w:t xml:space="preserve">This research has some limitations. We focused on one country and one type of wood energy, namely woodchips. Obviously, our research does not provide the whole picture of renewable energy in Finland. Furthermore, we analysed only one newspaper to gather public discussions regarding woodchip use. The newspaper that we selected concentrates on topics that relate to rural energy production. Another characteristic of our data is that it presents views of actors that use woodchips or are closely involved with woodchip technologies. Notably, the interviewees and data collected from the newspaper are generally supportive of using woodchip as </w:t>
      </w:r>
      <w:r w:rsidRPr="00EB5C2A">
        <w:rPr>
          <w:rFonts w:ascii="Times New Roman" w:eastAsia="Times New Roman" w:hAnsi="Times New Roman" w:cs="Times New Roman"/>
          <w:sz w:val="24"/>
          <w:szCs w:val="24"/>
          <w:lang w:val="en-GB"/>
        </w:rPr>
        <w:t>an energy source. Thus, the viewpoints that support different measures that would decrease the use of woodchips are in the minority in our data. Earlier research suggests that members of environmental non-governmental organisations are likely to have a critical stance towards forest bioenergy (</w:t>
      </w:r>
      <w:r w:rsidR="00556F30" w:rsidRPr="00EB5C2A">
        <w:rPr>
          <w:rFonts w:ascii="Times New Roman" w:eastAsia="Times New Roman" w:hAnsi="Times New Roman" w:cs="Times New Roman"/>
          <w:sz w:val="24"/>
          <w:szCs w:val="24"/>
          <w:lang w:val="en-GB"/>
        </w:rPr>
        <w:t>Kangas, et al.</w:t>
      </w:r>
      <w:r w:rsidRPr="00EB5C2A">
        <w:rPr>
          <w:rFonts w:ascii="Times New Roman" w:eastAsia="Times New Roman" w:hAnsi="Times New Roman" w:cs="Times New Roman"/>
          <w:sz w:val="24"/>
          <w:szCs w:val="24"/>
          <w:lang w:val="en-GB"/>
        </w:rPr>
        <w:t>, 2018). Thus, although the data allows the analysis of transitions in which woodchips declines, further studies are needed to cover potential development paths outside the scope of our discussion.</w:t>
      </w:r>
    </w:p>
    <w:p w14:paraId="39668C17" w14:textId="60E788D5" w:rsidR="007806FD" w:rsidRPr="002A05C5" w:rsidRDefault="00BD1B5F">
      <w:pPr>
        <w:spacing w:before="480" w:after="120"/>
        <w:rPr>
          <w:rFonts w:ascii="Times New Roman" w:eastAsia="Times New Roman" w:hAnsi="Times New Roman" w:cs="Times New Roman"/>
          <w:b/>
          <w:sz w:val="24"/>
          <w:szCs w:val="24"/>
          <w:lang w:val="en-GB"/>
        </w:rPr>
      </w:pPr>
      <w:r w:rsidRPr="00EB5C2A">
        <w:rPr>
          <w:rFonts w:ascii="Times New Roman" w:eastAsia="Times New Roman" w:hAnsi="Times New Roman" w:cs="Times New Roman"/>
          <w:b/>
          <w:sz w:val="24"/>
          <w:szCs w:val="24"/>
          <w:lang w:val="en-GB"/>
        </w:rPr>
        <w:t>5. Results</w:t>
      </w:r>
      <w:r w:rsidRPr="002A05C5">
        <w:rPr>
          <w:rFonts w:ascii="Times New Roman" w:eastAsia="Times New Roman" w:hAnsi="Times New Roman" w:cs="Times New Roman"/>
          <w:b/>
          <w:sz w:val="24"/>
          <w:szCs w:val="24"/>
          <w:lang w:val="en-GB"/>
        </w:rPr>
        <w:t>: Futures images</w:t>
      </w:r>
    </w:p>
    <w:p w14:paraId="14AF48C8"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two themes, international regulation and operator size, outline the major differences between the futures images. The identification process was iterative and resulted in five futures images: 1) shrinking countryside, 2) forest industry leftovers, 3) carbon sink maintenance, 4) forest protection, and 5) renewable energy policy. These images portray alternative future states of woodchip use in Finland, as well as the drivers and dynamics that have caused the state. Each image is described in detail in the following sections.</w:t>
      </w:r>
    </w:p>
    <w:p w14:paraId="2D3B0A04" w14:textId="4E8ABC85"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sz w:val="24"/>
          <w:szCs w:val="24"/>
          <w:lang w:val="en-GB"/>
        </w:rPr>
        <w:t xml:space="preserve"> </w:t>
      </w:r>
      <w:r w:rsidRPr="002A05C5">
        <w:rPr>
          <w:rFonts w:ascii="Times New Roman" w:eastAsia="Times New Roman" w:hAnsi="Times New Roman" w:cs="Times New Roman"/>
          <w:b/>
          <w:sz w:val="24"/>
          <w:szCs w:val="24"/>
          <w:lang w:val="en-GB"/>
        </w:rPr>
        <w:t>5.1 Shrinking countryside</w:t>
      </w:r>
    </w:p>
    <w:p w14:paraId="7BD2A68C" w14:textId="32563252" w:rsidR="007806FD" w:rsidRPr="002A05C5" w:rsidRDefault="00BD1B5F" w:rsidP="00831CA5">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00831CA5">
        <w:rPr>
          <w:rFonts w:ascii="Times New Roman" w:eastAsia="Times New Roman" w:hAnsi="Times New Roman" w:cs="Times New Roman"/>
          <w:sz w:val="24"/>
          <w:szCs w:val="24"/>
          <w:lang w:val="en-GB"/>
        </w:rPr>
        <w:tab/>
      </w:r>
      <w:r w:rsidRPr="002A05C5">
        <w:rPr>
          <w:rFonts w:ascii="Times New Roman" w:eastAsia="Times New Roman" w:hAnsi="Times New Roman" w:cs="Times New Roman"/>
          <w:sz w:val="24"/>
          <w:szCs w:val="24"/>
          <w:lang w:val="en-GB"/>
        </w:rPr>
        <w:t>The first image is labelled ‘shrinking countryside’ (Table 2). Large-scale use of woodchips and forest energy has diminished due to, particularly, national and international regulations. The burning of wood is no longer considered carbon neutral. Small-scale use on, for example, farms, is still allowed as long as it meets strict emission requirements. Small-scale use is profitable as wood is acquired mostly from privately owned forests and field sides. One of the interviewees discussed possible EU regulations in the following manner:</w:t>
      </w:r>
    </w:p>
    <w:p w14:paraId="5B4C40E5"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17626ABC" w14:textId="77777777"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Well, it surely is a big issue now, how the Finnish carbon sinks are now being considered. It is going to solve a lot. I understand that the direction is quite positive, but it is still a crucial issue. On the other hand, we have these emissions, particulate emissions and such. These directives will now come into effect. Some were already enforced at the beginning of 2018... They just keep getting stricter.</w:t>
      </w:r>
      <w:r w:rsidRPr="002A05C5">
        <w:rPr>
          <w:rFonts w:ascii="Times New Roman" w:eastAsia="Times New Roman" w:hAnsi="Times New Roman" w:cs="Times New Roman"/>
          <w:i/>
          <w:sz w:val="24"/>
          <w:szCs w:val="24"/>
          <w:lang w:val="en-GB"/>
        </w:rPr>
        <w:t xml:space="preserve"> </w:t>
      </w:r>
      <w:r w:rsidRPr="002A05C5">
        <w:rPr>
          <w:rFonts w:ascii="Times New Roman" w:eastAsia="Times New Roman" w:hAnsi="Times New Roman" w:cs="Times New Roman"/>
          <w:sz w:val="24"/>
          <w:szCs w:val="24"/>
          <w:lang w:val="en-GB"/>
        </w:rPr>
        <w:t>(C9)</w:t>
      </w:r>
    </w:p>
    <w:p w14:paraId="35A56419" w14:textId="77777777" w:rsidR="007806FD" w:rsidRPr="002A05C5" w:rsidRDefault="00BD1B5F">
      <w:pPr>
        <w:spacing w:before="240"/>
        <w:rPr>
          <w:rFonts w:ascii="Times New Roman" w:eastAsia="Times New Roman" w:hAnsi="Times New Roman" w:cs="Times New Roman"/>
          <w:lang w:val="en-GB"/>
        </w:rPr>
      </w:pPr>
      <w:r w:rsidRPr="002A05C5">
        <w:rPr>
          <w:rFonts w:ascii="Times New Roman" w:eastAsia="Times New Roman" w:hAnsi="Times New Roman" w:cs="Times New Roman"/>
          <w:lang w:val="en-GB"/>
        </w:rPr>
        <w:t xml:space="preserve"> </w:t>
      </w:r>
    </w:p>
    <w:p w14:paraId="50173966" w14:textId="3D9B98CB"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xml:space="preserve">Table 2 </w:t>
      </w:r>
      <w:r w:rsidRPr="002A05C5">
        <w:rPr>
          <w:rFonts w:ascii="Times New Roman" w:eastAsia="Times New Roman" w:hAnsi="Times New Roman" w:cs="Times New Roman"/>
          <w:color w:val="000000"/>
          <w:lang w:val="en-GB"/>
        </w:rPr>
        <w:t>Futures image 1: Shrinking countryside.</w:t>
      </w:r>
    </w:p>
    <w:p w14:paraId="2601E9F4"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tbl>
      <w:tblPr>
        <w:tblW w:w="0" w:type="auto"/>
        <w:tblBorders>
          <w:top w:val="single" w:sz="8" w:space="0" w:color="7F7F7F"/>
          <w:bottom w:val="single" w:sz="8" w:space="0" w:color="7F7F7F"/>
        </w:tblBorders>
        <w:tblCellMar>
          <w:top w:w="15" w:type="dxa"/>
          <w:left w:w="15" w:type="dxa"/>
          <w:bottom w:w="15" w:type="dxa"/>
          <w:right w:w="15" w:type="dxa"/>
        </w:tblCellMar>
        <w:tblLook w:val="04A0" w:firstRow="1" w:lastRow="0" w:firstColumn="1" w:lastColumn="0" w:noHBand="0" w:noVBand="1"/>
      </w:tblPr>
      <w:tblGrid>
        <w:gridCol w:w="1447"/>
        <w:gridCol w:w="7913"/>
      </w:tblGrid>
      <w:tr w:rsidR="00377338" w:rsidRPr="002A05C5" w14:paraId="4D77DBF0" w14:textId="77777777" w:rsidTr="00F9626E">
        <w:trPr>
          <w:trHeight w:val="122"/>
        </w:trPr>
        <w:tc>
          <w:tcPr>
            <w:tcW w:w="0" w:type="auto"/>
            <w:tcMar>
              <w:top w:w="100" w:type="dxa"/>
              <w:left w:w="100" w:type="dxa"/>
              <w:bottom w:w="100" w:type="dxa"/>
              <w:right w:w="100" w:type="dxa"/>
            </w:tcMar>
            <w:hideMark/>
          </w:tcPr>
          <w:p w14:paraId="3278FEB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Dynamics</w:t>
            </w:r>
          </w:p>
        </w:tc>
        <w:tc>
          <w:tcPr>
            <w:tcW w:w="0" w:type="auto"/>
            <w:tcMar>
              <w:top w:w="100" w:type="dxa"/>
              <w:left w:w="100" w:type="dxa"/>
              <w:bottom w:w="100" w:type="dxa"/>
              <w:right w:w="100" w:type="dxa"/>
            </w:tcMar>
            <w:hideMark/>
          </w:tcPr>
          <w:p w14:paraId="66CFD053"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Woodchips are used only by small-scale operators, and forests are protected as carbon sinks.</w:t>
            </w:r>
          </w:p>
        </w:tc>
      </w:tr>
      <w:tr w:rsidR="00377338" w:rsidRPr="002A05C5" w14:paraId="7287FC75" w14:textId="77777777" w:rsidTr="00F9626E">
        <w:trPr>
          <w:trHeight w:val="264"/>
        </w:trPr>
        <w:tc>
          <w:tcPr>
            <w:tcW w:w="0" w:type="auto"/>
            <w:gridSpan w:val="2"/>
            <w:tcMar>
              <w:top w:w="100" w:type="dxa"/>
              <w:left w:w="100" w:type="dxa"/>
              <w:bottom w:w="100" w:type="dxa"/>
              <w:right w:w="100" w:type="dxa"/>
            </w:tcMar>
            <w:hideMark/>
          </w:tcPr>
          <w:p w14:paraId="0A3D7396"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PESTEC descriptions</w:t>
            </w:r>
          </w:p>
        </w:tc>
      </w:tr>
      <w:tr w:rsidR="00377338" w:rsidRPr="002A05C5" w14:paraId="1C73D877" w14:textId="77777777" w:rsidTr="00F9626E">
        <w:trPr>
          <w:trHeight w:val="824"/>
        </w:trPr>
        <w:tc>
          <w:tcPr>
            <w:tcW w:w="0" w:type="auto"/>
            <w:tcMar>
              <w:top w:w="100" w:type="dxa"/>
              <w:left w:w="100" w:type="dxa"/>
              <w:bottom w:w="100" w:type="dxa"/>
              <w:right w:w="100" w:type="dxa"/>
            </w:tcMar>
            <w:hideMark/>
          </w:tcPr>
          <w:p w14:paraId="65ED12D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Political</w:t>
            </w:r>
          </w:p>
        </w:tc>
        <w:tc>
          <w:tcPr>
            <w:tcW w:w="0" w:type="auto"/>
            <w:tcMar>
              <w:top w:w="100" w:type="dxa"/>
              <w:left w:w="100" w:type="dxa"/>
              <w:bottom w:w="100" w:type="dxa"/>
              <w:right w:w="100" w:type="dxa"/>
            </w:tcMar>
            <w:hideMark/>
          </w:tcPr>
          <w:p w14:paraId="52F858CF" w14:textId="77777777" w:rsidR="00377338" w:rsidRPr="002A05C5" w:rsidRDefault="00377338" w:rsidP="00F9626E">
            <w:pPr>
              <w:pStyle w:val="ListParagraph"/>
              <w:numPr>
                <w:ilvl w:val="0"/>
                <w:numId w:val="1"/>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Tight EU regulations protect forests as carbon sinks. Large-scale use has ceased. Regulations also affect small-scale use (e.g., air quality requirements).</w:t>
            </w:r>
          </w:p>
        </w:tc>
      </w:tr>
      <w:tr w:rsidR="00377338" w:rsidRPr="002A05C5" w14:paraId="58E8587C" w14:textId="77777777" w:rsidTr="00F9626E">
        <w:trPr>
          <w:trHeight w:val="2053"/>
        </w:trPr>
        <w:tc>
          <w:tcPr>
            <w:tcW w:w="0" w:type="auto"/>
            <w:tcMar>
              <w:top w:w="100" w:type="dxa"/>
              <w:left w:w="100" w:type="dxa"/>
              <w:bottom w:w="100" w:type="dxa"/>
              <w:right w:w="100" w:type="dxa"/>
            </w:tcMar>
            <w:hideMark/>
          </w:tcPr>
          <w:p w14:paraId="234409D9"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Economic</w:t>
            </w:r>
          </w:p>
        </w:tc>
        <w:tc>
          <w:tcPr>
            <w:tcW w:w="0" w:type="auto"/>
            <w:tcMar>
              <w:top w:w="100" w:type="dxa"/>
              <w:left w:w="100" w:type="dxa"/>
              <w:bottom w:w="100" w:type="dxa"/>
              <w:right w:w="100" w:type="dxa"/>
            </w:tcMar>
            <w:hideMark/>
          </w:tcPr>
          <w:p w14:paraId="043AA1A7" w14:textId="77777777" w:rsidR="00377338" w:rsidRPr="002A05C5" w:rsidRDefault="00377338" w:rsidP="00F9626E">
            <w:pPr>
              <w:pStyle w:val="ListParagraph"/>
              <w:numPr>
                <w:ilvl w:val="0"/>
                <w:numId w:val="1"/>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Other energy sources—such as oil, coal and peat—are inexpensive. In general, the price of electricity is low.</w:t>
            </w:r>
          </w:p>
          <w:p w14:paraId="585832A6" w14:textId="77777777" w:rsidR="00377338" w:rsidRPr="002A05C5" w:rsidRDefault="00377338" w:rsidP="00F9626E">
            <w:pPr>
              <w:pStyle w:val="ListParagraph"/>
              <w:numPr>
                <w:ilvl w:val="0"/>
                <w:numId w:val="1"/>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Many companies made investments according to overly optimistic growth predictions during the early 2010s and, subsequently, went bankrupt due to the significantly lower demand.</w:t>
            </w:r>
          </w:p>
          <w:p w14:paraId="4A9BDFDF" w14:textId="77777777" w:rsidR="00377338" w:rsidRPr="002A05C5" w:rsidRDefault="00377338" w:rsidP="00F9626E">
            <w:pPr>
              <w:pStyle w:val="ListParagraph"/>
              <w:numPr>
                <w:ilvl w:val="0"/>
                <w:numId w:val="1"/>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As the equipment for wood energy production requires investment, only some farms are able to invest in the needed technology and required storage space.</w:t>
            </w:r>
          </w:p>
        </w:tc>
      </w:tr>
      <w:tr w:rsidR="00377338" w:rsidRPr="002A05C5" w14:paraId="57B47FDF" w14:textId="77777777" w:rsidTr="00F9626E">
        <w:trPr>
          <w:trHeight w:val="25"/>
        </w:trPr>
        <w:tc>
          <w:tcPr>
            <w:tcW w:w="0" w:type="auto"/>
            <w:tcMar>
              <w:top w:w="100" w:type="dxa"/>
              <w:left w:w="100" w:type="dxa"/>
              <w:bottom w:w="100" w:type="dxa"/>
              <w:right w:w="100" w:type="dxa"/>
            </w:tcMar>
            <w:hideMark/>
          </w:tcPr>
          <w:p w14:paraId="64976B2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Social</w:t>
            </w:r>
          </w:p>
        </w:tc>
        <w:tc>
          <w:tcPr>
            <w:tcW w:w="0" w:type="auto"/>
            <w:tcMar>
              <w:top w:w="100" w:type="dxa"/>
              <w:left w:w="100" w:type="dxa"/>
              <w:bottom w:w="100" w:type="dxa"/>
              <w:right w:w="100" w:type="dxa"/>
            </w:tcMar>
            <w:hideMark/>
          </w:tcPr>
          <w:p w14:paraId="1FF6BCC4"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Small-scale users are self-sufficient in energy production. It requires time, effort, and investment.</w:t>
            </w:r>
          </w:p>
        </w:tc>
      </w:tr>
      <w:tr w:rsidR="00377338" w:rsidRPr="002A05C5" w14:paraId="5D23CED3" w14:textId="77777777" w:rsidTr="00F9626E">
        <w:trPr>
          <w:trHeight w:val="340"/>
        </w:trPr>
        <w:tc>
          <w:tcPr>
            <w:tcW w:w="0" w:type="auto"/>
            <w:tcMar>
              <w:top w:w="100" w:type="dxa"/>
              <w:left w:w="100" w:type="dxa"/>
              <w:bottom w:w="100" w:type="dxa"/>
              <w:right w:w="100" w:type="dxa"/>
            </w:tcMar>
            <w:hideMark/>
          </w:tcPr>
          <w:p w14:paraId="429A719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Technology</w:t>
            </w:r>
          </w:p>
        </w:tc>
        <w:tc>
          <w:tcPr>
            <w:tcW w:w="0" w:type="auto"/>
            <w:tcMar>
              <w:top w:w="100" w:type="dxa"/>
              <w:left w:w="100" w:type="dxa"/>
              <w:bottom w:w="100" w:type="dxa"/>
              <w:right w:w="100" w:type="dxa"/>
            </w:tcMar>
            <w:hideMark/>
          </w:tcPr>
          <w:p w14:paraId="3A04970E"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Due to the low demand for woodchips, the related technical knowledge is no longer used, and there is a lack of investment in technological innovation. However, there is still some development with do-it-yourself (DIY) equipment developed by individuals. Using woodchips is more of a hobby than a profession.</w:t>
            </w:r>
          </w:p>
        </w:tc>
      </w:tr>
      <w:tr w:rsidR="00377338" w:rsidRPr="002A05C5" w14:paraId="1EAC2BAA" w14:textId="77777777" w:rsidTr="00F9626E">
        <w:trPr>
          <w:trHeight w:val="25"/>
        </w:trPr>
        <w:tc>
          <w:tcPr>
            <w:tcW w:w="0" w:type="auto"/>
            <w:tcMar>
              <w:top w:w="100" w:type="dxa"/>
              <w:left w:w="100" w:type="dxa"/>
              <w:bottom w:w="100" w:type="dxa"/>
              <w:right w:w="100" w:type="dxa"/>
            </w:tcMar>
            <w:hideMark/>
          </w:tcPr>
          <w:p w14:paraId="41C24D3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Environment</w:t>
            </w:r>
          </w:p>
        </w:tc>
        <w:tc>
          <w:tcPr>
            <w:tcW w:w="0" w:type="auto"/>
            <w:tcMar>
              <w:top w:w="100" w:type="dxa"/>
              <w:left w:w="100" w:type="dxa"/>
              <w:bottom w:w="100" w:type="dxa"/>
              <w:right w:w="100" w:type="dxa"/>
            </w:tcMar>
            <w:hideMark/>
          </w:tcPr>
          <w:p w14:paraId="56192BA5"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Eco-centric values concerning forest protection rules. One reason for this is that most of the forests are owned by city residents, whose livelihood does not depend on the forests.</w:t>
            </w:r>
          </w:p>
        </w:tc>
      </w:tr>
      <w:tr w:rsidR="00377338" w:rsidRPr="002A05C5" w14:paraId="78BCB63E" w14:textId="77777777" w:rsidTr="00F9626E">
        <w:trPr>
          <w:trHeight w:val="25"/>
        </w:trPr>
        <w:tc>
          <w:tcPr>
            <w:tcW w:w="0" w:type="auto"/>
            <w:tcMar>
              <w:top w:w="100" w:type="dxa"/>
              <w:left w:w="100" w:type="dxa"/>
              <w:bottom w:w="100" w:type="dxa"/>
              <w:right w:w="100" w:type="dxa"/>
            </w:tcMar>
            <w:hideMark/>
          </w:tcPr>
          <w:p w14:paraId="4E13E09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Cultural</w:t>
            </w:r>
          </w:p>
        </w:tc>
        <w:tc>
          <w:tcPr>
            <w:tcW w:w="0" w:type="auto"/>
            <w:tcMar>
              <w:top w:w="100" w:type="dxa"/>
              <w:left w:w="100" w:type="dxa"/>
              <w:bottom w:w="100" w:type="dxa"/>
              <w:right w:w="100" w:type="dxa"/>
            </w:tcMar>
            <w:hideMark/>
          </w:tcPr>
          <w:p w14:paraId="6B9CC84A"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Use of wood energy is peripheral.</w:t>
            </w:r>
          </w:p>
        </w:tc>
      </w:tr>
    </w:tbl>
    <w:p w14:paraId="7AA84FFF"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p w14:paraId="391E51F2" w14:textId="77777777" w:rsidR="007806FD" w:rsidRPr="002A05C5" w:rsidRDefault="007806FD">
      <w:pPr>
        <w:spacing w:before="240"/>
        <w:rPr>
          <w:rFonts w:ascii="Times New Roman" w:eastAsia="Times New Roman" w:hAnsi="Times New Roman" w:cs="Times New Roman"/>
          <w:b/>
          <w:lang w:val="en-GB"/>
        </w:rPr>
      </w:pPr>
    </w:p>
    <w:p w14:paraId="5B3A8AC0"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5.2 Forest industry leftovers</w:t>
      </w:r>
    </w:p>
    <w:p w14:paraId="7A3AFB68" w14:textId="2429F582" w:rsidR="007806FD" w:rsidRPr="002A05C5" w:rsidRDefault="00BD1B5F" w:rsidP="00831CA5">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00831CA5">
        <w:rPr>
          <w:rFonts w:ascii="Times New Roman" w:eastAsia="Times New Roman" w:hAnsi="Times New Roman" w:cs="Times New Roman"/>
          <w:sz w:val="24"/>
          <w:szCs w:val="24"/>
          <w:lang w:val="en-GB"/>
        </w:rPr>
        <w:tab/>
      </w:r>
      <w:r w:rsidRPr="002A05C5">
        <w:rPr>
          <w:rFonts w:ascii="Times New Roman" w:eastAsia="Times New Roman" w:hAnsi="Times New Roman" w:cs="Times New Roman"/>
          <w:sz w:val="24"/>
          <w:szCs w:val="24"/>
          <w:lang w:val="en-GB"/>
        </w:rPr>
        <w:t>The second image is called ‘forest industry leftovers’ (Table 3). The forest industry dominates natural resource policies, and the wood from Finnish forests goes mostly to the forest industry. Thus, the large-scale use of wood as an energy source is not possible. However, small-scale use is still allowed and supported, particularly by strong regional policies that aspire to keep rural areas inhabited. This means that forests are a source of income and, accordingly, a source of energy. Overall, energy consumption is related to ideology. Wood energy is partly a culturally based ideological choice in the rural areas of Finland, where the locally based logistics and production chains are still strong. One of the interviewees discusses the logic of local economies:</w:t>
      </w:r>
    </w:p>
    <w:p w14:paraId="43CBB972"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79961D35" w14:textId="77777777"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If the use of woodchips would increase, there would also be local actors. This is what [name of a local contact person in woodchip use] talks about a lot that these actors are like farmers, forest owners, and all these people, they would all then be a part of this. [He] says that every one of them should receive some benefits, and then all would be happy. This is exactly what local economy is about. And it all will affect the economy, finances specifically. (C3)</w:t>
      </w:r>
    </w:p>
    <w:p w14:paraId="0EEB6F72" w14:textId="77777777" w:rsidR="007806FD" w:rsidRPr="002A05C5" w:rsidRDefault="00BD1B5F">
      <w:pPr>
        <w:spacing w:before="240"/>
        <w:rPr>
          <w:rFonts w:ascii="Times New Roman" w:eastAsia="Times New Roman" w:hAnsi="Times New Roman" w:cs="Times New Roman"/>
          <w:lang w:val="en-GB"/>
        </w:rPr>
      </w:pPr>
      <w:r w:rsidRPr="002A05C5">
        <w:rPr>
          <w:rFonts w:ascii="Times New Roman" w:eastAsia="Times New Roman" w:hAnsi="Times New Roman" w:cs="Times New Roman"/>
          <w:lang w:val="en-GB"/>
        </w:rPr>
        <w:t xml:space="preserve"> </w:t>
      </w:r>
    </w:p>
    <w:p w14:paraId="7749141C" w14:textId="601E0790"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xml:space="preserve">Table 3 </w:t>
      </w:r>
      <w:r w:rsidRPr="002A05C5">
        <w:rPr>
          <w:rFonts w:ascii="Times New Roman" w:eastAsia="Times New Roman" w:hAnsi="Times New Roman" w:cs="Times New Roman"/>
          <w:color w:val="000000"/>
          <w:lang w:val="en-GB"/>
        </w:rPr>
        <w:t>Futures image 2: Forest industry leftovers.</w:t>
      </w:r>
    </w:p>
    <w:p w14:paraId="4995746D"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tbl>
      <w:tblPr>
        <w:tblW w:w="0" w:type="auto"/>
        <w:tblBorders>
          <w:top w:val="single" w:sz="8" w:space="0" w:color="7F7F7F"/>
          <w:bottom w:val="single" w:sz="8" w:space="0" w:color="7F7F7F"/>
        </w:tblBorders>
        <w:tblCellMar>
          <w:top w:w="15" w:type="dxa"/>
          <w:left w:w="15" w:type="dxa"/>
          <w:bottom w:w="15" w:type="dxa"/>
          <w:right w:w="15" w:type="dxa"/>
        </w:tblCellMar>
        <w:tblLook w:val="04A0" w:firstRow="1" w:lastRow="0" w:firstColumn="1" w:lastColumn="0" w:noHBand="0" w:noVBand="1"/>
      </w:tblPr>
      <w:tblGrid>
        <w:gridCol w:w="1447"/>
        <w:gridCol w:w="7913"/>
      </w:tblGrid>
      <w:tr w:rsidR="00377338" w:rsidRPr="002A05C5" w14:paraId="3439D018" w14:textId="77777777" w:rsidTr="00F9626E">
        <w:trPr>
          <w:trHeight w:val="339"/>
        </w:trPr>
        <w:tc>
          <w:tcPr>
            <w:tcW w:w="0" w:type="auto"/>
            <w:tcMar>
              <w:top w:w="100" w:type="dxa"/>
              <w:left w:w="100" w:type="dxa"/>
              <w:bottom w:w="100" w:type="dxa"/>
              <w:right w:w="100" w:type="dxa"/>
            </w:tcMar>
            <w:hideMark/>
          </w:tcPr>
          <w:p w14:paraId="05A055F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Dynamics</w:t>
            </w:r>
          </w:p>
        </w:tc>
        <w:tc>
          <w:tcPr>
            <w:tcW w:w="0" w:type="auto"/>
            <w:tcMar>
              <w:top w:w="100" w:type="dxa"/>
              <w:left w:w="100" w:type="dxa"/>
              <w:bottom w:w="100" w:type="dxa"/>
              <w:right w:w="100" w:type="dxa"/>
            </w:tcMar>
            <w:hideMark/>
          </w:tcPr>
          <w:p w14:paraId="730F7CF6"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Due to the cascading use of biomass, woodchips are used only by small-scale operators in rural areas. Wood energy is considered renewable.</w:t>
            </w:r>
          </w:p>
        </w:tc>
      </w:tr>
      <w:tr w:rsidR="00377338" w:rsidRPr="002A05C5" w14:paraId="020AC068" w14:textId="77777777" w:rsidTr="00F9626E">
        <w:trPr>
          <w:trHeight w:val="56"/>
        </w:trPr>
        <w:tc>
          <w:tcPr>
            <w:tcW w:w="0" w:type="auto"/>
            <w:gridSpan w:val="2"/>
            <w:tcMar>
              <w:top w:w="100" w:type="dxa"/>
              <w:left w:w="100" w:type="dxa"/>
              <w:bottom w:w="100" w:type="dxa"/>
              <w:right w:w="100" w:type="dxa"/>
            </w:tcMar>
            <w:hideMark/>
          </w:tcPr>
          <w:p w14:paraId="28F103C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PESTEC descriptions</w:t>
            </w:r>
          </w:p>
          <w:p w14:paraId="4129F78D"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tc>
      </w:tr>
      <w:tr w:rsidR="00377338" w:rsidRPr="002A05C5" w14:paraId="7A79F30D" w14:textId="77777777" w:rsidTr="00F9626E">
        <w:trPr>
          <w:trHeight w:val="594"/>
        </w:trPr>
        <w:tc>
          <w:tcPr>
            <w:tcW w:w="0" w:type="auto"/>
            <w:tcMar>
              <w:top w:w="100" w:type="dxa"/>
              <w:left w:w="100" w:type="dxa"/>
              <w:bottom w:w="100" w:type="dxa"/>
              <w:right w:w="100" w:type="dxa"/>
            </w:tcMar>
            <w:hideMark/>
          </w:tcPr>
          <w:p w14:paraId="718403A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Political</w:t>
            </w:r>
          </w:p>
        </w:tc>
        <w:tc>
          <w:tcPr>
            <w:tcW w:w="0" w:type="auto"/>
            <w:tcMar>
              <w:top w:w="100" w:type="dxa"/>
              <w:left w:w="100" w:type="dxa"/>
              <w:bottom w:w="100" w:type="dxa"/>
              <w:right w:w="100" w:type="dxa"/>
            </w:tcMar>
            <w:hideMark/>
          </w:tcPr>
          <w:p w14:paraId="708C6459"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Regional policy supports keeping rural areas inhabited.</w:t>
            </w:r>
          </w:p>
          <w:p w14:paraId="54F29CE5"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Harvesting trees for energy is directed more toward the backlog harvesting of young forests.</w:t>
            </w:r>
          </w:p>
        </w:tc>
      </w:tr>
      <w:tr w:rsidR="00377338" w:rsidRPr="002A05C5" w14:paraId="2EE7A66C" w14:textId="77777777" w:rsidTr="00F9626E">
        <w:trPr>
          <w:trHeight w:val="2579"/>
        </w:trPr>
        <w:tc>
          <w:tcPr>
            <w:tcW w:w="0" w:type="auto"/>
            <w:tcMar>
              <w:top w:w="100" w:type="dxa"/>
              <w:left w:w="100" w:type="dxa"/>
              <w:bottom w:w="100" w:type="dxa"/>
              <w:right w:w="100" w:type="dxa"/>
            </w:tcMar>
            <w:hideMark/>
          </w:tcPr>
          <w:p w14:paraId="336E2F36"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Economic</w:t>
            </w:r>
          </w:p>
        </w:tc>
        <w:tc>
          <w:tcPr>
            <w:tcW w:w="0" w:type="auto"/>
            <w:tcMar>
              <w:top w:w="100" w:type="dxa"/>
              <w:left w:w="100" w:type="dxa"/>
              <w:bottom w:w="100" w:type="dxa"/>
              <w:right w:w="100" w:type="dxa"/>
            </w:tcMar>
            <w:hideMark/>
          </w:tcPr>
          <w:p w14:paraId="2515FD44"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Fibrewood is considered too valuable to be burned. The energy use of wood that is valid for the forest industry does not gain any financial support. However, in some regions, less wood is needed for industry, and the precommercial backlog harvesting would go to waste. In addition, small-scale users with their own forests are not dependent on the availability of wood.</w:t>
            </w:r>
          </w:p>
          <w:p w14:paraId="57A1DA97"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Heat entrepreneurship is flourishing. It is good business for the local and national economy.</w:t>
            </w:r>
          </w:p>
          <w:p w14:paraId="774BB83B"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Small-scale operators can sell their surplus electricity to the grid, which makes wood energy more profitable. There are no tariffs on the transmission of electricity.</w:t>
            </w:r>
          </w:p>
        </w:tc>
      </w:tr>
      <w:tr w:rsidR="00377338" w:rsidRPr="002A05C5" w14:paraId="139978D9" w14:textId="77777777" w:rsidTr="00F9626E">
        <w:trPr>
          <w:trHeight w:val="423"/>
        </w:trPr>
        <w:tc>
          <w:tcPr>
            <w:tcW w:w="0" w:type="auto"/>
            <w:tcMar>
              <w:top w:w="100" w:type="dxa"/>
              <w:left w:w="100" w:type="dxa"/>
              <w:bottom w:w="100" w:type="dxa"/>
              <w:right w:w="100" w:type="dxa"/>
            </w:tcMar>
            <w:hideMark/>
          </w:tcPr>
          <w:p w14:paraId="07E841CC"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Social</w:t>
            </w:r>
          </w:p>
        </w:tc>
        <w:tc>
          <w:tcPr>
            <w:tcW w:w="0" w:type="auto"/>
            <w:tcMar>
              <w:top w:w="100" w:type="dxa"/>
              <w:left w:w="100" w:type="dxa"/>
              <w:bottom w:w="100" w:type="dxa"/>
              <w:right w:w="100" w:type="dxa"/>
            </w:tcMar>
            <w:hideMark/>
          </w:tcPr>
          <w:p w14:paraId="7430EA4D"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Wood energy is connected to pro-sumerism, and there is a prime for energy self-sufficiency. Locality, cooperatives, green values, and communality prevail.</w:t>
            </w:r>
          </w:p>
        </w:tc>
      </w:tr>
      <w:tr w:rsidR="00377338" w:rsidRPr="002A05C5" w14:paraId="0C0DA88C" w14:textId="77777777" w:rsidTr="00F9626E">
        <w:trPr>
          <w:trHeight w:val="1585"/>
        </w:trPr>
        <w:tc>
          <w:tcPr>
            <w:tcW w:w="0" w:type="auto"/>
            <w:tcMar>
              <w:top w:w="100" w:type="dxa"/>
              <w:left w:w="100" w:type="dxa"/>
              <w:bottom w:w="100" w:type="dxa"/>
              <w:right w:w="100" w:type="dxa"/>
            </w:tcMar>
            <w:hideMark/>
          </w:tcPr>
          <w:p w14:paraId="01BDCD77"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Technology</w:t>
            </w:r>
          </w:p>
        </w:tc>
        <w:tc>
          <w:tcPr>
            <w:tcW w:w="0" w:type="auto"/>
            <w:tcMar>
              <w:top w:w="100" w:type="dxa"/>
              <w:left w:w="100" w:type="dxa"/>
              <w:bottom w:w="100" w:type="dxa"/>
              <w:right w:w="100" w:type="dxa"/>
            </w:tcMar>
            <w:hideMark/>
          </w:tcPr>
          <w:p w14:paraId="697FFD49"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Technology development enables combined heat and power (CHP) in small-scale units.</w:t>
            </w:r>
          </w:p>
          <w:p w14:paraId="6E24B60E"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 gasifier that produces carbon monoxide from wood can produce both electricity and heat for a large farm (or about ten detached houses).</w:t>
            </w:r>
          </w:p>
          <w:p w14:paraId="11693472" w14:textId="77777777" w:rsidR="00377338" w:rsidRPr="002A05C5" w:rsidRDefault="00377338" w:rsidP="00F9626E">
            <w:pPr>
              <w:pStyle w:val="ListParagraph"/>
              <w:numPr>
                <w:ilvl w:val="0"/>
                <w:numId w:val="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Technology is still under development. However, it is adequate to enable smaller players. For example, smart equipment and monitoring technology can already increase efficiency.</w:t>
            </w:r>
          </w:p>
        </w:tc>
      </w:tr>
      <w:tr w:rsidR="00377338" w:rsidRPr="002A05C5" w14:paraId="661D7C70" w14:textId="77777777" w:rsidTr="00F9626E">
        <w:trPr>
          <w:trHeight w:val="309"/>
        </w:trPr>
        <w:tc>
          <w:tcPr>
            <w:tcW w:w="0" w:type="auto"/>
            <w:tcMar>
              <w:top w:w="100" w:type="dxa"/>
              <w:left w:w="100" w:type="dxa"/>
              <w:bottom w:w="100" w:type="dxa"/>
              <w:right w:w="100" w:type="dxa"/>
            </w:tcMar>
            <w:hideMark/>
          </w:tcPr>
          <w:p w14:paraId="0307C00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Environment</w:t>
            </w:r>
          </w:p>
        </w:tc>
        <w:tc>
          <w:tcPr>
            <w:tcW w:w="0" w:type="auto"/>
            <w:tcMar>
              <w:top w:w="100" w:type="dxa"/>
              <w:left w:w="100" w:type="dxa"/>
              <w:bottom w:w="100" w:type="dxa"/>
              <w:right w:w="100" w:type="dxa"/>
            </w:tcMar>
            <w:hideMark/>
          </w:tcPr>
          <w:p w14:paraId="5B5DA23B" w14:textId="77777777" w:rsidR="00377338" w:rsidRPr="002A05C5" w:rsidRDefault="00377338" w:rsidP="00F9626E">
            <w:pPr>
              <w:pStyle w:val="ListParagraph"/>
              <w:numPr>
                <w:ilvl w:val="0"/>
                <w:numId w:val="3"/>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Many forests are in urgent need of their first thinning.</w:t>
            </w:r>
          </w:p>
          <w:p w14:paraId="3225904C" w14:textId="77777777" w:rsidR="00377338" w:rsidRPr="002A05C5" w:rsidRDefault="00377338" w:rsidP="00F9626E">
            <w:pPr>
              <w:pStyle w:val="ListParagraph"/>
              <w:numPr>
                <w:ilvl w:val="0"/>
                <w:numId w:val="3"/>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Willow is grown particularly in northern Finland, where it does not take space from agriculture.</w:t>
            </w:r>
          </w:p>
        </w:tc>
      </w:tr>
      <w:tr w:rsidR="00377338" w:rsidRPr="002A05C5" w14:paraId="3F1508B5" w14:textId="77777777" w:rsidTr="00F9626E">
        <w:trPr>
          <w:trHeight w:val="891"/>
        </w:trPr>
        <w:tc>
          <w:tcPr>
            <w:tcW w:w="0" w:type="auto"/>
            <w:tcMar>
              <w:top w:w="100" w:type="dxa"/>
              <w:left w:w="100" w:type="dxa"/>
              <w:bottom w:w="100" w:type="dxa"/>
              <w:right w:w="100" w:type="dxa"/>
            </w:tcMar>
            <w:hideMark/>
          </w:tcPr>
          <w:p w14:paraId="143BC3CF"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Cultural</w:t>
            </w:r>
          </w:p>
        </w:tc>
        <w:tc>
          <w:tcPr>
            <w:tcW w:w="0" w:type="auto"/>
            <w:tcMar>
              <w:top w:w="100" w:type="dxa"/>
              <w:left w:w="100" w:type="dxa"/>
              <w:bottom w:w="100" w:type="dxa"/>
              <w:right w:w="100" w:type="dxa"/>
            </w:tcMar>
            <w:hideMark/>
          </w:tcPr>
          <w:p w14:paraId="53D39DFC" w14:textId="77777777" w:rsidR="00377338" w:rsidRPr="002A05C5" w:rsidRDefault="00377338" w:rsidP="00F9626E">
            <w:pPr>
              <w:pStyle w:val="ListParagraph"/>
              <w:numPr>
                <w:ilvl w:val="0"/>
                <w:numId w:val="3"/>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The liveable countryside is valued.</w:t>
            </w:r>
          </w:p>
          <w:p w14:paraId="7860B8D1" w14:textId="77777777" w:rsidR="00377338" w:rsidRPr="002A05C5" w:rsidRDefault="00377338" w:rsidP="00F9626E">
            <w:pPr>
              <w:pStyle w:val="ListParagraph"/>
              <w:numPr>
                <w:ilvl w:val="0"/>
                <w:numId w:val="3"/>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Wood energy is the backbone of rural Finland.</w:t>
            </w:r>
          </w:p>
          <w:p w14:paraId="319F15D3" w14:textId="77777777" w:rsidR="00377338" w:rsidRPr="002A05C5" w:rsidRDefault="00377338" w:rsidP="00F9626E">
            <w:pPr>
              <w:pStyle w:val="ListParagraph"/>
              <w:numPr>
                <w:ilvl w:val="0"/>
                <w:numId w:val="3"/>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Citizens in rural and urban Finland have divided opinions related to energy sources and consumption.</w:t>
            </w:r>
          </w:p>
        </w:tc>
      </w:tr>
    </w:tbl>
    <w:p w14:paraId="24FBE56B"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p w14:paraId="1E0EFA3B"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5.3 Carbon sink maintenance</w:t>
      </w:r>
    </w:p>
    <w:p w14:paraId="55A4A7DB"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Managing and harvesting forests to maintain their ability to store carbon is at the core of the third image, ‘carbon sink maintenance’ (Table 4). Finland is prepared for stricter regulations with novel and versatile technologies for more sustainable wood energy production. The financial support for sturdy wood was cut dramatically, and regulation made the use of wood energy more difficult for smaller players. The use of woodchips is still competitive for large players. Despite regulations, woodchips are still used as an energy source. They are mainly gathered through the backlog harvesting of young forests and used by large-scale operators, which ensures that Finland meets the requirements of international regulations. The idea of harvesting as an important part of the well-being of forests was present in the interviews:</w:t>
      </w:r>
    </w:p>
    <w:p w14:paraId="28C85760" w14:textId="77777777" w:rsidR="007806FD" w:rsidRPr="002A05C5" w:rsidRDefault="00BD1B5F">
      <w:pPr>
        <w:spacing w:before="240"/>
        <w:rPr>
          <w:rFonts w:ascii="Times New Roman" w:eastAsia="Times New Roman" w:hAnsi="Times New Roman" w:cs="Times New Roman"/>
          <w:i/>
          <w:sz w:val="24"/>
          <w:szCs w:val="24"/>
          <w:lang w:val="en-GB"/>
        </w:rPr>
      </w:pPr>
      <w:r w:rsidRPr="002A05C5">
        <w:rPr>
          <w:rFonts w:ascii="Times New Roman" w:eastAsia="Times New Roman" w:hAnsi="Times New Roman" w:cs="Times New Roman"/>
          <w:i/>
          <w:sz w:val="24"/>
          <w:szCs w:val="24"/>
          <w:lang w:val="en-GB"/>
        </w:rPr>
        <w:t xml:space="preserve"> </w:t>
      </w:r>
    </w:p>
    <w:p w14:paraId="28CCB70C" w14:textId="77777777"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forests need quite a lot of management, and to increase the growth in the forest, the young forests are harvested. (C2)</w:t>
      </w:r>
    </w:p>
    <w:p w14:paraId="5097118A" w14:textId="5A6CD5D6" w:rsidR="000D7494" w:rsidRDefault="00BD1B5F">
      <w:pPr>
        <w:spacing w:before="240"/>
        <w:rPr>
          <w:rFonts w:ascii="Times New Roman" w:eastAsia="Times New Roman" w:hAnsi="Times New Roman" w:cs="Times New Roman"/>
          <w:lang w:val="en-GB"/>
        </w:rPr>
      </w:pPr>
      <w:r w:rsidRPr="002A05C5">
        <w:rPr>
          <w:rFonts w:ascii="Times New Roman" w:eastAsia="Times New Roman" w:hAnsi="Times New Roman" w:cs="Times New Roman"/>
          <w:lang w:val="en-GB"/>
        </w:rPr>
        <w:t xml:space="preserve"> </w:t>
      </w:r>
    </w:p>
    <w:p w14:paraId="1C545101" w14:textId="77777777" w:rsidR="000D7494" w:rsidRDefault="000D7494">
      <w:pPr>
        <w:rPr>
          <w:rFonts w:ascii="Times New Roman" w:eastAsia="Times New Roman" w:hAnsi="Times New Roman" w:cs="Times New Roman"/>
          <w:lang w:val="en-GB"/>
        </w:rPr>
      </w:pPr>
      <w:r>
        <w:rPr>
          <w:rFonts w:ascii="Times New Roman" w:eastAsia="Times New Roman" w:hAnsi="Times New Roman" w:cs="Times New Roman"/>
          <w:lang w:val="en-GB"/>
        </w:rPr>
        <w:br w:type="page"/>
      </w:r>
    </w:p>
    <w:p w14:paraId="1E0F053A" w14:textId="4C2DDEB0"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xml:space="preserve">Table 4 </w:t>
      </w:r>
      <w:r w:rsidRPr="002A05C5">
        <w:rPr>
          <w:rFonts w:ascii="Times New Roman" w:eastAsia="Times New Roman" w:hAnsi="Times New Roman" w:cs="Times New Roman"/>
          <w:color w:val="000000"/>
          <w:lang w:val="en-GB"/>
        </w:rPr>
        <w:t>Futures image 3: Carbon sink maintenance.</w:t>
      </w:r>
    </w:p>
    <w:p w14:paraId="41483E9D"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tbl>
      <w:tblPr>
        <w:tblW w:w="0" w:type="auto"/>
        <w:tblBorders>
          <w:top w:val="single" w:sz="8" w:space="0" w:color="7F7F7F"/>
          <w:bottom w:val="single" w:sz="8" w:space="0" w:color="7F7F7F"/>
        </w:tblBorders>
        <w:tblCellMar>
          <w:top w:w="15" w:type="dxa"/>
          <w:left w:w="15" w:type="dxa"/>
          <w:bottom w:w="15" w:type="dxa"/>
          <w:right w:w="15" w:type="dxa"/>
        </w:tblCellMar>
        <w:tblLook w:val="04A0" w:firstRow="1" w:lastRow="0" w:firstColumn="1" w:lastColumn="0" w:noHBand="0" w:noVBand="1"/>
      </w:tblPr>
      <w:tblGrid>
        <w:gridCol w:w="1447"/>
        <w:gridCol w:w="7913"/>
      </w:tblGrid>
      <w:tr w:rsidR="00377338" w:rsidRPr="002A05C5" w14:paraId="47E18FDE" w14:textId="77777777" w:rsidTr="00F9626E">
        <w:trPr>
          <w:trHeight w:val="483"/>
        </w:trPr>
        <w:tc>
          <w:tcPr>
            <w:tcW w:w="0" w:type="auto"/>
            <w:tcMar>
              <w:top w:w="100" w:type="dxa"/>
              <w:left w:w="100" w:type="dxa"/>
              <w:bottom w:w="100" w:type="dxa"/>
              <w:right w:w="100" w:type="dxa"/>
            </w:tcMar>
            <w:hideMark/>
          </w:tcPr>
          <w:p w14:paraId="0B96DDE3"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Dynamics</w:t>
            </w:r>
          </w:p>
        </w:tc>
        <w:tc>
          <w:tcPr>
            <w:tcW w:w="0" w:type="auto"/>
            <w:tcMar>
              <w:top w:w="100" w:type="dxa"/>
              <w:left w:w="100" w:type="dxa"/>
              <w:bottom w:w="100" w:type="dxa"/>
              <w:right w:w="100" w:type="dxa"/>
            </w:tcMar>
            <w:hideMark/>
          </w:tcPr>
          <w:p w14:paraId="35CB009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Wood is only used as an energy source by large-scale operators. Forests are protected as a carbon sink and to ensure their biodiversity.</w:t>
            </w:r>
          </w:p>
        </w:tc>
      </w:tr>
      <w:tr w:rsidR="00377338" w:rsidRPr="002A05C5" w14:paraId="7E05F74A" w14:textId="77777777" w:rsidTr="00F9626E">
        <w:trPr>
          <w:trHeight w:val="186"/>
        </w:trPr>
        <w:tc>
          <w:tcPr>
            <w:tcW w:w="0" w:type="auto"/>
            <w:gridSpan w:val="2"/>
            <w:tcMar>
              <w:top w:w="100" w:type="dxa"/>
              <w:left w:w="100" w:type="dxa"/>
              <w:bottom w:w="100" w:type="dxa"/>
              <w:right w:w="100" w:type="dxa"/>
            </w:tcMar>
            <w:hideMark/>
          </w:tcPr>
          <w:p w14:paraId="335925A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PESTEC descriptions</w:t>
            </w:r>
          </w:p>
        </w:tc>
      </w:tr>
      <w:tr w:rsidR="00377338" w:rsidRPr="002A05C5" w14:paraId="5FA01357" w14:textId="77777777" w:rsidTr="00F9626E">
        <w:trPr>
          <w:trHeight w:val="748"/>
        </w:trPr>
        <w:tc>
          <w:tcPr>
            <w:tcW w:w="0" w:type="auto"/>
            <w:tcMar>
              <w:top w:w="100" w:type="dxa"/>
              <w:left w:w="100" w:type="dxa"/>
              <w:bottom w:w="100" w:type="dxa"/>
              <w:right w:w="100" w:type="dxa"/>
            </w:tcMar>
            <w:hideMark/>
          </w:tcPr>
          <w:p w14:paraId="45ECD59B"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Political</w:t>
            </w:r>
          </w:p>
        </w:tc>
        <w:tc>
          <w:tcPr>
            <w:tcW w:w="0" w:type="auto"/>
            <w:tcMar>
              <w:top w:w="100" w:type="dxa"/>
              <w:left w:w="100" w:type="dxa"/>
              <w:bottom w:w="100" w:type="dxa"/>
              <w:right w:w="100" w:type="dxa"/>
            </w:tcMar>
            <w:hideMark/>
          </w:tcPr>
          <w:p w14:paraId="29CB81BD" w14:textId="77777777" w:rsidR="00377338" w:rsidRPr="002A05C5" w:rsidRDefault="00377338" w:rsidP="00F9626E">
            <w:pPr>
              <w:pStyle w:val="ListParagraph"/>
              <w:numPr>
                <w:ilvl w:val="0"/>
                <w:numId w:val="4"/>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EU regulation protects the Finnish forests as a carbon sink.</w:t>
            </w:r>
          </w:p>
          <w:p w14:paraId="7F3CEEBF" w14:textId="77777777" w:rsidR="00377338" w:rsidRPr="002A05C5" w:rsidRDefault="00377338" w:rsidP="00F9626E">
            <w:pPr>
              <w:pStyle w:val="ListParagraph"/>
              <w:numPr>
                <w:ilvl w:val="0"/>
                <w:numId w:val="4"/>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However, precisely timed harvesting is considered to be the best way to maintain forest health.</w:t>
            </w:r>
          </w:p>
        </w:tc>
      </w:tr>
      <w:tr w:rsidR="00377338" w:rsidRPr="002A05C5" w14:paraId="02B1D5FA" w14:textId="77777777" w:rsidTr="00F9626E">
        <w:trPr>
          <w:trHeight w:val="311"/>
        </w:trPr>
        <w:tc>
          <w:tcPr>
            <w:tcW w:w="0" w:type="auto"/>
            <w:tcMar>
              <w:top w:w="100" w:type="dxa"/>
              <w:left w:w="100" w:type="dxa"/>
              <w:bottom w:w="100" w:type="dxa"/>
              <w:right w:w="100" w:type="dxa"/>
            </w:tcMar>
            <w:hideMark/>
          </w:tcPr>
          <w:p w14:paraId="1B12D77C"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Economic</w:t>
            </w:r>
          </w:p>
        </w:tc>
        <w:tc>
          <w:tcPr>
            <w:tcW w:w="0" w:type="auto"/>
            <w:tcMar>
              <w:top w:w="100" w:type="dxa"/>
              <w:left w:w="100" w:type="dxa"/>
              <w:bottom w:w="100" w:type="dxa"/>
              <w:right w:w="100" w:type="dxa"/>
            </w:tcMar>
            <w:hideMark/>
          </w:tcPr>
          <w:p w14:paraId="3CE17295" w14:textId="77777777" w:rsidR="00377338" w:rsidRPr="002A05C5" w:rsidRDefault="00377338" w:rsidP="00F9626E">
            <w:pPr>
              <w:pStyle w:val="ListParagraph"/>
              <w:numPr>
                <w:ilvl w:val="0"/>
                <w:numId w:val="5"/>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Fuels other than wood are inexpensive. The price of electricity is low.</w:t>
            </w:r>
          </w:p>
          <w:p w14:paraId="2FF5A35C" w14:textId="77777777" w:rsidR="00377338" w:rsidRPr="002A05C5" w:rsidRDefault="00377338" w:rsidP="00F9626E">
            <w:pPr>
              <w:pStyle w:val="ListParagraph"/>
              <w:numPr>
                <w:ilvl w:val="0"/>
                <w:numId w:val="5"/>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Due to the lack of support for investments in smaller companies, only large companies have survived the economic challenges. They have their own networks of suppliers for machinery, harvesting, and chipping.</w:t>
            </w:r>
          </w:p>
          <w:p w14:paraId="7D88C31B" w14:textId="77777777" w:rsidR="00377338" w:rsidRPr="002A05C5" w:rsidRDefault="00377338" w:rsidP="00F9626E">
            <w:pPr>
              <w:pStyle w:val="ListParagraph"/>
              <w:numPr>
                <w:ilvl w:val="0"/>
                <w:numId w:val="5"/>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As a forerunner in small-scale plant technology, Finland exports novel solutions to other countries, including Sweden, the UK, Canada, and Austria.</w:t>
            </w:r>
          </w:p>
        </w:tc>
      </w:tr>
      <w:tr w:rsidR="00377338" w:rsidRPr="002A05C5" w14:paraId="4CE20058" w14:textId="77777777" w:rsidTr="00F9626E">
        <w:trPr>
          <w:trHeight w:val="608"/>
        </w:trPr>
        <w:tc>
          <w:tcPr>
            <w:tcW w:w="0" w:type="auto"/>
            <w:tcMar>
              <w:top w:w="100" w:type="dxa"/>
              <w:left w:w="100" w:type="dxa"/>
              <w:bottom w:w="100" w:type="dxa"/>
              <w:right w:w="100" w:type="dxa"/>
            </w:tcMar>
            <w:hideMark/>
          </w:tcPr>
          <w:p w14:paraId="7B6A9256"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Social</w:t>
            </w:r>
          </w:p>
        </w:tc>
        <w:tc>
          <w:tcPr>
            <w:tcW w:w="0" w:type="auto"/>
            <w:tcMar>
              <w:top w:w="100" w:type="dxa"/>
              <w:left w:w="100" w:type="dxa"/>
              <w:bottom w:w="100" w:type="dxa"/>
              <w:right w:w="100" w:type="dxa"/>
            </w:tcMar>
            <w:hideMark/>
          </w:tcPr>
          <w:p w14:paraId="427CE821" w14:textId="77777777" w:rsidR="00377338" w:rsidRPr="002A05C5" w:rsidRDefault="00377338" w:rsidP="00F9626E">
            <w:pPr>
              <w:pStyle w:val="ListParagraph"/>
              <w:numPr>
                <w:ilvl w:val="0"/>
                <w:numId w:val="6"/>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Wood energy is critical to the security of Finland’s energy supply and national energy self-sufficiency. Globally, wood energy is considered safe and has gained support after nuclear incidents and other disasters.</w:t>
            </w:r>
          </w:p>
        </w:tc>
      </w:tr>
      <w:tr w:rsidR="00377338" w:rsidRPr="002A05C5" w14:paraId="64060ED6" w14:textId="77777777" w:rsidTr="00F9626E">
        <w:trPr>
          <w:trHeight w:val="1911"/>
        </w:trPr>
        <w:tc>
          <w:tcPr>
            <w:tcW w:w="0" w:type="auto"/>
            <w:tcMar>
              <w:top w:w="100" w:type="dxa"/>
              <w:left w:w="100" w:type="dxa"/>
              <w:bottom w:w="100" w:type="dxa"/>
              <w:right w:w="100" w:type="dxa"/>
            </w:tcMar>
            <w:hideMark/>
          </w:tcPr>
          <w:p w14:paraId="15341F5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Technology</w:t>
            </w:r>
          </w:p>
        </w:tc>
        <w:tc>
          <w:tcPr>
            <w:tcW w:w="0" w:type="auto"/>
            <w:tcMar>
              <w:top w:w="100" w:type="dxa"/>
              <w:left w:w="100" w:type="dxa"/>
              <w:bottom w:w="100" w:type="dxa"/>
              <w:right w:w="100" w:type="dxa"/>
            </w:tcMar>
            <w:hideMark/>
          </w:tcPr>
          <w:p w14:paraId="0BA216C2" w14:textId="77777777" w:rsidR="00377338" w:rsidRPr="002A05C5" w:rsidRDefault="00377338" w:rsidP="00F9626E">
            <w:pPr>
              <w:pStyle w:val="ListParagraph"/>
              <w:numPr>
                <w:ilvl w:val="0"/>
                <w:numId w:val="6"/>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Technological development has focused on the perspective of large-scale users, for example, how to transport woodchips from forests to power plants most efficiently and burn them in the most carbon-neutral manner.</w:t>
            </w:r>
          </w:p>
          <w:p w14:paraId="644FCA05" w14:textId="77777777" w:rsidR="00377338" w:rsidRPr="002A05C5" w:rsidRDefault="00377338" w:rsidP="00F9626E">
            <w:pPr>
              <w:pStyle w:val="ListParagraph"/>
              <w:numPr>
                <w:ilvl w:val="0"/>
                <w:numId w:val="6"/>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Several novel technologies enable more carbon neutral wood energy. Burning fresh winter wood has revolutionised the industry and increased energy efficiency by 10% to 30% compared to current woodchip burning. Also, the wood burns in a non-polluting way. In addition, the heat captured from exhaust gas decreases the amount of wood needed.</w:t>
            </w:r>
          </w:p>
        </w:tc>
      </w:tr>
      <w:tr w:rsidR="00377338" w:rsidRPr="002A05C5" w14:paraId="5B4EB951" w14:textId="77777777" w:rsidTr="00F9626E">
        <w:trPr>
          <w:trHeight w:val="936"/>
        </w:trPr>
        <w:tc>
          <w:tcPr>
            <w:tcW w:w="0" w:type="auto"/>
            <w:tcMar>
              <w:top w:w="100" w:type="dxa"/>
              <w:left w:w="100" w:type="dxa"/>
              <w:bottom w:w="100" w:type="dxa"/>
              <w:right w:w="100" w:type="dxa"/>
            </w:tcMar>
            <w:hideMark/>
          </w:tcPr>
          <w:p w14:paraId="57740C9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Environment</w:t>
            </w:r>
          </w:p>
        </w:tc>
        <w:tc>
          <w:tcPr>
            <w:tcW w:w="0" w:type="auto"/>
            <w:tcMar>
              <w:top w:w="100" w:type="dxa"/>
              <w:left w:w="100" w:type="dxa"/>
              <w:bottom w:w="100" w:type="dxa"/>
              <w:right w:w="100" w:type="dxa"/>
            </w:tcMar>
            <w:hideMark/>
          </w:tcPr>
          <w:p w14:paraId="1A140FCB" w14:textId="77777777" w:rsidR="00377338" w:rsidRPr="002A05C5" w:rsidRDefault="00377338" w:rsidP="00F9626E">
            <w:pPr>
              <w:pStyle w:val="ListParagraph"/>
              <w:numPr>
                <w:ilvl w:val="0"/>
                <w:numId w:val="7"/>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Sustainability is the key word in woodchip use. When estimating sustainability, the calculations cover the whole production chain, from tree growth to processing and the use of wood.</w:t>
            </w:r>
          </w:p>
          <w:p w14:paraId="0EAE99CB" w14:textId="77777777" w:rsidR="00377338" w:rsidRPr="002A05C5" w:rsidRDefault="00377338" w:rsidP="00F9626E">
            <w:pPr>
              <w:pStyle w:val="ListParagraph"/>
              <w:numPr>
                <w:ilvl w:val="0"/>
                <w:numId w:val="7"/>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Winters are milder, and less wood is needed.</w:t>
            </w:r>
          </w:p>
        </w:tc>
      </w:tr>
      <w:tr w:rsidR="00377338" w:rsidRPr="002A05C5" w14:paraId="14747546" w14:textId="77777777" w:rsidTr="00F9626E">
        <w:trPr>
          <w:trHeight w:val="572"/>
        </w:trPr>
        <w:tc>
          <w:tcPr>
            <w:tcW w:w="0" w:type="auto"/>
            <w:tcMar>
              <w:top w:w="100" w:type="dxa"/>
              <w:left w:w="100" w:type="dxa"/>
              <w:bottom w:w="100" w:type="dxa"/>
              <w:right w:w="100" w:type="dxa"/>
            </w:tcMar>
            <w:hideMark/>
          </w:tcPr>
          <w:p w14:paraId="7628379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Cultural</w:t>
            </w:r>
          </w:p>
        </w:tc>
        <w:tc>
          <w:tcPr>
            <w:tcW w:w="0" w:type="auto"/>
            <w:tcMar>
              <w:top w:w="100" w:type="dxa"/>
              <w:left w:w="100" w:type="dxa"/>
              <w:bottom w:w="100" w:type="dxa"/>
              <w:right w:w="100" w:type="dxa"/>
            </w:tcMar>
            <w:hideMark/>
          </w:tcPr>
          <w:p w14:paraId="7FE94330" w14:textId="77777777" w:rsidR="00377338" w:rsidRPr="002A05C5" w:rsidRDefault="00377338" w:rsidP="00F9626E">
            <w:pPr>
              <w:pStyle w:val="ListParagraph"/>
              <w:numPr>
                <w:ilvl w:val="0"/>
                <w:numId w:val="8"/>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Large-scale operators control the forests, which means an economic and environmental focus on the use of the forests.</w:t>
            </w:r>
          </w:p>
          <w:p w14:paraId="32C39694" w14:textId="77777777" w:rsidR="00377338" w:rsidRPr="002A05C5" w:rsidRDefault="00377338" w:rsidP="00F9626E">
            <w:pPr>
              <w:pStyle w:val="ListParagraph"/>
              <w:numPr>
                <w:ilvl w:val="0"/>
                <w:numId w:val="8"/>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Citizens in rural and urban Finland have divided opinions related to energy sources and consumption.</w:t>
            </w:r>
          </w:p>
        </w:tc>
      </w:tr>
    </w:tbl>
    <w:p w14:paraId="52C3B92C"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p w14:paraId="0ACC3F39"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5.4 Renewable energy policy</w:t>
      </w:r>
    </w:p>
    <w:p w14:paraId="5DD765A4" w14:textId="38C42FCB" w:rsidR="007806FD" w:rsidRPr="002A05C5" w:rsidRDefault="00BD1B5F" w:rsidP="00D05A60">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r w:rsidR="00D05A60">
        <w:rPr>
          <w:rFonts w:ascii="Times New Roman" w:eastAsia="Times New Roman" w:hAnsi="Times New Roman" w:cs="Times New Roman"/>
          <w:sz w:val="24"/>
          <w:szCs w:val="24"/>
          <w:lang w:val="en-GB"/>
        </w:rPr>
        <w:tab/>
      </w:r>
      <w:r w:rsidRPr="002A05C5">
        <w:rPr>
          <w:rFonts w:ascii="Times New Roman" w:eastAsia="Times New Roman" w:hAnsi="Times New Roman" w:cs="Times New Roman"/>
          <w:sz w:val="24"/>
          <w:szCs w:val="24"/>
          <w:lang w:val="en-GB"/>
        </w:rPr>
        <w:t xml:space="preserve">The fourth image is called ‘renewable energy policy’ (Table 5). Importantly, EU and international climate negotiations consider wood as a carbon-neutral energy source. Wood is the main renewable energy source in Finland, and the use of wood energy has increased. Woodchips are used everywhere in the country and by all sizes of operators, but most of the chips are used by large-scale operators. In an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article, a forestry expert assures that there will be plenty of wood available for everyone in the future:</w:t>
      </w:r>
    </w:p>
    <w:p w14:paraId="2B633FD6" w14:textId="77777777"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1994C6DE" w14:textId="77777777"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All our recent studies have shown that our forest reserves are growing strong, and there is enough wood for commercial timber and energy. A greater concern is that there is not enough thinning done, and more and more energy[-producing] wood stays in the forests.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14.1.2015)</w:t>
      </w:r>
    </w:p>
    <w:p w14:paraId="7B9DE91E" w14:textId="77777777" w:rsidR="007806FD" w:rsidRPr="002A05C5" w:rsidRDefault="00BD1B5F">
      <w:pPr>
        <w:spacing w:before="240"/>
        <w:rPr>
          <w:rFonts w:ascii="Times New Roman" w:eastAsia="Times New Roman" w:hAnsi="Times New Roman" w:cs="Times New Roman"/>
          <w:b/>
          <w:lang w:val="en-GB"/>
        </w:rPr>
      </w:pPr>
      <w:r w:rsidRPr="002A05C5">
        <w:rPr>
          <w:rFonts w:ascii="Times New Roman" w:eastAsia="Times New Roman" w:hAnsi="Times New Roman" w:cs="Times New Roman"/>
          <w:b/>
          <w:lang w:val="en-GB"/>
        </w:rPr>
        <w:t xml:space="preserve"> </w:t>
      </w:r>
    </w:p>
    <w:p w14:paraId="20EE7BA2" w14:textId="17107D7A"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xml:space="preserve">Table 5 </w:t>
      </w:r>
      <w:r w:rsidRPr="002A05C5">
        <w:rPr>
          <w:rFonts w:ascii="Times New Roman" w:eastAsia="Times New Roman" w:hAnsi="Times New Roman" w:cs="Times New Roman"/>
          <w:color w:val="000000"/>
          <w:lang w:val="en-GB"/>
        </w:rPr>
        <w:t>Futures image 4: Renewable energy policy.</w:t>
      </w:r>
    </w:p>
    <w:p w14:paraId="7809CC8A"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tbl>
      <w:tblPr>
        <w:tblW w:w="0" w:type="auto"/>
        <w:tblBorders>
          <w:top w:val="single" w:sz="8" w:space="0" w:color="7F7F7F"/>
          <w:bottom w:val="single" w:sz="8" w:space="0" w:color="7F7F7F"/>
        </w:tblBorders>
        <w:tblCellMar>
          <w:top w:w="15" w:type="dxa"/>
          <w:left w:w="15" w:type="dxa"/>
          <w:bottom w:w="15" w:type="dxa"/>
          <w:right w:w="15" w:type="dxa"/>
        </w:tblCellMar>
        <w:tblLook w:val="04A0" w:firstRow="1" w:lastRow="0" w:firstColumn="1" w:lastColumn="0" w:noHBand="0" w:noVBand="1"/>
      </w:tblPr>
      <w:tblGrid>
        <w:gridCol w:w="1447"/>
        <w:gridCol w:w="7913"/>
      </w:tblGrid>
      <w:tr w:rsidR="00377338" w:rsidRPr="002A05C5" w14:paraId="48FE698A" w14:textId="77777777" w:rsidTr="00F9626E">
        <w:trPr>
          <w:trHeight w:val="163"/>
        </w:trPr>
        <w:tc>
          <w:tcPr>
            <w:tcW w:w="0" w:type="auto"/>
            <w:tcMar>
              <w:top w:w="100" w:type="dxa"/>
              <w:left w:w="100" w:type="dxa"/>
              <w:bottom w:w="100" w:type="dxa"/>
              <w:right w:w="100" w:type="dxa"/>
            </w:tcMar>
            <w:hideMark/>
          </w:tcPr>
          <w:p w14:paraId="2AF8D06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Dynamics</w:t>
            </w:r>
          </w:p>
        </w:tc>
        <w:tc>
          <w:tcPr>
            <w:tcW w:w="0" w:type="auto"/>
            <w:tcMar>
              <w:top w:w="100" w:type="dxa"/>
              <w:left w:w="100" w:type="dxa"/>
              <w:bottom w:w="100" w:type="dxa"/>
              <w:right w:w="100" w:type="dxa"/>
            </w:tcMar>
            <w:hideMark/>
          </w:tcPr>
          <w:p w14:paraId="265FEC7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Operators of all sizes use wood for energy everywhere in Finland. Wood energy is considered both carbon neutral and sustainable.</w:t>
            </w:r>
          </w:p>
        </w:tc>
      </w:tr>
      <w:tr w:rsidR="00377338" w:rsidRPr="002A05C5" w14:paraId="6D7E3DCC" w14:textId="77777777" w:rsidTr="00F9626E">
        <w:trPr>
          <w:trHeight w:val="150"/>
        </w:trPr>
        <w:tc>
          <w:tcPr>
            <w:tcW w:w="0" w:type="auto"/>
            <w:gridSpan w:val="2"/>
            <w:tcMar>
              <w:top w:w="100" w:type="dxa"/>
              <w:left w:w="100" w:type="dxa"/>
              <w:bottom w:w="100" w:type="dxa"/>
              <w:right w:w="100" w:type="dxa"/>
            </w:tcMar>
            <w:hideMark/>
          </w:tcPr>
          <w:p w14:paraId="6323BFB4"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PESTEC descriptions</w:t>
            </w:r>
          </w:p>
        </w:tc>
      </w:tr>
      <w:tr w:rsidR="00377338" w:rsidRPr="002A05C5" w14:paraId="44CBB406" w14:textId="77777777" w:rsidTr="00F9626E">
        <w:trPr>
          <w:trHeight w:val="964"/>
        </w:trPr>
        <w:tc>
          <w:tcPr>
            <w:tcW w:w="0" w:type="auto"/>
            <w:tcMar>
              <w:top w:w="100" w:type="dxa"/>
              <w:left w:w="100" w:type="dxa"/>
              <w:bottom w:w="100" w:type="dxa"/>
              <w:right w:w="100" w:type="dxa"/>
            </w:tcMar>
            <w:hideMark/>
          </w:tcPr>
          <w:p w14:paraId="1F159A0C"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Political</w:t>
            </w:r>
          </w:p>
        </w:tc>
        <w:tc>
          <w:tcPr>
            <w:tcW w:w="0" w:type="auto"/>
            <w:tcMar>
              <w:top w:w="100" w:type="dxa"/>
              <w:left w:w="100" w:type="dxa"/>
              <w:bottom w:w="100" w:type="dxa"/>
              <w:right w:w="100" w:type="dxa"/>
            </w:tcMar>
            <w:hideMark/>
          </w:tcPr>
          <w:p w14:paraId="1AC3773C" w14:textId="77777777" w:rsidR="00377338" w:rsidRPr="002A05C5" w:rsidRDefault="00377338" w:rsidP="00F9626E">
            <w:pPr>
              <w:pStyle w:val="ListParagraph"/>
              <w:numPr>
                <w:ilvl w:val="0"/>
                <w:numId w:val="9"/>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There are both EU and national targets for the use of renewables, including emission allowances.</w:t>
            </w:r>
          </w:p>
          <w:p w14:paraId="57C1E71A" w14:textId="77777777" w:rsidR="00377338" w:rsidRPr="002A05C5" w:rsidRDefault="00377338" w:rsidP="00F9626E">
            <w:pPr>
              <w:pStyle w:val="ListParagraph"/>
              <w:numPr>
                <w:ilvl w:val="0"/>
                <w:numId w:val="9"/>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National policy promotes the use of Finnish energy sources, but some woodchips are imported.</w:t>
            </w:r>
          </w:p>
        </w:tc>
      </w:tr>
      <w:tr w:rsidR="00377338" w:rsidRPr="002A05C5" w14:paraId="735C260D" w14:textId="77777777" w:rsidTr="00F9626E">
        <w:trPr>
          <w:trHeight w:val="2579"/>
        </w:trPr>
        <w:tc>
          <w:tcPr>
            <w:tcW w:w="0" w:type="auto"/>
            <w:tcMar>
              <w:top w:w="100" w:type="dxa"/>
              <w:left w:w="100" w:type="dxa"/>
              <w:bottom w:w="100" w:type="dxa"/>
              <w:right w:w="100" w:type="dxa"/>
            </w:tcMar>
            <w:hideMark/>
          </w:tcPr>
          <w:p w14:paraId="55C6336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Economic</w:t>
            </w:r>
          </w:p>
        </w:tc>
        <w:tc>
          <w:tcPr>
            <w:tcW w:w="0" w:type="auto"/>
            <w:tcMar>
              <w:top w:w="100" w:type="dxa"/>
              <w:left w:w="100" w:type="dxa"/>
              <w:bottom w:w="100" w:type="dxa"/>
              <w:right w:w="100" w:type="dxa"/>
            </w:tcMar>
            <w:hideMark/>
          </w:tcPr>
          <w:p w14:paraId="2FADEAFA" w14:textId="77777777" w:rsidR="00377338" w:rsidRPr="002A05C5" w:rsidRDefault="00377338" w:rsidP="00F9626E">
            <w:pPr>
              <w:pStyle w:val="ListParagraph"/>
              <w:numPr>
                <w:ilvl w:val="0"/>
                <w:numId w:val="10"/>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Wood used for energy is profitable for the whole production chain and the forest owners.</w:t>
            </w:r>
          </w:p>
          <w:p w14:paraId="3E1C5163" w14:textId="77777777" w:rsidR="00377338" w:rsidRPr="002A05C5" w:rsidRDefault="00377338" w:rsidP="00F9626E">
            <w:pPr>
              <w:pStyle w:val="ListParagraph"/>
              <w:numPr>
                <w:ilvl w:val="0"/>
                <w:numId w:val="10"/>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Fossil fuels are expensive due to additional taxes.</w:t>
            </w:r>
          </w:p>
          <w:p w14:paraId="5F6B1143" w14:textId="77777777" w:rsidR="00377338" w:rsidRPr="002A05C5" w:rsidRDefault="00377338" w:rsidP="00F9626E">
            <w:pPr>
              <w:pStyle w:val="ListParagraph"/>
              <w:numPr>
                <w:ilvl w:val="0"/>
                <w:numId w:val="10"/>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It is possible for a small-scale user to sell electricity to the grid.</w:t>
            </w:r>
          </w:p>
          <w:p w14:paraId="2982306D" w14:textId="77777777" w:rsidR="00377338" w:rsidRPr="002A05C5" w:rsidRDefault="00377338" w:rsidP="00F9626E">
            <w:pPr>
              <w:pStyle w:val="ListParagraph"/>
              <w:numPr>
                <w:ilvl w:val="0"/>
                <w:numId w:val="10"/>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Investments in wood energy benefit regions (instead of foreign companies).</w:t>
            </w:r>
          </w:p>
          <w:p w14:paraId="02888D75" w14:textId="77777777" w:rsidR="00377338" w:rsidRPr="002A05C5" w:rsidRDefault="00377338" w:rsidP="00F9626E">
            <w:pPr>
              <w:pStyle w:val="ListParagraph"/>
              <w:numPr>
                <w:ilvl w:val="0"/>
                <w:numId w:val="10"/>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The differences between regions with different amounts of forest land are levelled with processed woodchip products, which are easier to deliver to distant regions than wood.</w:t>
            </w:r>
          </w:p>
          <w:p w14:paraId="4BA77C66" w14:textId="77777777" w:rsidR="00377338" w:rsidRPr="002A05C5" w:rsidRDefault="00377338" w:rsidP="00F9626E">
            <w:pPr>
              <w:pStyle w:val="ListParagraph"/>
              <w:numPr>
                <w:ilvl w:val="0"/>
                <w:numId w:val="10"/>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As their use has increased throughout Finland, it is necessary to import some of the woodchips.</w:t>
            </w:r>
          </w:p>
        </w:tc>
      </w:tr>
      <w:tr w:rsidR="00377338" w:rsidRPr="002A05C5" w14:paraId="77D54A88" w14:textId="77777777" w:rsidTr="00F9626E">
        <w:trPr>
          <w:trHeight w:val="1161"/>
        </w:trPr>
        <w:tc>
          <w:tcPr>
            <w:tcW w:w="0" w:type="auto"/>
            <w:tcMar>
              <w:top w:w="100" w:type="dxa"/>
              <w:left w:w="100" w:type="dxa"/>
              <w:bottom w:w="100" w:type="dxa"/>
              <w:right w:w="100" w:type="dxa"/>
            </w:tcMar>
            <w:hideMark/>
          </w:tcPr>
          <w:p w14:paraId="312CBF2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Social</w:t>
            </w:r>
          </w:p>
        </w:tc>
        <w:tc>
          <w:tcPr>
            <w:tcW w:w="0" w:type="auto"/>
            <w:tcMar>
              <w:top w:w="100" w:type="dxa"/>
              <w:left w:w="100" w:type="dxa"/>
              <w:bottom w:w="100" w:type="dxa"/>
              <w:right w:w="100" w:type="dxa"/>
            </w:tcMar>
            <w:hideMark/>
          </w:tcPr>
          <w:p w14:paraId="1CAD18F3" w14:textId="77777777" w:rsidR="00377338" w:rsidRPr="002A05C5" w:rsidRDefault="00377338" w:rsidP="00F9626E">
            <w:pPr>
              <w:pStyle w:val="ListParagraph"/>
              <w:numPr>
                <w:ilvl w:val="0"/>
                <w:numId w:val="11"/>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Woodchips are the main energy source in Finland.</w:t>
            </w:r>
          </w:p>
          <w:p w14:paraId="37A2F274" w14:textId="77777777" w:rsidR="00377338" w:rsidRPr="002A05C5" w:rsidRDefault="00377338" w:rsidP="00F9626E">
            <w:pPr>
              <w:pStyle w:val="ListParagraph"/>
              <w:numPr>
                <w:ilvl w:val="0"/>
                <w:numId w:val="11"/>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It is important for the consumer to be able to produce his or her own energy.</w:t>
            </w:r>
          </w:p>
          <w:p w14:paraId="013C0D42" w14:textId="77777777" w:rsidR="00377338" w:rsidRPr="002A05C5" w:rsidRDefault="00377338" w:rsidP="00F9626E">
            <w:pPr>
              <w:pStyle w:val="ListParagraph"/>
              <w:numPr>
                <w:ilvl w:val="0"/>
                <w:numId w:val="11"/>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As woodchips are a successful business, employment and entrepreneurship related to woodchips are growing.</w:t>
            </w:r>
          </w:p>
        </w:tc>
      </w:tr>
      <w:tr w:rsidR="00377338" w:rsidRPr="002A05C5" w14:paraId="75453D90" w14:textId="77777777" w:rsidTr="00F9626E">
        <w:trPr>
          <w:trHeight w:val="1806"/>
        </w:trPr>
        <w:tc>
          <w:tcPr>
            <w:tcW w:w="0" w:type="auto"/>
            <w:tcMar>
              <w:top w:w="100" w:type="dxa"/>
              <w:left w:w="100" w:type="dxa"/>
              <w:bottom w:w="100" w:type="dxa"/>
              <w:right w:w="100" w:type="dxa"/>
            </w:tcMar>
            <w:hideMark/>
          </w:tcPr>
          <w:p w14:paraId="4C992E0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Technology</w:t>
            </w:r>
          </w:p>
        </w:tc>
        <w:tc>
          <w:tcPr>
            <w:tcW w:w="0" w:type="auto"/>
            <w:tcMar>
              <w:top w:w="100" w:type="dxa"/>
              <w:left w:w="100" w:type="dxa"/>
              <w:bottom w:w="100" w:type="dxa"/>
              <w:right w:w="100" w:type="dxa"/>
            </w:tcMar>
            <w:hideMark/>
          </w:tcPr>
          <w:p w14:paraId="2B87BA34" w14:textId="77777777" w:rsidR="00377338" w:rsidRPr="002A05C5" w:rsidRDefault="00377338" w:rsidP="00F9626E">
            <w:pPr>
              <w:pStyle w:val="ListParagraph"/>
              <w:numPr>
                <w:ilvl w:val="0"/>
                <w:numId w:val="1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Technological improvements and innovations flourish. Technology is also an important export.</w:t>
            </w:r>
          </w:p>
          <w:p w14:paraId="10FF39CE" w14:textId="77777777" w:rsidR="00377338" w:rsidRPr="002A05C5" w:rsidRDefault="00377338" w:rsidP="00F9626E">
            <w:pPr>
              <w:pStyle w:val="ListParagraph"/>
              <w:numPr>
                <w:ilvl w:val="0"/>
                <w:numId w:val="1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Processed woodchip products bring economic benefits to the area of production.</w:t>
            </w:r>
          </w:p>
          <w:p w14:paraId="2A59504E" w14:textId="77777777" w:rsidR="00377338" w:rsidRPr="002A05C5" w:rsidRDefault="00377338" w:rsidP="00F9626E">
            <w:pPr>
              <w:pStyle w:val="ListParagraph"/>
              <w:numPr>
                <w:ilvl w:val="0"/>
                <w:numId w:val="1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The energy use of side products from the forest industry has increased.</w:t>
            </w:r>
          </w:p>
          <w:p w14:paraId="3F6A8A37" w14:textId="77777777" w:rsidR="00377338" w:rsidRPr="002A05C5" w:rsidRDefault="00377338" w:rsidP="00F9626E">
            <w:pPr>
              <w:pStyle w:val="ListParagraph"/>
              <w:numPr>
                <w:ilvl w:val="0"/>
                <w:numId w:val="12"/>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Technological improvements allow for the use of woodchips in applications where fossil fuels are currently being used.</w:t>
            </w:r>
          </w:p>
        </w:tc>
      </w:tr>
      <w:tr w:rsidR="00377338" w:rsidRPr="002A05C5" w14:paraId="75E42FA1" w14:textId="77777777" w:rsidTr="00F9626E">
        <w:trPr>
          <w:trHeight w:val="912"/>
        </w:trPr>
        <w:tc>
          <w:tcPr>
            <w:tcW w:w="0" w:type="auto"/>
            <w:tcMar>
              <w:top w:w="100" w:type="dxa"/>
              <w:left w:w="100" w:type="dxa"/>
              <w:bottom w:w="100" w:type="dxa"/>
              <w:right w:w="100" w:type="dxa"/>
            </w:tcMar>
            <w:hideMark/>
          </w:tcPr>
          <w:p w14:paraId="7C57B87E"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Environment</w:t>
            </w:r>
          </w:p>
        </w:tc>
        <w:tc>
          <w:tcPr>
            <w:tcW w:w="0" w:type="auto"/>
            <w:tcMar>
              <w:top w:w="100" w:type="dxa"/>
              <w:left w:w="100" w:type="dxa"/>
              <w:bottom w:w="100" w:type="dxa"/>
              <w:right w:w="100" w:type="dxa"/>
            </w:tcMar>
            <w:hideMark/>
          </w:tcPr>
          <w:p w14:paraId="4C4DAB4A" w14:textId="77777777" w:rsidR="00377338" w:rsidRPr="002A05C5" w:rsidRDefault="00377338" w:rsidP="00F9626E">
            <w:pPr>
              <w:pStyle w:val="ListParagraph"/>
              <w:numPr>
                <w:ilvl w:val="0"/>
                <w:numId w:val="13"/>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Commercially viable oil reserves have been depleted.</w:t>
            </w:r>
          </w:p>
          <w:p w14:paraId="5AB116EA" w14:textId="77777777" w:rsidR="00377338" w:rsidRPr="002A05C5" w:rsidRDefault="00377338" w:rsidP="00F9626E">
            <w:pPr>
              <w:pStyle w:val="ListParagraph"/>
              <w:numPr>
                <w:ilvl w:val="0"/>
                <w:numId w:val="13"/>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Finland has a lot of unused forest reserves.</w:t>
            </w:r>
          </w:p>
          <w:p w14:paraId="56C8F176" w14:textId="77777777" w:rsidR="00377338" w:rsidRPr="002A05C5" w:rsidRDefault="00377338" w:rsidP="00F9626E">
            <w:pPr>
              <w:pStyle w:val="ListParagraph"/>
              <w:numPr>
                <w:ilvl w:val="0"/>
                <w:numId w:val="13"/>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Wood use in Finland will not threaten the limits of the sustainable use of forests. The amount of CO</w:t>
            </w:r>
            <w:r w:rsidRPr="002A05C5">
              <w:rPr>
                <w:rFonts w:ascii="Times New Roman" w:eastAsia="Times New Roman" w:hAnsi="Times New Roman" w:cs="Times New Roman"/>
                <w:color w:val="000000"/>
                <w:vertAlign w:val="subscript"/>
                <w:lang w:val="en-GB" w:eastAsia="fi-FI"/>
              </w:rPr>
              <w:t>2</w:t>
            </w:r>
            <w:r w:rsidRPr="002A05C5">
              <w:rPr>
                <w:rFonts w:ascii="Times New Roman" w:eastAsia="Times New Roman" w:hAnsi="Times New Roman" w:cs="Times New Roman"/>
                <w:color w:val="000000"/>
                <w:lang w:val="en-GB" w:eastAsia="fi-FI"/>
              </w:rPr>
              <w:t xml:space="preserve"> in the atmosphere is not influenced because the growing trees compensate for the loss. Also, trees next to ones that have been chopped down grow faster.</w:t>
            </w:r>
          </w:p>
        </w:tc>
      </w:tr>
      <w:tr w:rsidR="00377338" w:rsidRPr="002A05C5" w14:paraId="29EA764B" w14:textId="77777777" w:rsidTr="00F9626E">
        <w:trPr>
          <w:trHeight w:val="469"/>
        </w:trPr>
        <w:tc>
          <w:tcPr>
            <w:tcW w:w="0" w:type="auto"/>
            <w:tcMar>
              <w:top w:w="100" w:type="dxa"/>
              <w:left w:w="100" w:type="dxa"/>
              <w:bottom w:w="100" w:type="dxa"/>
              <w:right w:w="100" w:type="dxa"/>
            </w:tcMar>
            <w:hideMark/>
          </w:tcPr>
          <w:p w14:paraId="4E0425AE"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Cultural</w:t>
            </w:r>
          </w:p>
        </w:tc>
        <w:tc>
          <w:tcPr>
            <w:tcW w:w="0" w:type="auto"/>
            <w:tcMar>
              <w:top w:w="100" w:type="dxa"/>
              <w:left w:w="100" w:type="dxa"/>
              <w:bottom w:w="100" w:type="dxa"/>
              <w:right w:w="100" w:type="dxa"/>
            </w:tcMar>
            <w:hideMark/>
          </w:tcPr>
          <w:p w14:paraId="10265729" w14:textId="77777777" w:rsidR="00377338" w:rsidRPr="002A05C5" w:rsidRDefault="00377338" w:rsidP="00F9626E">
            <w:pPr>
              <w:pStyle w:val="ListParagraph"/>
              <w:numPr>
                <w:ilvl w:val="0"/>
                <w:numId w:val="14"/>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Forests are a resource to be used. There is enough wood for everyone. Not using them is unsustainable.</w:t>
            </w:r>
          </w:p>
        </w:tc>
      </w:tr>
    </w:tbl>
    <w:p w14:paraId="22C8F024" w14:textId="77777777" w:rsidR="00377338" w:rsidRPr="002A05C5" w:rsidRDefault="00377338" w:rsidP="00377338">
      <w:pPr>
        <w:spacing w:line="240" w:lineRule="auto"/>
        <w:rPr>
          <w:rFonts w:ascii="Times New Roman" w:eastAsia="Times New Roman" w:hAnsi="Times New Roman" w:cs="Times New Roman"/>
          <w:b/>
          <w:bCs/>
          <w:color w:val="000000"/>
          <w:lang w:val="en-GB"/>
        </w:rPr>
      </w:pPr>
    </w:p>
    <w:p w14:paraId="4C5E0227"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5.5 Forest protection</w:t>
      </w:r>
    </w:p>
    <w:p w14:paraId="1222FF30"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fifth image, ‘forest protection’, is based on total protection of forests in Finland (Table 6). Woodchips are not used by either small or large-scale operators. International regulation forbids all wood burning as it is not considered carbon neutral. In addition, the air quality requirements have made it so expensive that even without the forest protection requirement, the burning of wood would not be an option. Wood energy has been replaced mostly by fossil fuels. One of the interviewees discusses a situation where little hope is left for woodchip burning:</w:t>
      </w:r>
    </w:p>
    <w:p w14:paraId="63A4867D" w14:textId="77777777"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39C85023" w14:textId="77777777"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Of course, if the price proportions change for some reason, if oil costs no more than 10 cents, or natural gas, then there is no point. Of course, to a certain degree, one needs to give financial support and take care of sustainability, but surely one should not throw away money. There is not enough money; the state does not have it, the corporations do not have it, nor particularly do the consumers have it. (C18)</w:t>
      </w:r>
    </w:p>
    <w:p w14:paraId="744ABD28" w14:textId="77777777" w:rsidR="000D7494" w:rsidRPr="002A05C5" w:rsidRDefault="000D7494">
      <w:pPr>
        <w:spacing w:before="240"/>
        <w:rPr>
          <w:rFonts w:ascii="Times New Roman" w:eastAsia="Times New Roman" w:hAnsi="Times New Roman" w:cs="Times New Roman"/>
          <w:lang w:val="en-GB"/>
        </w:rPr>
      </w:pPr>
    </w:p>
    <w:p w14:paraId="510D79F0" w14:textId="2B88B60A"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 xml:space="preserve">Table 6 </w:t>
      </w:r>
      <w:r w:rsidRPr="002A05C5">
        <w:rPr>
          <w:rFonts w:ascii="Times New Roman" w:eastAsia="Times New Roman" w:hAnsi="Times New Roman" w:cs="Times New Roman"/>
          <w:color w:val="000000"/>
          <w:lang w:val="en-GB"/>
        </w:rPr>
        <w:t>Futures image 5: Forest protection.</w:t>
      </w:r>
    </w:p>
    <w:p w14:paraId="0D0BC74E"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tbl>
      <w:tblPr>
        <w:tblW w:w="0" w:type="auto"/>
        <w:tblBorders>
          <w:top w:val="single" w:sz="8" w:space="0" w:color="7F7F7F"/>
          <w:bottom w:val="single" w:sz="8" w:space="0" w:color="7F7F7F"/>
        </w:tblBorders>
        <w:tblCellMar>
          <w:top w:w="15" w:type="dxa"/>
          <w:left w:w="15" w:type="dxa"/>
          <w:bottom w:w="15" w:type="dxa"/>
          <w:right w:w="15" w:type="dxa"/>
        </w:tblCellMar>
        <w:tblLook w:val="04A0" w:firstRow="1" w:lastRow="0" w:firstColumn="1" w:lastColumn="0" w:noHBand="0" w:noVBand="1"/>
      </w:tblPr>
      <w:tblGrid>
        <w:gridCol w:w="1447"/>
        <w:gridCol w:w="7913"/>
      </w:tblGrid>
      <w:tr w:rsidR="00377338" w:rsidRPr="002A05C5" w14:paraId="0DF3E530" w14:textId="77777777" w:rsidTr="00F9626E">
        <w:trPr>
          <w:trHeight w:val="281"/>
        </w:trPr>
        <w:tc>
          <w:tcPr>
            <w:tcW w:w="0" w:type="auto"/>
            <w:tcMar>
              <w:top w:w="100" w:type="dxa"/>
              <w:left w:w="100" w:type="dxa"/>
              <w:bottom w:w="100" w:type="dxa"/>
              <w:right w:w="100" w:type="dxa"/>
            </w:tcMar>
            <w:hideMark/>
          </w:tcPr>
          <w:p w14:paraId="17E9AA05"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Dynamics</w:t>
            </w:r>
          </w:p>
        </w:tc>
        <w:tc>
          <w:tcPr>
            <w:tcW w:w="0" w:type="auto"/>
            <w:tcMar>
              <w:top w:w="100" w:type="dxa"/>
              <w:left w:w="100" w:type="dxa"/>
              <w:bottom w:w="100" w:type="dxa"/>
              <w:right w:w="100" w:type="dxa"/>
            </w:tcMar>
            <w:hideMark/>
          </w:tcPr>
          <w:p w14:paraId="7A2C3B8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Due to an EU-level regulation, no one uses wood for energy, and forests are protected as carbon sinks.</w:t>
            </w:r>
          </w:p>
        </w:tc>
      </w:tr>
      <w:tr w:rsidR="00377338" w:rsidRPr="002A05C5" w14:paraId="453EBEC4" w14:textId="77777777" w:rsidTr="00F9626E">
        <w:trPr>
          <w:trHeight w:val="126"/>
        </w:trPr>
        <w:tc>
          <w:tcPr>
            <w:tcW w:w="0" w:type="auto"/>
            <w:gridSpan w:val="2"/>
            <w:tcMar>
              <w:top w:w="100" w:type="dxa"/>
              <w:left w:w="100" w:type="dxa"/>
              <w:bottom w:w="100" w:type="dxa"/>
              <w:right w:w="100" w:type="dxa"/>
            </w:tcMar>
            <w:hideMark/>
          </w:tcPr>
          <w:p w14:paraId="60AC18C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PESTEC descriptions</w:t>
            </w:r>
          </w:p>
        </w:tc>
      </w:tr>
      <w:tr w:rsidR="00377338" w:rsidRPr="002A05C5" w14:paraId="4AFE0515" w14:textId="77777777" w:rsidTr="00F9626E">
        <w:trPr>
          <w:trHeight w:val="941"/>
        </w:trPr>
        <w:tc>
          <w:tcPr>
            <w:tcW w:w="0" w:type="auto"/>
            <w:tcMar>
              <w:top w:w="100" w:type="dxa"/>
              <w:left w:w="100" w:type="dxa"/>
              <w:bottom w:w="100" w:type="dxa"/>
              <w:right w:w="100" w:type="dxa"/>
            </w:tcMar>
            <w:hideMark/>
          </w:tcPr>
          <w:p w14:paraId="13293B73"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Political</w:t>
            </w:r>
          </w:p>
        </w:tc>
        <w:tc>
          <w:tcPr>
            <w:tcW w:w="0" w:type="auto"/>
            <w:tcMar>
              <w:top w:w="100" w:type="dxa"/>
              <w:left w:w="100" w:type="dxa"/>
              <w:bottom w:w="100" w:type="dxa"/>
              <w:right w:w="100" w:type="dxa"/>
            </w:tcMar>
            <w:hideMark/>
          </w:tcPr>
          <w:p w14:paraId="2FDA60E0" w14:textId="77777777" w:rsidR="00377338" w:rsidRPr="002A05C5" w:rsidRDefault="00377338" w:rsidP="00F9626E">
            <w:pPr>
              <w:pStyle w:val="ListParagraph"/>
              <w:numPr>
                <w:ilvl w:val="0"/>
                <w:numId w:val="14"/>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An EU regulation protects forests as carbon sinks, and wood is not considered a renewable energy source. The regulation states that coniferous forests do not renew fast enough to capture the CO</w:t>
            </w:r>
            <w:r w:rsidRPr="002A05C5">
              <w:rPr>
                <w:rFonts w:ascii="Times New Roman" w:eastAsia="Times New Roman" w:hAnsi="Times New Roman" w:cs="Times New Roman"/>
                <w:color w:val="000000"/>
                <w:vertAlign w:val="subscript"/>
                <w:lang w:val="en-GB" w:eastAsia="fi-FI"/>
              </w:rPr>
              <w:t>2</w:t>
            </w:r>
            <w:r w:rsidRPr="002A05C5">
              <w:rPr>
                <w:rFonts w:ascii="Times New Roman" w:eastAsia="Times New Roman" w:hAnsi="Times New Roman" w:cs="Times New Roman"/>
                <w:color w:val="000000"/>
                <w:lang w:val="en-GB" w:eastAsia="fi-FI"/>
              </w:rPr>
              <w:t xml:space="preserve"> released by burning wood obtained from them. Wood can only be used in long circulation products, such as in buildings.</w:t>
            </w:r>
          </w:p>
          <w:p w14:paraId="67C350C2" w14:textId="77777777" w:rsidR="00377338" w:rsidRPr="002A05C5" w:rsidRDefault="00377338" w:rsidP="00F9626E">
            <w:pPr>
              <w:pStyle w:val="ListParagraph"/>
              <w:numPr>
                <w:ilvl w:val="0"/>
                <w:numId w:val="14"/>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Tight air quality requirements make burning too expensive, and practically illegal, at all levels.</w:t>
            </w:r>
          </w:p>
        </w:tc>
      </w:tr>
      <w:tr w:rsidR="00377338" w:rsidRPr="002A05C5" w14:paraId="2C7C97FD" w14:textId="77777777" w:rsidTr="00F9626E">
        <w:trPr>
          <w:trHeight w:val="1068"/>
        </w:trPr>
        <w:tc>
          <w:tcPr>
            <w:tcW w:w="0" w:type="auto"/>
            <w:tcMar>
              <w:top w:w="100" w:type="dxa"/>
              <w:left w:w="100" w:type="dxa"/>
              <w:bottom w:w="100" w:type="dxa"/>
              <w:right w:w="100" w:type="dxa"/>
            </w:tcMar>
            <w:hideMark/>
          </w:tcPr>
          <w:p w14:paraId="0E15D1F8"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Economic</w:t>
            </w:r>
          </w:p>
        </w:tc>
        <w:tc>
          <w:tcPr>
            <w:tcW w:w="0" w:type="auto"/>
            <w:tcMar>
              <w:top w:w="100" w:type="dxa"/>
              <w:left w:w="100" w:type="dxa"/>
              <w:bottom w:w="100" w:type="dxa"/>
              <w:right w:w="100" w:type="dxa"/>
            </w:tcMar>
            <w:hideMark/>
          </w:tcPr>
          <w:p w14:paraId="7624DAAD" w14:textId="77777777" w:rsidR="00377338" w:rsidRPr="002A05C5" w:rsidRDefault="00377338" w:rsidP="00F9626E">
            <w:pPr>
              <w:pStyle w:val="ListParagraph"/>
              <w:numPr>
                <w:ilvl w:val="0"/>
                <w:numId w:val="15"/>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Fuels other than wood are inexpensive.</w:t>
            </w:r>
          </w:p>
          <w:p w14:paraId="7EE618E7" w14:textId="77777777" w:rsidR="00377338" w:rsidRPr="002A05C5" w:rsidRDefault="00377338" w:rsidP="00F9626E">
            <w:pPr>
              <w:pStyle w:val="ListParagraph"/>
              <w:numPr>
                <w:ilvl w:val="0"/>
                <w:numId w:val="15"/>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The price of electricity is low.</w:t>
            </w:r>
          </w:p>
          <w:p w14:paraId="5C565213" w14:textId="77777777" w:rsidR="00377338" w:rsidRPr="002A05C5" w:rsidRDefault="00377338" w:rsidP="00F9626E">
            <w:pPr>
              <w:pStyle w:val="ListParagraph"/>
              <w:numPr>
                <w:ilvl w:val="0"/>
                <w:numId w:val="15"/>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The fluctuating economic support confuses the markets, and bioenergy subsidies have been abolished.</w:t>
            </w:r>
          </w:p>
          <w:p w14:paraId="76977BFD" w14:textId="77777777" w:rsidR="00377338" w:rsidRPr="002A05C5" w:rsidRDefault="00377338" w:rsidP="00F9626E">
            <w:pPr>
              <w:pStyle w:val="ListParagraph"/>
              <w:numPr>
                <w:ilvl w:val="0"/>
                <w:numId w:val="15"/>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 considerable number of jobs were lost in the wood energy industry.</w:t>
            </w:r>
          </w:p>
        </w:tc>
      </w:tr>
      <w:tr w:rsidR="00377338" w:rsidRPr="002A05C5" w14:paraId="1A5B5BD7" w14:textId="77777777" w:rsidTr="00F9626E">
        <w:trPr>
          <w:trHeight w:val="649"/>
        </w:trPr>
        <w:tc>
          <w:tcPr>
            <w:tcW w:w="0" w:type="auto"/>
            <w:tcMar>
              <w:top w:w="100" w:type="dxa"/>
              <w:left w:w="100" w:type="dxa"/>
              <w:bottom w:w="100" w:type="dxa"/>
              <w:right w:w="100" w:type="dxa"/>
            </w:tcMar>
            <w:hideMark/>
          </w:tcPr>
          <w:p w14:paraId="42DFA126"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Social</w:t>
            </w:r>
          </w:p>
        </w:tc>
        <w:tc>
          <w:tcPr>
            <w:tcW w:w="0" w:type="auto"/>
            <w:tcMar>
              <w:top w:w="100" w:type="dxa"/>
              <w:left w:w="100" w:type="dxa"/>
              <w:bottom w:w="100" w:type="dxa"/>
              <w:right w:w="100" w:type="dxa"/>
            </w:tcMar>
            <w:hideMark/>
          </w:tcPr>
          <w:p w14:paraId="1835F949" w14:textId="77777777" w:rsidR="00377338" w:rsidRPr="002A05C5" w:rsidRDefault="00377338" w:rsidP="00F9626E">
            <w:pPr>
              <w:pStyle w:val="ListParagraph"/>
              <w:numPr>
                <w:ilvl w:val="0"/>
                <w:numId w:val="16"/>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Increased dependency on imported energy.</w:t>
            </w:r>
          </w:p>
          <w:p w14:paraId="69A92E1F" w14:textId="77777777" w:rsidR="00377338" w:rsidRPr="002A05C5" w:rsidRDefault="00377338" w:rsidP="00F9626E">
            <w:pPr>
              <w:pStyle w:val="ListParagraph"/>
              <w:numPr>
                <w:ilvl w:val="0"/>
                <w:numId w:val="16"/>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The social aspects of the forests have been lost as the forests no longer provide a direct livelihood.</w:t>
            </w:r>
          </w:p>
        </w:tc>
      </w:tr>
      <w:tr w:rsidR="00377338" w:rsidRPr="002A05C5" w14:paraId="40FD8DF0" w14:textId="77777777" w:rsidTr="00F9626E">
        <w:trPr>
          <w:trHeight w:val="311"/>
        </w:trPr>
        <w:tc>
          <w:tcPr>
            <w:tcW w:w="0" w:type="auto"/>
            <w:tcMar>
              <w:top w:w="100" w:type="dxa"/>
              <w:left w:w="100" w:type="dxa"/>
              <w:bottom w:w="100" w:type="dxa"/>
              <w:right w:w="100" w:type="dxa"/>
            </w:tcMar>
            <w:hideMark/>
          </w:tcPr>
          <w:p w14:paraId="3DDF154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Technology</w:t>
            </w:r>
          </w:p>
        </w:tc>
        <w:tc>
          <w:tcPr>
            <w:tcW w:w="0" w:type="auto"/>
            <w:tcMar>
              <w:top w:w="100" w:type="dxa"/>
              <w:left w:w="100" w:type="dxa"/>
              <w:bottom w:w="100" w:type="dxa"/>
              <w:right w:w="100" w:type="dxa"/>
            </w:tcMar>
            <w:hideMark/>
          </w:tcPr>
          <w:p w14:paraId="323F49C3" w14:textId="77777777" w:rsidR="00377338" w:rsidRPr="002A05C5" w:rsidRDefault="00377338" w:rsidP="00F9626E">
            <w:pPr>
              <w:pStyle w:val="ListParagraph"/>
              <w:numPr>
                <w:ilvl w:val="0"/>
                <w:numId w:val="17"/>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As the woodchips are not used, technology is not available, or only old technology is available.</w:t>
            </w:r>
          </w:p>
        </w:tc>
      </w:tr>
      <w:tr w:rsidR="00377338" w:rsidRPr="002A05C5" w14:paraId="7676C7C8" w14:textId="77777777" w:rsidTr="00F9626E">
        <w:trPr>
          <w:trHeight w:val="1015"/>
        </w:trPr>
        <w:tc>
          <w:tcPr>
            <w:tcW w:w="0" w:type="auto"/>
            <w:tcMar>
              <w:top w:w="100" w:type="dxa"/>
              <w:left w:w="100" w:type="dxa"/>
              <w:bottom w:w="100" w:type="dxa"/>
              <w:right w:w="100" w:type="dxa"/>
            </w:tcMar>
            <w:hideMark/>
          </w:tcPr>
          <w:p w14:paraId="5A3B10B2"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Environment</w:t>
            </w:r>
          </w:p>
        </w:tc>
        <w:tc>
          <w:tcPr>
            <w:tcW w:w="0" w:type="auto"/>
            <w:tcMar>
              <w:top w:w="100" w:type="dxa"/>
              <w:left w:w="100" w:type="dxa"/>
              <w:bottom w:w="100" w:type="dxa"/>
              <w:right w:w="100" w:type="dxa"/>
            </w:tcMar>
            <w:hideMark/>
          </w:tcPr>
          <w:p w14:paraId="26FC54B5" w14:textId="77777777" w:rsidR="00377338" w:rsidRPr="002A05C5" w:rsidRDefault="00377338" w:rsidP="00F9626E">
            <w:pPr>
              <w:pStyle w:val="ListParagraph"/>
              <w:numPr>
                <w:ilvl w:val="0"/>
                <w:numId w:val="17"/>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Viewpoints on sustainability are divided. Although eco-centric green values and strict forest protections prevail, more coal is used to replace the wood energy.</w:t>
            </w:r>
          </w:p>
          <w:p w14:paraId="394A67A4" w14:textId="77777777" w:rsidR="00377338" w:rsidRPr="002A05C5" w:rsidRDefault="00377338" w:rsidP="00F9626E">
            <w:pPr>
              <w:pStyle w:val="ListParagraph"/>
              <w:numPr>
                <w:ilvl w:val="0"/>
                <w:numId w:val="17"/>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Due to the decreased demand for wood, forests are no longer harvested, which slowly results in Finnish forests not being well maintained.</w:t>
            </w:r>
          </w:p>
        </w:tc>
      </w:tr>
      <w:tr w:rsidR="00377338" w:rsidRPr="002A05C5" w14:paraId="079680AE" w14:textId="77777777" w:rsidTr="00F9626E">
        <w:trPr>
          <w:trHeight w:val="100"/>
        </w:trPr>
        <w:tc>
          <w:tcPr>
            <w:tcW w:w="0" w:type="auto"/>
            <w:tcMar>
              <w:top w:w="100" w:type="dxa"/>
              <w:left w:w="100" w:type="dxa"/>
              <w:bottom w:w="100" w:type="dxa"/>
              <w:right w:w="100" w:type="dxa"/>
            </w:tcMar>
            <w:hideMark/>
          </w:tcPr>
          <w:p w14:paraId="45DB2F41" w14:textId="77777777" w:rsidR="00377338" w:rsidRPr="002A05C5" w:rsidRDefault="00377338" w:rsidP="00F9626E">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b/>
                <w:bCs/>
                <w:color w:val="000000"/>
                <w:lang w:val="en-GB"/>
              </w:rPr>
              <w:t>Cultural</w:t>
            </w:r>
          </w:p>
        </w:tc>
        <w:tc>
          <w:tcPr>
            <w:tcW w:w="0" w:type="auto"/>
            <w:tcMar>
              <w:top w:w="100" w:type="dxa"/>
              <w:left w:w="100" w:type="dxa"/>
              <w:bottom w:w="100" w:type="dxa"/>
              <w:right w:w="100" w:type="dxa"/>
            </w:tcMar>
            <w:hideMark/>
          </w:tcPr>
          <w:p w14:paraId="04B0A42A" w14:textId="77777777" w:rsidR="00377338" w:rsidRPr="002A05C5" w:rsidRDefault="00377338" w:rsidP="00F9626E">
            <w:pPr>
              <w:pStyle w:val="ListParagraph"/>
              <w:numPr>
                <w:ilvl w:val="0"/>
                <w:numId w:val="18"/>
              </w:numPr>
              <w:spacing w:after="0" w:line="240" w:lineRule="auto"/>
              <w:rPr>
                <w:rFonts w:ascii="Times New Roman" w:eastAsia="Times New Roman" w:hAnsi="Times New Roman" w:cs="Times New Roman"/>
                <w:sz w:val="24"/>
                <w:szCs w:val="24"/>
                <w:lang w:val="en-GB" w:eastAsia="fi-FI"/>
              </w:rPr>
            </w:pPr>
            <w:r w:rsidRPr="002A05C5">
              <w:rPr>
                <w:rFonts w:ascii="Times New Roman" w:eastAsia="Times New Roman" w:hAnsi="Times New Roman" w:cs="Times New Roman"/>
                <w:color w:val="000000"/>
                <w:lang w:val="en-GB" w:eastAsia="fi-FI"/>
              </w:rPr>
              <w:t>As the value of forests is diminished, and forests are seen as ruins instead of the cornerstone of the national economy.</w:t>
            </w:r>
          </w:p>
        </w:tc>
      </w:tr>
    </w:tbl>
    <w:p w14:paraId="33D34723" w14:textId="77777777" w:rsidR="00377338" w:rsidRPr="002A05C5" w:rsidRDefault="00377338" w:rsidP="00377338">
      <w:pPr>
        <w:spacing w:line="240" w:lineRule="auto"/>
        <w:rPr>
          <w:rFonts w:ascii="Times New Roman" w:eastAsia="Times New Roman" w:hAnsi="Times New Roman" w:cs="Times New Roman"/>
          <w:sz w:val="24"/>
          <w:szCs w:val="24"/>
          <w:lang w:val="en-GB"/>
        </w:rPr>
      </w:pPr>
      <w:r w:rsidRPr="002A05C5">
        <w:rPr>
          <w:rFonts w:ascii="Times New Roman" w:eastAsia="Times New Roman" w:hAnsi="Times New Roman" w:cs="Times New Roman"/>
          <w:color w:val="000000"/>
          <w:lang w:val="en-GB"/>
        </w:rPr>
        <w:t> </w:t>
      </w:r>
    </w:p>
    <w:p w14:paraId="10A66EBB" w14:textId="1D9C0DC4" w:rsidR="007806FD" w:rsidRPr="002A05C5" w:rsidRDefault="00BD1B5F">
      <w:pPr>
        <w:spacing w:before="480" w:after="12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6. Discussion</w:t>
      </w:r>
    </w:p>
    <w:p w14:paraId="075A2B2B"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6.1 Future images and possible transition paths</w:t>
      </w:r>
    </w:p>
    <w:p w14:paraId="1D214D64" w14:textId="57953FCA" w:rsidR="00D05A60" w:rsidRPr="00EB5C2A"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In the first image (‘shrinking countryside’), the woodchips have lost their stable position as a mature regime-level technology. In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one farmer, who was experimenting with wood gasification for heating, explains that his choice to use woodchips is related primarily to his values. Woodchips are ‘more comfortable than imported oil’. He developed the required </w:t>
      </w:r>
      <w:r w:rsidRPr="00EB5C2A">
        <w:rPr>
          <w:rFonts w:ascii="Times New Roman" w:eastAsia="Times New Roman" w:hAnsi="Times New Roman" w:cs="Times New Roman"/>
          <w:sz w:val="24"/>
          <w:szCs w:val="24"/>
          <w:lang w:val="en-GB"/>
        </w:rPr>
        <w:t>technology, but the business is far from mainstream: ‘One of the reasons why there are not that many followers for me might be that there is plenty of maintenance and product development to be done’ (</w:t>
      </w:r>
      <w:r w:rsidRPr="00EB5C2A">
        <w:rPr>
          <w:rFonts w:ascii="Times New Roman" w:eastAsia="Times New Roman" w:hAnsi="Times New Roman" w:cs="Times New Roman"/>
          <w:i/>
          <w:sz w:val="24"/>
          <w:szCs w:val="24"/>
          <w:lang w:val="en-GB"/>
        </w:rPr>
        <w:t>MT</w:t>
      </w:r>
      <w:r w:rsidRPr="00EB5C2A">
        <w:rPr>
          <w:rFonts w:ascii="Times New Roman" w:eastAsia="Times New Roman" w:hAnsi="Times New Roman" w:cs="Times New Roman"/>
          <w:sz w:val="24"/>
          <w:szCs w:val="24"/>
          <w:lang w:val="en-GB"/>
        </w:rPr>
        <w:t xml:space="preserve"> 23.5.2015). Despite the difficulties, activities of this kind of niche-level forerunner may eventually spark systemic changes as more favourable circumstances emerge (</w:t>
      </w:r>
      <w:r w:rsidR="00556F30" w:rsidRPr="00EB5C2A">
        <w:rPr>
          <w:rFonts w:ascii="Times New Roman" w:eastAsia="Times New Roman" w:hAnsi="Times New Roman" w:cs="Times New Roman"/>
          <w:sz w:val="24"/>
          <w:szCs w:val="24"/>
          <w:lang w:val="en-GB"/>
        </w:rPr>
        <w:t>N</w:t>
      </w:r>
      <w:r w:rsidR="009735DC" w:rsidRPr="00EB5C2A">
        <w:rPr>
          <w:rFonts w:ascii="Times New Roman" w:eastAsia="Times New Roman" w:hAnsi="Times New Roman" w:cs="Times New Roman"/>
          <w:sz w:val="24"/>
          <w:szCs w:val="24"/>
          <w:lang w:val="en-GB"/>
        </w:rPr>
        <w:t>ygrén, Kontio, Lyytimäki, Varho &amp; Tapio</w:t>
      </w:r>
      <w:r w:rsidRPr="00EB5C2A">
        <w:rPr>
          <w:rFonts w:ascii="Times New Roman" w:eastAsia="Times New Roman" w:hAnsi="Times New Roman" w:cs="Times New Roman"/>
          <w:sz w:val="24"/>
          <w:szCs w:val="24"/>
          <w:lang w:val="en-GB"/>
        </w:rPr>
        <w:t>, 2015).</w:t>
      </w:r>
    </w:p>
    <w:p w14:paraId="3D6574E7" w14:textId="29898E35" w:rsidR="007806FD" w:rsidRPr="002A05C5" w:rsidRDefault="00BD1B5F">
      <w:pPr>
        <w:spacing w:before="240"/>
        <w:ind w:firstLine="720"/>
        <w:rPr>
          <w:rFonts w:ascii="Times New Roman" w:eastAsia="Times New Roman" w:hAnsi="Times New Roman" w:cs="Times New Roman"/>
          <w:sz w:val="24"/>
          <w:szCs w:val="24"/>
          <w:lang w:val="en-GB"/>
        </w:rPr>
      </w:pPr>
      <w:r w:rsidRPr="00EB5C2A">
        <w:rPr>
          <w:rFonts w:ascii="Times New Roman" w:eastAsia="Times New Roman" w:hAnsi="Times New Roman" w:cs="Times New Roman"/>
          <w:sz w:val="24"/>
          <w:szCs w:val="24"/>
          <w:lang w:val="en-GB"/>
        </w:rPr>
        <w:t>The second image, ‘forest industry leftovers’, was common, especially among the small-</w:t>
      </w:r>
      <w:r w:rsidRPr="002A05C5">
        <w:rPr>
          <w:rFonts w:ascii="Times New Roman" w:eastAsia="Times New Roman" w:hAnsi="Times New Roman" w:cs="Times New Roman"/>
          <w:sz w:val="24"/>
          <w:szCs w:val="24"/>
          <w:lang w:val="en-GB"/>
        </w:rPr>
        <w:t xml:space="preserve">scale users. They saw the role of forests as the heart of the local economy. In addition, they considered burning of wood to be natural: as long as they own forests, they will use them to heat their houses. </w:t>
      </w:r>
    </w:p>
    <w:p w14:paraId="78428CB1"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first and second images can both be described as re-alignment or de-alignment development pathways, where a sudden and divergent landscape change causes those in power to lose faith in the regime and investments to decline. Niche innovations are then developed by actors outside the regime. Several potential innovation pathways co-exist, and one of them may slowly become dominant enough to create the regime anew (Geels &amp; Schot, 2011). However, in neither image do the niche innovations completely renew the regime. This means that woodchips lose their position as a mature regime technology. According to Geels et al. (2016), there is space for radical innovations in this pathway. However, these innovations merely compete with each other rather than the regime’s technologies.</w:t>
      </w:r>
    </w:p>
    <w:p w14:paraId="2C1C6D25"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third image, ‘carbon sink maintenance’, portrays a future where forests are protected as carbon sinks, and harvesting them at the right time enhances their sink capacity. The image combines a development path seen as non-preferred by the informants (forests as carbon sinks) with a preferred outcome (wood energy use despite regulations). This image is similar to the technological substitution pathway as it is characterised by severe landscape pressures that allow a sufficiently developed niche innovation to break through and replace the current regime, with institutions adjusting their rules to better fit the niche innovation (Geels et al., 2016; Geels &amp; Schot 2010). In this image, niche momentum is gained through technological development, which can address the changing landscape and the requirements of forests as carbon sinks. As an example of a technological substitution pattern, Geels et al. (2016) mention Germany’s low-carbon electricity transition, in which new entrants had a major role in the deployment of small-scale renewable energy technologies.</w:t>
      </w:r>
    </w:p>
    <w:p w14:paraId="5993EE3F"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Based on the material, the fourth futures image of ‘renewable energy policy’ can be labelled the most preferable futures image among woodchip users, as woodchips continue to be a regime-level technology with an even stronger role. For example, the interviewees highlighted that Finland has many forests that can be used in energy production. Some even referred to the forests and wood energy as ‘Finnish oil’, equalling the country’s financial profits. The renewable energy policy image aligns with the transformation pathway in which pressure from the landscape level is moderate and a merely gradual reorientation of the regime is conducted by the incumbent actors (Geels et al., 2016; Geels &amp; Schot, 2011). As an example of a transformation pathway, Geels et al. (2016) describe the UK’s electricity transition, which was led by the incumbent actors. Furthermore, the image resonates with the transition path of the reproduction process, in which the current situation continues, more or less, without change (Geels &amp; Schot, 2010). </w:t>
      </w:r>
    </w:p>
    <w:p w14:paraId="1B27BD82"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fifth image, forest protection, was considered the least preferable by the informants, as it depicts a future where woodchips are not used as an energy source. However, several references supporting this unwanted development can be found in the material. For example, the interviewees found it difficult to imagine factors that would decrease the amount of woodchips used in Finland. However, they were concerned about the EU’s discussions regarding the role of forests as a climate change mitigation tool. The forest protection image comes close to the de-alignment or re-alignment pathway, similar to the first and second image. However, there is an even lower response in the fifth image from niche innovations of woodchip use, which then cease to be a regime-level energy technology in Finland and are replaced by other energy technologies.</w:t>
      </w:r>
    </w:p>
    <w:p w14:paraId="5E9DD6CD"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A study conducted by Kuhmonen and Kuhmonen (2015) partly addresses the same topic as our research, and some of our findings are similar to theirs. One of their futures images highlights the role of bioenergy production in the countryside and is similar to our renewable energy policy image. Kuhmonen and Kuhmonen (2015) also present a futures image where the role of the countryside would diminish and almost disappear. The ‘shrinking countryside’ image in our study features struggling rural areas, whereas one of Kuhmonen and Kuhmonen’s images highlights the role of international business. In our material, there was hardly any mention of international business. Our data emphasise the business possibilities for Finnish entrepreneurs and companies.</w:t>
      </w:r>
    </w:p>
    <w:p w14:paraId="6846679D"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idea that an external driver, for example, EU-level regulation, would ban the use of wood as an energy source seemed to be a horrifying idea for the interviewees. Here, our results differ from those of previous studies. Leban et al. (2016) and Campbell et al. (2016) did not find a general acceptance of increasing the use of wood energy. Our data are dominated by the views of persons that either rely on wood for their business or are forest owners. Among our subjects, the dominating discourse emphasised that forests are our resource, and we can do what we like with them. However, this type of discourse is largely in line with the attitudes of Finns who favour the use of bioenergy (Rämö, Toivonen, Tahvanainen &amp; Silvennoinen, 2002; Hakkila, 2006), and the positivity is often associated with a vivid countryside (Rämö et al. 2002). A quote from an interviewee illustrates this viewpoint:</w:t>
      </w:r>
    </w:p>
    <w:p w14:paraId="7001D683"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118F4FB0" w14:textId="21A2A968"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The thing</w:t>
      </w:r>
      <w:r w:rsidR="00D05A60">
        <w:rPr>
          <w:rFonts w:ascii="Times New Roman" w:eastAsia="Times New Roman" w:hAnsi="Times New Roman" w:cs="Times New Roman"/>
          <w:sz w:val="24"/>
          <w:szCs w:val="24"/>
          <w:lang w:val="en-GB"/>
        </w:rPr>
        <w:t xml:space="preserve"> </w:t>
      </w:r>
      <w:r w:rsidRPr="002A05C5">
        <w:rPr>
          <w:rFonts w:ascii="Times New Roman" w:eastAsia="Times New Roman" w:hAnsi="Times New Roman" w:cs="Times New Roman"/>
          <w:sz w:val="24"/>
          <w:szCs w:val="24"/>
          <w:lang w:val="en-GB"/>
        </w:rPr>
        <w:t>I find very positive is that this is local. In other words, we keep the euros here [in Finland] instead of exporting them to oil sheikhs. The euros are moving, and some [persons] get employed as well. (C1)</w:t>
      </w:r>
    </w:p>
    <w:p w14:paraId="41F0BC39" w14:textId="63D6DE27" w:rsidR="007806FD" w:rsidRPr="002A05C5" w:rsidRDefault="007806FD">
      <w:pPr>
        <w:spacing w:before="240"/>
        <w:rPr>
          <w:rFonts w:ascii="Times New Roman" w:eastAsia="Times New Roman" w:hAnsi="Times New Roman" w:cs="Times New Roman"/>
          <w:sz w:val="24"/>
          <w:szCs w:val="24"/>
          <w:lang w:val="en-GB"/>
        </w:rPr>
      </w:pPr>
    </w:p>
    <w:p w14:paraId="4B71B3C5"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In our data, fossil fuels were seen as an alternative to woodchips for energy production. During the interviews, a question related to other possible energy sources was asked. Small-scale users named electricity, and large-scale users listed coal, nuclear power, and peat as alternative sources. In an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article reporting insecurities caused by the tax on peat and subsidies for woodchips, a representative of the Central Union of Agricultural Producers and Forest Owners considers coal to be the safest option:</w:t>
      </w:r>
    </w:p>
    <w:p w14:paraId="640A56F8"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7BB75017" w14:textId="77777777" w:rsidR="007806FD" w:rsidRPr="002A05C5" w:rsidRDefault="00BD1B5F">
      <w:pPr>
        <w:ind w:left="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As the uncertainty continues, energy producers will most likely choose the safe option, which is coal, according to Mäki-Hakola. ‘All we know now about the schedule is “maybe”, and it is difficult to build a functional energy wood market and production on that’. (</w:t>
      </w: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13.3.2015)</w:t>
      </w:r>
    </w:p>
    <w:p w14:paraId="4288870E"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t>
      </w:r>
    </w:p>
    <w:p w14:paraId="0AB1F1F1"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Some interviewees discussed the possibilities of wind or solar power but often dismissed them as impractical for their purposes. The same dismissive tone was present in the media data addressing the other renewable energy options. This potentially indicates the lack of ability to adopt new technologies providing, in some cases (Savolainen, Karhinen, Ulvi &amp; Kopsakangas-Savolainen, 2019), more cost-efficient or climate-friendly alternatives to the well-established practice of burning woodchips.</w:t>
      </w:r>
    </w:p>
    <w:p w14:paraId="679B5376" w14:textId="1417364E"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An interesting aspect in these transition pathways is the connection with the UN’s Sustainable Development Goals. The sub-target 7.2 requires a substantial increase in renewable energy. Only the futures image 4 (‘renewable energy policy’) promotes a significant increase in the use of woodchips in energy production in Finland. In the rest of futures images, the amount either stays the same (futures image 3) or even decreases (futures images 1, 2 and 5). The SDG sub-target 13.2 demands policies for climate change mitigation. In futures images 1, 3 and 5, the decrease of the woodchip use is based on the need for forest protection due to climate change mitigation. </w:t>
      </w:r>
    </w:p>
    <w:p w14:paraId="4CDDB673"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6.2 Policy recommendations and future research needs</w:t>
      </w:r>
    </w:p>
    <w:p w14:paraId="70AD38C9" w14:textId="598B0A0D"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Two interesting, general future directions for the use of woodchips as an energy source emerged from our study. First, the general assumption was that wood (chips) will be burned in the future. Second, it was considered that wood (chips) could only be replaced by fossil fuels, such as peat, coal, and oil. These are discussed next, following policy recommendations for Finnish and global policy makers. </w:t>
      </w:r>
    </w:p>
    <w:p w14:paraId="40685D26"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In both the newspaper and interview data, the general assumption was that wood will be burned for energy in the future. When asked, the interviewees often needed to pause to think about what could cause a decrease in the woodchips used in the future. The reply was typically delivered in a trustful and often patronising voice: ‘we surely have forests in Finland’. For the interviewees, a future where they would not be allowed to burn the wood that they own was unimaginable. Similarly, the newspaper data occasionally reported challenges to the use of woodchips but typically with a belittling or suspecting tone. </w:t>
      </w:r>
    </w:p>
    <w:p w14:paraId="30B12B8D"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As mentioned at the beginning of this paper, several international targets (e.g., the UN Sustainable Development Goals and EU energy and climate policies) highlight the importance of promoting the use of renewable energy. The worrisome aspect of our research results is that the alternative to wood energy was seen to be fossil energy. If (international) regulations decrease the amount of wood used in energy production, there will be an urgent need to come up with alternative renewable energy sources. </w:t>
      </w:r>
    </w:p>
    <w:p w14:paraId="7024089D" w14:textId="77777777" w:rsidR="00260781" w:rsidRPr="000D7494" w:rsidRDefault="00BD1B5F" w:rsidP="000D7494">
      <w:p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en-GB"/>
        </w:rPr>
        <w:t xml:space="preserve">Based on our research, we suggest the following policy recommendations to Finland and other countries with significant use of wood energy. </w:t>
      </w:r>
    </w:p>
    <w:p w14:paraId="1ED5DF0F" w14:textId="77777777" w:rsidR="00260781" w:rsidRPr="000D7494" w:rsidRDefault="00BD1B5F" w:rsidP="000D7494">
      <w:pPr>
        <w:pStyle w:val="ListParagraph"/>
        <w:numPr>
          <w:ilvl w:val="0"/>
          <w:numId w:val="22"/>
        </w:num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en-GB"/>
        </w:rPr>
        <w:t xml:space="preserve">Due to the importance for the local economy and established infrastructure of wood energy use, the use can continue as long as the volume of use stays on sustainable level. </w:t>
      </w:r>
    </w:p>
    <w:p w14:paraId="2815C8DC" w14:textId="77777777" w:rsidR="00260781" w:rsidRPr="000D7494" w:rsidRDefault="00BD1B5F" w:rsidP="000D7494">
      <w:pPr>
        <w:pStyle w:val="ListParagraph"/>
        <w:numPr>
          <w:ilvl w:val="0"/>
          <w:numId w:val="22"/>
        </w:num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en-GB"/>
        </w:rPr>
        <w:t xml:space="preserve">However, the forests cannot be primarily used for energy production. </w:t>
      </w:r>
    </w:p>
    <w:p w14:paraId="0CBF6937" w14:textId="77777777" w:rsidR="00260781" w:rsidRPr="000D7494" w:rsidRDefault="00BD1B5F" w:rsidP="000D7494">
      <w:pPr>
        <w:pStyle w:val="ListParagraph"/>
        <w:numPr>
          <w:ilvl w:val="0"/>
          <w:numId w:val="22"/>
        </w:num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en-GB"/>
        </w:rPr>
        <w:t xml:space="preserve">If a country would decide on large-scale forest protection, there would be a need for a compensation system for individuals currently depending on their livelihood on forests. </w:t>
      </w:r>
    </w:p>
    <w:p w14:paraId="17E07B32" w14:textId="66C77424" w:rsidR="007806FD" w:rsidRPr="000D7494" w:rsidRDefault="00BD1B5F" w:rsidP="000D7494">
      <w:pPr>
        <w:pStyle w:val="ListParagraph"/>
        <w:numPr>
          <w:ilvl w:val="0"/>
          <w:numId w:val="22"/>
        </w:num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en-GB"/>
        </w:rPr>
        <w:t xml:space="preserve">The different priorities of forest use are likely to create friction with international climate targets. It is noteworthy that a renewable option to replace wood did not exist in our material. </w:t>
      </w:r>
    </w:p>
    <w:p w14:paraId="19E2DEC5" w14:textId="2A0071B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Our study raises several topics for future research on the area of renewable energy. First, as we only studied the use of woodchips, the whole wood energy section should be addressed in future research. Second, it is noteworthy that possibilities to improve energy efficiency or reduce energy consumption received only minor attention in our data. If wood is burned in the future, it would need to be done as efficiently</w:t>
      </w:r>
      <w:r w:rsidR="00826105">
        <w:rPr>
          <w:rFonts w:ascii="Times New Roman" w:eastAsia="Times New Roman" w:hAnsi="Times New Roman" w:cs="Times New Roman"/>
          <w:sz w:val="24"/>
          <w:szCs w:val="24"/>
          <w:lang w:val="en-GB"/>
        </w:rPr>
        <w:t xml:space="preserve"> as possible</w:t>
      </w:r>
      <w:r w:rsidRPr="002A05C5">
        <w:rPr>
          <w:rFonts w:ascii="Times New Roman" w:eastAsia="Times New Roman" w:hAnsi="Times New Roman" w:cs="Times New Roman"/>
          <w:sz w:val="24"/>
          <w:szCs w:val="24"/>
          <w:lang w:val="en-GB"/>
        </w:rPr>
        <w:t xml:space="preserve">. Third, versatility in the different roles of forests should be recognised. Forests are not only an economic resource for people to deploy for energy or forest industry products, but a source of e.g. cultural value as well. The separation of these different aspects was clear in our study, with very limited data addressing any cultural aspects related to woodchips. Forth, other aspects of renewable energy futures should be studied as well. Based on current knowledge, it does not seem feasible that a single renewable energy source could compensate for the current use of fossil fuels. It is more likely that several different renewable energy fuels are used in the future; therefore, they should be studied together. </w:t>
      </w:r>
    </w:p>
    <w:p w14:paraId="324BAA60" w14:textId="77777777" w:rsidR="007806FD" w:rsidRPr="002A05C5" w:rsidRDefault="007806FD">
      <w:pPr>
        <w:spacing w:before="240"/>
        <w:ind w:firstLine="720"/>
        <w:rPr>
          <w:rFonts w:ascii="Times New Roman" w:eastAsia="Times New Roman" w:hAnsi="Times New Roman" w:cs="Times New Roman"/>
          <w:sz w:val="24"/>
          <w:szCs w:val="24"/>
          <w:lang w:val="en-GB"/>
        </w:rPr>
      </w:pPr>
    </w:p>
    <w:p w14:paraId="1BD3E9BD" w14:textId="77777777" w:rsidR="007806FD" w:rsidRPr="002A05C5" w:rsidRDefault="00BD1B5F">
      <w:pPr>
        <w:spacing w:before="480" w:after="12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7. Conclusion</w:t>
      </w:r>
    </w:p>
    <w:p w14:paraId="2BBAA85D" w14:textId="77777777"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We presented five futures images of woodchips as an energy source in Finland. The images are based on interviews with woodchip users and related newspaper items. Two dynamics affected the content of the futures images. First, the type of woodchip users varied between small-scale users (typically, farmers) and large-scale users (typically, energy companies). Second, international regulation will affect the use of wood in the future. In our material, the forests were seen either as a source of renewable energy, a resource for industry, or as carbon sinks to be protected, thus restricting the two aforementioned purposes. Each of the five images was constructed using the research material; none existed as such in the material. Furthermore, several development paths influenced the imagined alternative futures. Although woodchips are a mature regime-level energy source in Finland, there were plenty of data suggesting drivers that could lead toward different futures where using woodchips for energy is no longer a dominant part of the energy production regime.</w:t>
      </w:r>
    </w:p>
    <w:p w14:paraId="32D9D42C" w14:textId="1539DAF4" w:rsidR="007806FD" w:rsidRPr="002A05C5" w:rsidRDefault="00BD1B5F">
      <w:pPr>
        <w:spacing w:before="240"/>
        <w:ind w:firstLine="72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Although we focused our research on woodchip use in Finland, our results are relevant also for international audiences. Wood is the most common renewable energy source in the world. It has been used for centuries and, most likely, will be used for years to come</w:t>
      </w:r>
      <w:r w:rsidR="0097219E">
        <w:rPr>
          <w:rFonts w:ascii="Times New Roman" w:eastAsia="Times New Roman" w:hAnsi="Times New Roman" w:cs="Times New Roman"/>
          <w:sz w:val="24"/>
          <w:szCs w:val="24"/>
          <w:lang w:val="en-GB"/>
        </w:rPr>
        <w:t>. The international organisations and their target setting (e.g, UN’s S</w:t>
      </w:r>
      <w:r w:rsidR="000D7494">
        <w:rPr>
          <w:rFonts w:ascii="Times New Roman" w:eastAsia="Times New Roman" w:hAnsi="Times New Roman" w:cs="Times New Roman"/>
          <w:sz w:val="24"/>
          <w:szCs w:val="24"/>
          <w:lang w:val="en-GB"/>
        </w:rPr>
        <w:t>D</w:t>
      </w:r>
      <w:r w:rsidR="0097219E">
        <w:rPr>
          <w:rFonts w:ascii="Times New Roman" w:eastAsia="Times New Roman" w:hAnsi="Times New Roman" w:cs="Times New Roman"/>
          <w:sz w:val="24"/>
          <w:szCs w:val="24"/>
          <w:lang w:val="en-GB"/>
        </w:rPr>
        <w:t>G</w:t>
      </w:r>
      <w:r w:rsidR="000D7494">
        <w:rPr>
          <w:rFonts w:ascii="Times New Roman" w:eastAsia="Times New Roman" w:hAnsi="Times New Roman" w:cs="Times New Roman"/>
          <w:sz w:val="24"/>
          <w:szCs w:val="24"/>
          <w:lang w:val="en-GB"/>
        </w:rPr>
        <w:t>s</w:t>
      </w:r>
      <w:r w:rsidR="0097219E">
        <w:rPr>
          <w:rFonts w:ascii="Times New Roman" w:eastAsia="Times New Roman" w:hAnsi="Times New Roman" w:cs="Times New Roman"/>
          <w:sz w:val="24"/>
          <w:szCs w:val="24"/>
          <w:lang w:val="en-GB"/>
        </w:rPr>
        <w:t xml:space="preserve"> and EU and its Energy Strategy) encourage the use of renewable energy sources.</w:t>
      </w:r>
      <w:r w:rsidRPr="002A05C5">
        <w:rPr>
          <w:rFonts w:ascii="Times New Roman" w:eastAsia="Times New Roman" w:hAnsi="Times New Roman" w:cs="Times New Roman"/>
          <w:sz w:val="24"/>
          <w:szCs w:val="24"/>
          <w:lang w:val="en-GB"/>
        </w:rPr>
        <w:t xml:space="preserve"> However, the use of wood needs to be sustainable, which means addressing the following three principles: 1) forests need to maintain their carbon sink capacity, 2) biodiversity considerations need to be addressed, and 3) the cascade principle needs to be appreciated. </w:t>
      </w:r>
    </w:p>
    <w:p w14:paraId="5606FD11" w14:textId="3B8F517B" w:rsidR="00490A4E" w:rsidRDefault="00490A4E">
      <w:pPr>
        <w:spacing w:before="240"/>
        <w:rPr>
          <w:rFonts w:ascii="Times New Roman" w:eastAsia="Times New Roman" w:hAnsi="Times New Roman" w:cs="Times New Roman"/>
          <w:sz w:val="24"/>
          <w:szCs w:val="24"/>
          <w:lang w:val="en-GB"/>
        </w:rPr>
      </w:pPr>
    </w:p>
    <w:p w14:paraId="4FCD75DB" w14:textId="77777777" w:rsidR="009927E2" w:rsidRPr="009927E2" w:rsidRDefault="009927E2" w:rsidP="009927E2">
      <w:pPr>
        <w:spacing w:before="240"/>
        <w:rPr>
          <w:rFonts w:ascii="Times New Roman" w:eastAsia="Times New Roman" w:hAnsi="Times New Roman" w:cs="Times New Roman"/>
          <w:b/>
          <w:sz w:val="24"/>
          <w:szCs w:val="24"/>
          <w:lang w:val="en-GB"/>
        </w:rPr>
      </w:pPr>
      <w:r w:rsidRPr="009927E2">
        <w:rPr>
          <w:rFonts w:ascii="Times New Roman" w:eastAsia="Times New Roman" w:hAnsi="Times New Roman" w:cs="Times New Roman"/>
          <w:b/>
          <w:sz w:val="24"/>
          <w:szCs w:val="24"/>
          <w:lang w:val="en-GB"/>
        </w:rPr>
        <w:t xml:space="preserve">Acknowledgements </w:t>
      </w:r>
    </w:p>
    <w:p w14:paraId="0435A651" w14:textId="06A86189" w:rsidR="009927E2" w:rsidRDefault="009927E2" w:rsidP="009927E2">
      <w:pPr>
        <w:spacing w:before="240"/>
        <w:rPr>
          <w:rFonts w:ascii="Times New Roman" w:eastAsia="Times New Roman" w:hAnsi="Times New Roman" w:cs="Times New Roman"/>
          <w:sz w:val="24"/>
          <w:szCs w:val="24"/>
          <w:lang w:val="en-GB"/>
        </w:rPr>
      </w:pPr>
      <w:r w:rsidRPr="009927E2">
        <w:rPr>
          <w:rFonts w:ascii="Times New Roman" w:eastAsia="Times New Roman" w:hAnsi="Times New Roman" w:cs="Times New Roman"/>
          <w:sz w:val="24"/>
          <w:szCs w:val="24"/>
          <w:lang w:val="en-GB"/>
        </w:rPr>
        <w:t>We thank the Academy of Finland for funding the research project “Towards a future-oriented ‘Energiewende’: An anticipatory multi-level approach to the decentralised renewable energy transition” (FutWend) (grant numbers 297742 and 297748). A previous draft of this paper was presented at the Energizing Futures — Sustainable Development and Energy in Transition conference in June 2018, organised by Finland Futures Research Centre in Tampere, Finland. Also, we thank Professor Petri Tapio for commenting on the previous draft.</w:t>
      </w:r>
    </w:p>
    <w:p w14:paraId="0B854558" w14:textId="77777777" w:rsidR="009927E2" w:rsidRPr="002A05C5" w:rsidRDefault="009927E2" w:rsidP="009927E2">
      <w:pPr>
        <w:spacing w:before="240"/>
        <w:rPr>
          <w:rFonts w:ascii="Times New Roman" w:eastAsia="Times New Roman" w:hAnsi="Times New Roman" w:cs="Times New Roman"/>
          <w:sz w:val="24"/>
          <w:szCs w:val="24"/>
          <w:lang w:val="en-GB"/>
        </w:rPr>
      </w:pPr>
    </w:p>
    <w:p w14:paraId="3E5753C8" w14:textId="77777777" w:rsidR="007806FD" w:rsidRPr="002A05C5" w:rsidRDefault="00BD1B5F">
      <w:pPr>
        <w:spacing w:before="240"/>
        <w:rPr>
          <w:rFonts w:ascii="Times New Roman" w:eastAsia="Times New Roman" w:hAnsi="Times New Roman" w:cs="Times New Roman"/>
          <w:b/>
          <w:sz w:val="24"/>
          <w:szCs w:val="24"/>
          <w:lang w:val="en-GB"/>
        </w:rPr>
      </w:pPr>
      <w:r w:rsidRPr="002A05C5">
        <w:rPr>
          <w:rFonts w:ascii="Times New Roman" w:eastAsia="Times New Roman" w:hAnsi="Times New Roman" w:cs="Times New Roman"/>
          <w:b/>
          <w:sz w:val="24"/>
          <w:szCs w:val="24"/>
          <w:lang w:val="en-GB"/>
        </w:rPr>
        <w:t>References</w:t>
      </w:r>
    </w:p>
    <w:p w14:paraId="2CDC6CDF"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Act on the subsidies for the electricity production with the renewable energy sources. No 1396/2010.</w:t>
      </w:r>
    </w:p>
    <w:p w14:paraId="5E4C061F"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Amara, R. (1981). The futures field: Searching for definitions and boundaries. </w:t>
      </w:r>
      <w:r w:rsidRPr="002A05C5">
        <w:rPr>
          <w:rFonts w:ascii="Times New Roman" w:eastAsia="Times New Roman" w:hAnsi="Times New Roman" w:cs="Times New Roman"/>
          <w:i/>
          <w:sz w:val="24"/>
          <w:szCs w:val="24"/>
          <w:lang w:val="en-GB"/>
        </w:rPr>
        <w:t xml:space="preserve">The Futurist, </w:t>
      </w:r>
      <w:r w:rsidRPr="002A05C5">
        <w:rPr>
          <w:rFonts w:ascii="Times New Roman" w:eastAsia="Times New Roman" w:hAnsi="Times New Roman" w:cs="Times New Roman"/>
          <w:sz w:val="24"/>
          <w:szCs w:val="24"/>
          <w:lang w:val="en-GB"/>
        </w:rPr>
        <w:t>February 1981, 25-29.</w:t>
      </w:r>
    </w:p>
    <w:p w14:paraId="2EDD1F2D"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Beers, P. J., Veldkamp, A., Hermans, F., van Apeldoorn D., Vervoort, J. D. &amp; Kok, K. (2010). Future sustainability and images. </w:t>
      </w:r>
      <w:r w:rsidRPr="002A05C5">
        <w:rPr>
          <w:rFonts w:ascii="Times New Roman" w:eastAsia="Times New Roman" w:hAnsi="Times New Roman" w:cs="Times New Roman"/>
          <w:i/>
          <w:sz w:val="24"/>
          <w:szCs w:val="24"/>
          <w:lang w:val="en-GB"/>
        </w:rPr>
        <w:t xml:space="preserve">Futures, </w:t>
      </w:r>
      <w:r w:rsidRPr="002A05C5">
        <w:rPr>
          <w:rFonts w:ascii="Times New Roman" w:eastAsia="Times New Roman" w:hAnsi="Times New Roman" w:cs="Times New Roman"/>
          <w:sz w:val="24"/>
          <w:szCs w:val="24"/>
          <w:lang w:val="en-GB"/>
        </w:rPr>
        <w:t>42, 723-732. DOI: 10.1016/j.futures.2010.04.017</w:t>
      </w:r>
    </w:p>
    <w:p w14:paraId="05C6F7AD"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Bell, W. (1997). </w:t>
      </w:r>
      <w:r w:rsidRPr="002A05C5">
        <w:rPr>
          <w:rFonts w:ascii="Times New Roman" w:eastAsia="Times New Roman" w:hAnsi="Times New Roman" w:cs="Times New Roman"/>
          <w:i/>
          <w:sz w:val="24"/>
          <w:szCs w:val="24"/>
          <w:lang w:val="en-GB"/>
        </w:rPr>
        <w:t>Foundations of Futures Studies: Human Science for a New Era. Volume I: History, Purposes, and Knowledge.</w:t>
      </w:r>
      <w:r w:rsidRPr="002A05C5">
        <w:rPr>
          <w:rFonts w:ascii="Times New Roman" w:eastAsia="Times New Roman" w:hAnsi="Times New Roman" w:cs="Times New Roman"/>
          <w:sz w:val="24"/>
          <w:szCs w:val="24"/>
          <w:lang w:val="en-GB"/>
        </w:rPr>
        <w:t xml:space="preserve"> New Brunswick: Transaction Publishers.</w:t>
      </w:r>
    </w:p>
    <w:p w14:paraId="68356AB0"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Bell, W. &amp; Mau, J. A. (1971). Images of the future: Theory and Research Strategies. In W. Bell &amp; J. A. Mau (Eds.) </w:t>
      </w:r>
      <w:r w:rsidRPr="002A05C5">
        <w:rPr>
          <w:rFonts w:ascii="Times New Roman" w:eastAsia="Times New Roman" w:hAnsi="Times New Roman" w:cs="Times New Roman"/>
          <w:i/>
          <w:sz w:val="24"/>
          <w:szCs w:val="24"/>
          <w:lang w:val="en-GB"/>
        </w:rPr>
        <w:t xml:space="preserve">The Sociology of the Future: Theory, Cases and Annotated Bibliography </w:t>
      </w:r>
      <w:r w:rsidRPr="002A05C5">
        <w:rPr>
          <w:rFonts w:ascii="Times New Roman" w:eastAsia="Times New Roman" w:hAnsi="Times New Roman" w:cs="Times New Roman"/>
          <w:sz w:val="24"/>
          <w:szCs w:val="24"/>
          <w:lang w:val="en-GB"/>
        </w:rPr>
        <w:t>(pp. 6-44)</w:t>
      </w:r>
      <w:r w:rsidRPr="002A05C5">
        <w:rPr>
          <w:rFonts w:ascii="Times New Roman" w:eastAsia="Times New Roman" w:hAnsi="Times New Roman" w:cs="Times New Roman"/>
          <w:i/>
          <w:sz w:val="24"/>
          <w:szCs w:val="24"/>
          <w:lang w:val="en-GB"/>
        </w:rPr>
        <w:t xml:space="preserve">. </w:t>
      </w:r>
      <w:r w:rsidRPr="002A05C5">
        <w:rPr>
          <w:rFonts w:ascii="Times New Roman" w:eastAsia="Times New Roman" w:hAnsi="Times New Roman" w:cs="Times New Roman"/>
          <w:sz w:val="24"/>
          <w:szCs w:val="24"/>
          <w:lang w:val="en-GB"/>
        </w:rPr>
        <w:t>Connecticut: Russell Sage Foundation.</w:t>
      </w:r>
    </w:p>
    <w:p w14:paraId="24CA33AC"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BP. (2018). </w:t>
      </w:r>
      <w:r w:rsidRPr="002A05C5">
        <w:rPr>
          <w:rFonts w:ascii="Times New Roman" w:eastAsia="Times New Roman" w:hAnsi="Times New Roman" w:cs="Times New Roman"/>
          <w:i/>
          <w:sz w:val="24"/>
          <w:szCs w:val="24"/>
          <w:lang w:val="en-GB"/>
        </w:rPr>
        <w:t>BP Statistical Review of World Energy</w:t>
      </w:r>
      <w:r w:rsidRPr="002A05C5">
        <w:rPr>
          <w:rFonts w:ascii="Times New Roman" w:eastAsia="Times New Roman" w:hAnsi="Times New Roman" w:cs="Times New Roman"/>
          <w:sz w:val="24"/>
          <w:szCs w:val="24"/>
          <w:lang w:val="en-GB"/>
        </w:rPr>
        <w:t>. June 2018. 67th edition.</w:t>
      </w:r>
    </w:p>
    <w:p w14:paraId="657F2F8E"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Campbell, R. M., Tyron, J. V. &amp; Anderson, N. M. (2016). Social preferences toward energy generation with woody biomass from public forests in Montana, USA. </w:t>
      </w:r>
      <w:r w:rsidRPr="002A05C5">
        <w:rPr>
          <w:rFonts w:ascii="Times New Roman" w:eastAsia="Times New Roman" w:hAnsi="Times New Roman" w:cs="Times New Roman"/>
          <w:i/>
          <w:sz w:val="24"/>
          <w:szCs w:val="24"/>
          <w:lang w:val="en-GB"/>
        </w:rPr>
        <w:t>Forest Policy and Economics</w:t>
      </w:r>
      <w:r w:rsidRPr="002A05C5">
        <w:rPr>
          <w:rFonts w:ascii="Times New Roman" w:eastAsia="Times New Roman" w:hAnsi="Times New Roman" w:cs="Times New Roman"/>
          <w:sz w:val="24"/>
          <w:szCs w:val="24"/>
          <w:lang w:val="en-GB"/>
        </w:rPr>
        <w:t>, 73, 58-67. DOI: 10.1016/j.forpol.2016.08.008</w:t>
      </w:r>
    </w:p>
    <w:p w14:paraId="3164EF56"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European Union. 2010. Energy 2020 A strategy for competitive, sustainable and secure energy. Communication from the Commission to the European Parliament, the Council, the European Economic and Social Committee and the Committee of the Regions. COM/2010/0639 final</w:t>
      </w:r>
    </w:p>
    <w:p w14:paraId="61EE1586"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Eurostat. (2019). Wood as a source of energy. European Commission. http://ec.europa.eu/eurostat/ Accessed 22 January 2019.</w:t>
      </w:r>
    </w:p>
    <w:p w14:paraId="327AFDB5"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FAO (Food and Agriculture Organization of the United Nations). (2018). Wood energy. http://www.fao.org/forestry/energy/en/ Accessed 23 May 2018.</w:t>
      </w:r>
    </w:p>
    <w:p w14:paraId="186C04BE"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Finnish Forest Research Institute. (2009). Puun energiakäyttö 2008 (Energy use of wood 2008). Finnish Forest Research Institute. www.metla.fi Accessed 25 April 2017.</w:t>
      </w:r>
    </w:p>
    <w:p w14:paraId="7C4C2C95"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Finnish Forest Research Institute. (2010). Puun energiakäyttö 2009 (Energy use of wood 2009). Finnish Forest Research Institute. www.metla.fi Accessed 25 April 2017.</w:t>
      </w:r>
    </w:p>
    <w:p w14:paraId="5F6C61A3"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Finnish Forest Research Institute (2014). Puun energiakäyttö 2013 (Energy use of wood 2013). www.metla.fi Accessed 31 March 2017.</w:t>
      </w:r>
    </w:p>
    <w:p w14:paraId="500C70EB"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Geels, F. W., Schwanen, T., Sorrell, S., Jenkins, K. &amp; Sovacool, B. K. (2018) Reducing energy demand through low carbon innovation: A sociotechnical transitions perspective and thirteen research debates. </w:t>
      </w:r>
      <w:r w:rsidRPr="002A05C5">
        <w:rPr>
          <w:rFonts w:ascii="Times New Roman" w:eastAsia="Times New Roman" w:hAnsi="Times New Roman" w:cs="Times New Roman"/>
          <w:i/>
          <w:sz w:val="24"/>
          <w:szCs w:val="24"/>
          <w:lang w:val="en-GB"/>
        </w:rPr>
        <w:t xml:space="preserve">Energy Research and Social Science, </w:t>
      </w:r>
      <w:r w:rsidRPr="002A05C5">
        <w:rPr>
          <w:rFonts w:ascii="Times New Roman" w:eastAsia="Times New Roman" w:hAnsi="Times New Roman" w:cs="Times New Roman"/>
          <w:sz w:val="24"/>
          <w:szCs w:val="24"/>
          <w:lang w:val="en-GB"/>
        </w:rPr>
        <w:t>40, 23–35. DOI: 10.1016/j.erss.2017.11.003</w:t>
      </w:r>
    </w:p>
    <w:p w14:paraId="395C4592"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Geels, F. W., Kern, F., Fuchs, G., Hinderer, N., Kungl, G., Mylan, J., Neukirch, M. &amp; Wassermann, S. (2016) The enactment of socio-technical transition pathways: A reformulated typology and a comparative multi-level analysis of the German and UK low-carbon electricity transitions (1990–2014). </w:t>
      </w:r>
      <w:r w:rsidRPr="002A05C5">
        <w:rPr>
          <w:rFonts w:ascii="Times New Roman" w:eastAsia="Times New Roman" w:hAnsi="Times New Roman" w:cs="Times New Roman"/>
          <w:i/>
          <w:sz w:val="24"/>
          <w:szCs w:val="24"/>
          <w:lang w:val="en-GB"/>
        </w:rPr>
        <w:t xml:space="preserve">Research Policy, </w:t>
      </w:r>
      <w:r w:rsidRPr="002A05C5">
        <w:rPr>
          <w:rFonts w:ascii="Times New Roman" w:eastAsia="Times New Roman" w:hAnsi="Times New Roman" w:cs="Times New Roman"/>
          <w:sz w:val="24"/>
          <w:szCs w:val="24"/>
          <w:lang w:val="en-GB"/>
        </w:rPr>
        <w:t>45, 896–913. DOI: 10.1016/j.respol.2016.01.015</w:t>
      </w:r>
    </w:p>
    <w:p w14:paraId="40B474F4"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Geels, F. W. &amp; Schot, J. (2011). The Dynamics of Transitions. A Socio-Technical Perspective. In J. Grin, J. Rotmans &amp; J. Schot (Eds.) T</w:t>
      </w:r>
      <w:r w:rsidRPr="002A05C5">
        <w:rPr>
          <w:rFonts w:ascii="Times New Roman" w:eastAsia="Times New Roman" w:hAnsi="Times New Roman" w:cs="Times New Roman"/>
          <w:i/>
          <w:sz w:val="24"/>
          <w:szCs w:val="24"/>
          <w:lang w:val="en-GB"/>
        </w:rPr>
        <w:t>ransitions to Sustainable Development: New Directions in the Study of Long Term Transformative Change</w:t>
      </w:r>
      <w:r w:rsidRPr="002A05C5">
        <w:rPr>
          <w:rFonts w:ascii="Times New Roman" w:eastAsia="Times New Roman" w:hAnsi="Times New Roman" w:cs="Times New Roman"/>
          <w:sz w:val="24"/>
          <w:szCs w:val="24"/>
          <w:lang w:val="en-GB"/>
        </w:rPr>
        <w:t xml:space="preserve"> (pp. 9–102). New York: Routledge.</w:t>
      </w:r>
    </w:p>
    <w:p w14:paraId="677A9B53"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Geels, F. W. &amp; Schot, J. (2007). Typology of sociotechnical transition pathways. </w:t>
      </w:r>
      <w:r w:rsidRPr="002A05C5">
        <w:rPr>
          <w:rFonts w:ascii="Times New Roman" w:eastAsia="Times New Roman" w:hAnsi="Times New Roman" w:cs="Times New Roman"/>
          <w:i/>
          <w:sz w:val="24"/>
          <w:szCs w:val="24"/>
          <w:lang w:val="en-GB"/>
        </w:rPr>
        <w:t xml:space="preserve">Research Policy, </w:t>
      </w:r>
      <w:r w:rsidRPr="002A05C5">
        <w:rPr>
          <w:rFonts w:ascii="Times New Roman" w:eastAsia="Times New Roman" w:hAnsi="Times New Roman" w:cs="Times New Roman"/>
          <w:sz w:val="24"/>
          <w:szCs w:val="24"/>
          <w:lang w:val="en-GB"/>
        </w:rPr>
        <w:t>36, 399-417. DOI: 10.1016/j.respol.2007.01.003</w:t>
      </w:r>
    </w:p>
    <w:p w14:paraId="65A5AD98"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Guest, G., Bunce, A., Johnson, L. (2006). How many interviews are enough? An experiment with data saturation and variability. </w:t>
      </w:r>
      <w:r w:rsidRPr="002A05C5">
        <w:rPr>
          <w:rFonts w:ascii="Times New Roman" w:eastAsia="Times New Roman" w:hAnsi="Times New Roman" w:cs="Times New Roman"/>
          <w:i/>
          <w:sz w:val="24"/>
          <w:szCs w:val="24"/>
          <w:lang w:val="en-GB"/>
        </w:rPr>
        <w:t>Fields Methods</w:t>
      </w:r>
      <w:r w:rsidRPr="002A05C5">
        <w:rPr>
          <w:rFonts w:ascii="Times New Roman" w:eastAsia="Times New Roman" w:hAnsi="Times New Roman" w:cs="Times New Roman"/>
          <w:sz w:val="24"/>
          <w:szCs w:val="24"/>
          <w:lang w:val="en-GB"/>
        </w:rPr>
        <w:t>, 18, 59-82. DOI: 10.1177/1525822X05279903</w:t>
      </w:r>
    </w:p>
    <w:p w14:paraId="20019662"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Guo, M., Song, W., Buhain, J. (2015). Bioenergy and biofuels: History, status, and perspective. </w:t>
      </w:r>
      <w:r w:rsidRPr="002A05C5">
        <w:rPr>
          <w:rFonts w:ascii="Times New Roman" w:eastAsia="Times New Roman" w:hAnsi="Times New Roman" w:cs="Times New Roman"/>
          <w:i/>
          <w:sz w:val="24"/>
          <w:szCs w:val="24"/>
          <w:lang w:val="en-GB"/>
        </w:rPr>
        <w:t>Renewable and Sustainable Energy Reviews</w:t>
      </w:r>
      <w:r w:rsidRPr="002A05C5">
        <w:rPr>
          <w:rFonts w:ascii="Times New Roman" w:eastAsia="Times New Roman" w:hAnsi="Times New Roman" w:cs="Times New Roman"/>
          <w:sz w:val="24"/>
          <w:szCs w:val="24"/>
          <w:lang w:val="en-GB"/>
        </w:rPr>
        <w:t>, 42, 712-725. DOI: 10.1016/j.rser.2014.10.013</w:t>
      </w:r>
    </w:p>
    <w:p w14:paraId="77F2F23C"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Hakkila, P. (2003). </w:t>
      </w:r>
      <w:r w:rsidRPr="002A05C5">
        <w:rPr>
          <w:rFonts w:ascii="Times New Roman" w:eastAsia="Times New Roman" w:hAnsi="Times New Roman" w:cs="Times New Roman"/>
          <w:i/>
          <w:sz w:val="24"/>
          <w:szCs w:val="24"/>
          <w:lang w:val="en-GB"/>
        </w:rPr>
        <w:t>Developing technology for large-scale production of forest chips</w:t>
      </w:r>
      <w:r w:rsidRPr="002A05C5">
        <w:rPr>
          <w:rFonts w:ascii="Times New Roman" w:eastAsia="Times New Roman" w:hAnsi="Times New Roman" w:cs="Times New Roman"/>
          <w:sz w:val="24"/>
          <w:szCs w:val="24"/>
          <w:lang w:val="en-GB"/>
        </w:rPr>
        <w:t xml:space="preserve">. Wood Energy Technology Programme 1999-2003. Technology Programme Report 5/2003. Interim Report. National Technology Agency: Helsinki. </w:t>
      </w:r>
    </w:p>
    <w:p w14:paraId="4A9BC29D"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Hakkila, P. (2006). Factors driving the development of forest energy in Finland. </w:t>
      </w:r>
      <w:r w:rsidRPr="002A05C5">
        <w:rPr>
          <w:rFonts w:ascii="Times New Roman" w:eastAsia="Times New Roman" w:hAnsi="Times New Roman" w:cs="Times New Roman"/>
          <w:i/>
          <w:sz w:val="24"/>
          <w:szCs w:val="24"/>
          <w:lang w:val="en-GB"/>
        </w:rPr>
        <w:t>Biomass &amp; Bioenergy</w:t>
      </w:r>
      <w:r w:rsidRPr="002A05C5">
        <w:rPr>
          <w:rFonts w:ascii="Times New Roman" w:eastAsia="Times New Roman" w:hAnsi="Times New Roman" w:cs="Times New Roman"/>
          <w:sz w:val="24"/>
          <w:szCs w:val="24"/>
          <w:lang w:val="en-GB"/>
        </w:rPr>
        <w:t>, 30, 281-288. DOI: 10.1016/j.biombioe.2005.07.003</w:t>
      </w:r>
    </w:p>
    <w:p w14:paraId="1CDF2E4D"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Huttunen, R. (Ed) (2017). </w:t>
      </w:r>
      <w:r w:rsidRPr="002A05C5">
        <w:rPr>
          <w:rFonts w:ascii="Times New Roman" w:eastAsia="Times New Roman" w:hAnsi="Times New Roman" w:cs="Times New Roman"/>
          <w:i/>
          <w:sz w:val="24"/>
          <w:szCs w:val="24"/>
          <w:lang w:val="en-GB"/>
        </w:rPr>
        <w:t>Government report on the National Energy and Climate Strategy for 2030.</w:t>
      </w:r>
      <w:r w:rsidRPr="002A05C5">
        <w:rPr>
          <w:rFonts w:ascii="Times New Roman" w:eastAsia="Times New Roman" w:hAnsi="Times New Roman" w:cs="Times New Roman"/>
          <w:sz w:val="24"/>
          <w:szCs w:val="24"/>
          <w:lang w:val="en-GB"/>
        </w:rPr>
        <w:t xml:space="preserve"> Ministry of Economic Affairs and Employment. Publications of the Ministry of Economic Affairs and Employment 4/2017. Helsinki.</w:t>
      </w:r>
    </w:p>
    <w:p w14:paraId="4FBDC258"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IEA (International Energy Agency). (2018). </w:t>
      </w:r>
      <w:r w:rsidRPr="002A05C5">
        <w:rPr>
          <w:rFonts w:ascii="Times New Roman" w:eastAsia="Times New Roman" w:hAnsi="Times New Roman" w:cs="Times New Roman"/>
          <w:i/>
          <w:sz w:val="24"/>
          <w:szCs w:val="24"/>
          <w:lang w:val="en-GB"/>
        </w:rPr>
        <w:t>Key world energy statistics</w:t>
      </w:r>
      <w:r w:rsidRPr="002A05C5">
        <w:rPr>
          <w:rFonts w:ascii="Times New Roman" w:eastAsia="Times New Roman" w:hAnsi="Times New Roman" w:cs="Times New Roman"/>
          <w:sz w:val="24"/>
          <w:szCs w:val="24"/>
          <w:lang w:val="en-GB"/>
        </w:rPr>
        <w:t>. Paris.</w:t>
      </w:r>
    </w:p>
    <w:p w14:paraId="3DD581DC" w14:textId="77777777" w:rsidR="007806FD" w:rsidRPr="002A05C5" w:rsidRDefault="00BD1B5F">
      <w:p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fi-FI"/>
        </w:rPr>
        <w:t xml:space="preserve">Kaboli, S.A. &amp; Tapio, P. (2018). </w:t>
      </w:r>
      <w:r w:rsidRPr="002A05C5">
        <w:rPr>
          <w:rFonts w:ascii="Times New Roman" w:eastAsia="Times New Roman" w:hAnsi="Times New Roman" w:cs="Times New Roman"/>
          <w:sz w:val="24"/>
          <w:szCs w:val="24"/>
          <w:lang w:val="en-GB"/>
        </w:rPr>
        <w:t xml:space="preserve">How late-modern nomads imagine tomorrow? A Causal Layered Analysis practice to explore the images of the future of young adults. </w:t>
      </w:r>
      <w:r w:rsidRPr="002A05C5">
        <w:rPr>
          <w:rFonts w:ascii="Times New Roman" w:eastAsia="Times New Roman" w:hAnsi="Times New Roman" w:cs="Times New Roman"/>
          <w:i/>
          <w:sz w:val="24"/>
          <w:szCs w:val="24"/>
          <w:lang w:val="en-GB"/>
        </w:rPr>
        <w:t>Futures</w:t>
      </w:r>
      <w:r w:rsidRPr="002A05C5">
        <w:rPr>
          <w:rFonts w:ascii="Times New Roman" w:eastAsia="Times New Roman" w:hAnsi="Times New Roman" w:cs="Times New Roman"/>
          <w:sz w:val="24"/>
          <w:szCs w:val="24"/>
          <w:lang w:val="en-GB"/>
        </w:rPr>
        <w:t>, 96, 32-43. DOI: 10.1016/j.futures.2017.11.004</w:t>
      </w:r>
    </w:p>
    <w:p w14:paraId="34131C3F" w14:textId="13BD0213" w:rsidR="007806FD" w:rsidRDefault="00BD1B5F">
      <w:p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fi-FI"/>
        </w:rPr>
        <w:t xml:space="preserve">Kallio, A. M. I., Salminen, O. &amp; Sievänen, R. (2013). </w:t>
      </w:r>
      <w:r w:rsidRPr="002A05C5">
        <w:rPr>
          <w:rFonts w:ascii="Times New Roman" w:eastAsia="Times New Roman" w:hAnsi="Times New Roman" w:cs="Times New Roman"/>
          <w:sz w:val="24"/>
          <w:szCs w:val="24"/>
          <w:lang w:val="en-GB"/>
        </w:rPr>
        <w:t xml:space="preserve">Sequester or substitute - Consequences of increased production of wood based energy on the carbon balance in Finland. </w:t>
      </w:r>
      <w:r w:rsidRPr="002A05C5">
        <w:rPr>
          <w:rFonts w:ascii="Times New Roman" w:eastAsia="Times New Roman" w:hAnsi="Times New Roman" w:cs="Times New Roman"/>
          <w:i/>
          <w:sz w:val="24"/>
          <w:szCs w:val="24"/>
          <w:lang w:val="en-GB"/>
        </w:rPr>
        <w:t>Journal of Forest Economics</w:t>
      </w:r>
      <w:r w:rsidRPr="002A05C5">
        <w:rPr>
          <w:rFonts w:ascii="Times New Roman" w:eastAsia="Times New Roman" w:hAnsi="Times New Roman" w:cs="Times New Roman"/>
          <w:sz w:val="24"/>
          <w:szCs w:val="24"/>
          <w:lang w:val="en-GB"/>
        </w:rPr>
        <w:t>, 19, 402-415. DOI: 10.1016/j.jfe.2013.05.001</w:t>
      </w:r>
    </w:p>
    <w:p w14:paraId="550556A3" w14:textId="03B09B15" w:rsidR="009735DC" w:rsidRPr="009735DC" w:rsidRDefault="009735DC">
      <w:pPr>
        <w:spacing w:before="240"/>
        <w:rPr>
          <w:rFonts w:ascii="Times New Roman" w:eastAsia="Times New Roman" w:hAnsi="Times New Roman" w:cs="Times New Roman"/>
          <w:sz w:val="24"/>
          <w:szCs w:val="24"/>
          <w:lang w:val="en-GB"/>
        </w:rPr>
      </w:pPr>
      <w:r w:rsidRPr="00377338">
        <w:rPr>
          <w:rFonts w:ascii="Times New Roman" w:eastAsia="Times New Roman" w:hAnsi="Times New Roman" w:cs="Times New Roman"/>
          <w:sz w:val="24"/>
          <w:szCs w:val="24"/>
          <w:lang w:val="fi-FI"/>
        </w:rPr>
        <w:t>Kangas, H-L., Lyyt</w:t>
      </w:r>
      <w:r w:rsidR="00377338" w:rsidRPr="000D7494">
        <w:rPr>
          <w:rFonts w:ascii="Times New Roman" w:eastAsia="Times New Roman" w:hAnsi="Times New Roman" w:cs="Times New Roman"/>
          <w:sz w:val="24"/>
          <w:szCs w:val="24"/>
          <w:lang w:val="fi-FI"/>
        </w:rPr>
        <w:t>i</w:t>
      </w:r>
      <w:r w:rsidRPr="00377338">
        <w:rPr>
          <w:rFonts w:ascii="Times New Roman" w:eastAsia="Times New Roman" w:hAnsi="Times New Roman" w:cs="Times New Roman"/>
          <w:sz w:val="24"/>
          <w:szCs w:val="24"/>
          <w:lang w:val="fi-FI"/>
        </w:rPr>
        <w:t xml:space="preserve">mäki, J., Saarela, S-R. </w:t>
      </w:r>
      <w:r w:rsidRPr="009735DC">
        <w:rPr>
          <w:rFonts w:ascii="Times New Roman" w:eastAsia="Times New Roman" w:hAnsi="Times New Roman" w:cs="Times New Roman"/>
          <w:sz w:val="24"/>
          <w:szCs w:val="24"/>
          <w:lang w:val="en-GB"/>
        </w:rPr>
        <w:t>&amp; Primmer, E. (2018). Burning roots: Stakeholder arguments and media representations on the sustainability of tree stump extraction in Finland</w:t>
      </w:r>
      <w:r>
        <w:rPr>
          <w:rFonts w:ascii="Times New Roman" w:eastAsia="Times New Roman" w:hAnsi="Times New Roman" w:cs="Times New Roman"/>
          <w:sz w:val="24"/>
          <w:szCs w:val="24"/>
          <w:lang w:val="en-GB"/>
        </w:rPr>
        <w:t xml:space="preserve">. </w:t>
      </w:r>
      <w:r w:rsidRPr="009735DC">
        <w:rPr>
          <w:rFonts w:ascii="Times New Roman" w:eastAsia="Times New Roman" w:hAnsi="Times New Roman" w:cs="Times New Roman"/>
          <w:i/>
          <w:sz w:val="24"/>
          <w:szCs w:val="24"/>
          <w:lang w:val="en-GB"/>
        </w:rPr>
        <w:t>Biomass and Bioenergy</w:t>
      </w:r>
      <w:r>
        <w:rPr>
          <w:rFonts w:ascii="Times New Roman" w:eastAsia="Times New Roman" w:hAnsi="Times New Roman" w:cs="Times New Roman"/>
          <w:sz w:val="24"/>
          <w:szCs w:val="24"/>
          <w:lang w:val="en-GB"/>
        </w:rPr>
        <w:t>, 118, 65-73. DOI:</w:t>
      </w:r>
      <w:r w:rsidRPr="009735DC">
        <w:t xml:space="preserve"> </w:t>
      </w:r>
      <w:r w:rsidRPr="009735DC">
        <w:rPr>
          <w:rFonts w:ascii="Times New Roman" w:eastAsia="Times New Roman" w:hAnsi="Times New Roman" w:cs="Times New Roman"/>
          <w:sz w:val="24"/>
          <w:szCs w:val="24"/>
          <w:lang w:val="en-GB"/>
        </w:rPr>
        <w:t>/10.1016/j.biombioe.2018.08.006</w:t>
      </w:r>
    </w:p>
    <w:p w14:paraId="20B7541A"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Kuckartz, U. (2014). </w:t>
      </w:r>
      <w:r w:rsidRPr="002A05C5">
        <w:rPr>
          <w:rFonts w:ascii="Times New Roman" w:eastAsia="Times New Roman" w:hAnsi="Times New Roman" w:cs="Times New Roman"/>
          <w:i/>
          <w:sz w:val="24"/>
          <w:szCs w:val="24"/>
          <w:lang w:val="en-GB"/>
        </w:rPr>
        <w:t xml:space="preserve">Qualitative Text Analysis: A Guide to Methods, Practice and Using Software. </w:t>
      </w:r>
      <w:r w:rsidRPr="002A05C5">
        <w:rPr>
          <w:rFonts w:ascii="Times New Roman" w:eastAsia="Times New Roman" w:hAnsi="Times New Roman" w:cs="Times New Roman"/>
          <w:sz w:val="24"/>
          <w:szCs w:val="24"/>
          <w:lang w:val="en-GB"/>
        </w:rPr>
        <w:t>London: Sage Publications.</w:t>
      </w:r>
    </w:p>
    <w:p w14:paraId="1F349372"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Kuhmonen, T. (2017). Exposing the attractors of evolving complex adaptive systems by utilising futures images: Milestones of the food sustainability journey. </w:t>
      </w:r>
      <w:r w:rsidRPr="002A05C5">
        <w:rPr>
          <w:rFonts w:ascii="Times New Roman" w:eastAsia="Times New Roman" w:hAnsi="Times New Roman" w:cs="Times New Roman"/>
          <w:i/>
          <w:sz w:val="24"/>
          <w:szCs w:val="24"/>
          <w:lang w:val="en-GB"/>
        </w:rPr>
        <w:t>Technological Forecasting &amp; Social Change,</w:t>
      </w:r>
      <w:r w:rsidRPr="002A05C5">
        <w:rPr>
          <w:rFonts w:ascii="Times New Roman" w:eastAsia="Times New Roman" w:hAnsi="Times New Roman" w:cs="Times New Roman"/>
          <w:sz w:val="24"/>
          <w:szCs w:val="24"/>
          <w:lang w:val="en-GB"/>
        </w:rPr>
        <w:t xml:space="preserve"> 114, 214-225. DOI: 10.1016/j.techfore.2016.08.01</w:t>
      </w:r>
    </w:p>
    <w:p w14:paraId="6310FADD"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Kuhmonen, T. &amp; Kuhmonen, I. (2015). Rural futures in developed economies: The case of Finland. </w:t>
      </w:r>
      <w:r w:rsidRPr="002A05C5">
        <w:rPr>
          <w:rFonts w:ascii="Times New Roman" w:eastAsia="Times New Roman" w:hAnsi="Times New Roman" w:cs="Times New Roman"/>
          <w:i/>
          <w:sz w:val="24"/>
          <w:szCs w:val="24"/>
          <w:lang w:val="en-GB"/>
        </w:rPr>
        <w:t>Technological Forecasting &amp; Social Change,</w:t>
      </w:r>
      <w:r w:rsidRPr="002A05C5">
        <w:rPr>
          <w:rFonts w:ascii="Times New Roman" w:eastAsia="Times New Roman" w:hAnsi="Times New Roman" w:cs="Times New Roman"/>
          <w:sz w:val="24"/>
          <w:szCs w:val="24"/>
          <w:lang w:val="en-GB"/>
        </w:rPr>
        <w:t xml:space="preserve"> 101, 366-374. DOI: 10.1016/j.techfore.2015.07.028</w:t>
      </w:r>
    </w:p>
    <w:p w14:paraId="2604CD95"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Kuitto, P.-J. (ed.) (2005). </w:t>
      </w:r>
      <w:r w:rsidRPr="000D7494">
        <w:rPr>
          <w:rFonts w:ascii="Times New Roman" w:eastAsia="Times New Roman" w:hAnsi="Times New Roman" w:cs="Times New Roman"/>
          <w:i/>
          <w:sz w:val="24"/>
          <w:szCs w:val="24"/>
          <w:lang w:val="fi-FI"/>
        </w:rPr>
        <w:t xml:space="preserve">Metsästä biopolttoaineeksi. Tuotannon puoli vuosisataa. </w:t>
      </w:r>
      <w:r w:rsidRPr="002A05C5">
        <w:rPr>
          <w:rFonts w:ascii="Times New Roman" w:eastAsia="Times New Roman" w:hAnsi="Times New Roman" w:cs="Times New Roman"/>
          <w:i/>
          <w:sz w:val="24"/>
          <w:szCs w:val="24"/>
          <w:lang w:val="en-GB"/>
        </w:rPr>
        <w:t>(From forests to biofuels. Half century of production</w:t>
      </w:r>
      <w:r w:rsidRPr="002A05C5">
        <w:rPr>
          <w:rFonts w:ascii="Times New Roman" w:eastAsia="Times New Roman" w:hAnsi="Times New Roman" w:cs="Times New Roman"/>
          <w:sz w:val="24"/>
          <w:szCs w:val="24"/>
          <w:lang w:val="en-GB"/>
        </w:rPr>
        <w:t xml:space="preserve">). FINBIO - Bioenergy Association of Finland, Jyväskylä. </w:t>
      </w:r>
    </w:p>
    <w:p w14:paraId="276462D0" w14:textId="6368BEDE" w:rsidR="007806FD"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Leban, V., Malovrh, S. P., Stirn, L. Z. &amp; Krč, J. (2016). Forest biomass for energy in multi-functional forest management: Insight into the perceptions of forest-related professionals. </w:t>
      </w:r>
      <w:r w:rsidRPr="002A05C5">
        <w:rPr>
          <w:rFonts w:ascii="Times New Roman" w:eastAsia="Times New Roman" w:hAnsi="Times New Roman" w:cs="Times New Roman"/>
          <w:i/>
          <w:sz w:val="24"/>
          <w:szCs w:val="24"/>
          <w:lang w:val="en-GB"/>
        </w:rPr>
        <w:t>Forest Policy and Economics</w:t>
      </w:r>
      <w:r w:rsidRPr="002A05C5">
        <w:rPr>
          <w:rFonts w:ascii="Times New Roman" w:eastAsia="Times New Roman" w:hAnsi="Times New Roman" w:cs="Times New Roman"/>
          <w:sz w:val="24"/>
          <w:szCs w:val="24"/>
          <w:lang w:val="en-GB"/>
        </w:rPr>
        <w:t>, 121, 87-93. DOI: 10.1016/j.forpol.2015.07.005</w:t>
      </w:r>
    </w:p>
    <w:p w14:paraId="446F429C" w14:textId="2188FEA0" w:rsidR="009735DC" w:rsidRPr="002A05C5" w:rsidRDefault="009735DC">
      <w:pPr>
        <w:spacing w:before="240"/>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Lyytimäki, J. (2019). </w:t>
      </w:r>
      <w:r w:rsidR="00EB5C2A" w:rsidRPr="00EB5C2A">
        <w:rPr>
          <w:rFonts w:ascii="Times New Roman" w:eastAsia="Times New Roman" w:hAnsi="Times New Roman" w:cs="Times New Roman"/>
          <w:sz w:val="24"/>
          <w:szCs w:val="24"/>
          <w:lang w:val="en-GB"/>
        </w:rPr>
        <w:t>Burning wet wood: varieties of non-recognition in energy transitions</w:t>
      </w:r>
      <w:r w:rsidR="00EB5C2A">
        <w:rPr>
          <w:rFonts w:ascii="Times New Roman" w:eastAsia="Times New Roman" w:hAnsi="Times New Roman" w:cs="Times New Roman"/>
          <w:sz w:val="24"/>
          <w:szCs w:val="24"/>
          <w:lang w:val="en-GB"/>
        </w:rPr>
        <w:t xml:space="preserve">. </w:t>
      </w:r>
      <w:r w:rsidR="00EB5C2A" w:rsidRPr="00EB5C2A">
        <w:rPr>
          <w:rFonts w:ascii="Times New Roman" w:eastAsia="Times New Roman" w:hAnsi="Times New Roman" w:cs="Times New Roman"/>
          <w:i/>
          <w:sz w:val="24"/>
          <w:szCs w:val="24"/>
          <w:lang w:val="en-GB"/>
        </w:rPr>
        <w:t>Clean Technologies and Environmental Policy</w:t>
      </w:r>
      <w:r w:rsidR="00EB5C2A">
        <w:rPr>
          <w:rFonts w:ascii="Times New Roman" w:eastAsia="Times New Roman" w:hAnsi="Times New Roman" w:cs="Times New Roman"/>
          <w:sz w:val="24"/>
          <w:szCs w:val="24"/>
          <w:lang w:val="en-GB"/>
        </w:rPr>
        <w:t xml:space="preserve">, 21, 1143-1153. DOI: </w:t>
      </w:r>
      <w:r w:rsidR="00EB5C2A" w:rsidRPr="00EB5C2A">
        <w:rPr>
          <w:rFonts w:ascii="Times New Roman" w:eastAsia="Times New Roman" w:hAnsi="Times New Roman" w:cs="Times New Roman"/>
          <w:sz w:val="24"/>
          <w:szCs w:val="24"/>
          <w:lang w:val="en-GB"/>
        </w:rPr>
        <w:t>10.1007/s10098-019-01699-9</w:t>
      </w:r>
    </w:p>
    <w:p w14:paraId="2A482C7F"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Ministry of Agriculture and Forestry. (2018). Forest resources in Finland. www.mmm.fi Accessed 23 October 2018.</w:t>
      </w:r>
    </w:p>
    <w:p w14:paraId="00287370"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14.1.2015. </w:t>
      </w:r>
      <w:r w:rsidRPr="002A05C5">
        <w:rPr>
          <w:rFonts w:ascii="Times New Roman" w:eastAsia="Times New Roman" w:hAnsi="Times New Roman" w:cs="Times New Roman"/>
          <w:i/>
          <w:sz w:val="24"/>
          <w:szCs w:val="24"/>
          <w:lang w:val="en-GB"/>
        </w:rPr>
        <w:t>Vain metsäteollisuus haluaa järeän puun pois haketuesta (Only the forest industry wants to exclude sturdy wood from woodchip financial support)</w:t>
      </w:r>
      <w:r w:rsidRPr="002A05C5">
        <w:rPr>
          <w:rFonts w:ascii="Times New Roman" w:eastAsia="Times New Roman" w:hAnsi="Times New Roman" w:cs="Times New Roman"/>
          <w:sz w:val="24"/>
          <w:szCs w:val="24"/>
          <w:lang w:val="en-GB"/>
        </w:rPr>
        <w:t>. News article, no 9. Maaseudun Tulevaisuus.</w:t>
      </w:r>
    </w:p>
    <w:p w14:paraId="1C8D2E72"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13.3.2015. </w:t>
      </w:r>
      <w:r w:rsidRPr="002A05C5">
        <w:rPr>
          <w:rFonts w:ascii="Times New Roman" w:eastAsia="Times New Roman" w:hAnsi="Times New Roman" w:cs="Times New Roman"/>
          <w:i/>
          <w:sz w:val="24"/>
          <w:szCs w:val="24"/>
          <w:lang w:val="en-GB"/>
        </w:rPr>
        <w:t>Turveveron ja haketuen muutoksen ajankohta jää auki (The date of change in the peat taxation and woodchip financial support remains open).</w:t>
      </w:r>
      <w:r w:rsidRPr="002A05C5">
        <w:rPr>
          <w:rFonts w:ascii="Times New Roman" w:eastAsia="Times New Roman" w:hAnsi="Times New Roman" w:cs="Times New Roman"/>
          <w:sz w:val="24"/>
          <w:szCs w:val="24"/>
          <w:lang w:val="en-GB"/>
        </w:rPr>
        <w:t xml:space="preserve"> News article, no. 10. Maaseudun Tulevaisuus.</w:t>
      </w:r>
    </w:p>
    <w:p w14:paraId="5AB60905"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i/>
          <w:sz w:val="24"/>
          <w:szCs w:val="24"/>
          <w:lang w:val="en-GB"/>
        </w:rPr>
        <w:t>MT</w:t>
      </w:r>
      <w:r w:rsidRPr="002A05C5">
        <w:rPr>
          <w:rFonts w:ascii="Times New Roman" w:eastAsia="Times New Roman" w:hAnsi="Times New Roman" w:cs="Times New Roman"/>
          <w:sz w:val="24"/>
          <w:szCs w:val="24"/>
          <w:lang w:val="en-GB"/>
        </w:rPr>
        <w:t xml:space="preserve"> 23.5.2015. Hyvästit sähkölaskulle (Fairwall to the electricity bill). News article, no 8. Maaseudun Tulevaisuus.</w:t>
      </w:r>
    </w:p>
    <w:p w14:paraId="4D216DDE"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Natural Resources Institute Finland. (2017). Wood in energy generation 2016. stat.luke.fi Accessed 23 May 2018.</w:t>
      </w:r>
    </w:p>
    <w:p w14:paraId="6595AADA"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Natural Resources Institute Finland. (2018). Wood in energy generation 2017. stat.luke.fi Accessed 23 May 2018.</w:t>
      </w:r>
    </w:p>
    <w:p w14:paraId="577046DE" w14:textId="2B56C3E6" w:rsidR="007806FD"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Natural Resources Institute Finland. (2019). Wood in energy generation 2018. Stat.luke.fi Accessed 17th June 2019. </w:t>
      </w:r>
    </w:p>
    <w:p w14:paraId="3AA60793" w14:textId="2007BE3E" w:rsidR="00EB5C2A" w:rsidRPr="00EB5C2A" w:rsidRDefault="00EB5C2A">
      <w:p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en-GB"/>
        </w:rPr>
        <w:t xml:space="preserve">Nygrén, N., Kontio, P., Lyytimäki, J., Varho, V. &amp; Tapio, P. (2015). </w:t>
      </w:r>
      <w:r w:rsidRPr="00EB5C2A">
        <w:rPr>
          <w:rFonts w:ascii="Times New Roman" w:eastAsia="Times New Roman" w:hAnsi="Times New Roman" w:cs="Times New Roman"/>
          <w:sz w:val="24"/>
          <w:szCs w:val="24"/>
          <w:lang w:val="en-GB"/>
        </w:rPr>
        <w:t>Early adopters boosting the diffusion of sustainable small-scale energy solutions</w:t>
      </w:r>
      <w:r>
        <w:rPr>
          <w:rFonts w:ascii="Times New Roman" w:eastAsia="Times New Roman" w:hAnsi="Times New Roman" w:cs="Times New Roman"/>
          <w:sz w:val="24"/>
          <w:szCs w:val="24"/>
          <w:lang w:val="en-GB"/>
        </w:rPr>
        <w:t xml:space="preserve">. </w:t>
      </w:r>
      <w:r w:rsidRPr="00EB5C2A">
        <w:rPr>
          <w:rFonts w:ascii="Times New Roman" w:eastAsia="Times New Roman" w:hAnsi="Times New Roman" w:cs="Times New Roman"/>
          <w:i/>
          <w:sz w:val="24"/>
          <w:szCs w:val="24"/>
          <w:lang w:val="en-GB"/>
        </w:rPr>
        <w:t>Renewable and Sustainable Energy Reviews</w:t>
      </w:r>
      <w:r>
        <w:rPr>
          <w:rFonts w:ascii="Times New Roman" w:eastAsia="Times New Roman" w:hAnsi="Times New Roman" w:cs="Times New Roman"/>
          <w:sz w:val="24"/>
          <w:szCs w:val="24"/>
          <w:lang w:val="en-GB"/>
        </w:rPr>
        <w:t xml:space="preserve">, 46, 79-87. DOI: </w:t>
      </w:r>
      <w:r w:rsidRPr="00EB5C2A">
        <w:rPr>
          <w:rFonts w:ascii="Times New Roman" w:eastAsia="Times New Roman" w:hAnsi="Times New Roman" w:cs="Times New Roman"/>
          <w:sz w:val="24"/>
          <w:szCs w:val="24"/>
          <w:lang w:val="en-GB"/>
        </w:rPr>
        <w:t>10.1016/j.rser.2015.02.031</w:t>
      </w:r>
      <w:r>
        <w:rPr>
          <w:rFonts w:ascii="Times New Roman" w:eastAsia="Times New Roman" w:hAnsi="Times New Roman" w:cs="Times New Roman"/>
          <w:sz w:val="24"/>
          <w:szCs w:val="24"/>
          <w:lang w:val="en-GB"/>
        </w:rPr>
        <w:t xml:space="preserve">. </w:t>
      </w:r>
    </w:p>
    <w:p w14:paraId="67731AB0" w14:textId="4914503B" w:rsidR="00EB5C2A" w:rsidRPr="00EB5C2A" w:rsidRDefault="00EB5C2A">
      <w:p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fi-FI"/>
        </w:rPr>
        <w:t xml:space="preserve">Nygrén, N., Tapio, P. &amp; Qi, Y. (2017). </w:t>
      </w:r>
      <w:r w:rsidRPr="00EB5C2A">
        <w:rPr>
          <w:rFonts w:ascii="Times New Roman" w:eastAsia="Times New Roman" w:hAnsi="Times New Roman" w:cs="Times New Roman"/>
          <w:sz w:val="24"/>
          <w:szCs w:val="24"/>
          <w:lang w:val="en-GB"/>
        </w:rPr>
        <w:t>Lake management in 2030—Five future images based on an international Delphi study</w:t>
      </w:r>
      <w:r>
        <w:rPr>
          <w:rFonts w:ascii="Times New Roman" w:eastAsia="Times New Roman" w:hAnsi="Times New Roman" w:cs="Times New Roman"/>
          <w:sz w:val="24"/>
          <w:szCs w:val="24"/>
          <w:lang w:val="en-GB"/>
        </w:rPr>
        <w:t xml:space="preserve">. </w:t>
      </w:r>
      <w:r w:rsidRPr="00EB5C2A">
        <w:rPr>
          <w:rFonts w:ascii="Times New Roman" w:eastAsia="Times New Roman" w:hAnsi="Times New Roman" w:cs="Times New Roman"/>
          <w:i/>
          <w:sz w:val="24"/>
          <w:szCs w:val="24"/>
          <w:lang w:val="en-GB"/>
        </w:rPr>
        <w:t>Futures</w:t>
      </w:r>
      <w:r>
        <w:rPr>
          <w:rFonts w:ascii="Times New Roman" w:eastAsia="Times New Roman" w:hAnsi="Times New Roman" w:cs="Times New Roman"/>
          <w:sz w:val="24"/>
          <w:szCs w:val="24"/>
          <w:lang w:val="en-GB"/>
        </w:rPr>
        <w:t>, 93, 1-13. DOI:</w:t>
      </w:r>
      <w:r w:rsidRPr="00EB5C2A">
        <w:t xml:space="preserve"> </w:t>
      </w:r>
      <w:r w:rsidRPr="00EB5C2A">
        <w:rPr>
          <w:rFonts w:ascii="Times New Roman" w:eastAsia="Times New Roman" w:hAnsi="Times New Roman" w:cs="Times New Roman"/>
          <w:sz w:val="24"/>
          <w:szCs w:val="24"/>
          <w:lang w:val="en-GB"/>
        </w:rPr>
        <w:t>10.1016/j.futures.2017.08.004</w:t>
      </w:r>
    </w:p>
    <w:p w14:paraId="0BBD265D" w14:textId="77777777" w:rsidR="007806FD" w:rsidRPr="002A05C5" w:rsidRDefault="00BD1B5F">
      <w:pPr>
        <w:spacing w:before="240"/>
        <w:rPr>
          <w:rFonts w:ascii="Times New Roman" w:eastAsia="Times New Roman" w:hAnsi="Times New Roman" w:cs="Times New Roman"/>
          <w:sz w:val="24"/>
          <w:szCs w:val="24"/>
          <w:lang w:val="en-GB"/>
        </w:rPr>
      </w:pPr>
      <w:r w:rsidRPr="00EB5C2A">
        <w:rPr>
          <w:rFonts w:ascii="Times New Roman" w:eastAsia="Times New Roman" w:hAnsi="Times New Roman" w:cs="Times New Roman"/>
          <w:sz w:val="24"/>
          <w:szCs w:val="24"/>
          <w:lang w:val="en-GB"/>
        </w:rPr>
        <w:t xml:space="preserve">Peltola, A. (ed.) (2014). </w:t>
      </w:r>
      <w:r w:rsidRPr="002A05C5">
        <w:rPr>
          <w:rFonts w:ascii="Times New Roman" w:eastAsia="Times New Roman" w:hAnsi="Times New Roman" w:cs="Times New Roman"/>
          <w:i/>
          <w:sz w:val="24"/>
          <w:szCs w:val="24"/>
          <w:lang w:val="en-GB"/>
        </w:rPr>
        <w:t>Finnish Statistical Yearbook of Forestry 2014</w:t>
      </w:r>
      <w:r w:rsidRPr="002A05C5">
        <w:rPr>
          <w:rFonts w:ascii="Times New Roman" w:eastAsia="Times New Roman" w:hAnsi="Times New Roman" w:cs="Times New Roman"/>
          <w:sz w:val="24"/>
          <w:szCs w:val="24"/>
          <w:lang w:val="en-GB"/>
        </w:rPr>
        <w:t>. Tampere: Finnish Forest Research Institute.</w:t>
      </w:r>
    </w:p>
    <w:p w14:paraId="1F478059"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Polak, F. (1973). </w:t>
      </w:r>
      <w:r w:rsidRPr="002A05C5">
        <w:rPr>
          <w:rFonts w:ascii="Times New Roman" w:eastAsia="Times New Roman" w:hAnsi="Times New Roman" w:cs="Times New Roman"/>
          <w:i/>
          <w:sz w:val="24"/>
          <w:szCs w:val="24"/>
          <w:lang w:val="en-GB"/>
        </w:rPr>
        <w:t>The image of the future</w:t>
      </w:r>
      <w:r w:rsidRPr="002A05C5">
        <w:rPr>
          <w:rFonts w:ascii="Times New Roman" w:eastAsia="Times New Roman" w:hAnsi="Times New Roman" w:cs="Times New Roman"/>
          <w:sz w:val="24"/>
          <w:szCs w:val="24"/>
          <w:lang w:val="en-GB"/>
        </w:rPr>
        <w:t>. Amsterdam: Elsevier Scientific Publishing Company.</w:t>
      </w:r>
    </w:p>
    <w:p w14:paraId="2E29A75E" w14:textId="77777777" w:rsidR="007806FD" w:rsidRPr="00DC6933" w:rsidRDefault="00BD1B5F">
      <w:pPr>
        <w:spacing w:before="240"/>
        <w:rPr>
          <w:rFonts w:ascii="Times New Roman" w:eastAsia="Times New Roman" w:hAnsi="Times New Roman" w:cs="Times New Roman"/>
          <w:sz w:val="24"/>
          <w:szCs w:val="24"/>
          <w:lang w:val="fi-FI"/>
        </w:rPr>
      </w:pPr>
      <w:r w:rsidRPr="00DC6933">
        <w:rPr>
          <w:rFonts w:ascii="Times New Roman" w:eastAsia="Times New Roman" w:hAnsi="Times New Roman" w:cs="Times New Roman"/>
          <w:sz w:val="24"/>
          <w:szCs w:val="24"/>
          <w:lang w:val="fi-FI"/>
        </w:rPr>
        <w:t xml:space="preserve">Raitanen, E., Antikainen, R., Turunen, T., Primmer, E., Seppälä, J. (2017). </w:t>
      </w:r>
      <w:r w:rsidRPr="002A05C5">
        <w:rPr>
          <w:rFonts w:ascii="Times New Roman" w:eastAsia="Times New Roman" w:hAnsi="Times New Roman" w:cs="Times New Roman"/>
          <w:i/>
          <w:sz w:val="24"/>
          <w:szCs w:val="24"/>
          <w:lang w:val="en-GB"/>
        </w:rPr>
        <w:t>Biomassan kaskadiperiaate ja muut politiikkatoimet: Synergiat ja ristiriidat.</w:t>
      </w:r>
      <w:r w:rsidRPr="002A05C5">
        <w:rPr>
          <w:rFonts w:ascii="Times New Roman" w:eastAsia="Times New Roman" w:hAnsi="Times New Roman" w:cs="Times New Roman"/>
          <w:sz w:val="24"/>
          <w:szCs w:val="24"/>
          <w:lang w:val="en-GB"/>
        </w:rPr>
        <w:t xml:space="preserve"> (</w:t>
      </w:r>
      <w:r w:rsidRPr="002A05C5">
        <w:rPr>
          <w:rFonts w:ascii="Times New Roman" w:eastAsia="Times New Roman" w:hAnsi="Times New Roman" w:cs="Times New Roman"/>
          <w:i/>
          <w:sz w:val="24"/>
          <w:szCs w:val="24"/>
          <w:lang w:val="en-GB"/>
        </w:rPr>
        <w:t>Cascading of biomass and other policy instruments – synergies and conflicts</w:t>
      </w:r>
      <w:r w:rsidRPr="002A05C5">
        <w:rPr>
          <w:rFonts w:ascii="Times New Roman" w:eastAsia="Times New Roman" w:hAnsi="Times New Roman" w:cs="Times New Roman"/>
          <w:sz w:val="24"/>
          <w:szCs w:val="24"/>
          <w:lang w:val="en-GB"/>
        </w:rPr>
        <w:t xml:space="preserve">). Reports of the Finnish Environment Institute 27/2017. </w:t>
      </w:r>
      <w:r w:rsidRPr="00DC6933">
        <w:rPr>
          <w:rFonts w:ascii="Times New Roman" w:eastAsia="Times New Roman" w:hAnsi="Times New Roman" w:cs="Times New Roman"/>
          <w:sz w:val="24"/>
          <w:szCs w:val="24"/>
          <w:lang w:val="fi-FI"/>
        </w:rPr>
        <w:t xml:space="preserve">Finnish Environment Institute, Helsinki. </w:t>
      </w:r>
    </w:p>
    <w:p w14:paraId="07DCD6F8" w14:textId="77777777" w:rsidR="007806FD" w:rsidRPr="002A05C5" w:rsidRDefault="00BD1B5F">
      <w:pPr>
        <w:spacing w:before="240"/>
        <w:rPr>
          <w:rFonts w:ascii="Times New Roman" w:eastAsia="Times New Roman" w:hAnsi="Times New Roman" w:cs="Times New Roman"/>
          <w:sz w:val="24"/>
          <w:szCs w:val="24"/>
          <w:lang w:val="en-GB"/>
        </w:rPr>
      </w:pPr>
      <w:r w:rsidRPr="00DC6933">
        <w:rPr>
          <w:rFonts w:ascii="Times New Roman" w:eastAsia="Times New Roman" w:hAnsi="Times New Roman" w:cs="Times New Roman"/>
          <w:sz w:val="24"/>
          <w:szCs w:val="24"/>
          <w:lang w:val="fi-FI"/>
        </w:rPr>
        <w:t xml:space="preserve">Rämö, A-K., Toivonen, R., Tahvanainen, L. &amp; Silvennoinen, H. (2002) </w:t>
      </w:r>
      <w:r w:rsidRPr="00DC6933">
        <w:rPr>
          <w:rFonts w:ascii="Times New Roman" w:eastAsia="Times New Roman" w:hAnsi="Times New Roman" w:cs="Times New Roman"/>
          <w:i/>
          <w:sz w:val="24"/>
          <w:szCs w:val="24"/>
          <w:lang w:val="fi-FI"/>
        </w:rPr>
        <w:t xml:space="preserve">Energiaa puusta - kuluttajien käsitykset puun energiakäytöstä. </w:t>
      </w:r>
      <w:r w:rsidRPr="002A05C5">
        <w:rPr>
          <w:rFonts w:ascii="Times New Roman" w:eastAsia="Times New Roman" w:hAnsi="Times New Roman" w:cs="Times New Roman"/>
          <w:i/>
          <w:sz w:val="24"/>
          <w:szCs w:val="24"/>
          <w:lang w:val="en-GB"/>
        </w:rPr>
        <w:t>(Consumers’ options of wood as energy source)</w:t>
      </w:r>
      <w:r w:rsidRPr="002A05C5">
        <w:rPr>
          <w:rFonts w:ascii="Times New Roman" w:eastAsia="Times New Roman" w:hAnsi="Times New Roman" w:cs="Times New Roman"/>
          <w:sz w:val="24"/>
          <w:szCs w:val="24"/>
          <w:lang w:val="en-GB"/>
        </w:rPr>
        <w:t xml:space="preserve">. Pellervo Economic Research Institute Working Papers N:o. 52. Helsinki. </w:t>
      </w:r>
    </w:p>
    <w:p w14:paraId="4586A9A8" w14:textId="77777777" w:rsidR="007806FD" w:rsidRPr="002A05C5" w:rsidRDefault="00BD1B5F">
      <w:pPr>
        <w:spacing w:before="240"/>
        <w:rPr>
          <w:rFonts w:ascii="Times New Roman" w:eastAsia="Times New Roman" w:hAnsi="Times New Roman" w:cs="Times New Roman"/>
          <w:sz w:val="24"/>
          <w:szCs w:val="24"/>
          <w:lang w:val="en-GB"/>
        </w:rPr>
      </w:pPr>
      <w:r w:rsidRPr="000D7494">
        <w:rPr>
          <w:rFonts w:ascii="Times New Roman" w:eastAsia="Times New Roman" w:hAnsi="Times New Roman" w:cs="Times New Roman"/>
          <w:sz w:val="24"/>
          <w:szCs w:val="24"/>
          <w:lang w:val="en-GB"/>
        </w:rPr>
        <w:t xml:space="preserve">Rikkonen, P., Tapio, P. &amp; Rintamäki, H. (2019). </w:t>
      </w:r>
      <w:r w:rsidRPr="002A05C5">
        <w:rPr>
          <w:rFonts w:ascii="Times New Roman" w:eastAsia="Times New Roman" w:hAnsi="Times New Roman" w:cs="Times New Roman"/>
          <w:sz w:val="24"/>
          <w:szCs w:val="24"/>
          <w:lang w:val="en-GB"/>
        </w:rPr>
        <w:t xml:space="preserve">Visions for small-scale renewable energy production on Finnish farms - A Delphi study on the opportunities for new business. </w:t>
      </w:r>
      <w:r w:rsidRPr="002A05C5">
        <w:rPr>
          <w:rFonts w:ascii="Times New Roman" w:eastAsia="Times New Roman" w:hAnsi="Times New Roman" w:cs="Times New Roman"/>
          <w:i/>
          <w:sz w:val="24"/>
          <w:szCs w:val="24"/>
          <w:lang w:val="en-GB"/>
        </w:rPr>
        <w:t>Energy Policy</w:t>
      </w:r>
      <w:r w:rsidRPr="002A05C5">
        <w:rPr>
          <w:rFonts w:ascii="Times New Roman" w:eastAsia="Times New Roman" w:hAnsi="Times New Roman" w:cs="Times New Roman"/>
          <w:sz w:val="24"/>
          <w:szCs w:val="24"/>
          <w:lang w:val="en-GB"/>
        </w:rPr>
        <w:t>, 129, 939-948. DOI: 10.1016/j.enpol.2019.03.004</w:t>
      </w:r>
    </w:p>
    <w:p w14:paraId="356D9B2B"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Rubin, A. (2013). Hidden, inconsistent, and influential: Images of the future in changing times. </w:t>
      </w:r>
      <w:r w:rsidRPr="002A05C5">
        <w:rPr>
          <w:rFonts w:ascii="Times New Roman" w:eastAsia="Times New Roman" w:hAnsi="Times New Roman" w:cs="Times New Roman"/>
          <w:i/>
          <w:sz w:val="24"/>
          <w:szCs w:val="24"/>
          <w:lang w:val="en-GB"/>
        </w:rPr>
        <w:t>Futures</w:t>
      </w:r>
      <w:r w:rsidRPr="002A05C5">
        <w:rPr>
          <w:rFonts w:ascii="Times New Roman" w:eastAsia="Times New Roman" w:hAnsi="Times New Roman" w:cs="Times New Roman"/>
          <w:sz w:val="24"/>
          <w:szCs w:val="24"/>
          <w:lang w:val="en-GB"/>
        </w:rPr>
        <w:t>,</w:t>
      </w:r>
      <w:r w:rsidRPr="002A05C5">
        <w:rPr>
          <w:rFonts w:ascii="Times New Roman" w:eastAsia="Times New Roman" w:hAnsi="Times New Roman" w:cs="Times New Roman"/>
          <w:i/>
          <w:sz w:val="24"/>
          <w:szCs w:val="24"/>
          <w:lang w:val="en-GB"/>
        </w:rPr>
        <w:t xml:space="preserve"> </w:t>
      </w:r>
      <w:r w:rsidRPr="002A05C5">
        <w:rPr>
          <w:rFonts w:ascii="Times New Roman" w:eastAsia="Times New Roman" w:hAnsi="Times New Roman" w:cs="Times New Roman"/>
          <w:sz w:val="24"/>
          <w:szCs w:val="24"/>
          <w:lang w:val="en-GB"/>
        </w:rPr>
        <w:t>45, 38-44. DOI: 10.1016/j.futures.2012.11.011</w:t>
      </w:r>
    </w:p>
    <w:p w14:paraId="4F36CFC4" w14:textId="77777777" w:rsidR="007806FD" w:rsidRPr="00DC6933" w:rsidRDefault="00BD1B5F">
      <w:pPr>
        <w:spacing w:before="240"/>
        <w:rPr>
          <w:rFonts w:ascii="Times New Roman" w:eastAsia="Times New Roman" w:hAnsi="Times New Roman" w:cs="Times New Roman"/>
          <w:sz w:val="24"/>
          <w:szCs w:val="24"/>
          <w:lang w:val="fi-FI"/>
        </w:rPr>
      </w:pPr>
      <w:r w:rsidRPr="002A05C5">
        <w:rPr>
          <w:rFonts w:ascii="Times New Roman" w:eastAsia="Times New Roman" w:hAnsi="Times New Roman" w:cs="Times New Roman"/>
          <w:sz w:val="24"/>
          <w:szCs w:val="24"/>
          <w:lang w:val="en-GB"/>
        </w:rPr>
        <w:t xml:space="preserve">Ruggiero, S., Varho, V. &amp; Rikkonen, P. (2015). Transition to distributed energy generation in Finland: Prospects and barriers. </w:t>
      </w:r>
      <w:r w:rsidRPr="00DC6933">
        <w:rPr>
          <w:rFonts w:ascii="Times New Roman" w:eastAsia="Times New Roman" w:hAnsi="Times New Roman" w:cs="Times New Roman"/>
          <w:i/>
          <w:sz w:val="24"/>
          <w:szCs w:val="24"/>
          <w:lang w:val="fi-FI"/>
        </w:rPr>
        <w:t>Energy Policy</w:t>
      </w:r>
      <w:r w:rsidRPr="00DC6933">
        <w:rPr>
          <w:rFonts w:ascii="Times New Roman" w:eastAsia="Times New Roman" w:hAnsi="Times New Roman" w:cs="Times New Roman"/>
          <w:sz w:val="24"/>
          <w:szCs w:val="24"/>
          <w:lang w:val="fi-FI"/>
        </w:rPr>
        <w:t>, 86, 433-443. DOI: 10.1016/j.enpol.2015.07.024</w:t>
      </w:r>
    </w:p>
    <w:p w14:paraId="593DA214" w14:textId="77777777" w:rsidR="007806FD" w:rsidRPr="002A05C5" w:rsidRDefault="00BD1B5F">
      <w:pPr>
        <w:spacing w:before="240"/>
        <w:rPr>
          <w:rFonts w:ascii="Times New Roman" w:eastAsia="Times New Roman" w:hAnsi="Times New Roman" w:cs="Times New Roman"/>
          <w:sz w:val="24"/>
          <w:szCs w:val="24"/>
          <w:lang w:val="en-GB"/>
        </w:rPr>
      </w:pPr>
      <w:r w:rsidRPr="00DC6933">
        <w:rPr>
          <w:rFonts w:ascii="Times New Roman" w:eastAsia="Times New Roman" w:hAnsi="Times New Roman" w:cs="Times New Roman"/>
          <w:sz w:val="24"/>
          <w:szCs w:val="24"/>
          <w:lang w:val="fi-FI"/>
        </w:rPr>
        <w:t>Savolainen, H., Karhinen, S., Ulvi, T. &amp; Kopsakangas-Savolainen, M. 2019.</w:t>
      </w:r>
      <w:r w:rsidRPr="00DC6933">
        <w:rPr>
          <w:rFonts w:ascii="Times New Roman" w:eastAsia="Times New Roman" w:hAnsi="Times New Roman" w:cs="Times New Roman"/>
          <w:i/>
          <w:sz w:val="24"/>
          <w:szCs w:val="24"/>
          <w:lang w:val="fi-FI"/>
        </w:rPr>
        <w:t xml:space="preserve"> </w:t>
      </w:r>
      <w:r w:rsidRPr="002A05C5">
        <w:rPr>
          <w:rFonts w:ascii="Times New Roman" w:eastAsia="Times New Roman" w:hAnsi="Times New Roman" w:cs="Times New Roman"/>
          <w:i/>
          <w:sz w:val="24"/>
          <w:szCs w:val="24"/>
          <w:lang w:val="en-GB"/>
        </w:rPr>
        <w:t>Hajautetun uusiutuvan energian aluetaloudellisten vaikutusten arviointi ENVIREGIO-mallilla. (Assessing the impact of decentralised renewable energy on the regional economy based on the ENVIREGIO model</w:t>
      </w:r>
      <w:r w:rsidRPr="002A05C5">
        <w:rPr>
          <w:rFonts w:ascii="Times New Roman" w:eastAsia="Times New Roman" w:hAnsi="Times New Roman" w:cs="Times New Roman"/>
          <w:sz w:val="24"/>
          <w:szCs w:val="24"/>
          <w:lang w:val="en-GB"/>
        </w:rPr>
        <w:t xml:space="preserve">). Reports of the Finnish Environment Institute 31/2019. Finnish Environment Institute, Helsinki. </w:t>
      </w:r>
    </w:p>
    <w:p w14:paraId="5BAE9A76"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Statistics Finland. (2018). Use of renewable energy continued growing in 2017. www.stat.fi Accessed 17th June 2019. </w:t>
      </w:r>
    </w:p>
    <w:p w14:paraId="4BF54CDA"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Statistics Finland. (2019). Total consumption of energy increased by 2 per cent in 2018. www.stat.fi Accessed 17th June 2019. </w:t>
      </w:r>
    </w:p>
    <w:p w14:paraId="2B103EB4" w14:textId="77777777" w:rsidR="007806FD" w:rsidRPr="002A05C5" w:rsidRDefault="00BD1B5F">
      <w:pPr>
        <w:spacing w:before="240"/>
        <w:rPr>
          <w:rFonts w:ascii="Times New Roman" w:eastAsia="Times New Roman" w:hAnsi="Times New Roman" w:cs="Times New Roman"/>
          <w:sz w:val="24"/>
          <w:szCs w:val="24"/>
          <w:lang w:val="en-GB"/>
        </w:rPr>
      </w:pPr>
      <w:r w:rsidRPr="00DC6933">
        <w:rPr>
          <w:rFonts w:ascii="Times New Roman" w:eastAsia="Times New Roman" w:hAnsi="Times New Roman" w:cs="Times New Roman"/>
          <w:sz w:val="24"/>
          <w:szCs w:val="24"/>
          <w:lang w:val="fi-FI"/>
        </w:rPr>
        <w:t xml:space="preserve">Tapio, P., Rintamäki, H., Rikkonen, P. &amp; Ruotsalainen, J. (2017). </w:t>
      </w:r>
      <w:r w:rsidRPr="002A05C5">
        <w:rPr>
          <w:rFonts w:ascii="Times New Roman" w:eastAsia="Times New Roman" w:hAnsi="Times New Roman" w:cs="Times New Roman"/>
          <w:sz w:val="24"/>
          <w:szCs w:val="24"/>
          <w:lang w:val="en-GB"/>
        </w:rPr>
        <w:t xml:space="preserve">Pump, boiler, cell or turbine? Six mixed scenarios of energy futures in farms. </w:t>
      </w:r>
      <w:r w:rsidRPr="002A05C5">
        <w:rPr>
          <w:rFonts w:ascii="Times New Roman" w:eastAsia="Times New Roman" w:hAnsi="Times New Roman" w:cs="Times New Roman"/>
          <w:i/>
          <w:sz w:val="24"/>
          <w:szCs w:val="24"/>
          <w:lang w:val="en-GB"/>
        </w:rPr>
        <w:t>Futures</w:t>
      </w:r>
      <w:r w:rsidRPr="002A05C5">
        <w:rPr>
          <w:rFonts w:ascii="Times New Roman" w:eastAsia="Times New Roman" w:hAnsi="Times New Roman" w:cs="Times New Roman"/>
          <w:sz w:val="24"/>
          <w:szCs w:val="24"/>
          <w:lang w:val="en-GB"/>
        </w:rPr>
        <w:t>, 88, 30-42. DOI: 10.1016/j.futures.2017.03.003</w:t>
      </w:r>
    </w:p>
    <w:p w14:paraId="70CAC516"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Tapio, P. &amp; Varho, V. (2005). Wind power in Finland up to the year 2025—‘soft’ scenarios based on expert views. </w:t>
      </w:r>
      <w:r w:rsidRPr="002A05C5">
        <w:rPr>
          <w:rFonts w:ascii="Times New Roman" w:eastAsia="Times New Roman" w:hAnsi="Times New Roman" w:cs="Times New Roman"/>
          <w:i/>
          <w:sz w:val="24"/>
          <w:szCs w:val="24"/>
          <w:lang w:val="en-GB"/>
        </w:rPr>
        <w:t>Energy Policy</w:t>
      </w:r>
      <w:r w:rsidRPr="002A05C5">
        <w:rPr>
          <w:rFonts w:ascii="Times New Roman" w:eastAsia="Times New Roman" w:hAnsi="Times New Roman" w:cs="Times New Roman"/>
          <w:sz w:val="24"/>
          <w:szCs w:val="24"/>
          <w:lang w:val="en-GB"/>
        </w:rPr>
        <w:t>, 33, 1930-1947. DOI: 10.1016/j.enpol.2004.03.006</w:t>
      </w:r>
    </w:p>
    <w:p w14:paraId="2DF7D51B" w14:textId="77777777"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United Nations. 2019. Sustainable Development Goals. www.un.org/sustainabledevelopment/ Accessed 17th June 2019. </w:t>
      </w:r>
    </w:p>
    <w:p w14:paraId="131E3192" w14:textId="6D8A19CF"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Vinnari, M. &amp; Tapio, P. (2009). Future images of meat consumption in 2030. </w:t>
      </w:r>
      <w:r w:rsidRPr="002A05C5">
        <w:rPr>
          <w:rFonts w:ascii="Times New Roman" w:eastAsia="Times New Roman" w:hAnsi="Times New Roman" w:cs="Times New Roman"/>
          <w:i/>
          <w:sz w:val="24"/>
          <w:szCs w:val="24"/>
          <w:lang w:val="en-GB"/>
        </w:rPr>
        <w:t>Futures</w:t>
      </w:r>
      <w:r w:rsidRPr="002A05C5">
        <w:rPr>
          <w:rFonts w:ascii="Times New Roman" w:eastAsia="Times New Roman" w:hAnsi="Times New Roman" w:cs="Times New Roman"/>
          <w:sz w:val="24"/>
          <w:szCs w:val="24"/>
          <w:lang w:val="en-GB"/>
        </w:rPr>
        <w:t>, 41,</w:t>
      </w:r>
      <w:r w:rsidR="00490A4E" w:rsidRPr="002A05C5">
        <w:rPr>
          <w:rFonts w:ascii="Times New Roman" w:eastAsia="Times New Roman" w:hAnsi="Times New Roman" w:cs="Times New Roman"/>
          <w:sz w:val="24"/>
          <w:szCs w:val="24"/>
          <w:lang w:val="en-GB"/>
        </w:rPr>
        <w:t xml:space="preserve"> </w:t>
      </w:r>
      <w:r w:rsidRPr="002A05C5">
        <w:rPr>
          <w:rFonts w:ascii="Times New Roman" w:eastAsia="Times New Roman" w:hAnsi="Times New Roman" w:cs="Times New Roman"/>
          <w:sz w:val="24"/>
          <w:szCs w:val="24"/>
          <w:lang w:val="en-GB"/>
        </w:rPr>
        <w:t>269-278. DOI: 10.1016/j.futures.2008.11.014</w:t>
      </w:r>
    </w:p>
    <w:p w14:paraId="77BD11C4" w14:textId="660CF96E"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Wallgren, C. &amp; Höjer, M. (2009). Eating energy - Identifying possibilities for reduced energy use in the future food supply system. </w:t>
      </w:r>
      <w:r w:rsidRPr="002A05C5">
        <w:rPr>
          <w:rFonts w:ascii="Times New Roman" w:eastAsia="Times New Roman" w:hAnsi="Times New Roman" w:cs="Times New Roman"/>
          <w:i/>
          <w:sz w:val="24"/>
          <w:szCs w:val="24"/>
          <w:lang w:val="en-GB"/>
        </w:rPr>
        <w:t>Energy Policy</w:t>
      </w:r>
      <w:r w:rsidRPr="002A05C5">
        <w:rPr>
          <w:rFonts w:ascii="Times New Roman" w:eastAsia="Times New Roman" w:hAnsi="Times New Roman" w:cs="Times New Roman"/>
          <w:sz w:val="24"/>
          <w:szCs w:val="24"/>
          <w:lang w:val="en-GB"/>
        </w:rPr>
        <w:t xml:space="preserve">, 37, 5803-5813. DOI: 10.1016/j.enpol.2009.08.046. </w:t>
      </w:r>
    </w:p>
    <w:p w14:paraId="07FF8D1F" w14:textId="1AC9EC12" w:rsidR="007806FD" w:rsidRPr="002A05C5" w:rsidRDefault="00BD1B5F">
      <w:pPr>
        <w:spacing w:before="240"/>
        <w:rPr>
          <w:rFonts w:ascii="Times New Roman" w:eastAsia="Times New Roman" w:hAnsi="Times New Roman" w:cs="Times New Roman"/>
          <w:sz w:val="24"/>
          <w:szCs w:val="24"/>
          <w:lang w:val="en-GB"/>
        </w:rPr>
      </w:pPr>
      <w:r w:rsidRPr="002A05C5">
        <w:rPr>
          <w:rFonts w:ascii="Times New Roman" w:eastAsia="Times New Roman" w:hAnsi="Times New Roman" w:cs="Times New Roman"/>
          <w:sz w:val="24"/>
          <w:szCs w:val="24"/>
          <w:lang w:val="en-GB"/>
        </w:rPr>
        <w:t xml:space="preserve"> Warner, A, G. (2010). </w:t>
      </w:r>
      <w:r w:rsidRPr="002A05C5">
        <w:rPr>
          <w:rFonts w:ascii="Times New Roman" w:eastAsia="Times New Roman" w:hAnsi="Times New Roman" w:cs="Times New Roman"/>
          <w:i/>
          <w:sz w:val="24"/>
          <w:szCs w:val="24"/>
          <w:lang w:val="en-GB"/>
        </w:rPr>
        <w:t xml:space="preserve">Strategic Analysis and Choice: A Structured Approach. </w:t>
      </w:r>
      <w:r w:rsidRPr="002A05C5">
        <w:rPr>
          <w:rFonts w:ascii="Times New Roman" w:eastAsia="Times New Roman" w:hAnsi="Times New Roman" w:cs="Times New Roman"/>
          <w:sz w:val="24"/>
          <w:szCs w:val="24"/>
          <w:lang w:val="en-GB"/>
        </w:rPr>
        <w:t>New York: Business Expert Press.</w:t>
      </w:r>
    </w:p>
    <w:p w14:paraId="45BA99B0" w14:textId="08286A1E" w:rsidR="00490A4E" w:rsidRPr="000D7494" w:rsidRDefault="00BD1B5F" w:rsidP="000D7494">
      <w:pPr>
        <w:spacing w:before="240"/>
        <w:rPr>
          <w:rFonts w:ascii="Times New Roman" w:eastAsia="Times New Roman" w:hAnsi="Times New Roman" w:cs="Times New Roman"/>
          <w:lang w:val="en-GB"/>
        </w:rPr>
      </w:pPr>
      <w:r w:rsidRPr="002A05C5">
        <w:rPr>
          <w:rFonts w:ascii="Times New Roman" w:eastAsia="Times New Roman" w:hAnsi="Times New Roman" w:cs="Times New Roman"/>
          <w:lang w:val="en-GB"/>
        </w:rPr>
        <w:t xml:space="preserve"> </w:t>
      </w:r>
    </w:p>
    <w:sectPr w:rsidR="00490A4E" w:rsidRPr="000D7494">
      <w:pgSz w:w="12240" w:h="15840"/>
      <w:pgMar w:top="1440" w:right="1440" w:bottom="1440" w:left="1440"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4EACF6" w14:textId="77777777" w:rsidR="005E3AD7" w:rsidRDefault="005E3AD7" w:rsidP="00BD1B5F">
      <w:pPr>
        <w:spacing w:line="240" w:lineRule="auto"/>
      </w:pPr>
      <w:r>
        <w:separator/>
      </w:r>
    </w:p>
  </w:endnote>
  <w:endnote w:type="continuationSeparator" w:id="0">
    <w:p w14:paraId="0C71DF15" w14:textId="77777777" w:rsidR="005E3AD7" w:rsidRDefault="005E3AD7" w:rsidP="00BD1B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C50150" w14:textId="77777777" w:rsidR="005E3AD7" w:rsidRDefault="005E3AD7" w:rsidP="00BD1B5F">
      <w:pPr>
        <w:spacing w:line="240" w:lineRule="auto"/>
      </w:pPr>
      <w:r>
        <w:separator/>
      </w:r>
    </w:p>
  </w:footnote>
  <w:footnote w:type="continuationSeparator" w:id="0">
    <w:p w14:paraId="7BD20B39" w14:textId="77777777" w:rsidR="005E3AD7" w:rsidRDefault="005E3AD7" w:rsidP="00BD1B5F">
      <w:pPr>
        <w:spacing w:line="240" w:lineRule="auto"/>
      </w:pPr>
      <w:r>
        <w:continuationSeparator/>
      </w:r>
    </w:p>
  </w:footnote>
  <w:footnote w:id="1">
    <w:p w14:paraId="3A2D23DF" w14:textId="77777777" w:rsidR="00556F30" w:rsidRPr="00490A4E" w:rsidRDefault="00556F30" w:rsidP="00BD1B5F">
      <w:pPr>
        <w:widowControl w:val="0"/>
        <w:pBdr>
          <w:top w:val="nil"/>
          <w:left w:val="nil"/>
          <w:bottom w:val="nil"/>
          <w:right w:val="nil"/>
          <w:between w:val="nil"/>
        </w:pBdr>
        <w:spacing w:line="240" w:lineRule="auto"/>
        <w:rPr>
          <w:rFonts w:ascii="Times New Roman" w:hAnsi="Times New Roman" w:cs="Times New Roman"/>
          <w:color w:val="000000"/>
        </w:rPr>
      </w:pPr>
      <w:r w:rsidRPr="00490A4E">
        <w:rPr>
          <w:rStyle w:val="FootnoteReference"/>
          <w:rFonts w:ascii="Times New Roman" w:hAnsi="Times New Roman" w:cs="Times New Roman"/>
        </w:rPr>
        <w:footnoteRef/>
      </w:r>
      <w:r w:rsidRPr="00490A4E">
        <w:rPr>
          <w:rFonts w:ascii="Times New Roman" w:hAnsi="Times New Roman" w:cs="Times New Roman"/>
        </w:rPr>
        <w:t xml:space="preserve"> </w:t>
      </w:r>
      <w:r w:rsidRPr="00490A4E">
        <w:rPr>
          <w:rFonts w:ascii="Times New Roman" w:hAnsi="Times New Roman" w:cs="Times New Roman"/>
          <w:color w:val="000000"/>
        </w:rPr>
        <w:t>The tonne of oil equivalent ('toe') is a unit of measurement of energy, referring to the amount of energy released by burning one tonne of crude oil. 'M' refers to mega = one million.</w:t>
      </w:r>
    </w:p>
    <w:p w14:paraId="160799C1" w14:textId="3674CEC5" w:rsidR="00556F30" w:rsidRPr="00DC6933" w:rsidRDefault="00556F30">
      <w:pPr>
        <w:pStyle w:val="FootnoteText"/>
        <w:rPr>
          <w:rFonts w:ascii="Times New Roman" w:hAnsi="Times New Roman" w:cs="Times New Roman"/>
          <w:lang w:val="en-GB"/>
        </w:rPr>
      </w:pPr>
    </w:p>
  </w:footnote>
  <w:footnote w:id="2">
    <w:p w14:paraId="28135D76" w14:textId="77777777" w:rsidR="00556F30" w:rsidRPr="00490A4E" w:rsidRDefault="00556F30" w:rsidP="00BD1B5F">
      <w:pPr>
        <w:widowControl w:val="0"/>
        <w:pBdr>
          <w:top w:val="nil"/>
          <w:left w:val="nil"/>
          <w:bottom w:val="nil"/>
          <w:right w:val="nil"/>
          <w:between w:val="nil"/>
        </w:pBdr>
        <w:spacing w:line="240" w:lineRule="auto"/>
        <w:rPr>
          <w:rFonts w:ascii="Times New Roman" w:hAnsi="Times New Roman" w:cs="Times New Roman"/>
          <w:color w:val="000000"/>
        </w:rPr>
      </w:pPr>
      <w:r w:rsidRPr="00490A4E">
        <w:rPr>
          <w:rStyle w:val="FootnoteReference"/>
          <w:rFonts w:ascii="Times New Roman" w:hAnsi="Times New Roman" w:cs="Times New Roman"/>
        </w:rPr>
        <w:footnoteRef/>
      </w:r>
      <w:r w:rsidRPr="00490A4E">
        <w:rPr>
          <w:rFonts w:ascii="Times New Roman" w:hAnsi="Times New Roman" w:cs="Times New Roman"/>
        </w:rPr>
        <w:t xml:space="preserve"> </w:t>
      </w:r>
      <w:r w:rsidRPr="00490A4E">
        <w:rPr>
          <w:rFonts w:ascii="Times New Roman" w:hAnsi="Times New Roman" w:cs="Times New Roman"/>
          <w:color w:val="000000"/>
        </w:rPr>
        <w:t>The history of using wood as an energy source is described in detail in Guo et al. 2015</w:t>
      </w:r>
    </w:p>
    <w:p w14:paraId="258E2D03" w14:textId="6A8FC206" w:rsidR="00556F30" w:rsidRPr="00BD1B5F" w:rsidRDefault="00556F30">
      <w:pPr>
        <w:pStyle w:val="FootnoteText"/>
      </w:pPr>
    </w:p>
  </w:footnote>
  <w:footnote w:id="3">
    <w:p w14:paraId="0EAC9D51" w14:textId="1A61CA3D" w:rsidR="00556F30" w:rsidRPr="00490A4E" w:rsidRDefault="00556F30">
      <w:pPr>
        <w:pStyle w:val="FootnoteText"/>
        <w:rPr>
          <w:rFonts w:ascii="Times New Roman" w:hAnsi="Times New Roman" w:cs="Times New Roman"/>
          <w:sz w:val="22"/>
          <w:szCs w:val="22"/>
          <w:lang w:val="en-GB"/>
        </w:rPr>
      </w:pPr>
      <w:r w:rsidRPr="00EB5C2A">
        <w:rPr>
          <w:rStyle w:val="FootnoteReference"/>
          <w:rFonts w:ascii="Times New Roman" w:hAnsi="Times New Roman" w:cs="Times New Roman"/>
          <w:sz w:val="22"/>
          <w:szCs w:val="22"/>
        </w:rPr>
        <w:footnoteRef/>
      </w:r>
      <w:r w:rsidRPr="00EB5C2A">
        <w:rPr>
          <w:rFonts w:ascii="Times New Roman" w:hAnsi="Times New Roman" w:cs="Times New Roman"/>
          <w:sz w:val="22"/>
          <w:szCs w:val="22"/>
        </w:rPr>
        <w:t xml:space="preserve"> </w:t>
      </w:r>
      <w:r w:rsidRPr="00EB5C2A">
        <w:rPr>
          <w:rFonts w:ascii="Times New Roman" w:eastAsia="Times New Roman" w:hAnsi="Times New Roman" w:cs="Times New Roman"/>
          <w:sz w:val="22"/>
          <w:szCs w:val="22"/>
        </w:rPr>
        <w:t>We acknowledge that there are different names for this concept, such as “images of the future” (Polak, 1973; Bell, 2009) and “future image” (e.g. Nygrén, Tapio, Qi, 2017; Vinnari &amp; Tapio, 2009). We here use the concept of “futures images” (see e.g. Kuhmonen, 2017).</w:t>
      </w:r>
    </w:p>
  </w:footnote>
  <w:footnote w:id="4">
    <w:p w14:paraId="7B6C3DEA" w14:textId="3F3AFA92" w:rsidR="00556F30" w:rsidRPr="00490A4E" w:rsidRDefault="00556F30">
      <w:pPr>
        <w:pStyle w:val="FootnoteText"/>
        <w:rPr>
          <w:lang w:val="en-GB"/>
        </w:rPr>
      </w:pPr>
      <w:r>
        <w:rPr>
          <w:rStyle w:val="FootnoteReference"/>
        </w:rPr>
        <w:footnoteRef/>
      </w:r>
      <w:r>
        <w:t xml:space="preserve"> </w:t>
      </w:r>
      <w:r>
        <w:rPr>
          <w:rFonts w:ascii="Times New Roman" w:eastAsia="Times New Roman" w:hAnsi="Times New Roman" w:cs="Times New Roman"/>
        </w:rPr>
        <w:t>The figures presented here are estimations of the amount of woodchips burned in heating and power plants.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83519"/>
    <w:multiLevelType w:val="hybridMultilevel"/>
    <w:tmpl w:val="24B22FFC"/>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 w15:restartNumberingAfterBreak="0">
    <w:nsid w:val="081E1052"/>
    <w:multiLevelType w:val="hybridMultilevel"/>
    <w:tmpl w:val="99DC3D2C"/>
    <w:lvl w:ilvl="0" w:tplc="040B000F">
      <w:start w:val="1"/>
      <w:numFmt w:val="decimal"/>
      <w:lvlText w:val="%1."/>
      <w:lvlJc w:val="left"/>
      <w:pPr>
        <w:ind w:left="2000" w:hanging="360"/>
      </w:pPr>
    </w:lvl>
    <w:lvl w:ilvl="1" w:tplc="040B0019" w:tentative="1">
      <w:start w:val="1"/>
      <w:numFmt w:val="lowerLetter"/>
      <w:lvlText w:val="%2."/>
      <w:lvlJc w:val="left"/>
      <w:pPr>
        <w:ind w:left="2720" w:hanging="360"/>
      </w:pPr>
    </w:lvl>
    <w:lvl w:ilvl="2" w:tplc="040B001B" w:tentative="1">
      <w:start w:val="1"/>
      <w:numFmt w:val="lowerRoman"/>
      <w:lvlText w:val="%3."/>
      <w:lvlJc w:val="right"/>
      <w:pPr>
        <w:ind w:left="3440" w:hanging="180"/>
      </w:pPr>
    </w:lvl>
    <w:lvl w:ilvl="3" w:tplc="040B000F" w:tentative="1">
      <w:start w:val="1"/>
      <w:numFmt w:val="decimal"/>
      <w:lvlText w:val="%4."/>
      <w:lvlJc w:val="left"/>
      <w:pPr>
        <w:ind w:left="4160" w:hanging="360"/>
      </w:pPr>
    </w:lvl>
    <w:lvl w:ilvl="4" w:tplc="040B0019" w:tentative="1">
      <w:start w:val="1"/>
      <w:numFmt w:val="lowerLetter"/>
      <w:lvlText w:val="%5."/>
      <w:lvlJc w:val="left"/>
      <w:pPr>
        <w:ind w:left="4880" w:hanging="360"/>
      </w:pPr>
    </w:lvl>
    <w:lvl w:ilvl="5" w:tplc="040B001B" w:tentative="1">
      <w:start w:val="1"/>
      <w:numFmt w:val="lowerRoman"/>
      <w:lvlText w:val="%6."/>
      <w:lvlJc w:val="right"/>
      <w:pPr>
        <w:ind w:left="5600" w:hanging="180"/>
      </w:pPr>
    </w:lvl>
    <w:lvl w:ilvl="6" w:tplc="040B000F" w:tentative="1">
      <w:start w:val="1"/>
      <w:numFmt w:val="decimal"/>
      <w:lvlText w:val="%7."/>
      <w:lvlJc w:val="left"/>
      <w:pPr>
        <w:ind w:left="6320" w:hanging="360"/>
      </w:pPr>
    </w:lvl>
    <w:lvl w:ilvl="7" w:tplc="040B0019" w:tentative="1">
      <w:start w:val="1"/>
      <w:numFmt w:val="lowerLetter"/>
      <w:lvlText w:val="%8."/>
      <w:lvlJc w:val="left"/>
      <w:pPr>
        <w:ind w:left="7040" w:hanging="360"/>
      </w:pPr>
    </w:lvl>
    <w:lvl w:ilvl="8" w:tplc="040B001B" w:tentative="1">
      <w:start w:val="1"/>
      <w:numFmt w:val="lowerRoman"/>
      <w:lvlText w:val="%9."/>
      <w:lvlJc w:val="right"/>
      <w:pPr>
        <w:ind w:left="7760" w:hanging="180"/>
      </w:pPr>
    </w:lvl>
  </w:abstractNum>
  <w:abstractNum w:abstractNumId="2" w15:restartNumberingAfterBreak="0">
    <w:nsid w:val="0BC654A1"/>
    <w:multiLevelType w:val="hybridMultilevel"/>
    <w:tmpl w:val="EB34E240"/>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3" w15:restartNumberingAfterBreak="0">
    <w:nsid w:val="0EB736C1"/>
    <w:multiLevelType w:val="hybridMultilevel"/>
    <w:tmpl w:val="9FF4DB0C"/>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4" w15:restartNumberingAfterBreak="0">
    <w:nsid w:val="10DE4316"/>
    <w:multiLevelType w:val="hybridMultilevel"/>
    <w:tmpl w:val="25CC6B5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12AB5020"/>
    <w:multiLevelType w:val="hybridMultilevel"/>
    <w:tmpl w:val="1DA82C36"/>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6" w15:restartNumberingAfterBreak="0">
    <w:nsid w:val="21DA6137"/>
    <w:multiLevelType w:val="hybridMultilevel"/>
    <w:tmpl w:val="8E98C7E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7" w15:restartNumberingAfterBreak="0">
    <w:nsid w:val="28172292"/>
    <w:multiLevelType w:val="hybridMultilevel"/>
    <w:tmpl w:val="CE0651F6"/>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8" w15:restartNumberingAfterBreak="0">
    <w:nsid w:val="29764E93"/>
    <w:multiLevelType w:val="hybridMultilevel"/>
    <w:tmpl w:val="6332D76E"/>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9" w15:restartNumberingAfterBreak="0">
    <w:nsid w:val="38AD1476"/>
    <w:multiLevelType w:val="hybridMultilevel"/>
    <w:tmpl w:val="89E6AC3E"/>
    <w:lvl w:ilvl="0" w:tplc="D9868700">
      <w:start w:val="1"/>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10" w15:restartNumberingAfterBreak="0">
    <w:nsid w:val="38BA0176"/>
    <w:multiLevelType w:val="hybridMultilevel"/>
    <w:tmpl w:val="8C9EFC26"/>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1" w15:restartNumberingAfterBreak="0">
    <w:nsid w:val="38D87D71"/>
    <w:multiLevelType w:val="hybridMultilevel"/>
    <w:tmpl w:val="3176D4C2"/>
    <w:lvl w:ilvl="0" w:tplc="040B000F">
      <w:start w:val="1"/>
      <w:numFmt w:val="decimal"/>
      <w:lvlText w:val="%1."/>
      <w:lvlJc w:val="left"/>
      <w:pPr>
        <w:ind w:left="1440" w:hanging="360"/>
      </w:pPr>
    </w:lvl>
    <w:lvl w:ilvl="1" w:tplc="040B0019" w:tentative="1">
      <w:start w:val="1"/>
      <w:numFmt w:val="lowerLetter"/>
      <w:lvlText w:val="%2."/>
      <w:lvlJc w:val="left"/>
      <w:pPr>
        <w:ind w:left="2160" w:hanging="360"/>
      </w:pPr>
    </w:lvl>
    <w:lvl w:ilvl="2" w:tplc="040B001B" w:tentative="1">
      <w:start w:val="1"/>
      <w:numFmt w:val="lowerRoman"/>
      <w:lvlText w:val="%3."/>
      <w:lvlJc w:val="right"/>
      <w:pPr>
        <w:ind w:left="2880" w:hanging="180"/>
      </w:pPr>
    </w:lvl>
    <w:lvl w:ilvl="3" w:tplc="040B000F" w:tentative="1">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12" w15:restartNumberingAfterBreak="0">
    <w:nsid w:val="3D884AE6"/>
    <w:multiLevelType w:val="hybridMultilevel"/>
    <w:tmpl w:val="F7D2D382"/>
    <w:lvl w:ilvl="0" w:tplc="CBC86848">
      <w:numFmt w:val="bullet"/>
      <w:lvlText w:val="·"/>
      <w:lvlJc w:val="left"/>
      <w:pPr>
        <w:ind w:left="720" w:hanging="360"/>
      </w:pPr>
      <w:rPr>
        <w:rFonts w:ascii="Times New Roman" w:eastAsia="Times New Roman" w:hAnsi="Times New Roman" w:cs="Times New Roman" w:hint="default"/>
        <w:color w:val="000000"/>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4139726F"/>
    <w:multiLevelType w:val="hybridMultilevel"/>
    <w:tmpl w:val="0610FF6A"/>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4" w15:restartNumberingAfterBreak="0">
    <w:nsid w:val="435B3FDC"/>
    <w:multiLevelType w:val="hybridMultilevel"/>
    <w:tmpl w:val="4668761C"/>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5" w15:restartNumberingAfterBreak="0">
    <w:nsid w:val="45F33165"/>
    <w:multiLevelType w:val="hybridMultilevel"/>
    <w:tmpl w:val="07E2B17A"/>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6" w15:restartNumberingAfterBreak="0">
    <w:nsid w:val="5D316697"/>
    <w:multiLevelType w:val="hybridMultilevel"/>
    <w:tmpl w:val="B302EC66"/>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7" w15:restartNumberingAfterBreak="0">
    <w:nsid w:val="67712B0D"/>
    <w:multiLevelType w:val="hybridMultilevel"/>
    <w:tmpl w:val="BEB00E7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8" w15:restartNumberingAfterBreak="0">
    <w:nsid w:val="6DB74732"/>
    <w:multiLevelType w:val="hybridMultilevel"/>
    <w:tmpl w:val="D41CC36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19" w15:restartNumberingAfterBreak="0">
    <w:nsid w:val="6E644015"/>
    <w:multiLevelType w:val="hybridMultilevel"/>
    <w:tmpl w:val="F45C3836"/>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0" w15:restartNumberingAfterBreak="0">
    <w:nsid w:val="70292D61"/>
    <w:multiLevelType w:val="hybridMultilevel"/>
    <w:tmpl w:val="2EEC73CA"/>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1" w15:restartNumberingAfterBreak="0">
    <w:nsid w:val="7101792B"/>
    <w:multiLevelType w:val="hybridMultilevel"/>
    <w:tmpl w:val="65C46D18"/>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2" w15:restartNumberingAfterBreak="0">
    <w:nsid w:val="73915112"/>
    <w:multiLevelType w:val="hybridMultilevel"/>
    <w:tmpl w:val="B7FAA656"/>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3" w15:restartNumberingAfterBreak="0">
    <w:nsid w:val="7849567A"/>
    <w:multiLevelType w:val="hybridMultilevel"/>
    <w:tmpl w:val="7D98A8EC"/>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4" w15:restartNumberingAfterBreak="0">
    <w:nsid w:val="7BB3530A"/>
    <w:multiLevelType w:val="hybridMultilevel"/>
    <w:tmpl w:val="B5D4220C"/>
    <w:lvl w:ilvl="0" w:tplc="040B0001">
      <w:start w:val="1"/>
      <w:numFmt w:val="bullet"/>
      <w:lvlText w:val=""/>
      <w:lvlJc w:val="left"/>
      <w:pPr>
        <w:ind w:left="720" w:hanging="360"/>
      </w:pPr>
      <w:rPr>
        <w:rFonts w:ascii="Symbol" w:hAnsi="Symbol" w:hint="default"/>
        <w:color w:val="000000"/>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9"/>
  </w:num>
  <w:num w:numId="2">
    <w:abstractNumId w:val="15"/>
  </w:num>
  <w:num w:numId="3">
    <w:abstractNumId w:val="13"/>
  </w:num>
  <w:num w:numId="4">
    <w:abstractNumId w:val="14"/>
  </w:num>
  <w:num w:numId="5">
    <w:abstractNumId w:val="23"/>
  </w:num>
  <w:num w:numId="6">
    <w:abstractNumId w:val="18"/>
  </w:num>
  <w:num w:numId="7">
    <w:abstractNumId w:val="7"/>
  </w:num>
  <w:num w:numId="8">
    <w:abstractNumId w:val="8"/>
  </w:num>
  <w:num w:numId="9">
    <w:abstractNumId w:val="21"/>
  </w:num>
  <w:num w:numId="10">
    <w:abstractNumId w:val="5"/>
  </w:num>
  <w:num w:numId="11">
    <w:abstractNumId w:val="2"/>
  </w:num>
  <w:num w:numId="12">
    <w:abstractNumId w:val="22"/>
  </w:num>
  <w:num w:numId="13">
    <w:abstractNumId w:val="20"/>
  </w:num>
  <w:num w:numId="14">
    <w:abstractNumId w:val="16"/>
  </w:num>
  <w:num w:numId="15">
    <w:abstractNumId w:val="10"/>
  </w:num>
  <w:num w:numId="16">
    <w:abstractNumId w:val="17"/>
  </w:num>
  <w:num w:numId="17">
    <w:abstractNumId w:val="0"/>
  </w:num>
  <w:num w:numId="18">
    <w:abstractNumId w:val="6"/>
  </w:num>
  <w:num w:numId="19">
    <w:abstractNumId w:val="1"/>
  </w:num>
  <w:num w:numId="20">
    <w:abstractNumId w:val="9"/>
  </w:num>
  <w:num w:numId="21">
    <w:abstractNumId w:val="3"/>
  </w:num>
  <w:num w:numId="22">
    <w:abstractNumId w:val="11"/>
  </w:num>
  <w:num w:numId="23">
    <w:abstractNumId w:val="4"/>
  </w:num>
  <w:num w:numId="24">
    <w:abstractNumId w:val="12"/>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6FD"/>
    <w:rsid w:val="000D7494"/>
    <w:rsid w:val="0021526B"/>
    <w:rsid w:val="00236200"/>
    <w:rsid w:val="00260781"/>
    <w:rsid w:val="002A05C5"/>
    <w:rsid w:val="002C5832"/>
    <w:rsid w:val="002D6943"/>
    <w:rsid w:val="00356C42"/>
    <w:rsid w:val="00377338"/>
    <w:rsid w:val="003A461D"/>
    <w:rsid w:val="00446527"/>
    <w:rsid w:val="00490A4E"/>
    <w:rsid w:val="00556F30"/>
    <w:rsid w:val="005E3AD7"/>
    <w:rsid w:val="007806FD"/>
    <w:rsid w:val="00826105"/>
    <w:rsid w:val="00831CA5"/>
    <w:rsid w:val="0097219E"/>
    <w:rsid w:val="009735DC"/>
    <w:rsid w:val="009927E2"/>
    <w:rsid w:val="009A12BC"/>
    <w:rsid w:val="00AE06F1"/>
    <w:rsid w:val="00BD1B5F"/>
    <w:rsid w:val="00D05A60"/>
    <w:rsid w:val="00DB6B31"/>
    <w:rsid w:val="00DC6933"/>
    <w:rsid w:val="00EB5C2A"/>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A52F01"/>
  <w15:docId w15:val="{10B5E675-FD58-4385-9743-4C165292F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fi-FI"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D1B5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D1B5F"/>
    <w:rPr>
      <w:rFonts w:ascii="Segoe UI" w:hAnsi="Segoe UI" w:cs="Segoe UI"/>
      <w:sz w:val="18"/>
      <w:szCs w:val="18"/>
    </w:rPr>
  </w:style>
  <w:style w:type="paragraph" w:styleId="FootnoteText">
    <w:name w:val="footnote text"/>
    <w:basedOn w:val="Normal"/>
    <w:link w:val="FootnoteTextChar"/>
    <w:uiPriority w:val="99"/>
    <w:semiHidden/>
    <w:unhideWhenUsed/>
    <w:rsid w:val="00BD1B5F"/>
    <w:pPr>
      <w:spacing w:line="240" w:lineRule="auto"/>
    </w:pPr>
    <w:rPr>
      <w:sz w:val="20"/>
      <w:szCs w:val="20"/>
    </w:rPr>
  </w:style>
  <w:style w:type="character" w:customStyle="1" w:styleId="FootnoteTextChar">
    <w:name w:val="Footnote Text Char"/>
    <w:basedOn w:val="DefaultParagraphFont"/>
    <w:link w:val="FootnoteText"/>
    <w:uiPriority w:val="99"/>
    <w:semiHidden/>
    <w:rsid w:val="00BD1B5F"/>
    <w:rPr>
      <w:sz w:val="20"/>
      <w:szCs w:val="20"/>
    </w:rPr>
  </w:style>
  <w:style w:type="character" w:styleId="FootnoteReference">
    <w:name w:val="footnote reference"/>
    <w:basedOn w:val="DefaultParagraphFont"/>
    <w:uiPriority w:val="99"/>
    <w:semiHidden/>
    <w:unhideWhenUsed/>
    <w:rsid w:val="00BD1B5F"/>
    <w:rPr>
      <w:vertAlign w:val="superscript"/>
    </w:rPr>
  </w:style>
  <w:style w:type="paragraph" w:styleId="ListParagraph">
    <w:name w:val="List Paragraph"/>
    <w:basedOn w:val="Normal"/>
    <w:uiPriority w:val="34"/>
    <w:qFormat/>
    <w:rsid w:val="00490A4E"/>
    <w:pPr>
      <w:spacing w:after="160" w:line="259" w:lineRule="auto"/>
      <w:ind w:left="720"/>
      <w:contextualSpacing/>
    </w:pPr>
    <w:rPr>
      <w:rFonts w:asciiTheme="minorHAnsi" w:eastAsiaTheme="minorHAnsi" w:hAnsiTheme="minorHAnsi" w:cstheme="minorBidi"/>
      <w:lang w:val="fi-FI" w:eastAsia="en-US"/>
    </w:rPr>
  </w:style>
  <w:style w:type="paragraph" w:styleId="NormalWeb">
    <w:name w:val="Normal (Web)"/>
    <w:basedOn w:val="Normal"/>
    <w:uiPriority w:val="99"/>
    <w:semiHidden/>
    <w:unhideWhenUsed/>
    <w:rsid w:val="00AE06F1"/>
    <w:pPr>
      <w:spacing w:before="100" w:beforeAutospacing="1" w:after="100" w:afterAutospacing="1" w:line="240" w:lineRule="auto"/>
    </w:pPr>
    <w:rPr>
      <w:rFonts w:ascii="Times New Roman" w:eastAsia="Times New Roman" w:hAnsi="Times New Roman" w:cs="Times New Roman"/>
      <w:sz w:val="24"/>
      <w:szCs w:val="24"/>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715C0B-3396-4097-A04C-5AD4805B3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8002</Words>
  <Characters>64818</Characters>
  <Application>Microsoft Office Word</Application>
  <DocSecurity>0</DocSecurity>
  <Lines>540</Lines>
  <Paragraphs>145</Paragraphs>
  <ScaleCrop>false</ScaleCrop>
  <HeadingPairs>
    <vt:vector size="2" baseType="variant">
      <vt:variant>
        <vt:lpstr>Title</vt:lpstr>
      </vt:variant>
      <vt:variant>
        <vt:i4>1</vt:i4>
      </vt:variant>
    </vt:vector>
  </HeadingPairs>
  <TitlesOfParts>
    <vt:vector size="1" baseType="lpstr">
      <vt:lpstr/>
    </vt:vector>
  </TitlesOfParts>
  <Company>University Of Jyväskylä</Company>
  <LinksUpToDate>false</LinksUpToDate>
  <CharactersWithSpaces>72675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Mäkelä, Marileena</dc:creator>
  <cp:lastModifiedBy>Marjukka Parkkinen</cp:lastModifiedBy>
  <cp:revision>2</cp:revision>
  <dcterms:created xsi:type="dcterms:W3CDTF">2020-05-25T14:15:00Z</dcterms:created>
  <dcterms:modified xsi:type="dcterms:W3CDTF">2020-05-25T14:15:00Z</dcterms:modified>
</cp:coreProperties>
</file>