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113F" w:rsidRPr="00C1113F" w:rsidRDefault="00634E26" w:rsidP="00C1113F">
      <w:pPr>
        <w:jc w:val="left"/>
        <w:rPr>
          <w:rFonts w:cs="Calibri"/>
          <w:b/>
          <w:sz w:val="24"/>
          <w:lang w:val="en-US"/>
        </w:rPr>
      </w:pPr>
      <w:bookmarkStart w:id="0" w:name="_GoBack"/>
      <w:r>
        <w:rPr>
          <w:rFonts w:cs="Calibri"/>
          <w:b/>
          <w:sz w:val="24"/>
          <w:lang w:val="en-US"/>
        </w:rPr>
        <w:t>Why K</w:t>
      </w:r>
      <w:r w:rsidR="00C1113F" w:rsidRPr="00C1113F">
        <w:rPr>
          <w:rFonts w:cs="Calibri"/>
          <w:b/>
          <w:sz w:val="24"/>
          <w:lang w:val="en-US"/>
        </w:rPr>
        <w:t xml:space="preserve">nowledge </w:t>
      </w:r>
      <w:r>
        <w:rPr>
          <w:rFonts w:cs="Calibri"/>
          <w:b/>
          <w:sz w:val="24"/>
          <w:lang w:val="en-US"/>
        </w:rPr>
        <w:t>T</w:t>
      </w:r>
      <w:r w:rsidR="00C1113F" w:rsidRPr="00C1113F">
        <w:rPr>
          <w:rFonts w:cs="Calibri"/>
          <w:b/>
          <w:sz w:val="24"/>
          <w:lang w:val="en-US"/>
        </w:rPr>
        <w:t>ransfer</w:t>
      </w:r>
      <w:r>
        <w:rPr>
          <w:rFonts w:cs="Calibri"/>
          <w:b/>
          <w:sz w:val="24"/>
          <w:lang w:val="en-US"/>
        </w:rPr>
        <w:t xml:space="preserve"> F</w:t>
      </w:r>
      <w:r w:rsidR="00C1113F" w:rsidRPr="00C1113F">
        <w:rPr>
          <w:rFonts w:cs="Calibri"/>
          <w:b/>
          <w:sz w:val="24"/>
          <w:lang w:val="en-US"/>
        </w:rPr>
        <w:t xml:space="preserve">ails? </w:t>
      </w:r>
      <w:bookmarkEnd w:id="0"/>
      <w:r w:rsidR="00C1113F" w:rsidRPr="00C1113F">
        <w:rPr>
          <w:rFonts w:cs="Calibri"/>
          <w:b/>
          <w:sz w:val="24"/>
          <w:lang w:val="en-US"/>
        </w:rPr>
        <w:t xml:space="preserve">A </w:t>
      </w:r>
      <w:r>
        <w:rPr>
          <w:rFonts w:cs="Calibri"/>
          <w:b/>
          <w:sz w:val="24"/>
          <w:lang w:val="en-US"/>
        </w:rPr>
        <w:t>F</w:t>
      </w:r>
      <w:r w:rsidR="00C1113F" w:rsidRPr="00C1113F">
        <w:rPr>
          <w:rFonts w:cs="Calibri"/>
          <w:b/>
          <w:sz w:val="24"/>
          <w:lang w:val="en-US"/>
        </w:rPr>
        <w:t xml:space="preserve">ailure </w:t>
      </w:r>
      <w:r>
        <w:rPr>
          <w:rFonts w:cs="Calibri"/>
          <w:b/>
          <w:sz w:val="24"/>
          <w:lang w:val="en-US"/>
        </w:rPr>
        <w:t>S</w:t>
      </w:r>
      <w:r w:rsidR="00C1113F" w:rsidRPr="00C1113F">
        <w:rPr>
          <w:rFonts w:cs="Calibri"/>
          <w:b/>
          <w:sz w:val="24"/>
          <w:lang w:val="en-US"/>
        </w:rPr>
        <w:t xml:space="preserve">tory </w:t>
      </w:r>
      <w:r>
        <w:rPr>
          <w:rFonts w:cs="Calibri"/>
          <w:b/>
          <w:sz w:val="24"/>
          <w:lang w:val="en-US"/>
        </w:rPr>
        <w:t>A</w:t>
      </w:r>
      <w:r w:rsidR="00C1113F" w:rsidRPr="00C1113F">
        <w:rPr>
          <w:rFonts w:cs="Calibri"/>
          <w:b/>
          <w:sz w:val="24"/>
          <w:lang w:val="en-US"/>
        </w:rPr>
        <w:t xml:space="preserve">bout </w:t>
      </w:r>
      <w:r>
        <w:rPr>
          <w:rFonts w:cs="Calibri"/>
          <w:b/>
          <w:sz w:val="24"/>
          <w:lang w:val="en-US"/>
        </w:rPr>
        <w:t>T</w:t>
      </w:r>
      <w:r w:rsidR="00C1113F" w:rsidRPr="00C1113F">
        <w:rPr>
          <w:rFonts w:cs="Calibri"/>
          <w:b/>
          <w:sz w:val="24"/>
          <w:lang w:val="en-US"/>
        </w:rPr>
        <w:t xml:space="preserve">iming and </w:t>
      </w:r>
      <w:r>
        <w:rPr>
          <w:rFonts w:cs="Calibri"/>
          <w:b/>
          <w:sz w:val="24"/>
          <w:lang w:val="en-US"/>
        </w:rPr>
        <w:t>O</w:t>
      </w:r>
      <w:r w:rsidR="00C1113F" w:rsidRPr="00C1113F">
        <w:rPr>
          <w:rFonts w:cs="Calibri"/>
          <w:b/>
          <w:sz w:val="24"/>
          <w:lang w:val="en-US"/>
        </w:rPr>
        <w:t>ther</w:t>
      </w:r>
      <w:r>
        <w:rPr>
          <w:rFonts w:cs="Calibri"/>
          <w:b/>
          <w:sz w:val="24"/>
          <w:lang w:val="en-US"/>
        </w:rPr>
        <w:t xml:space="preserve"> F</w:t>
      </w:r>
      <w:r w:rsidR="00C1113F" w:rsidRPr="00C1113F">
        <w:rPr>
          <w:rFonts w:cs="Calibri"/>
          <w:b/>
          <w:sz w:val="24"/>
          <w:lang w:val="en-US"/>
        </w:rPr>
        <w:t>actors.</w:t>
      </w:r>
    </w:p>
    <w:p w:rsidR="00C1113F" w:rsidRPr="00C1113F" w:rsidRDefault="00C1113F" w:rsidP="00C1113F">
      <w:pPr>
        <w:jc w:val="left"/>
        <w:rPr>
          <w:rFonts w:cs="Calibri"/>
          <w:szCs w:val="20"/>
          <w:lang w:val="en-US"/>
        </w:rPr>
      </w:pPr>
    </w:p>
    <w:p w:rsidR="00C1113F" w:rsidRPr="006827BD" w:rsidRDefault="00C1113F" w:rsidP="00C1113F">
      <w:pPr>
        <w:rPr>
          <w:szCs w:val="20"/>
        </w:rPr>
      </w:pPr>
      <w:r w:rsidRPr="006827BD">
        <w:rPr>
          <w:szCs w:val="20"/>
        </w:rPr>
        <w:t>Alberto Gonzalez-Cristiano</w:t>
      </w:r>
    </w:p>
    <w:p w:rsidR="00C1113F" w:rsidRPr="006827BD" w:rsidRDefault="00C1113F" w:rsidP="00C1113F">
      <w:pPr>
        <w:rPr>
          <w:szCs w:val="20"/>
        </w:rPr>
      </w:pPr>
      <w:r w:rsidRPr="006827BD">
        <w:rPr>
          <w:szCs w:val="20"/>
        </w:rPr>
        <w:t>University of Turku, Turku, Finland</w:t>
      </w:r>
    </w:p>
    <w:p w:rsidR="00C1113F" w:rsidRPr="006827BD" w:rsidRDefault="008F3C03" w:rsidP="00C1113F">
      <w:pPr>
        <w:rPr>
          <w:szCs w:val="20"/>
        </w:rPr>
      </w:pPr>
      <w:hyperlink r:id="rId7" w:history="1">
        <w:r w:rsidR="00C1113F" w:rsidRPr="006827BD">
          <w:rPr>
            <w:rStyle w:val="Hyperlinkki"/>
            <w:szCs w:val="20"/>
          </w:rPr>
          <w:t>algocr@utu.fi</w:t>
        </w:r>
      </w:hyperlink>
      <w:r w:rsidR="00C1113F" w:rsidRPr="006827BD">
        <w:rPr>
          <w:szCs w:val="20"/>
        </w:rPr>
        <w:t xml:space="preserve"> </w:t>
      </w:r>
    </w:p>
    <w:p w:rsidR="00C1113F" w:rsidRPr="00C1113F" w:rsidRDefault="00C1113F" w:rsidP="00C1113F">
      <w:pPr>
        <w:jc w:val="center"/>
        <w:rPr>
          <w:rFonts w:cs="Calibri"/>
          <w:szCs w:val="20"/>
          <w:lang w:val="en-US"/>
        </w:rPr>
      </w:pPr>
    </w:p>
    <w:p w:rsidR="00C1113F" w:rsidRPr="00C1113F" w:rsidRDefault="00C1113F" w:rsidP="00FC31DE">
      <w:pPr>
        <w:tabs>
          <w:tab w:val="center" w:pos="4252"/>
        </w:tabs>
        <w:rPr>
          <w:rFonts w:cs="Calibri"/>
          <w:b/>
          <w:szCs w:val="20"/>
          <w:lang w:val="en-US"/>
        </w:rPr>
      </w:pPr>
      <w:r w:rsidRPr="00C1113F">
        <w:rPr>
          <w:rFonts w:cs="Calibri"/>
          <w:b/>
          <w:szCs w:val="20"/>
          <w:lang w:val="en-US"/>
        </w:rPr>
        <w:t xml:space="preserve">Abstract: </w:t>
      </w:r>
      <w:r w:rsidRPr="00C1113F">
        <w:rPr>
          <w:rFonts w:cs="Calibri"/>
          <w:szCs w:val="20"/>
          <w:lang w:val="en-US"/>
        </w:rPr>
        <w:t xml:space="preserve">Failure is a necessary by-product of experimentation and being able to identify early failures is important for recognizing where opportunities are, and are not, and for allowing a quick release of resources for more promising projects. This is particularly important for small enterprises suffering from resource limitations but examining own failures is emotionally unpleasant and entrepreneurs usually show aversion to reflect on their unsuccessful experiences. Overall, organizations that are able to learn from failure are extraordinarily rare despite their commitment to do so and, due to the tendency of researchers to focus on successful cases, the possibilities to learn from failure are diminished. </w:t>
      </w:r>
    </w:p>
    <w:p w:rsidR="00C1113F" w:rsidRPr="00C1113F" w:rsidRDefault="00C1113F" w:rsidP="00C1113F">
      <w:pPr>
        <w:widowControl w:val="0"/>
        <w:rPr>
          <w:rFonts w:cs="Calibri"/>
          <w:szCs w:val="20"/>
          <w:lang w:val="en-US"/>
        </w:rPr>
      </w:pPr>
    </w:p>
    <w:p w:rsidR="00C1113F" w:rsidRPr="00C1113F" w:rsidRDefault="00C1113F" w:rsidP="00C1113F">
      <w:pPr>
        <w:widowControl w:val="0"/>
        <w:rPr>
          <w:rFonts w:cs="Calibri"/>
          <w:szCs w:val="20"/>
          <w:lang w:val="en-US"/>
        </w:rPr>
      </w:pPr>
      <w:r w:rsidRPr="00C1113F">
        <w:rPr>
          <w:rFonts w:cs="Calibri"/>
          <w:szCs w:val="20"/>
          <w:lang w:val="en-US"/>
        </w:rPr>
        <w:t xml:space="preserve">This paper takes a look at a failure case of knowledge transfer in the context of a product development process and analyzes the factors that had a negative influence on it. In order to explore this phenomenon, a single case was used and both actors involved, a graphic designer working in the field of creative industries and his client, were interviewed. Secondary data comprising written documents, references and other relevant material, were also collected for data triangulation. </w:t>
      </w:r>
    </w:p>
    <w:p w:rsidR="00C1113F" w:rsidRPr="00C1113F" w:rsidRDefault="00C1113F" w:rsidP="00C1113F">
      <w:pPr>
        <w:widowControl w:val="0"/>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We found that keeping time, external opinions and the feeling of ownership in mind, is critical to avoid mistakes during the knowledge transfer process. More specifically, the investigated case seemed to fail mainly due to the propensity of the designer to push the project forward without allowing enough time for the client to process and make sense of information. In this regard, we see how designers face a paradox as they pursue effective knowledge transfer. Ambiguity and contradictions make the development process longer but they are necessary for effective knowledge creation. From a managerial perspective, the identified factors point some of the areas in which freelancers and their clients must concentrate as they try to avoid unsuccessful knowledge transfer.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Keywords: Knowledge transfer, Freelancers, Cultural and Creative Industries, Failure case.</w:t>
      </w:r>
    </w:p>
    <w:p w:rsidR="00302091" w:rsidRPr="008D44DA" w:rsidRDefault="00302091" w:rsidP="00302091">
      <w:pPr>
        <w:pStyle w:val="Otsikko1"/>
      </w:pPr>
      <w:r w:rsidRPr="008D44DA">
        <w:t>Introduction</w:t>
      </w:r>
    </w:p>
    <w:p w:rsidR="00C1113F" w:rsidRPr="00C1113F" w:rsidRDefault="00C1113F" w:rsidP="00C1113F">
      <w:pPr>
        <w:rPr>
          <w:rFonts w:cs="Calibri"/>
          <w:szCs w:val="20"/>
          <w:lang w:val="en-US"/>
        </w:rPr>
      </w:pPr>
      <w:r w:rsidRPr="00C1113F">
        <w:rPr>
          <w:rFonts w:cs="Calibri"/>
          <w:szCs w:val="20"/>
          <w:lang w:val="en-US"/>
        </w:rPr>
        <w:t xml:space="preserve">The importance of organizational learning and the capacity of companies to learn from mistakes and failures have been recurrent topics for researchers since the 90s (e.g. Cannon and Edmonson, 2001; Nonaka and Takeuchi, 1995; </w:t>
      </w:r>
      <w:r w:rsidR="000119E6">
        <w:rPr>
          <w:rFonts w:cs="Calibri"/>
          <w:szCs w:val="20"/>
          <w:lang w:val="en-US"/>
        </w:rPr>
        <w:t>Skjølsvik et al</w:t>
      </w:r>
      <w:r w:rsidRPr="00C1113F">
        <w:rPr>
          <w:rFonts w:cs="Calibri"/>
          <w:szCs w:val="20"/>
          <w:lang w:val="en-US"/>
        </w:rPr>
        <w:t>, 2007) but organization</w:t>
      </w:r>
      <w:r w:rsidR="003F3517">
        <w:rPr>
          <w:rFonts w:cs="Calibri"/>
          <w:szCs w:val="20"/>
          <w:lang w:val="en-US"/>
        </w:rPr>
        <w:t>s find learning from failure</w:t>
      </w:r>
      <w:r w:rsidR="00E52BC8">
        <w:rPr>
          <w:rFonts w:cs="Calibri"/>
          <w:szCs w:val="20"/>
          <w:lang w:val="en-US"/>
        </w:rPr>
        <w:t xml:space="preserve"> to be</w:t>
      </w:r>
      <w:r w:rsidR="003F3517">
        <w:rPr>
          <w:rFonts w:cs="Calibri"/>
          <w:szCs w:val="20"/>
          <w:lang w:val="en-US"/>
        </w:rPr>
        <w:t xml:space="preserve"> </w:t>
      </w:r>
      <w:r w:rsidRPr="00C1113F">
        <w:rPr>
          <w:rFonts w:cs="Calibri"/>
          <w:szCs w:val="20"/>
          <w:lang w:val="en-US"/>
        </w:rPr>
        <w:t xml:space="preserve">challenging (Gino and Staats, 2015, 112). Generally, companies seem to agree that not embracing learning “would seem foolish indeed” (Cannon and Edmonson, 2001, 165) but organizations that are </w:t>
      </w:r>
      <w:r w:rsidRPr="00C1113F">
        <w:rPr>
          <w:rFonts w:cs="Calibri"/>
          <w:i/>
          <w:szCs w:val="20"/>
          <w:lang w:val="en-US"/>
        </w:rPr>
        <w:t>really</w:t>
      </w:r>
      <w:r w:rsidRPr="00C1113F">
        <w:rPr>
          <w:rFonts w:cs="Calibri"/>
          <w:szCs w:val="20"/>
          <w:lang w:val="en-US"/>
        </w:rPr>
        <w:t xml:space="preserve"> able to learn from failure are extraordinarily rare despite their commitment to do so (Edmonson, 2011, 49, emphasis added).</w:t>
      </w:r>
    </w:p>
    <w:p w:rsidR="00C1113F" w:rsidRPr="00C1113F" w:rsidRDefault="00C1113F" w:rsidP="00C1113F">
      <w:pPr>
        <w:tabs>
          <w:tab w:val="left" w:pos="3654"/>
        </w:tabs>
        <w:rPr>
          <w:rFonts w:cs="Calibri"/>
          <w:szCs w:val="20"/>
          <w:lang w:val="en-US"/>
        </w:rPr>
      </w:pPr>
      <w:r w:rsidRPr="00C1113F">
        <w:rPr>
          <w:rFonts w:cs="Calibri"/>
          <w:szCs w:val="20"/>
          <w:lang w:val="en-US"/>
        </w:rPr>
        <w:tab/>
      </w:r>
    </w:p>
    <w:p w:rsidR="00782C5E" w:rsidRDefault="007270B6" w:rsidP="00C1113F">
      <w:pPr>
        <w:rPr>
          <w:rFonts w:cs="Calibri"/>
          <w:szCs w:val="20"/>
          <w:lang w:val="en-US"/>
        </w:rPr>
      </w:pPr>
      <w:r>
        <w:rPr>
          <w:rFonts w:cs="Calibri"/>
          <w:szCs w:val="20"/>
          <w:lang w:val="en-US"/>
        </w:rPr>
        <w:t xml:space="preserve">In this </w:t>
      </w:r>
      <w:r w:rsidR="00485C57">
        <w:rPr>
          <w:rFonts w:cs="Calibri"/>
          <w:szCs w:val="20"/>
          <w:lang w:val="en-US"/>
        </w:rPr>
        <w:t>process of</w:t>
      </w:r>
      <w:r w:rsidR="006B6366">
        <w:rPr>
          <w:rFonts w:cs="Calibri"/>
          <w:szCs w:val="20"/>
          <w:lang w:val="en-US"/>
        </w:rPr>
        <w:t xml:space="preserve"> learn</w:t>
      </w:r>
      <w:r w:rsidR="00485C57">
        <w:rPr>
          <w:rFonts w:cs="Calibri"/>
          <w:szCs w:val="20"/>
          <w:lang w:val="en-US"/>
        </w:rPr>
        <w:t>ing</w:t>
      </w:r>
      <w:r w:rsidR="006B6366">
        <w:rPr>
          <w:rFonts w:cs="Calibri"/>
          <w:szCs w:val="20"/>
          <w:lang w:val="en-US"/>
        </w:rPr>
        <w:t xml:space="preserve"> from failure, the</w:t>
      </w:r>
      <w:r w:rsidR="00C1113F" w:rsidRPr="00C1113F">
        <w:rPr>
          <w:rFonts w:cs="Calibri"/>
          <w:szCs w:val="20"/>
          <w:lang w:val="en-US"/>
        </w:rPr>
        <w:t xml:space="preserve"> identification </w:t>
      </w:r>
      <w:r w:rsidR="006B6366">
        <w:rPr>
          <w:rFonts w:cs="Calibri"/>
          <w:szCs w:val="20"/>
          <w:lang w:val="en-US"/>
        </w:rPr>
        <w:t xml:space="preserve">of early mistakes or errors </w:t>
      </w:r>
      <w:r w:rsidR="00C1113F" w:rsidRPr="00C1113F">
        <w:rPr>
          <w:rFonts w:cs="Calibri"/>
          <w:szCs w:val="20"/>
          <w:lang w:val="en-US"/>
        </w:rPr>
        <w:t xml:space="preserve">helps organizations to recognize where opportunities are, and are not, and allows for a quick release of resources for more promising projects (Isenberg, 2011, 36). This ability to quickly reassign assets is particularly relevant for companies suffering from limited resources, such as small and medium </w:t>
      </w:r>
      <w:r w:rsidR="000119E6">
        <w:rPr>
          <w:rFonts w:cs="Calibri"/>
          <w:szCs w:val="20"/>
          <w:lang w:val="en-US"/>
        </w:rPr>
        <w:t>enterprises</w:t>
      </w:r>
      <w:r w:rsidR="00230182">
        <w:rPr>
          <w:rFonts w:cs="Calibri"/>
          <w:szCs w:val="20"/>
          <w:lang w:val="en-US"/>
        </w:rPr>
        <w:t xml:space="preserve"> (SMEs)</w:t>
      </w:r>
      <w:r w:rsidR="000119E6">
        <w:rPr>
          <w:rFonts w:cs="Calibri"/>
          <w:szCs w:val="20"/>
          <w:lang w:val="en-US"/>
        </w:rPr>
        <w:t xml:space="preserve"> (</w:t>
      </w:r>
      <w:r w:rsidR="000119E6" w:rsidRPr="000119E6">
        <w:rPr>
          <w:rFonts w:cs="Calibri"/>
          <w:szCs w:val="20"/>
          <w:lang w:val="en-US"/>
        </w:rPr>
        <w:t>Scozzi, Garavelli and Crowston, 2005</w:t>
      </w:r>
      <w:r w:rsidR="00C1113F" w:rsidRPr="00C1113F">
        <w:rPr>
          <w:rFonts w:cs="Calibri"/>
          <w:szCs w:val="20"/>
          <w:lang w:val="en-US"/>
        </w:rPr>
        <w:t xml:space="preserve">, 122-125) </w:t>
      </w:r>
      <w:r w:rsidR="00782C5E">
        <w:rPr>
          <w:rFonts w:cs="Calibri"/>
          <w:szCs w:val="20"/>
          <w:lang w:val="en-US"/>
        </w:rPr>
        <w:t xml:space="preserve">of which </w:t>
      </w:r>
      <w:r w:rsidR="00782C5E" w:rsidRPr="00C1113F">
        <w:rPr>
          <w:rFonts w:cs="Calibri"/>
          <w:szCs w:val="20"/>
          <w:lang w:val="en-US"/>
        </w:rPr>
        <w:t>microenterprises with less than ten employ</w:t>
      </w:r>
      <w:r w:rsidR="00782C5E">
        <w:rPr>
          <w:rFonts w:cs="Calibri"/>
          <w:szCs w:val="20"/>
          <w:lang w:val="en-US"/>
        </w:rPr>
        <w:t>ees (European Commission, 2003)</w:t>
      </w:r>
      <w:r w:rsidR="00782C5E" w:rsidRPr="00C1113F">
        <w:rPr>
          <w:rFonts w:cs="Calibri"/>
          <w:szCs w:val="20"/>
          <w:lang w:val="en-US"/>
        </w:rPr>
        <w:t xml:space="preserve"> suffer the most. </w:t>
      </w:r>
    </w:p>
    <w:p w:rsidR="00782C5E" w:rsidRDefault="00C1113F" w:rsidP="00C1113F">
      <w:pPr>
        <w:rPr>
          <w:rFonts w:cs="Calibri"/>
          <w:szCs w:val="20"/>
          <w:lang w:val="en-US"/>
        </w:rPr>
      </w:pPr>
      <w:r w:rsidRPr="00C1113F">
        <w:rPr>
          <w:rFonts w:cs="Calibri"/>
          <w:szCs w:val="20"/>
          <w:lang w:val="en-US"/>
        </w:rPr>
        <w:t xml:space="preserve"> </w:t>
      </w:r>
    </w:p>
    <w:p w:rsidR="00C1113F" w:rsidRPr="00C1113F" w:rsidRDefault="00782C5E" w:rsidP="00C1113F">
      <w:pPr>
        <w:rPr>
          <w:rFonts w:cs="Calibri"/>
          <w:szCs w:val="20"/>
          <w:lang w:val="en-US"/>
        </w:rPr>
      </w:pPr>
      <w:r>
        <w:rPr>
          <w:rFonts w:cs="Calibri"/>
          <w:szCs w:val="20"/>
          <w:lang w:val="en-US"/>
        </w:rPr>
        <w:t xml:space="preserve">The </w:t>
      </w:r>
      <w:r w:rsidRPr="00C1113F">
        <w:rPr>
          <w:rFonts w:cs="Calibri"/>
          <w:szCs w:val="20"/>
          <w:lang w:val="en-US"/>
        </w:rPr>
        <w:t xml:space="preserve">role </w:t>
      </w:r>
      <w:r>
        <w:rPr>
          <w:rFonts w:cs="Calibri"/>
          <w:szCs w:val="20"/>
          <w:lang w:val="en-US"/>
        </w:rPr>
        <w:t xml:space="preserve">of these SMEs </w:t>
      </w:r>
      <w:r w:rsidRPr="00C1113F">
        <w:rPr>
          <w:rFonts w:cs="Calibri"/>
          <w:szCs w:val="20"/>
          <w:lang w:val="en-US"/>
        </w:rPr>
        <w:t>as economic actors and job creators is indisputable (e.g. Coviello and Joseph, 2012, 88; EC</w:t>
      </w:r>
      <w:r>
        <w:rPr>
          <w:rFonts w:cs="Calibri"/>
          <w:szCs w:val="20"/>
          <w:lang w:val="en-US"/>
        </w:rPr>
        <w:t>, 2010) and,</w:t>
      </w:r>
      <w:r w:rsidR="00C1113F" w:rsidRPr="00C1113F">
        <w:rPr>
          <w:rFonts w:cs="Calibri"/>
          <w:szCs w:val="20"/>
          <w:lang w:val="en-US"/>
        </w:rPr>
        <w:t xml:space="preserve"> in recent years, we have seen an unprecedented rise in the number of the smallest type </w:t>
      </w:r>
      <w:r>
        <w:rPr>
          <w:rFonts w:cs="Calibri"/>
          <w:szCs w:val="20"/>
          <w:lang w:val="en-US"/>
        </w:rPr>
        <w:t>of microenterprises, the freelancers. T</w:t>
      </w:r>
      <w:r w:rsidR="00C1113F" w:rsidRPr="00C1113F">
        <w:rPr>
          <w:rFonts w:cs="Calibri"/>
          <w:szCs w:val="20"/>
          <w:lang w:val="en-US"/>
        </w:rPr>
        <w:t xml:space="preserve">heir numbers </w:t>
      </w:r>
      <w:r>
        <w:rPr>
          <w:rFonts w:cs="Calibri"/>
          <w:szCs w:val="20"/>
          <w:lang w:val="en-US"/>
        </w:rPr>
        <w:t>have increased</w:t>
      </w:r>
      <w:r w:rsidR="00C1113F" w:rsidRPr="00C1113F">
        <w:rPr>
          <w:rFonts w:cs="Calibri"/>
          <w:szCs w:val="20"/>
          <w:lang w:val="en-US"/>
        </w:rPr>
        <w:t xml:space="preserve"> from 6.2 to 8.9 m</w:t>
      </w:r>
      <w:r>
        <w:rPr>
          <w:rFonts w:cs="Calibri"/>
          <w:szCs w:val="20"/>
          <w:lang w:val="en-US"/>
        </w:rPr>
        <w:t>illion in the 2004-2013 period and t</w:t>
      </w:r>
      <w:r w:rsidR="00C1113F" w:rsidRPr="00C1113F">
        <w:rPr>
          <w:rFonts w:cs="Calibri"/>
          <w:szCs w:val="20"/>
          <w:lang w:val="en-US"/>
        </w:rPr>
        <w:t>hey nowadays account for 25% of those working in professional, scientific and technical work, or 22% in arts and entertainment</w:t>
      </w:r>
      <w:r>
        <w:rPr>
          <w:rFonts w:cs="Calibri"/>
          <w:szCs w:val="20"/>
          <w:lang w:val="en-US"/>
        </w:rPr>
        <w:t xml:space="preserve"> (Leighton and Brown, 2013, 1-5). A</w:t>
      </w:r>
      <w:r w:rsidR="00C1113F" w:rsidRPr="00C1113F">
        <w:rPr>
          <w:rFonts w:cs="Calibri"/>
          <w:szCs w:val="20"/>
          <w:lang w:val="en-US"/>
        </w:rPr>
        <w:t xml:space="preserve">lthough their economic potential is acknowledged (e.g. Rapelli, 2012, 6), they have been systematically neglected by the academic literature (Leighton, 2015, 82). </w:t>
      </w:r>
    </w:p>
    <w:p w:rsidR="00C1113F" w:rsidRPr="00C1113F" w:rsidRDefault="00C1113F" w:rsidP="00C1113F">
      <w:pPr>
        <w:rPr>
          <w:rFonts w:cs="Calibri"/>
          <w:szCs w:val="20"/>
          <w:lang w:val="en-US"/>
        </w:rPr>
      </w:pPr>
      <w:r w:rsidRPr="00C1113F">
        <w:rPr>
          <w:rFonts w:cs="Calibri"/>
          <w:szCs w:val="20"/>
          <w:lang w:val="en-US"/>
        </w:rPr>
        <w:tab/>
      </w:r>
    </w:p>
    <w:p w:rsidR="00C1113F" w:rsidRPr="00C1113F" w:rsidRDefault="00C1113F" w:rsidP="00C1113F">
      <w:pPr>
        <w:rPr>
          <w:rFonts w:cs="Calibri"/>
          <w:szCs w:val="20"/>
          <w:lang w:val="en-US"/>
        </w:rPr>
      </w:pPr>
      <w:r w:rsidRPr="00C1113F">
        <w:rPr>
          <w:rFonts w:cs="Calibri"/>
          <w:szCs w:val="20"/>
          <w:lang w:val="en-US"/>
        </w:rPr>
        <w:t xml:space="preserve">As their numbers grow, freelancers become critical for some sectors such as the one of the cultural and creative industries (CCIs). These industries have been identified as having a crucial role for the economy (EC, </w:t>
      </w:r>
      <w:r w:rsidRPr="00C1113F">
        <w:rPr>
          <w:rFonts w:cs="Calibri"/>
          <w:szCs w:val="20"/>
          <w:lang w:val="en-US"/>
        </w:rPr>
        <w:lastRenderedPageBreak/>
        <w:t>2010; Potts and Cunningham, 2008) and freelancers account for majority of its workforce (Europa Innova, 2011, 9). These CCIs can be seen as those “industries which have their origin in individual creativity, skill and talent and which have a potential for wealth and job creation through the generation and exploitation of intellec</w:t>
      </w:r>
      <w:r w:rsidR="00FC31DE">
        <w:rPr>
          <w:rFonts w:cs="Calibri"/>
          <w:szCs w:val="20"/>
          <w:lang w:val="en-US"/>
        </w:rPr>
        <w:t>tual property” (UK DCMS, 2001</w:t>
      </w:r>
      <w:r w:rsidRPr="00C1113F">
        <w:rPr>
          <w:rFonts w:cs="Calibri"/>
          <w:szCs w:val="20"/>
          <w:lang w:val="en-US"/>
        </w:rPr>
        <w:t xml:space="preserve">). They are characterized for having their value defined by their own development and adoption of knowledge </w:t>
      </w:r>
      <w:r w:rsidRPr="00C1113F">
        <w:rPr>
          <w:rFonts w:cs="Calibri"/>
          <w:color w:val="000000"/>
          <w:szCs w:val="20"/>
          <w:lang w:val="en-US"/>
        </w:rPr>
        <w:t xml:space="preserve">(Potts and Cunningham, 2008, 172) and </w:t>
      </w:r>
      <w:r w:rsidRPr="00C1113F">
        <w:rPr>
          <w:rFonts w:cs="Calibri"/>
          <w:szCs w:val="20"/>
          <w:lang w:val="en-US"/>
        </w:rPr>
        <w:t xml:space="preserve">avoiding failures in knowledge transfer </w:t>
      </w:r>
      <w:r w:rsidR="00782C5E">
        <w:rPr>
          <w:rFonts w:cs="Calibri"/>
          <w:szCs w:val="20"/>
          <w:lang w:val="en-US"/>
        </w:rPr>
        <w:t>is</w:t>
      </w:r>
      <w:r w:rsidRPr="00C1113F">
        <w:rPr>
          <w:rFonts w:cs="Calibri"/>
          <w:szCs w:val="20"/>
          <w:lang w:val="en-US"/>
        </w:rPr>
        <w:t xml:space="preserve"> therefore crucial for freelancers operating in this field.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These freelancers are clearly not the same than large</w:t>
      </w:r>
      <w:r w:rsidR="00230182">
        <w:rPr>
          <w:rFonts w:cs="Calibri"/>
          <w:szCs w:val="20"/>
          <w:lang w:val="en-US"/>
        </w:rPr>
        <w:t>r</w:t>
      </w:r>
      <w:r w:rsidRPr="00C1113F">
        <w:rPr>
          <w:rFonts w:cs="Calibri"/>
          <w:szCs w:val="20"/>
          <w:lang w:val="en-US"/>
        </w:rPr>
        <w:t xml:space="preserve"> enterprises and how they deal with failure is likely to be different as well. For example, larger organizations have the possibility to learn from mistakes and </w:t>
      </w:r>
      <w:r w:rsidRPr="00C1113F">
        <w:rPr>
          <w:rFonts w:cs="Calibri"/>
          <w:i/>
          <w:szCs w:val="20"/>
          <w:lang w:val="en-US"/>
        </w:rPr>
        <w:t>collectively</w:t>
      </w:r>
      <w:r w:rsidRPr="00C1113F">
        <w:rPr>
          <w:rFonts w:cs="Calibri"/>
          <w:szCs w:val="20"/>
          <w:lang w:val="en-US"/>
        </w:rPr>
        <w:t xml:space="preserve"> avoid making the same ones in the future (Edmonson, 1996, 87, emphasis added), a possibility not available for freelancers. More generally, researchers on organizational failure </w:t>
      </w:r>
      <w:r w:rsidR="00230182">
        <w:rPr>
          <w:rFonts w:cs="Calibri"/>
          <w:szCs w:val="20"/>
          <w:lang w:val="en-US"/>
        </w:rPr>
        <w:t>and</w:t>
      </w:r>
      <w:r w:rsidRPr="00C1113F">
        <w:rPr>
          <w:rFonts w:cs="Calibri"/>
          <w:szCs w:val="20"/>
          <w:lang w:val="en-US"/>
        </w:rPr>
        <w:t xml:space="preserve"> knowledge transfer have had a tendency to focus on large organizations. </w:t>
      </w:r>
    </w:p>
    <w:p w:rsidR="00C1113F" w:rsidRPr="00C1113F" w:rsidRDefault="00C1113F" w:rsidP="00C1113F">
      <w:pPr>
        <w:rPr>
          <w:rFonts w:cs="Calibri"/>
          <w:szCs w:val="20"/>
          <w:lang w:val="en-US"/>
        </w:rPr>
      </w:pPr>
      <w:r w:rsidRPr="00C1113F">
        <w:rPr>
          <w:rFonts w:cs="Calibri"/>
          <w:szCs w:val="20"/>
          <w:lang w:val="en-US"/>
        </w:rPr>
        <w:t xml:space="preserve"> </w:t>
      </w:r>
    </w:p>
    <w:p w:rsidR="00C1113F" w:rsidRPr="00C1113F" w:rsidRDefault="00C1113F" w:rsidP="00C1113F">
      <w:pPr>
        <w:rPr>
          <w:rFonts w:cs="Calibri"/>
          <w:szCs w:val="20"/>
          <w:lang w:val="en-US"/>
        </w:rPr>
      </w:pPr>
      <w:r w:rsidRPr="00C1113F">
        <w:rPr>
          <w:rFonts w:cs="Calibri"/>
          <w:szCs w:val="20"/>
          <w:lang w:val="en-US"/>
        </w:rPr>
        <w:t xml:space="preserve">Acknowledging </w:t>
      </w:r>
      <w:r w:rsidR="00625440">
        <w:rPr>
          <w:rFonts w:cs="Calibri"/>
          <w:szCs w:val="20"/>
          <w:lang w:val="en-US"/>
        </w:rPr>
        <w:t>that research focusing on freelancers has been almost inexistent and h</w:t>
      </w:r>
      <w:r w:rsidRPr="00C1113F">
        <w:rPr>
          <w:rFonts w:cs="Calibri"/>
          <w:szCs w:val="20"/>
          <w:lang w:val="en-US"/>
        </w:rPr>
        <w:t xml:space="preserve">ow crucial is for </w:t>
      </w:r>
      <w:r w:rsidR="00625440">
        <w:rPr>
          <w:rFonts w:cs="Calibri"/>
          <w:szCs w:val="20"/>
          <w:lang w:val="en-US"/>
        </w:rPr>
        <w:t>them</w:t>
      </w:r>
      <w:r w:rsidRPr="00C1113F">
        <w:rPr>
          <w:rFonts w:cs="Calibri"/>
          <w:szCs w:val="20"/>
          <w:lang w:val="en-US"/>
        </w:rPr>
        <w:t xml:space="preserve"> to identify mistakes and learn from failure, this paper explores an unsuccessful attempt of knowledge transfer</w:t>
      </w:r>
      <w:r w:rsidR="00625440">
        <w:rPr>
          <w:rFonts w:cs="Calibri"/>
          <w:szCs w:val="20"/>
          <w:lang w:val="en-US"/>
        </w:rPr>
        <w:t xml:space="preserve"> in the field of CCIs</w:t>
      </w:r>
      <w:r w:rsidRPr="00C1113F">
        <w:rPr>
          <w:rFonts w:cs="Calibri"/>
          <w:szCs w:val="20"/>
          <w:lang w:val="en-US"/>
        </w:rPr>
        <w:t xml:space="preserve">. The rest of the </w:t>
      </w:r>
      <w:r w:rsidR="002035DC">
        <w:rPr>
          <w:rFonts w:cs="Calibri"/>
          <w:szCs w:val="20"/>
          <w:lang w:val="en-US"/>
        </w:rPr>
        <w:t>document</w:t>
      </w:r>
      <w:r w:rsidRPr="00C1113F">
        <w:rPr>
          <w:rFonts w:cs="Calibri"/>
          <w:szCs w:val="20"/>
          <w:lang w:val="en-US"/>
        </w:rPr>
        <w:t xml:space="preserve"> is organized as follows. In the next section the methodology of the paper will be presented and followed by a case description of a failed knowledge transfer process. The paper then continues with analysis</w:t>
      </w:r>
      <w:r w:rsidR="00A94CF6">
        <w:rPr>
          <w:rFonts w:cs="Calibri"/>
          <w:szCs w:val="20"/>
          <w:lang w:val="en-US"/>
        </w:rPr>
        <w:t xml:space="preserve"> and </w:t>
      </w:r>
      <w:r w:rsidRPr="00C1113F">
        <w:rPr>
          <w:rFonts w:cs="Calibri"/>
          <w:szCs w:val="20"/>
          <w:lang w:val="en-US"/>
        </w:rPr>
        <w:t>discussion</w:t>
      </w:r>
      <w:r w:rsidR="00782C5E">
        <w:rPr>
          <w:rFonts w:cs="Calibri"/>
          <w:szCs w:val="20"/>
          <w:lang w:val="en-US"/>
        </w:rPr>
        <w:t>,</w:t>
      </w:r>
      <w:r w:rsidRPr="00C1113F">
        <w:rPr>
          <w:rFonts w:cs="Calibri"/>
          <w:szCs w:val="20"/>
          <w:lang w:val="en-US"/>
        </w:rPr>
        <w:t xml:space="preserve"> and finalizes with a conclusion section.</w:t>
      </w:r>
    </w:p>
    <w:p w:rsidR="00302091" w:rsidRPr="008D44DA" w:rsidRDefault="00302091" w:rsidP="00302091">
      <w:pPr>
        <w:pStyle w:val="Otsikko1"/>
      </w:pPr>
      <w:r w:rsidRPr="008D44DA">
        <w:t>Methodology</w:t>
      </w:r>
    </w:p>
    <w:p w:rsidR="00C1113F" w:rsidRPr="00C1113F" w:rsidRDefault="00C1113F" w:rsidP="00C1113F">
      <w:pPr>
        <w:rPr>
          <w:rFonts w:cs="Calibri"/>
          <w:szCs w:val="20"/>
          <w:lang w:val="en-US"/>
        </w:rPr>
      </w:pPr>
      <w:r w:rsidRPr="00C1113F">
        <w:rPr>
          <w:rFonts w:cs="Calibri"/>
          <w:szCs w:val="20"/>
          <w:lang w:val="en-US"/>
        </w:rPr>
        <w:t xml:space="preserve">Researchers </w:t>
      </w:r>
      <w:r w:rsidR="00A94CF6" w:rsidRPr="00C1113F">
        <w:rPr>
          <w:rFonts w:cs="Calibri"/>
          <w:szCs w:val="20"/>
          <w:lang w:val="en-US"/>
        </w:rPr>
        <w:t>tend to</w:t>
      </w:r>
      <w:r w:rsidRPr="00C1113F">
        <w:rPr>
          <w:rFonts w:cs="Calibri"/>
          <w:szCs w:val="20"/>
          <w:lang w:val="en-US"/>
        </w:rPr>
        <w:t xml:space="preserve"> focus on successful cases and, although failure is not to be idealized (Coad, 2014), the “wisdom” of learning from failure is undeniable (Edmonson, 2011, 49). In this regard, this research is conducted as an exploratory study that takes the special characteristics of freelancers and CCIs into account and aims to contribute to the limited research covering knowledge transfer failure. </w:t>
      </w:r>
    </w:p>
    <w:p w:rsidR="00C1113F" w:rsidRPr="00C1113F" w:rsidRDefault="00C1113F" w:rsidP="00C1113F">
      <w:pPr>
        <w:rPr>
          <w:rFonts w:cs="Calibri"/>
          <w:szCs w:val="20"/>
          <w:lang w:val="en-US"/>
        </w:rPr>
      </w:pPr>
    </w:p>
    <w:p w:rsidR="00C1113F" w:rsidRDefault="00C1113F" w:rsidP="00C1113F">
      <w:pPr>
        <w:rPr>
          <w:rFonts w:cs="Calibri"/>
          <w:szCs w:val="20"/>
          <w:lang w:val="en-US"/>
        </w:rPr>
      </w:pPr>
      <w:r w:rsidRPr="00C1113F">
        <w:rPr>
          <w:rFonts w:cs="Calibri"/>
          <w:szCs w:val="20"/>
          <w:lang w:val="en-US"/>
        </w:rPr>
        <w:t xml:space="preserve">Due to its exploratory nature, a qualitative study was selected as the most suitable approach </w:t>
      </w:r>
      <w:r w:rsidRPr="00C1113F">
        <w:rPr>
          <w:rFonts w:cs="Calibri"/>
          <w:szCs w:val="20"/>
        </w:rPr>
        <w:t>(Creswell, 2013, 47) and a case study methodology, defined here as “an empirical investigation of a particular contemporary phenomenon within its real-life context” (Robson, 1993, 5), was used.</w:t>
      </w:r>
      <w:r w:rsidRPr="00C1113F">
        <w:rPr>
          <w:rFonts w:cs="Calibri"/>
          <w:szCs w:val="20"/>
          <w:lang w:val="en-US"/>
        </w:rPr>
        <w:t xml:space="preserve"> More specifically, a single case study was selected to allow the researcher to gain a deep understanding of the phenomena (Dyer and Wilkins, 1991) by following an </w:t>
      </w:r>
      <w:r w:rsidR="003F3517">
        <w:rPr>
          <w:rFonts w:cs="Calibri"/>
          <w:szCs w:val="20"/>
          <w:lang w:val="en-US"/>
        </w:rPr>
        <w:t>abductive a</w:t>
      </w:r>
      <w:r w:rsidR="003F3517" w:rsidRPr="00C1113F">
        <w:rPr>
          <w:rFonts w:cs="Calibri"/>
          <w:szCs w:val="20"/>
          <w:lang w:val="en-US"/>
        </w:rPr>
        <w:t>pproach with close interaction between literature rev</w:t>
      </w:r>
      <w:r w:rsidR="003F3517">
        <w:rPr>
          <w:rFonts w:cs="Calibri"/>
          <w:szCs w:val="20"/>
          <w:lang w:val="en-US"/>
        </w:rPr>
        <w:t>iew and empirical undertakings and data analysis.</w:t>
      </w:r>
    </w:p>
    <w:p w:rsidR="003F3517" w:rsidRPr="00C1113F" w:rsidRDefault="003F3517"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This </w:t>
      </w:r>
      <w:r w:rsidR="00782C5E">
        <w:rPr>
          <w:rFonts w:cs="Calibri"/>
          <w:szCs w:val="20"/>
          <w:lang w:val="en-US"/>
        </w:rPr>
        <w:t xml:space="preserve">abductive </w:t>
      </w:r>
      <w:r w:rsidRPr="00C1113F">
        <w:rPr>
          <w:rFonts w:cs="Calibri"/>
          <w:szCs w:val="20"/>
          <w:lang w:val="en-US"/>
        </w:rPr>
        <w:t>approach is inherent to qualitative research and the complex reasoning, throug</w:t>
      </w:r>
      <w:r w:rsidR="003D35BC">
        <w:rPr>
          <w:rFonts w:cs="Calibri"/>
          <w:szCs w:val="20"/>
          <w:lang w:val="en-US"/>
        </w:rPr>
        <w:t>h inductive and deductive logic</w:t>
      </w:r>
      <w:r w:rsidRPr="00C1113F">
        <w:rPr>
          <w:rFonts w:cs="Calibri"/>
          <w:szCs w:val="20"/>
          <w:lang w:val="en-US"/>
        </w:rPr>
        <w:t xml:space="preserve">. In this paper, patterns, categories and themes are built </w:t>
      </w:r>
      <w:r w:rsidRPr="00C1113F">
        <w:rPr>
          <w:rFonts w:cs="Calibri"/>
          <w:i/>
          <w:szCs w:val="20"/>
          <w:lang w:val="en-US"/>
        </w:rPr>
        <w:t>bottom up</w:t>
      </w:r>
      <w:r w:rsidRPr="00C1113F">
        <w:rPr>
          <w:rFonts w:cs="Calibri"/>
          <w:szCs w:val="20"/>
          <w:lang w:val="en-US"/>
        </w:rPr>
        <w:t xml:space="preserve"> (Creswell, 2013, 45), similarly as in grounded theory in which the discovery of theory is done “from data systematically obtained from social research” (Glaser and Strauss, 1967, 2). These data were collected from the designer and the client through interviews and secondary data were </w:t>
      </w:r>
      <w:r w:rsidR="00C87584">
        <w:rPr>
          <w:rFonts w:cs="Calibri"/>
          <w:szCs w:val="20"/>
          <w:lang w:val="en-US"/>
        </w:rPr>
        <w:t>gathered</w:t>
      </w:r>
      <w:r w:rsidRPr="00C1113F">
        <w:rPr>
          <w:rFonts w:cs="Calibri"/>
          <w:szCs w:val="20"/>
          <w:lang w:val="en-US"/>
        </w:rPr>
        <w:t xml:space="preserve"> for data triangu</w:t>
      </w:r>
      <w:r w:rsidR="003D35BC">
        <w:rPr>
          <w:rFonts w:cs="Calibri"/>
          <w:szCs w:val="20"/>
          <w:lang w:val="en-US"/>
        </w:rPr>
        <w:t xml:space="preserve">lation. These different </w:t>
      </w:r>
      <w:r w:rsidRPr="00C1113F">
        <w:rPr>
          <w:rFonts w:cs="Calibri"/>
          <w:szCs w:val="20"/>
          <w:lang w:val="en-US"/>
        </w:rPr>
        <w:t xml:space="preserve">data </w:t>
      </w:r>
      <w:r w:rsidR="003D35BC">
        <w:rPr>
          <w:rFonts w:cs="Calibri"/>
          <w:szCs w:val="20"/>
          <w:lang w:val="en-US"/>
        </w:rPr>
        <w:t xml:space="preserve">sources </w:t>
      </w:r>
      <w:r w:rsidR="0062737A">
        <w:rPr>
          <w:rFonts w:cs="Calibri"/>
          <w:szCs w:val="20"/>
          <w:lang w:val="en-US"/>
        </w:rPr>
        <w:t>allowed</w:t>
      </w:r>
      <w:r w:rsidRPr="00C1113F">
        <w:rPr>
          <w:rFonts w:cs="Calibri"/>
          <w:szCs w:val="20"/>
          <w:lang w:val="en-US"/>
        </w:rPr>
        <w:t xml:space="preserve"> to cross-check differences between the interviews, and to ensure the respondents were recalling events accurately. </w:t>
      </w:r>
    </w:p>
    <w:p w:rsidR="00C1113F" w:rsidRPr="00C1113F" w:rsidRDefault="00C1113F" w:rsidP="00C1113F">
      <w:pPr>
        <w:tabs>
          <w:tab w:val="left" w:pos="7320"/>
        </w:tabs>
        <w:rPr>
          <w:rFonts w:cs="Calibri"/>
          <w:szCs w:val="20"/>
          <w:lang w:val="en-US"/>
        </w:rPr>
      </w:pPr>
      <w:r w:rsidRPr="00C1113F">
        <w:rPr>
          <w:rFonts w:cs="Calibri"/>
          <w:szCs w:val="20"/>
          <w:lang w:val="en-US"/>
        </w:rPr>
        <w:tab/>
      </w:r>
    </w:p>
    <w:p w:rsidR="003D35BC" w:rsidRDefault="00C1113F" w:rsidP="00C1113F">
      <w:pPr>
        <w:rPr>
          <w:rFonts w:cs="Calibri"/>
          <w:szCs w:val="20"/>
          <w:lang w:val="en-US"/>
        </w:rPr>
      </w:pPr>
      <w:r w:rsidRPr="00C1113F">
        <w:rPr>
          <w:rFonts w:cs="Calibri"/>
          <w:szCs w:val="20"/>
          <w:lang w:val="en-US"/>
        </w:rPr>
        <w:t xml:space="preserve">The case </w:t>
      </w:r>
      <w:r w:rsidR="00C87584">
        <w:rPr>
          <w:rFonts w:cs="Calibri"/>
          <w:szCs w:val="20"/>
          <w:lang w:val="en-US"/>
        </w:rPr>
        <w:t>used in this paper was selected by following the</w:t>
      </w:r>
      <w:r w:rsidRPr="00C1113F">
        <w:rPr>
          <w:rFonts w:cs="Calibri"/>
          <w:szCs w:val="20"/>
          <w:lang w:val="en-US"/>
        </w:rPr>
        <w:t xml:space="preserve"> selection process portrayed in Figure 1. This process started during the empirical undertakings that led to the development of Gonzalez-Cristiano (2016) and comprised interviews with eight different freelancers in the field of CCIs. These interviews regarded knowledge transfer in product development and finalized with a question on whether </w:t>
      </w:r>
      <w:r w:rsidR="00485C57">
        <w:rPr>
          <w:rFonts w:cs="Calibri"/>
          <w:szCs w:val="20"/>
          <w:lang w:val="en-US"/>
        </w:rPr>
        <w:t xml:space="preserve">the </w:t>
      </w:r>
      <w:r w:rsidRPr="00C1113F">
        <w:rPr>
          <w:rFonts w:cs="Calibri"/>
          <w:szCs w:val="20"/>
          <w:lang w:val="en-US"/>
        </w:rPr>
        <w:t xml:space="preserve">freelancers could recall any failed projects. </w:t>
      </w:r>
      <w:r w:rsidR="003D35BC">
        <w:rPr>
          <w:rFonts w:cs="Calibri"/>
          <w:szCs w:val="20"/>
          <w:lang w:val="en-US"/>
        </w:rPr>
        <w:t>To avoid confusion, interviewees were instructed to regard</w:t>
      </w:r>
      <w:r w:rsidR="003D35BC" w:rsidRPr="00C1113F">
        <w:rPr>
          <w:rFonts w:cs="Calibri"/>
          <w:szCs w:val="20"/>
          <w:lang w:val="en-US"/>
        </w:rPr>
        <w:t xml:space="preserve"> failure </w:t>
      </w:r>
      <w:r w:rsidR="003D35BC">
        <w:rPr>
          <w:rFonts w:cs="Calibri"/>
          <w:szCs w:val="20"/>
          <w:lang w:val="en-US"/>
        </w:rPr>
        <w:t xml:space="preserve">as to </w:t>
      </w:r>
      <w:r w:rsidR="003D35BC" w:rsidRPr="00C1113F">
        <w:rPr>
          <w:rFonts w:cs="Calibri"/>
          <w:szCs w:val="20"/>
          <w:lang w:val="en-US"/>
        </w:rPr>
        <w:t>any deviation from expected and desired outcomes, including both avoidable errors and unavoidable negative outcomes of experiments and risk taking (Cannon and Edmonson, 2001, 162).</w:t>
      </w:r>
    </w:p>
    <w:p w:rsidR="003D35BC" w:rsidRDefault="003D35BC"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The objective </w:t>
      </w:r>
      <w:r w:rsidR="003D35BC">
        <w:rPr>
          <w:rFonts w:cs="Calibri"/>
          <w:szCs w:val="20"/>
          <w:lang w:val="en-US"/>
        </w:rPr>
        <w:t xml:space="preserve">of this </w:t>
      </w:r>
      <w:r w:rsidR="0062737A">
        <w:rPr>
          <w:rFonts w:cs="Calibri"/>
          <w:szCs w:val="20"/>
          <w:lang w:val="en-US"/>
        </w:rPr>
        <w:t xml:space="preserve">selection </w:t>
      </w:r>
      <w:r w:rsidR="003D35BC">
        <w:rPr>
          <w:rFonts w:cs="Calibri"/>
          <w:szCs w:val="20"/>
          <w:lang w:val="en-US"/>
        </w:rPr>
        <w:t xml:space="preserve">process </w:t>
      </w:r>
      <w:r w:rsidRPr="00C1113F">
        <w:rPr>
          <w:rFonts w:cs="Calibri"/>
          <w:szCs w:val="20"/>
          <w:lang w:val="en-US"/>
        </w:rPr>
        <w:t xml:space="preserve">was to identify failure cases from “individuals who could contribute to the evolving theory”, thus following a theoretical sampling approach (Creswell, 2013). </w:t>
      </w:r>
      <w:r w:rsidR="00C87584">
        <w:rPr>
          <w:rFonts w:cs="Calibri"/>
          <w:szCs w:val="20"/>
          <w:lang w:val="en-US"/>
        </w:rPr>
        <w:t>As acknowledged by De Massis and Kotlar (2014, 17), t</w:t>
      </w:r>
      <w:r w:rsidRPr="00C1113F">
        <w:rPr>
          <w:rFonts w:cs="Calibri"/>
          <w:szCs w:val="20"/>
          <w:lang w:val="en-US"/>
        </w:rPr>
        <w:t>heoretical sampling is relatively straightforward for single cases</w:t>
      </w:r>
      <w:r w:rsidR="00C87584">
        <w:rPr>
          <w:rFonts w:cs="Calibri"/>
          <w:szCs w:val="20"/>
          <w:lang w:val="en-US"/>
        </w:rPr>
        <w:t xml:space="preserve"> </w:t>
      </w:r>
      <w:r w:rsidRPr="00C1113F">
        <w:rPr>
          <w:rFonts w:cs="Calibri"/>
          <w:szCs w:val="20"/>
          <w:lang w:val="en-US"/>
        </w:rPr>
        <w:t xml:space="preserve">and two </w:t>
      </w:r>
      <w:r w:rsidR="002035DC">
        <w:rPr>
          <w:rFonts w:cs="Calibri"/>
          <w:szCs w:val="20"/>
          <w:lang w:val="en-US"/>
        </w:rPr>
        <w:t>failed</w:t>
      </w:r>
      <w:r w:rsidRPr="00C1113F">
        <w:rPr>
          <w:rFonts w:cs="Calibri"/>
          <w:szCs w:val="20"/>
          <w:lang w:val="en-US"/>
        </w:rPr>
        <w:t xml:space="preserve"> projects were assessed for further </w:t>
      </w:r>
      <w:r w:rsidR="00C87584">
        <w:rPr>
          <w:rFonts w:cs="Calibri"/>
          <w:szCs w:val="20"/>
          <w:lang w:val="en-US"/>
        </w:rPr>
        <w:t>investigation</w:t>
      </w:r>
      <w:r w:rsidRPr="00C1113F">
        <w:rPr>
          <w:rFonts w:cs="Calibri"/>
          <w:szCs w:val="20"/>
          <w:lang w:val="en-US"/>
        </w:rPr>
        <w:t>. One of the reasons to select single case studies is due to unusual research access (</w:t>
      </w:r>
      <w:r w:rsidR="00CA3994">
        <w:rPr>
          <w:rFonts w:cs="Calibri"/>
          <w:szCs w:val="20"/>
          <w:lang w:val="en-US"/>
        </w:rPr>
        <w:t xml:space="preserve">De </w:t>
      </w:r>
      <w:r w:rsidRPr="00C1113F">
        <w:rPr>
          <w:rFonts w:cs="Calibri"/>
          <w:szCs w:val="20"/>
          <w:lang w:val="en-US"/>
        </w:rPr>
        <w:t xml:space="preserve">Massis and Kotlar, 2014, 17) and finding subjects willing to talk about failure experiences proved difficult. The willingness of the freelancer and the client to </w:t>
      </w:r>
      <w:r w:rsidR="003D35BC">
        <w:rPr>
          <w:rFonts w:cs="Calibri"/>
          <w:szCs w:val="20"/>
          <w:lang w:val="en-US"/>
        </w:rPr>
        <w:t>discuss the</w:t>
      </w:r>
      <w:r w:rsidRPr="00C1113F">
        <w:rPr>
          <w:rFonts w:cs="Calibri"/>
          <w:szCs w:val="20"/>
          <w:lang w:val="en-US"/>
        </w:rPr>
        <w:t xml:space="preserve"> project, together with </w:t>
      </w:r>
      <w:r w:rsidR="003D35BC">
        <w:rPr>
          <w:rFonts w:cs="Calibri"/>
          <w:szCs w:val="20"/>
          <w:lang w:val="en-US"/>
        </w:rPr>
        <w:t xml:space="preserve">the adequate </w:t>
      </w:r>
      <w:r w:rsidRPr="00C1113F">
        <w:rPr>
          <w:rFonts w:cs="Calibri"/>
          <w:szCs w:val="20"/>
          <w:lang w:val="en-US"/>
        </w:rPr>
        <w:t>l</w:t>
      </w:r>
      <w:r w:rsidR="003D35BC">
        <w:rPr>
          <w:rFonts w:cs="Calibri"/>
          <w:szCs w:val="20"/>
          <w:lang w:val="en-US"/>
        </w:rPr>
        <w:t>evel of complexity of the case</w:t>
      </w:r>
      <w:r w:rsidRPr="00C1113F">
        <w:rPr>
          <w:rFonts w:cs="Calibri"/>
          <w:szCs w:val="20"/>
          <w:lang w:val="en-US"/>
        </w:rPr>
        <w:t xml:space="preserve">, made it suitable for this exploratory study. </w:t>
      </w:r>
    </w:p>
    <w:p w:rsidR="00C1113F" w:rsidRPr="00C1113F" w:rsidRDefault="00634E26" w:rsidP="000119E6">
      <w:pPr>
        <w:jc w:val="center"/>
        <w:rPr>
          <w:rFonts w:cs="Calibri"/>
          <w:szCs w:val="20"/>
          <w:lang w:val="en-US"/>
        </w:rPr>
      </w:pPr>
      <w:r>
        <w:rPr>
          <w:rFonts w:cs="Calibri"/>
          <w:noProof/>
          <w:szCs w:val="20"/>
          <w:lang w:val="fi-FI" w:eastAsia="fi-FI"/>
        </w:rPr>
        <w:lastRenderedPageBreak/>
        <w:drawing>
          <wp:inline distT="0" distB="0" distL="0" distR="0" wp14:anchorId="1446D61C">
            <wp:extent cx="3825850" cy="2235494"/>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29876" cy="2237846"/>
                    </a:xfrm>
                    <a:prstGeom prst="rect">
                      <a:avLst/>
                    </a:prstGeom>
                    <a:noFill/>
                  </pic:spPr>
                </pic:pic>
              </a:graphicData>
            </a:graphic>
          </wp:inline>
        </w:drawing>
      </w:r>
    </w:p>
    <w:p w:rsidR="00C1113F" w:rsidRPr="00C1113F" w:rsidRDefault="00C1113F" w:rsidP="00C1113F">
      <w:pPr>
        <w:rPr>
          <w:rFonts w:cs="Calibri"/>
          <w:szCs w:val="20"/>
          <w:lang w:val="en-US"/>
        </w:rPr>
      </w:pPr>
    </w:p>
    <w:p w:rsidR="00C1113F" w:rsidRPr="00C1113F" w:rsidRDefault="004E3B60" w:rsidP="00C1113F">
      <w:pPr>
        <w:rPr>
          <w:rFonts w:cs="Calibri"/>
          <w:szCs w:val="20"/>
          <w:lang w:val="en-US"/>
        </w:rPr>
      </w:pPr>
      <w:r>
        <w:rPr>
          <w:rFonts w:cs="Calibri"/>
          <w:szCs w:val="20"/>
          <w:lang w:val="en-US"/>
        </w:rPr>
        <w:t xml:space="preserve">Figure 1. Selection process </w:t>
      </w:r>
      <w:r w:rsidR="00C1113F" w:rsidRPr="00C1113F">
        <w:rPr>
          <w:rFonts w:cs="Calibri"/>
          <w:szCs w:val="20"/>
          <w:lang w:val="en-US"/>
        </w:rPr>
        <w:t>of the failure case.</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The analysis of the data tried to match emergent codes with existing theories by following a coding process </w:t>
      </w:r>
      <w:r w:rsidR="00F41E03">
        <w:rPr>
          <w:rFonts w:cs="Calibri"/>
          <w:szCs w:val="20"/>
          <w:lang w:val="en-US"/>
        </w:rPr>
        <w:t>in</w:t>
      </w:r>
      <w:r w:rsidRPr="00C1113F">
        <w:rPr>
          <w:rFonts w:cs="Calibri"/>
          <w:szCs w:val="20"/>
          <w:lang w:val="en-US"/>
        </w:rPr>
        <w:t xml:space="preserve"> three stages as recommended by Strauss and Corbin (1990). Stage one </w:t>
      </w:r>
      <w:r w:rsidR="003D35BC">
        <w:rPr>
          <w:rFonts w:cs="Calibri"/>
          <w:szCs w:val="20"/>
          <w:lang w:val="en-US"/>
        </w:rPr>
        <w:t>aimed at</w:t>
      </w:r>
      <w:r w:rsidRPr="00C1113F">
        <w:rPr>
          <w:rFonts w:cs="Calibri"/>
          <w:szCs w:val="20"/>
          <w:lang w:val="en-US"/>
        </w:rPr>
        <w:t xml:space="preserve"> gaining a general understand</w:t>
      </w:r>
      <w:r w:rsidR="003D35BC">
        <w:rPr>
          <w:rFonts w:cs="Calibri"/>
          <w:szCs w:val="20"/>
          <w:lang w:val="en-US"/>
        </w:rPr>
        <w:t>ing of the different themes/categories present in the interviews and, i</w:t>
      </w:r>
      <w:r w:rsidRPr="00C1113F">
        <w:rPr>
          <w:rFonts w:cs="Calibri"/>
          <w:szCs w:val="20"/>
          <w:lang w:val="en-US"/>
        </w:rPr>
        <w:t>n a second stage, codes derived from the categories were assigned to different passages of the transcribed interviews</w:t>
      </w:r>
      <w:r w:rsidR="003D35BC">
        <w:rPr>
          <w:rFonts w:cs="Calibri"/>
          <w:szCs w:val="20"/>
          <w:lang w:val="en-US"/>
        </w:rPr>
        <w:t>.</w:t>
      </w:r>
      <w:r w:rsidRPr="00C1113F">
        <w:rPr>
          <w:rFonts w:cs="Calibri"/>
          <w:szCs w:val="20"/>
          <w:lang w:val="en-US"/>
        </w:rPr>
        <w:t xml:space="preserve"> </w:t>
      </w:r>
      <w:r w:rsidR="003D35BC">
        <w:rPr>
          <w:rFonts w:cs="Calibri"/>
          <w:szCs w:val="20"/>
          <w:lang w:val="en-US"/>
        </w:rPr>
        <w:t>To</w:t>
      </w:r>
      <w:r w:rsidRPr="00C1113F">
        <w:rPr>
          <w:rFonts w:cs="Calibri"/>
          <w:szCs w:val="20"/>
          <w:lang w:val="en-US"/>
        </w:rPr>
        <w:t xml:space="preserve"> finalize</w:t>
      </w:r>
      <w:r w:rsidR="003D35BC">
        <w:rPr>
          <w:rFonts w:cs="Calibri"/>
          <w:szCs w:val="20"/>
          <w:lang w:val="en-US"/>
        </w:rPr>
        <w:t>, in</w:t>
      </w:r>
      <w:r w:rsidRPr="00C1113F">
        <w:rPr>
          <w:rFonts w:cs="Calibri"/>
          <w:szCs w:val="20"/>
          <w:lang w:val="en-US"/>
        </w:rPr>
        <w:t xml:space="preserve"> stage </w:t>
      </w:r>
      <w:r w:rsidR="003D35BC">
        <w:rPr>
          <w:rFonts w:cs="Calibri"/>
          <w:szCs w:val="20"/>
          <w:lang w:val="en-US"/>
        </w:rPr>
        <w:t xml:space="preserve">three, </w:t>
      </w:r>
      <w:r w:rsidRPr="00C1113F">
        <w:rPr>
          <w:rFonts w:cs="Calibri"/>
          <w:szCs w:val="20"/>
          <w:lang w:val="en-US"/>
        </w:rPr>
        <w:t xml:space="preserve">these codes were matched with existing theories and conclusions about the failure case were drawn. </w:t>
      </w:r>
    </w:p>
    <w:p w:rsidR="00AE71FE" w:rsidRPr="008D44DA" w:rsidRDefault="00634E26" w:rsidP="00C1113F">
      <w:pPr>
        <w:pStyle w:val="Otsikko1"/>
      </w:pPr>
      <w:r>
        <w:t>Case description and r</w:t>
      </w:r>
      <w:r w:rsidR="00C1113F">
        <w:t>esults</w:t>
      </w:r>
    </w:p>
    <w:p w:rsid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This case study portrays a project of Freelancer A, who was one of the freelancers interviewed for Gonzalez-Cristiano (2016). This designer is a 32-year-old man from Spain with over eight years of professional career and with a focus on corporate image. He has work experience as a freelancer and as an employee in design agencies and design departments in private companies and has been a full-time freelancer for the past one year and a half. During this </w:t>
      </w:r>
      <w:r w:rsidR="006F43FC" w:rsidRPr="00C1113F">
        <w:rPr>
          <w:rFonts w:cs="Calibri"/>
          <w:szCs w:val="20"/>
          <w:lang w:val="en-US"/>
        </w:rPr>
        <w:t>period,</w:t>
      </w:r>
      <w:r w:rsidRPr="00C1113F">
        <w:rPr>
          <w:rFonts w:cs="Calibri"/>
          <w:szCs w:val="20"/>
          <w:lang w:val="en-US"/>
        </w:rPr>
        <w:t xml:space="preserve"> he has been able to concentrate on corporate image but has </w:t>
      </w:r>
      <w:r w:rsidR="006F43FC">
        <w:rPr>
          <w:rFonts w:cs="Calibri"/>
          <w:szCs w:val="20"/>
          <w:lang w:val="en-US"/>
        </w:rPr>
        <w:t>also work on</w:t>
      </w:r>
      <w:r w:rsidRPr="00C1113F">
        <w:rPr>
          <w:rFonts w:cs="Calibri"/>
          <w:szCs w:val="20"/>
          <w:lang w:val="en-US"/>
        </w:rPr>
        <w:t xml:space="preserve"> illustration and web design. The client of our case, Client A, is a 33-year-old interior designer from Spain with a passion for travelling. She describes herself as a lively, curious and creative person with “</w:t>
      </w:r>
      <w:r w:rsidRPr="00C1113F">
        <w:rPr>
          <w:rFonts w:cs="Calibri"/>
          <w:i/>
          <w:szCs w:val="20"/>
          <w:lang w:val="en-US"/>
        </w:rPr>
        <w:t>always a drive for more</w:t>
      </w:r>
      <w:r w:rsidRPr="00C1113F">
        <w:rPr>
          <w:rFonts w:cs="Calibri"/>
          <w:szCs w:val="20"/>
          <w:lang w:val="en-US"/>
        </w:rPr>
        <w:t>”.</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In this paper</w:t>
      </w:r>
      <w:r w:rsidR="00F8629F">
        <w:rPr>
          <w:rFonts w:cs="Calibri"/>
          <w:szCs w:val="20"/>
          <w:lang w:val="en-US"/>
        </w:rPr>
        <w:t>,</w:t>
      </w:r>
      <w:r w:rsidRPr="00C1113F">
        <w:rPr>
          <w:rFonts w:cs="Calibri"/>
          <w:szCs w:val="20"/>
          <w:lang w:val="en-US"/>
        </w:rPr>
        <w:t xml:space="preserve"> we are concentrating on </w:t>
      </w:r>
      <w:r w:rsidR="006F43FC">
        <w:rPr>
          <w:rFonts w:cs="Calibri"/>
          <w:szCs w:val="20"/>
          <w:lang w:val="en-US"/>
        </w:rPr>
        <w:t>Stork&amp;Arrow,</w:t>
      </w:r>
      <w:r w:rsidRPr="00C1113F">
        <w:rPr>
          <w:rFonts w:cs="Calibri"/>
          <w:szCs w:val="20"/>
          <w:lang w:val="en-US"/>
        </w:rPr>
        <w:t xml:space="preserve"> a development project in which the designer was asked to develop a brand name for Client A, who aimed to start her own handbag label. This development started as a side project of a corporate image the desig</w:t>
      </w:r>
      <w:r w:rsidR="008D4187">
        <w:rPr>
          <w:rFonts w:cs="Calibri"/>
          <w:szCs w:val="20"/>
          <w:lang w:val="en-US"/>
        </w:rPr>
        <w:t>ner was developing for Client A</w:t>
      </w:r>
      <w:r w:rsidRPr="00C1113F">
        <w:rPr>
          <w:rFonts w:cs="Calibri"/>
          <w:szCs w:val="20"/>
          <w:lang w:val="en-US"/>
        </w:rPr>
        <w:t xml:space="preserve"> </w:t>
      </w:r>
      <w:r w:rsidR="00E92E05">
        <w:rPr>
          <w:rFonts w:cs="Calibri"/>
          <w:szCs w:val="20"/>
          <w:lang w:val="en-US"/>
        </w:rPr>
        <w:t>but</w:t>
      </w:r>
      <w:r w:rsidRPr="00C1113F">
        <w:rPr>
          <w:rFonts w:cs="Calibri"/>
          <w:szCs w:val="20"/>
          <w:lang w:val="en-US"/>
        </w:rPr>
        <w:t xml:space="preserve"> eventually became the main project between them. The rest of the case is described below.</w:t>
      </w:r>
    </w:p>
    <w:p w:rsidR="00AE71FE" w:rsidRPr="008D44DA" w:rsidRDefault="00C1113F" w:rsidP="00AE71FE">
      <w:pPr>
        <w:pStyle w:val="Otsikko2"/>
      </w:pPr>
      <w:r>
        <w:t>Stage 1</w:t>
      </w:r>
      <w:r w:rsidR="00634E26">
        <w:t>: creation of a highly abstract c</w:t>
      </w:r>
      <w:r>
        <w:t>onceptualization</w:t>
      </w:r>
    </w:p>
    <w:p w:rsidR="008D4187" w:rsidRDefault="00C1113F" w:rsidP="00C1113F">
      <w:pPr>
        <w:rPr>
          <w:rFonts w:cs="Calibri"/>
          <w:i/>
          <w:szCs w:val="20"/>
          <w:lang w:val="en-US"/>
        </w:rPr>
      </w:pPr>
      <w:r w:rsidRPr="00C1113F">
        <w:rPr>
          <w:rFonts w:cs="Calibri"/>
          <w:szCs w:val="20"/>
          <w:lang w:val="en-US"/>
        </w:rPr>
        <w:t xml:space="preserve">As described by both Freelancer A and Client A, the process started with a formal kick-off meeting related to the development of a corporate image for an interior design studio. It soon became clear that Client A had more project ideas in mind including the development of her own handbag label. </w:t>
      </w:r>
      <w:r w:rsidR="00E92E05">
        <w:rPr>
          <w:rFonts w:cs="Calibri"/>
          <w:szCs w:val="20"/>
          <w:lang w:val="en-US"/>
        </w:rPr>
        <w:t>The kick-off</w:t>
      </w:r>
      <w:r w:rsidRPr="00C1113F">
        <w:rPr>
          <w:rFonts w:cs="Calibri"/>
          <w:szCs w:val="20"/>
          <w:lang w:val="en-US"/>
        </w:rPr>
        <w:t xml:space="preserve"> meeting was subsequently followed by the creation of a shared panel under the web platform Pinterest, in which Client A uploaded photos and material that inspired her. This material </w:t>
      </w:r>
      <w:r w:rsidR="008D4187">
        <w:rPr>
          <w:rFonts w:cs="Calibri"/>
          <w:szCs w:val="20"/>
          <w:lang w:val="en-US"/>
        </w:rPr>
        <w:t>mostly related to</w:t>
      </w:r>
      <w:r w:rsidRPr="00C1113F">
        <w:rPr>
          <w:rFonts w:cs="Calibri"/>
          <w:szCs w:val="20"/>
          <w:lang w:val="en-US"/>
        </w:rPr>
        <w:t xml:space="preserve"> strong women in different cultures such as gypsies</w:t>
      </w:r>
      <w:r w:rsidR="008D4187">
        <w:rPr>
          <w:rFonts w:cs="Calibri"/>
          <w:szCs w:val="20"/>
          <w:lang w:val="en-US"/>
        </w:rPr>
        <w:t xml:space="preserve"> and</w:t>
      </w:r>
      <w:r w:rsidRPr="00C1113F">
        <w:rPr>
          <w:rFonts w:cs="Calibri"/>
          <w:szCs w:val="20"/>
          <w:lang w:val="en-US"/>
        </w:rPr>
        <w:t xml:space="preserve"> pioneers of women’s liberation movement</w:t>
      </w:r>
      <w:r w:rsidR="00492D82">
        <w:rPr>
          <w:rFonts w:cs="Calibri"/>
          <w:szCs w:val="20"/>
          <w:lang w:val="en-US"/>
        </w:rPr>
        <w:t>s</w:t>
      </w:r>
      <w:r w:rsidRPr="00C1113F">
        <w:rPr>
          <w:rFonts w:cs="Calibri"/>
          <w:szCs w:val="20"/>
          <w:lang w:val="en-US"/>
        </w:rPr>
        <w:t xml:space="preserve"> such as hippies or </w:t>
      </w:r>
      <w:r w:rsidRPr="00C1113F">
        <w:rPr>
          <w:rFonts w:cs="Calibri"/>
          <w:i/>
          <w:szCs w:val="20"/>
          <w:lang w:val="en-US"/>
        </w:rPr>
        <w:t xml:space="preserve">flappers. </w:t>
      </w:r>
    </w:p>
    <w:p w:rsidR="008D4187" w:rsidRDefault="008D4187" w:rsidP="00C1113F">
      <w:pPr>
        <w:rPr>
          <w:rFonts w:cs="Calibri"/>
          <w:i/>
          <w:szCs w:val="20"/>
          <w:lang w:val="en-US"/>
        </w:rPr>
      </w:pPr>
    </w:p>
    <w:p w:rsidR="00C1113F" w:rsidRPr="008D4187" w:rsidRDefault="00C1113F" w:rsidP="00C1113F">
      <w:pPr>
        <w:rPr>
          <w:rFonts w:cs="Calibri"/>
          <w:szCs w:val="20"/>
          <w:lang w:val="en-US"/>
        </w:rPr>
      </w:pPr>
      <w:r w:rsidRPr="00C1113F">
        <w:rPr>
          <w:rFonts w:cs="Calibri"/>
          <w:szCs w:val="20"/>
          <w:lang w:val="en-US"/>
        </w:rPr>
        <w:t>In addition to these references, Client A</w:t>
      </w:r>
      <w:r w:rsidR="00E92E05">
        <w:rPr>
          <w:rFonts w:cs="Calibri"/>
          <w:szCs w:val="20"/>
          <w:lang w:val="en-US"/>
        </w:rPr>
        <w:t>’s</w:t>
      </w:r>
      <w:r w:rsidRPr="00C1113F">
        <w:rPr>
          <w:rFonts w:cs="Calibri"/>
          <w:szCs w:val="20"/>
          <w:lang w:val="en-US"/>
        </w:rPr>
        <w:t xml:space="preserve"> personality and </w:t>
      </w:r>
      <w:r w:rsidR="008D4187">
        <w:rPr>
          <w:rFonts w:cs="Calibri"/>
          <w:szCs w:val="20"/>
          <w:lang w:val="en-US"/>
        </w:rPr>
        <w:t xml:space="preserve">the </w:t>
      </w:r>
      <w:r w:rsidRPr="00C1113F">
        <w:rPr>
          <w:rFonts w:cs="Calibri"/>
          <w:szCs w:val="20"/>
          <w:lang w:val="en-US"/>
        </w:rPr>
        <w:t xml:space="preserve">characteristics of the project were to be taken into account for the development of the brand. </w:t>
      </w:r>
      <w:r w:rsidR="008D4187">
        <w:rPr>
          <w:rFonts w:cs="Calibri"/>
          <w:szCs w:val="20"/>
          <w:lang w:val="en-US"/>
        </w:rPr>
        <w:t>In this regard, t</w:t>
      </w:r>
      <w:r w:rsidRPr="00C1113F">
        <w:rPr>
          <w:rFonts w:cs="Calibri"/>
          <w:szCs w:val="20"/>
          <w:lang w:val="en-US"/>
        </w:rPr>
        <w:t xml:space="preserve">he idea of developing a handbag label stemmed from Client A’s passion for fabrics and was </w:t>
      </w:r>
      <w:r w:rsidR="006F43FC">
        <w:rPr>
          <w:rFonts w:cs="Calibri"/>
          <w:szCs w:val="20"/>
          <w:lang w:val="en-US"/>
        </w:rPr>
        <w:t>specifically</w:t>
      </w:r>
      <w:r w:rsidRPr="00C1113F">
        <w:rPr>
          <w:rFonts w:cs="Calibri"/>
          <w:szCs w:val="20"/>
          <w:lang w:val="en-US"/>
        </w:rPr>
        <w:t xml:space="preserve"> triggered when she bought a large amount of different cloths from a company that was close to bankruptcy. The original idea was to create a brand that </w:t>
      </w:r>
      <w:r w:rsidR="006F43FC">
        <w:rPr>
          <w:rFonts w:cs="Calibri"/>
          <w:szCs w:val="20"/>
          <w:lang w:val="en-US"/>
        </w:rPr>
        <w:t>would</w:t>
      </w:r>
      <w:r w:rsidRPr="00C1113F">
        <w:rPr>
          <w:rFonts w:cs="Calibri"/>
          <w:szCs w:val="20"/>
          <w:lang w:val="en-US"/>
        </w:rPr>
        <w:t xml:space="preserve"> produce different garments and handbags but, through a process of scaling down, the idea was finally limited to handbags for yoga mats. The concept of the label and the brand </w:t>
      </w:r>
      <w:r w:rsidR="008D4187">
        <w:rPr>
          <w:rFonts w:cs="Calibri"/>
          <w:szCs w:val="20"/>
          <w:lang w:val="en-US"/>
        </w:rPr>
        <w:t>was also</w:t>
      </w:r>
      <w:r w:rsidRPr="00C1113F">
        <w:rPr>
          <w:rFonts w:cs="Calibri"/>
          <w:szCs w:val="20"/>
          <w:lang w:val="en-US"/>
        </w:rPr>
        <w:t xml:space="preserve"> to have a social dimension in which part of the benefits </w:t>
      </w:r>
      <w:r w:rsidR="00E92E05">
        <w:rPr>
          <w:rFonts w:cs="Calibri"/>
          <w:szCs w:val="20"/>
          <w:lang w:val="en-US"/>
        </w:rPr>
        <w:t>would</w:t>
      </w:r>
      <w:r w:rsidRPr="00C1113F">
        <w:rPr>
          <w:rFonts w:cs="Calibri"/>
          <w:szCs w:val="20"/>
          <w:lang w:val="en-US"/>
        </w:rPr>
        <w:t xml:space="preserve"> be used for women empowerment in developing countries. </w:t>
      </w:r>
    </w:p>
    <w:p w:rsidR="00C1113F" w:rsidRPr="00C1113F" w:rsidRDefault="00C1113F" w:rsidP="00C1113F">
      <w:pPr>
        <w:rPr>
          <w:rFonts w:cs="Calibri"/>
          <w:szCs w:val="20"/>
          <w:lang w:val="en-US"/>
        </w:rPr>
      </w:pPr>
    </w:p>
    <w:p w:rsidR="00C1113F" w:rsidRDefault="00C1113F" w:rsidP="00C1113F">
      <w:pPr>
        <w:rPr>
          <w:rFonts w:cs="Calibri"/>
          <w:szCs w:val="20"/>
          <w:lang w:val="en-US"/>
        </w:rPr>
      </w:pPr>
      <w:r w:rsidRPr="00C1113F">
        <w:rPr>
          <w:rFonts w:cs="Calibri"/>
          <w:szCs w:val="20"/>
          <w:lang w:val="en-US"/>
        </w:rPr>
        <w:t xml:space="preserve">Taking all these references, the client’s personality and background, and the characteristics of the project, into consideration, the designer put together a strategic/creative document </w:t>
      </w:r>
      <w:r w:rsidR="00492D82">
        <w:rPr>
          <w:rFonts w:cs="Calibri"/>
          <w:szCs w:val="20"/>
          <w:lang w:val="en-US"/>
        </w:rPr>
        <w:t>that</w:t>
      </w:r>
      <w:r w:rsidRPr="00C1113F">
        <w:rPr>
          <w:rFonts w:cs="Calibri"/>
          <w:szCs w:val="20"/>
          <w:lang w:val="en-US"/>
        </w:rPr>
        <w:t xml:space="preserve"> serve</w:t>
      </w:r>
      <w:r w:rsidR="00492D82">
        <w:rPr>
          <w:rFonts w:cs="Calibri"/>
          <w:szCs w:val="20"/>
          <w:lang w:val="en-US"/>
        </w:rPr>
        <w:t>d</w:t>
      </w:r>
      <w:r w:rsidRPr="00C1113F">
        <w:rPr>
          <w:rFonts w:cs="Calibri"/>
          <w:szCs w:val="20"/>
          <w:lang w:val="en-US"/>
        </w:rPr>
        <w:t xml:space="preserve"> as a guide for further development. </w:t>
      </w:r>
    </w:p>
    <w:p w:rsidR="00C1113F" w:rsidRDefault="00C1113F" w:rsidP="00C1113F">
      <w:pPr>
        <w:pStyle w:val="Otsikko2"/>
      </w:pPr>
      <w:r>
        <w:t xml:space="preserve">Stage </w:t>
      </w:r>
      <w:r w:rsidR="00634E26">
        <w:t xml:space="preserve">2: </w:t>
      </w:r>
      <w:r w:rsidR="005C153E">
        <w:t>creative</w:t>
      </w:r>
      <w:r w:rsidR="00634E26">
        <w:t xml:space="preserve"> c</w:t>
      </w:r>
      <w:r>
        <w:t>oncept</w:t>
      </w:r>
    </w:p>
    <w:p w:rsidR="00C1113F" w:rsidRPr="00C1113F" w:rsidRDefault="00C1113F" w:rsidP="00C1113F">
      <w:pPr>
        <w:rPr>
          <w:rFonts w:cs="Calibri"/>
          <w:szCs w:val="20"/>
          <w:lang w:val="en-US"/>
        </w:rPr>
      </w:pPr>
      <w:r w:rsidRPr="00C1113F">
        <w:rPr>
          <w:rFonts w:cs="Calibri"/>
          <w:szCs w:val="20"/>
          <w:lang w:val="en-US"/>
        </w:rPr>
        <w:t xml:space="preserve">The </w:t>
      </w:r>
      <w:r w:rsidR="005C153E">
        <w:rPr>
          <w:rFonts w:cs="Calibri"/>
          <w:szCs w:val="20"/>
          <w:lang w:val="en-US"/>
        </w:rPr>
        <w:t>creative</w:t>
      </w:r>
      <w:r w:rsidRPr="00C1113F">
        <w:rPr>
          <w:rFonts w:cs="Calibri"/>
          <w:szCs w:val="20"/>
          <w:lang w:val="en-US"/>
        </w:rPr>
        <w:t xml:space="preserve"> concept derived from the document created in the end of stage one. In stage two, the references captured </w:t>
      </w:r>
      <w:r w:rsidR="00E92E05">
        <w:rPr>
          <w:rFonts w:cs="Calibri"/>
          <w:szCs w:val="20"/>
          <w:lang w:val="en-US"/>
        </w:rPr>
        <w:t>in</w:t>
      </w:r>
      <w:r w:rsidRPr="00C1113F">
        <w:rPr>
          <w:rFonts w:cs="Calibri"/>
          <w:szCs w:val="20"/>
          <w:lang w:val="en-US"/>
        </w:rPr>
        <w:t xml:space="preserve"> phase one were turned into a story. The designer worked on the development mostly on his own and the client stated that ”</w:t>
      </w:r>
      <w:r w:rsidRPr="00C1113F">
        <w:rPr>
          <w:rFonts w:cs="Calibri"/>
          <w:i/>
          <w:szCs w:val="20"/>
          <w:lang w:val="en-US"/>
        </w:rPr>
        <w:t>sometimes I had the impression that, since he went along with the creative development, I did not see myself reflected on what he was doing</w:t>
      </w:r>
      <w:r w:rsidRPr="00C1113F">
        <w:rPr>
          <w:rFonts w:cs="Calibri"/>
          <w:szCs w:val="20"/>
          <w:lang w:val="en-US"/>
        </w:rPr>
        <w:t>”. The designer, on his end, explicitly said that he made decisions for the client in order to ensure that the project was not getting longer:</w:t>
      </w:r>
    </w:p>
    <w:p w:rsidR="00C1113F" w:rsidRPr="00C1113F" w:rsidRDefault="00C1113F" w:rsidP="00C1113F">
      <w:pPr>
        <w:rPr>
          <w:rFonts w:cs="Calibri"/>
          <w:szCs w:val="20"/>
          <w:lang w:val="en-US"/>
        </w:rPr>
      </w:pPr>
    </w:p>
    <w:p w:rsidR="00C1113F" w:rsidRPr="00C1113F" w:rsidRDefault="00C1113F" w:rsidP="00C1113F">
      <w:pPr>
        <w:rPr>
          <w:rFonts w:cs="Calibri"/>
          <w:i/>
          <w:szCs w:val="20"/>
          <w:lang w:val="en-US"/>
        </w:rPr>
      </w:pPr>
      <w:r w:rsidRPr="00C1113F">
        <w:rPr>
          <w:rFonts w:cs="Calibri"/>
          <w:i/>
          <w:szCs w:val="20"/>
          <w:lang w:val="en-US"/>
        </w:rPr>
        <w:t>”In the end I realized that what I needed to do was to impose, to make myself respected, you know? Even if I needed to pretend just to convince her that I was right. This approach worked. So when I wanted something to progress, I would simply force her and convince her about something and that was it.”</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Similarly, when conce</w:t>
      </w:r>
      <w:r w:rsidR="002035DC">
        <w:rPr>
          <w:rFonts w:cs="Calibri"/>
          <w:szCs w:val="20"/>
          <w:lang w:val="en-US"/>
        </w:rPr>
        <w:t>rned about timing, the designer</w:t>
      </w:r>
      <w:r w:rsidRPr="00C1113F">
        <w:rPr>
          <w:rFonts w:cs="Calibri"/>
          <w:szCs w:val="20"/>
          <w:lang w:val="en-US"/>
        </w:rPr>
        <w:t xml:space="preserve"> would say that, ”</w:t>
      </w:r>
      <w:r w:rsidRPr="00C1113F">
        <w:rPr>
          <w:rFonts w:cs="Calibri"/>
          <w:i/>
          <w:szCs w:val="20"/>
          <w:lang w:val="en-US"/>
        </w:rPr>
        <w:t>I realized that if I would soften up and take her opinion into account, it would be a mistake</w:t>
      </w:r>
      <w:r w:rsidRPr="00C1113F">
        <w:rPr>
          <w:rFonts w:cs="Calibri"/>
          <w:szCs w:val="20"/>
          <w:lang w:val="en-US"/>
        </w:rPr>
        <w:t xml:space="preserv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During the search for stories that could encapsulate the references provided by the client, her personality, </w:t>
      </w:r>
      <w:r w:rsidR="008D4187">
        <w:rPr>
          <w:rFonts w:cs="Calibri"/>
          <w:szCs w:val="20"/>
          <w:lang w:val="en-US"/>
        </w:rPr>
        <w:t xml:space="preserve">and the </w:t>
      </w:r>
      <w:r w:rsidRPr="00C1113F">
        <w:rPr>
          <w:rFonts w:cs="Calibri"/>
          <w:szCs w:val="20"/>
          <w:lang w:val="en-US"/>
        </w:rPr>
        <w:t xml:space="preserve">background and nature of the project, the designer came across the concept of </w:t>
      </w:r>
      <w:r w:rsidRPr="00C1113F">
        <w:rPr>
          <w:rFonts w:cs="Calibri"/>
          <w:i/>
          <w:szCs w:val="20"/>
          <w:lang w:val="en-US"/>
        </w:rPr>
        <w:t>Pfeilstorch</w:t>
      </w:r>
      <w:r w:rsidRPr="00C1113F">
        <w:rPr>
          <w:rFonts w:cs="Calibri"/>
          <w:szCs w:val="20"/>
          <w:lang w:val="en-US"/>
        </w:rPr>
        <w:t xml:space="preserve">. The designer and the client described </w:t>
      </w:r>
      <w:r w:rsidRPr="00C1113F">
        <w:rPr>
          <w:rFonts w:cs="Calibri"/>
          <w:i/>
          <w:szCs w:val="20"/>
          <w:lang w:val="en-US"/>
        </w:rPr>
        <w:t xml:space="preserve">Pfeilstorch </w:t>
      </w:r>
      <w:r w:rsidRPr="00C1113F">
        <w:rPr>
          <w:rFonts w:cs="Calibri"/>
          <w:szCs w:val="20"/>
          <w:lang w:val="en-US"/>
        </w:rPr>
        <w:t>in their interviews as the historical episode in which the winter migration route of storks was discovered</w:t>
      </w:r>
      <w:r w:rsidR="00D63CB4">
        <w:rPr>
          <w:rFonts w:cs="Calibri"/>
          <w:szCs w:val="20"/>
          <w:lang w:val="en-US"/>
        </w:rPr>
        <w:t xml:space="preserve"> when some of these birds were found pierced by African arrows in Germany. This story, </w:t>
      </w:r>
      <w:r w:rsidRPr="00C1113F">
        <w:rPr>
          <w:rFonts w:cs="Calibri"/>
          <w:szCs w:val="20"/>
          <w:lang w:val="en-US"/>
        </w:rPr>
        <w:t>later on double-checked with secondary data (e.g. Ma</w:t>
      </w:r>
      <w:r w:rsidR="00E92E05">
        <w:rPr>
          <w:rFonts w:cs="Calibri"/>
          <w:szCs w:val="20"/>
          <w:lang w:val="en-US"/>
        </w:rPr>
        <w:t>cDonald, 2015)</w:t>
      </w:r>
      <w:r w:rsidR="00D63CB4">
        <w:rPr>
          <w:rFonts w:cs="Calibri"/>
          <w:szCs w:val="20"/>
          <w:lang w:val="en-US"/>
        </w:rPr>
        <w:t>,</w:t>
      </w:r>
      <w:r w:rsidRPr="00C1113F">
        <w:rPr>
          <w:rFonts w:cs="Calibri"/>
          <w:szCs w:val="20"/>
          <w:lang w:val="en-US"/>
        </w:rPr>
        <w:t xml:space="preserve"> revealed that German storks migrated to Africa in the winter and was a milestone in the study of migration paths of birds in Europe. </w:t>
      </w:r>
    </w:p>
    <w:p w:rsidR="00C1113F" w:rsidRPr="00C1113F" w:rsidRDefault="00C1113F" w:rsidP="00C1113F">
      <w:pPr>
        <w:rPr>
          <w:rFonts w:cs="Calibri"/>
          <w:szCs w:val="20"/>
          <w:lang w:val="en-US"/>
        </w:rPr>
      </w:pPr>
    </w:p>
    <w:p w:rsidR="00C1113F" w:rsidRDefault="00C1113F" w:rsidP="00C1113F">
      <w:pPr>
        <w:rPr>
          <w:rFonts w:cs="Calibri"/>
          <w:szCs w:val="20"/>
          <w:lang w:val="en-US"/>
        </w:rPr>
      </w:pPr>
      <w:r w:rsidRPr="00C1113F">
        <w:rPr>
          <w:rFonts w:cs="Calibri"/>
          <w:szCs w:val="20"/>
          <w:lang w:val="en-US"/>
        </w:rPr>
        <w:t xml:space="preserve">As expressed by the client, Stork&amp;Arrow is an interesting name, not only for the meaning of the stork as a symbol of femininity or the arrow as a sign of strength and direction, but also due to its relation to migration, </w:t>
      </w:r>
      <w:r w:rsidR="006F43FC">
        <w:rPr>
          <w:rFonts w:cs="Calibri"/>
          <w:szCs w:val="20"/>
          <w:lang w:val="en-US"/>
        </w:rPr>
        <w:t>travels</w:t>
      </w:r>
      <w:r w:rsidRPr="00C1113F">
        <w:rPr>
          <w:rFonts w:cs="Calibri"/>
          <w:szCs w:val="20"/>
          <w:lang w:val="en-US"/>
        </w:rPr>
        <w:t xml:space="preserve">, </w:t>
      </w:r>
      <w:r w:rsidR="008D4187">
        <w:rPr>
          <w:rFonts w:cs="Calibri"/>
          <w:szCs w:val="20"/>
          <w:lang w:val="en-US"/>
        </w:rPr>
        <w:t xml:space="preserve">etc. Client A also </w:t>
      </w:r>
      <w:r w:rsidRPr="00C1113F">
        <w:rPr>
          <w:rFonts w:cs="Calibri"/>
          <w:szCs w:val="20"/>
          <w:lang w:val="en-US"/>
        </w:rPr>
        <w:t xml:space="preserve">saw the brand as a segmentation of life and death, a duality that also helped to understand the importance of the social aspect of the project. </w:t>
      </w:r>
    </w:p>
    <w:p w:rsidR="00C1113F" w:rsidRDefault="00C1113F" w:rsidP="00C1113F">
      <w:pPr>
        <w:pStyle w:val="Otsikko2"/>
      </w:pPr>
      <w:r>
        <w:t xml:space="preserve">Stage </w:t>
      </w:r>
      <w:r w:rsidR="00634E26">
        <w:t>3: final p</w:t>
      </w:r>
      <w:r>
        <w:t>roduct</w:t>
      </w:r>
    </w:p>
    <w:p w:rsidR="00C1113F" w:rsidRPr="00C1113F" w:rsidRDefault="00C1113F" w:rsidP="00C1113F">
      <w:pPr>
        <w:rPr>
          <w:rFonts w:cs="Calibri"/>
          <w:szCs w:val="20"/>
          <w:lang w:val="en-US"/>
        </w:rPr>
      </w:pPr>
      <w:r w:rsidRPr="00C1113F">
        <w:rPr>
          <w:rFonts w:cs="Calibri"/>
          <w:szCs w:val="20"/>
          <w:lang w:val="en-US"/>
        </w:rPr>
        <w:t>The final product was the brand name, Stork&amp;Arrow, based on the story presented in stage two. The final process of refining the name is presented in Figure 2.</w:t>
      </w:r>
    </w:p>
    <w:p w:rsidR="00634E26" w:rsidRDefault="00634E26" w:rsidP="000119E6">
      <w:pPr>
        <w:jc w:val="center"/>
        <w:rPr>
          <w:rFonts w:cs="Calibri"/>
          <w:noProof/>
          <w:szCs w:val="20"/>
          <w:lang w:eastAsia="en-GB"/>
        </w:rPr>
      </w:pPr>
      <w:r>
        <w:rPr>
          <w:rFonts w:cs="Calibri"/>
          <w:noProof/>
          <w:szCs w:val="20"/>
          <w:lang w:val="fi-FI" w:eastAsia="fi-FI"/>
        </w:rPr>
        <w:drawing>
          <wp:inline distT="0" distB="0" distL="0" distR="0" wp14:anchorId="7D835DAB">
            <wp:extent cx="5419725" cy="66421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9725" cy="664210"/>
                    </a:xfrm>
                    <a:prstGeom prst="rect">
                      <a:avLst/>
                    </a:prstGeom>
                    <a:noFill/>
                  </pic:spPr>
                </pic:pic>
              </a:graphicData>
            </a:graphic>
          </wp:inline>
        </w:drawing>
      </w:r>
    </w:p>
    <w:p w:rsidR="00C1113F" w:rsidRPr="00C1113F" w:rsidRDefault="00C1113F" w:rsidP="00634E26">
      <w:pPr>
        <w:rPr>
          <w:rFonts w:cs="Calibri"/>
          <w:szCs w:val="20"/>
          <w:lang w:val="en-US"/>
        </w:rPr>
      </w:pPr>
      <w:r w:rsidRPr="00C1113F">
        <w:rPr>
          <w:rFonts w:cs="Calibri"/>
          <w:szCs w:val="20"/>
          <w:lang w:val="en-US"/>
        </w:rPr>
        <w:t xml:space="preserve"> Figure 2. Final process of naming.</w:t>
      </w:r>
      <w:r w:rsidRPr="00C1113F">
        <w:rPr>
          <w:rFonts w:cs="Calibri"/>
          <w:szCs w:val="20"/>
          <w:lang w:val="en-US"/>
        </w:rPr>
        <w:tab/>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After the designer presented the name, the client went on asking external actors for their opinion while the designer saw these inputs as external inferences and did not agree with them. He explicitly </w:t>
      </w:r>
      <w:r w:rsidR="006F43FC">
        <w:rPr>
          <w:rFonts w:cs="Calibri"/>
          <w:szCs w:val="20"/>
          <w:lang w:val="en-US"/>
        </w:rPr>
        <w:t>mentioned</w:t>
      </w:r>
      <w:r w:rsidRPr="00C1113F">
        <w:rPr>
          <w:rFonts w:cs="Calibri"/>
          <w:szCs w:val="20"/>
          <w:lang w:val="en-US"/>
        </w:rPr>
        <w:t xml:space="preserve"> that he </w:t>
      </w:r>
      <w:r w:rsidR="005C153E">
        <w:rPr>
          <w:rFonts w:cs="Calibri"/>
          <w:szCs w:val="20"/>
          <w:lang w:val="en-US"/>
        </w:rPr>
        <w:t>“</w:t>
      </w:r>
      <w:r w:rsidR="005C153E" w:rsidRPr="005C153E">
        <w:rPr>
          <w:rFonts w:cs="Calibri"/>
          <w:i/>
          <w:szCs w:val="20"/>
          <w:lang w:val="en-US"/>
        </w:rPr>
        <w:t>did not</w:t>
      </w:r>
      <w:r w:rsidR="005C153E">
        <w:rPr>
          <w:rFonts w:cs="Calibri"/>
          <w:szCs w:val="20"/>
          <w:lang w:val="en-US"/>
        </w:rPr>
        <w:t xml:space="preserve"> </w:t>
      </w:r>
      <w:r w:rsidRPr="00C1113F">
        <w:rPr>
          <w:rFonts w:cs="Calibri"/>
          <w:i/>
          <w:szCs w:val="20"/>
          <w:lang w:val="en-US"/>
        </w:rPr>
        <w:t>agree with her asking other people’s opinion</w:t>
      </w:r>
      <w:r w:rsidR="00C06C9F">
        <w:rPr>
          <w:rFonts w:cs="Calibri"/>
          <w:i/>
          <w:szCs w:val="20"/>
          <w:lang w:val="en-US"/>
        </w:rPr>
        <w:t>”</w:t>
      </w:r>
      <w:r w:rsidRPr="00C1113F">
        <w:rPr>
          <w:rFonts w:cs="Calibri"/>
          <w:i/>
          <w:szCs w:val="20"/>
          <w:lang w:val="en-US"/>
        </w:rPr>
        <w:t>.</w:t>
      </w:r>
      <w:r w:rsidRPr="00C1113F">
        <w:rPr>
          <w:rFonts w:cs="Calibri"/>
          <w:szCs w:val="20"/>
          <w:lang w:val="en-US"/>
        </w:rPr>
        <w:t xml:space="preserve"> In his opinion, </w:t>
      </w:r>
      <w:r w:rsidRPr="00C1113F">
        <w:rPr>
          <w:rFonts w:cs="Calibri"/>
          <w:i/>
          <w:szCs w:val="20"/>
          <w:lang w:val="en-US"/>
        </w:rPr>
        <w:t>”that’s my role</w:t>
      </w:r>
      <w:r w:rsidRPr="00C1113F">
        <w:rPr>
          <w:rFonts w:cs="Calibri"/>
          <w:szCs w:val="20"/>
          <w:lang w:val="en-US"/>
        </w:rPr>
        <w:t xml:space="preserv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Finally, and although Client A expressed that she was relatively satisfied with the final product, she rejected it and went on designing her own brand name. Although she was happy with the result, and paid for it, she did not see herself in the brand. </w:t>
      </w:r>
      <w:r w:rsidR="008D4187">
        <w:rPr>
          <w:rFonts w:cs="Calibri"/>
          <w:szCs w:val="20"/>
          <w:lang w:val="en-US"/>
        </w:rPr>
        <w:t xml:space="preserve">The case is </w:t>
      </w:r>
      <w:r w:rsidR="002E1D63">
        <w:rPr>
          <w:rFonts w:cs="Calibri"/>
          <w:szCs w:val="20"/>
          <w:lang w:val="en-US"/>
        </w:rPr>
        <w:t xml:space="preserve">further </w:t>
      </w:r>
      <w:r w:rsidR="008D4187">
        <w:rPr>
          <w:rFonts w:cs="Calibri"/>
          <w:szCs w:val="20"/>
          <w:lang w:val="en-US"/>
        </w:rPr>
        <w:t xml:space="preserve">discussed and analyzed below with the aim to </w:t>
      </w:r>
      <w:r w:rsidR="008D4187" w:rsidRPr="00C1113F">
        <w:rPr>
          <w:rFonts w:cs="Calibri"/>
          <w:szCs w:val="20"/>
          <w:lang w:val="en-US"/>
        </w:rPr>
        <w:t xml:space="preserve">find out the main reason/s for this unsuccessful </w:t>
      </w:r>
      <w:r w:rsidR="006F43FC">
        <w:rPr>
          <w:rFonts w:cs="Calibri"/>
          <w:szCs w:val="20"/>
          <w:lang w:val="en-US"/>
        </w:rPr>
        <w:t>project</w:t>
      </w:r>
      <w:r w:rsidR="008D4187" w:rsidRPr="00C1113F">
        <w:rPr>
          <w:rFonts w:cs="Calibri"/>
          <w:szCs w:val="20"/>
          <w:lang w:val="en-US"/>
        </w:rPr>
        <w:t xml:space="preserve"> and </w:t>
      </w:r>
      <w:r w:rsidR="008D4187">
        <w:rPr>
          <w:rFonts w:cs="Calibri"/>
          <w:szCs w:val="20"/>
          <w:lang w:val="en-US"/>
        </w:rPr>
        <w:t>with the objective to assess</w:t>
      </w:r>
      <w:r w:rsidR="008D4187" w:rsidRPr="00C1113F">
        <w:rPr>
          <w:rFonts w:cs="Calibri"/>
          <w:szCs w:val="20"/>
          <w:lang w:val="en-US"/>
        </w:rPr>
        <w:t xml:space="preserve"> the impact </w:t>
      </w:r>
      <w:r w:rsidR="008D4187">
        <w:rPr>
          <w:rFonts w:cs="Calibri"/>
          <w:szCs w:val="20"/>
          <w:lang w:val="en-US"/>
        </w:rPr>
        <w:t>in</w:t>
      </w:r>
      <w:r w:rsidR="008D4187" w:rsidRPr="00C1113F">
        <w:rPr>
          <w:rFonts w:cs="Calibri"/>
          <w:szCs w:val="20"/>
          <w:lang w:val="en-US"/>
        </w:rPr>
        <w:t xml:space="preserve"> the value perceived by the client.</w:t>
      </w:r>
      <w:r w:rsidR="008D4187">
        <w:rPr>
          <w:rFonts w:cs="Calibri"/>
          <w:szCs w:val="20"/>
          <w:lang w:val="en-US"/>
        </w:rPr>
        <w:t xml:space="preserve"> </w:t>
      </w:r>
    </w:p>
    <w:p w:rsidR="00AE71FE" w:rsidRPr="008D44DA" w:rsidRDefault="00634E26" w:rsidP="00AE71FE">
      <w:pPr>
        <w:pStyle w:val="Otsikko1"/>
      </w:pPr>
      <w:r>
        <w:t>Analysis and d</w:t>
      </w:r>
      <w:r w:rsidR="00C1113F">
        <w:t>iscussion</w:t>
      </w:r>
    </w:p>
    <w:p w:rsidR="00C1113F" w:rsidRPr="00C1113F" w:rsidRDefault="008D4187" w:rsidP="00C1113F">
      <w:pPr>
        <w:rPr>
          <w:rFonts w:cs="Calibri"/>
          <w:szCs w:val="20"/>
          <w:lang w:val="en-US"/>
        </w:rPr>
      </w:pPr>
      <w:r>
        <w:rPr>
          <w:rFonts w:cs="Calibri"/>
          <w:szCs w:val="20"/>
          <w:lang w:val="en-US"/>
        </w:rPr>
        <w:t>T</w:t>
      </w:r>
      <w:r w:rsidR="00C1113F" w:rsidRPr="00C1113F">
        <w:rPr>
          <w:rFonts w:cs="Calibri"/>
          <w:szCs w:val="20"/>
          <w:lang w:val="en-US"/>
        </w:rPr>
        <w:t xml:space="preserve">he main aspect that </w:t>
      </w:r>
      <w:r w:rsidR="002E1D63">
        <w:rPr>
          <w:rFonts w:cs="Calibri"/>
          <w:szCs w:val="20"/>
          <w:lang w:val="en-US"/>
        </w:rPr>
        <w:t>came</w:t>
      </w:r>
      <w:r w:rsidR="00C1113F" w:rsidRPr="00C1113F">
        <w:rPr>
          <w:rFonts w:cs="Calibri"/>
          <w:szCs w:val="20"/>
          <w:lang w:val="en-US"/>
        </w:rPr>
        <w:t xml:space="preserve"> across as relevant for the failure of the project was the time allowed for client involvement and for the client to make sense of information. As one can see from the case description, the designer push</w:t>
      </w:r>
      <w:r w:rsidR="002E1D63">
        <w:rPr>
          <w:rFonts w:cs="Calibri"/>
          <w:szCs w:val="20"/>
          <w:lang w:val="en-US"/>
        </w:rPr>
        <w:t>ed</w:t>
      </w:r>
      <w:r w:rsidR="00C1113F" w:rsidRPr="00C1113F">
        <w:rPr>
          <w:rFonts w:cs="Calibri"/>
          <w:szCs w:val="20"/>
          <w:lang w:val="en-US"/>
        </w:rPr>
        <w:t xml:space="preserve"> the project forward and the client felt she was not being taken into account. This finding seems in line with the preliminary findings of Gonzalez-Cristiano (2017) in which it was acknowledged that </w:t>
      </w:r>
      <w:r w:rsidR="00C1113F" w:rsidRPr="00C1113F">
        <w:rPr>
          <w:rFonts w:cs="Calibri"/>
          <w:szCs w:val="20"/>
          <w:lang w:val="en-US"/>
        </w:rPr>
        <w:lastRenderedPageBreak/>
        <w:t>freelancers face a paradox as they pursue effective knowledge transfer. Ambiguity and contradictions make the process longer but they are needed for effective knowledge creation (Nona</w:t>
      </w:r>
      <w:r w:rsidR="00BA394A">
        <w:rPr>
          <w:rFonts w:cs="Calibri"/>
          <w:szCs w:val="20"/>
          <w:lang w:val="en-US"/>
        </w:rPr>
        <w:t xml:space="preserve">ka and Takeuchi, 1995, 12-14). </w:t>
      </w:r>
      <w:r w:rsidR="00C1113F" w:rsidRPr="00C1113F">
        <w:rPr>
          <w:rFonts w:cs="Calibri"/>
          <w:szCs w:val="20"/>
          <w:lang w:val="en-US"/>
        </w:rPr>
        <w:t>The designer’s objective was to maximize billable hours, a common practice in consultancy services (e.g. Skjølsvik</w:t>
      </w:r>
      <w:r w:rsidR="000119E6">
        <w:rPr>
          <w:rFonts w:cs="Calibri"/>
          <w:szCs w:val="20"/>
          <w:lang w:val="en-US"/>
        </w:rPr>
        <w:t xml:space="preserve"> et al</w:t>
      </w:r>
      <w:r w:rsidR="00C1113F" w:rsidRPr="00C1113F">
        <w:rPr>
          <w:rFonts w:cs="Calibri"/>
          <w:szCs w:val="20"/>
          <w:lang w:val="en-US"/>
        </w:rPr>
        <w:t xml:space="preserve">, 2007, 111), but not allowing enough time for experimentation, dialogue and contradictions, had a negative influence in the outcome of the knowledge transfer.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This time issue is not foreign neither to academic literature in customer involvement in product development (e.g. Franke and Piller, 2004; von Hippel, 2005) nor for CCIs. Regarding the latter, cultural and creative products take a position between a continuum of artistic (symbolic) value related to aesthetics, and the instrumental (economic-strategic) value. In this regard, these </w:t>
      </w:r>
      <w:r w:rsidR="001C7FAB">
        <w:rPr>
          <w:rFonts w:cs="Calibri"/>
          <w:szCs w:val="20"/>
          <w:lang w:val="en-US"/>
        </w:rPr>
        <w:t xml:space="preserve">creative </w:t>
      </w:r>
      <w:r w:rsidRPr="00C1113F">
        <w:rPr>
          <w:rFonts w:cs="Calibri"/>
          <w:szCs w:val="20"/>
          <w:lang w:val="en-US"/>
        </w:rPr>
        <w:t>products stand between “pure art”</w:t>
      </w:r>
      <w:r w:rsidR="00CD474A">
        <w:rPr>
          <w:rFonts w:cs="Calibri"/>
          <w:szCs w:val="20"/>
          <w:lang w:val="en-US"/>
        </w:rPr>
        <w:t>,</w:t>
      </w:r>
      <w:r w:rsidRPr="00C1113F">
        <w:rPr>
          <w:rFonts w:cs="Calibri"/>
          <w:szCs w:val="20"/>
          <w:lang w:val="en-US"/>
        </w:rPr>
        <w:t xml:space="preserve"> with no immediate economic value</w:t>
      </w:r>
      <w:r w:rsidR="00CD474A">
        <w:rPr>
          <w:rFonts w:cs="Calibri"/>
          <w:szCs w:val="20"/>
          <w:lang w:val="en-US"/>
        </w:rPr>
        <w:t>,</w:t>
      </w:r>
      <w:r w:rsidRPr="00C1113F">
        <w:rPr>
          <w:rFonts w:cs="Calibri"/>
          <w:szCs w:val="20"/>
          <w:lang w:val="en-US"/>
        </w:rPr>
        <w:t xml:space="preserve"> and pure</w:t>
      </w:r>
      <w:r w:rsidR="00CD474A">
        <w:rPr>
          <w:rFonts w:cs="Calibri"/>
          <w:szCs w:val="20"/>
          <w:lang w:val="en-US"/>
        </w:rPr>
        <w:t>ly</w:t>
      </w:r>
      <w:r w:rsidRPr="00C1113F">
        <w:rPr>
          <w:rFonts w:cs="Calibri"/>
          <w:szCs w:val="20"/>
          <w:lang w:val="en-US"/>
        </w:rPr>
        <w:t xml:space="preserve"> instrumental products. (for a more detailed discussion see Kolsteeg, 2014) In this regard, a logic of “time is money”, manifested</w:t>
      </w:r>
      <w:r w:rsidR="00CD474A">
        <w:rPr>
          <w:rFonts w:cs="Calibri"/>
          <w:szCs w:val="20"/>
          <w:lang w:val="en-US"/>
        </w:rPr>
        <w:t xml:space="preserve"> by how the freelancer aimed to increase </w:t>
      </w:r>
      <w:r w:rsidRPr="00C1113F">
        <w:rPr>
          <w:rFonts w:cs="Calibri"/>
          <w:szCs w:val="20"/>
          <w:lang w:val="en-US"/>
        </w:rPr>
        <w:t xml:space="preserve">billable hours, </w:t>
      </w:r>
      <w:r w:rsidR="00C06C9F">
        <w:rPr>
          <w:rFonts w:cs="Calibri"/>
          <w:szCs w:val="20"/>
          <w:lang w:val="en-US"/>
        </w:rPr>
        <w:t>might</w:t>
      </w:r>
      <w:r w:rsidR="00CD474A">
        <w:rPr>
          <w:rFonts w:cs="Calibri"/>
          <w:szCs w:val="20"/>
          <w:lang w:val="en-US"/>
        </w:rPr>
        <w:t xml:space="preserve"> have </w:t>
      </w:r>
      <w:r w:rsidRPr="00C1113F">
        <w:rPr>
          <w:rFonts w:cs="Calibri"/>
          <w:szCs w:val="20"/>
          <w:lang w:val="en-US"/>
        </w:rPr>
        <w:t>be</w:t>
      </w:r>
      <w:r w:rsidR="00CD474A">
        <w:rPr>
          <w:rFonts w:cs="Calibri"/>
          <w:szCs w:val="20"/>
          <w:lang w:val="en-US"/>
        </w:rPr>
        <w:t>en</w:t>
      </w:r>
      <w:r w:rsidRPr="00C1113F">
        <w:rPr>
          <w:rFonts w:cs="Calibri"/>
          <w:szCs w:val="20"/>
          <w:lang w:val="en-US"/>
        </w:rPr>
        <w:t xml:space="preserve"> in opposition with the artistic value of the outcome.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As for customer involvement, it is acknowledged that, in order to find a solution, customers need to be informed about different possibilities, try them, learn from errors and compare different options. This is certainly a </w:t>
      </w:r>
      <w:r w:rsidRPr="00C1113F">
        <w:rPr>
          <w:rFonts w:cs="Calibri"/>
          <w:i/>
          <w:szCs w:val="20"/>
          <w:lang w:val="en-US"/>
        </w:rPr>
        <w:t>time-consuming,</w:t>
      </w:r>
      <w:r w:rsidRPr="00C1113F">
        <w:rPr>
          <w:rFonts w:cs="Calibri"/>
          <w:szCs w:val="20"/>
          <w:lang w:val="en-US"/>
        </w:rPr>
        <w:t xml:space="preserve"> step-by-step process in which the customer needs to be involved. (Franke and Piller, 2004, 404 emphasis added). In our case, this step-by-step process would have required actions such as showing progress to the customer, ev</w:t>
      </w:r>
      <w:r w:rsidR="00C06C9F">
        <w:rPr>
          <w:rFonts w:cs="Calibri"/>
          <w:szCs w:val="20"/>
          <w:lang w:val="en-US"/>
        </w:rPr>
        <w:t>aluation of different proposals or</w:t>
      </w:r>
      <w:r w:rsidRPr="00C1113F">
        <w:rPr>
          <w:rFonts w:cs="Calibri"/>
          <w:szCs w:val="20"/>
          <w:lang w:val="en-US"/>
        </w:rPr>
        <w:t xml:space="preserve"> incorporat</w:t>
      </w:r>
      <w:r w:rsidR="00C06C9F">
        <w:rPr>
          <w:rFonts w:cs="Calibri"/>
          <w:szCs w:val="20"/>
          <w:lang w:val="en-US"/>
        </w:rPr>
        <w:t>ion of external feedback</w:t>
      </w:r>
      <w:r w:rsidRPr="00C1113F">
        <w:rPr>
          <w:rFonts w:cs="Calibri"/>
          <w:szCs w:val="20"/>
          <w:lang w:val="en-US"/>
        </w:rPr>
        <w:t xml:space="preserve">. In contrast, what we see is that the designer consciously made a decision to block input from the client and the client’s network. </w:t>
      </w:r>
      <w:r w:rsidR="00BA394A">
        <w:rPr>
          <w:rFonts w:cs="Calibri"/>
          <w:szCs w:val="20"/>
          <w:lang w:val="en-US"/>
        </w:rPr>
        <w:t xml:space="preserve">In this regard, the designer </w:t>
      </w:r>
      <w:r w:rsidR="0052603C">
        <w:rPr>
          <w:rFonts w:cs="Calibri"/>
          <w:szCs w:val="20"/>
          <w:lang w:val="en-US"/>
        </w:rPr>
        <w:t>saw</w:t>
      </w:r>
      <w:r w:rsidR="00BA394A">
        <w:rPr>
          <w:rFonts w:cs="Calibri"/>
          <w:szCs w:val="20"/>
          <w:lang w:val="en-US"/>
        </w:rPr>
        <w:t xml:space="preserve"> himself as the expert on design and development and wanted to be in control of the inputs and the development process. </w:t>
      </w:r>
      <w:r w:rsidRPr="00C1113F">
        <w:rPr>
          <w:rFonts w:cs="Calibri"/>
          <w:szCs w:val="20"/>
          <w:lang w:val="en-US"/>
        </w:rPr>
        <w:t xml:space="preserve">As he describes it: </w:t>
      </w:r>
      <w:r w:rsidRPr="00C1113F">
        <w:rPr>
          <w:rFonts w:cs="Calibri"/>
          <w:i/>
          <w:szCs w:val="20"/>
          <w:lang w:val="en-US"/>
        </w:rPr>
        <w:t>”in the beginning I would pay more attention to her but then later on I started to ignore her because I realized me being there or helping her did not make any difference”</w:t>
      </w:r>
      <w:r w:rsidRPr="00C1113F">
        <w:rPr>
          <w:rFonts w:cs="Calibri"/>
          <w:szCs w:val="20"/>
          <w:lang w:val="en-US"/>
        </w:rPr>
        <w:t xml:space="preserv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As a possible response for this low involvement, the client looked for external opinions as a way to clarify her needs. This is a relatively common behavior of clients who are “purchasing customized offers in infrequently purchased product categories”. These purchases can be challenging and customers are likely to seek further evidence. (Simonson, 2005, 40) The client openly expressed that she did not have a clear view of what she wanted and, since she was insecure about her preferences, she tried to look for advices.</w:t>
      </w:r>
    </w:p>
    <w:p w:rsidR="00C1113F" w:rsidRPr="00C1113F" w:rsidRDefault="00C1113F" w:rsidP="00C1113F">
      <w:pPr>
        <w:rPr>
          <w:rFonts w:cs="Calibri"/>
          <w:szCs w:val="20"/>
          <w:lang w:val="en-US"/>
        </w:rPr>
      </w:pPr>
    </w:p>
    <w:p w:rsidR="00C1113F" w:rsidRDefault="00C1113F" w:rsidP="00C1113F">
      <w:pPr>
        <w:rPr>
          <w:rFonts w:cs="Calibri"/>
          <w:szCs w:val="20"/>
          <w:lang w:val="en-US"/>
        </w:rPr>
      </w:pPr>
      <w:r w:rsidRPr="00C1113F">
        <w:rPr>
          <w:rFonts w:cs="Calibri"/>
          <w:szCs w:val="20"/>
          <w:lang w:val="en-US"/>
        </w:rPr>
        <w:t xml:space="preserve">In this regard, it is acknowledged that customers with unstable and fuzzy preferences </w:t>
      </w:r>
      <w:r w:rsidR="00D23B0D">
        <w:rPr>
          <w:rFonts w:cs="Calibri"/>
          <w:szCs w:val="20"/>
          <w:lang w:val="en-US"/>
        </w:rPr>
        <w:t>are at times</w:t>
      </w:r>
      <w:r w:rsidRPr="00C1113F">
        <w:rPr>
          <w:rFonts w:cs="Calibri"/>
          <w:szCs w:val="20"/>
          <w:lang w:val="en-US"/>
        </w:rPr>
        <w:t xml:space="preserve"> difficult to satisfy due their unclear needs. Especially for these customers, Simonson (2005, 36) recommends making them aware of their participation in the design</w:t>
      </w:r>
      <w:r w:rsidR="00D23B0D">
        <w:rPr>
          <w:rFonts w:cs="Calibri"/>
          <w:szCs w:val="20"/>
          <w:lang w:val="en-US"/>
        </w:rPr>
        <w:t xml:space="preserve"> process</w:t>
      </w:r>
      <w:r w:rsidRPr="00C1113F">
        <w:rPr>
          <w:rFonts w:cs="Calibri"/>
          <w:szCs w:val="20"/>
          <w:lang w:val="en-US"/>
        </w:rPr>
        <w:t xml:space="preserve"> and to use </w:t>
      </w:r>
      <w:r w:rsidR="00D23B0D">
        <w:rPr>
          <w:rFonts w:cs="Calibri"/>
          <w:szCs w:val="20"/>
          <w:lang w:val="en-US"/>
        </w:rPr>
        <w:t>this awareness</w:t>
      </w:r>
      <w:r w:rsidRPr="00C1113F">
        <w:rPr>
          <w:rFonts w:cs="Calibri"/>
          <w:szCs w:val="20"/>
          <w:lang w:val="en-US"/>
        </w:rPr>
        <w:t xml:space="preserve"> as a moderator of perceived fit. In other words, making the client realize </w:t>
      </w:r>
      <w:r w:rsidR="00D23B0D">
        <w:rPr>
          <w:rFonts w:cs="Calibri"/>
          <w:szCs w:val="20"/>
          <w:lang w:val="en-US"/>
        </w:rPr>
        <w:t>his involvement</w:t>
      </w:r>
      <w:r w:rsidRPr="00C1113F">
        <w:rPr>
          <w:rFonts w:cs="Calibri"/>
          <w:szCs w:val="20"/>
          <w:lang w:val="en-US"/>
        </w:rPr>
        <w:t xml:space="preserve"> in the process might be persuasive and the client might me more willing to accept the final product. </w:t>
      </w:r>
      <w:r w:rsidR="00D23B0D">
        <w:rPr>
          <w:rFonts w:cs="Calibri"/>
          <w:szCs w:val="20"/>
          <w:lang w:val="en-US"/>
        </w:rPr>
        <w:t>In addition, t</w:t>
      </w:r>
      <w:r w:rsidRPr="00C1113F">
        <w:rPr>
          <w:rFonts w:cs="Calibri"/>
          <w:szCs w:val="20"/>
          <w:lang w:val="en-US"/>
        </w:rPr>
        <w:t xml:space="preserve">his “customized label effect” can be used </w:t>
      </w:r>
      <w:r w:rsidR="0052603C" w:rsidRPr="00C1113F">
        <w:rPr>
          <w:rFonts w:cs="Calibri"/>
          <w:szCs w:val="20"/>
          <w:lang w:val="en-US"/>
        </w:rPr>
        <w:t>to</w:t>
      </w:r>
      <w:r w:rsidRPr="00C1113F">
        <w:rPr>
          <w:rFonts w:cs="Calibri"/>
          <w:szCs w:val="20"/>
          <w:lang w:val="en-US"/>
        </w:rPr>
        <w:t xml:space="preserve"> persuade the client about the </w:t>
      </w:r>
      <w:r w:rsidRPr="00C1113F">
        <w:rPr>
          <w:rFonts w:cs="Calibri"/>
          <w:i/>
          <w:szCs w:val="20"/>
          <w:lang w:val="en-US"/>
        </w:rPr>
        <w:t xml:space="preserve">uniqueness </w:t>
      </w:r>
      <w:r w:rsidR="000119E6">
        <w:rPr>
          <w:rFonts w:cs="Calibri"/>
          <w:szCs w:val="20"/>
          <w:lang w:val="en-US"/>
        </w:rPr>
        <w:t xml:space="preserve">of the product (Merle et al, </w:t>
      </w:r>
      <w:r w:rsidRPr="00C1113F">
        <w:rPr>
          <w:rFonts w:cs="Calibri"/>
          <w:szCs w:val="20"/>
          <w:lang w:val="en-US"/>
        </w:rPr>
        <w:t>2010</w:t>
      </w:r>
      <w:r w:rsidR="00FC31DE">
        <w:rPr>
          <w:rFonts w:cs="Calibri"/>
          <w:szCs w:val="20"/>
          <w:lang w:val="en-US"/>
        </w:rPr>
        <w:t>;</w:t>
      </w:r>
      <w:r w:rsidR="0052603C">
        <w:rPr>
          <w:rFonts w:cs="Calibri"/>
          <w:szCs w:val="20"/>
          <w:lang w:val="en-US"/>
        </w:rPr>
        <w:t xml:space="preserve"> Schreier, 2006).</w:t>
      </w:r>
    </w:p>
    <w:p w:rsidR="0052603C" w:rsidRPr="00C1113F" w:rsidRDefault="0052603C"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Similarly, literature in product development (e.g. </w:t>
      </w:r>
      <w:r w:rsidR="000119E6">
        <w:rPr>
          <w:rFonts w:cs="Calibri"/>
          <w:szCs w:val="20"/>
          <w:lang w:val="en-US"/>
        </w:rPr>
        <w:t>Merle et al</w:t>
      </w:r>
      <w:r w:rsidRPr="00C1113F">
        <w:rPr>
          <w:rFonts w:cs="Calibri"/>
          <w:szCs w:val="20"/>
          <w:lang w:val="en-US"/>
        </w:rPr>
        <w:t>, 2010; Schreier, 2006; von Hippel, 2005) acknowledges the importance of the client regarding a customized product as its own as a result of a co-production process. The importance of the creation process itself, as identified by Franke and Piller (2004), Schreier (2006) or Merl</w:t>
      </w:r>
      <w:r w:rsidR="000119E6">
        <w:rPr>
          <w:rFonts w:cs="Calibri"/>
          <w:szCs w:val="20"/>
          <w:lang w:val="en-US"/>
        </w:rPr>
        <w:t>e et al</w:t>
      </w:r>
      <w:r w:rsidRPr="00C1113F">
        <w:rPr>
          <w:rFonts w:cs="Calibri"/>
          <w:szCs w:val="20"/>
          <w:lang w:val="en-US"/>
        </w:rPr>
        <w:t xml:space="preserve"> (2010), is paramount because when clients are involved in the development and personalization of their product, they have the sense they have created something.</w:t>
      </w:r>
      <w:r w:rsidR="0052603C">
        <w:rPr>
          <w:rFonts w:cs="Calibri"/>
          <w:szCs w:val="20"/>
          <w:lang w:val="en-US"/>
        </w:rPr>
        <w:t xml:space="preserve"> However, in our case, t</w:t>
      </w:r>
      <w:r w:rsidRPr="00C1113F">
        <w:rPr>
          <w:rFonts w:cs="Calibri"/>
          <w:szCs w:val="20"/>
          <w:lang w:val="en-US"/>
        </w:rPr>
        <w:t>his “pride of authorship” (</w:t>
      </w:r>
      <w:r w:rsidR="0052603C">
        <w:rPr>
          <w:rFonts w:cs="Calibri"/>
          <w:szCs w:val="20"/>
        </w:rPr>
        <w:t>Schreier, 2006)</w:t>
      </w:r>
      <w:r w:rsidR="0052603C">
        <w:rPr>
          <w:rFonts w:cs="Calibri"/>
          <w:szCs w:val="20"/>
          <w:lang w:val="en-US"/>
        </w:rPr>
        <w:t xml:space="preserve"> was not present and</w:t>
      </w:r>
      <w:r w:rsidRPr="00C1113F">
        <w:rPr>
          <w:rFonts w:cs="Calibri"/>
          <w:szCs w:val="20"/>
          <w:lang w:val="en-US"/>
        </w:rPr>
        <w:t xml:space="preserve"> the client specifically mentioned that she only saw herself partly reflected in the final product. The limited time allowed for customer involvement might have created the feeling that the product was not “her own” or made the client not feel “proud” about the outcome.</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If we turn our attention to the relation between the client and </w:t>
      </w:r>
      <w:r w:rsidR="00C06C9F">
        <w:rPr>
          <w:rFonts w:cs="Calibri"/>
          <w:szCs w:val="20"/>
          <w:lang w:val="en-US"/>
        </w:rPr>
        <w:t xml:space="preserve">the </w:t>
      </w:r>
      <w:r w:rsidRPr="00C1113F">
        <w:rPr>
          <w:rFonts w:cs="Calibri"/>
          <w:szCs w:val="20"/>
          <w:lang w:val="en-US"/>
        </w:rPr>
        <w:t xml:space="preserve">designer, we can </w:t>
      </w:r>
      <w:r w:rsidR="00C70EEF">
        <w:rPr>
          <w:rFonts w:cs="Calibri"/>
          <w:szCs w:val="20"/>
          <w:lang w:val="en-US"/>
        </w:rPr>
        <w:t>analyze</w:t>
      </w:r>
      <w:r w:rsidRPr="00C1113F">
        <w:rPr>
          <w:rFonts w:cs="Calibri"/>
          <w:szCs w:val="20"/>
          <w:lang w:val="en-US"/>
        </w:rPr>
        <w:t xml:space="preserve"> the strength of the tie in the dyadic relation between them. In this regard, it is easy to notice that the tie between the client and the freelancer can be categorized as a strong tie (Granovetter, 1973), defined in here as the one between an actor and a person with whom there is interaction on a regular basis (adapted from Powell and Grodal, 2005, 61). The strong nature of the tie allows the information the designer gets from his client to be certainly detailed and rich, but </w:t>
      </w:r>
      <w:r w:rsidR="00C70EEF">
        <w:rPr>
          <w:rFonts w:cs="Calibri"/>
          <w:szCs w:val="20"/>
          <w:lang w:val="en-US"/>
        </w:rPr>
        <w:t xml:space="preserve">relations based on </w:t>
      </w:r>
      <w:r w:rsidRPr="00C1113F">
        <w:rPr>
          <w:rFonts w:cs="Calibri"/>
          <w:szCs w:val="20"/>
          <w:lang w:val="en-US"/>
        </w:rPr>
        <w:t xml:space="preserve">weak ties, </w:t>
      </w:r>
      <w:r w:rsidR="00C70EEF">
        <w:rPr>
          <w:rFonts w:cs="Calibri"/>
          <w:szCs w:val="20"/>
          <w:lang w:val="en-US"/>
        </w:rPr>
        <w:t>with</w:t>
      </w:r>
      <w:r w:rsidRPr="00C1113F">
        <w:rPr>
          <w:rFonts w:cs="Calibri"/>
          <w:szCs w:val="20"/>
          <w:lang w:val="en-US"/>
        </w:rPr>
        <w:t xml:space="preserve"> acquaintances or friends of friends, are usually the </w:t>
      </w:r>
      <w:r w:rsidR="00C70EEF">
        <w:rPr>
          <w:rFonts w:cs="Calibri"/>
          <w:szCs w:val="20"/>
          <w:lang w:val="en-US"/>
        </w:rPr>
        <w:t>ones</w:t>
      </w:r>
      <w:r w:rsidRPr="00C1113F">
        <w:rPr>
          <w:rFonts w:cs="Calibri"/>
          <w:szCs w:val="20"/>
          <w:lang w:val="en-US"/>
        </w:rPr>
        <w:t xml:space="preserve"> that introduce novelty. (Powell and Grodal, 2005, 61-62). Therefore, it is not only that the client could have benefited from this external advice but that the negativity of the designer to allow external inputs might have diminished the possibilities for novel insights and compromised the success of the development. Knowledge creation occurs in communities “that are fluid and evolving rather than tightly bound and static” (Powell, Koput and Smith-Doerr, 1996, 118) but the designer’s concern with time did not allow this dyadic relationship to expand. To use an analogy, the designer was concentrating on exploitation, rather than exploration (e.g. March, 1991), and this focus prevented the incorporation of other actors</w:t>
      </w:r>
      <w:r w:rsidR="00C70EEF">
        <w:rPr>
          <w:rFonts w:cs="Calibri"/>
          <w:szCs w:val="20"/>
          <w:lang w:val="en-US"/>
        </w:rPr>
        <w:t xml:space="preserve"> </w:t>
      </w:r>
      <w:r w:rsidRPr="00C1113F">
        <w:rPr>
          <w:rFonts w:cs="Calibri"/>
          <w:szCs w:val="20"/>
          <w:lang w:val="en-US"/>
        </w:rPr>
        <w:t xml:space="preserve">that might have had an important role in improving the client-product fit. </w:t>
      </w:r>
    </w:p>
    <w:p w:rsidR="00C1113F" w:rsidRPr="00C1113F" w:rsidRDefault="00C1113F" w:rsidP="00C1113F">
      <w:pPr>
        <w:autoSpaceDE w:val="0"/>
        <w:autoSpaceDN w:val="0"/>
        <w:adjustRightInd w:val="0"/>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In addition to these reasons, and as mentioned elsewhere (Gonzalez-Cristiano, 2016), the importance of a personal match between a designer and his client seems to be crucial for the success of this type of collaboration. As expressed by Client A and Freelancer A, they are </w:t>
      </w:r>
      <w:r w:rsidR="00925694">
        <w:rPr>
          <w:rFonts w:cs="Calibri"/>
          <w:szCs w:val="20"/>
          <w:lang w:val="en-US"/>
        </w:rPr>
        <w:t xml:space="preserve">both </w:t>
      </w:r>
      <w:r w:rsidRPr="00C1113F">
        <w:rPr>
          <w:rFonts w:cs="Calibri"/>
          <w:szCs w:val="20"/>
          <w:lang w:val="en-US"/>
        </w:rPr>
        <w:t xml:space="preserve">similar in some aspects, but their personality and way of working are different. This is reflected in the way the designer took control of the project and pushed it forward without allowing </w:t>
      </w:r>
      <w:r w:rsidR="00263820">
        <w:rPr>
          <w:rFonts w:cs="Calibri"/>
          <w:szCs w:val="20"/>
          <w:lang w:val="en-US"/>
        </w:rPr>
        <w:t xml:space="preserve">the necessary time </w:t>
      </w:r>
      <w:r w:rsidR="00263820" w:rsidRPr="00C1113F">
        <w:rPr>
          <w:rFonts w:cs="Calibri"/>
          <w:szCs w:val="20"/>
          <w:lang w:val="en-US"/>
        </w:rPr>
        <w:t>the client</w:t>
      </w:r>
      <w:r w:rsidRPr="00C1113F">
        <w:rPr>
          <w:rFonts w:cs="Calibri"/>
          <w:szCs w:val="20"/>
          <w:lang w:val="en-US"/>
        </w:rPr>
        <w:t xml:space="preserve"> would have liked to have. </w:t>
      </w:r>
    </w:p>
    <w:p w:rsidR="00C1113F" w:rsidRPr="00C1113F" w:rsidRDefault="00C1113F" w:rsidP="00C1113F">
      <w:pPr>
        <w:autoSpaceDE w:val="0"/>
        <w:autoSpaceDN w:val="0"/>
        <w:adjustRightInd w:val="0"/>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To finalize with this analysis, we need to turn our attention to the ultimate consequence of the failure project. As </w:t>
      </w:r>
      <w:r w:rsidR="00FE7E13">
        <w:rPr>
          <w:rFonts w:cs="Calibri"/>
          <w:szCs w:val="20"/>
          <w:lang w:val="en-US"/>
        </w:rPr>
        <w:t>we have seen</w:t>
      </w:r>
      <w:r w:rsidRPr="00C1113F">
        <w:rPr>
          <w:rFonts w:cs="Calibri"/>
          <w:szCs w:val="20"/>
          <w:lang w:val="en-US"/>
        </w:rPr>
        <w:t xml:space="preserve"> in the case description, Client A was relatively satisfied with the outcome but she still decided not to use it and went on designing her own brand. As already stated, Client A’s preferences were relatively unclear and some researchers</w:t>
      </w:r>
      <w:r w:rsidR="00263820">
        <w:rPr>
          <w:rFonts w:cs="Calibri"/>
          <w:szCs w:val="20"/>
          <w:lang w:val="en-US"/>
        </w:rPr>
        <w:t xml:space="preserve"> have</w:t>
      </w:r>
      <w:r w:rsidRPr="00C1113F">
        <w:rPr>
          <w:rFonts w:cs="Calibri"/>
          <w:szCs w:val="20"/>
          <w:lang w:val="en-US"/>
        </w:rPr>
        <w:t xml:space="preserve"> emphasized that customers with ”poor insight into their preferences” are more easily convinced that a customized offer is </w:t>
      </w:r>
      <w:r w:rsidRPr="00C1113F">
        <w:rPr>
          <w:rFonts w:cs="Calibri"/>
          <w:i/>
          <w:szCs w:val="20"/>
          <w:lang w:val="en-US"/>
        </w:rPr>
        <w:t>satisfactory</w:t>
      </w:r>
      <w:r w:rsidRPr="00C1113F">
        <w:rPr>
          <w:rFonts w:cs="Calibri"/>
          <w:szCs w:val="20"/>
          <w:lang w:val="en-US"/>
        </w:rPr>
        <w:t xml:space="preserve"> (Simonson, 2005, 33-34 emphasis added). In our case, Client A seemed to be satisfied with the product but she </w:t>
      </w:r>
      <w:r w:rsidR="00263820">
        <w:rPr>
          <w:rFonts w:cs="Calibri"/>
          <w:szCs w:val="20"/>
          <w:lang w:val="en-US"/>
        </w:rPr>
        <w:t xml:space="preserve">did not seem to </w:t>
      </w:r>
      <w:r w:rsidRPr="00C1113F">
        <w:rPr>
          <w:rFonts w:cs="Calibri"/>
          <w:szCs w:val="20"/>
          <w:lang w:val="en-US"/>
        </w:rPr>
        <w:t xml:space="preserve">perceive real value in its use.  </w:t>
      </w:r>
    </w:p>
    <w:p w:rsidR="00C1113F" w:rsidRDefault="00C1113F" w:rsidP="00AE71FE">
      <w:pPr>
        <w:pStyle w:val="Otsikko1"/>
      </w:pPr>
      <w:r>
        <w:t>Conclusions</w:t>
      </w:r>
    </w:p>
    <w:p w:rsidR="00BA394A" w:rsidRDefault="00994664" w:rsidP="00896E4C">
      <w:pPr>
        <w:rPr>
          <w:rFonts w:cs="Calibri"/>
          <w:szCs w:val="20"/>
          <w:lang w:val="en-US"/>
        </w:rPr>
      </w:pPr>
      <w:r>
        <w:rPr>
          <w:rFonts w:cs="Calibri"/>
          <w:szCs w:val="20"/>
          <w:lang w:val="en-US"/>
        </w:rPr>
        <w:t xml:space="preserve">This paper </w:t>
      </w:r>
      <w:r w:rsidR="000E2447">
        <w:rPr>
          <w:rFonts w:cs="Calibri"/>
          <w:szCs w:val="20"/>
          <w:lang w:val="en-US"/>
        </w:rPr>
        <w:t>is</w:t>
      </w:r>
      <w:r>
        <w:rPr>
          <w:rFonts w:cs="Calibri"/>
          <w:szCs w:val="20"/>
          <w:lang w:val="en-US"/>
        </w:rPr>
        <w:t xml:space="preserve"> a first attempt to explore an unsuccessful knowledge transfer process between a designer and his client in the field of CCIs. </w:t>
      </w:r>
      <w:r w:rsidR="00C1113F" w:rsidRPr="00C1113F">
        <w:rPr>
          <w:rFonts w:cs="Calibri"/>
          <w:szCs w:val="20"/>
          <w:lang w:val="en-US"/>
        </w:rPr>
        <w:t>As acknowledge</w:t>
      </w:r>
      <w:r w:rsidR="00902114">
        <w:rPr>
          <w:rFonts w:cs="Calibri"/>
          <w:szCs w:val="20"/>
          <w:lang w:val="en-US"/>
        </w:rPr>
        <w:t>d</w:t>
      </w:r>
      <w:r w:rsidR="00C1113F" w:rsidRPr="00C1113F">
        <w:rPr>
          <w:rFonts w:cs="Calibri"/>
          <w:szCs w:val="20"/>
          <w:lang w:val="en-US"/>
        </w:rPr>
        <w:t xml:space="preserve"> by Gonzalez-Crist</w:t>
      </w:r>
      <w:r w:rsidR="00902114">
        <w:rPr>
          <w:rFonts w:cs="Calibri"/>
          <w:szCs w:val="20"/>
          <w:lang w:val="en-US"/>
        </w:rPr>
        <w:t xml:space="preserve">iano (2017), designers who engage in </w:t>
      </w:r>
      <w:r w:rsidR="00C1113F" w:rsidRPr="00C1113F">
        <w:rPr>
          <w:rFonts w:cs="Calibri"/>
          <w:szCs w:val="20"/>
          <w:lang w:val="en-US"/>
        </w:rPr>
        <w:t>knowled</w:t>
      </w:r>
      <w:r w:rsidR="00902114">
        <w:rPr>
          <w:rFonts w:cs="Calibri"/>
          <w:szCs w:val="20"/>
          <w:lang w:val="en-US"/>
        </w:rPr>
        <w:t xml:space="preserve">ge transfer </w:t>
      </w:r>
      <w:r>
        <w:rPr>
          <w:rFonts w:cs="Calibri"/>
          <w:szCs w:val="20"/>
          <w:lang w:val="en-US"/>
        </w:rPr>
        <w:t>in product development</w:t>
      </w:r>
      <w:r w:rsidR="004A1C81">
        <w:rPr>
          <w:rFonts w:cs="Calibri"/>
          <w:szCs w:val="20"/>
          <w:lang w:val="en-US"/>
        </w:rPr>
        <w:t xml:space="preserve"> </w:t>
      </w:r>
      <w:r w:rsidR="00902114">
        <w:rPr>
          <w:rFonts w:cs="Calibri"/>
          <w:szCs w:val="20"/>
          <w:lang w:val="en-US"/>
        </w:rPr>
        <w:t xml:space="preserve">face a paradox </w:t>
      </w:r>
      <w:r>
        <w:rPr>
          <w:rFonts w:cs="Calibri"/>
          <w:szCs w:val="20"/>
        </w:rPr>
        <w:t>similar to that experienced</w:t>
      </w:r>
      <w:r w:rsidR="00C1113F" w:rsidRPr="00C1113F">
        <w:rPr>
          <w:rFonts w:cs="Calibri"/>
          <w:szCs w:val="20"/>
        </w:rPr>
        <w:t xml:space="preserve"> by larger enterprises aiming to untangle ambiguity and contradictions (Nonaka and Takeuchi, 1995, 129).</w:t>
      </w:r>
      <w:r w:rsidR="00263820" w:rsidRPr="00263820">
        <w:rPr>
          <w:rFonts w:cs="Calibri"/>
          <w:szCs w:val="20"/>
          <w:lang w:val="en-US"/>
        </w:rPr>
        <w:t xml:space="preserve"> </w:t>
      </w:r>
      <w:r w:rsidR="00263FD6">
        <w:rPr>
          <w:rFonts w:cs="Calibri"/>
          <w:szCs w:val="20"/>
        </w:rPr>
        <w:t xml:space="preserve">Solving these contradictions and ambiguity is time-consuming but </w:t>
      </w:r>
      <w:r w:rsidR="001C7454">
        <w:rPr>
          <w:rFonts w:cs="Calibri"/>
          <w:szCs w:val="20"/>
        </w:rPr>
        <w:t>trying to avoid them,</w:t>
      </w:r>
      <w:r>
        <w:rPr>
          <w:rFonts w:cs="Calibri"/>
          <w:szCs w:val="20"/>
          <w:lang w:val="en-US"/>
        </w:rPr>
        <w:t xml:space="preserve"> by not </w:t>
      </w:r>
      <w:r w:rsidRPr="00C1113F">
        <w:rPr>
          <w:rFonts w:cs="Calibri"/>
          <w:szCs w:val="20"/>
          <w:lang w:val="en-US"/>
        </w:rPr>
        <w:t>allowing enough tim</w:t>
      </w:r>
      <w:r>
        <w:rPr>
          <w:rFonts w:cs="Calibri"/>
          <w:szCs w:val="20"/>
          <w:lang w:val="en-US"/>
        </w:rPr>
        <w:t xml:space="preserve">e for customer involvement, </w:t>
      </w:r>
      <w:r w:rsidR="00834638">
        <w:rPr>
          <w:rFonts w:cs="Calibri"/>
          <w:szCs w:val="20"/>
          <w:lang w:val="en-US"/>
        </w:rPr>
        <w:t>influences</w:t>
      </w:r>
      <w:r w:rsidRPr="00C1113F">
        <w:rPr>
          <w:rFonts w:cs="Calibri"/>
          <w:szCs w:val="20"/>
          <w:lang w:val="en-US"/>
        </w:rPr>
        <w:t xml:space="preserve"> the way client</w:t>
      </w:r>
      <w:r w:rsidR="00896E4C">
        <w:rPr>
          <w:rFonts w:cs="Calibri"/>
          <w:szCs w:val="20"/>
          <w:lang w:val="en-US"/>
        </w:rPr>
        <w:t>s</w:t>
      </w:r>
      <w:r w:rsidRPr="00C1113F">
        <w:rPr>
          <w:rFonts w:cs="Calibri"/>
          <w:szCs w:val="20"/>
          <w:lang w:val="en-US"/>
        </w:rPr>
        <w:t xml:space="preserve"> </w:t>
      </w:r>
      <w:r w:rsidR="00896E4C">
        <w:rPr>
          <w:rFonts w:cs="Calibri"/>
          <w:szCs w:val="20"/>
          <w:lang w:val="en-US"/>
        </w:rPr>
        <w:t>see</w:t>
      </w:r>
      <w:r w:rsidRPr="00C1113F">
        <w:rPr>
          <w:rFonts w:cs="Calibri"/>
          <w:szCs w:val="20"/>
          <w:lang w:val="en-US"/>
        </w:rPr>
        <w:t xml:space="preserve"> the</w:t>
      </w:r>
      <w:r w:rsidR="00896E4C">
        <w:rPr>
          <w:rFonts w:cs="Calibri"/>
          <w:szCs w:val="20"/>
          <w:lang w:val="en-US"/>
        </w:rPr>
        <w:t xml:space="preserve"> final</w:t>
      </w:r>
      <w:r w:rsidRPr="00C1113F">
        <w:rPr>
          <w:rFonts w:cs="Calibri"/>
          <w:szCs w:val="20"/>
          <w:lang w:val="en-US"/>
        </w:rPr>
        <w:t xml:space="preserve"> customized product</w:t>
      </w:r>
      <w:r>
        <w:rPr>
          <w:rFonts w:cs="Calibri"/>
          <w:szCs w:val="20"/>
          <w:lang w:val="en-US"/>
        </w:rPr>
        <w:t xml:space="preserve">. </w:t>
      </w:r>
    </w:p>
    <w:p w:rsidR="00BA394A" w:rsidRDefault="00BA394A" w:rsidP="00896E4C">
      <w:pPr>
        <w:rPr>
          <w:rFonts w:cs="Calibri"/>
          <w:szCs w:val="20"/>
          <w:lang w:val="en-US"/>
        </w:rPr>
      </w:pPr>
    </w:p>
    <w:p w:rsidR="00BA394A" w:rsidRDefault="00F55794" w:rsidP="00896E4C">
      <w:pPr>
        <w:rPr>
          <w:rFonts w:cs="Calibri"/>
          <w:szCs w:val="20"/>
          <w:lang w:val="en-US"/>
        </w:rPr>
      </w:pPr>
      <w:r>
        <w:rPr>
          <w:rFonts w:cs="Calibri"/>
          <w:szCs w:val="20"/>
          <w:lang w:val="en-US"/>
        </w:rPr>
        <w:t>In this regard, we</w:t>
      </w:r>
      <w:r w:rsidR="00BA394A">
        <w:rPr>
          <w:rFonts w:cs="Calibri"/>
          <w:szCs w:val="20"/>
          <w:lang w:val="en-US"/>
        </w:rPr>
        <w:t xml:space="preserve"> know from NPD literature that development speed (e.g. Cankurtaran, Langerak and Griffin, 2013; Chen, Damanpour and Reilly, 2010) and time (e.g. </w:t>
      </w:r>
      <w:r w:rsidR="00BA394A" w:rsidRPr="00C1113F">
        <w:rPr>
          <w:rFonts w:cs="Calibri"/>
          <w:szCs w:val="20"/>
          <w:lang w:val="en-US"/>
        </w:rPr>
        <w:t>Franke and Piller, 2004; von Hippel, 2005</w:t>
      </w:r>
      <w:r w:rsidR="00BA394A">
        <w:rPr>
          <w:rFonts w:cs="Calibri"/>
          <w:szCs w:val="20"/>
          <w:lang w:val="en-US"/>
        </w:rPr>
        <w:t xml:space="preserve">) play a critical role in </w:t>
      </w:r>
      <w:r>
        <w:rPr>
          <w:rFonts w:cs="Calibri"/>
          <w:szCs w:val="20"/>
          <w:lang w:val="en-US"/>
        </w:rPr>
        <w:t>development processes. In our case, the client’s willingness and eagerness to be more committed in the development was in opposition with the actions of the designer, who regarded himself as the expert on the topic. As the designer speeded up the knowledge transfer activities, by limiting the</w:t>
      </w:r>
      <w:r w:rsidR="00BA394A">
        <w:rPr>
          <w:rFonts w:cs="Calibri"/>
          <w:szCs w:val="20"/>
          <w:lang w:val="en-US"/>
        </w:rPr>
        <w:t xml:space="preserve"> time allowed for real customer involvement, </w:t>
      </w:r>
      <w:r>
        <w:rPr>
          <w:rFonts w:cs="Calibri"/>
          <w:szCs w:val="20"/>
          <w:lang w:val="en-US"/>
        </w:rPr>
        <w:t xml:space="preserve">the client saw herself disconnected from the development processes and eventually not </w:t>
      </w:r>
      <w:r w:rsidR="00BA394A">
        <w:rPr>
          <w:rFonts w:cs="Calibri"/>
          <w:szCs w:val="20"/>
          <w:lang w:val="en-US"/>
        </w:rPr>
        <w:t xml:space="preserve">reflected in the </w:t>
      </w:r>
      <w:r>
        <w:rPr>
          <w:rFonts w:cs="Calibri"/>
          <w:szCs w:val="20"/>
          <w:lang w:val="en-US"/>
        </w:rPr>
        <w:t xml:space="preserve">final </w:t>
      </w:r>
      <w:r w:rsidR="00BA394A">
        <w:rPr>
          <w:rFonts w:cs="Calibri"/>
          <w:szCs w:val="20"/>
          <w:lang w:val="en-US"/>
        </w:rPr>
        <w:t xml:space="preserve">outcome. </w:t>
      </w:r>
      <w:r>
        <w:rPr>
          <w:rFonts w:cs="Calibri"/>
          <w:szCs w:val="20"/>
          <w:lang w:val="en-US"/>
        </w:rPr>
        <w:t xml:space="preserve">In addition, </w:t>
      </w:r>
      <w:r w:rsidR="00BA394A">
        <w:rPr>
          <w:rFonts w:cs="Calibri"/>
          <w:szCs w:val="20"/>
          <w:lang w:val="en-US"/>
        </w:rPr>
        <w:t xml:space="preserve">the insufficient time allowed for knowledge acquisition prevented external actors to contribute </w:t>
      </w:r>
      <w:r>
        <w:rPr>
          <w:rFonts w:cs="Calibri"/>
          <w:szCs w:val="20"/>
          <w:lang w:val="en-US"/>
        </w:rPr>
        <w:t>and</w:t>
      </w:r>
      <w:r w:rsidR="00BA394A">
        <w:rPr>
          <w:rFonts w:cs="Calibri"/>
          <w:szCs w:val="20"/>
          <w:lang w:val="en-US"/>
        </w:rPr>
        <w:t xml:space="preserve"> likely </w:t>
      </w:r>
      <w:r>
        <w:rPr>
          <w:rFonts w:cs="Calibri"/>
          <w:szCs w:val="20"/>
          <w:lang w:val="en-US"/>
        </w:rPr>
        <w:t>impacted</w:t>
      </w:r>
      <w:r w:rsidR="00BA394A">
        <w:rPr>
          <w:rFonts w:cs="Calibri"/>
          <w:szCs w:val="20"/>
          <w:lang w:val="en-US"/>
        </w:rPr>
        <w:t xml:space="preserve"> th</w:t>
      </w:r>
      <w:r>
        <w:rPr>
          <w:rFonts w:cs="Calibri"/>
          <w:szCs w:val="20"/>
          <w:lang w:val="en-US"/>
        </w:rPr>
        <w:t>e novelty of the final product. A</w:t>
      </w:r>
      <w:r w:rsidR="00BA394A">
        <w:rPr>
          <w:rFonts w:cs="Calibri"/>
          <w:szCs w:val="20"/>
          <w:lang w:val="en-US"/>
        </w:rPr>
        <w:t xml:space="preserve">ll in all, shortening knowledge transfer activities in the development process, by limiting customer involvement, influenced client-product fit, perceived uniqueness and the overall value of the outcome, and was the main reason for project failure.  </w:t>
      </w:r>
    </w:p>
    <w:p w:rsidR="00BA394A" w:rsidRDefault="00BA394A" w:rsidP="001E5151">
      <w:pPr>
        <w:rPr>
          <w:rFonts w:cs="Calibri"/>
          <w:szCs w:val="20"/>
          <w:lang w:val="en-US"/>
        </w:rPr>
      </w:pPr>
    </w:p>
    <w:p w:rsidR="00C1113F" w:rsidRPr="00C1113F" w:rsidRDefault="00C1113F" w:rsidP="001E5151">
      <w:pPr>
        <w:rPr>
          <w:rFonts w:cs="Calibri"/>
          <w:szCs w:val="20"/>
          <w:lang w:val="en-US"/>
        </w:rPr>
      </w:pPr>
      <w:r w:rsidRPr="00C1113F">
        <w:rPr>
          <w:rFonts w:cs="Calibri"/>
          <w:szCs w:val="20"/>
          <w:lang w:val="en-US"/>
        </w:rPr>
        <w:t>In addition to academics, this paper is of interest for practitioners,</w:t>
      </w:r>
      <w:r w:rsidR="00902114">
        <w:rPr>
          <w:rFonts w:cs="Calibri"/>
          <w:szCs w:val="20"/>
          <w:lang w:val="en-US"/>
        </w:rPr>
        <w:t xml:space="preserve"> especially those working in the field of </w:t>
      </w:r>
      <w:r w:rsidR="001E5151">
        <w:rPr>
          <w:rFonts w:cs="Calibri"/>
          <w:szCs w:val="20"/>
          <w:lang w:val="en-US"/>
        </w:rPr>
        <w:t>CCIs</w:t>
      </w:r>
      <w:r w:rsidRPr="00C1113F">
        <w:rPr>
          <w:rFonts w:cs="Calibri"/>
          <w:szCs w:val="20"/>
          <w:lang w:val="en-US"/>
        </w:rPr>
        <w:t xml:space="preserve">. First of all, freelancers and other practitioners involved in product development should acknowledge the critical role of time in the success of projects. </w:t>
      </w:r>
      <w:r w:rsidR="00497E86">
        <w:rPr>
          <w:rFonts w:cs="Calibri"/>
          <w:szCs w:val="20"/>
          <w:lang w:val="en-US"/>
        </w:rPr>
        <w:t xml:space="preserve">Although it is obviously sensible </w:t>
      </w:r>
      <w:r w:rsidR="001E5151">
        <w:rPr>
          <w:rFonts w:cs="Calibri"/>
          <w:szCs w:val="20"/>
          <w:lang w:val="en-US"/>
        </w:rPr>
        <w:t>to have an aim to maximize billable hours,</w:t>
      </w:r>
      <w:r w:rsidR="00497E86">
        <w:rPr>
          <w:rFonts w:cs="Calibri"/>
          <w:szCs w:val="20"/>
          <w:lang w:val="en-US"/>
        </w:rPr>
        <w:t xml:space="preserve"> </w:t>
      </w:r>
      <w:r w:rsidR="001E5151">
        <w:rPr>
          <w:rFonts w:cs="Calibri"/>
          <w:szCs w:val="20"/>
          <w:lang w:val="en-US"/>
        </w:rPr>
        <w:t>practitioners</w:t>
      </w:r>
      <w:r w:rsidR="00497E86">
        <w:rPr>
          <w:rFonts w:cs="Calibri"/>
          <w:szCs w:val="20"/>
          <w:lang w:val="en-US"/>
        </w:rPr>
        <w:t xml:space="preserve"> should </w:t>
      </w:r>
      <w:r w:rsidR="001E5151">
        <w:rPr>
          <w:rFonts w:cs="Calibri"/>
          <w:szCs w:val="20"/>
          <w:lang w:val="en-US"/>
        </w:rPr>
        <w:t>evaluate</w:t>
      </w:r>
      <w:r w:rsidR="00497E86">
        <w:rPr>
          <w:rFonts w:cs="Calibri"/>
          <w:szCs w:val="20"/>
          <w:lang w:val="en-US"/>
        </w:rPr>
        <w:t xml:space="preserve"> </w:t>
      </w:r>
      <w:r w:rsidR="001E5151">
        <w:rPr>
          <w:rFonts w:cs="Calibri"/>
          <w:szCs w:val="20"/>
          <w:lang w:val="en-US"/>
        </w:rPr>
        <w:t xml:space="preserve">how shortening knowledge </w:t>
      </w:r>
      <w:r w:rsidR="00CC6888">
        <w:rPr>
          <w:rFonts w:cs="Calibri"/>
          <w:szCs w:val="20"/>
          <w:lang w:val="en-US"/>
        </w:rPr>
        <w:t>transfer</w:t>
      </w:r>
      <w:r w:rsidR="001E5151">
        <w:rPr>
          <w:rFonts w:cs="Calibri"/>
          <w:szCs w:val="20"/>
          <w:lang w:val="en-US"/>
        </w:rPr>
        <w:t xml:space="preserve"> might impact a project likelihood of success.</w:t>
      </w:r>
      <w:r w:rsidR="00497E86">
        <w:rPr>
          <w:rFonts w:cs="Calibri"/>
          <w:szCs w:val="20"/>
          <w:lang w:val="en-US"/>
        </w:rPr>
        <w:t xml:space="preserve"> </w:t>
      </w:r>
      <w:r w:rsidR="001E5151">
        <w:rPr>
          <w:rFonts w:cs="Calibri"/>
          <w:szCs w:val="20"/>
          <w:lang w:val="en-US"/>
        </w:rPr>
        <w:t>T</w:t>
      </w:r>
      <w:r w:rsidRPr="00C1113F">
        <w:rPr>
          <w:rFonts w:cs="Calibri"/>
          <w:szCs w:val="20"/>
          <w:lang w:val="en-US"/>
        </w:rPr>
        <w:t xml:space="preserve">hey should </w:t>
      </w:r>
      <w:r w:rsidR="001E5151">
        <w:rPr>
          <w:rFonts w:cs="Calibri"/>
          <w:szCs w:val="20"/>
          <w:lang w:val="en-US"/>
        </w:rPr>
        <w:t xml:space="preserve">also </w:t>
      </w:r>
      <w:r w:rsidRPr="00C1113F">
        <w:rPr>
          <w:rFonts w:cs="Calibri"/>
          <w:szCs w:val="20"/>
          <w:lang w:val="en-US"/>
        </w:rPr>
        <w:t xml:space="preserve">make sure they </w:t>
      </w:r>
      <w:r w:rsidR="00902114">
        <w:rPr>
          <w:rFonts w:cs="Calibri"/>
          <w:szCs w:val="20"/>
          <w:lang w:val="en-US"/>
        </w:rPr>
        <w:t>emphasize</w:t>
      </w:r>
      <w:r w:rsidRPr="00C1113F">
        <w:rPr>
          <w:rFonts w:cs="Calibri"/>
          <w:szCs w:val="20"/>
          <w:lang w:val="en-US"/>
        </w:rPr>
        <w:t xml:space="preserve"> the par</w:t>
      </w:r>
      <w:r w:rsidR="00902114">
        <w:rPr>
          <w:rFonts w:cs="Calibri"/>
          <w:szCs w:val="20"/>
          <w:lang w:val="en-US"/>
        </w:rPr>
        <w:t>ticipation of the client in the process</w:t>
      </w:r>
      <w:r w:rsidRPr="00C1113F">
        <w:rPr>
          <w:rFonts w:cs="Calibri"/>
          <w:szCs w:val="20"/>
          <w:lang w:val="en-US"/>
        </w:rPr>
        <w:t xml:space="preserve"> and make an honest use of the</w:t>
      </w:r>
      <w:r w:rsidR="001E5151">
        <w:rPr>
          <w:rFonts w:cs="Calibri"/>
          <w:szCs w:val="20"/>
          <w:lang w:val="en-US"/>
        </w:rPr>
        <w:t xml:space="preserve"> “customized label effect”. Above all</w:t>
      </w:r>
      <w:r w:rsidRPr="00C1113F">
        <w:rPr>
          <w:rFonts w:cs="Calibri"/>
          <w:szCs w:val="20"/>
          <w:lang w:val="en-US"/>
        </w:rPr>
        <w:t xml:space="preserve">, dedicating enough time for </w:t>
      </w:r>
      <w:r w:rsidR="001E5151">
        <w:rPr>
          <w:rFonts w:cs="Calibri"/>
          <w:szCs w:val="20"/>
          <w:lang w:val="en-US"/>
        </w:rPr>
        <w:t>customer</w:t>
      </w:r>
      <w:r w:rsidRPr="00C1113F">
        <w:rPr>
          <w:rFonts w:cs="Calibri"/>
          <w:szCs w:val="20"/>
          <w:lang w:val="en-US"/>
        </w:rPr>
        <w:t xml:space="preserve"> involvement </w:t>
      </w:r>
      <w:r w:rsidR="006F3044">
        <w:rPr>
          <w:rFonts w:cs="Calibri"/>
          <w:szCs w:val="20"/>
          <w:lang w:val="en-US"/>
        </w:rPr>
        <w:t>seems to be</w:t>
      </w:r>
      <w:r w:rsidRPr="00C1113F">
        <w:rPr>
          <w:rFonts w:cs="Calibri"/>
          <w:szCs w:val="20"/>
          <w:lang w:val="en-US"/>
        </w:rPr>
        <w:t xml:space="preserve"> critical to ensure a better product-client fit.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To finalize, this paper paves the road for further research on this topic but has a number of limitations that must be addressed or investigated further. In this regard, one needs to acknowledge that the paper only analyzed the dyad of a client and a freelancer. We have seen that networks, especially around the client in this case, are of crucial importance</w:t>
      </w:r>
      <w:r w:rsidR="002C342F">
        <w:rPr>
          <w:rFonts w:cs="Calibri"/>
          <w:szCs w:val="20"/>
          <w:lang w:val="en-US"/>
        </w:rPr>
        <w:t xml:space="preserve"> for innovation</w:t>
      </w:r>
      <w:r w:rsidRPr="00C1113F">
        <w:rPr>
          <w:rFonts w:cs="Calibri"/>
          <w:szCs w:val="20"/>
          <w:lang w:val="en-US"/>
        </w:rPr>
        <w:t xml:space="preserve"> and it would be of </w:t>
      </w:r>
      <w:r w:rsidR="006F3044">
        <w:rPr>
          <w:rFonts w:cs="Calibri"/>
          <w:szCs w:val="20"/>
          <w:lang w:val="en-US"/>
        </w:rPr>
        <w:t xml:space="preserve">interest to further examine how external </w:t>
      </w:r>
      <w:r w:rsidRPr="00C1113F">
        <w:rPr>
          <w:rFonts w:cs="Calibri"/>
          <w:szCs w:val="20"/>
          <w:lang w:val="en-US"/>
        </w:rPr>
        <w:t>kn</w:t>
      </w:r>
      <w:r w:rsidR="006F3044">
        <w:rPr>
          <w:rFonts w:cs="Calibri"/>
          <w:szCs w:val="20"/>
          <w:lang w:val="en-US"/>
        </w:rPr>
        <w:t>owledge acquisition influences the likelihood of</w:t>
      </w:r>
      <w:r w:rsidRPr="00C1113F">
        <w:rPr>
          <w:rFonts w:cs="Calibri"/>
          <w:szCs w:val="20"/>
          <w:lang w:val="en-US"/>
        </w:rPr>
        <w:t xml:space="preserve"> success of product development. Moreover, research with a wider sample and a more longitudinal approach would definitely be needed to clarify the role of time in unsuccessful knowledge transfer. In addition, the issue of </w:t>
      </w:r>
      <w:r w:rsidR="00031D54">
        <w:rPr>
          <w:rFonts w:cs="Calibri"/>
          <w:szCs w:val="20"/>
          <w:lang w:val="en-US"/>
        </w:rPr>
        <w:t>shortening time in development processes</w:t>
      </w:r>
      <w:r w:rsidRPr="00C1113F">
        <w:rPr>
          <w:rFonts w:cs="Calibri"/>
          <w:szCs w:val="20"/>
          <w:lang w:val="en-US"/>
        </w:rPr>
        <w:t xml:space="preserve"> needs to be further investigated in CCIs due to its possible impact in the artistic value of the creative product.  </w:t>
      </w:r>
    </w:p>
    <w:p w:rsidR="00AE71FE" w:rsidRDefault="00AE71FE" w:rsidP="00AE71FE">
      <w:pPr>
        <w:pStyle w:val="Otsikko1"/>
      </w:pPr>
      <w:r w:rsidRPr="008D44DA">
        <w:t>References</w:t>
      </w:r>
    </w:p>
    <w:p w:rsidR="00441D9B" w:rsidRPr="00441D9B" w:rsidRDefault="00441D9B" w:rsidP="00441D9B">
      <w:r>
        <w:t>Cankurtaran, P., Langerak, F. and Griffin, A. (2013). “Consequences of New Product Development Speed: A Meta-</w:t>
      </w:r>
      <w:r w:rsidRPr="00441D9B">
        <w:t>Analysis</w:t>
      </w:r>
      <w:r>
        <w:t xml:space="preserve">”. </w:t>
      </w:r>
      <w:r>
        <w:rPr>
          <w:i/>
        </w:rPr>
        <w:t>Journal of Product Innovation Management</w:t>
      </w:r>
      <w:r>
        <w:t>, Vol. 30, No. 3, pp. 465-486.</w:t>
      </w:r>
    </w:p>
    <w:p w:rsidR="00441D9B" w:rsidRPr="00441D9B" w:rsidRDefault="00441D9B" w:rsidP="00441D9B"/>
    <w:p w:rsidR="00C1113F" w:rsidRDefault="00C1113F" w:rsidP="00C1113F">
      <w:pPr>
        <w:autoSpaceDE w:val="0"/>
        <w:autoSpaceDN w:val="0"/>
        <w:adjustRightInd w:val="0"/>
        <w:rPr>
          <w:rFonts w:cs="Calibri"/>
          <w:szCs w:val="20"/>
          <w:lang w:val="en-US"/>
        </w:rPr>
      </w:pPr>
      <w:r w:rsidRPr="00C1113F">
        <w:rPr>
          <w:rFonts w:cs="Calibri"/>
          <w:szCs w:val="20"/>
          <w:lang w:val="en-US"/>
        </w:rPr>
        <w:t>Cannon</w:t>
      </w:r>
      <w:r w:rsidR="00FC31DE">
        <w:rPr>
          <w:rFonts w:cs="Calibri"/>
          <w:szCs w:val="20"/>
          <w:lang w:val="en-US"/>
        </w:rPr>
        <w:t>,</w:t>
      </w:r>
      <w:r w:rsidRPr="00C1113F">
        <w:rPr>
          <w:rFonts w:cs="Calibri"/>
          <w:szCs w:val="20"/>
          <w:lang w:val="en-US"/>
        </w:rPr>
        <w:t xml:space="preserve"> MD. and Edmondson</w:t>
      </w:r>
      <w:r w:rsidR="00FC31DE">
        <w:rPr>
          <w:rFonts w:cs="Calibri"/>
          <w:szCs w:val="20"/>
          <w:lang w:val="en-US"/>
        </w:rPr>
        <w:t>,</w:t>
      </w:r>
      <w:r w:rsidRPr="00C1113F">
        <w:rPr>
          <w:rFonts w:cs="Calibri"/>
          <w:szCs w:val="20"/>
          <w:lang w:val="en-US"/>
        </w:rPr>
        <w:t xml:space="preserve"> AM.  (2001). “Confronting failure: Antecedents and consequences of shared beliefs about failure in organizational work groups”</w:t>
      </w:r>
      <w:r w:rsidR="00FC31DE">
        <w:rPr>
          <w:rFonts w:cs="Calibri"/>
          <w:szCs w:val="20"/>
          <w:lang w:val="en-US"/>
        </w:rPr>
        <w:t>,</w:t>
      </w:r>
      <w:r w:rsidRPr="00C1113F">
        <w:rPr>
          <w:rFonts w:cs="Calibri"/>
          <w:szCs w:val="20"/>
          <w:lang w:val="en-US"/>
        </w:rPr>
        <w:t xml:space="preserve"> </w:t>
      </w:r>
      <w:r w:rsidRPr="00C1113F">
        <w:rPr>
          <w:rFonts w:cs="Calibri"/>
          <w:i/>
          <w:iCs/>
          <w:szCs w:val="20"/>
          <w:lang w:val="en-US"/>
        </w:rPr>
        <w:t xml:space="preserve">Journal of Organizational </w:t>
      </w:r>
      <w:r w:rsidRPr="00C1113F">
        <w:rPr>
          <w:rFonts w:cs="Calibri"/>
          <w:iCs/>
          <w:szCs w:val="20"/>
          <w:lang w:val="en-US"/>
        </w:rPr>
        <w:t xml:space="preserve">Behavior, Vol. </w:t>
      </w:r>
      <w:r w:rsidRPr="00C1113F">
        <w:rPr>
          <w:rFonts w:cs="Calibri"/>
          <w:szCs w:val="20"/>
          <w:lang w:val="en-US"/>
        </w:rPr>
        <w:t xml:space="preserve">22, </w:t>
      </w:r>
      <w:r w:rsidR="00FC31DE">
        <w:rPr>
          <w:rFonts w:cs="Calibri"/>
          <w:szCs w:val="20"/>
          <w:lang w:val="en-US"/>
        </w:rPr>
        <w:t>No</w:t>
      </w:r>
      <w:r w:rsidRPr="00C1113F">
        <w:rPr>
          <w:rFonts w:cs="Calibri"/>
          <w:szCs w:val="20"/>
          <w:lang w:val="en-US"/>
        </w:rPr>
        <w:t>. 2, pp. 161–177.</w:t>
      </w:r>
    </w:p>
    <w:p w:rsidR="002E751A" w:rsidRDefault="002E751A" w:rsidP="00C1113F">
      <w:pPr>
        <w:autoSpaceDE w:val="0"/>
        <w:autoSpaceDN w:val="0"/>
        <w:adjustRightInd w:val="0"/>
        <w:rPr>
          <w:rFonts w:cs="Calibri"/>
          <w:szCs w:val="20"/>
          <w:lang w:val="en-US"/>
        </w:rPr>
      </w:pPr>
    </w:p>
    <w:p w:rsidR="002E751A" w:rsidRPr="002E751A" w:rsidRDefault="002E751A" w:rsidP="00C1113F">
      <w:pPr>
        <w:autoSpaceDE w:val="0"/>
        <w:autoSpaceDN w:val="0"/>
        <w:adjustRightInd w:val="0"/>
        <w:rPr>
          <w:rFonts w:cs="Calibri"/>
          <w:szCs w:val="20"/>
          <w:lang w:val="en-US"/>
        </w:rPr>
      </w:pPr>
      <w:r>
        <w:rPr>
          <w:rFonts w:cs="Calibri"/>
          <w:szCs w:val="20"/>
          <w:lang w:val="en-US"/>
        </w:rPr>
        <w:t xml:space="preserve">Chen, J., Damampour, F. and Reilly, R.R. (2010). “Understanding Antecedents of New Product Development Speed: A Meta-Analysis”. </w:t>
      </w:r>
      <w:r>
        <w:rPr>
          <w:rFonts w:cs="Calibri"/>
          <w:i/>
          <w:szCs w:val="20"/>
          <w:lang w:val="en-US"/>
        </w:rPr>
        <w:t>Journal of Operations Management</w:t>
      </w:r>
      <w:r>
        <w:rPr>
          <w:rFonts w:cs="Calibri"/>
          <w:szCs w:val="20"/>
          <w:lang w:val="en-US"/>
        </w:rPr>
        <w:t xml:space="preserve">, Vol. 28, No. 1, pp. 17-33. </w:t>
      </w:r>
    </w:p>
    <w:p w:rsidR="00C1113F" w:rsidRPr="00C1113F" w:rsidRDefault="00C1113F" w:rsidP="00C1113F">
      <w:pPr>
        <w:autoSpaceDE w:val="0"/>
        <w:autoSpaceDN w:val="0"/>
        <w:adjustRightInd w:val="0"/>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Coad, A. (2014). “Death is not a success</w:t>
      </w:r>
      <w:r w:rsidR="00FC31DE">
        <w:rPr>
          <w:rFonts w:cs="Calibri"/>
          <w:szCs w:val="20"/>
          <w:lang w:val="en-US"/>
        </w:rPr>
        <w:t>: Reflections on business exit”,</w:t>
      </w:r>
      <w:r w:rsidRPr="00C1113F">
        <w:rPr>
          <w:rFonts w:cs="Calibri"/>
          <w:szCs w:val="20"/>
          <w:lang w:val="en-US"/>
        </w:rPr>
        <w:t xml:space="preserve"> </w:t>
      </w:r>
      <w:r w:rsidRPr="00C1113F">
        <w:rPr>
          <w:rFonts w:cs="Calibri"/>
          <w:i/>
          <w:szCs w:val="20"/>
          <w:lang w:val="en-US"/>
        </w:rPr>
        <w:t>International Small Business Journal</w:t>
      </w:r>
      <w:r w:rsidRPr="00C1113F">
        <w:rPr>
          <w:rFonts w:cs="Calibri"/>
          <w:szCs w:val="20"/>
          <w:lang w:val="en-US"/>
        </w:rPr>
        <w:t xml:space="preserve">, Vol. 32, </w:t>
      </w:r>
      <w:r w:rsidR="00FC31DE">
        <w:rPr>
          <w:rFonts w:cs="Calibri"/>
          <w:szCs w:val="20"/>
          <w:lang w:val="en-US"/>
        </w:rPr>
        <w:t>No</w:t>
      </w:r>
      <w:r w:rsidRPr="00C1113F">
        <w:rPr>
          <w:rFonts w:cs="Calibri"/>
          <w:szCs w:val="20"/>
          <w:lang w:val="en-US"/>
        </w:rPr>
        <w:t xml:space="preserve">. 7, pp. 721-732. </w:t>
      </w:r>
    </w:p>
    <w:p w:rsidR="00C1113F" w:rsidRPr="00C1113F" w:rsidRDefault="00C1113F" w:rsidP="00C1113F">
      <w:pPr>
        <w:autoSpaceDE w:val="0"/>
        <w:autoSpaceDN w:val="0"/>
        <w:adjustRightInd w:val="0"/>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Coviello, NE. and Joseph, RM. (2012). “Creating Major Innovations with Customers: Insights from Sm</w:t>
      </w:r>
      <w:r w:rsidR="00FC31DE">
        <w:rPr>
          <w:rFonts w:cs="Calibri"/>
          <w:szCs w:val="20"/>
          <w:lang w:val="en-US"/>
        </w:rPr>
        <w:t>all and Young Technology Firms”,</w:t>
      </w:r>
      <w:r w:rsidRPr="00C1113F">
        <w:rPr>
          <w:rFonts w:cs="Calibri"/>
          <w:szCs w:val="20"/>
          <w:lang w:val="en-US"/>
        </w:rPr>
        <w:t xml:space="preserve"> </w:t>
      </w:r>
      <w:r w:rsidRPr="00C1113F">
        <w:rPr>
          <w:rFonts w:cs="Calibri"/>
          <w:i/>
          <w:szCs w:val="20"/>
          <w:lang w:val="en-US"/>
        </w:rPr>
        <w:t>Journal of Marketing</w:t>
      </w:r>
      <w:r w:rsidRPr="00C1113F">
        <w:rPr>
          <w:rFonts w:cs="Calibri"/>
          <w:szCs w:val="20"/>
          <w:lang w:val="en-US"/>
        </w:rPr>
        <w:t xml:space="preserve">, Vol. 76, </w:t>
      </w:r>
      <w:r w:rsidR="00FC31DE">
        <w:rPr>
          <w:rFonts w:cs="Calibri"/>
          <w:szCs w:val="20"/>
          <w:lang w:val="en-US"/>
        </w:rPr>
        <w:t>No</w:t>
      </w:r>
      <w:r w:rsidRPr="00C1113F">
        <w:rPr>
          <w:rFonts w:cs="Calibri"/>
          <w:szCs w:val="20"/>
          <w:lang w:val="en-US"/>
        </w:rPr>
        <w:t>. 6, pp. 87-104.</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Creswell, JW. (2013) </w:t>
      </w:r>
      <w:r w:rsidRPr="00C1113F">
        <w:rPr>
          <w:rFonts w:cs="Calibri"/>
          <w:i/>
          <w:szCs w:val="20"/>
          <w:lang w:val="en-US"/>
        </w:rPr>
        <w:t>Qualitative research inquiry &amp; research design – Choosing among five approaches</w:t>
      </w:r>
      <w:r w:rsidRPr="00C1113F">
        <w:rPr>
          <w:rFonts w:cs="Calibri"/>
          <w:szCs w:val="20"/>
          <w:lang w:val="en-US"/>
        </w:rPr>
        <w:t>. 3</w:t>
      </w:r>
      <w:r w:rsidRPr="00C1113F">
        <w:rPr>
          <w:rFonts w:cs="Calibri"/>
          <w:szCs w:val="20"/>
          <w:vertAlign w:val="superscript"/>
          <w:lang w:val="en-US"/>
        </w:rPr>
        <w:t>rd</w:t>
      </w:r>
      <w:r w:rsidRPr="00C1113F">
        <w:rPr>
          <w:rFonts w:cs="Calibri"/>
          <w:szCs w:val="20"/>
          <w:lang w:val="en-US"/>
        </w:rPr>
        <w:t xml:space="preserve"> Edition. </w:t>
      </w:r>
    </w:p>
    <w:p w:rsidR="00C1113F" w:rsidRDefault="00C1113F" w:rsidP="00C1113F">
      <w:pPr>
        <w:rPr>
          <w:rFonts w:cs="Calibri"/>
          <w:szCs w:val="20"/>
          <w:lang w:val="en-US"/>
        </w:rPr>
      </w:pPr>
    </w:p>
    <w:p w:rsidR="00722AD1" w:rsidRPr="00C1113F" w:rsidRDefault="00722AD1" w:rsidP="00722AD1">
      <w:pPr>
        <w:rPr>
          <w:rFonts w:cs="Calibri"/>
          <w:szCs w:val="20"/>
          <w:lang w:val="en-US"/>
        </w:rPr>
      </w:pPr>
      <w:r w:rsidRPr="00C1113F">
        <w:rPr>
          <w:rFonts w:cs="Calibri"/>
          <w:szCs w:val="20"/>
          <w:lang w:val="en-US"/>
        </w:rPr>
        <w:t>De Massis, Al. and Kotlar, J. (2014) “The case study method in family business research: Guidelines for qualitative scholarship”</w:t>
      </w:r>
      <w:r>
        <w:rPr>
          <w:rFonts w:cs="Calibri"/>
          <w:szCs w:val="20"/>
          <w:lang w:val="en-US"/>
        </w:rPr>
        <w:t>,</w:t>
      </w:r>
      <w:r w:rsidRPr="00C1113F">
        <w:rPr>
          <w:rFonts w:cs="Calibri"/>
          <w:szCs w:val="20"/>
          <w:lang w:val="en-US"/>
        </w:rPr>
        <w:t xml:space="preserve"> </w:t>
      </w:r>
      <w:r w:rsidRPr="00C1113F">
        <w:rPr>
          <w:rFonts w:cs="Calibri"/>
          <w:i/>
          <w:szCs w:val="20"/>
          <w:lang w:val="en-US"/>
        </w:rPr>
        <w:t>Journal of Family Business Strategy</w:t>
      </w:r>
      <w:r w:rsidRPr="00C1113F">
        <w:rPr>
          <w:rFonts w:cs="Calibri"/>
          <w:szCs w:val="20"/>
          <w:lang w:val="en-US"/>
        </w:rPr>
        <w:t xml:space="preserve">, Vol. 5, pp. 15-29. </w:t>
      </w:r>
    </w:p>
    <w:p w:rsidR="00E418C5" w:rsidRPr="00C1113F" w:rsidRDefault="00E418C5"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Dyer, WG. and Wilkins, AL. (1991). “Better stories, not better constructs, to generate better the</w:t>
      </w:r>
      <w:r w:rsidR="00FC31DE">
        <w:rPr>
          <w:rFonts w:cs="Calibri"/>
          <w:szCs w:val="20"/>
          <w:lang w:val="en-US"/>
        </w:rPr>
        <w:t>ory: A rejoinder to Eisenhardt”,</w:t>
      </w:r>
      <w:r w:rsidRPr="00C1113F">
        <w:rPr>
          <w:rFonts w:cs="Calibri"/>
          <w:szCs w:val="20"/>
          <w:lang w:val="en-US"/>
        </w:rPr>
        <w:t xml:space="preserve"> </w:t>
      </w:r>
      <w:r w:rsidRPr="00C1113F">
        <w:rPr>
          <w:rFonts w:cs="Calibri"/>
          <w:i/>
          <w:szCs w:val="20"/>
          <w:lang w:val="en-US"/>
        </w:rPr>
        <w:t>Academy of Management Review</w:t>
      </w:r>
      <w:r w:rsidRPr="00C1113F">
        <w:rPr>
          <w:rFonts w:cs="Calibri"/>
          <w:szCs w:val="20"/>
          <w:lang w:val="en-US"/>
        </w:rPr>
        <w:t xml:space="preserve">, Vol. 16, </w:t>
      </w:r>
      <w:r w:rsidR="00FC31DE">
        <w:rPr>
          <w:rFonts w:cs="Calibri"/>
          <w:szCs w:val="20"/>
          <w:lang w:val="en-US"/>
        </w:rPr>
        <w:t>No</w:t>
      </w:r>
      <w:r w:rsidRPr="00C1113F">
        <w:rPr>
          <w:rFonts w:cs="Calibri"/>
          <w:szCs w:val="20"/>
          <w:lang w:val="en-US"/>
        </w:rPr>
        <w:t>. 3, pp. 613-619.</w:t>
      </w:r>
    </w:p>
    <w:p w:rsidR="00C1113F" w:rsidRPr="00C1113F" w:rsidRDefault="00C1113F" w:rsidP="00C1113F">
      <w:pPr>
        <w:widowControl w:val="0"/>
        <w:rPr>
          <w:rFonts w:cs="Calibri"/>
          <w:iCs/>
          <w:szCs w:val="20"/>
          <w:lang w:val="en-US"/>
        </w:rPr>
      </w:pP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r w:rsidRPr="00C1113F">
        <w:rPr>
          <w:rFonts w:ascii="Calibri" w:hAnsi="Calibri" w:cs="Calibri"/>
          <w:sz w:val="20"/>
          <w:szCs w:val="20"/>
        </w:rPr>
        <w:t xml:space="preserve">EC. (2010) </w:t>
      </w:r>
      <w:r w:rsidRPr="00C1113F">
        <w:rPr>
          <w:rFonts w:ascii="Calibri" w:hAnsi="Calibri" w:cs="Calibri"/>
          <w:i/>
          <w:iCs/>
          <w:sz w:val="20"/>
          <w:szCs w:val="20"/>
        </w:rPr>
        <w:t>An Integrated Industrial Policy for the Globalisation Era - Putting Competitiveness and Sustainability at Centre Stage</w:t>
      </w:r>
      <w:r w:rsidRPr="00C1113F">
        <w:rPr>
          <w:rFonts w:ascii="Calibri" w:hAnsi="Calibri" w:cs="Calibri"/>
          <w:sz w:val="20"/>
          <w:szCs w:val="20"/>
        </w:rPr>
        <w:t>, European Commission, COM (2010) 614.</w:t>
      </w: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r w:rsidRPr="00C1113F">
        <w:rPr>
          <w:rFonts w:ascii="Calibri" w:hAnsi="Calibri" w:cs="Calibri"/>
          <w:sz w:val="20"/>
          <w:szCs w:val="20"/>
        </w:rPr>
        <w:t>Edmonson, AC. (1996). “Learning from mistakes is easier said than done: group and organizational influences on the detectio</w:t>
      </w:r>
      <w:r w:rsidR="00FC31DE">
        <w:rPr>
          <w:rFonts w:ascii="Calibri" w:hAnsi="Calibri" w:cs="Calibri"/>
          <w:sz w:val="20"/>
          <w:szCs w:val="20"/>
        </w:rPr>
        <w:t>n and correction of human error</w:t>
      </w:r>
      <w:r w:rsidRPr="00C1113F">
        <w:rPr>
          <w:rFonts w:ascii="Calibri" w:hAnsi="Calibri" w:cs="Calibri"/>
          <w:sz w:val="20"/>
          <w:szCs w:val="20"/>
        </w:rPr>
        <w:t>”</w:t>
      </w:r>
      <w:r w:rsidR="00FC31DE">
        <w:rPr>
          <w:rFonts w:ascii="Calibri" w:hAnsi="Calibri" w:cs="Calibri"/>
          <w:sz w:val="20"/>
          <w:szCs w:val="20"/>
        </w:rPr>
        <w:t>,</w:t>
      </w:r>
      <w:r w:rsidRPr="00C1113F">
        <w:rPr>
          <w:rFonts w:ascii="Calibri" w:hAnsi="Calibri" w:cs="Calibri"/>
          <w:sz w:val="20"/>
          <w:szCs w:val="20"/>
        </w:rPr>
        <w:t xml:space="preserve"> </w:t>
      </w:r>
      <w:r w:rsidRPr="00C1113F">
        <w:rPr>
          <w:rFonts w:ascii="Calibri" w:hAnsi="Calibri" w:cs="Calibri"/>
          <w:i/>
          <w:sz w:val="20"/>
          <w:szCs w:val="20"/>
        </w:rPr>
        <w:t>Journal of Applied Behavioral Science</w:t>
      </w:r>
      <w:r w:rsidRPr="00C1113F">
        <w:rPr>
          <w:rFonts w:ascii="Calibri" w:hAnsi="Calibri" w:cs="Calibri"/>
          <w:sz w:val="20"/>
          <w:szCs w:val="20"/>
        </w:rPr>
        <w:t>, Vol. 32, pp. 5-32.</w:t>
      </w: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p>
    <w:p w:rsidR="00C1113F" w:rsidRPr="00C1113F" w:rsidRDefault="00C1113F" w:rsidP="00C1113F">
      <w:pPr>
        <w:spacing w:line="276" w:lineRule="auto"/>
        <w:rPr>
          <w:rFonts w:cs="Calibri"/>
          <w:szCs w:val="20"/>
          <w:lang w:val="en-US"/>
        </w:rPr>
      </w:pPr>
      <w:r w:rsidRPr="00C1113F">
        <w:rPr>
          <w:rFonts w:cs="Calibri"/>
          <w:szCs w:val="20"/>
          <w:lang w:val="en-US"/>
        </w:rPr>
        <w:t>Edmonson, AC. (2011). “Strate</w:t>
      </w:r>
      <w:r w:rsidR="00FC31DE">
        <w:rPr>
          <w:rFonts w:cs="Calibri"/>
          <w:szCs w:val="20"/>
          <w:lang w:val="en-US"/>
        </w:rPr>
        <w:t>gies For Learning From Failure”,</w:t>
      </w:r>
      <w:r w:rsidRPr="00C1113F">
        <w:rPr>
          <w:rFonts w:cs="Calibri"/>
          <w:szCs w:val="20"/>
          <w:lang w:val="en-US"/>
        </w:rPr>
        <w:t xml:space="preserve"> </w:t>
      </w:r>
      <w:r w:rsidRPr="00C1113F">
        <w:rPr>
          <w:rFonts w:cs="Calibri"/>
          <w:i/>
          <w:iCs/>
          <w:szCs w:val="20"/>
          <w:lang w:val="en-US"/>
        </w:rPr>
        <w:t>Harvard Business Review</w:t>
      </w:r>
      <w:r w:rsidRPr="00C1113F">
        <w:rPr>
          <w:rFonts w:cs="Calibri"/>
          <w:szCs w:val="20"/>
          <w:lang w:val="en-US"/>
        </w:rPr>
        <w:t xml:space="preserve">, Vol. 89, No. 4, pp. 49-55. </w:t>
      </w:r>
    </w:p>
    <w:p w:rsidR="00C1113F" w:rsidRPr="00C1113F" w:rsidRDefault="00C1113F" w:rsidP="00C1113F">
      <w:pPr>
        <w:rPr>
          <w:rFonts w:cs="Calibri"/>
          <w:szCs w:val="20"/>
          <w:lang w:val="en-US"/>
        </w:rPr>
      </w:pP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r w:rsidRPr="00C1113F">
        <w:rPr>
          <w:rFonts w:ascii="Calibri" w:hAnsi="Calibri" w:cs="Calibri"/>
          <w:sz w:val="20"/>
          <w:szCs w:val="20"/>
        </w:rPr>
        <w:t xml:space="preserve">European Commission. (2003) </w:t>
      </w:r>
      <w:r w:rsidRPr="00C1113F">
        <w:rPr>
          <w:rFonts w:ascii="Calibri" w:hAnsi="Calibri" w:cs="Calibri"/>
          <w:i/>
          <w:sz w:val="20"/>
          <w:szCs w:val="20"/>
        </w:rPr>
        <w:t>Commission Recommendation of 6 May 2003 concerning the definition of micro, small and medium-sized enterprises</w:t>
      </w:r>
      <w:r w:rsidRPr="00C1113F">
        <w:rPr>
          <w:rFonts w:ascii="Calibri" w:hAnsi="Calibri" w:cs="Calibri"/>
          <w:sz w:val="20"/>
          <w:szCs w:val="20"/>
        </w:rPr>
        <w:t>. Official Journal of the European Union, Commission Recommendation 2003/361/EC.</w:t>
      </w:r>
    </w:p>
    <w:p w:rsidR="00C1113F" w:rsidRPr="00C1113F" w:rsidRDefault="00C1113F" w:rsidP="00C1113F">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Calibri" w:hAnsi="Calibri" w:cs="Calibri"/>
          <w:sz w:val="20"/>
          <w:szCs w:val="20"/>
        </w:rPr>
      </w:pPr>
    </w:p>
    <w:p w:rsidR="00C1113F" w:rsidRPr="00C1113F" w:rsidRDefault="00C1113F" w:rsidP="00C1113F">
      <w:pPr>
        <w:rPr>
          <w:rFonts w:cs="Calibri"/>
          <w:szCs w:val="20"/>
          <w:lang w:val="en-US"/>
        </w:rPr>
      </w:pPr>
      <w:r w:rsidRPr="00C1113F">
        <w:rPr>
          <w:rFonts w:cs="Calibri"/>
          <w:szCs w:val="20"/>
          <w:lang w:val="en-US"/>
        </w:rPr>
        <w:t>Europa Innova. (2011)</w:t>
      </w:r>
      <w:r w:rsidRPr="00C1113F">
        <w:rPr>
          <w:rFonts w:cs="Calibri"/>
          <w:i/>
          <w:szCs w:val="20"/>
          <w:lang w:val="en-US"/>
        </w:rPr>
        <w:t xml:space="preserve"> The European Cluster Observatory. Priority Sector Report: Creative and Cultural Industries</w:t>
      </w:r>
      <w:r w:rsidRPr="00C1113F">
        <w:rPr>
          <w:rFonts w:cs="Calibri"/>
          <w:szCs w:val="20"/>
          <w:lang w:val="en-US"/>
        </w:rPr>
        <w:t xml:space="preserv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Franke, N. and Piller, F. (2004) “Value Creation by Toolkits for User Innovation and Design</w:t>
      </w:r>
      <w:r w:rsidR="00FC31DE">
        <w:rPr>
          <w:rFonts w:cs="Calibri"/>
          <w:szCs w:val="20"/>
          <w:lang w:val="en-US"/>
        </w:rPr>
        <w:t>: The Case of the Watch Market”,</w:t>
      </w:r>
      <w:r w:rsidRPr="00C1113F">
        <w:rPr>
          <w:rFonts w:cs="Calibri"/>
          <w:szCs w:val="20"/>
          <w:lang w:val="en-US"/>
        </w:rPr>
        <w:t xml:space="preserve"> </w:t>
      </w:r>
      <w:r w:rsidRPr="00C1113F">
        <w:rPr>
          <w:rFonts w:cs="Calibri"/>
          <w:i/>
          <w:szCs w:val="20"/>
          <w:lang w:val="en-US"/>
        </w:rPr>
        <w:t>Journal of Product Innovation Management</w:t>
      </w:r>
      <w:r w:rsidRPr="00C1113F">
        <w:rPr>
          <w:rFonts w:cs="Calibri"/>
          <w:szCs w:val="20"/>
          <w:lang w:val="en-US"/>
        </w:rPr>
        <w:t>, Vol. 21, No. 6, pp. 401-415.</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Gino, F. and Staats, B. (2015) “Why Organizations Don’t Learn”</w:t>
      </w:r>
      <w:r w:rsidR="00FC31DE">
        <w:rPr>
          <w:rFonts w:cs="Calibri"/>
          <w:szCs w:val="20"/>
          <w:lang w:val="en-US"/>
        </w:rPr>
        <w:t xml:space="preserve">, </w:t>
      </w:r>
      <w:r w:rsidRPr="00C1113F">
        <w:rPr>
          <w:rFonts w:cs="Calibri"/>
          <w:i/>
          <w:szCs w:val="20"/>
          <w:lang w:val="en-US"/>
        </w:rPr>
        <w:t>Harvard Business Review</w:t>
      </w:r>
      <w:r w:rsidRPr="00C1113F">
        <w:rPr>
          <w:rFonts w:cs="Calibri"/>
          <w:szCs w:val="20"/>
          <w:lang w:val="en-US"/>
        </w:rPr>
        <w:t xml:space="preserve">. November 2015.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bCs/>
          <w:color w:val="000000"/>
          <w:szCs w:val="20"/>
        </w:rPr>
        <w:t xml:space="preserve">Glaser, BG, and Strauss, AL. (1967) </w:t>
      </w:r>
      <w:r w:rsidRPr="00C1113F">
        <w:rPr>
          <w:rFonts w:cs="Calibri"/>
          <w:bCs/>
          <w:i/>
          <w:color w:val="000000"/>
          <w:szCs w:val="20"/>
        </w:rPr>
        <w:t>The Discovery of Grounded Theory: Strategies for Qualitative Research</w:t>
      </w:r>
      <w:r w:rsidRPr="00C1113F">
        <w:rPr>
          <w:rFonts w:cs="Calibri"/>
          <w:bCs/>
          <w:color w:val="000000"/>
          <w:szCs w:val="20"/>
        </w:rPr>
        <w:t>, Chicago, Aldine Publishing Company</w:t>
      </w:r>
    </w:p>
    <w:p w:rsidR="00C1113F" w:rsidRPr="00C1113F" w:rsidRDefault="00C1113F" w:rsidP="00C1113F">
      <w:pPr>
        <w:rPr>
          <w:rFonts w:cs="Calibri"/>
          <w:szCs w:val="20"/>
          <w:lang w:val="en-US"/>
        </w:rPr>
      </w:pPr>
    </w:p>
    <w:p w:rsidR="00C1113F" w:rsidRPr="00C1113F" w:rsidRDefault="00C1113F" w:rsidP="00C1113F">
      <w:pPr>
        <w:widowControl w:val="0"/>
        <w:spacing w:after="200"/>
        <w:rPr>
          <w:rFonts w:cs="Calibri"/>
          <w:i/>
          <w:iCs/>
          <w:szCs w:val="20"/>
          <w:lang w:val="en-US"/>
        </w:rPr>
      </w:pPr>
      <w:r w:rsidRPr="00C1113F">
        <w:rPr>
          <w:rFonts w:cs="Calibri"/>
          <w:iCs/>
          <w:szCs w:val="20"/>
          <w:lang w:val="en-US"/>
        </w:rPr>
        <w:t xml:space="preserve">Gonzalez-Cristiano, A. (2016) ”Knowledge Conversion by Freelancers in the Field of Cultural and Creative Industries”. </w:t>
      </w:r>
      <w:r w:rsidRPr="00C1113F">
        <w:rPr>
          <w:rFonts w:cs="Calibri"/>
          <w:i/>
          <w:iCs/>
          <w:szCs w:val="20"/>
          <w:lang w:val="en-US"/>
        </w:rPr>
        <w:t>ECKM 2016</w:t>
      </w:r>
      <w:r w:rsidRPr="00C1113F">
        <w:rPr>
          <w:rFonts w:cs="Calibri"/>
          <w:iCs/>
          <w:szCs w:val="20"/>
          <w:lang w:val="en-US"/>
        </w:rPr>
        <w:t xml:space="preserve"> </w:t>
      </w:r>
      <w:r w:rsidRPr="00C1113F">
        <w:rPr>
          <w:rFonts w:cs="Calibri"/>
          <w:i/>
          <w:iCs/>
          <w:szCs w:val="20"/>
          <w:lang w:val="en-US"/>
        </w:rPr>
        <w:t>conference proceedings</w:t>
      </w:r>
      <w:r w:rsidRPr="00C1113F">
        <w:rPr>
          <w:rFonts w:cs="Calibri"/>
          <w:iCs/>
          <w:szCs w:val="20"/>
          <w:lang w:val="en-US"/>
        </w:rPr>
        <w:t>, pp. 343-350</w:t>
      </w:r>
    </w:p>
    <w:p w:rsidR="00C1113F" w:rsidRPr="00C1113F" w:rsidRDefault="00C1113F" w:rsidP="00C1113F">
      <w:pPr>
        <w:widowControl w:val="0"/>
        <w:spacing w:after="200"/>
        <w:rPr>
          <w:rFonts w:cs="Calibri"/>
          <w:iCs/>
          <w:szCs w:val="20"/>
          <w:lang w:val="en-US"/>
        </w:rPr>
      </w:pPr>
      <w:r w:rsidRPr="00C1113F">
        <w:rPr>
          <w:rFonts w:cs="Calibri"/>
          <w:szCs w:val="20"/>
          <w:lang w:val="en-US"/>
        </w:rPr>
        <w:t>Gonzalez-</w:t>
      </w:r>
      <w:r w:rsidRPr="00C1113F">
        <w:rPr>
          <w:rFonts w:cs="Calibri"/>
          <w:iCs/>
          <w:szCs w:val="20"/>
          <w:lang w:val="en-US"/>
        </w:rPr>
        <w:t>Cristiano, A. (2017) ”Knowledge Acquisition in Product Development Processes by Freelancers in the Field of Creative I</w:t>
      </w:r>
      <w:r w:rsidR="00FC31DE">
        <w:rPr>
          <w:rFonts w:cs="Calibri"/>
          <w:iCs/>
          <w:szCs w:val="20"/>
          <w:lang w:val="en-US"/>
        </w:rPr>
        <w:t>ndustries”,</w:t>
      </w:r>
      <w:r w:rsidRPr="00C1113F">
        <w:rPr>
          <w:rFonts w:cs="Calibri"/>
          <w:i/>
          <w:iCs/>
          <w:szCs w:val="20"/>
          <w:lang w:val="en-US"/>
        </w:rPr>
        <w:t xml:space="preserve"> To be presented at IPDCM 2017</w:t>
      </w:r>
      <w:r w:rsidRPr="00C1113F">
        <w:rPr>
          <w:rFonts w:cs="Calibri"/>
          <w:iCs/>
          <w:szCs w:val="20"/>
          <w:lang w:val="en-US"/>
        </w:rPr>
        <w:t>.</w:t>
      </w:r>
    </w:p>
    <w:p w:rsidR="00C1113F" w:rsidRPr="00C1113F" w:rsidRDefault="00C1113F" w:rsidP="00C1113F">
      <w:pPr>
        <w:rPr>
          <w:rFonts w:cs="Calibri"/>
          <w:szCs w:val="20"/>
          <w:lang w:val="en-US"/>
        </w:rPr>
      </w:pPr>
      <w:r w:rsidRPr="00C1113F">
        <w:rPr>
          <w:rFonts w:cs="Calibri"/>
          <w:szCs w:val="20"/>
          <w:lang w:val="en-US"/>
        </w:rPr>
        <w:t xml:space="preserve">Granovetter, M. (1973). ”The Strength of Weak Ties”, </w:t>
      </w:r>
      <w:r w:rsidRPr="00C1113F">
        <w:rPr>
          <w:rFonts w:cs="Calibri"/>
          <w:i/>
          <w:szCs w:val="20"/>
          <w:lang w:val="en-US"/>
        </w:rPr>
        <w:t>American Journal of Sociology</w:t>
      </w:r>
      <w:r w:rsidRPr="00C1113F">
        <w:rPr>
          <w:rFonts w:cs="Calibri"/>
          <w:szCs w:val="20"/>
          <w:lang w:val="en-US"/>
        </w:rPr>
        <w:t>, Vol. 78, pp. 1360-1380</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Isenberg, D. (2011) “Entrepre</w:t>
      </w:r>
      <w:r w:rsidR="00FC31DE">
        <w:rPr>
          <w:rFonts w:cs="Calibri"/>
          <w:szCs w:val="20"/>
          <w:lang w:val="en-US"/>
        </w:rPr>
        <w:t xml:space="preserve">neurs and The Cult of Failure”, </w:t>
      </w:r>
      <w:r w:rsidRPr="00C1113F">
        <w:rPr>
          <w:rFonts w:cs="Calibri"/>
          <w:i/>
          <w:szCs w:val="20"/>
          <w:lang w:val="en-US"/>
        </w:rPr>
        <w:t>Harvard Business Review</w:t>
      </w:r>
      <w:r w:rsidRPr="00C1113F">
        <w:rPr>
          <w:rFonts w:cs="Calibri"/>
          <w:szCs w:val="20"/>
          <w:lang w:val="en-US"/>
        </w:rPr>
        <w:t xml:space="preserve">, Vol. 89, No. 4, pp. 36. </w:t>
      </w:r>
    </w:p>
    <w:p w:rsidR="00C1113F" w:rsidRPr="00C1113F" w:rsidRDefault="00C1113F" w:rsidP="00C1113F">
      <w:pPr>
        <w:rPr>
          <w:rFonts w:cs="Calibri"/>
          <w:szCs w:val="20"/>
          <w:lang w:val="en-US"/>
        </w:rPr>
      </w:pPr>
    </w:p>
    <w:p w:rsidR="00C1113F" w:rsidRPr="00C1113F" w:rsidRDefault="00C1113F" w:rsidP="00C1113F">
      <w:pPr>
        <w:pStyle w:val="FreeForm"/>
        <w:jc w:val="both"/>
        <w:rPr>
          <w:rFonts w:ascii="Calibri" w:hAnsi="Calibri" w:cs="Calibri"/>
          <w:lang w:val="en-US"/>
        </w:rPr>
      </w:pPr>
      <w:r w:rsidRPr="00C1113F">
        <w:rPr>
          <w:rFonts w:ascii="Calibri" w:hAnsi="Calibri" w:cs="Calibri"/>
          <w:lang w:val="en-US"/>
        </w:rPr>
        <w:t xml:space="preserve">Kolsteeg, J. 2014. </w:t>
      </w:r>
      <w:r w:rsidRPr="00C1113F">
        <w:rPr>
          <w:rFonts w:ascii="Calibri" w:hAnsi="Calibri" w:cs="Calibri"/>
          <w:i/>
          <w:lang w:val="en-US"/>
        </w:rPr>
        <w:t>Shifting Gear: The daily deliberation between arts and economics in cultural and creative organistions in Utrecht, 2010-2012</w:t>
      </w:r>
      <w:r w:rsidRPr="00C1113F">
        <w:rPr>
          <w:rFonts w:ascii="Calibri" w:hAnsi="Calibri" w:cs="Calibri"/>
          <w:lang w:val="en-US"/>
        </w:rPr>
        <w:t>. Eburon.</w:t>
      </w:r>
    </w:p>
    <w:p w:rsidR="00C1113F" w:rsidRPr="00C1113F" w:rsidRDefault="00C1113F" w:rsidP="00C1113F">
      <w:pPr>
        <w:pStyle w:val="FreeForm"/>
        <w:jc w:val="both"/>
        <w:rPr>
          <w:rFonts w:ascii="Calibri" w:hAnsi="Calibri" w:cs="Calibri"/>
          <w:lang w:val="en-US"/>
        </w:rPr>
      </w:pPr>
    </w:p>
    <w:p w:rsidR="00C1113F" w:rsidRPr="00C1113F" w:rsidRDefault="00C1113F" w:rsidP="00C1113F">
      <w:pPr>
        <w:pStyle w:val="FreeForm"/>
        <w:spacing w:after="240"/>
        <w:jc w:val="both"/>
        <w:rPr>
          <w:rFonts w:ascii="Calibri" w:hAnsi="Calibri" w:cs="Calibri"/>
          <w:lang w:val="en-US"/>
        </w:rPr>
      </w:pPr>
      <w:r w:rsidRPr="00C1113F">
        <w:rPr>
          <w:rFonts w:ascii="Calibri" w:hAnsi="Calibri" w:cs="Calibri"/>
          <w:lang w:val="en-US"/>
        </w:rPr>
        <w:t>Leighton, P. (2015) “Independent Professional</w:t>
      </w:r>
      <w:r w:rsidR="00FC31DE">
        <w:rPr>
          <w:rFonts w:ascii="Calibri" w:hAnsi="Calibri" w:cs="Calibri"/>
          <w:lang w:val="en-US"/>
        </w:rPr>
        <w:t>s: Legal Issues and Challenges”,</w:t>
      </w:r>
      <w:r w:rsidRPr="00C1113F">
        <w:rPr>
          <w:rFonts w:ascii="Calibri" w:hAnsi="Calibri" w:cs="Calibri"/>
          <w:lang w:val="en-US"/>
        </w:rPr>
        <w:t xml:space="preserve"> </w:t>
      </w:r>
      <w:r w:rsidRPr="00C1113F">
        <w:rPr>
          <w:rFonts w:ascii="Calibri" w:hAnsi="Calibri" w:cs="Calibri"/>
          <w:i/>
          <w:lang w:val="en-US"/>
        </w:rPr>
        <w:t>International Review of Entrepreneurship</w:t>
      </w:r>
      <w:r w:rsidRPr="00C1113F">
        <w:rPr>
          <w:rFonts w:ascii="Calibri" w:hAnsi="Calibri" w:cs="Calibri"/>
          <w:lang w:val="en-US"/>
        </w:rPr>
        <w:t xml:space="preserve">, Article #1507, Vol. 13, </w:t>
      </w:r>
      <w:r w:rsidR="00FC31DE">
        <w:rPr>
          <w:rFonts w:ascii="Calibri" w:hAnsi="Calibri" w:cs="Calibri"/>
          <w:lang w:val="en-US"/>
        </w:rPr>
        <w:t>No</w:t>
      </w:r>
      <w:r w:rsidRPr="00C1113F">
        <w:rPr>
          <w:rFonts w:ascii="Calibri" w:hAnsi="Calibri" w:cs="Calibri"/>
          <w:lang w:val="en-US"/>
        </w:rPr>
        <w:t>. 2, pp. 81-92.</w:t>
      </w:r>
    </w:p>
    <w:p w:rsidR="00C1113F" w:rsidRPr="00C1113F" w:rsidRDefault="00C1113F" w:rsidP="00C1113F">
      <w:pPr>
        <w:spacing w:after="240"/>
        <w:rPr>
          <w:rFonts w:cs="Calibri"/>
          <w:szCs w:val="20"/>
          <w:lang w:val="en-US"/>
        </w:rPr>
      </w:pPr>
      <w:r w:rsidRPr="00C1113F">
        <w:rPr>
          <w:rFonts w:cs="Calibri"/>
          <w:szCs w:val="20"/>
          <w:lang w:val="en-US"/>
        </w:rPr>
        <w:t xml:space="preserve">Leighton, P. &amp; Brown, D. (2013) </w:t>
      </w:r>
      <w:r w:rsidRPr="00C1113F">
        <w:rPr>
          <w:rFonts w:cs="Calibri"/>
          <w:i/>
          <w:szCs w:val="20"/>
          <w:lang w:val="en-US"/>
        </w:rPr>
        <w:t>Future Working: The rise of European´s independent professionals (iPros)</w:t>
      </w:r>
      <w:r w:rsidRPr="00C1113F">
        <w:rPr>
          <w:rFonts w:cs="Calibri"/>
          <w:szCs w:val="20"/>
          <w:lang w:val="en-US"/>
        </w:rPr>
        <w:t xml:space="preserve">. EFIP. European Forum of Independent Professionals. </w:t>
      </w:r>
    </w:p>
    <w:p w:rsidR="00C1113F" w:rsidRPr="00C1113F" w:rsidRDefault="00C1113F" w:rsidP="00C1113F">
      <w:pPr>
        <w:rPr>
          <w:rFonts w:cs="Calibri"/>
          <w:szCs w:val="20"/>
          <w:lang w:val="en-US"/>
        </w:rPr>
      </w:pPr>
      <w:r w:rsidRPr="00C1113F">
        <w:rPr>
          <w:rFonts w:cs="Calibri"/>
          <w:szCs w:val="20"/>
          <w:lang w:val="en-US"/>
        </w:rPr>
        <w:t xml:space="preserve">Nonaka, I. and Takeuchi, H. (1995) </w:t>
      </w:r>
      <w:r w:rsidRPr="00C1113F">
        <w:rPr>
          <w:rFonts w:cs="Calibri"/>
          <w:i/>
          <w:szCs w:val="20"/>
          <w:lang w:val="en-US"/>
        </w:rPr>
        <w:t>The knowledge-creating  company – How Japanese Companies Creative the Dynamics of Innovation</w:t>
      </w:r>
      <w:r w:rsidRPr="00C1113F">
        <w:rPr>
          <w:rFonts w:cs="Calibri"/>
          <w:szCs w:val="20"/>
          <w:lang w:val="en-US"/>
        </w:rPr>
        <w:t xml:space="preserve">, Oxford University Press.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MacDonald, H. (2015). “Flight Paths”. </w:t>
      </w:r>
      <w:r w:rsidRPr="00C1113F">
        <w:rPr>
          <w:rFonts w:cs="Calibri"/>
          <w:i/>
          <w:szCs w:val="20"/>
          <w:lang w:val="en-US"/>
        </w:rPr>
        <w:t>The New York Times Magazine</w:t>
      </w:r>
      <w:r w:rsidR="00FC31DE">
        <w:rPr>
          <w:rFonts w:cs="Calibri"/>
          <w:szCs w:val="20"/>
          <w:lang w:val="en-US"/>
        </w:rPr>
        <w:t>, [Online],</w:t>
      </w:r>
      <w:r w:rsidRPr="00C1113F">
        <w:rPr>
          <w:rFonts w:cs="Calibri"/>
          <w:szCs w:val="20"/>
          <w:lang w:val="en-US"/>
        </w:rPr>
        <w:t xml:space="preserve"> </w:t>
      </w:r>
      <w:r w:rsidR="00FC31DE">
        <w:rPr>
          <w:rFonts w:cs="Calibri"/>
          <w:szCs w:val="20"/>
          <w:lang w:val="en-US"/>
        </w:rPr>
        <w:t xml:space="preserve">NY Times, </w:t>
      </w:r>
      <w:hyperlink r:id="rId10" w:history="1">
        <w:r w:rsidRPr="00C1113F">
          <w:rPr>
            <w:rStyle w:val="Hyperlinkki"/>
            <w:rFonts w:cs="Calibri"/>
            <w:szCs w:val="20"/>
            <w:lang w:val="en-US"/>
          </w:rPr>
          <w:t>https://www.nytimes.com/2015/05/17/magazine/flight-paths.html?_r=0</w:t>
        </w:r>
      </w:hyperlink>
      <w:r w:rsidRPr="00C1113F">
        <w:rPr>
          <w:rFonts w:cs="Calibri"/>
          <w:szCs w:val="20"/>
          <w:lang w:val="en-US"/>
        </w:rPr>
        <w:t xml:space="preserve"> </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March, JG. (1991) “Exploration and exploitati</w:t>
      </w:r>
      <w:r w:rsidR="00FC31DE">
        <w:rPr>
          <w:rFonts w:cs="Calibri"/>
          <w:szCs w:val="20"/>
          <w:lang w:val="en-US"/>
        </w:rPr>
        <w:t xml:space="preserve">on in organizational learning”, </w:t>
      </w:r>
      <w:r w:rsidRPr="00C1113F">
        <w:rPr>
          <w:rFonts w:cs="Calibri"/>
          <w:i/>
          <w:szCs w:val="20"/>
          <w:lang w:val="en-US"/>
        </w:rPr>
        <w:t>Organization Science</w:t>
      </w:r>
      <w:r w:rsidRPr="00C1113F">
        <w:rPr>
          <w:rFonts w:cs="Calibri"/>
          <w:szCs w:val="20"/>
          <w:lang w:val="en-US"/>
        </w:rPr>
        <w:t>, Vol. 2, No. 1, pp. 71-87.</w:t>
      </w:r>
    </w:p>
    <w:p w:rsidR="00C1113F" w:rsidRPr="00C1113F" w:rsidRDefault="00C1113F" w:rsidP="00C1113F">
      <w:pPr>
        <w:rPr>
          <w:rFonts w:cs="Calibri"/>
          <w:szCs w:val="20"/>
          <w:lang w:val="en-US"/>
        </w:rPr>
      </w:pPr>
    </w:p>
    <w:p w:rsidR="00C1113F" w:rsidRPr="00C1113F" w:rsidRDefault="004F1738" w:rsidP="00C1113F">
      <w:pPr>
        <w:rPr>
          <w:rFonts w:cs="Calibri"/>
          <w:szCs w:val="20"/>
        </w:rPr>
      </w:pPr>
      <w:r>
        <w:rPr>
          <w:rFonts w:cs="Calibri"/>
          <w:szCs w:val="20"/>
        </w:rPr>
        <w:t>Merle, A., Chandon, J</w:t>
      </w:r>
      <w:r w:rsidR="00C1113F" w:rsidRPr="00C1113F">
        <w:rPr>
          <w:rFonts w:cs="Calibri"/>
          <w:szCs w:val="20"/>
        </w:rPr>
        <w:t>L.</w:t>
      </w:r>
      <w:r>
        <w:rPr>
          <w:rFonts w:cs="Calibri"/>
          <w:szCs w:val="20"/>
        </w:rPr>
        <w:t>, Roux, E. and</w:t>
      </w:r>
      <w:r w:rsidR="00C1113F" w:rsidRPr="00C1113F">
        <w:rPr>
          <w:rFonts w:cs="Calibri"/>
          <w:szCs w:val="20"/>
        </w:rPr>
        <w:t xml:space="preserve"> Alizon, F. (2010) “Perceived Value of the Mass Customized Product and Mass  Customization Experi</w:t>
      </w:r>
      <w:r w:rsidR="00FC31DE">
        <w:rPr>
          <w:rFonts w:cs="Calibri"/>
          <w:szCs w:val="20"/>
        </w:rPr>
        <w:t xml:space="preserve">ence for Individual Consumers”, </w:t>
      </w:r>
      <w:r w:rsidR="00C1113F" w:rsidRPr="00C1113F">
        <w:rPr>
          <w:rFonts w:cs="Calibri"/>
          <w:i/>
          <w:szCs w:val="20"/>
        </w:rPr>
        <w:t>Production and Operations Management</w:t>
      </w:r>
      <w:r w:rsidR="00C1113F" w:rsidRPr="00C1113F">
        <w:rPr>
          <w:rFonts w:cs="Calibri"/>
          <w:szCs w:val="20"/>
        </w:rPr>
        <w:t xml:space="preserve">, </w:t>
      </w:r>
      <w:r w:rsidR="00FC31DE">
        <w:rPr>
          <w:rFonts w:cs="Calibri"/>
          <w:szCs w:val="20"/>
        </w:rPr>
        <w:t>Vol</w:t>
      </w:r>
      <w:r w:rsidR="00C1113F" w:rsidRPr="00C1113F">
        <w:rPr>
          <w:rFonts w:cs="Calibri"/>
          <w:szCs w:val="20"/>
        </w:rPr>
        <w:t>. 19</w:t>
      </w:r>
      <w:r w:rsidR="00FC31DE">
        <w:rPr>
          <w:rFonts w:cs="Calibri"/>
          <w:szCs w:val="20"/>
        </w:rPr>
        <w:t>,</w:t>
      </w:r>
      <w:r w:rsidR="00C1113F" w:rsidRPr="00C1113F">
        <w:rPr>
          <w:rFonts w:cs="Calibri"/>
          <w:szCs w:val="20"/>
        </w:rPr>
        <w:t xml:space="preserve"> </w:t>
      </w:r>
      <w:r w:rsidR="00FC31DE">
        <w:rPr>
          <w:rFonts w:cs="Calibri"/>
          <w:szCs w:val="20"/>
        </w:rPr>
        <w:t>No</w:t>
      </w:r>
      <w:r w:rsidR="00C1113F" w:rsidRPr="00C1113F">
        <w:rPr>
          <w:rFonts w:cs="Calibri"/>
          <w:szCs w:val="20"/>
        </w:rPr>
        <w:t>. 5, pp. 503-514.</w:t>
      </w:r>
    </w:p>
    <w:p w:rsidR="00C1113F" w:rsidRPr="00C1113F" w:rsidRDefault="00C1113F" w:rsidP="00C1113F">
      <w:pPr>
        <w:rPr>
          <w:rFonts w:cs="Calibri"/>
          <w:szCs w:val="20"/>
          <w:lang w:val="en-US"/>
        </w:rPr>
      </w:pPr>
    </w:p>
    <w:p w:rsidR="00C1113F" w:rsidRPr="00C1113F" w:rsidRDefault="00C1113F" w:rsidP="00C1113F">
      <w:pPr>
        <w:pStyle w:val="FreeFormAB"/>
        <w:jc w:val="both"/>
        <w:rPr>
          <w:rFonts w:ascii="Calibri" w:hAnsi="Calibri" w:cs="Calibri"/>
          <w:sz w:val="20"/>
          <w:szCs w:val="20"/>
        </w:rPr>
      </w:pPr>
      <w:r w:rsidRPr="00C1113F">
        <w:rPr>
          <w:rFonts w:ascii="Calibri" w:hAnsi="Calibri" w:cs="Calibri"/>
          <w:sz w:val="20"/>
          <w:szCs w:val="20"/>
        </w:rPr>
        <w:t xml:space="preserve">Potts, J., and Cunningham, S. (2008) “Four models of the creative industries”, </w:t>
      </w:r>
      <w:r w:rsidRPr="00C1113F">
        <w:rPr>
          <w:rFonts w:ascii="Calibri" w:hAnsi="Calibri" w:cs="Calibri"/>
          <w:i/>
          <w:iCs/>
          <w:sz w:val="20"/>
          <w:szCs w:val="20"/>
        </w:rPr>
        <w:t>Internati</w:t>
      </w:r>
      <w:r w:rsidR="00FC31DE">
        <w:rPr>
          <w:rFonts w:ascii="Calibri" w:hAnsi="Calibri" w:cs="Calibri"/>
          <w:i/>
          <w:iCs/>
          <w:sz w:val="20"/>
          <w:szCs w:val="20"/>
        </w:rPr>
        <w:t>onal Journal of Cultural Policy</w:t>
      </w:r>
      <w:r w:rsidR="00FC31DE">
        <w:rPr>
          <w:rFonts w:ascii="Calibri" w:hAnsi="Calibri" w:cs="Calibri"/>
          <w:iCs/>
          <w:sz w:val="20"/>
          <w:szCs w:val="20"/>
        </w:rPr>
        <w:t xml:space="preserve">, </w:t>
      </w:r>
      <w:r w:rsidR="00FC31DE" w:rsidRPr="00FC31DE">
        <w:rPr>
          <w:rFonts w:ascii="Calibri" w:hAnsi="Calibri" w:cs="Calibri"/>
          <w:iCs/>
          <w:sz w:val="20"/>
          <w:szCs w:val="20"/>
        </w:rPr>
        <w:t>Vol. 14, No. 3</w:t>
      </w:r>
      <w:r w:rsidRPr="00FC31DE">
        <w:rPr>
          <w:rFonts w:ascii="Calibri" w:hAnsi="Calibri" w:cs="Calibri"/>
          <w:iCs/>
          <w:sz w:val="20"/>
          <w:szCs w:val="20"/>
        </w:rPr>
        <w:t xml:space="preserve">, </w:t>
      </w:r>
      <w:r w:rsidR="00FC31DE" w:rsidRPr="00FC31DE">
        <w:rPr>
          <w:rFonts w:ascii="Calibri" w:hAnsi="Calibri" w:cs="Calibri"/>
          <w:iCs/>
          <w:sz w:val="20"/>
          <w:szCs w:val="20"/>
        </w:rPr>
        <w:t xml:space="preserve">pp. </w:t>
      </w:r>
      <w:r w:rsidRPr="00FC31DE">
        <w:rPr>
          <w:rFonts w:ascii="Calibri" w:hAnsi="Calibri" w:cs="Calibri"/>
          <w:sz w:val="20"/>
          <w:szCs w:val="20"/>
        </w:rPr>
        <w:t>233-247.</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Powell, W. and Grodal, S. (2005) “Networks of Innovation” in </w:t>
      </w:r>
      <w:r w:rsidRPr="00C1113F">
        <w:rPr>
          <w:rFonts w:cs="Calibri"/>
          <w:i/>
          <w:szCs w:val="20"/>
          <w:lang w:val="en-US"/>
        </w:rPr>
        <w:t xml:space="preserve">The Oxford Handbook of Innovation </w:t>
      </w:r>
      <w:r w:rsidRPr="00C1113F">
        <w:rPr>
          <w:rFonts w:cs="Calibri"/>
          <w:szCs w:val="20"/>
          <w:lang w:val="en-US"/>
        </w:rPr>
        <w:t>Edited by Fagerberg J., Mowery D. and  Nelson R.</w:t>
      </w:r>
      <w:r w:rsidRPr="00C1113F">
        <w:rPr>
          <w:rFonts w:cs="Calibri"/>
          <w:i/>
          <w:szCs w:val="20"/>
          <w:lang w:val="en-US"/>
        </w:rPr>
        <w:t xml:space="preserve"> </w:t>
      </w:r>
      <w:r w:rsidRPr="00C1113F">
        <w:rPr>
          <w:rFonts w:cs="Calibri"/>
          <w:szCs w:val="20"/>
          <w:lang w:val="en-US"/>
        </w:rPr>
        <w:t xml:space="preserve">Oxford: Oxford University Press. </w:t>
      </w:r>
    </w:p>
    <w:p w:rsidR="00C1113F" w:rsidRPr="00C1113F" w:rsidRDefault="00C1113F" w:rsidP="00C1113F">
      <w:pPr>
        <w:rPr>
          <w:rFonts w:cs="Calibri"/>
          <w:szCs w:val="20"/>
          <w:lang w:val="en-US"/>
        </w:rPr>
      </w:pPr>
    </w:p>
    <w:p w:rsidR="00C1113F" w:rsidRPr="00C1113F" w:rsidRDefault="00C1113F" w:rsidP="00C1113F">
      <w:pPr>
        <w:rPr>
          <w:rFonts w:cs="Calibri"/>
          <w:szCs w:val="20"/>
        </w:rPr>
      </w:pPr>
      <w:r w:rsidRPr="00C1113F">
        <w:rPr>
          <w:rFonts w:cs="Calibri"/>
          <w:szCs w:val="20"/>
        </w:rPr>
        <w:t>Powell, WW, Koput, KW and Smith-Doerr, L. (1996) “Interorganizational Collaboration and the Locus of Innovation: Networks of Learning in Biotechnology”</w:t>
      </w:r>
      <w:r w:rsidR="00FC31DE">
        <w:rPr>
          <w:rFonts w:cs="Calibri"/>
          <w:szCs w:val="20"/>
        </w:rPr>
        <w:t>,</w:t>
      </w:r>
      <w:r w:rsidRPr="00C1113F">
        <w:rPr>
          <w:rFonts w:cs="Calibri"/>
          <w:szCs w:val="20"/>
        </w:rPr>
        <w:t xml:space="preserve"> </w:t>
      </w:r>
      <w:r w:rsidRPr="00C1113F">
        <w:rPr>
          <w:rFonts w:cs="Calibri"/>
          <w:i/>
          <w:szCs w:val="20"/>
        </w:rPr>
        <w:t>Administrative Science Quarterly</w:t>
      </w:r>
      <w:r w:rsidRPr="00C1113F">
        <w:rPr>
          <w:rFonts w:cs="Calibri"/>
          <w:szCs w:val="20"/>
        </w:rPr>
        <w:t>, Vol. 41, pp. 116-145.</w:t>
      </w:r>
    </w:p>
    <w:p w:rsidR="00C1113F" w:rsidRPr="00C1113F" w:rsidRDefault="00C1113F" w:rsidP="00C1113F">
      <w:pPr>
        <w:rPr>
          <w:rFonts w:cs="Calibri"/>
          <w:szCs w:val="20"/>
        </w:rPr>
      </w:pPr>
    </w:p>
    <w:p w:rsidR="00C1113F" w:rsidRPr="00C1113F" w:rsidRDefault="00C1113F" w:rsidP="00C1113F">
      <w:pPr>
        <w:pStyle w:val="FreeFormAB"/>
        <w:jc w:val="both"/>
        <w:rPr>
          <w:rFonts w:ascii="Calibri" w:hAnsi="Calibri" w:cs="Calibri"/>
          <w:sz w:val="20"/>
          <w:szCs w:val="20"/>
        </w:rPr>
      </w:pPr>
      <w:r w:rsidRPr="00C1113F">
        <w:rPr>
          <w:rFonts w:ascii="Calibri" w:hAnsi="Calibri" w:cs="Calibri"/>
          <w:sz w:val="20"/>
          <w:szCs w:val="20"/>
        </w:rPr>
        <w:t xml:space="preserve">Rapelli, S. (2012) </w:t>
      </w:r>
      <w:r w:rsidRPr="00C1113F">
        <w:rPr>
          <w:rFonts w:ascii="Calibri" w:hAnsi="Calibri" w:cs="Calibri"/>
          <w:i/>
          <w:sz w:val="20"/>
          <w:szCs w:val="20"/>
        </w:rPr>
        <w:t>European I-Pros: A Study</w:t>
      </w:r>
      <w:r w:rsidRPr="00C1113F">
        <w:rPr>
          <w:rFonts w:ascii="Calibri" w:hAnsi="Calibri" w:cs="Calibri"/>
          <w:sz w:val="20"/>
          <w:szCs w:val="20"/>
        </w:rPr>
        <w:t>. London, PCG</w:t>
      </w:r>
      <w:r w:rsidR="00FC31DE">
        <w:rPr>
          <w:rFonts w:ascii="Calibri" w:hAnsi="Calibri" w:cs="Calibri"/>
          <w:sz w:val="20"/>
          <w:szCs w:val="20"/>
        </w:rPr>
        <w:t>.</w:t>
      </w:r>
    </w:p>
    <w:p w:rsidR="00C1113F" w:rsidRPr="00C1113F" w:rsidRDefault="00C1113F" w:rsidP="00C1113F">
      <w:pPr>
        <w:rPr>
          <w:rFonts w:cs="Calibri"/>
          <w:szCs w:val="20"/>
          <w:highlight w:val="red"/>
          <w:lang w:val="en-US"/>
        </w:rPr>
      </w:pPr>
    </w:p>
    <w:p w:rsidR="00C1113F" w:rsidRPr="00C1113F" w:rsidRDefault="00C1113F" w:rsidP="00C1113F">
      <w:pPr>
        <w:pStyle w:val="FreeFormAB"/>
        <w:jc w:val="both"/>
        <w:rPr>
          <w:rFonts w:ascii="Calibri" w:hAnsi="Calibri" w:cs="Calibri"/>
          <w:sz w:val="20"/>
          <w:szCs w:val="20"/>
        </w:rPr>
      </w:pPr>
      <w:r w:rsidRPr="00C1113F">
        <w:rPr>
          <w:rFonts w:ascii="Calibri" w:hAnsi="Calibri" w:cs="Calibri"/>
          <w:sz w:val="20"/>
          <w:szCs w:val="20"/>
        </w:rPr>
        <w:t xml:space="preserve">Robson, C. (1993) </w:t>
      </w:r>
      <w:r w:rsidRPr="00C1113F">
        <w:rPr>
          <w:rFonts w:ascii="Calibri" w:hAnsi="Calibri" w:cs="Calibri"/>
          <w:i/>
          <w:sz w:val="20"/>
          <w:szCs w:val="20"/>
        </w:rPr>
        <w:t>Real World Research</w:t>
      </w:r>
      <w:r w:rsidRPr="00C1113F">
        <w:rPr>
          <w:rFonts w:ascii="Calibri" w:hAnsi="Calibri" w:cs="Calibri"/>
          <w:sz w:val="20"/>
          <w:szCs w:val="20"/>
        </w:rPr>
        <w:t xml:space="preserve">, Blackwell, Oxford. </w:t>
      </w:r>
    </w:p>
    <w:p w:rsidR="00C1113F" w:rsidRPr="00C1113F" w:rsidRDefault="00C1113F" w:rsidP="00C1113F">
      <w:pPr>
        <w:rPr>
          <w:rFonts w:cs="Calibri"/>
          <w:szCs w:val="20"/>
          <w:highlight w:val="red"/>
          <w:lang w:val="en-US"/>
        </w:rPr>
      </w:pPr>
    </w:p>
    <w:p w:rsidR="00C1113F" w:rsidRPr="00C1113F" w:rsidRDefault="00C1113F" w:rsidP="00C1113F">
      <w:pPr>
        <w:rPr>
          <w:rFonts w:cs="Calibri"/>
          <w:szCs w:val="20"/>
        </w:rPr>
      </w:pPr>
      <w:r w:rsidRPr="00C1113F">
        <w:rPr>
          <w:rFonts w:cs="Calibri"/>
          <w:szCs w:val="20"/>
        </w:rPr>
        <w:t>Schreier, M. (2006) “The value increment of mass-customized pro</w:t>
      </w:r>
      <w:r w:rsidR="00FC31DE">
        <w:rPr>
          <w:rFonts w:cs="Calibri"/>
          <w:szCs w:val="20"/>
        </w:rPr>
        <w:t>ducts: An empirical assessment”,</w:t>
      </w:r>
      <w:r w:rsidRPr="00C1113F">
        <w:rPr>
          <w:rFonts w:cs="Calibri"/>
          <w:szCs w:val="20"/>
        </w:rPr>
        <w:t xml:space="preserve"> </w:t>
      </w:r>
      <w:r w:rsidRPr="00C1113F">
        <w:rPr>
          <w:rFonts w:cs="Calibri"/>
          <w:i/>
          <w:szCs w:val="20"/>
        </w:rPr>
        <w:t>Journal of Consumer Behaviour</w:t>
      </w:r>
      <w:r w:rsidRPr="00C1113F">
        <w:rPr>
          <w:rFonts w:cs="Calibri"/>
          <w:szCs w:val="20"/>
        </w:rPr>
        <w:t>, No. 5, Vol. 4, pp. 317–327.</w:t>
      </w:r>
    </w:p>
    <w:p w:rsidR="00C1113F" w:rsidRPr="00C1113F" w:rsidRDefault="00C1113F" w:rsidP="00C1113F">
      <w:pPr>
        <w:rPr>
          <w:rFonts w:cs="Calibri"/>
          <w:szCs w:val="20"/>
          <w:highlight w:val="red"/>
          <w:lang w:val="en-US"/>
        </w:rPr>
      </w:pPr>
    </w:p>
    <w:p w:rsidR="00C1113F" w:rsidRPr="00C1113F" w:rsidRDefault="00C1113F" w:rsidP="00C1113F">
      <w:pPr>
        <w:rPr>
          <w:rFonts w:cs="Calibri"/>
          <w:szCs w:val="20"/>
          <w:lang w:val="en-US"/>
        </w:rPr>
      </w:pPr>
      <w:r w:rsidRPr="00C1113F">
        <w:rPr>
          <w:rFonts w:cs="Calibri"/>
          <w:szCs w:val="20"/>
          <w:lang w:val="en-US"/>
        </w:rPr>
        <w:t>Scozzi, B., Garavelli, C. and Crowston, K. (2005) “Methods for modelling and supporti</w:t>
      </w:r>
      <w:r w:rsidR="00FC31DE">
        <w:rPr>
          <w:rFonts w:cs="Calibri"/>
          <w:szCs w:val="20"/>
          <w:lang w:val="en-US"/>
        </w:rPr>
        <w:t>ng innovation processes in SMEs”,</w:t>
      </w:r>
      <w:r w:rsidRPr="00C1113F">
        <w:rPr>
          <w:rFonts w:cs="Calibri"/>
          <w:szCs w:val="20"/>
          <w:lang w:val="en-US"/>
        </w:rPr>
        <w:t xml:space="preserve"> </w:t>
      </w:r>
      <w:r w:rsidRPr="00C1113F">
        <w:rPr>
          <w:rFonts w:cs="Calibri"/>
          <w:i/>
          <w:szCs w:val="20"/>
          <w:lang w:val="en-US"/>
        </w:rPr>
        <w:t>European Journal of Innovation Management</w:t>
      </w:r>
      <w:r w:rsidRPr="00C1113F">
        <w:rPr>
          <w:rFonts w:cs="Calibri"/>
          <w:szCs w:val="20"/>
          <w:lang w:val="en-US"/>
        </w:rPr>
        <w:t xml:space="preserve">, Vol. 8, </w:t>
      </w:r>
      <w:r w:rsidR="00FC31DE">
        <w:rPr>
          <w:rFonts w:cs="Calibri"/>
          <w:szCs w:val="20"/>
          <w:lang w:val="en-US"/>
        </w:rPr>
        <w:t>No.</w:t>
      </w:r>
      <w:r w:rsidRPr="00C1113F">
        <w:rPr>
          <w:rFonts w:cs="Calibri"/>
          <w:szCs w:val="20"/>
          <w:lang w:val="en-US"/>
        </w:rPr>
        <w:t>. 1, pp. 120-137.</w:t>
      </w:r>
    </w:p>
    <w:p w:rsidR="00C1113F" w:rsidRPr="00C1113F" w:rsidRDefault="00C1113F" w:rsidP="00C1113F">
      <w:pPr>
        <w:rPr>
          <w:rFonts w:cs="Calibri"/>
          <w:szCs w:val="20"/>
          <w:lang w:val="en-US"/>
        </w:rPr>
      </w:pPr>
    </w:p>
    <w:p w:rsidR="00C1113F" w:rsidRPr="00C1113F" w:rsidRDefault="004F1738" w:rsidP="00C1113F">
      <w:pPr>
        <w:rPr>
          <w:rFonts w:cs="Calibri"/>
          <w:szCs w:val="20"/>
          <w:lang w:val="en-US"/>
        </w:rPr>
      </w:pPr>
      <w:r>
        <w:rPr>
          <w:rFonts w:cs="Calibri"/>
          <w:szCs w:val="20"/>
          <w:lang w:val="en-US"/>
        </w:rPr>
        <w:t>Skjølsvik, T., Løwendahl, BR., Kvålshaugen, R. and</w:t>
      </w:r>
      <w:r w:rsidR="00C1113F" w:rsidRPr="00C1113F">
        <w:rPr>
          <w:rFonts w:cs="Calibri"/>
          <w:szCs w:val="20"/>
          <w:lang w:val="en-US"/>
        </w:rPr>
        <w:t xml:space="preserve"> Foss</w:t>
      </w:r>
      <w:r>
        <w:rPr>
          <w:rFonts w:cs="Calibri"/>
          <w:szCs w:val="20"/>
          <w:lang w:val="en-US"/>
        </w:rPr>
        <w:t>tenløkken, S</w:t>
      </w:r>
      <w:r w:rsidR="00C1113F" w:rsidRPr="00C1113F">
        <w:rPr>
          <w:rFonts w:cs="Calibri"/>
          <w:szCs w:val="20"/>
          <w:lang w:val="en-US"/>
        </w:rPr>
        <w:t>M. (2007) “Choosing to Learn and Learning to Choose: Strategies for Client Co-Production and Knowledge Development”</w:t>
      </w:r>
      <w:r w:rsidR="00FC31DE">
        <w:rPr>
          <w:rFonts w:cs="Calibri"/>
          <w:szCs w:val="20"/>
          <w:lang w:val="en-US"/>
        </w:rPr>
        <w:t>,</w:t>
      </w:r>
      <w:r w:rsidR="00C1113F" w:rsidRPr="00C1113F">
        <w:rPr>
          <w:rFonts w:cs="Calibri"/>
          <w:szCs w:val="20"/>
          <w:lang w:val="en-US"/>
        </w:rPr>
        <w:t xml:space="preserve"> </w:t>
      </w:r>
      <w:r w:rsidR="00C1113F" w:rsidRPr="00C1113F">
        <w:rPr>
          <w:rFonts w:cs="Calibri"/>
          <w:i/>
          <w:szCs w:val="20"/>
          <w:lang w:val="en-US"/>
        </w:rPr>
        <w:t>California Management Review</w:t>
      </w:r>
      <w:r w:rsidR="00C1113F" w:rsidRPr="00C1113F">
        <w:rPr>
          <w:rFonts w:cs="Calibri"/>
          <w:szCs w:val="20"/>
          <w:lang w:val="en-US"/>
        </w:rPr>
        <w:t>, Vol. 49, No. 3, pp. 110-128</w:t>
      </w:r>
      <w:r w:rsidR="00FC31DE">
        <w:rPr>
          <w:rFonts w:cs="Calibri"/>
          <w:szCs w:val="20"/>
          <w:lang w:val="en-US"/>
        </w:rPr>
        <w:t>.</w:t>
      </w:r>
    </w:p>
    <w:p w:rsidR="00C1113F" w:rsidRPr="00C1113F" w:rsidRDefault="00C1113F" w:rsidP="00C1113F">
      <w:pPr>
        <w:rPr>
          <w:rFonts w:cs="Calibri"/>
          <w:szCs w:val="20"/>
          <w:lang w:val="en-US"/>
        </w:rPr>
      </w:pPr>
    </w:p>
    <w:p w:rsidR="00C1113F" w:rsidRPr="00C1113F" w:rsidRDefault="00C1113F" w:rsidP="00C1113F">
      <w:pPr>
        <w:rPr>
          <w:rFonts w:cs="Calibri"/>
          <w:szCs w:val="20"/>
          <w:lang w:val="en-US"/>
        </w:rPr>
      </w:pPr>
      <w:r w:rsidRPr="00C1113F">
        <w:rPr>
          <w:rFonts w:cs="Calibri"/>
          <w:szCs w:val="20"/>
          <w:lang w:val="en-US"/>
        </w:rPr>
        <w:t xml:space="preserve">Simonson, T. (2005) “Determinants of Customers’ Reponses to Customized Offers: Conceptual Frameworks and Research Propositions”, </w:t>
      </w:r>
      <w:r w:rsidRPr="00C1113F">
        <w:rPr>
          <w:rFonts w:cs="Calibri"/>
          <w:i/>
          <w:szCs w:val="20"/>
          <w:lang w:val="en-US"/>
        </w:rPr>
        <w:t>Journal of Marketing</w:t>
      </w:r>
      <w:r w:rsidRPr="00C1113F">
        <w:rPr>
          <w:rFonts w:cs="Calibri"/>
          <w:szCs w:val="20"/>
          <w:lang w:val="en-US"/>
        </w:rPr>
        <w:t>, Vol. 69, pp. 32-45</w:t>
      </w:r>
      <w:r w:rsidR="00FC31DE">
        <w:rPr>
          <w:rFonts w:cs="Calibri"/>
          <w:szCs w:val="20"/>
          <w:lang w:val="en-US"/>
        </w:rPr>
        <w:t>.</w:t>
      </w:r>
    </w:p>
    <w:p w:rsidR="00C1113F" w:rsidRPr="00C1113F" w:rsidRDefault="00C1113F" w:rsidP="00C1113F">
      <w:pPr>
        <w:rPr>
          <w:rFonts w:cs="Calibri"/>
          <w:szCs w:val="20"/>
          <w:lang w:val="en-US"/>
        </w:rPr>
      </w:pPr>
    </w:p>
    <w:p w:rsidR="00C1113F" w:rsidRPr="00C1113F" w:rsidRDefault="00C1113F" w:rsidP="00C1113F">
      <w:pPr>
        <w:rPr>
          <w:rFonts w:cs="Calibri"/>
          <w:szCs w:val="20"/>
        </w:rPr>
      </w:pPr>
      <w:r w:rsidRPr="00C1113F">
        <w:rPr>
          <w:rFonts w:cs="Calibri"/>
          <w:szCs w:val="20"/>
        </w:rPr>
        <w:t xml:space="preserve">Strauss, A. and Corbin, J. (1990) </w:t>
      </w:r>
      <w:r w:rsidRPr="00C1113F">
        <w:rPr>
          <w:rFonts w:cs="Calibri"/>
          <w:i/>
          <w:szCs w:val="20"/>
        </w:rPr>
        <w:t>Basics of qualitative research: Grounded Theory Procedures and Techniques</w:t>
      </w:r>
      <w:r w:rsidRPr="00C1113F">
        <w:rPr>
          <w:rFonts w:cs="Calibri"/>
          <w:szCs w:val="20"/>
        </w:rPr>
        <w:t xml:space="preserve">. SAGE Publications. </w:t>
      </w:r>
    </w:p>
    <w:p w:rsidR="00C1113F" w:rsidRPr="00C1113F" w:rsidRDefault="00C1113F" w:rsidP="00C1113F">
      <w:pPr>
        <w:rPr>
          <w:rFonts w:cs="Calibri"/>
          <w:szCs w:val="20"/>
          <w:lang w:val="en-US"/>
        </w:rPr>
      </w:pPr>
    </w:p>
    <w:p w:rsidR="00C1113F" w:rsidRPr="00FC31DE" w:rsidRDefault="00C1113F" w:rsidP="00C1113F">
      <w:pPr>
        <w:pStyle w:val="FreeFormAB"/>
        <w:jc w:val="both"/>
        <w:rPr>
          <w:rStyle w:val="Hyperlinkki"/>
          <w:rFonts w:asciiTheme="minorHAnsi" w:eastAsia="Times New Roman" w:hAnsiTheme="minorHAnsi" w:cstheme="minorHAnsi"/>
          <w:sz w:val="20"/>
          <w:szCs w:val="20"/>
          <w:lang w:eastAsia="en-US"/>
        </w:rPr>
      </w:pPr>
      <w:r w:rsidRPr="00C1113F">
        <w:rPr>
          <w:rFonts w:ascii="Calibri" w:hAnsi="Calibri" w:cs="Calibri"/>
          <w:sz w:val="20"/>
          <w:szCs w:val="20"/>
        </w:rPr>
        <w:t>UK DCMS. (2001) Creati</w:t>
      </w:r>
      <w:r w:rsidR="00FC31DE">
        <w:rPr>
          <w:rFonts w:ascii="Calibri" w:hAnsi="Calibri" w:cs="Calibri"/>
          <w:sz w:val="20"/>
          <w:szCs w:val="20"/>
        </w:rPr>
        <w:t>ve industries mapping document., [Online], UK</w:t>
      </w:r>
      <w:r w:rsidR="004F1738">
        <w:rPr>
          <w:rFonts w:ascii="Calibri" w:hAnsi="Calibri" w:cs="Calibri"/>
          <w:sz w:val="20"/>
          <w:szCs w:val="20"/>
        </w:rPr>
        <w:t xml:space="preserve"> Government</w:t>
      </w:r>
      <w:r w:rsidR="00FC31DE">
        <w:rPr>
          <w:rFonts w:ascii="Calibri" w:hAnsi="Calibri" w:cs="Calibri"/>
          <w:sz w:val="20"/>
          <w:szCs w:val="20"/>
        </w:rPr>
        <w:t xml:space="preserve">, </w:t>
      </w:r>
      <w:hyperlink r:id="rId11" w:history="1">
        <w:r w:rsidRPr="00FC31DE">
          <w:rPr>
            <w:rStyle w:val="Hyperlinkki"/>
            <w:rFonts w:asciiTheme="minorHAnsi" w:eastAsia="Times New Roman" w:hAnsiTheme="minorHAnsi" w:cstheme="minorHAnsi"/>
            <w:sz w:val="20"/>
            <w:szCs w:val="20"/>
            <w:lang w:eastAsia="en-US"/>
          </w:rPr>
          <w:t>https://www.gov.uk/government/publications/creative-industries-mapping-documents-2001</w:t>
        </w:r>
      </w:hyperlink>
      <w:r w:rsidR="00FC31DE">
        <w:rPr>
          <w:rStyle w:val="Hyperlinkki"/>
          <w:rFonts w:asciiTheme="minorHAnsi" w:eastAsia="Times New Roman" w:hAnsiTheme="minorHAnsi" w:cstheme="minorHAnsi"/>
          <w:sz w:val="20"/>
          <w:szCs w:val="20"/>
          <w:lang w:eastAsia="en-US"/>
        </w:rPr>
        <w:t>.</w:t>
      </w:r>
      <w:r w:rsidR="00FC31DE" w:rsidRPr="00FC31DE">
        <w:rPr>
          <w:rStyle w:val="Hyperlinkki"/>
          <w:rFonts w:asciiTheme="minorHAnsi" w:eastAsia="Times New Roman" w:hAnsiTheme="minorHAnsi" w:cstheme="minorHAnsi"/>
          <w:sz w:val="20"/>
          <w:szCs w:val="20"/>
          <w:lang w:eastAsia="en-US"/>
        </w:rPr>
        <w:t xml:space="preserve"> </w:t>
      </w:r>
      <w:r w:rsidRPr="00FC31DE">
        <w:rPr>
          <w:rStyle w:val="Hyperlinkki"/>
          <w:rFonts w:asciiTheme="minorHAnsi" w:eastAsia="Times New Roman" w:hAnsiTheme="minorHAnsi" w:cstheme="minorHAnsi"/>
          <w:sz w:val="20"/>
          <w:szCs w:val="20"/>
          <w:lang w:eastAsia="en-US"/>
        </w:rPr>
        <w:t xml:space="preserve"> </w:t>
      </w:r>
    </w:p>
    <w:p w:rsidR="00C1113F" w:rsidRPr="00C1113F" w:rsidRDefault="00C1113F" w:rsidP="00C1113F">
      <w:pPr>
        <w:rPr>
          <w:rFonts w:cs="Calibri"/>
          <w:szCs w:val="20"/>
          <w:highlight w:val="red"/>
          <w:lang w:val="en-US"/>
        </w:rPr>
      </w:pPr>
    </w:p>
    <w:p w:rsidR="00AE71FE" w:rsidRPr="004F1738" w:rsidRDefault="00C1113F" w:rsidP="004F1738">
      <w:pPr>
        <w:pStyle w:val="FreeFormAB"/>
        <w:jc w:val="both"/>
        <w:rPr>
          <w:rFonts w:ascii="Calibri" w:hAnsi="Calibri" w:cs="Calibri"/>
          <w:sz w:val="20"/>
          <w:szCs w:val="20"/>
        </w:rPr>
      </w:pPr>
      <w:r w:rsidRPr="00C1113F">
        <w:rPr>
          <w:rFonts w:ascii="Calibri" w:hAnsi="Calibri" w:cs="Calibri"/>
          <w:sz w:val="20"/>
          <w:szCs w:val="20"/>
        </w:rPr>
        <w:t xml:space="preserve">von Hippel, E. (2005) </w:t>
      </w:r>
      <w:r w:rsidRPr="00C1113F">
        <w:rPr>
          <w:rFonts w:ascii="Calibri" w:hAnsi="Calibri" w:cs="Calibri"/>
          <w:i/>
          <w:sz w:val="20"/>
          <w:szCs w:val="20"/>
        </w:rPr>
        <w:t>Democratizing Innovation</w:t>
      </w:r>
      <w:r w:rsidRPr="00C1113F">
        <w:rPr>
          <w:rFonts w:ascii="Calibri" w:hAnsi="Calibri" w:cs="Calibri"/>
          <w:sz w:val="20"/>
          <w:szCs w:val="20"/>
        </w:rPr>
        <w:t xml:space="preserve">. The MIT Press. </w:t>
      </w:r>
    </w:p>
    <w:sectPr w:rsidR="00AE71FE" w:rsidRPr="004F1738" w:rsidSect="00634E26">
      <w:headerReference w:type="default" r:id="rId12"/>
      <w:footerReference w:type="first" r:id="rId13"/>
      <w:pgSz w:w="11907" w:h="16840"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38DB" w:rsidRDefault="005338DB" w:rsidP="00875210">
      <w:r>
        <w:separator/>
      </w:r>
    </w:p>
  </w:endnote>
  <w:endnote w:type="continuationSeparator" w:id="0">
    <w:p w:rsidR="005338DB" w:rsidRDefault="005338DB" w:rsidP="00875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50A6" w:rsidRDefault="004550A6" w:rsidP="00875210">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38DB" w:rsidRDefault="005338DB" w:rsidP="00875210">
      <w:r>
        <w:separator/>
      </w:r>
    </w:p>
  </w:footnote>
  <w:footnote w:type="continuationSeparator" w:id="0">
    <w:p w:rsidR="005338DB" w:rsidRDefault="005338DB" w:rsidP="008752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50A6" w:rsidRDefault="004550A6" w:rsidP="00875210"/>
  <w:p w:rsidR="004550A6" w:rsidRDefault="004550A6" w:rsidP="0087521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57ED0A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C34F52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B1EF7A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14D21AC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962236E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D7671E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CC52DC8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F0C2D5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7CA2E7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0F887A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C97075EE"/>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17264168"/>
    <w:multiLevelType w:val="multilevel"/>
    <w:tmpl w:val="7B0CD6D4"/>
    <w:lvl w:ilvl="0">
      <w:start w:val="1"/>
      <w:numFmt w:val="decimal"/>
      <w:pStyle w:val="Otsikko1"/>
      <w:lvlText w:val="%1."/>
      <w:legacy w:legacy="1" w:legacySpace="144" w:legacyIndent="0"/>
      <w:lvlJc w:val="left"/>
    </w:lvl>
    <w:lvl w:ilvl="1">
      <w:start w:val="1"/>
      <w:numFmt w:val="decimal"/>
      <w:pStyle w:val="Otsikko2"/>
      <w:lvlText w:val="%1.%2"/>
      <w:legacy w:legacy="1" w:legacySpace="144" w:legacyIndent="0"/>
      <w:lvlJc w:val="left"/>
    </w:lvl>
    <w:lvl w:ilvl="2">
      <w:start w:val="1"/>
      <w:numFmt w:val="decimal"/>
      <w:pStyle w:val="Otsikko3"/>
      <w:lvlText w:val="%1.%2.%3"/>
      <w:legacy w:legacy="1" w:legacySpace="144" w:legacyIndent="0"/>
      <w:lvlJc w:val="left"/>
    </w:lvl>
    <w:lvl w:ilvl="3">
      <w:start w:val="1"/>
      <w:numFmt w:val="decimal"/>
      <w:pStyle w:val="Otsikko4"/>
      <w:lvlText w:val="%1.%2.%3.%4"/>
      <w:legacy w:legacy="1" w:legacySpace="144" w:legacyIndent="0"/>
      <w:lvlJc w:val="left"/>
    </w:lvl>
    <w:lvl w:ilvl="4">
      <w:start w:val="1"/>
      <w:numFmt w:val="decimal"/>
      <w:pStyle w:val="Otsikko5"/>
      <w:lvlText w:val="%1.%2.%3.%4.%5"/>
      <w:legacy w:legacy="1" w:legacySpace="144" w:legacyIndent="0"/>
      <w:lvlJc w:val="left"/>
    </w:lvl>
    <w:lvl w:ilvl="5">
      <w:start w:val="1"/>
      <w:numFmt w:val="decimal"/>
      <w:pStyle w:val="Otsikko6"/>
      <w:lvlText w:val="%1.%2.%3.%4.%5.%6"/>
      <w:legacy w:legacy="1" w:legacySpace="144" w:legacyIndent="0"/>
      <w:lvlJc w:val="left"/>
    </w:lvl>
    <w:lvl w:ilvl="6">
      <w:start w:val="1"/>
      <w:numFmt w:val="decimal"/>
      <w:pStyle w:val="Otsikko7"/>
      <w:lvlText w:val="%1.%2.%3.%4.%5.%6.%7"/>
      <w:legacy w:legacy="1" w:legacySpace="144" w:legacyIndent="0"/>
      <w:lvlJc w:val="left"/>
    </w:lvl>
    <w:lvl w:ilvl="7">
      <w:start w:val="1"/>
      <w:numFmt w:val="decimal"/>
      <w:pStyle w:val="Otsikko8"/>
      <w:lvlText w:val="%1.%2.%3.%4.%5.%6.%7.%8"/>
      <w:legacy w:legacy="1" w:legacySpace="144" w:legacyIndent="0"/>
      <w:lvlJc w:val="left"/>
    </w:lvl>
    <w:lvl w:ilvl="8">
      <w:start w:val="1"/>
      <w:numFmt w:val="decimal"/>
      <w:pStyle w:val="Otsikko9"/>
      <w:lvlText w:val="%1.%2.%3.%4.%5.%6.%7.%8.%9"/>
      <w:legacy w:legacy="1" w:legacySpace="144" w:legacyIndent="0"/>
      <w:lvlJc w:val="left"/>
    </w:lvl>
  </w:abstractNum>
  <w:abstractNum w:abstractNumId="12" w15:restartNumberingAfterBreak="0">
    <w:nsid w:val="3D05261C"/>
    <w:multiLevelType w:val="hybridMultilevel"/>
    <w:tmpl w:val="972E5E4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1"/>
  </w:num>
  <w:num w:numId="3">
    <w:abstractNumId w:val="12"/>
  </w:num>
  <w:num w:numId="4">
    <w:abstractNumId w:val="8"/>
  </w:num>
  <w:num w:numId="5">
    <w:abstractNumId w:val="7"/>
  </w:num>
  <w:num w:numId="6">
    <w:abstractNumId w:val="9"/>
  </w:num>
  <w:num w:numId="7">
    <w:abstractNumId w:val="4"/>
  </w:num>
  <w:num w:numId="8">
    <w:abstractNumId w:val="3"/>
  </w:num>
  <w:num w:numId="9">
    <w:abstractNumId w:val="2"/>
  </w:num>
  <w:num w:numId="10">
    <w:abstractNumId w:val="1"/>
  </w:num>
  <w:num w:numId="11">
    <w:abstractNumId w:val="6"/>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inkAnnotation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65A"/>
    <w:rsid w:val="00006F4D"/>
    <w:rsid w:val="00007380"/>
    <w:rsid w:val="000119E6"/>
    <w:rsid w:val="00011D00"/>
    <w:rsid w:val="00025117"/>
    <w:rsid w:val="00027166"/>
    <w:rsid w:val="00031D54"/>
    <w:rsid w:val="00032A7C"/>
    <w:rsid w:val="00034FDD"/>
    <w:rsid w:val="0003760D"/>
    <w:rsid w:val="00044B69"/>
    <w:rsid w:val="00055C78"/>
    <w:rsid w:val="0006037C"/>
    <w:rsid w:val="00062628"/>
    <w:rsid w:val="000628F2"/>
    <w:rsid w:val="00072F95"/>
    <w:rsid w:val="00077989"/>
    <w:rsid w:val="000842F4"/>
    <w:rsid w:val="00084EDE"/>
    <w:rsid w:val="00092FFE"/>
    <w:rsid w:val="00093FE2"/>
    <w:rsid w:val="000A0590"/>
    <w:rsid w:val="000A3556"/>
    <w:rsid w:val="000A57A4"/>
    <w:rsid w:val="000B213D"/>
    <w:rsid w:val="000B4C61"/>
    <w:rsid w:val="000C4C0B"/>
    <w:rsid w:val="000C544E"/>
    <w:rsid w:val="000D03CC"/>
    <w:rsid w:val="000E2447"/>
    <w:rsid w:val="000E7FC5"/>
    <w:rsid w:val="000F18B1"/>
    <w:rsid w:val="00107C1C"/>
    <w:rsid w:val="00111A10"/>
    <w:rsid w:val="00111C57"/>
    <w:rsid w:val="00121BC7"/>
    <w:rsid w:val="00165BC4"/>
    <w:rsid w:val="00177248"/>
    <w:rsid w:val="001826C6"/>
    <w:rsid w:val="00183D81"/>
    <w:rsid w:val="001843D4"/>
    <w:rsid w:val="001A6953"/>
    <w:rsid w:val="001C1B51"/>
    <w:rsid w:val="001C4E46"/>
    <w:rsid w:val="001C7454"/>
    <w:rsid w:val="001C7FAB"/>
    <w:rsid w:val="001C7FD4"/>
    <w:rsid w:val="001D5047"/>
    <w:rsid w:val="001D6B6F"/>
    <w:rsid w:val="001D776B"/>
    <w:rsid w:val="001E25B8"/>
    <w:rsid w:val="001E313E"/>
    <w:rsid w:val="001E4891"/>
    <w:rsid w:val="001E4C06"/>
    <w:rsid w:val="001E5151"/>
    <w:rsid w:val="001E6EC2"/>
    <w:rsid w:val="001E7472"/>
    <w:rsid w:val="001F7EF8"/>
    <w:rsid w:val="00202A64"/>
    <w:rsid w:val="002032F9"/>
    <w:rsid w:val="002035DC"/>
    <w:rsid w:val="002037C6"/>
    <w:rsid w:val="00214C22"/>
    <w:rsid w:val="002167A3"/>
    <w:rsid w:val="00227D85"/>
    <w:rsid w:val="00230182"/>
    <w:rsid w:val="0023522E"/>
    <w:rsid w:val="00235799"/>
    <w:rsid w:val="0024319B"/>
    <w:rsid w:val="00243BE4"/>
    <w:rsid w:val="002455F1"/>
    <w:rsid w:val="00247FB5"/>
    <w:rsid w:val="002507FF"/>
    <w:rsid w:val="00263820"/>
    <w:rsid w:val="00263AA1"/>
    <w:rsid w:val="00263FD6"/>
    <w:rsid w:val="002704FF"/>
    <w:rsid w:val="002757A1"/>
    <w:rsid w:val="002760B5"/>
    <w:rsid w:val="0028034E"/>
    <w:rsid w:val="002875F1"/>
    <w:rsid w:val="00287C64"/>
    <w:rsid w:val="002948BA"/>
    <w:rsid w:val="002A1316"/>
    <w:rsid w:val="002A152D"/>
    <w:rsid w:val="002A53B2"/>
    <w:rsid w:val="002A7F5B"/>
    <w:rsid w:val="002B4A8B"/>
    <w:rsid w:val="002B6DBE"/>
    <w:rsid w:val="002C2B71"/>
    <w:rsid w:val="002C342F"/>
    <w:rsid w:val="002C3600"/>
    <w:rsid w:val="002C565A"/>
    <w:rsid w:val="002D0A6A"/>
    <w:rsid w:val="002D4130"/>
    <w:rsid w:val="002D7E0C"/>
    <w:rsid w:val="002E1D63"/>
    <w:rsid w:val="002E23C6"/>
    <w:rsid w:val="002E6D10"/>
    <w:rsid w:val="002E751A"/>
    <w:rsid w:val="0030165B"/>
    <w:rsid w:val="00302091"/>
    <w:rsid w:val="00302139"/>
    <w:rsid w:val="00310BB4"/>
    <w:rsid w:val="00310C23"/>
    <w:rsid w:val="00311753"/>
    <w:rsid w:val="00312E30"/>
    <w:rsid w:val="00314A8C"/>
    <w:rsid w:val="003165F6"/>
    <w:rsid w:val="00322440"/>
    <w:rsid w:val="0033256B"/>
    <w:rsid w:val="00334D29"/>
    <w:rsid w:val="0034389B"/>
    <w:rsid w:val="003447AA"/>
    <w:rsid w:val="003631BF"/>
    <w:rsid w:val="003759F8"/>
    <w:rsid w:val="003761AA"/>
    <w:rsid w:val="00377A66"/>
    <w:rsid w:val="00383838"/>
    <w:rsid w:val="00383CF9"/>
    <w:rsid w:val="003858EB"/>
    <w:rsid w:val="00386661"/>
    <w:rsid w:val="00391D78"/>
    <w:rsid w:val="00392936"/>
    <w:rsid w:val="00394AF0"/>
    <w:rsid w:val="003A0E28"/>
    <w:rsid w:val="003D35BC"/>
    <w:rsid w:val="003E5801"/>
    <w:rsid w:val="003F3517"/>
    <w:rsid w:val="003F355D"/>
    <w:rsid w:val="003F384B"/>
    <w:rsid w:val="003F4B24"/>
    <w:rsid w:val="003F505D"/>
    <w:rsid w:val="0040556E"/>
    <w:rsid w:val="00411A4F"/>
    <w:rsid w:val="00413751"/>
    <w:rsid w:val="0041589F"/>
    <w:rsid w:val="00422736"/>
    <w:rsid w:val="00433169"/>
    <w:rsid w:val="00441D9B"/>
    <w:rsid w:val="004429DB"/>
    <w:rsid w:val="00443BCE"/>
    <w:rsid w:val="00446C4F"/>
    <w:rsid w:val="00450A0B"/>
    <w:rsid w:val="004550A6"/>
    <w:rsid w:val="00460EE0"/>
    <w:rsid w:val="00461C96"/>
    <w:rsid w:val="0046279E"/>
    <w:rsid w:val="00470489"/>
    <w:rsid w:val="00476624"/>
    <w:rsid w:val="004809B7"/>
    <w:rsid w:val="004810CA"/>
    <w:rsid w:val="00485C57"/>
    <w:rsid w:val="004927E7"/>
    <w:rsid w:val="00492D82"/>
    <w:rsid w:val="00495814"/>
    <w:rsid w:val="00497E86"/>
    <w:rsid w:val="004A1C81"/>
    <w:rsid w:val="004B18C5"/>
    <w:rsid w:val="004B2021"/>
    <w:rsid w:val="004B7864"/>
    <w:rsid w:val="004C07BA"/>
    <w:rsid w:val="004C4327"/>
    <w:rsid w:val="004C746C"/>
    <w:rsid w:val="004D2276"/>
    <w:rsid w:val="004E3B60"/>
    <w:rsid w:val="004F05C0"/>
    <w:rsid w:val="004F1738"/>
    <w:rsid w:val="004F37E2"/>
    <w:rsid w:val="004F548A"/>
    <w:rsid w:val="004F6E1E"/>
    <w:rsid w:val="00501189"/>
    <w:rsid w:val="0050412F"/>
    <w:rsid w:val="00511A47"/>
    <w:rsid w:val="00512E8C"/>
    <w:rsid w:val="005162E2"/>
    <w:rsid w:val="0052603C"/>
    <w:rsid w:val="00526373"/>
    <w:rsid w:val="005338DB"/>
    <w:rsid w:val="00534C51"/>
    <w:rsid w:val="0054383A"/>
    <w:rsid w:val="00544830"/>
    <w:rsid w:val="00547A40"/>
    <w:rsid w:val="00551F0C"/>
    <w:rsid w:val="0055321F"/>
    <w:rsid w:val="00553828"/>
    <w:rsid w:val="00553D22"/>
    <w:rsid w:val="00557B05"/>
    <w:rsid w:val="0058061F"/>
    <w:rsid w:val="00581910"/>
    <w:rsid w:val="00582060"/>
    <w:rsid w:val="00596DAB"/>
    <w:rsid w:val="005A44E7"/>
    <w:rsid w:val="005A457F"/>
    <w:rsid w:val="005A5044"/>
    <w:rsid w:val="005A6281"/>
    <w:rsid w:val="005A6E0C"/>
    <w:rsid w:val="005B3776"/>
    <w:rsid w:val="005B6293"/>
    <w:rsid w:val="005B633C"/>
    <w:rsid w:val="005C153E"/>
    <w:rsid w:val="005D6541"/>
    <w:rsid w:val="005E1491"/>
    <w:rsid w:val="005E5160"/>
    <w:rsid w:val="005E6D47"/>
    <w:rsid w:val="005F0D16"/>
    <w:rsid w:val="00607CE6"/>
    <w:rsid w:val="006176DC"/>
    <w:rsid w:val="006200E7"/>
    <w:rsid w:val="00621986"/>
    <w:rsid w:val="00625440"/>
    <w:rsid w:val="0062737A"/>
    <w:rsid w:val="00630419"/>
    <w:rsid w:val="00631EC5"/>
    <w:rsid w:val="00634E26"/>
    <w:rsid w:val="006365A3"/>
    <w:rsid w:val="00637052"/>
    <w:rsid w:val="0064183F"/>
    <w:rsid w:val="00645980"/>
    <w:rsid w:val="00647EB5"/>
    <w:rsid w:val="00651C4A"/>
    <w:rsid w:val="006607F1"/>
    <w:rsid w:val="006649A1"/>
    <w:rsid w:val="00666224"/>
    <w:rsid w:val="006669AC"/>
    <w:rsid w:val="0067125F"/>
    <w:rsid w:val="00671CD2"/>
    <w:rsid w:val="00671FD7"/>
    <w:rsid w:val="00676201"/>
    <w:rsid w:val="00685D5D"/>
    <w:rsid w:val="00686E6A"/>
    <w:rsid w:val="00690B8B"/>
    <w:rsid w:val="00693CDC"/>
    <w:rsid w:val="006942EC"/>
    <w:rsid w:val="00697172"/>
    <w:rsid w:val="006973C9"/>
    <w:rsid w:val="006B2188"/>
    <w:rsid w:val="006B5B78"/>
    <w:rsid w:val="006B6366"/>
    <w:rsid w:val="006B70B4"/>
    <w:rsid w:val="006C49E2"/>
    <w:rsid w:val="006C73FC"/>
    <w:rsid w:val="006D17CA"/>
    <w:rsid w:val="006D1E27"/>
    <w:rsid w:val="006D24BC"/>
    <w:rsid w:val="006D3B4D"/>
    <w:rsid w:val="006E3A5B"/>
    <w:rsid w:val="006E3E0E"/>
    <w:rsid w:val="006E6DDC"/>
    <w:rsid w:val="006E6E73"/>
    <w:rsid w:val="006E764C"/>
    <w:rsid w:val="006F3044"/>
    <w:rsid w:val="006F43FC"/>
    <w:rsid w:val="007020F7"/>
    <w:rsid w:val="00714D0E"/>
    <w:rsid w:val="007163F2"/>
    <w:rsid w:val="00722AD1"/>
    <w:rsid w:val="0072329A"/>
    <w:rsid w:val="0072573C"/>
    <w:rsid w:val="007270B6"/>
    <w:rsid w:val="00736936"/>
    <w:rsid w:val="00745902"/>
    <w:rsid w:val="00747061"/>
    <w:rsid w:val="00750DA6"/>
    <w:rsid w:val="00763965"/>
    <w:rsid w:val="00767680"/>
    <w:rsid w:val="007701A5"/>
    <w:rsid w:val="007725B0"/>
    <w:rsid w:val="00773F77"/>
    <w:rsid w:val="00775F9D"/>
    <w:rsid w:val="00782C5E"/>
    <w:rsid w:val="00796BAA"/>
    <w:rsid w:val="007A4806"/>
    <w:rsid w:val="007C4C46"/>
    <w:rsid w:val="007C6B33"/>
    <w:rsid w:val="007D1EEF"/>
    <w:rsid w:val="007D32E3"/>
    <w:rsid w:val="007D492C"/>
    <w:rsid w:val="007E23BF"/>
    <w:rsid w:val="007E34E3"/>
    <w:rsid w:val="007E3834"/>
    <w:rsid w:val="007E4216"/>
    <w:rsid w:val="007E54BC"/>
    <w:rsid w:val="007E5577"/>
    <w:rsid w:val="007E5E2E"/>
    <w:rsid w:val="007F0100"/>
    <w:rsid w:val="007F5B48"/>
    <w:rsid w:val="007F5BF4"/>
    <w:rsid w:val="007F7D30"/>
    <w:rsid w:val="00803988"/>
    <w:rsid w:val="00804A12"/>
    <w:rsid w:val="00806D68"/>
    <w:rsid w:val="00810C85"/>
    <w:rsid w:val="00821A85"/>
    <w:rsid w:val="00832032"/>
    <w:rsid w:val="00834638"/>
    <w:rsid w:val="00846798"/>
    <w:rsid w:val="008578F1"/>
    <w:rsid w:val="00862899"/>
    <w:rsid w:val="00871400"/>
    <w:rsid w:val="00875210"/>
    <w:rsid w:val="00893FCF"/>
    <w:rsid w:val="00894A13"/>
    <w:rsid w:val="00896E4C"/>
    <w:rsid w:val="00897336"/>
    <w:rsid w:val="008A148D"/>
    <w:rsid w:val="008C0C25"/>
    <w:rsid w:val="008C23FD"/>
    <w:rsid w:val="008C2D7F"/>
    <w:rsid w:val="008C7C80"/>
    <w:rsid w:val="008D37EB"/>
    <w:rsid w:val="008D4187"/>
    <w:rsid w:val="008D44DA"/>
    <w:rsid w:val="008D7535"/>
    <w:rsid w:val="008F1D71"/>
    <w:rsid w:val="008F3C03"/>
    <w:rsid w:val="008F4BB3"/>
    <w:rsid w:val="0090063A"/>
    <w:rsid w:val="00900BC9"/>
    <w:rsid w:val="009016D7"/>
    <w:rsid w:val="00902114"/>
    <w:rsid w:val="0091179E"/>
    <w:rsid w:val="00924DF7"/>
    <w:rsid w:val="00925032"/>
    <w:rsid w:val="00925694"/>
    <w:rsid w:val="00926E0A"/>
    <w:rsid w:val="00941510"/>
    <w:rsid w:val="0094182A"/>
    <w:rsid w:val="009471CA"/>
    <w:rsid w:val="0095079B"/>
    <w:rsid w:val="00951E11"/>
    <w:rsid w:val="00952010"/>
    <w:rsid w:val="0096248F"/>
    <w:rsid w:val="009716E0"/>
    <w:rsid w:val="00990E9B"/>
    <w:rsid w:val="00994664"/>
    <w:rsid w:val="009A25A2"/>
    <w:rsid w:val="009A286A"/>
    <w:rsid w:val="009A7DEB"/>
    <w:rsid w:val="009B03B6"/>
    <w:rsid w:val="009C4C40"/>
    <w:rsid w:val="009D69A5"/>
    <w:rsid w:val="009E7E18"/>
    <w:rsid w:val="00A165AA"/>
    <w:rsid w:val="00A30207"/>
    <w:rsid w:val="00A33267"/>
    <w:rsid w:val="00A34C8A"/>
    <w:rsid w:val="00A363D0"/>
    <w:rsid w:val="00A368B3"/>
    <w:rsid w:val="00A40739"/>
    <w:rsid w:val="00A50864"/>
    <w:rsid w:val="00A70DE4"/>
    <w:rsid w:val="00A924D6"/>
    <w:rsid w:val="00A94CF6"/>
    <w:rsid w:val="00AA661D"/>
    <w:rsid w:val="00AB10EE"/>
    <w:rsid w:val="00AE1B10"/>
    <w:rsid w:val="00AE71FE"/>
    <w:rsid w:val="00B07D11"/>
    <w:rsid w:val="00B21264"/>
    <w:rsid w:val="00B31ACC"/>
    <w:rsid w:val="00B335ED"/>
    <w:rsid w:val="00B37A2C"/>
    <w:rsid w:val="00B43656"/>
    <w:rsid w:val="00B4793A"/>
    <w:rsid w:val="00B519BC"/>
    <w:rsid w:val="00B52676"/>
    <w:rsid w:val="00B70998"/>
    <w:rsid w:val="00B75FEB"/>
    <w:rsid w:val="00B84B50"/>
    <w:rsid w:val="00B91407"/>
    <w:rsid w:val="00B915F7"/>
    <w:rsid w:val="00B94FDE"/>
    <w:rsid w:val="00BA394A"/>
    <w:rsid w:val="00BB03EB"/>
    <w:rsid w:val="00BB098C"/>
    <w:rsid w:val="00BB261B"/>
    <w:rsid w:val="00BB27F4"/>
    <w:rsid w:val="00BB2913"/>
    <w:rsid w:val="00BC2750"/>
    <w:rsid w:val="00BC7C81"/>
    <w:rsid w:val="00BE35E5"/>
    <w:rsid w:val="00BF2879"/>
    <w:rsid w:val="00BF4393"/>
    <w:rsid w:val="00C00F4E"/>
    <w:rsid w:val="00C06C9F"/>
    <w:rsid w:val="00C1113F"/>
    <w:rsid w:val="00C13393"/>
    <w:rsid w:val="00C32D81"/>
    <w:rsid w:val="00C43A8A"/>
    <w:rsid w:val="00C51681"/>
    <w:rsid w:val="00C51C79"/>
    <w:rsid w:val="00C52879"/>
    <w:rsid w:val="00C55D67"/>
    <w:rsid w:val="00C66C2E"/>
    <w:rsid w:val="00C70EEF"/>
    <w:rsid w:val="00C74A2C"/>
    <w:rsid w:val="00C77A8A"/>
    <w:rsid w:val="00C81776"/>
    <w:rsid w:val="00C863C0"/>
    <w:rsid w:val="00C87584"/>
    <w:rsid w:val="00C87B0E"/>
    <w:rsid w:val="00C93F0D"/>
    <w:rsid w:val="00CA0AA6"/>
    <w:rsid w:val="00CA3994"/>
    <w:rsid w:val="00CB51B0"/>
    <w:rsid w:val="00CB63F0"/>
    <w:rsid w:val="00CC2CD5"/>
    <w:rsid w:val="00CC6888"/>
    <w:rsid w:val="00CC68CD"/>
    <w:rsid w:val="00CD474A"/>
    <w:rsid w:val="00CE1EEA"/>
    <w:rsid w:val="00CE33C2"/>
    <w:rsid w:val="00CE7A18"/>
    <w:rsid w:val="00CF0BAD"/>
    <w:rsid w:val="00D01DDB"/>
    <w:rsid w:val="00D06952"/>
    <w:rsid w:val="00D20ACE"/>
    <w:rsid w:val="00D23B0D"/>
    <w:rsid w:val="00D3262D"/>
    <w:rsid w:val="00D32694"/>
    <w:rsid w:val="00D33E08"/>
    <w:rsid w:val="00D40818"/>
    <w:rsid w:val="00D41694"/>
    <w:rsid w:val="00D43406"/>
    <w:rsid w:val="00D535C1"/>
    <w:rsid w:val="00D54F54"/>
    <w:rsid w:val="00D61426"/>
    <w:rsid w:val="00D63CB4"/>
    <w:rsid w:val="00D6410E"/>
    <w:rsid w:val="00D8162F"/>
    <w:rsid w:val="00D81BF8"/>
    <w:rsid w:val="00D82A4A"/>
    <w:rsid w:val="00D94E66"/>
    <w:rsid w:val="00DB747D"/>
    <w:rsid w:val="00DC1E34"/>
    <w:rsid w:val="00DC2880"/>
    <w:rsid w:val="00DC3287"/>
    <w:rsid w:val="00DD440A"/>
    <w:rsid w:val="00DD4EAD"/>
    <w:rsid w:val="00DD6234"/>
    <w:rsid w:val="00DD6DD9"/>
    <w:rsid w:val="00DD7FC8"/>
    <w:rsid w:val="00DE3560"/>
    <w:rsid w:val="00DF2755"/>
    <w:rsid w:val="00DF51FA"/>
    <w:rsid w:val="00DF626B"/>
    <w:rsid w:val="00E006E2"/>
    <w:rsid w:val="00E02714"/>
    <w:rsid w:val="00E03C9F"/>
    <w:rsid w:val="00E16029"/>
    <w:rsid w:val="00E17047"/>
    <w:rsid w:val="00E21C84"/>
    <w:rsid w:val="00E23530"/>
    <w:rsid w:val="00E24A55"/>
    <w:rsid w:val="00E378CC"/>
    <w:rsid w:val="00E418C5"/>
    <w:rsid w:val="00E4246C"/>
    <w:rsid w:val="00E45D71"/>
    <w:rsid w:val="00E46818"/>
    <w:rsid w:val="00E52BC4"/>
    <w:rsid w:val="00E52BC8"/>
    <w:rsid w:val="00E530D2"/>
    <w:rsid w:val="00E532DA"/>
    <w:rsid w:val="00E67290"/>
    <w:rsid w:val="00E82B82"/>
    <w:rsid w:val="00E85730"/>
    <w:rsid w:val="00E858BA"/>
    <w:rsid w:val="00E92C4A"/>
    <w:rsid w:val="00E92E05"/>
    <w:rsid w:val="00E9545A"/>
    <w:rsid w:val="00EA0A4F"/>
    <w:rsid w:val="00EA3118"/>
    <w:rsid w:val="00EA7D7C"/>
    <w:rsid w:val="00EB660B"/>
    <w:rsid w:val="00EC07FE"/>
    <w:rsid w:val="00ED036B"/>
    <w:rsid w:val="00ED0F94"/>
    <w:rsid w:val="00ED39A7"/>
    <w:rsid w:val="00EE2E12"/>
    <w:rsid w:val="00EE5D8D"/>
    <w:rsid w:val="00EE69D9"/>
    <w:rsid w:val="00EF465B"/>
    <w:rsid w:val="00EF5393"/>
    <w:rsid w:val="00F042A4"/>
    <w:rsid w:val="00F05746"/>
    <w:rsid w:val="00F11166"/>
    <w:rsid w:val="00F14EDD"/>
    <w:rsid w:val="00F22412"/>
    <w:rsid w:val="00F27ABE"/>
    <w:rsid w:val="00F30E04"/>
    <w:rsid w:val="00F32F54"/>
    <w:rsid w:val="00F3687A"/>
    <w:rsid w:val="00F41E03"/>
    <w:rsid w:val="00F447F2"/>
    <w:rsid w:val="00F46EF6"/>
    <w:rsid w:val="00F51438"/>
    <w:rsid w:val="00F5148D"/>
    <w:rsid w:val="00F54001"/>
    <w:rsid w:val="00F55794"/>
    <w:rsid w:val="00F56760"/>
    <w:rsid w:val="00F601A9"/>
    <w:rsid w:val="00F625C7"/>
    <w:rsid w:val="00F64048"/>
    <w:rsid w:val="00F6739C"/>
    <w:rsid w:val="00F71596"/>
    <w:rsid w:val="00F74635"/>
    <w:rsid w:val="00F81645"/>
    <w:rsid w:val="00F82307"/>
    <w:rsid w:val="00F8377E"/>
    <w:rsid w:val="00F841E0"/>
    <w:rsid w:val="00F8629F"/>
    <w:rsid w:val="00F86431"/>
    <w:rsid w:val="00F86FC6"/>
    <w:rsid w:val="00F927CF"/>
    <w:rsid w:val="00F92FFF"/>
    <w:rsid w:val="00F976B2"/>
    <w:rsid w:val="00FA62B7"/>
    <w:rsid w:val="00FB0C36"/>
    <w:rsid w:val="00FB2A75"/>
    <w:rsid w:val="00FC31DE"/>
    <w:rsid w:val="00FC3E90"/>
    <w:rsid w:val="00FD13BA"/>
    <w:rsid w:val="00FD324F"/>
    <w:rsid w:val="00FD55A9"/>
    <w:rsid w:val="00FD5AB1"/>
    <w:rsid w:val="00FD70E9"/>
    <w:rsid w:val="00FE09FE"/>
    <w:rsid w:val="00FE2909"/>
    <w:rsid w:val="00FE4DD3"/>
    <w:rsid w:val="00FE7E13"/>
    <w:rsid w:val="00FF08F0"/>
    <w:rsid w:val="00FF6232"/>
    <w:rsid w:val="00FF7C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FC6FFE-5196-47A0-8FE5-2B4397C45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875210"/>
    <w:pPr>
      <w:jc w:val="both"/>
    </w:pPr>
    <w:rPr>
      <w:rFonts w:ascii="Calibri" w:hAnsi="Calibri"/>
      <w:szCs w:val="24"/>
      <w:lang w:eastAsia="en-US"/>
    </w:rPr>
  </w:style>
  <w:style w:type="paragraph" w:styleId="Otsikko1">
    <w:name w:val="heading 1"/>
    <w:basedOn w:val="Normaali"/>
    <w:next w:val="Normaali"/>
    <w:qFormat/>
    <w:rsid w:val="002C565A"/>
    <w:pPr>
      <w:keepNext/>
      <w:numPr>
        <w:numId w:val="2"/>
      </w:numPr>
      <w:spacing w:before="240" w:after="120"/>
      <w:jc w:val="left"/>
      <w:outlineLvl w:val="0"/>
    </w:pPr>
    <w:rPr>
      <w:rFonts w:cs="Arial"/>
      <w:b/>
      <w:bCs/>
      <w:kern w:val="32"/>
      <w:sz w:val="24"/>
      <w:szCs w:val="32"/>
    </w:rPr>
  </w:style>
  <w:style w:type="paragraph" w:styleId="Otsikko2">
    <w:name w:val="heading 2"/>
    <w:basedOn w:val="Normaali"/>
    <w:next w:val="Normaali"/>
    <w:qFormat/>
    <w:rsid w:val="002C565A"/>
    <w:pPr>
      <w:keepNext/>
      <w:numPr>
        <w:ilvl w:val="1"/>
        <w:numId w:val="2"/>
      </w:numPr>
      <w:spacing w:before="240" w:after="120"/>
      <w:jc w:val="left"/>
      <w:outlineLvl w:val="1"/>
    </w:pPr>
    <w:rPr>
      <w:rFonts w:cs="Arial"/>
      <w:b/>
      <w:bCs/>
      <w:iCs/>
      <w:sz w:val="22"/>
      <w:szCs w:val="28"/>
    </w:rPr>
  </w:style>
  <w:style w:type="paragraph" w:styleId="Otsikko3">
    <w:name w:val="heading 3"/>
    <w:basedOn w:val="Normaali"/>
    <w:next w:val="Normaali"/>
    <w:qFormat/>
    <w:rsid w:val="002C565A"/>
    <w:pPr>
      <w:keepNext/>
      <w:numPr>
        <w:ilvl w:val="2"/>
        <w:numId w:val="2"/>
      </w:numPr>
      <w:spacing w:before="240" w:after="120"/>
      <w:jc w:val="left"/>
      <w:outlineLvl w:val="2"/>
    </w:pPr>
    <w:rPr>
      <w:rFonts w:cs="Arial"/>
      <w:bCs/>
      <w:i/>
      <w:sz w:val="22"/>
      <w:szCs w:val="26"/>
    </w:rPr>
  </w:style>
  <w:style w:type="paragraph" w:styleId="Otsikko4">
    <w:name w:val="heading 4"/>
    <w:basedOn w:val="Normaali"/>
    <w:next w:val="Normaali"/>
    <w:qFormat/>
    <w:rsid w:val="002C565A"/>
    <w:pPr>
      <w:keepNext/>
      <w:numPr>
        <w:ilvl w:val="3"/>
        <w:numId w:val="2"/>
      </w:numPr>
      <w:spacing w:before="240" w:after="60"/>
      <w:outlineLvl w:val="3"/>
    </w:pPr>
    <w:rPr>
      <w:rFonts w:ascii="Times New Roman" w:hAnsi="Times New Roman"/>
      <w:b/>
      <w:bCs/>
      <w:sz w:val="28"/>
      <w:szCs w:val="28"/>
    </w:rPr>
  </w:style>
  <w:style w:type="paragraph" w:styleId="Otsikko5">
    <w:name w:val="heading 5"/>
    <w:basedOn w:val="Normaali"/>
    <w:next w:val="Normaali"/>
    <w:qFormat/>
    <w:rsid w:val="002C565A"/>
    <w:pPr>
      <w:numPr>
        <w:ilvl w:val="4"/>
        <w:numId w:val="2"/>
      </w:numPr>
      <w:spacing w:before="240" w:after="60"/>
      <w:outlineLvl w:val="4"/>
    </w:pPr>
    <w:rPr>
      <w:b/>
      <w:bCs/>
      <w:i/>
      <w:iCs/>
      <w:sz w:val="26"/>
      <w:szCs w:val="26"/>
    </w:rPr>
  </w:style>
  <w:style w:type="paragraph" w:styleId="Otsikko6">
    <w:name w:val="heading 6"/>
    <w:basedOn w:val="Normaali"/>
    <w:next w:val="Normaali"/>
    <w:qFormat/>
    <w:rsid w:val="002C565A"/>
    <w:pPr>
      <w:numPr>
        <w:ilvl w:val="5"/>
        <w:numId w:val="2"/>
      </w:numPr>
      <w:spacing w:before="240" w:after="60"/>
      <w:outlineLvl w:val="5"/>
    </w:pPr>
    <w:rPr>
      <w:rFonts w:ascii="Times New Roman" w:hAnsi="Times New Roman"/>
      <w:b/>
      <w:bCs/>
      <w:sz w:val="22"/>
      <w:szCs w:val="22"/>
    </w:rPr>
  </w:style>
  <w:style w:type="paragraph" w:styleId="Otsikko7">
    <w:name w:val="heading 7"/>
    <w:basedOn w:val="Normaali"/>
    <w:next w:val="Normaali"/>
    <w:qFormat/>
    <w:rsid w:val="002C565A"/>
    <w:pPr>
      <w:numPr>
        <w:ilvl w:val="6"/>
        <w:numId w:val="2"/>
      </w:numPr>
      <w:spacing w:before="240" w:after="60"/>
      <w:outlineLvl w:val="6"/>
    </w:pPr>
    <w:rPr>
      <w:rFonts w:ascii="Times New Roman" w:hAnsi="Times New Roman"/>
      <w:sz w:val="24"/>
    </w:rPr>
  </w:style>
  <w:style w:type="paragraph" w:styleId="Otsikko8">
    <w:name w:val="heading 8"/>
    <w:basedOn w:val="Normaali"/>
    <w:next w:val="Normaali"/>
    <w:qFormat/>
    <w:rsid w:val="002C565A"/>
    <w:pPr>
      <w:numPr>
        <w:ilvl w:val="7"/>
        <w:numId w:val="2"/>
      </w:numPr>
      <w:spacing w:before="240" w:after="60"/>
      <w:outlineLvl w:val="7"/>
    </w:pPr>
    <w:rPr>
      <w:rFonts w:ascii="Times New Roman" w:hAnsi="Times New Roman"/>
      <w:i/>
      <w:iCs/>
      <w:sz w:val="24"/>
    </w:rPr>
  </w:style>
  <w:style w:type="paragraph" w:styleId="Otsikko9">
    <w:name w:val="heading 9"/>
    <w:basedOn w:val="Normaali"/>
    <w:next w:val="Normaali"/>
    <w:rsid w:val="002C565A"/>
    <w:pPr>
      <w:numPr>
        <w:ilvl w:val="8"/>
        <w:numId w:val="2"/>
      </w:numPr>
      <w:spacing w:before="240" w:after="60"/>
      <w:outlineLvl w:val="8"/>
    </w:pPr>
    <w:rPr>
      <w:rFonts w:cs="Arial"/>
      <w:sz w:val="22"/>
      <w:szCs w:val="2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Bullets">
    <w:name w:val="Bullets"/>
    <w:basedOn w:val="Merkittyluettelo"/>
    <w:rsid w:val="002C565A"/>
    <w:pPr>
      <w:tabs>
        <w:tab w:val="clear" w:pos="360"/>
        <w:tab w:val="left" w:pos="284"/>
      </w:tabs>
      <w:spacing w:after="60"/>
      <w:ind w:left="284" w:hanging="284"/>
    </w:pPr>
  </w:style>
  <w:style w:type="paragraph" w:styleId="Merkittyluettelo">
    <w:name w:val="List Bullet"/>
    <w:basedOn w:val="Normaali"/>
    <w:rsid w:val="002C565A"/>
    <w:pPr>
      <w:tabs>
        <w:tab w:val="num" w:pos="360"/>
      </w:tabs>
      <w:ind w:left="360" w:hanging="360"/>
    </w:pPr>
  </w:style>
  <w:style w:type="character" w:styleId="Hyperlinkki">
    <w:name w:val="Hyperlink"/>
    <w:rsid w:val="002C565A"/>
    <w:rPr>
      <w:color w:val="0000FF"/>
      <w:u w:val="single"/>
    </w:rPr>
  </w:style>
  <w:style w:type="paragraph" w:styleId="Alatunniste">
    <w:name w:val="footer"/>
    <w:basedOn w:val="Normaali"/>
    <w:link w:val="AlatunnisteChar"/>
    <w:rsid w:val="00676201"/>
    <w:pPr>
      <w:tabs>
        <w:tab w:val="center" w:pos="4513"/>
        <w:tab w:val="right" w:pos="9026"/>
      </w:tabs>
    </w:pPr>
  </w:style>
  <w:style w:type="character" w:customStyle="1" w:styleId="AlatunnisteChar">
    <w:name w:val="Alatunniste Char"/>
    <w:link w:val="Alatunniste"/>
    <w:rsid w:val="00676201"/>
    <w:rPr>
      <w:rFonts w:ascii="Arial" w:hAnsi="Arial"/>
      <w:szCs w:val="24"/>
      <w:lang w:eastAsia="en-US"/>
    </w:rPr>
  </w:style>
  <w:style w:type="paragraph" w:styleId="Yltunniste">
    <w:name w:val="header"/>
    <w:basedOn w:val="Normaali"/>
    <w:link w:val="YltunnisteChar"/>
    <w:rsid w:val="00676201"/>
    <w:pPr>
      <w:tabs>
        <w:tab w:val="center" w:pos="4513"/>
        <w:tab w:val="right" w:pos="9026"/>
      </w:tabs>
    </w:pPr>
  </w:style>
  <w:style w:type="character" w:customStyle="1" w:styleId="YltunnisteChar">
    <w:name w:val="Ylätunniste Char"/>
    <w:link w:val="Yltunniste"/>
    <w:rsid w:val="00676201"/>
    <w:rPr>
      <w:rFonts w:ascii="Arial" w:hAnsi="Arial"/>
      <w:szCs w:val="24"/>
      <w:lang w:eastAsia="en-US"/>
    </w:rPr>
  </w:style>
  <w:style w:type="table" w:styleId="TaulukkoRuudukko">
    <w:name w:val="Table Grid"/>
    <w:basedOn w:val="Normaalitaulukko"/>
    <w:uiPriority w:val="39"/>
    <w:rsid w:val="00302091"/>
    <w:rPr>
      <w:rFonts w:ascii="Calibri" w:eastAsia="MS Mincho" w:hAnsi="Calibri"/>
      <w:sz w:val="24"/>
      <w:szCs w:val="24"/>
      <w:lang w:val="es-ES_trad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eeFormAB">
    <w:name w:val="Free Form A B"/>
    <w:rsid w:val="00AE71FE"/>
    <w:rPr>
      <w:rFonts w:ascii="Helvetica" w:eastAsia="Arial Unicode MS" w:hAnsi="Arial Unicode MS" w:cs="Arial Unicode MS"/>
      <w:color w:val="000000"/>
      <w:sz w:val="24"/>
      <w:szCs w:val="24"/>
      <w:lang w:val="en-US" w:eastAsia="fi-FI"/>
    </w:rPr>
  </w:style>
  <w:style w:type="paragraph" w:customStyle="1" w:styleId="BodyA">
    <w:name w:val="Body A"/>
    <w:rsid w:val="00AE71FE"/>
    <w:rPr>
      <w:rFonts w:ascii="Helvetica" w:eastAsia="Arial Unicode MS" w:hAnsi="Arial Unicode MS" w:cs="Arial Unicode MS"/>
      <w:color w:val="000000"/>
      <w:sz w:val="24"/>
      <w:szCs w:val="24"/>
      <w:lang w:val="en-US" w:eastAsia="fi-FI"/>
    </w:rPr>
  </w:style>
  <w:style w:type="character" w:customStyle="1" w:styleId="apple-converted-space">
    <w:name w:val="apple-converted-space"/>
    <w:rsid w:val="00DD6DD9"/>
  </w:style>
  <w:style w:type="character" w:styleId="AvattuHyperlinkki">
    <w:name w:val="FollowedHyperlink"/>
    <w:rsid w:val="004550A6"/>
    <w:rPr>
      <w:color w:val="954F72"/>
      <w:u w:val="single"/>
    </w:rPr>
  </w:style>
  <w:style w:type="paragraph" w:customStyle="1" w:styleId="FreeForm">
    <w:name w:val="Free Form"/>
    <w:rsid w:val="00C1113F"/>
    <w:rPr>
      <w:color w:val="000000"/>
      <w:lang w:val="fi-FI" w:eastAsia="fi-FI"/>
    </w:rPr>
  </w:style>
  <w:style w:type="paragraph" w:styleId="Seliteteksti">
    <w:name w:val="Balloon Text"/>
    <w:basedOn w:val="Normaali"/>
    <w:link w:val="SelitetekstiChar"/>
    <w:rsid w:val="00634E26"/>
    <w:rPr>
      <w:rFonts w:ascii="Tahoma" w:hAnsi="Tahoma" w:cs="Tahoma"/>
      <w:sz w:val="16"/>
      <w:szCs w:val="16"/>
    </w:rPr>
  </w:style>
  <w:style w:type="character" w:customStyle="1" w:styleId="SelitetekstiChar">
    <w:name w:val="Seliteteksti Char"/>
    <w:basedOn w:val="Kappaleenoletusfontti"/>
    <w:link w:val="Seliteteksti"/>
    <w:rsid w:val="00634E2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lgocr@utu.fi"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uk/government/publications/creative-industries-mapping-documents-200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nytimes.com/2015/05/17/magazine/flight-paths.html?_r=0"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3591</Words>
  <Characters>29090</Characters>
  <Application>Microsoft Office Word</Application>
  <DocSecurity>4</DocSecurity>
  <Lines>242</Lines>
  <Paragraphs>65</Paragraphs>
  <ScaleCrop>false</ScaleCrop>
  <HeadingPairs>
    <vt:vector size="6" baseType="variant">
      <vt:variant>
        <vt:lpstr>Otsikko</vt:lpstr>
      </vt:variant>
      <vt:variant>
        <vt:i4>1</vt:i4>
      </vt:variant>
      <vt:variant>
        <vt:lpstr>Title</vt:lpstr>
      </vt:variant>
      <vt:variant>
        <vt:i4>1</vt:i4>
      </vt:variant>
      <vt:variant>
        <vt:lpstr>Título</vt:lpstr>
      </vt:variant>
      <vt:variant>
        <vt:i4>1</vt:i4>
      </vt:variant>
    </vt:vector>
  </HeadingPairs>
  <TitlesOfParts>
    <vt:vector size="3" baseType="lpstr">
      <vt:lpstr>The Title of the Paper Goes Here, in Title Case and Title Style</vt:lpstr>
      <vt:lpstr>The Title of the Paper Goes Here, in Title Case and Title Style</vt:lpstr>
      <vt:lpstr>The Title of the Paper Goes Here, in Title Case and Title Style</vt:lpstr>
    </vt:vector>
  </TitlesOfParts>
  <Company>MCIL</Company>
  <LinksUpToDate>false</LinksUpToDate>
  <CharactersWithSpaces>32616</CharactersWithSpaces>
  <SharedDoc>false</SharedDoc>
  <HLinks>
    <vt:vector size="18" baseType="variant">
      <vt:variant>
        <vt:i4>327763</vt:i4>
      </vt:variant>
      <vt:variant>
        <vt:i4>6</vt:i4>
      </vt:variant>
      <vt:variant>
        <vt:i4>0</vt:i4>
      </vt:variant>
      <vt:variant>
        <vt:i4>5</vt:i4>
      </vt:variant>
      <vt:variant>
        <vt:lpwstr>https://www.gov.uk/government/publications/creative-industries-mapping-documents-2001</vt:lpwstr>
      </vt:variant>
      <vt:variant>
        <vt:lpwstr/>
      </vt:variant>
      <vt:variant>
        <vt:i4>4128854</vt:i4>
      </vt:variant>
      <vt:variant>
        <vt:i4>3</vt:i4>
      </vt:variant>
      <vt:variant>
        <vt:i4>0</vt:i4>
      </vt:variant>
      <vt:variant>
        <vt:i4>5</vt:i4>
      </vt:variant>
      <vt:variant>
        <vt:lpwstr>https://www.nytimes.com/2015/05/17/magazine/flight-paths.html?_r=0</vt:lpwstr>
      </vt:variant>
      <vt:variant>
        <vt:lpwstr/>
      </vt:variant>
      <vt:variant>
        <vt:i4>7602269</vt:i4>
      </vt:variant>
      <vt:variant>
        <vt:i4>0</vt:i4>
      </vt:variant>
      <vt:variant>
        <vt:i4>0</vt:i4>
      </vt:variant>
      <vt:variant>
        <vt:i4>5</vt:i4>
      </vt:variant>
      <vt:variant>
        <vt:lpwstr>mailto:algocr@utu.fi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of the Paper Goes Here, in Title Case and Title Style</dc:title>
  <dc:creator>elaine</dc:creator>
  <cp:lastModifiedBy>Jouko Miettinen</cp:lastModifiedBy>
  <cp:revision>2</cp:revision>
  <cp:lastPrinted>2017-04-10T14:11:00Z</cp:lastPrinted>
  <dcterms:created xsi:type="dcterms:W3CDTF">2018-02-13T10:38:00Z</dcterms:created>
  <dcterms:modified xsi:type="dcterms:W3CDTF">2018-02-13T10:38:00Z</dcterms:modified>
</cp:coreProperties>
</file>