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AE39E" w14:textId="77777777" w:rsidR="000723ED" w:rsidRPr="000723ED" w:rsidRDefault="000723ED" w:rsidP="000723ED">
      <w:pPr>
        <w:spacing w:after="0" w:line="276" w:lineRule="auto"/>
        <w:jc w:val="center"/>
        <w:rPr>
          <w:rFonts w:ascii="Times New Roman" w:hAnsi="Times New Roman" w:cs="Times New Roman"/>
          <w:b/>
          <w:sz w:val="24"/>
          <w:lang w:val="en-US"/>
        </w:rPr>
      </w:pPr>
      <w:bookmarkStart w:id="0" w:name="_GoBack"/>
      <w:r w:rsidRPr="000723ED">
        <w:rPr>
          <w:rFonts w:ascii="Times New Roman" w:hAnsi="Times New Roman" w:cs="Times New Roman"/>
          <w:b/>
          <w:sz w:val="24"/>
          <w:lang w:val="en-US"/>
        </w:rPr>
        <w:t>Opportunities for value-based selling in an economic crisis</w:t>
      </w:r>
      <w:bookmarkEnd w:id="0"/>
      <w:r w:rsidRPr="000723ED">
        <w:rPr>
          <w:rFonts w:ascii="Times New Roman" w:hAnsi="Times New Roman" w:cs="Times New Roman"/>
          <w:b/>
          <w:sz w:val="24"/>
          <w:lang w:val="en-US"/>
        </w:rPr>
        <w:t>:</w:t>
      </w:r>
    </w:p>
    <w:p w14:paraId="343B1D69" w14:textId="77777777" w:rsidR="000723ED" w:rsidRPr="000723ED" w:rsidRDefault="000723ED" w:rsidP="000723ED">
      <w:pPr>
        <w:spacing w:after="0" w:line="276" w:lineRule="auto"/>
        <w:jc w:val="center"/>
        <w:rPr>
          <w:rFonts w:ascii="Times New Roman" w:hAnsi="Times New Roman" w:cs="Times New Roman"/>
          <w:b/>
          <w:sz w:val="24"/>
          <w:lang w:val="en-US"/>
        </w:rPr>
      </w:pPr>
      <w:r w:rsidRPr="000723ED">
        <w:rPr>
          <w:rFonts w:ascii="Times New Roman" w:hAnsi="Times New Roman" w:cs="Times New Roman"/>
          <w:b/>
          <w:sz w:val="24"/>
          <w:lang w:val="en-US"/>
        </w:rPr>
        <w:t>Managerial insights from a firm boundary theory</w:t>
      </w:r>
    </w:p>
    <w:p w14:paraId="63A8437A" w14:textId="77777777" w:rsidR="0088234F" w:rsidRPr="00701F26" w:rsidRDefault="0088234F" w:rsidP="0088234F">
      <w:pPr>
        <w:spacing w:after="0" w:line="240" w:lineRule="auto"/>
        <w:rPr>
          <w:rFonts w:ascii="Times New Roman" w:hAnsi="Times New Roman" w:cs="Times New Roman"/>
          <w:b/>
          <w:sz w:val="24"/>
          <w:szCs w:val="24"/>
          <w:lang w:val="en-US"/>
        </w:rPr>
      </w:pPr>
    </w:p>
    <w:p w14:paraId="4931788F" w14:textId="77777777" w:rsidR="0088234F" w:rsidRPr="00701F26" w:rsidRDefault="0088234F" w:rsidP="0088234F">
      <w:pPr>
        <w:spacing w:after="0" w:line="240" w:lineRule="auto"/>
        <w:jc w:val="center"/>
        <w:rPr>
          <w:rFonts w:ascii="Times New Roman" w:hAnsi="Times New Roman" w:cs="Times New Roman"/>
          <w:b/>
          <w:sz w:val="28"/>
          <w:szCs w:val="24"/>
          <w:lang w:val="en-US"/>
        </w:rPr>
      </w:pPr>
    </w:p>
    <w:p w14:paraId="09EAEC9B" w14:textId="77777777" w:rsidR="0088234F" w:rsidRPr="00701F26" w:rsidRDefault="0088234F" w:rsidP="0088234F">
      <w:pPr>
        <w:spacing w:after="0" w:line="240" w:lineRule="auto"/>
        <w:rPr>
          <w:rFonts w:ascii="Times New Roman" w:eastAsia="Times New Roman" w:hAnsi="Times New Roman" w:cs="Times New Roman"/>
          <w:sz w:val="24"/>
          <w:szCs w:val="24"/>
          <w:lang w:val="en-US"/>
        </w:rPr>
      </w:pPr>
    </w:p>
    <w:p w14:paraId="1483A3F1" w14:textId="77777777" w:rsidR="0088234F" w:rsidRPr="00A6279A" w:rsidRDefault="0088234F" w:rsidP="0088234F">
      <w:pPr>
        <w:spacing w:after="0" w:line="240" w:lineRule="auto"/>
        <w:jc w:val="center"/>
        <w:rPr>
          <w:rFonts w:ascii="Times New Roman" w:eastAsia="Times New Roman" w:hAnsi="Times New Roman" w:cs="Times New Roman"/>
          <w:b/>
          <w:sz w:val="24"/>
          <w:szCs w:val="24"/>
          <w:lang w:val="en-US"/>
        </w:rPr>
      </w:pPr>
      <w:r w:rsidRPr="00701F26">
        <w:rPr>
          <w:rFonts w:ascii="Times New Roman" w:eastAsia="Times New Roman" w:hAnsi="Times New Roman" w:cs="Times New Roman"/>
          <w:b/>
          <w:sz w:val="24"/>
          <w:szCs w:val="24"/>
          <w:lang w:val="en-US"/>
        </w:rPr>
        <w:t>*Joona Keränen,</w:t>
      </w:r>
    </w:p>
    <w:p w14:paraId="19351FC8" w14:textId="77777777" w:rsidR="0088234F" w:rsidRDefault="0088234F" w:rsidP="0088234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RMIT University,</w:t>
      </w:r>
    </w:p>
    <w:p w14:paraId="2610FD38" w14:textId="77777777" w:rsidR="0088234F" w:rsidRDefault="0088234F" w:rsidP="0088234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Graduate School of Business &amp; Law</w:t>
      </w:r>
    </w:p>
    <w:p w14:paraId="74CF24B5" w14:textId="77777777" w:rsidR="0088234F" w:rsidRPr="00A6279A" w:rsidRDefault="0088234F" w:rsidP="0088234F">
      <w:pPr>
        <w:spacing w:after="0" w:line="240" w:lineRule="auto"/>
        <w:jc w:val="center"/>
        <w:rPr>
          <w:rFonts w:ascii="Times New Roman" w:eastAsia="Times New Roman" w:hAnsi="Times New Roman" w:cs="Times New Roman"/>
          <w:sz w:val="24"/>
          <w:szCs w:val="24"/>
          <w:lang w:val="en-US"/>
        </w:rPr>
      </w:pPr>
      <w:r w:rsidRPr="00A6279A">
        <w:rPr>
          <w:rFonts w:ascii="Times New Roman" w:eastAsia="Times New Roman" w:hAnsi="Times New Roman" w:cs="Times New Roman"/>
          <w:iCs/>
          <w:sz w:val="24"/>
          <w:szCs w:val="24"/>
          <w:lang w:val="en-US"/>
        </w:rPr>
        <w:t>379-405 Russell St, Melbourne, Vic 3000, Australia</w:t>
      </w:r>
    </w:p>
    <w:p w14:paraId="49C02C03" w14:textId="77777777" w:rsidR="0088234F" w:rsidRPr="00701F26" w:rsidRDefault="0088234F" w:rsidP="0088234F">
      <w:pPr>
        <w:spacing w:after="0" w:line="240" w:lineRule="auto"/>
        <w:jc w:val="center"/>
        <w:rPr>
          <w:rFonts w:ascii="Times New Roman" w:eastAsia="Times New Roman" w:hAnsi="Times New Roman" w:cs="Times New Roman"/>
          <w:color w:val="0000FF"/>
          <w:sz w:val="24"/>
          <w:szCs w:val="24"/>
          <w:u w:val="single"/>
          <w:lang w:val="en-US"/>
        </w:rPr>
      </w:pPr>
      <w:r w:rsidRPr="00701F26">
        <w:rPr>
          <w:rFonts w:ascii="Times New Roman" w:eastAsia="Times New Roman" w:hAnsi="Times New Roman" w:cs="Times New Roman"/>
          <w:sz w:val="24"/>
          <w:szCs w:val="24"/>
          <w:lang w:val="en-US"/>
        </w:rPr>
        <w:t xml:space="preserve">E-mail: </w:t>
      </w:r>
      <w:r w:rsidRPr="00701F26">
        <w:rPr>
          <w:rFonts w:ascii="Times New Roman" w:eastAsia="Times New Roman" w:hAnsi="Times New Roman" w:cs="Times New Roman"/>
          <w:color w:val="0000FF"/>
          <w:sz w:val="24"/>
          <w:szCs w:val="24"/>
          <w:u w:val="single"/>
          <w:lang w:val="en-US"/>
        </w:rPr>
        <w:t>joona.keranen@</w:t>
      </w:r>
      <w:r>
        <w:rPr>
          <w:rFonts w:ascii="Times New Roman" w:eastAsia="Times New Roman" w:hAnsi="Times New Roman" w:cs="Times New Roman"/>
          <w:color w:val="0000FF"/>
          <w:sz w:val="24"/>
          <w:szCs w:val="24"/>
          <w:u w:val="single"/>
          <w:lang w:val="en-US"/>
        </w:rPr>
        <w:t>rmit.edu.au</w:t>
      </w:r>
    </w:p>
    <w:p w14:paraId="6C655D75" w14:textId="77777777" w:rsidR="0088234F" w:rsidRDefault="0088234F" w:rsidP="0088234F">
      <w:pPr>
        <w:spacing w:after="0" w:line="240" w:lineRule="auto"/>
        <w:jc w:val="center"/>
        <w:rPr>
          <w:rFonts w:ascii="Times New Roman" w:eastAsia="Times New Roman" w:hAnsi="Times New Roman" w:cs="Times New Roman"/>
          <w:sz w:val="24"/>
          <w:szCs w:val="24"/>
          <w:lang w:val="en-US"/>
        </w:rPr>
      </w:pPr>
    </w:p>
    <w:p w14:paraId="07BF40B4" w14:textId="77777777" w:rsidR="0088234F" w:rsidRPr="00701F26" w:rsidRDefault="0088234F" w:rsidP="0088234F">
      <w:pPr>
        <w:spacing w:after="0" w:line="240" w:lineRule="auto"/>
        <w:jc w:val="center"/>
        <w:rPr>
          <w:rFonts w:ascii="Times New Roman" w:eastAsia="Times New Roman" w:hAnsi="Times New Roman" w:cs="Times New Roman"/>
          <w:sz w:val="24"/>
          <w:szCs w:val="24"/>
          <w:lang w:val="en-US"/>
        </w:rPr>
      </w:pPr>
      <w:r w:rsidRPr="00701F26">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lang w:val="en-US"/>
        </w:rPr>
        <w:t>UT</w:t>
      </w:r>
      <w:r w:rsidRPr="00701F26">
        <w:rPr>
          <w:rFonts w:ascii="Times New Roman" w:eastAsia="Times New Roman" w:hAnsi="Times New Roman" w:cs="Times New Roman"/>
          <w:sz w:val="24"/>
          <w:szCs w:val="24"/>
          <w:lang w:val="en-US"/>
        </w:rPr>
        <w:t xml:space="preserve"> University </w:t>
      </w:r>
    </w:p>
    <w:p w14:paraId="4F21DBC8" w14:textId="77777777" w:rsidR="0088234F" w:rsidRPr="00701F26" w:rsidRDefault="0088234F" w:rsidP="0088234F">
      <w:pPr>
        <w:spacing w:after="0" w:line="240" w:lineRule="auto"/>
        <w:jc w:val="center"/>
        <w:rPr>
          <w:rFonts w:ascii="Times New Roman" w:eastAsia="Times New Roman" w:hAnsi="Times New Roman" w:cs="Times New Roman"/>
          <w:sz w:val="24"/>
          <w:szCs w:val="24"/>
          <w:lang w:val="en-US"/>
        </w:rPr>
      </w:pPr>
      <w:r w:rsidRPr="00701F26">
        <w:rPr>
          <w:rFonts w:ascii="Times New Roman" w:eastAsia="Times New Roman" w:hAnsi="Times New Roman" w:cs="Times New Roman"/>
          <w:sz w:val="24"/>
          <w:szCs w:val="24"/>
          <w:lang w:val="en-US"/>
        </w:rPr>
        <w:t>School of Business &amp; Management,</w:t>
      </w:r>
    </w:p>
    <w:p w14:paraId="60F96FCE" w14:textId="77777777" w:rsidR="0088234F" w:rsidRPr="008C17FF" w:rsidRDefault="0088234F" w:rsidP="0088234F">
      <w:pPr>
        <w:spacing w:after="0" w:line="240" w:lineRule="auto"/>
        <w:jc w:val="center"/>
        <w:rPr>
          <w:rFonts w:ascii="Times New Roman" w:eastAsia="Times New Roman" w:hAnsi="Times New Roman" w:cs="Times New Roman"/>
          <w:sz w:val="24"/>
          <w:szCs w:val="24"/>
          <w:lang w:val="sv-SE"/>
        </w:rPr>
      </w:pPr>
      <w:r w:rsidRPr="008C17FF">
        <w:rPr>
          <w:rFonts w:ascii="Times New Roman" w:eastAsia="Times New Roman" w:hAnsi="Times New Roman" w:cs="Times New Roman"/>
          <w:sz w:val="24"/>
          <w:szCs w:val="24"/>
          <w:lang w:val="sv-SE"/>
        </w:rPr>
        <w:t>P.O. Box 20, FI-53851 Lappeenranta, Finland</w:t>
      </w:r>
    </w:p>
    <w:p w14:paraId="5C431E1B" w14:textId="77777777" w:rsidR="0088234F" w:rsidRPr="00701F26" w:rsidRDefault="0088234F" w:rsidP="0088234F">
      <w:pPr>
        <w:spacing w:after="0" w:line="240" w:lineRule="auto"/>
        <w:jc w:val="center"/>
        <w:rPr>
          <w:rFonts w:ascii="Times New Roman" w:eastAsia="Times New Roman" w:hAnsi="Times New Roman" w:cs="Times New Roman"/>
          <w:color w:val="0000FF"/>
          <w:sz w:val="24"/>
          <w:szCs w:val="24"/>
          <w:u w:val="single"/>
          <w:lang w:val="en-US"/>
        </w:rPr>
      </w:pPr>
      <w:r w:rsidRPr="00701F26">
        <w:rPr>
          <w:rFonts w:ascii="Times New Roman" w:eastAsia="Times New Roman" w:hAnsi="Times New Roman" w:cs="Times New Roman"/>
          <w:sz w:val="24"/>
          <w:szCs w:val="24"/>
          <w:lang w:val="en-US"/>
        </w:rPr>
        <w:t xml:space="preserve">E-mail: </w:t>
      </w:r>
      <w:hyperlink r:id="rId9" w:history="1">
        <w:r w:rsidRPr="00701F26">
          <w:rPr>
            <w:rFonts w:ascii="Times New Roman" w:eastAsia="Times New Roman" w:hAnsi="Times New Roman" w:cs="Times New Roman"/>
            <w:color w:val="0000FF"/>
            <w:sz w:val="24"/>
            <w:szCs w:val="24"/>
            <w:u w:val="single"/>
            <w:lang w:val="en-US"/>
          </w:rPr>
          <w:t>joona.keranen@lut.fi</w:t>
        </w:r>
      </w:hyperlink>
    </w:p>
    <w:p w14:paraId="15E6DDB5" w14:textId="77777777" w:rsidR="0088234F" w:rsidRPr="00701F26" w:rsidRDefault="0088234F" w:rsidP="0088234F">
      <w:pPr>
        <w:spacing w:after="0" w:line="240" w:lineRule="auto"/>
        <w:rPr>
          <w:rFonts w:ascii="Times New Roman" w:eastAsia="Times New Roman" w:hAnsi="Times New Roman" w:cs="Times New Roman"/>
          <w:color w:val="0000FF"/>
          <w:sz w:val="24"/>
          <w:szCs w:val="24"/>
          <w:u w:val="single"/>
          <w:lang w:val="en-US"/>
        </w:rPr>
      </w:pPr>
    </w:p>
    <w:p w14:paraId="54D431CF" w14:textId="77777777" w:rsidR="0088234F" w:rsidRPr="00701F26" w:rsidRDefault="0088234F" w:rsidP="0088234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Anna Salonen</w:t>
      </w:r>
      <w:r w:rsidRPr="00701F26">
        <w:rPr>
          <w:rFonts w:ascii="Times New Roman" w:eastAsia="Times New Roman" w:hAnsi="Times New Roman" w:cs="Times New Roman"/>
          <w:b/>
          <w:sz w:val="24"/>
          <w:szCs w:val="24"/>
          <w:lang w:val="en-US"/>
        </w:rPr>
        <w:t>,</w:t>
      </w:r>
    </w:p>
    <w:p w14:paraId="6B87AFDB"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University of Turku, Finland</w:t>
      </w:r>
    </w:p>
    <w:p w14:paraId="4F7266B5"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Turku School of Economics,</w:t>
      </w:r>
    </w:p>
    <w:p w14:paraId="72DB1B39" w14:textId="77777777" w:rsidR="0088234F" w:rsidRPr="008C17FF" w:rsidRDefault="0088234F" w:rsidP="0088234F">
      <w:pPr>
        <w:spacing w:after="0" w:line="240" w:lineRule="auto"/>
        <w:jc w:val="center"/>
        <w:rPr>
          <w:rFonts w:ascii="Times New Roman" w:eastAsia="Times New Roman" w:hAnsi="Times New Roman" w:cs="Times New Roman"/>
          <w:sz w:val="24"/>
          <w:szCs w:val="24"/>
        </w:rPr>
      </w:pPr>
      <w:r w:rsidRPr="008C17FF">
        <w:rPr>
          <w:rFonts w:ascii="Times New Roman" w:eastAsia="Times New Roman" w:hAnsi="Times New Roman" w:cs="Times New Roman"/>
          <w:sz w:val="24"/>
          <w:szCs w:val="24"/>
        </w:rPr>
        <w:t>Rehtorinpellonkatu 3</w:t>
      </w:r>
    </w:p>
    <w:p w14:paraId="5AB04202" w14:textId="77777777" w:rsidR="0088234F" w:rsidRPr="008C17FF" w:rsidRDefault="0088234F" w:rsidP="0088234F">
      <w:pPr>
        <w:spacing w:after="0" w:line="240" w:lineRule="auto"/>
        <w:jc w:val="center"/>
        <w:rPr>
          <w:rFonts w:ascii="Times New Roman" w:eastAsia="Times New Roman" w:hAnsi="Times New Roman" w:cs="Times New Roman"/>
          <w:sz w:val="24"/>
          <w:szCs w:val="24"/>
        </w:rPr>
      </w:pPr>
      <w:r w:rsidRPr="008C17FF">
        <w:rPr>
          <w:rFonts w:ascii="Times New Roman" w:eastAsia="Times New Roman" w:hAnsi="Times New Roman" w:cs="Times New Roman"/>
          <w:sz w:val="24"/>
          <w:szCs w:val="24"/>
        </w:rPr>
        <w:t>20500 Turku, Finland</w:t>
      </w:r>
    </w:p>
    <w:p w14:paraId="36E11A92" w14:textId="34EEF95E" w:rsidR="0088234F" w:rsidRPr="00BC6043" w:rsidRDefault="0088234F" w:rsidP="0088234F">
      <w:pPr>
        <w:spacing w:after="0" w:line="240" w:lineRule="auto"/>
        <w:jc w:val="center"/>
        <w:rPr>
          <w:rFonts w:ascii="Times New Roman" w:eastAsia="Times New Roman" w:hAnsi="Times New Roman" w:cs="Times New Roman"/>
          <w:sz w:val="24"/>
          <w:szCs w:val="24"/>
          <w:lang w:val="en-US"/>
        </w:rPr>
      </w:pPr>
      <w:r w:rsidRPr="00BC6043">
        <w:rPr>
          <w:rFonts w:ascii="Times New Roman" w:eastAsia="Times New Roman" w:hAnsi="Times New Roman" w:cs="Times New Roman"/>
          <w:sz w:val="24"/>
          <w:szCs w:val="24"/>
          <w:lang w:val="en-US"/>
        </w:rPr>
        <w:t xml:space="preserve">E-mail: </w:t>
      </w:r>
      <w:hyperlink r:id="rId10" w:history="1">
        <w:r w:rsidR="00BC6043" w:rsidRPr="00744DAE">
          <w:rPr>
            <w:rStyle w:val="Hyperlinkki"/>
            <w:rFonts w:ascii="Times New Roman" w:eastAsia="Times New Roman" w:hAnsi="Times New Roman" w:cs="Times New Roman"/>
            <w:sz w:val="24"/>
            <w:szCs w:val="24"/>
            <w:lang w:val="en-US"/>
          </w:rPr>
          <w:t>anna.k.salonen@utu.fi</w:t>
        </w:r>
      </w:hyperlink>
    </w:p>
    <w:p w14:paraId="74C536B1" w14:textId="77777777" w:rsidR="0088234F" w:rsidRPr="00BC6043" w:rsidRDefault="0088234F" w:rsidP="0088234F">
      <w:pPr>
        <w:spacing w:after="0" w:line="240" w:lineRule="auto"/>
        <w:rPr>
          <w:rStyle w:val="Hyperlinkki"/>
          <w:rFonts w:ascii="Times New Roman" w:eastAsia="Times New Roman" w:hAnsi="Times New Roman" w:cs="Times New Roman"/>
          <w:sz w:val="24"/>
          <w:szCs w:val="24"/>
          <w:lang w:val="en-US"/>
        </w:rPr>
      </w:pPr>
    </w:p>
    <w:p w14:paraId="4CD01478" w14:textId="77777777" w:rsidR="0088234F" w:rsidRPr="0088234F" w:rsidRDefault="0088234F" w:rsidP="0088234F">
      <w:pPr>
        <w:spacing w:after="0" w:line="240" w:lineRule="auto"/>
        <w:jc w:val="center"/>
        <w:rPr>
          <w:rFonts w:ascii="Times New Roman" w:eastAsia="Times New Roman" w:hAnsi="Times New Roman" w:cs="Times New Roman"/>
          <w:b/>
          <w:sz w:val="24"/>
          <w:szCs w:val="24"/>
          <w:lang w:val="en-US"/>
        </w:rPr>
      </w:pPr>
      <w:r w:rsidRPr="0088234F">
        <w:rPr>
          <w:rFonts w:ascii="Times New Roman" w:eastAsia="Times New Roman" w:hAnsi="Times New Roman" w:cs="Times New Roman"/>
          <w:b/>
          <w:sz w:val="24"/>
          <w:szCs w:val="24"/>
          <w:lang w:val="en-US"/>
        </w:rPr>
        <w:t>Harri Terho,</w:t>
      </w:r>
    </w:p>
    <w:p w14:paraId="65AE1649"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University of Turku, Finland</w:t>
      </w:r>
    </w:p>
    <w:p w14:paraId="6299CE6D"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Turku School of Economics,</w:t>
      </w:r>
    </w:p>
    <w:p w14:paraId="4191189E"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Rehtorinpellonkatu 3</w:t>
      </w:r>
    </w:p>
    <w:p w14:paraId="766A4A40"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20500 Turku, Finland</w:t>
      </w:r>
    </w:p>
    <w:p w14:paraId="66AF65D2" w14:textId="5B3CE95A" w:rsidR="00113F82" w:rsidRDefault="0088234F" w:rsidP="0088234F">
      <w:pPr>
        <w:spacing w:after="0" w:line="240" w:lineRule="auto"/>
        <w:jc w:val="center"/>
        <w:rPr>
          <w:rStyle w:val="Hyperlinkki"/>
          <w:rFonts w:ascii="Times New Roman" w:eastAsia="Times New Roman" w:hAnsi="Times New Roman" w:cs="Times New Roman"/>
          <w:sz w:val="24"/>
          <w:szCs w:val="24"/>
          <w:lang w:val="en-US"/>
        </w:rPr>
      </w:pPr>
      <w:r w:rsidRPr="0088234F">
        <w:rPr>
          <w:rFonts w:ascii="Times New Roman" w:eastAsia="Times New Roman" w:hAnsi="Times New Roman" w:cs="Times New Roman"/>
          <w:sz w:val="24"/>
          <w:szCs w:val="24"/>
          <w:lang w:val="en-US"/>
        </w:rPr>
        <w:t xml:space="preserve">E-mail: </w:t>
      </w:r>
      <w:hyperlink r:id="rId11" w:history="1">
        <w:r w:rsidRPr="00B70D69">
          <w:rPr>
            <w:rStyle w:val="Hyperlinkki"/>
            <w:rFonts w:ascii="Times New Roman" w:eastAsia="Times New Roman" w:hAnsi="Times New Roman" w:cs="Times New Roman"/>
            <w:sz w:val="24"/>
            <w:szCs w:val="24"/>
            <w:lang w:val="en-US"/>
          </w:rPr>
          <w:t>harri.terho@utu.fi</w:t>
        </w:r>
      </w:hyperlink>
    </w:p>
    <w:p w14:paraId="4AD100EE" w14:textId="0490CD39" w:rsidR="00113F82" w:rsidRDefault="00113F82">
      <w:pPr>
        <w:rPr>
          <w:rStyle w:val="Hyperlinkki"/>
          <w:rFonts w:ascii="Times New Roman" w:eastAsia="Times New Roman" w:hAnsi="Times New Roman" w:cs="Times New Roman"/>
          <w:sz w:val="24"/>
          <w:szCs w:val="24"/>
          <w:lang w:val="en-US"/>
        </w:rPr>
      </w:pPr>
    </w:p>
    <w:p w14:paraId="421DB11D" w14:textId="78B8E805" w:rsidR="00113F82" w:rsidRDefault="00113F82">
      <w:pPr>
        <w:rPr>
          <w:rStyle w:val="Hyperlinkki"/>
          <w:rFonts w:ascii="Times New Roman" w:eastAsia="Times New Roman" w:hAnsi="Times New Roman" w:cs="Times New Roman"/>
          <w:sz w:val="24"/>
          <w:szCs w:val="24"/>
          <w:lang w:val="en-US"/>
        </w:rPr>
      </w:pPr>
    </w:p>
    <w:p w14:paraId="4A2AA663" w14:textId="77777777" w:rsidR="00113F82" w:rsidRDefault="00113F82" w:rsidP="00113F82">
      <w:pPr>
        <w:spacing w:after="0" w:line="276" w:lineRule="auto"/>
        <w:rPr>
          <w:rFonts w:ascii="Times New Roman" w:hAnsi="Times New Roman" w:cs="Times New Roman"/>
          <w:b/>
          <w:sz w:val="24"/>
          <w:lang w:val="en-US"/>
        </w:rPr>
      </w:pPr>
      <w:r>
        <w:rPr>
          <w:rFonts w:ascii="Times New Roman" w:hAnsi="Times New Roman" w:cs="Times New Roman"/>
          <w:b/>
          <w:sz w:val="24"/>
          <w:lang w:val="en-US"/>
        </w:rPr>
        <w:t xml:space="preserve">Author version/pre-print. </w:t>
      </w:r>
    </w:p>
    <w:p w14:paraId="0F80E57E" w14:textId="4BF67D1D" w:rsid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sz w:val="24"/>
          <w:lang w:val="en-US"/>
        </w:rPr>
        <w:t xml:space="preserve">Published version accessible in </w:t>
      </w:r>
      <w:hyperlink r:id="rId12" w:tgtFrame="_blank" w:tooltip="Persistent link using digital object identifier" w:history="1">
        <w:r w:rsidRPr="00113F82">
          <w:rPr>
            <w:rStyle w:val="Hyperlinkki"/>
            <w:rFonts w:ascii="Times New Roman" w:hAnsi="Times New Roman" w:cs="Times New Roman"/>
            <w:sz w:val="24"/>
            <w:lang w:val="en-US"/>
          </w:rPr>
          <w:t>https://doi.org/10.1016/j.indmarman.2020.05.029</w:t>
        </w:r>
      </w:hyperlink>
    </w:p>
    <w:p w14:paraId="78D70E14" w14:textId="77777777" w:rsidR="00113F82" w:rsidRDefault="00113F82" w:rsidP="00113F82">
      <w:pPr>
        <w:spacing w:after="0" w:line="276" w:lineRule="auto"/>
        <w:rPr>
          <w:rFonts w:ascii="Times New Roman" w:hAnsi="Times New Roman" w:cs="Times New Roman"/>
          <w:b/>
          <w:sz w:val="24"/>
          <w:lang w:val="en-US"/>
        </w:rPr>
      </w:pPr>
    </w:p>
    <w:p w14:paraId="41F41B88" w14:textId="334FD0AE" w:rsidR="00113F82" w:rsidRP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b/>
          <w:sz w:val="24"/>
        </w:rPr>
        <w:t xml:space="preserve">Citation: </w:t>
      </w:r>
      <w:r w:rsidRPr="00113F82">
        <w:rPr>
          <w:rFonts w:ascii="Times New Roman" w:hAnsi="Times New Roman" w:cs="Times New Roman"/>
          <w:sz w:val="24"/>
        </w:rPr>
        <w:t xml:space="preserve">Keränen, J., Salonen, A. &amp; Terho, H. (2020). </w:t>
      </w:r>
      <w:r w:rsidRPr="00113F82">
        <w:rPr>
          <w:rFonts w:ascii="Times New Roman" w:hAnsi="Times New Roman" w:cs="Times New Roman"/>
          <w:sz w:val="24"/>
          <w:lang w:val="en-US"/>
        </w:rPr>
        <w:t xml:space="preserve">Opportunities for value-based selling in an economic crisis: Managerial insights from a firm boundary theory. </w:t>
      </w:r>
      <w:r w:rsidRPr="00113F82">
        <w:rPr>
          <w:rFonts w:ascii="Times New Roman" w:hAnsi="Times New Roman" w:cs="Times New Roman"/>
          <w:i/>
          <w:sz w:val="24"/>
          <w:lang w:val="en-US"/>
        </w:rPr>
        <w:t>Industrial Marketing Management</w:t>
      </w:r>
      <w:r w:rsidRPr="00113F82">
        <w:rPr>
          <w:rFonts w:ascii="Times New Roman" w:hAnsi="Times New Roman" w:cs="Times New Roman"/>
          <w:sz w:val="24"/>
          <w:lang w:val="en-US"/>
        </w:rPr>
        <w:t xml:space="preserve">, </w:t>
      </w:r>
      <w:r>
        <w:rPr>
          <w:rFonts w:ascii="Times New Roman" w:hAnsi="Times New Roman" w:cs="Times New Roman"/>
          <w:sz w:val="24"/>
          <w:lang w:val="en-US"/>
        </w:rPr>
        <w:t>88, 389-</w:t>
      </w:r>
      <w:r w:rsidRPr="00113F82">
        <w:rPr>
          <w:rFonts w:ascii="Times New Roman" w:hAnsi="Times New Roman" w:cs="Times New Roman"/>
          <w:sz w:val="24"/>
          <w:lang w:val="en-US"/>
        </w:rPr>
        <w:t>395.</w:t>
      </w:r>
    </w:p>
    <w:p w14:paraId="247EB5A8" w14:textId="056F5DEA" w:rsidR="00113F82" w:rsidRPr="00113F82" w:rsidRDefault="00113F82" w:rsidP="00113F82">
      <w:pPr>
        <w:spacing w:after="0" w:line="276" w:lineRule="auto"/>
        <w:rPr>
          <w:rFonts w:ascii="Times New Roman" w:hAnsi="Times New Roman" w:cs="Times New Roman"/>
          <w:b/>
          <w:sz w:val="24"/>
          <w:lang w:val="en-US"/>
        </w:rPr>
      </w:pPr>
    </w:p>
    <w:p w14:paraId="54A81C71" w14:textId="37DE02A6" w:rsidR="00113F82" w:rsidRPr="00113F82" w:rsidRDefault="00113F82">
      <w:pPr>
        <w:rPr>
          <w:rStyle w:val="Hyperlinkki"/>
          <w:rFonts w:ascii="Times New Roman" w:eastAsia="Times New Roman" w:hAnsi="Times New Roman" w:cs="Times New Roman"/>
          <w:sz w:val="24"/>
          <w:szCs w:val="24"/>
          <w:lang w:val="en-US"/>
        </w:rPr>
      </w:pPr>
    </w:p>
    <w:p w14:paraId="5B1871AB" w14:textId="65A4C0D3" w:rsidR="00113F82" w:rsidRPr="00113F82" w:rsidRDefault="00113F82">
      <w:pPr>
        <w:rPr>
          <w:rStyle w:val="Hyperlinkki"/>
          <w:rFonts w:ascii="Times New Roman" w:eastAsia="Times New Roman" w:hAnsi="Times New Roman" w:cs="Times New Roman"/>
          <w:sz w:val="24"/>
          <w:szCs w:val="24"/>
          <w:lang w:val="en-US"/>
        </w:rPr>
      </w:pPr>
    </w:p>
    <w:p w14:paraId="7C864FF1" w14:textId="29E96801" w:rsidR="00113F82" w:rsidRPr="00113F82" w:rsidRDefault="00113F82">
      <w:pPr>
        <w:rPr>
          <w:rStyle w:val="Hyperlinkki"/>
          <w:rFonts w:ascii="Times New Roman" w:eastAsia="Times New Roman" w:hAnsi="Times New Roman" w:cs="Times New Roman"/>
          <w:sz w:val="24"/>
          <w:szCs w:val="24"/>
          <w:lang w:val="en-US"/>
        </w:rPr>
      </w:pPr>
    </w:p>
    <w:p w14:paraId="3EBDC6B3" w14:textId="7CF68B2F" w:rsidR="00113F82" w:rsidRPr="00113F82" w:rsidRDefault="00113F82">
      <w:pPr>
        <w:rPr>
          <w:rStyle w:val="Hyperlinkki"/>
          <w:rFonts w:ascii="Times New Roman" w:eastAsia="Times New Roman" w:hAnsi="Times New Roman" w:cs="Times New Roman"/>
          <w:sz w:val="24"/>
          <w:szCs w:val="24"/>
          <w:lang w:val="en-US"/>
        </w:rPr>
      </w:pPr>
    </w:p>
    <w:p w14:paraId="794A7FBA" w14:textId="77777777" w:rsidR="00113F82" w:rsidRPr="00113F82" w:rsidRDefault="00113F82" w:rsidP="00113F82">
      <w:pPr>
        <w:spacing w:after="0" w:line="276" w:lineRule="auto"/>
        <w:jc w:val="center"/>
        <w:rPr>
          <w:rFonts w:ascii="Times New Roman" w:hAnsi="Times New Roman" w:cs="Times New Roman"/>
          <w:b/>
          <w:sz w:val="24"/>
          <w:lang w:val="en-US"/>
        </w:rPr>
      </w:pPr>
      <w:r w:rsidRPr="00113F82">
        <w:rPr>
          <w:rFonts w:ascii="Times New Roman" w:hAnsi="Times New Roman" w:cs="Times New Roman"/>
          <w:b/>
          <w:sz w:val="24"/>
          <w:lang w:val="en-US"/>
        </w:rPr>
        <w:lastRenderedPageBreak/>
        <w:t>Opportunities for value-based selling in an economic crisis:</w:t>
      </w:r>
    </w:p>
    <w:p w14:paraId="3A12F5BC" w14:textId="77777777" w:rsidR="00113F82" w:rsidRPr="00113F82" w:rsidRDefault="00113F82" w:rsidP="00113F82">
      <w:pPr>
        <w:spacing w:after="0" w:line="276" w:lineRule="auto"/>
        <w:jc w:val="center"/>
        <w:rPr>
          <w:rFonts w:ascii="Times New Roman" w:hAnsi="Times New Roman" w:cs="Times New Roman"/>
          <w:b/>
          <w:sz w:val="24"/>
          <w:lang w:val="en-US"/>
        </w:rPr>
      </w:pPr>
      <w:r w:rsidRPr="00113F82">
        <w:rPr>
          <w:rFonts w:ascii="Times New Roman" w:hAnsi="Times New Roman" w:cs="Times New Roman"/>
          <w:b/>
          <w:sz w:val="24"/>
          <w:lang w:val="en-US"/>
        </w:rPr>
        <w:t>Managerial insights from a firm boundary theory</w:t>
      </w:r>
    </w:p>
    <w:p w14:paraId="046A0E2F" w14:textId="77777777" w:rsidR="00113F82" w:rsidRPr="00113F82" w:rsidRDefault="00113F82" w:rsidP="00113F82">
      <w:pPr>
        <w:spacing w:after="0" w:line="480" w:lineRule="auto"/>
        <w:rPr>
          <w:rFonts w:ascii="Times New Roman" w:hAnsi="Times New Roman" w:cs="Times New Roman"/>
          <w:b/>
          <w:sz w:val="24"/>
          <w:lang w:val="en-US"/>
        </w:rPr>
      </w:pPr>
    </w:p>
    <w:p w14:paraId="73AECF3A" w14:textId="77777777" w:rsidR="00113F82" w:rsidRPr="00113F82" w:rsidRDefault="00113F82" w:rsidP="00113F82">
      <w:pPr>
        <w:spacing w:after="0" w:line="480" w:lineRule="auto"/>
        <w:jc w:val="both"/>
        <w:rPr>
          <w:rFonts w:ascii="Times New Roman" w:hAnsi="Times New Roman" w:cs="Times New Roman"/>
          <w:b/>
          <w:sz w:val="24"/>
          <w:lang w:val="en-US"/>
        </w:rPr>
      </w:pPr>
      <w:r w:rsidRPr="00113F82">
        <w:rPr>
          <w:rFonts w:ascii="Times New Roman" w:hAnsi="Times New Roman" w:cs="Times New Roman"/>
          <w:b/>
          <w:sz w:val="24"/>
          <w:lang w:val="en-US"/>
        </w:rPr>
        <w:t xml:space="preserve">Abstract </w:t>
      </w:r>
    </w:p>
    <w:p w14:paraId="1450E014"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When economic crises disrupt markets and stifle sales, business-to-business (B2B) vendors are often tempted to respond by offering temporary price reductions to maintain sales and empathize with the customers’ plight. This, however, may be a suboptimal strategy in plain sight. In this article, we propose an alternative approach, and suggest that value-based selling is a particularly suitable and mutually beneficial, yet often counter-intuitive strategy to selling in an economic crisis. We draw on the well-established organizational boundary theory to explain why economic crises should make customers more receptive to boundary changes that support value-based selling. Subsequently, we develop managerial insights on how vendors can capitalize on these opportunities </w:t>
      </w:r>
      <w:r w:rsidRPr="00113F82">
        <w:rPr>
          <w:rFonts w:ascii="Times New Roman" w:hAnsi="Times New Roman" w:cs="Times New Roman"/>
          <w:sz w:val="24"/>
          <w:lang w:val="en-US"/>
        </w:rPr>
        <w:t>by demonstrating</w:t>
      </w:r>
      <w:r w:rsidRPr="00113F82">
        <w:rPr>
          <w:rFonts w:ascii="Times New Roman" w:hAnsi="Times New Roman" w:cs="Times New Roman"/>
          <w:sz w:val="24"/>
          <w:szCs w:val="24"/>
          <w:lang w:val="en-US"/>
        </w:rPr>
        <w:t xml:space="preserve"> </w:t>
      </w:r>
      <w:r w:rsidRPr="00113F82">
        <w:rPr>
          <w:rFonts w:ascii="Times New Roman" w:hAnsi="Times New Roman" w:cs="Times New Roman"/>
          <w:sz w:val="24"/>
          <w:lang w:val="en-US"/>
        </w:rPr>
        <w:t xml:space="preserve">how boundary changes can help customers reduce </w:t>
      </w:r>
      <w:bookmarkStart w:id="1" w:name="xscaj4vfbkb4nv"/>
      <w:r w:rsidRPr="00113F82">
        <w:rPr>
          <w:rFonts w:ascii="Times New Roman" w:hAnsi="Times New Roman" w:cs="Times New Roman"/>
          <w:sz w:val="24"/>
          <w:lang w:val="en-US"/>
        </w:rPr>
        <w:t>immediate costs, while</w:t>
      </w:r>
      <w:bookmarkEnd w:id="1"/>
      <w:r w:rsidRPr="00113F82">
        <w:rPr>
          <w:rFonts w:ascii="Times New Roman" w:hAnsi="Times New Roman" w:cs="Times New Roman"/>
          <w:sz w:val="24"/>
          <w:lang w:val="en-US"/>
        </w:rPr>
        <w:t xml:space="preserve"> retaining their competitiveness to grow when the economy recovers.</w:t>
      </w:r>
    </w:p>
    <w:p w14:paraId="7DB12A6A" w14:textId="77777777" w:rsidR="00113F82" w:rsidRPr="00113F82" w:rsidRDefault="00113F82" w:rsidP="00113F82">
      <w:pPr>
        <w:spacing w:after="0" w:line="276" w:lineRule="auto"/>
        <w:jc w:val="both"/>
        <w:rPr>
          <w:rFonts w:ascii="Times New Roman" w:hAnsi="Times New Roman" w:cs="Times New Roman"/>
          <w:b/>
          <w:sz w:val="24"/>
          <w:lang w:val="en-US"/>
        </w:rPr>
      </w:pPr>
    </w:p>
    <w:p w14:paraId="10B52BD5" w14:textId="77777777" w:rsidR="00113F82" w:rsidRP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b/>
          <w:sz w:val="24"/>
          <w:lang w:val="en-US"/>
        </w:rPr>
        <w:t xml:space="preserve">Keywords: </w:t>
      </w:r>
      <w:r w:rsidRPr="00113F82">
        <w:rPr>
          <w:rFonts w:ascii="Times New Roman" w:hAnsi="Times New Roman" w:cs="Times New Roman"/>
          <w:sz w:val="24"/>
          <w:lang w:val="en-US"/>
        </w:rPr>
        <w:t>Value-based selling, firm boundary decisions, economic crisis, sales, B2B, customer value</w:t>
      </w:r>
    </w:p>
    <w:p w14:paraId="115F3FA8" w14:textId="77777777" w:rsidR="00113F82" w:rsidRPr="00113F82" w:rsidRDefault="00113F82" w:rsidP="00113F82">
      <w:pPr>
        <w:spacing w:after="0" w:line="276" w:lineRule="auto"/>
        <w:rPr>
          <w:rFonts w:ascii="Times New Roman" w:hAnsi="Times New Roman" w:cs="Times New Roman"/>
          <w:b/>
          <w:sz w:val="24"/>
          <w:lang w:val="en-US"/>
        </w:rPr>
      </w:pPr>
    </w:p>
    <w:p w14:paraId="0E19C921" w14:textId="77777777" w:rsidR="00113F82" w:rsidRPr="00113F82" w:rsidRDefault="00113F82" w:rsidP="00113F82">
      <w:pPr>
        <w:rPr>
          <w:rFonts w:ascii="Times New Roman" w:hAnsi="Times New Roman" w:cs="Times New Roman"/>
          <w:b/>
          <w:sz w:val="24"/>
          <w:lang w:val="en-US"/>
        </w:rPr>
      </w:pPr>
      <w:r w:rsidRPr="00113F82">
        <w:rPr>
          <w:rFonts w:ascii="Times New Roman" w:hAnsi="Times New Roman" w:cs="Times New Roman"/>
          <w:b/>
          <w:sz w:val="24"/>
          <w:lang w:val="en-US"/>
        </w:rPr>
        <w:br w:type="page"/>
      </w:r>
    </w:p>
    <w:p w14:paraId="0E45BA34" w14:textId="77777777" w:rsidR="00113F82" w:rsidRP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b/>
          <w:sz w:val="24"/>
          <w:lang w:val="en-US"/>
        </w:rPr>
        <w:lastRenderedPageBreak/>
        <w:t>1. Introduction</w:t>
      </w:r>
    </w:p>
    <w:p w14:paraId="24050DBF"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When a major economic or social crisis hits the global economy, the most immediate impact on many B2B suppliers is often a drastic decline in new product sales (cf., Bain, 2020; BGC, 2020). This can be particularly fatal for vendors who sell large capital projects, tailored turnkey solutions, or complex customer offerings that are expensive to purchase and costly to implement.</w:t>
      </w:r>
    </w:p>
    <w:p w14:paraId="70ED1C58"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53655281"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From a customer perspective, the key issue in a crisis is usually maintaining a continuous supply for critical operations, while cutting back on non-critical processes and purchasing categories to reduce costs and ensure performance in core areas. This usually means that purchasing budgets get severely restricted, new investment plans frozen, and expensive maintenance packages and equipment modernization contracts downscaled or put on hold. In situations like this, the key question for B2B vendors is how to maintain sales without sacrificing margins, and retain customers without reducing prices (cf., Ritter &amp; Pedersen, 2020). </w:t>
      </w:r>
    </w:p>
    <w:p w14:paraId="711B067D"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34D4CB44"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While conventional wisdom tends to advocate temporary price reductions as a way to maintain sales and empathize with distressed customers, this is a reactive and short-term strategy, and diminishes the vendor’s profitability and competitive position. In contrast, we propose that there is another way to approach B2B selling in an economic crisis, with a strategy that is not only proactive and long-term but also mutually beneficial and equally profitable for vendors and their customers. </w:t>
      </w:r>
      <w:r w:rsidRPr="00113F82" w:rsidDel="00E625F1">
        <w:rPr>
          <w:rFonts w:ascii="Times New Roman" w:hAnsi="Times New Roman" w:cs="Times New Roman"/>
          <w:sz w:val="24"/>
          <w:lang w:val="en-US"/>
        </w:rPr>
        <w:t xml:space="preserve">This approach is </w:t>
      </w:r>
      <w:r w:rsidRPr="00113F82" w:rsidDel="00E625F1">
        <w:rPr>
          <w:rFonts w:ascii="Times New Roman" w:hAnsi="Times New Roman" w:cs="Times New Roman"/>
          <w:i/>
          <w:sz w:val="24"/>
          <w:lang w:val="en-US"/>
        </w:rPr>
        <w:t>value-based selling</w:t>
      </w:r>
      <w:r w:rsidRPr="00113F82" w:rsidDel="00E625F1">
        <w:rPr>
          <w:rFonts w:ascii="Times New Roman" w:hAnsi="Times New Roman" w:cs="Times New Roman"/>
          <w:sz w:val="24"/>
          <w:lang w:val="en-US"/>
        </w:rPr>
        <w:t xml:space="preserve">, which allows customers to drive down immediate costs while preserving access to resources </w:t>
      </w:r>
      <w:r w:rsidRPr="00113F82">
        <w:rPr>
          <w:rFonts w:ascii="Times New Roman" w:hAnsi="Times New Roman" w:cs="Times New Roman"/>
          <w:sz w:val="24"/>
          <w:lang w:val="en-US"/>
        </w:rPr>
        <w:t xml:space="preserve">that are </w:t>
      </w:r>
      <w:r w:rsidRPr="00113F82" w:rsidDel="00E625F1">
        <w:rPr>
          <w:rFonts w:ascii="Times New Roman" w:hAnsi="Times New Roman" w:cs="Times New Roman"/>
          <w:sz w:val="24"/>
          <w:lang w:val="en-US"/>
        </w:rPr>
        <w:t xml:space="preserve">required to grow with the market when the economy eventually recovers. </w:t>
      </w:r>
    </w:p>
    <w:p w14:paraId="6286D23B"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693C1C2A"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Value-based selling focuses on understanding, quantifying, and communicating the value that vendors co-create with customers, and delivering value propositions that reduce customers’ total costs while improving their productivity (Anderson, Narus, van Rossum, 2006; Terho, Haas, Eggert, &amp; Ulaga, 2012). Because value-based selling commands premium pricing, this approach may seem counter-intuitive during an economic crisis, especially amidst tightening budgets and apprehensive buyers (cf., Töytäri, Keränen, &amp; Rajala, 2017). However, in this article, we discuss and subsequently demonstrate i) why economic crises should make customers more receptive to value-based selling, ii) how this approach is more beneficial to both vendors and customers than just reducing prices, and iii) how vendors can capitalize on this opportunity by reshaping firm boundaries in customer-supplier relationships.</w:t>
      </w:r>
    </w:p>
    <w:p w14:paraId="42116554"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30691AD6"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To develop theory-based recommendations, we draw on the well-established and conceptually rich</w:t>
      </w:r>
      <w:r w:rsidRPr="00113F82">
        <w:rPr>
          <w:rFonts w:ascii="Times New Roman" w:hAnsi="Times New Roman" w:cs="Times New Roman"/>
          <w:i/>
          <w:sz w:val="24"/>
          <w:lang w:val="en-US"/>
        </w:rPr>
        <w:t xml:space="preserve"> firm</w:t>
      </w:r>
      <w:r w:rsidRPr="00113F82">
        <w:rPr>
          <w:rFonts w:ascii="Times New Roman" w:hAnsi="Times New Roman" w:cs="Times New Roman"/>
          <w:sz w:val="24"/>
          <w:lang w:val="en-US"/>
        </w:rPr>
        <w:t xml:space="preserve"> </w:t>
      </w:r>
      <w:r w:rsidRPr="00113F82">
        <w:rPr>
          <w:rFonts w:ascii="Times New Roman" w:hAnsi="Times New Roman" w:cs="Times New Roman"/>
          <w:i/>
          <w:sz w:val="24"/>
          <w:lang w:val="en-US"/>
        </w:rPr>
        <w:t>boundary theory</w:t>
      </w:r>
      <w:r w:rsidRPr="00113F82">
        <w:rPr>
          <w:rFonts w:ascii="Times New Roman" w:hAnsi="Times New Roman" w:cs="Times New Roman"/>
          <w:sz w:val="24"/>
          <w:lang w:val="en-US"/>
        </w:rPr>
        <w:t xml:space="preserve"> (Santos &amp; Eisenhardt, 2005; 2009), which employs four boundary conceptions (efficiency, competence, power, identity) as distinct lenses to understand how firms set their boundaries under different conditions. While earlier B2B marketing studies have applied firm boundary theory to highlight key managerial decisions in solution business (Salonen &amp; </w:t>
      </w:r>
      <w:r w:rsidRPr="00113F82">
        <w:rPr>
          <w:rFonts w:ascii="Times New Roman" w:hAnsi="Times New Roman" w:cs="Times New Roman"/>
          <w:sz w:val="24"/>
          <w:lang w:val="en-US"/>
        </w:rPr>
        <w:lastRenderedPageBreak/>
        <w:t xml:space="preserve">Jaakkola, 2015), we consider how these boundary conceptions help vendors explain to customers why value-based selling makes sense during an economic crisis. </w:t>
      </w:r>
    </w:p>
    <w:p w14:paraId="4B375CFB"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25F6EFD6"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If successful, the long-term impact of the adoption of value-based selling can be a shift in the buyer’s identity, away from a transactional relationship towards a value-based partnership. For managers, this article offers important insights and theory-based recommendations on why value-based selling is a powerful approach in an economic crisis, and how it can be adopted by shifting firm boundaries.</w:t>
      </w:r>
    </w:p>
    <w:p w14:paraId="0D5BB8BD"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12CAF5E4"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The rest of this article proceeds as follows. First, we outline the concept of value-based selling. We then analyze the opportunities for value-based selling during an economic crisis through the four boundary conceptions of efficiency, competence, power, and identity (Santos &amp; Eisenhardt, 2005; 2009). Finally, we discuss emerging insights and suggest managerial implications.</w:t>
      </w:r>
    </w:p>
    <w:p w14:paraId="0F47ED65" w14:textId="77777777" w:rsidR="00113F82" w:rsidRPr="00113F82" w:rsidRDefault="00113F82" w:rsidP="00113F82">
      <w:pPr>
        <w:autoSpaceDE w:val="0"/>
        <w:autoSpaceDN w:val="0"/>
        <w:adjustRightInd w:val="0"/>
        <w:spacing w:after="0" w:line="276" w:lineRule="auto"/>
        <w:jc w:val="both"/>
        <w:rPr>
          <w:rFonts w:ascii="Times New Roman" w:hAnsi="Times New Roman" w:cs="Times New Roman"/>
          <w:sz w:val="24"/>
          <w:lang w:val="en-US"/>
        </w:rPr>
      </w:pPr>
    </w:p>
    <w:p w14:paraId="556AECB2" w14:textId="77777777" w:rsidR="00113F82" w:rsidRP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b/>
          <w:sz w:val="24"/>
          <w:lang w:val="en-US"/>
        </w:rPr>
        <w:t>2. Value-based selling and firm boundary decisions</w:t>
      </w:r>
    </w:p>
    <w:p w14:paraId="02073A91" w14:textId="77777777" w:rsidR="00113F82" w:rsidRPr="00113F82" w:rsidRDefault="00113F82" w:rsidP="00113F82">
      <w:pPr>
        <w:spacing w:after="0" w:line="276" w:lineRule="auto"/>
        <w:rPr>
          <w:rFonts w:ascii="Times New Roman" w:hAnsi="Times New Roman" w:cs="Times New Roman"/>
          <w:b/>
          <w:sz w:val="24"/>
          <w:lang w:val="en-US"/>
        </w:rPr>
      </w:pPr>
    </w:p>
    <w:p w14:paraId="6A5E6E3E" w14:textId="77777777" w:rsidR="00113F82" w:rsidRPr="00113F82" w:rsidRDefault="00113F82" w:rsidP="00113F82">
      <w:pPr>
        <w:spacing w:after="0" w:line="276" w:lineRule="auto"/>
        <w:jc w:val="both"/>
        <w:rPr>
          <w:rFonts w:ascii="Times New Roman" w:hAnsi="Times New Roman" w:cs="Times New Roman"/>
          <w:i/>
          <w:sz w:val="24"/>
          <w:lang w:val="en-US"/>
        </w:rPr>
      </w:pPr>
      <w:r w:rsidRPr="00113F82">
        <w:rPr>
          <w:rFonts w:ascii="Times New Roman" w:hAnsi="Times New Roman" w:cs="Times New Roman"/>
          <w:i/>
          <w:sz w:val="24"/>
          <w:lang w:val="en-US"/>
        </w:rPr>
        <w:t>2.1. The concept of value-based selling</w:t>
      </w:r>
    </w:p>
    <w:p w14:paraId="43B828C0" w14:textId="77777777" w:rsidR="00113F82" w:rsidRPr="00113F82" w:rsidRDefault="00113F82" w:rsidP="00113F82">
      <w:pPr>
        <w:spacing w:after="0" w:line="276" w:lineRule="auto"/>
        <w:jc w:val="both"/>
        <w:rPr>
          <w:rFonts w:ascii="Times New Roman" w:hAnsi="Times New Roman" w:cs="Times New Roman"/>
          <w:i/>
          <w:sz w:val="24"/>
          <w:lang w:val="en-US"/>
        </w:rPr>
      </w:pPr>
    </w:p>
    <w:p w14:paraId="0B0031A2"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Value-based selling refers to a selling approach “where a seller works with the customer to craft market offerings in such a way that benefits are translated into monetary terms, based on an in-depth understanding of the customer’s business model, thereby convincingly demonstrating their contribution to customers’ profitability” (Terho et al., 2012). It builds on understanding the customer’s business model, developing quantified value propositions, communicating value potential, and verifying realized value (see Storbacka, 2011; Terho et al., 2012, Keränen &amp; Jalkala, 2013; Töytäri &amp; Rajala, 2015; Kienzler, </w:t>
      </w:r>
      <w:r w:rsidRPr="00113F82">
        <w:rPr>
          <w:rFonts w:ascii="Times New Roman" w:eastAsia="Times New Roman" w:hAnsi="Times New Roman" w:cs="Times New Roman"/>
          <w:iCs/>
          <w:sz w:val="24"/>
          <w:szCs w:val="24"/>
          <w:lang w:val="en-US"/>
        </w:rPr>
        <w:t>Kindström, Brashear-Alejandro</w:t>
      </w:r>
      <w:r w:rsidRPr="00113F82">
        <w:rPr>
          <w:rFonts w:ascii="Times New Roman" w:hAnsi="Times New Roman" w:cs="Times New Roman"/>
          <w:sz w:val="24"/>
          <w:lang w:val="en-US"/>
        </w:rPr>
        <w:t xml:space="preserve">, 2019). Thus, value-based selling centers on proactively innovating value propositions that offer substantial economic value-in-use potential to the customer´s business (Hinterhuber, 2017). In practice, the seller should be able to identify and communicate value improvement opportunities that relate to the key drivers in the customer’s profit formula - that is, factors that drive customer revenues, operating costs, fixed costs, or tied-up capital, which represent the key components of return on capital employed (ROCE), as illustrated in Figure 1. </w:t>
      </w:r>
    </w:p>
    <w:p w14:paraId="217CCC33" w14:textId="77777777" w:rsidR="00113F82" w:rsidRPr="00113F82" w:rsidRDefault="00113F82" w:rsidP="00113F82">
      <w:pPr>
        <w:spacing w:after="0" w:line="276" w:lineRule="auto"/>
        <w:jc w:val="both"/>
        <w:rPr>
          <w:rFonts w:ascii="Times New Roman" w:hAnsi="Times New Roman" w:cs="Times New Roman"/>
          <w:sz w:val="24"/>
          <w:lang w:val="en-US"/>
        </w:rPr>
      </w:pPr>
    </w:p>
    <w:p w14:paraId="4BB28AC8" w14:textId="77777777" w:rsidR="00113F82" w:rsidRPr="004500BC" w:rsidRDefault="00113F82" w:rsidP="00113F82">
      <w:pPr>
        <w:spacing w:after="0" w:line="276" w:lineRule="auto"/>
        <w:jc w:val="center"/>
        <w:rPr>
          <w:rFonts w:ascii="Times New Roman" w:hAnsi="Times New Roman" w:cs="Times New Roman"/>
          <w:b/>
          <w:sz w:val="24"/>
        </w:rPr>
      </w:pPr>
      <w:r w:rsidRPr="004500BC">
        <w:rPr>
          <w:rFonts w:ascii="Times New Roman" w:hAnsi="Times New Roman" w:cs="Times New Roman"/>
          <w:noProof/>
          <w:sz w:val="24"/>
          <w:lang w:eastAsia="fi-FI"/>
        </w:rPr>
        <w:lastRenderedPageBreak/>
        <w:drawing>
          <wp:inline distT="0" distB="0" distL="0" distR="0" wp14:anchorId="0A4E3C42" wp14:editId="766A73B5">
            <wp:extent cx="548068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0685" cy="2286000"/>
                    </a:xfrm>
                    <a:prstGeom prst="rect">
                      <a:avLst/>
                    </a:prstGeom>
                    <a:noFill/>
                  </pic:spPr>
                </pic:pic>
              </a:graphicData>
            </a:graphic>
          </wp:inline>
        </w:drawing>
      </w:r>
    </w:p>
    <w:p w14:paraId="1B82F4B9" w14:textId="77777777" w:rsidR="00113F82" w:rsidRPr="00113F82" w:rsidRDefault="00113F82" w:rsidP="00113F82">
      <w:pPr>
        <w:spacing w:after="0" w:line="276" w:lineRule="auto"/>
        <w:jc w:val="both"/>
        <w:rPr>
          <w:rFonts w:ascii="Times New Roman" w:hAnsi="Times New Roman" w:cs="Times New Roman"/>
          <w:b/>
          <w:sz w:val="24"/>
          <w:lang w:val="en-US"/>
        </w:rPr>
      </w:pPr>
      <w:r w:rsidRPr="00113F82">
        <w:rPr>
          <w:rFonts w:ascii="Times New Roman" w:hAnsi="Times New Roman" w:cs="Times New Roman"/>
          <w:b/>
          <w:sz w:val="24"/>
          <w:lang w:val="en-US"/>
        </w:rPr>
        <w:t>Figure 1. Identifying value opportunities based on customer profit formula</w:t>
      </w:r>
    </w:p>
    <w:p w14:paraId="09F31D6D" w14:textId="77777777" w:rsidR="00113F82" w:rsidRPr="00113F82" w:rsidRDefault="00113F82" w:rsidP="00113F82">
      <w:pPr>
        <w:spacing w:after="0" w:line="276" w:lineRule="auto"/>
        <w:jc w:val="both"/>
        <w:rPr>
          <w:rFonts w:ascii="Times New Roman" w:hAnsi="Times New Roman" w:cs="Times New Roman"/>
          <w:sz w:val="24"/>
          <w:lang w:val="en-US"/>
        </w:rPr>
      </w:pPr>
    </w:p>
    <w:p w14:paraId="4EBC8543"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Sellers can affect customer value drivers in three main ways through i) offerings that result in superior customer value in usage situations, ii) changes in customer processes related to the application of an offering, or iii) matching business processes between the buyer and seller (Terho, Eggert, Ulaga, Haas, &amp; Böhm, 2017). By demonstrating a substantial impact on the customer’s profit formula, value-based sellers can persuasively communicate the financial rationale for purchasing higher-value, higher-price offerings, such as output-based services and integrated solutions (cf., Anderson &amp; Wynstra 2010; Ulaga &amp; Reinartz, 2011). Value-based selling often builds on outcome-based business models, and utilizes performance-based pricing contracts (Raja, </w:t>
      </w:r>
      <w:r w:rsidRPr="00113F82">
        <w:rPr>
          <w:rFonts w:ascii="Times New Roman" w:eastAsia="Times New Roman" w:hAnsi="Times New Roman" w:cs="Times New Roman"/>
          <w:iCs/>
          <w:sz w:val="24"/>
          <w:szCs w:val="24"/>
          <w:lang w:val="en-US"/>
        </w:rPr>
        <w:t>Frandsen, Kowalkowski, &amp; Jarmatz,</w:t>
      </w:r>
      <w:r w:rsidRPr="00113F82">
        <w:rPr>
          <w:rFonts w:ascii="Times New Roman" w:hAnsi="Times New Roman" w:cs="Times New Roman"/>
          <w:sz w:val="24"/>
          <w:lang w:val="en-US"/>
        </w:rPr>
        <w:t xml:space="preserve"> 2020; Sjödin, </w:t>
      </w:r>
      <w:r w:rsidRPr="00113F82">
        <w:rPr>
          <w:rFonts w:ascii="Times New Roman" w:eastAsia="Times New Roman" w:hAnsi="Times New Roman" w:cs="Times New Roman"/>
          <w:iCs/>
          <w:sz w:val="24"/>
          <w:szCs w:val="24"/>
          <w:lang w:val="en-US"/>
        </w:rPr>
        <w:t>Parida, Jovanovic, &amp; Visnjic</w:t>
      </w:r>
      <w:r w:rsidRPr="00113F82">
        <w:rPr>
          <w:rFonts w:ascii="Times New Roman" w:hAnsi="Times New Roman" w:cs="Times New Roman"/>
          <w:sz w:val="24"/>
          <w:lang w:val="en-US"/>
        </w:rPr>
        <w:t>, 2020).</w:t>
      </w:r>
    </w:p>
    <w:p w14:paraId="31512AB1" w14:textId="77777777" w:rsidR="00113F82" w:rsidRPr="00113F82" w:rsidRDefault="00113F82" w:rsidP="00113F82">
      <w:pPr>
        <w:spacing w:after="0" w:line="276" w:lineRule="auto"/>
        <w:jc w:val="both"/>
        <w:rPr>
          <w:rFonts w:ascii="Times New Roman" w:hAnsi="Times New Roman" w:cs="Times New Roman"/>
          <w:b/>
          <w:sz w:val="24"/>
          <w:lang w:val="en-US"/>
        </w:rPr>
      </w:pPr>
      <w:r w:rsidRPr="00113F82">
        <w:rPr>
          <w:rFonts w:ascii="Times New Roman" w:hAnsi="Times New Roman" w:cs="Times New Roman"/>
          <w:b/>
          <w:sz w:val="24"/>
          <w:lang w:val="en-US"/>
        </w:rPr>
        <w:t xml:space="preserve"> </w:t>
      </w:r>
    </w:p>
    <w:p w14:paraId="11DF897E"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Major economic crises are likely to prompt, if not force, customers to rethink many of the profit-formula related aspects of their operations. While the immediate reaction for many customers is often to delay investments, ruthlessly cut down costs, and avoid dependence on single suppliers, in many cases this might not be the optimal way for them to cope with the crisis. Instead, working closely with selected suppliers can help customers find fast solutions in the crisis, while building foundations for future growth (Ritter &amp; Pedersen, 2020). Value-based selling, in particular, allows capable vendors to demonstrate how customers can capitalize on value improvement opportunities by shifting organizational boundaries. To explain this, we provide an overview of firm boundary theory and discuss its implications for value-based selling.</w:t>
      </w:r>
    </w:p>
    <w:p w14:paraId="47AA5B4C"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6D7D591C" w14:textId="77777777" w:rsidR="00113F82" w:rsidRPr="00113F82" w:rsidRDefault="00113F82" w:rsidP="00113F82">
      <w:pPr>
        <w:spacing w:after="0" w:line="276" w:lineRule="auto"/>
        <w:jc w:val="both"/>
        <w:rPr>
          <w:rFonts w:ascii="Times New Roman" w:hAnsi="Times New Roman" w:cs="Times New Roman"/>
          <w:i/>
          <w:sz w:val="24"/>
          <w:szCs w:val="24"/>
          <w:lang w:val="en-US"/>
        </w:rPr>
      </w:pPr>
      <w:r w:rsidRPr="00113F82">
        <w:rPr>
          <w:rFonts w:ascii="Times New Roman" w:hAnsi="Times New Roman" w:cs="Times New Roman"/>
          <w:i/>
          <w:sz w:val="24"/>
          <w:szCs w:val="24"/>
          <w:lang w:val="en-US"/>
        </w:rPr>
        <w:t>2.2 Application of firm boundary theory to value-based selling</w:t>
      </w:r>
    </w:p>
    <w:p w14:paraId="7CD07397"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Organizations set boundaries to establish the domain in which their value-creating activities take place. In this paper, we draw on Santos and Eisenhardt’s (2005; 2009) interpretations of different, but at times interrelated theories of the firm, which provide distinct lenses to understand how firms set their boundaries under different conditions. These lenses include efficiency (cost), competence (growth), power (autonomy), and identity (coherence). The boundary lenses can be mutually reinforcing or competing, and can change over time (Santos &amp; Eisenhardt, 2005). In the following, we discuss how each boundary lens relates to value-based selling.</w:t>
      </w:r>
    </w:p>
    <w:p w14:paraId="63EF61C3"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7186640F" w14:textId="77777777" w:rsidR="00113F82" w:rsidRPr="00113F82" w:rsidRDefault="00113F82" w:rsidP="00113F82">
      <w:pPr>
        <w:spacing w:after="0" w:line="276" w:lineRule="auto"/>
        <w:jc w:val="both"/>
        <w:rPr>
          <w:rFonts w:ascii="Times New Roman" w:hAnsi="Times New Roman" w:cs="Times New Roman"/>
          <w:i/>
          <w:sz w:val="24"/>
          <w:lang w:val="en-US"/>
        </w:rPr>
      </w:pPr>
      <w:r w:rsidRPr="00113F82">
        <w:rPr>
          <w:rFonts w:ascii="Times New Roman" w:hAnsi="Times New Roman" w:cs="Times New Roman"/>
          <w:i/>
          <w:sz w:val="24"/>
          <w:lang w:val="en-US"/>
        </w:rPr>
        <w:t>2.2.1 The efficiency view</w:t>
      </w:r>
    </w:p>
    <w:p w14:paraId="4BB974B5"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The efficiency view considers how firms can set organizational boundaries to minimize governance costs (Santos &amp; Eisenhardt, 2005; 2009). From a managerial perspective, the efficiency view asks whether it is economically more efficient to “make or buy”. The governance costs that influence this decision stem from three main sources: transaction costs, measurement difficulties, and knowledge differences. </w:t>
      </w:r>
      <w:r w:rsidRPr="00113F82">
        <w:rPr>
          <w:rFonts w:ascii="Times New Roman" w:hAnsi="Times New Roman" w:cs="Times New Roman"/>
          <w:iCs/>
          <w:sz w:val="24"/>
          <w:szCs w:val="24"/>
          <w:lang w:val="en-US"/>
        </w:rPr>
        <w:t>Transaction costs occur when organizations need to define, monitor and enforce multiple different transactions</w:t>
      </w:r>
      <w:r w:rsidRPr="00113F82">
        <w:rPr>
          <w:rFonts w:ascii="Times New Roman" w:hAnsi="Times New Roman" w:cs="Times New Roman"/>
          <w:sz w:val="24"/>
          <w:szCs w:val="24"/>
          <w:lang w:val="en-US"/>
        </w:rPr>
        <w:t xml:space="preserve"> (Williamson, 1991).</w:t>
      </w:r>
      <w:r w:rsidRPr="00113F82">
        <w:rPr>
          <w:rFonts w:ascii="Times New Roman" w:hAnsi="Times New Roman" w:cs="Times New Roman"/>
          <w:iCs/>
          <w:sz w:val="24"/>
          <w:szCs w:val="24"/>
          <w:lang w:val="en-US"/>
        </w:rPr>
        <w:t xml:space="preserve"> Measurement </w:t>
      </w:r>
      <w:r w:rsidRPr="00113F82">
        <w:rPr>
          <w:rFonts w:ascii="Times New Roman" w:hAnsi="Times New Roman" w:cs="Times New Roman"/>
          <w:sz w:val="24"/>
          <w:szCs w:val="24"/>
          <w:lang w:val="en-US"/>
        </w:rPr>
        <w:t xml:space="preserve">difficulties arise from information and incentive asymmetry between buyers and sellers, which may expose the buyer to opportunistic behavior and agency problems (Holmstrom, 1999). Knowledge differences can create coordination costs even in situations where exchange partners behave honestly and with good intentions (Conner &amp; Prahalad, 1996). If the governance costs are high, firms will typically prefer to internalize transactions as opposed to dealing with vendors. </w:t>
      </w:r>
    </w:p>
    <w:p w14:paraId="24BF14E7"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5191B0E4"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In turbulent market conditions, many suppliers’ product delivery and quality capabilities become vulnerable to uncertainty and disruption, making monitoring and enforcing individual transactions more costly and risky for customers. The more components and services customer processes require from different suppliers, the more compounded these costs and risks become. Furthermore, when suppliers, too, are under severe economic pressures, there is a heightened risk of opportunistic behaviors to close deals, which makes it more difficult for buyers to ensure that mutual interests and incentives are in alignment. One option for customers would be to internalize transactions to reduce uncertainty and coordination costs. However, given that most customers are under severe financial pressure, this may not be a viable route. Instead, customers may be more open than usual to closer integration with selected suppliers, if it helps to reduce variable and fixed costs and does not expose the customer to opportunistic behavior or agency costs. </w:t>
      </w:r>
    </w:p>
    <w:p w14:paraId="5D3C05E6"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62BB380C"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From the efficiency perspective, vendors can employ value-based selling to demonstrate how closer integration with the supplier can reduce the customer’s governance costs. For example, integrated solutions reduce the amount of interfaces and information between different components, as well as the number of suppliers the customer needs to monitor and manage. Performance-based pricing ensures incentive and goal alignment with customers, through guaranteed process outcomes and shared delivery risks. The immediate financial impact of performance-based pricing agreements is to move from fixed and upfront payments to variable payments that reflect gained cost savings or additional revenues. In a crisis environment, this should be an attractive proposition to customers. </w:t>
      </w:r>
    </w:p>
    <w:p w14:paraId="436208FD"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22FFA994"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45195A2C"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78A527CB" w14:textId="77777777" w:rsidR="00113F82" w:rsidRPr="00113F82" w:rsidRDefault="00113F82" w:rsidP="00113F82">
      <w:pPr>
        <w:spacing w:after="0" w:line="276" w:lineRule="auto"/>
        <w:jc w:val="both"/>
        <w:rPr>
          <w:rFonts w:ascii="Times New Roman" w:hAnsi="Times New Roman" w:cs="Times New Roman"/>
          <w:i/>
          <w:sz w:val="24"/>
          <w:lang w:val="en-US"/>
        </w:rPr>
      </w:pPr>
      <w:r w:rsidRPr="00113F82">
        <w:rPr>
          <w:rFonts w:ascii="Times New Roman" w:hAnsi="Times New Roman" w:cs="Times New Roman"/>
          <w:i/>
          <w:sz w:val="24"/>
          <w:lang w:val="en-US"/>
        </w:rPr>
        <w:t>2.2.2 The competence view</w:t>
      </w:r>
    </w:p>
    <w:p w14:paraId="72F48078"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The competence view considers how firms can set organizational boundaries to maximize the value of the firm’s resource portfolio (Santos &amp; Eisenhardt, 2005). From a managerial perspective, the competence view asks which resources the organization should own in its portfolio, and which it should access from the market. The competence view contends that the value of specific resource configurations is dependent on distinct environmental opportunities. For example, in highly uncertain and rapidly changing markets, organizational resources are more loosely coupled, and firms shift from leveraging existing resources to seizing new opportunities by using novel resource reconfigurations (Bingham &amp; Eisenhardt, 2008). </w:t>
      </w:r>
    </w:p>
    <w:p w14:paraId="28F160D3"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4F1C416A"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In a downturn, business customers are usually under severe pressure to scale down operations and reduce fixed costs, with the goal of restructuring production capacity and the resource portfolio to accommodate the decline in demand. In other words, customers need to find alternative uses for expensive resources that are underutilized in the current market situation. This is particularly acute in capital-intensive B2B industries, such as mining, and manufacturing, or chemicals and construction, where the customer’s profit formula quickly deteriorates if operating volumes plummet. At the same time, business customers need to retain access to critical resources in order to serve their remaining customers, while preserving the ability to respond to growing demand when the market recovers. </w:t>
      </w:r>
    </w:p>
    <w:p w14:paraId="0A065348"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2FB5A77B"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From the competence perspective, vendors can employ value-based selling to demonstrate new opportunities where they could take over some (non-core) business activities from their customers. Especially in capital-intensive business contexts, customers can become less vulnerable to future downturns, if they redefine boundaries around resources that are critical to own versus those that can be accessed through long-term contracts with specialized vendors. Put differently, moving from the ownership to deployment of resources can help customers reduce fixed costs and tied-up capital immediately, and often substantially, which allows for better alignment of operational costs with actual demand. </w:t>
      </w:r>
    </w:p>
    <w:p w14:paraId="66E6E79B"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435021EA"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Value-based selling can also be used to demonstrate the economic impacts of, and new revenue potential for, leveraging the vendor’s expertise to reconfigure (some of) the customer’s existing resource combinations to better fit the changed market situation. For example, it may be possible to realign the customer’s industrial production lines or manufacturing plants rapidly and cost-effectively, to produce alternative offerings that meet changes in market demand for existing or completely new customer segments</w:t>
      </w:r>
      <w:bookmarkStart w:id="2" w:name="OLE_LINK3"/>
      <w:bookmarkStart w:id="3" w:name="OLE_LINK4"/>
      <w:r w:rsidRPr="00113F82">
        <w:rPr>
          <w:rFonts w:ascii="Times New Roman" w:hAnsi="Times New Roman" w:cs="Times New Roman"/>
          <w:sz w:val="24"/>
          <w:szCs w:val="24"/>
          <w:lang w:val="en-US"/>
        </w:rPr>
        <w:t>.</w:t>
      </w:r>
      <w:bookmarkEnd w:id="2"/>
      <w:bookmarkEnd w:id="3"/>
      <w:r w:rsidRPr="00113F82">
        <w:rPr>
          <w:rFonts w:ascii="Times New Roman" w:hAnsi="Times New Roman" w:cs="Times New Roman"/>
          <w:sz w:val="24"/>
          <w:szCs w:val="24"/>
          <w:lang w:val="en-US"/>
        </w:rPr>
        <w:t xml:space="preserve"> This could mean, for instance, retooling existing production lines to produce new medical solutions and/or personal protective equipment, or building digitally enabled and remotely controlled transportation, thus leading to new revenue opportunities in the changed market environment. </w:t>
      </w:r>
    </w:p>
    <w:p w14:paraId="7431EA77"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39FCDCFA" w14:textId="77777777" w:rsidR="00113F82" w:rsidRPr="00113F82" w:rsidRDefault="00113F82" w:rsidP="00113F82">
      <w:pPr>
        <w:spacing w:after="0" w:line="276" w:lineRule="auto"/>
        <w:jc w:val="both"/>
        <w:rPr>
          <w:rFonts w:ascii="Times New Roman" w:hAnsi="Times New Roman" w:cs="Times New Roman"/>
          <w:sz w:val="24"/>
          <w:lang w:val="en-US"/>
        </w:rPr>
      </w:pPr>
    </w:p>
    <w:p w14:paraId="34B64580" w14:textId="77777777" w:rsidR="00113F82" w:rsidRPr="00113F82" w:rsidRDefault="00113F82" w:rsidP="00113F82">
      <w:pPr>
        <w:spacing w:after="0" w:line="276" w:lineRule="auto"/>
        <w:rPr>
          <w:rFonts w:ascii="Times New Roman" w:hAnsi="Times New Roman" w:cs="Times New Roman"/>
          <w:i/>
          <w:sz w:val="24"/>
          <w:lang w:val="en-US"/>
        </w:rPr>
      </w:pPr>
      <w:r w:rsidRPr="00113F82">
        <w:rPr>
          <w:rFonts w:ascii="Times New Roman" w:hAnsi="Times New Roman" w:cs="Times New Roman"/>
          <w:i/>
          <w:sz w:val="24"/>
          <w:lang w:val="en-US"/>
        </w:rPr>
        <w:t>2.2.3 The power view</w:t>
      </w:r>
    </w:p>
    <w:p w14:paraId="4F9521CE"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The power view considers how firms can set organizational boundaries to maximize strategic control over key external forces (Santos &amp; Eisenhardt, 2005). From a managerial perspective, the power view suggests that customers should avoid dependence on suppliers, unless a relational approach is critical to ensure material flows and/or drive down costs. The power view thus focuses on analyzing how organizational members </w:t>
      </w:r>
      <w:r w:rsidRPr="00113F82">
        <w:rPr>
          <w:rFonts w:ascii="Times New Roman" w:hAnsi="Times New Roman" w:cs="Times New Roman"/>
          <w:iCs/>
          <w:sz w:val="24"/>
          <w:szCs w:val="24"/>
          <w:lang w:val="en-US"/>
        </w:rPr>
        <w:t xml:space="preserve">control </w:t>
      </w:r>
      <w:r w:rsidRPr="00113F82">
        <w:rPr>
          <w:rFonts w:ascii="Times New Roman" w:hAnsi="Times New Roman" w:cs="Times New Roman"/>
          <w:sz w:val="24"/>
          <w:szCs w:val="24"/>
          <w:lang w:val="en-US"/>
        </w:rPr>
        <w:t>the exchange relationships in which their organization is involved in terms of relative dependence on resources and positional power (Pfeffer &amp; Salancik, 1978). Thus, reducing dependence and increasing power are two sides of the same coin.</w:t>
      </w:r>
    </w:p>
    <w:p w14:paraId="273EC1AA"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2D986AD4"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While maintaining a large base of alternative suppliers to minimize dependence is often a preferred strategy in normal circumstances, many customers tend to consolidate buying in recessions to seek new cost savings and process efficiencies (Suplari, 2019). The changed market situation can also create new resource categories that are critical to the customer’s operations, whereby consolidation of the supply base improves access to critical resources (Kraljick, 1983).</w:t>
      </w:r>
    </w:p>
    <w:p w14:paraId="4B471936"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019F106D"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From the power perspective, to capitalize on the opportunities created by crises, value-based sellers should try to convince customers that it is safe to enter into a long-term contract that entails integrating the supplier deeply into the customer’s processes. To do this, the vendor can signal its commitment by making up-front investments in the customer’s process optimization, which it is able to capitalize on only when the customer’s value-in-use is realized. During an economic crisis, it is particularly important for vendors to consider ways to mitigate customer concerns that stem from the potential for negative power influences, as the power view becomes more dominant in ambiguous and dynamic environments (Santos &amp; Eisenhardt, 2005).</w:t>
      </w:r>
    </w:p>
    <w:p w14:paraId="4E45D6FA" w14:textId="77777777" w:rsidR="00113F82" w:rsidRPr="00113F82" w:rsidRDefault="00113F82" w:rsidP="00113F82">
      <w:pPr>
        <w:spacing w:after="0" w:line="276" w:lineRule="auto"/>
        <w:jc w:val="both"/>
        <w:rPr>
          <w:rFonts w:ascii="Times New Roman" w:hAnsi="Times New Roman" w:cs="Times New Roman"/>
          <w:sz w:val="24"/>
          <w:lang w:val="en-US"/>
        </w:rPr>
      </w:pPr>
    </w:p>
    <w:p w14:paraId="68550332" w14:textId="77777777" w:rsidR="00113F82" w:rsidRPr="00113F82" w:rsidRDefault="00113F82" w:rsidP="00113F82">
      <w:pPr>
        <w:spacing w:after="0" w:line="276" w:lineRule="auto"/>
        <w:jc w:val="both"/>
        <w:rPr>
          <w:rFonts w:ascii="Times New Roman" w:hAnsi="Times New Roman" w:cs="Times New Roman"/>
          <w:i/>
          <w:sz w:val="24"/>
          <w:lang w:val="en-US"/>
        </w:rPr>
      </w:pPr>
      <w:r w:rsidRPr="00113F82">
        <w:rPr>
          <w:rFonts w:ascii="Times New Roman" w:hAnsi="Times New Roman" w:cs="Times New Roman"/>
          <w:i/>
          <w:sz w:val="24"/>
          <w:lang w:val="en-US"/>
        </w:rPr>
        <w:t>2.2.4. The identity view</w:t>
      </w:r>
    </w:p>
    <w:p w14:paraId="20687A52"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The identity view considers how firms can set organizational boundaries to ensure </w:t>
      </w:r>
      <w:r w:rsidRPr="00113F82">
        <w:rPr>
          <w:rFonts w:ascii="Times New Roman" w:hAnsi="Times New Roman" w:cs="Times New Roman"/>
          <w:iCs/>
          <w:sz w:val="24"/>
          <w:lang w:val="en-US"/>
        </w:rPr>
        <w:t xml:space="preserve">coherence between the identity of the organization and its activities </w:t>
      </w:r>
      <w:r w:rsidRPr="00113F82">
        <w:rPr>
          <w:rFonts w:ascii="Times New Roman" w:hAnsi="Times New Roman" w:cs="Times New Roman"/>
          <w:sz w:val="24"/>
          <w:lang w:val="en-US"/>
        </w:rPr>
        <w:t>(Santos &amp; Eisenhardt, 2005). From a managerial perspective, the identity view provides a cognitive frame for defining how the organization should act. Thus, this view sees organizations as social contexts, and examines how different stakeholders define and make sense of the activities that the firm is, and should be, conducting in specific market environments (Daft &amp; Weick, 1984). The identity view is particularly relevant in turbulent and ambiguous environments, where it provides a sense of direction and enables action that is emotionally coherent with the organization’s deeper purpose.</w:t>
      </w:r>
    </w:p>
    <w:p w14:paraId="63295781" w14:textId="77777777" w:rsidR="00113F82" w:rsidRPr="00113F82" w:rsidRDefault="00113F82" w:rsidP="00113F82">
      <w:pPr>
        <w:spacing w:after="0" w:line="276" w:lineRule="auto"/>
        <w:jc w:val="both"/>
        <w:rPr>
          <w:rFonts w:ascii="Times New Roman" w:hAnsi="Times New Roman" w:cs="Times New Roman"/>
          <w:sz w:val="24"/>
          <w:lang w:val="en-US"/>
        </w:rPr>
      </w:pPr>
    </w:p>
    <w:p w14:paraId="440EE726"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When market conditions decline abruptly, organizations need to adapt their strategies to the new environment. For business customers, this usually means a frantic search for new cost savings and revenue-generation opportunities. In such situations, customers may need to reconsider both the effectiveness and appropriateness of their identity as buyers who bid vendors against each other, by exerting power and leveraging an arm’s length relationship and short-term contracts. For example, a more collaborative approach might foster reciprocal adaptations, and help customers leverage vendors’ expertise in identifying and realizing new cost savings and revenue-generation opportunities. In addition, both market and public stakeholders usually consider economic crises as collective problems, and expect organizations to work together to ameliorate</w:t>
      </w:r>
      <w:r w:rsidRPr="00113F82" w:rsidDel="005E338B">
        <w:rPr>
          <w:rFonts w:ascii="Times New Roman" w:hAnsi="Times New Roman" w:cs="Times New Roman"/>
          <w:sz w:val="24"/>
          <w:lang w:val="en-US"/>
        </w:rPr>
        <w:t xml:space="preserve"> </w:t>
      </w:r>
      <w:r w:rsidRPr="00113F82">
        <w:rPr>
          <w:rFonts w:ascii="Times New Roman" w:hAnsi="Times New Roman" w:cs="Times New Roman"/>
          <w:sz w:val="24"/>
          <w:lang w:val="en-US"/>
        </w:rPr>
        <w:t>deteriorating impacts on value chains and the economy as a whole. This should make customers more receptive to boundary changes that allow them to co-create offerings, consider mutual adaptations, and leverage vendors’ expertise to design optimal solutions.</w:t>
      </w:r>
    </w:p>
    <w:p w14:paraId="0AC67D3E" w14:textId="77777777" w:rsidR="00113F82" w:rsidRPr="00113F82" w:rsidRDefault="00113F82" w:rsidP="00113F82">
      <w:pPr>
        <w:spacing w:after="0" w:line="276" w:lineRule="auto"/>
        <w:jc w:val="both"/>
        <w:rPr>
          <w:rFonts w:ascii="Times New Roman" w:hAnsi="Times New Roman" w:cs="Times New Roman"/>
          <w:sz w:val="24"/>
          <w:lang w:val="en-US"/>
        </w:rPr>
      </w:pPr>
    </w:p>
    <w:p w14:paraId="7BBF5E3B" w14:textId="77777777" w:rsidR="00113F82" w:rsidRPr="00113F82" w:rsidRDefault="00113F82" w:rsidP="00113F82">
      <w:pPr>
        <w:spacing w:after="0" w:line="276" w:lineRule="auto"/>
        <w:jc w:val="both"/>
        <w:rPr>
          <w:rFonts w:ascii="Times New Roman" w:hAnsi="Times New Roman" w:cs="Times New Roman"/>
          <w:sz w:val="24"/>
          <w:lang w:val="en-US"/>
        </w:rPr>
        <w:sectPr w:rsidR="00113F82" w:rsidRPr="00113F82">
          <w:footerReference w:type="default" r:id="rId14"/>
          <w:pgSz w:w="12240" w:h="15840"/>
          <w:pgMar w:top="1440" w:right="1440" w:bottom="1440" w:left="1440" w:header="708" w:footer="708" w:gutter="0"/>
          <w:cols w:space="708"/>
          <w:docGrid w:linePitch="360"/>
        </w:sectPr>
      </w:pPr>
      <w:r w:rsidRPr="00113F82">
        <w:rPr>
          <w:rFonts w:ascii="Times New Roman" w:hAnsi="Times New Roman" w:cs="Times New Roman"/>
          <w:sz w:val="24"/>
          <w:lang w:val="en-US"/>
        </w:rPr>
        <w:t>From the identity perspective, economic crises can provide the needed cognitive and emotional trigger that makes customers more receptive to changes in their identity as buyers. Sellers can tap into this by engaging in market-shaping practices designed to change buyers’ mental models and institutional norms (Nenonen, Storbacka, &amp; Windahl, 2019; Salonen et al., forthcoming). For instance, sellers can demonstrate how other customers have responded to the crisis by adopting value-based offerings, which signals the legitimacy of alternative mental models and emerging industry norms, thus reducing customer ambiguity and potential institutional resistance toward value-based selling. By getting customers to experiment with value-based deals, suppliers can facilitate a more permanent shift in customers’ identity as buyers. Table 1 summarizes the key boundary decisions and their implications for value-based selling during an economic crisis.</w:t>
      </w:r>
    </w:p>
    <w:p w14:paraId="778EEBCD" w14:textId="77777777" w:rsidR="00113F82" w:rsidRPr="00113F82" w:rsidRDefault="00113F82" w:rsidP="00113F82">
      <w:pPr>
        <w:spacing w:after="0" w:line="276" w:lineRule="auto"/>
        <w:jc w:val="both"/>
        <w:rPr>
          <w:rFonts w:ascii="Times New Roman" w:hAnsi="Times New Roman" w:cs="Times New Roman"/>
          <w:b/>
          <w:sz w:val="24"/>
          <w:lang w:val="en-US"/>
        </w:rPr>
      </w:pPr>
      <w:r w:rsidRPr="00113F82">
        <w:rPr>
          <w:rFonts w:ascii="Times New Roman" w:hAnsi="Times New Roman" w:cs="Times New Roman"/>
          <w:b/>
          <w:sz w:val="24"/>
          <w:lang w:val="en-US"/>
        </w:rPr>
        <w:t xml:space="preserve">Table 1. Summary of the key boundary decisions and their implications for value-based selling in an economic crisis </w:t>
      </w:r>
    </w:p>
    <w:tbl>
      <w:tblPr>
        <w:tblStyle w:val="TaulukkoRuudukko"/>
        <w:tblW w:w="14436" w:type="dxa"/>
        <w:jc w:val="center"/>
        <w:tblLayout w:type="fixed"/>
        <w:tblLook w:val="04A0" w:firstRow="1" w:lastRow="0" w:firstColumn="1" w:lastColumn="0" w:noHBand="0" w:noVBand="1"/>
      </w:tblPr>
      <w:tblGrid>
        <w:gridCol w:w="1129"/>
        <w:gridCol w:w="1418"/>
        <w:gridCol w:w="2835"/>
        <w:gridCol w:w="4111"/>
        <w:gridCol w:w="4943"/>
      </w:tblGrid>
      <w:tr w:rsidR="00113F82" w:rsidRPr="004500BC" w14:paraId="124C928D" w14:textId="77777777" w:rsidTr="00EF4227">
        <w:trPr>
          <w:trHeight w:val="605"/>
          <w:jc w:val="center"/>
        </w:trPr>
        <w:tc>
          <w:tcPr>
            <w:tcW w:w="1129" w:type="dxa"/>
          </w:tcPr>
          <w:p w14:paraId="40F906BE" w14:textId="77777777" w:rsidR="00113F82" w:rsidRPr="00456181" w:rsidRDefault="00113F82" w:rsidP="00EF4227">
            <w:pPr>
              <w:spacing w:line="276" w:lineRule="auto"/>
              <w:rPr>
                <w:rFonts w:ascii="Times New Roman" w:hAnsi="Times New Roman" w:cs="Times New Roman"/>
                <w:b/>
                <w:sz w:val="16"/>
                <w:szCs w:val="16"/>
              </w:rPr>
            </w:pPr>
            <w:r w:rsidRPr="00456181">
              <w:rPr>
                <w:rFonts w:ascii="Times New Roman" w:hAnsi="Times New Roman" w:cs="Times New Roman"/>
                <w:b/>
                <w:sz w:val="16"/>
                <w:szCs w:val="16"/>
              </w:rPr>
              <w:t xml:space="preserve">Boundary conception </w:t>
            </w:r>
          </w:p>
        </w:tc>
        <w:tc>
          <w:tcPr>
            <w:tcW w:w="1418" w:type="dxa"/>
          </w:tcPr>
          <w:p w14:paraId="2C8476D3" w14:textId="77777777" w:rsidR="00113F82" w:rsidRPr="00113F82" w:rsidRDefault="00113F82" w:rsidP="00EF4227">
            <w:pPr>
              <w:spacing w:line="276" w:lineRule="auto"/>
              <w:rPr>
                <w:rFonts w:ascii="Times New Roman" w:hAnsi="Times New Roman" w:cs="Times New Roman"/>
                <w:b/>
                <w:sz w:val="16"/>
                <w:szCs w:val="16"/>
                <w:lang w:val="en-US"/>
              </w:rPr>
            </w:pPr>
            <w:r w:rsidRPr="00113F82">
              <w:rPr>
                <w:rFonts w:ascii="Times New Roman" w:hAnsi="Times New Roman" w:cs="Times New Roman"/>
                <w:b/>
                <w:sz w:val="16"/>
                <w:szCs w:val="16"/>
                <w:lang w:val="en-US"/>
              </w:rPr>
              <w:t>Key determinant in firm boundary decisions</w:t>
            </w:r>
          </w:p>
        </w:tc>
        <w:tc>
          <w:tcPr>
            <w:tcW w:w="2835" w:type="dxa"/>
          </w:tcPr>
          <w:p w14:paraId="70CF4149" w14:textId="77777777" w:rsidR="00113F82" w:rsidRPr="00113F82" w:rsidRDefault="00113F82" w:rsidP="00EF4227">
            <w:pPr>
              <w:spacing w:line="276" w:lineRule="auto"/>
              <w:rPr>
                <w:rFonts w:ascii="Times New Roman" w:hAnsi="Times New Roman" w:cs="Times New Roman"/>
                <w:b/>
                <w:sz w:val="16"/>
                <w:szCs w:val="16"/>
                <w:lang w:val="en-US"/>
              </w:rPr>
            </w:pPr>
            <w:r w:rsidRPr="00113F82">
              <w:rPr>
                <w:rFonts w:ascii="Times New Roman" w:hAnsi="Times New Roman" w:cs="Times New Roman"/>
                <w:b/>
                <w:sz w:val="16"/>
                <w:szCs w:val="16"/>
                <w:lang w:val="en-US"/>
              </w:rPr>
              <w:t>Customer drivers for value-based selling in an economic crisis</w:t>
            </w:r>
          </w:p>
        </w:tc>
        <w:tc>
          <w:tcPr>
            <w:tcW w:w="4111" w:type="dxa"/>
          </w:tcPr>
          <w:p w14:paraId="5A08760B" w14:textId="77777777" w:rsidR="00113F82" w:rsidRPr="00113F82" w:rsidRDefault="00113F82" w:rsidP="00EF4227">
            <w:pPr>
              <w:spacing w:line="276" w:lineRule="auto"/>
              <w:rPr>
                <w:rFonts w:ascii="Times New Roman" w:hAnsi="Times New Roman" w:cs="Times New Roman"/>
                <w:b/>
                <w:sz w:val="16"/>
                <w:szCs w:val="16"/>
                <w:lang w:val="en-US"/>
              </w:rPr>
            </w:pPr>
            <w:r w:rsidRPr="00113F82">
              <w:rPr>
                <w:rFonts w:ascii="Times New Roman" w:hAnsi="Times New Roman" w:cs="Times New Roman"/>
                <w:b/>
                <w:sz w:val="16"/>
                <w:szCs w:val="16"/>
                <w:lang w:val="en-US"/>
              </w:rPr>
              <w:t>Vendor opportunities for value-based selling in an economic crisis</w:t>
            </w:r>
          </w:p>
        </w:tc>
        <w:tc>
          <w:tcPr>
            <w:tcW w:w="4943" w:type="dxa"/>
          </w:tcPr>
          <w:p w14:paraId="11A56CD3" w14:textId="77777777" w:rsidR="00113F82" w:rsidRPr="00113F82" w:rsidRDefault="00113F82" w:rsidP="00EF4227">
            <w:pPr>
              <w:spacing w:line="276" w:lineRule="auto"/>
              <w:jc w:val="center"/>
              <w:rPr>
                <w:rFonts w:ascii="Times New Roman" w:hAnsi="Times New Roman" w:cs="Times New Roman"/>
                <w:b/>
                <w:sz w:val="16"/>
                <w:szCs w:val="16"/>
              </w:rPr>
            </w:pPr>
            <w:r w:rsidRPr="00113F82">
              <w:rPr>
                <w:rFonts w:ascii="Times New Roman" w:hAnsi="Times New Roman" w:cs="Times New Roman"/>
                <w:b/>
                <w:sz w:val="16"/>
                <w:szCs w:val="16"/>
              </w:rPr>
              <w:t>Illustrative examples</w:t>
            </w:r>
          </w:p>
        </w:tc>
      </w:tr>
      <w:tr w:rsidR="00113F82" w:rsidRPr="008C17FF" w14:paraId="40FD4EB8" w14:textId="77777777" w:rsidTr="00EF4227">
        <w:trPr>
          <w:trHeight w:val="1861"/>
          <w:jc w:val="center"/>
        </w:trPr>
        <w:tc>
          <w:tcPr>
            <w:tcW w:w="1129" w:type="dxa"/>
          </w:tcPr>
          <w:p w14:paraId="1E9EF208" w14:textId="77777777" w:rsidR="00113F82" w:rsidRPr="00456181" w:rsidRDefault="00113F82" w:rsidP="00EF4227">
            <w:pPr>
              <w:spacing w:line="276" w:lineRule="auto"/>
              <w:rPr>
                <w:rFonts w:ascii="Times New Roman" w:hAnsi="Times New Roman" w:cs="Times New Roman"/>
                <w:sz w:val="16"/>
                <w:szCs w:val="16"/>
              </w:rPr>
            </w:pPr>
            <w:r w:rsidRPr="00456181">
              <w:rPr>
                <w:rFonts w:ascii="Times New Roman" w:hAnsi="Times New Roman" w:cs="Times New Roman"/>
                <w:sz w:val="16"/>
                <w:szCs w:val="16"/>
              </w:rPr>
              <w:t>Efficiency</w:t>
            </w:r>
          </w:p>
          <w:p w14:paraId="52B7E955" w14:textId="77777777" w:rsidR="00113F82" w:rsidRPr="00456181" w:rsidRDefault="00113F82" w:rsidP="00EF4227">
            <w:pPr>
              <w:spacing w:line="276" w:lineRule="auto"/>
              <w:rPr>
                <w:rFonts w:ascii="Times New Roman" w:hAnsi="Times New Roman" w:cs="Times New Roman"/>
                <w:b/>
                <w:sz w:val="16"/>
                <w:szCs w:val="16"/>
              </w:rPr>
            </w:pPr>
            <w:r w:rsidRPr="00456181">
              <w:rPr>
                <w:rFonts w:ascii="Times New Roman" w:hAnsi="Times New Roman" w:cs="Times New Roman"/>
                <w:sz w:val="16"/>
                <w:szCs w:val="16"/>
              </w:rPr>
              <w:t xml:space="preserve"> </w:t>
            </w:r>
          </w:p>
        </w:tc>
        <w:tc>
          <w:tcPr>
            <w:tcW w:w="1418" w:type="dxa"/>
          </w:tcPr>
          <w:p w14:paraId="747F4634" w14:textId="77777777" w:rsidR="00113F82" w:rsidRPr="00113F82" w:rsidRDefault="00113F82" w:rsidP="00EF4227">
            <w:pPr>
              <w:autoSpaceDE w:val="0"/>
              <w:autoSpaceDN w:val="0"/>
              <w:adjustRightInd w:val="0"/>
              <w:rPr>
                <w:rFonts w:ascii="Times New Roman" w:hAnsi="Times New Roman" w:cs="Times New Roman"/>
                <w:sz w:val="16"/>
                <w:szCs w:val="16"/>
                <w:lang w:val="en-US"/>
              </w:rPr>
            </w:pPr>
            <w:r w:rsidRPr="00113F82">
              <w:rPr>
                <w:rFonts w:ascii="Times New Roman" w:hAnsi="Times New Roman" w:cs="Times New Roman"/>
                <w:sz w:val="16"/>
                <w:szCs w:val="16"/>
                <w:lang w:val="en-US"/>
              </w:rPr>
              <w:t>Minimizing the cost of governing</w:t>
            </w:r>
          </w:p>
          <w:p w14:paraId="51B54169" w14:textId="77777777" w:rsidR="00113F82" w:rsidRPr="00113F82" w:rsidRDefault="00113F82" w:rsidP="00EF4227">
            <w:pPr>
              <w:spacing w:line="276" w:lineRule="auto"/>
              <w:rPr>
                <w:rFonts w:ascii="Times New Roman" w:hAnsi="Times New Roman" w:cs="Times New Roman"/>
                <w:b/>
                <w:sz w:val="16"/>
                <w:szCs w:val="16"/>
                <w:lang w:val="en-US"/>
              </w:rPr>
            </w:pPr>
            <w:r w:rsidRPr="00113F82">
              <w:rPr>
                <w:rFonts w:ascii="Times New Roman" w:hAnsi="Times New Roman" w:cs="Times New Roman"/>
                <w:sz w:val="16"/>
                <w:szCs w:val="16"/>
                <w:lang w:val="en-US"/>
              </w:rPr>
              <w:t>activities</w:t>
            </w:r>
          </w:p>
        </w:tc>
        <w:tc>
          <w:tcPr>
            <w:tcW w:w="2835" w:type="dxa"/>
          </w:tcPr>
          <w:p w14:paraId="319B3130"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Suppliers’ product delivery and quality capabilities become vulnerable to uncertainties and disruptions, making monitoring and enforcing individual transactions more costly and risky for customers.</w:t>
            </w:r>
          </w:p>
          <w:p w14:paraId="29BAC253"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7CBDB35B"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Severe economic pressures might make vendors more prone to opportunistic behaviors, thus increasing agency costs/risks.</w:t>
            </w:r>
          </w:p>
        </w:tc>
        <w:tc>
          <w:tcPr>
            <w:tcW w:w="4111" w:type="dxa"/>
          </w:tcPr>
          <w:p w14:paraId="149695A9"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Demonstrate how outsourcing agreements and integrated solutions can minimize or control governance costs through reducing the number of interfaces and amount of information customers need to monitor and manage.</w:t>
            </w:r>
          </w:p>
          <w:p w14:paraId="6FF82193"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1D2CF28D"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Show how contractual elements, such as performance guarantees and gain-sharing features, can ensure incentive and goal alignment with customers. Move from fixed and upfront payments to payments based on realized cost savings or revenue gains. </w:t>
            </w:r>
          </w:p>
        </w:tc>
        <w:tc>
          <w:tcPr>
            <w:tcW w:w="4943" w:type="dxa"/>
          </w:tcPr>
          <w:p w14:paraId="6061BF4C"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Vendor sells total solutions instead of individual components, thus minimizing integration, coordination and monitoring costs for the buyer (e.g., Kone proposes People Flow solutions that integrate building subsystems into a single solution, thus minimizing disruptions to the building construction process).</w:t>
            </w:r>
          </w:p>
          <w:p w14:paraId="20F4A9AB"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651DBD8A"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Vendor guarantees customer’s access and cost level related to agreed process inputs and makes payment contingent on measured process performance (e.g., Kemira offers Total Chemical Management solutions that optimize the customer’s chemical usage costs)</w:t>
            </w:r>
          </w:p>
        </w:tc>
      </w:tr>
      <w:tr w:rsidR="00113F82" w:rsidRPr="008C17FF" w14:paraId="67DE360A" w14:textId="77777777" w:rsidTr="00EF4227">
        <w:trPr>
          <w:trHeight w:val="1041"/>
          <w:jc w:val="center"/>
        </w:trPr>
        <w:tc>
          <w:tcPr>
            <w:tcW w:w="1129" w:type="dxa"/>
          </w:tcPr>
          <w:p w14:paraId="50C1BEC9" w14:textId="77777777" w:rsidR="00113F82" w:rsidRPr="00456181" w:rsidRDefault="00113F82" w:rsidP="00EF4227">
            <w:pPr>
              <w:spacing w:line="276" w:lineRule="auto"/>
              <w:rPr>
                <w:rFonts w:ascii="Times New Roman" w:hAnsi="Times New Roman" w:cs="Times New Roman"/>
                <w:sz w:val="16"/>
                <w:szCs w:val="16"/>
              </w:rPr>
            </w:pPr>
            <w:r w:rsidRPr="00456181">
              <w:rPr>
                <w:rFonts w:ascii="Times New Roman" w:hAnsi="Times New Roman" w:cs="Times New Roman"/>
                <w:sz w:val="16"/>
                <w:szCs w:val="16"/>
              </w:rPr>
              <w:t>Competence</w:t>
            </w:r>
          </w:p>
          <w:p w14:paraId="33C10BF9" w14:textId="77777777" w:rsidR="00113F82" w:rsidRPr="00456181" w:rsidRDefault="00113F82" w:rsidP="00EF4227">
            <w:pPr>
              <w:spacing w:line="276" w:lineRule="auto"/>
              <w:rPr>
                <w:rFonts w:ascii="Times New Roman" w:hAnsi="Times New Roman" w:cs="Times New Roman"/>
                <w:sz w:val="16"/>
                <w:szCs w:val="16"/>
              </w:rPr>
            </w:pPr>
          </w:p>
        </w:tc>
        <w:tc>
          <w:tcPr>
            <w:tcW w:w="1418" w:type="dxa"/>
          </w:tcPr>
          <w:p w14:paraId="0FF518F7" w14:textId="77777777" w:rsidR="00113F82" w:rsidRPr="00113F82" w:rsidRDefault="00113F82" w:rsidP="00EF4227">
            <w:pPr>
              <w:rPr>
                <w:rFonts w:ascii="Times New Roman" w:hAnsi="Times New Roman" w:cs="Times New Roman"/>
                <w:sz w:val="16"/>
                <w:szCs w:val="16"/>
                <w:lang w:val="en-US"/>
              </w:rPr>
            </w:pPr>
            <w:r w:rsidRPr="00113F82">
              <w:rPr>
                <w:rFonts w:ascii="Times New Roman" w:hAnsi="Times New Roman" w:cs="Times New Roman"/>
                <w:sz w:val="16"/>
                <w:szCs w:val="16"/>
                <w:lang w:val="en-US"/>
              </w:rPr>
              <w:t>Maximizing the value of the</w:t>
            </w:r>
          </w:p>
          <w:p w14:paraId="48CB7679" w14:textId="77777777" w:rsidR="00113F82" w:rsidRPr="00113F82" w:rsidRDefault="00113F82" w:rsidP="00EF4227">
            <w:pPr>
              <w:spacing w:line="276" w:lineRule="auto"/>
              <w:rPr>
                <w:rFonts w:ascii="Times New Roman" w:hAnsi="Times New Roman" w:cs="Times New Roman"/>
                <w:sz w:val="16"/>
                <w:szCs w:val="16"/>
                <w:lang w:val="en-US"/>
              </w:rPr>
            </w:pPr>
            <w:r w:rsidRPr="00113F82">
              <w:rPr>
                <w:rFonts w:ascii="Times New Roman" w:hAnsi="Times New Roman" w:cs="Times New Roman"/>
                <w:sz w:val="16"/>
                <w:szCs w:val="16"/>
                <w:lang w:val="en-US"/>
              </w:rPr>
              <w:t>firm’s resource portfolio</w:t>
            </w:r>
          </w:p>
        </w:tc>
        <w:tc>
          <w:tcPr>
            <w:tcW w:w="2835" w:type="dxa"/>
          </w:tcPr>
          <w:p w14:paraId="408CE962"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Customers need to scale down their operations and reduce fixed costs, while retaining access to key resources that allow them to serve remaining customers and respond to growing demand when the market recovers.</w:t>
            </w:r>
          </w:p>
          <w:p w14:paraId="78E21DE1" w14:textId="77777777" w:rsidR="00113F82" w:rsidRPr="00113F82" w:rsidRDefault="00113F82" w:rsidP="00EF4227">
            <w:pPr>
              <w:jc w:val="both"/>
              <w:rPr>
                <w:rFonts w:ascii="Times New Roman" w:hAnsi="Times New Roman" w:cs="Times New Roman"/>
                <w:sz w:val="16"/>
                <w:szCs w:val="16"/>
                <w:lang w:val="en-US"/>
              </w:rPr>
            </w:pPr>
          </w:p>
          <w:p w14:paraId="15A1334E"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Customers need to find alternative uses for expensive resources that are underutilized in the changed market environment. </w:t>
            </w:r>
          </w:p>
        </w:tc>
        <w:tc>
          <w:tcPr>
            <w:tcW w:w="4111" w:type="dxa"/>
          </w:tcPr>
          <w:p w14:paraId="643A06D5"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Demonstrate how moving from ownership to deployment of resources can immediately reduce customers’ fixed costs and tied-up capital, while also aligning their operational costs with actual demand. </w:t>
            </w:r>
          </w:p>
          <w:p w14:paraId="21250EDE" w14:textId="77777777" w:rsidR="00113F82" w:rsidRPr="00113F82" w:rsidRDefault="00113F82" w:rsidP="00EF4227">
            <w:pPr>
              <w:jc w:val="both"/>
              <w:rPr>
                <w:rFonts w:ascii="Times New Roman" w:hAnsi="Times New Roman" w:cs="Times New Roman"/>
                <w:sz w:val="16"/>
                <w:szCs w:val="16"/>
                <w:lang w:val="en-US"/>
              </w:rPr>
            </w:pPr>
          </w:p>
          <w:p w14:paraId="25B82D4C"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Show the economic impacts of, and new revenue potential from leveraging the vendor’s expertise to reconfigure (some of) the customer’s existing resource combinations to better match the changed market situation. </w:t>
            </w:r>
          </w:p>
          <w:p w14:paraId="25AE7D80" w14:textId="77777777" w:rsidR="00113F82" w:rsidRPr="00113F82" w:rsidRDefault="00113F82" w:rsidP="00EF4227">
            <w:pPr>
              <w:spacing w:line="276" w:lineRule="auto"/>
              <w:jc w:val="both"/>
              <w:rPr>
                <w:rFonts w:ascii="Times New Roman" w:hAnsi="Times New Roman" w:cs="Times New Roman"/>
                <w:sz w:val="16"/>
                <w:szCs w:val="16"/>
                <w:lang w:val="en-US"/>
              </w:rPr>
            </w:pPr>
          </w:p>
        </w:tc>
        <w:tc>
          <w:tcPr>
            <w:tcW w:w="4943" w:type="dxa"/>
          </w:tcPr>
          <w:p w14:paraId="32115684"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Vendor shifts from selling products to leasing arrangements, where the customer pays based on product usage (e.g., Hilti offers Tool Fleet Management solutions). </w:t>
            </w:r>
          </w:p>
          <w:p w14:paraId="5E30D693"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12A4B054"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Vendor automates and/or digitalizes existing customer processes to optimize performance remotely (e.g., Wärtsilä steps up efforts to integrate sensors in customer installations to ensure operational performance of a power plant without the need for physical service presence).  </w:t>
            </w:r>
          </w:p>
          <w:p w14:paraId="530D41B5"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3E9EA9A0"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Vendor helps customer repurpose their business to fit the new market environment (e.g., Salesforce helps retail customers to adapt and grow their business in the changed market environment by providing e-commerce platforms). </w:t>
            </w:r>
          </w:p>
        </w:tc>
      </w:tr>
      <w:tr w:rsidR="00113F82" w:rsidRPr="008C17FF" w14:paraId="17E018B1" w14:textId="77777777" w:rsidTr="00EF4227">
        <w:trPr>
          <w:trHeight w:val="1397"/>
          <w:jc w:val="center"/>
        </w:trPr>
        <w:tc>
          <w:tcPr>
            <w:tcW w:w="1129" w:type="dxa"/>
          </w:tcPr>
          <w:p w14:paraId="52CC1272" w14:textId="77777777" w:rsidR="00113F82" w:rsidRPr="00456181" w:rsidRDefault="00113F82" w:rsidP="00EF4227">
            <w:pPr>
              <w:spacing w:line="276" w:lineRule="auto"/>
              <w:rPr>
                <w:rFonts w:ascii="Times New Roman" w:hAnsi="Times New Roman" w:cs="Times New Roman"/>
                <w:b/>
                <w:sz w:val="16"/>
                <w:szCs w:val="16"/>
              </w:rPr>
            </w:pPr>
            <w:r w:rsidRPr="00456181">
              <w:rPr>
                <w:rFonts w:ascii="Times New Roman" w:hAnsi="Times New Roman" w:cs="Times New Roman"/>
                <w:sz w:val="16"/>
                <w:szCs w:val="16"/>
              </w:rPr>
              <w:t xml:space="preserve">Power </w:t>
            </w:r>
          </w:p>
        </w:tc>
        <w:tc>
          <w:tcPr>
            <w:tcW w:w="1418" w:type="dxa"/>
          </w:tcPr>
          <w:p w14:paraId="79EC8011" w14:textId="77777777" w:rsidR="00113F82" w:rsidRPr="00113F82" w:rsidRDefault="00113F82" w:rsidP="00EF4227">
            <w:pPr>
              <w:autoSpaceDE w:val="0"/>
              <w:autoSpaceDN w:val="0"/>
              <w:adjustRightInd w:val="0"/>
              <w:spacing w:line="276" w:lineRule="auto"/>
              <w:rPr>
                <w:rFonts w:ascii="Times New Roman" w:hAnsi="Times New Roman" w:cs="Times New Roman"/>
                <w:sz w:val="16"/>
                <w:szCs w:val="16"/>
                <w:lang w:val="en-US"/>
              </w:rPr>
            </w:pPr>
            <w:r w:rsidRPr="00113F82">
              <w:rPr>
                <w:rFonts w:ascii="Times New Roman" w:hAnsi="Times New Roman" w:cs="Times New Roman"/>
                <w:sz w:val="16"/>
                <w:szCs w:val="16"/>
                <w:lang w:val="en-US"/>
              </w:rPr>
              <w:t>Maximizing strategic control over crucial external forces</w:t>
            </w:r>
          </w:p>
        </w:tc>
        <w:tc>
          <w:tcPr>
            <w:tcW w:w="2835" w:type="dxa"/>
          </w:tcPr>
          <w:p w14:paraId="00FA1885"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Customers should always avoid dependence on suppliers unless a relational approach is critical to ensure material flows and/or drive down costs. </w:t>
            </w:r>
          </w:p>
          <w:p w14:paraId="158B620A"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p>
          <w:p w14:paraId="1F3CC432" w14:textId="77777777" w:rsidR="00113F82" w:rsidRPr="00113F82" w:rsidRDefault="00113F82" w:rsidP="00EF4227">
            <w:pPr>
              <w:autoSpaceDE w:val="0"/>
              <w:autoSpaceDN w:val="0"/>
              <w:adjustRightInd w:val="0"/>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The changed market situation can make new resource categories critical to the customer’s operations. Consolidation of the supply base can improve access to critical resources and drive down costs.</w:t>
            </w:r>
          </w:p>
        </w:tc>
        <w:tc>
          <w:tcPr>
            <w:tcW w:w="4111" w:type="dxa"/>
          </w:tcPr>
          <w:p w14:paraId="793F77BB"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Explain why customers should enter into a strategic/value-based relationship with the supplier, even if that means losing some degree of autonomy or control.</w:t>
            </w:r>
          </w:p>
          <w:p w14:paraId="12E14705" w14:textId="77777777" w:rsidR="00113F82" w:rsidRPr="00113F82" w:rsidRDefault="00113F82" w:rsidP="00EF4227">
            <w:pPr>
              <w:jc w:val="both"/>
              <w:rPr>
                <w:rFonts w:ascii="Times New Roman" w:hAnsi="Times New Roman" w:cs="Times New Roman"/>
                <w:sz w:val="16"/>
                <w:szCs w:val="16"/>
                <w:lang w:val="en-US"/>
              </w:rPr>
            </w:pPr>
          </w:p>
          <w:p w14:paraId="676E5345"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Demonstrate the win-win opportunities created by a value-based relationship, such as gain-share or performance-based contracts. This is important to preserve the customer’s sense of control over market forces, despite greater dependence on the supplier’s resources.</w:t>
            </w:r>
          </w:p>
          <w:p w14:paraId="0E7D70B6" w14:textId="77777777" w:rsidR="00113F82" w:rsidRPr="00113F82" w:rsidRDefault="00113F82" w:rsidP="00EF4227">
            <w:pPr>
              <w:spacing w:line="276" w:lineRule="auto"/>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 </w:t>
            </w:r>
          </w:p>
        </w:tc>
        <w:tc>
          <w:tcPr>
            <w:tcW w:w="4943" w:type="dxa"/>
          </w:tcPr>
          <w:p w14:paraId="7D59A625"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Vendor uses gain-sharing or performance-based contracts to align buyer and seller interests, thus improving the customer’s sense of control over resource dependencies (e.g., Outotec uses gain-sharing contracts when selling mining process optimization solutions). </w:t>
            </w:r>
          </w:p>
          <w:p w14:paraId="7347C3D6" w14:textId="77777777" w:rsidR="00113F82" w:rsidRPr="00113F82" w:rsidRDefault="00113F82" w:rsidP="00EF4227">
            <w:pPr>
              <w:jc w:val="both"/>
              <w:rPr>
                <w:rFonts w:ascii="Times New Roman" w:hAnsi="Times New Roman" w:cs="Times New Roman"/>
                <w:sz w:val="16"/>
                <w:szCs w:val="16"/>
                <w:lang w:val="en-US"/>
              </w:rPr>
            </w:pPr>
          </w:p>
          <w:p w14:paraId="2330E640" w14:textId="77777777" w:rsidR="00113F82" w:rsidRPr="00113F82" w:rsidRDefault="00113F82" w:rsidP="00EF4227">
            <w:pPr>
              <w:jc w:val="both"/>
              <w:rPr>
                <w:rFonts w:ascii="Times New Roman" w:hAnsi="Times New Roman" w:cs="Times New Roman"/>
                <w:sz w:val="16"/>
                <w:szCs w:val="16"/>
                <w:lang w:val="en-US"/>
              </w:rPr>
            </w:pPr>
          </w:p>
          <w:p w14:paraId="25FDE252" w14:textId="77777777" w:rsidR="00113F82" w:rsidRPr="00113F82" w:rsidRDefault="00113F82" w:rsidP="00EF4227">
            <w:pPr>
              <w:jc w:val="both"/>
              <w:rPr>
                <w:rFonts w:ascii="Times New Roman" w:hAnsi="Times New Roman" w:cs="Times New Roman"/>
                <w:sz w:val="16"/>
                <w:szCs w:val="16"/>
                <w:lang w:val="en-US"/>
              </w:rPr>
            </w:pPr>
          </w:p>
        </w:tc>
      </w:tr>
      <w:tr w:rsidR="00113F82" w:rsidRPr="008C17FF" w14:paraId="0E67A061" w14:textId="77777777" w:rsidTr="00EF4227">
        <w:trPr>
          <w:trHeight w:val="1728"/>
          <w:jc w:val="center"/>
        </w:trPr>
        <w:tc>
          <w:tcPr>
            <w:tcW w:w="1129" w:type="dxa"/>
          </w:tcPr>
          <w:p w14:paraId="0B1FFAEC" w14:textId="77777777" w:rsidR="00113F82" w:rsidRPr="00456181" w:rsidRDefault="00113F82" w:rsidP="00EF4227">
            <w:pPr>
              <w:spacing w:line="276" w:lineRule="auto"/>
              <w:rPr>
                <w:rFonts w:ascii="Times New Roman" w:hAnsi="Times New Roman" w:cs="Times New Roman"/>
                <w:b/>
                <w:sz w:val="16"/>
                <w:szCs w:val="16"/>
              </w:rPr>
            </w:pPr>
            <w:r w:rsidRPr="00456181">
              <w:rPr>
                <w:rFonts w:ascii="Times New Roman" w:hAnsi="Times New Roman" w:cs="Times New Roman"/>
                <w:sz w:val="16"/>
                <w:szCs w:val="16"/>
              </w:rPr>
              <w:t xml:space="preserve">Identity </w:t>
            </w:r>
          </w:p>
        </w:tc>
        <w:tc>
          <w:tcPr>
            <w:tcW w:w="1418" w:type="dxa"/>
          </w:tcPr>
          <w:p w14:paraId="64E9E12F" w14:textId="77777777" w:rsidR="00113F82" w:rsidRPr="00113F82" w:rsidRDefault="00113F82" w:rsidP="00EF4227">
            <w:pPr>
              <w:spacing w:line="276" w:lineRule="auto"/>
              <w:rPr>
                <w:rFonts w:ascii="Times New Roman" w:hAnsi="Times New Roman" w:cs="Times New Roman"/>
                <w:sz w:val="16"/>
                <w:szCs w:val="16"/>
                <w:lang w:val="en-US"/>
              </w:rPr>
            </w:pPr>
            <w:r w:rsidRPr="00113F82">
              <w:rPr>
                <w:rFonts w:ascii="Times New Roman" w:hAnsi="Times New Roman" w:cs="Times New Roman"/>
                <w:sz w:val="16"/>
                <w:szCs w:val="16"/>
                <w:lang w:val="en-US"/>
              </w:rPr>
              <w:t>Maintaining coherence between organizational identity and activities</w:t>
            </w:r>
          </w:p>
        </w:tc>
        <w:tc>
          <w:tcPr>
            <w:tcW w:w="2835" w:type="dxa"/>
          </w:tcPr>
          <w:p w14:paraId="7B70C3C7"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Customers may need to reconsider the effectiveness and appropriateness of their current identity as a buyer. Bidding vendors against each other and leveraging an arm’s length relationship and short-term contracts may not help the customer cope with the crisis.</w:t>
            </w:r>
          </w:p>
          <w:p w14:paraId="3013A53A" w14:textId="77777777" w:rsidR="00113F82" w:rsidRPr="00113F82" w:rsidRDefault="00113F82" w:rsidP="00EF4227">
            <w:pPr>
              <w:spacing w:line="276" w:lineRule="auto"/>
              <w:jc w:val="both"/>
              <w:rPr>
                <w:rFonts w:ascii="Times New Roman" w:hAnsi="Times New Roman" w:cs="Times New Roman"/>
                <w:sz w:val="16"/>
                <w:szCs w:val="16"/>
                <w:lang w:val="en-US"/>
              </w:rPr>
            </w:pPr>
          </w:p>
        </w:tc>
        <w:tc>
          <w:tcPr>
            <w:tcW w:w="4111" w:type="dxa"/>
          </w:tcPr>
          <w:p w14:paraId="7CB66654"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Explain to customers why buying practices and mindsets built around competitive bidding are not necessarily the optimal approach during the crisis. Demonstrate how other customers have adopted value-based offerings and signal the legitimacy of alternative mental models.</w:t>
            </w:r>
          </w:p>
          <w:p w14:paraId="7C80908F" w14:textId="77777777" w:rsidR="00113F82" w:rsidRPr="00113F82" w:rsidRDefault="00113F82" w:rsidP="00EF4227">
            <w:pPr>
              <w:jc w:val="both"/>
              <w:rPr>
                <w:rFonts w:ascii="Times New Roman" w:hAnsi="Times New Roman" w:cs="Times New Roman"/>
                <w:sz w:val="16"/>
                <w:szCs w:val="16"/>
                <w:lang w:val="en-US"/>
              </w:rPr>
            </w:pPr>
          </w:p>
          <w:p w14:paraId="6B36BB74" w14:textId="77777777" w:rsidR="00113F82" w:rsidRPr="00113F82" w:rsidRDefault="00113F82" w:rsidP="00EF4227">
            <w:pPr>
              <w:spacing w:line="276" w:lineRule="auto"/>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By getting customers to experiment with value-based deals, suppliers can facilitate a more permanent shift in customers’ identity as buyers. </w:t>
            </w:r>
          </w:p>
        </w:tc>
        <w:tc>
          <w:tcPr>
            <w:tcW w:w="4943" w:type="dxa"/>
          </w:tcPr>
          <w:p w14:paraId="2DC23492" w14:textId="77777777" w:rsidR="00113F82" w:rsidRPr="00113F82" w:rsidRDefault="00113F82" w:rsidP="00EF4227">
            <w:pPr>
              <w:jc w:val="both"/>
              <w:rPr>
                <w:rFonts w:ascii="Times New Roman" w:hAnsi="Times New Roman" w:cs="Times New Roman"/>
                <w:sz w:val="16"/>
                <w:szCs w:val="16"/>
                <w:lang w:val="en-US"/>
              </w:rPr>
            </w:pPr>
            <w:r w:rsidRPr="00113F82">
              <w:rPr>
                <w:rFonts w:ascii="Times New Roman" w:hAnsi="Times New Roman" w:cs="Times New Roman"/>
                <w:sz w:val="16"/>
                <w:szCs w:val="16"/>
                <w:lang w:val="en-US"/>
              </w:rPr>
              <w:t xml:space="preserve">When the vendor successfully sells and delivers value-based offerings, this has the potential to effect a more permanent shift in the customer’s purchasing mindset and practices (e.g., SKF has been highly successful in retaining customers who have purchased rotating equipment performance solutions).  </w:t>
            </w:r>
          </w:p>
        </w:tc>
      </w:tr>
    </w:tbl>
    <w:p w14:paraId="38806CD3" w14:textId="77777777" w:rsidR="00113F82" w:rsidRPr="00113F82" w:rsidRDefault="00113F82" w:rsidP="00113F82">
      <w:pPr>
        <w:tabs>
          <w:tab w:val="left" w:pos="3168"/>
        </w:tabs>
        <w:spacing w:after="0" w:line="276" w:lineRule="auto"/>
        <w:jc w:val="both"/>
        <w:rPr>
          <w:rFonts w:ascii="Times New Roman" w:hAnsi="Times New Roman" w:cs="Times New Roman"/>
          <w:sz w:val="24"/>
          <w:lang w:val="en-US"/>
        </w:rPr>
        <w:sectPr w:rsidR="00113F82" w:rsidRPr="00113F82" w:rsidSect="007D3D90">
          <w:pgSz w:w="15840" w:h="12240" w:orient="landscape"/>
          <w:pgMar w:top="1440" w:right="1440" w:bottom="1440" w:left="1440" w:header="708" w:footer="708" w:gutter="0"/>
          <w:cols w:space="708"/>
          <w:docGrid w:linePitch="360"/>
        </w:sectPr>
      </w:pPr>
    </w:p>
    <w:p w14:paraId="31DBAE59" w14:textId="77777777" w:rsidR="00113F82" w:rsidRPr="00113F82" w:rsidRDefault="00113F82" w:rsidP="00113F82">
      <w:pPr>
        <w:spacing w:after="0" w:line="276" w:lineRule="auto"/>
        <w:rPr>
          <w:rFonts w:ascii="Times New Roman" w:hAnsi="Times New Roman" w:cs="Times New Roman"/>
          <w:b/>
          <w:sz w:val="24"/>
          <w:szCs w:val="24"/>
          <w:lang w:val="en-US"/>
        </w:rPr>
      </w:pPr>
      <w:r w:rsidRPr="00113F82">
        <w:rPr>
          <w:rFonts w:ascii="Times New Roman" w:hAnsi="Times New Roman" w:cs="Times New Roman"/>
          <w:b/>
          <w:sz w:val="24"/>
          <w:szCs w:val="24"/>
          <w:lang w:val="en-US"/>
        </w:rPr>
        <w:t>3. Discussion</w:t>
      </w:r>
    </w:p>
    <w:p w14:paraId="53BC620D"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Our analysis of the opportunities highlighted by applying firm boundary theory to value-based selling in an economic crisis provides three key insights. First, while vendors might be tempted to take the easy route and offer temporary price reductions to maintain sales in a crisis, this is often a suboptimal approach, because it emphasizes short-term gains at the expense of long-term performance for both vendors and their customers. Instead, value-based selling (Terho et al., 2012; 2017; Töytäri &amp; Rajala 2015) may provide a better alternative in the new market situation, as it represents a mutually beneficial sales approach with the potential to improve the customer’s profits in the short and long term (see Figure 1). For instance, many companies are currently laying off staff and delaying investments in new production-based resources, and while this offers temporary relief, it also curbs long-term performance potential. However, by buying value-based offerings, customers can rationalize operations in a way that does not restrict their ability to grow when the market recovers.</w:t>
      </w:r>
    </w:p>
    <w:p w14:paraId="7D0A5EC4"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11E28170"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From the vendor’s perspective, the changed market situation can dramatically change the customer’s business priorities and value determinants, meaning that sellers should closely analyze what are the critical drivers of customer value and then tailor their initiatives to the situation. For example, extra production capacity or savings that realize in the long-term may be of little value to a customer in the current market environment (cf., </w:t>
      </w:r>
      <w:r w:rsidRPr="00113F82">
        <w:rPr>
          <w:rFonts w:ascii="Times New Roman" w:eastAsia="Times New Roman" w:hAnsi="Times New Roman" w:cs="Times New Roman"/>
          <w:iCs/>
          <w:sz w:val="24"/>
          <w:szCs w:val="24"/>
          <w:lang w:val="en-US"/>
        </w:rPr>
        <w:t>Töytäri, Rajala &amp; Alejandro, 2015</w:t>
      </w:r>
      <w:r w:rsidRPr="00113F82">
        <w:rPr>
          <w:rFonts w:ascii="Times New Roman" w:hAnsi="Times New Roman" w:cs="Times New Roman"/>
          <w:sz w:val="24"/>
          <w:szCs w:val="24"/>
          <w:lang w:val="en-US"/>
        </w:rPr>
        <w:t>). At the same time, securing access to critical resources or conversion of resources to better fit changes in demand may be of significant economic value.</w:t>
      </w:r>
    </w:p>
    <w:p w14:paraId="398C5F75"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5936E711"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Second, value-based sellers should understand that the customer’s decision to buy value always represents a boundary choice. Thus, the customer evaluates the purchase decision through four distinct boundary lenses: efficiency, competence, power, and identity. These lenses can be mutually reinforcing or competing and can change over time (Santos &amp; Eisenhardt, 2005). While economic crises may make customers more receptive to shifting firm boundaries in ways that are consistent with value-based selling, it is unlikely that all boundary conceptions will align equally well. </w:t>
      </w:r>
    </w:p>
    <w:p w14:paraId="2A4B4FAB" w14:textId="77777777" w:rsidR="00113F82" w:rsidRPr="00113F82" w:rsidRDefault="00113F82" w:rsidP="00113F82">
      <w:pPr>
        <w:tabs>
          <w:tab w:val="left" w:pos="7785"/>
        </w:tabs>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ab/>
      </w:r>
    </w:p>
    <w:p w14:paraId="263C1A74"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For instance, the efficiency and competence lenses may be mutually reinforcing. Both conceptions are highly consistent with value-based selling, which explicitly focuses on improving the quality of the resources in the customer’s portfolio and the effectiveness of utilizing them to optimize the customer’s bottom line results (Anderson &amp; Wynstra, 2010; Terho et al., 2012). As the need for cost-effective usage of resources increases during crises, so does the alignment between efficiency and competence lenses in the context of value-based selling. On the other hand, the identity and power conceptions may be more difficult to align with value-based selling, as they tend to emphasize independent control and competitive bidding.</w:t>
      </w:r>
    </w:p>
    <w:p w14:paraId="6ACFAAFB"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3BDF4D07"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Since customers evaluate the decision to enter into a value-based relationship through all the boundary lenses, it is not enough to focus only on efficiency and competence, even though they might be the most apparent and favorable lenses from the perspective of value-based selling. Instead, vendors should also manage the power and identity lenses, and try to minimize the complications that may arise from these perspectives; for example, by introducing gain-sharing features that align the interests of buyers and sellers, or developing agreements concerning the utilization and ownership of data generated from monitoring customer processes. During crises, customers might be more open that normal to reconsidering these lenses, as they need to look for new cost saving or revenue generation opportunities (Suplari, 2019). If vendors are able to demonstrate how consolidating buying, sharing information, and/or co-creating offerings with the vendor can lead to substantial cost savings, customers might be willing to consider shifting the boundaries closer to the vendor despite the fact that identity and power conceptions are more difficult to align with value-based selling.</w:t>
      </w:r>
    </w:p>
    <w:p w14:paraId="009AEA7A"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5221F122"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However, in some cases, the </w:t>
      </w:r>
      <w:r w:rsidRPr="00113F82">
        <w:rPr>
          <w:rFonts w:ascii="Times New Roman" w:hAnsi="Times New Roman" w:cs="Times New Roman"/>
          <w:sz w:val="24"/>
          <w:lang w:val="en-US"/>
        </w:rPr>
        <w:t>economic crisis</w:t>
      </w:r>
      <w:r w:rsidRPr="00113F82">
        <w:rPr>
          <w:rFonts w:ascii="Times New Roman" w:hAnsi="Times New Roman" w:cs="Times New Roman"/>
          <w:sz w:val="24"/>
          <w:szCs w:val="24"/>
          <w:lang w:val="en-US"/>
        </w:rPr>
        <w:t xml:space="preserve"> can change the customer’s operating environment in a way that makes them less receptive to value-based selling. For instance, disruptions in supply chains may encourage customers with sufficient financial resources at their disposal to revert to internalizing critical processes to </w:t>
      </w:r>
      <w:r w:rsidRPr="00113F82">
        <w:rPr>
          <w:rFonts w:ascii="Times New Roman" w:hAnsi="Times New Roman" w:cs="Times New Roman"/>
          <w:iCs/>
          <w:sz w:val="24"/>
          <w:szCs w:val="24"/>
          <w:lang w:val="en-US"/>
        </w:rPr>
        <w:t>maximize strategic control over external</w:t>
      </w:r>
      <w:r w:rsidRPr="00113F82">
        <w:rPr>
          <w:rFonts w:ascii="Times New Roman" w:hAnsi="Times New Roman" w:cs="Times New Roman"/>
          <w:sz w:val="24"/>
          <w:szCs w:val="24"/>
          <w:lang w:val="en-US"/>
        </w:rPr>
        <w:t xml:space="preserve"> </w:t>
      </w:r>
      <w:r w:rsidRPr="00113F82">
        <w:rPr>
          <w:rFonts w:ascii="Times New Roman" w:hAnsi="Times New Roman" w:cs="Times New Roman"/>
          <w:iCs/>
          <w:sz w:val="24"/>
          <w:szCs w:val="24"/>
          <w:lang w:val="en-US"/>
        </w:rPr>
        <w:t>forces (</w:t>
      </w:r>
      <w:r w:rsidRPr="00113F82">
        <w:rPr>
          <w:rFonts w:ascii="Times New Roman" w:hAnsi="Times New Roman" w:cs="Times New Roman"/>
          <w:sz w:val="24"/>
          <w:szCs w:val="24"/>
          <w:lang w:val="en-US"/>
        </w:rPr>
        <w:t xml:space="preserve">Davis &amp; Powell, 1992). In these cases, the efficiency and competence related boundary conceptions lose ground, as the power conception dominates. Thus, sellers should carefully prioritize value-based selling initiatives to customers with substantial, mutual value potential. </w:t>
      </w:r>
    </w:p>
    <w:p w14:paraId="7B2C82A3"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759C91FC"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Third, the key strategic outcome that vendors should aim to obtain from the crisis is a shift in the customer’s identity as a buyer. The challenge faced by many value-based sellers is that the identity view tends to dominate the other boundary conceptions (Santos &amp; Eisenhardt, 2005). In business markets, many customers’ buying identity has traditionally been rooted in competitive bidding (Anderson &amp; Wynstra 2010; Terho et al., 2017). This mindset leads to short-term, price-focused purchasing behavior, which makes it difficult to sell value (Meehan, Menzies, &amp; Michaelides, 2017). However, in a crisis environment, buyers face strong pressures to reconsider their established practices and mindset. If a vendor demonstrates that it can help the customer cope with the crisis by positively influencing their profit formula, customers may become more responsive to accepting greater dependence on the vendor’s resources. While this change can improve the customer’s short-term performance, the strategic and long-term impact can be a more permanent shift in the customer’s identity as a buyer. Thus, the crisis offers an opportunity for vendors to change prevailing market practices. </w:t>
      </w:r>
    </w:p>
    <w:p w14:paraId="12996A9C" w14:textId="77777777" w:rsidR="00113F82" w:rsidRPr="00113F82" w:rsidRDefault="00113F82" w:rsidP="00113F82">
      <w:pPr>
        <w:spacing w:after="0" w:line="276" w:lineRule="auto"/>
        <w:jc w:val="both"/>
        <w:rPr>
          <w:rFonts w:ascii="Times New Roman" w:hAnsi="Times New Roman" w:cs="Times New Roman"/>
          <w:sz w:val="24"/>
          <w:lang w:val="en-US"/>
        </w:rPr>
      </w:pPr>
    </w:p>
    <w:p w14:paraId="229B921B" w14:textId="77777777" w:rsidR="00113F82" w:rsidRPr="00113F82" w:rsidRDefault="00113F82" w:rsidP="00113F82">
      <w:pPr>
        <w:spacing w:line="276" w:lineRule="auto"/>
        <w:rPr>
          <w:rFonts w:ascii="Times New Roman" w:hAnsi="Times New Roman" w:cs="Times New Roman"/>
          <w:b/>
          <w:sz w:val="24"/>
          <w:lang w:val="en-US"/>
        </w:rPr>
      </w:pPr>
      <w:r w:rsidRPr="00113F82">
        <w:rPr>
          <w:rFonts w:ascii="Times New Roman" w:hAnsi="Times New Roman" w:cs="Times New Roman"/>
          <w:b/>
          <w:sz w:val="24"/>
          <w:lang w:val="en-US"/>
        </w:rPr>
        <w:t>4. Managerial recommendations</w:t>
      </w:r>
    </w:p>
    <w:p w14:paraId="4540C876"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sz w:val="24"/>
          <w:lang w:val="en-US"/>
        </w:rPr>
        <w:t xml:space="preserve">For managers, this article offers six important and immediately applicable recommendations to help B2B vendors remain competitive in crisis, while also solidifying their competitive position for the time when the market recovers. </w:t>
      </w:r>
    </w:p>
    <w:p w14:paraId="6157289D" w14:textId="77777777" w:rsidR="00113F82" w:rsidRPr="00113F82" w:rsidRDefault="00113F82" w:rsidP="00113F82">
      <w:pPr>
        <w:spacing w:after="0" w:line="276" w:lineRule="auto"/>
        <w:jc w:val="both"/>
        <w:rPr>
          <w:rFonts w:ascii="Times New Roman" w:hAnsi="Times New Roman" w:cs="Times New Roman"/>
          <w:sz w:val="24"/>
          <w:lang w:val="en-US"/>
        </w:rPr>
      </w:pPr>
    </w:p>
    <w:p w14:paraId="67BDEF64"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i/>
          <w:sz w:val="24"/>
          <w:lang w:val="en-US"/>
        </w:rPr>
        <w:t>Consider strategic, not reactive, selling approaches</w:t>
      </w:r>
      <w:r w:rsidRPr="00113F82">
        <w:rPr>
          <w:rFonts w:ascii="Times New Roman" w:hAnsi="Times New Roman" w:cs="Times New Roman"/>
          <w:sz w:val="24"/>
          <w:lang w:val="en-US"/>
        </w:rPr>
        <w:t xml:space="preserve"> in changed market conditions. Instead of reacting to customer situations by offering temporary price reductions to maintain sales, vendors should consider more strategic approaches that help them capture value-creation opportunities that bear substantial short- and long-term improvement potential for both the customers and themselves. Otherwise, vendors risk sacrificing their own and the customers’ long-term competitiveness. In particular, a vendor’s proactive support should be a key differentiating factor for distressed customers. </w:t>
      </w:r>
    </w:p>
    <w:p w14:paraId="7C95BFCB" w14:textId="77777777" w:rsidR="00113F82" w:rsidRPr="00113F82" w:rsidRDefault="00113F82" w:rsidP="00113F82">
      <w:pPr>
        <w:spacing w:after="0" w:line="276" w:lineRule="auto"/>
        <w:jc w:val="both"/>
        <w:rPr>
          <w:rFonts w:ascii="Times New Roman" w:hAnsi="Times New Roman" w:cs="Times New Roman"/>
          <w:sz w:val="24"/>
          <w:lang w:val="en-US"/>
        </w:rPr>
      </w:pPr>
    </w:p>
    <w:p w14:paraId="17EBC13D"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i/>
          <w:sz w:val="24"/>
          <w:szCs w:val="24"/>
          <w:lang w:val="en-US"/>
        </w:rPr>
        <w:t>Focus on instant business impacts</w:t>
      </w:r>
      <w:r w:rsidRPr="00113F82">
        <w:rPr>
          <w:rFonts w:ascii="Times New Roman" w:hAnsi="Times New Roman" w:cs="Times New Roman"/>
          <w:sz w:val="24"/>
          <w:szCs w:val="24"/>
          <w:lang w:val="en-US"/>
        </w:rPr>
        <w:t>. While value-based selling arguments usually focus on long-term cost savings, reduced total cost of ownership, and superior payback times, these are not particularly resonating in economic crises, when customers need immediate cost savings. Instead, the vendor’s focus needs to be on instant returns and business impacts for the customer. Vendors can find ways to produce instant business effects and help customers downshift their operations in a controlled manner through instantly realizable i) reductions in fixed and operating costs, ii) reductions of tied-up capital, and/or iii) increased revenues</w:t>
      </w:r>
      <w:r w:rsidRPr="00113F82">
        <w:rPr>
          <w:rFonts w:ascii="Times New Roman" w:hAnsi="Times New Roman" w:cs="Times New Roman"/>
          <w:i/>
          <w:sz w:val="24"/>
          <w:szCs w:val="24"/>
          <w:lang w:val="en-US"/>
        </w:rPr>
        <w:t>.</w:t>
      </w:r>
      <w:r w:rsidRPr="00113F82">
        <w:rPr>
          <w:rFonts w:ascii="Times New Roman" w:hAnsi="Times New Roman" w:cs="Times New Roman"/>
          <w:sz w:val="24"/>
          <w:lang w:val="en-US"/>
        </w:rPr>
        <w:t xml:space="preserve"> </w:t>
      </w:r>
    </w:p>
    <w:p w14:paraId="4A61099E" w14:textId="77777777" w:rsidR="00113F82" w:rsidRPr="00113F82" w:rsidRDefault="00113F82" w:rsidP="00113F82">
      <w:pPr>
        <w:spacing w:after="0" w:line="276" w:lineRule="auto"/>
        <w:jc w:val="both"/>
        <w:rPr>
          <w:rFonts w:ascii="Times New Roman" w:hAnsi="Times New Roman" w:cs="Times New Roman"/>
          <w:sz w:val="28"/>
          <w:lang w:val="en-US"/>
        </w:rPr>
      </w:pPr>
    </w:p>
    <w:p w14:paraId="07BABEAE" w14:textId="77777777" w:rsidR="00113F82" w:rsidRPr="00113F82" w:rsidRDefault="00113F82" w:rsidP="00113F82">
      <w:pPr>
        <w:spacing w:after="0" w:line="276" w:lineRule="auto"/>
        <w:jc w:val="both"/>
        <w:rPr>
          <w:lang w:val="en-US"/>
        </w:rPr>
      </w:pPr>
      <w:r w:rsidRPr="00113F82">
        <w:rPr>
          <w:rFonts w:ascii="Times New Roman" w:hAnsi="Times New Roman" w:cs="Times New Roman"/>
          <w:i/>
          <w:sz w:val="24"/>
          <w:lang w:val="en-US"/>
        </w:rPr>
        <w:t>Tailor value-based selling arguments</w:t>
      </w:r>
      <w:r w:rsidRPr="00113F82">
        <w:rPr>
          <w:rFonts w:ascii="Times New Roman" w:hAnsi="Times New Roman" w:cs="Times New Roman"/>
          <w:sz w:val="24"/>
          <w:lang w:val="en-US"/>
        </w:rPr>
        <w:t xml:space="preserve"> to the changed market and customer business situations. Echoing the previous insight, value depends on context of use, and in many cases vendors’ established value-based selling arguments are built on the assumption that customer businesses, and the broader market, operate effectively. For example, improved value realization may depend on a customer’s business operating otherwise effectively, or value quantification and verification may depend on stable and predictable baseline performance. However, extra capacity may have no value to customers in the changed market situation, and it might be very difficult, if not downright impossible, to quantify or verify the vendor-realized changes to the customers’ business processes in turbulent market conditions.</w:t>
      </w:r>
      <w:r w:rsidRPr="00113F82">
        <w:rPr>
          <w:sz w:val="24"/>
          <w:lang w:val="en-US"/>
        </w:rPr>
        <w:t xml:space="preserve"> </w:t>
      </w:r>
      <w:r w:rsidRPr="00113F82">
        <w:rPr>
          <w:rFonts w:ascii="Times New Roman" w:hAnsi="Times New Roman" w:cs="Times New Roman"/>
          <w:sz w:val="24"/>
          <w:lang w:val="en-US"/>
        </w:rPr>
        <w:t>Thus, in crises, sellers should listen carefully how their customers’ purchasing-task related drivers have changed, in order to find resonating value arguments. This allows vendors to re-innovate or reconfigure their value propositions, rethink customer problems,</w:t>
      </w:r>
      <w:r w:rsidRPr="00113F82">
        <w:rPr>
          <w:sz w:val="24"/>
          <w:lang w:val="en-US"/>
        </w:rPr>
        <w:t xml:space="preserve"> </w:t>
      </w:r>
      <w:r w:rsidRPr="00113F82">
        <w:rPr>
          <w:rFonts w:ascii="Times New Roman" w:hAnsi="Times New Roman" w:cs="Times New Roman"/>
          <w:sz w:val="24"/>
          <w:lang w:val="en-US"/>
        </w:rPr>
        <w:t xml:space="preserve">and ensures that their value quantification and realization initiatives reflect the changed market situation. </w:t>
      </w:r>
    </w:p>
    <w:p w14:paraId="2231C93E" w14:textId="77777777" w:rsidR="00113F82" w:rsidRPr="00113F82" w:rsidRDefault="00113F82" w:rsidP="00113F82">
      <w:pPr>
        <w:spacing w:after="0" w:line="276" w:lineRule="auto"/>
        <w:jc w:val="both"/>
        <w:rPr>
          <w:rFonts w:ascii="Times New Roman" w:hAnsi="Times New Roman" w:cs="Times New Roman"/>
          <w:sz w:val="24"/>
          <w:szCs w:val="24"/>
          <w:lang w:val="en-US"/>
        </w:rPr>
      </w:pPr>
    </w:p>
    <w:p w14:paraId="6B02138E" w14:textId="77777777" w:rsidR="00113F82" w:rsidRPr="00113F82" w:rsidRDefault="00113F82" w:rsidP="00113F82">
      <w:pPr>
        <w:pStyle w:val="Luettelokappale"/>
        <w:spacing w:after="0" w:line="276" w:lineRule="auto"/>
        <w:ind w:left="0"/>
        <w:jc w:val="both"/>
        <w:rPr>
          <w:rFonts w:ascii="Times New Roman" w:hAnsi="Times New Roman" w:cs="Times New Roman"/>
          <w:sz w:val="24"/>
        </w:rPr>
      </w:pPr>
      <w:r w:rsidRPr="00113F82">
        <w:rPr>
          <w:rFonts w:ascii="Times New Roman" w:hAnsi="Times New Roman" w:cs="Times New Roman"/>
          <w:i/>
          <w:sz w:val="24"/>
        </w:rPr>
        <w:t>Invest in value-based sales capability development and training</w:t>
      </w:r>
      <w:r w:rsidRPr="00113F82">
        <w:rPr>
          <w:i/>
        </w:rPr>
        <w:t>.</w:t>
      </w:r>
      <w:r w:rsidRPr="00113F82">
        <w:t xml:space="preserve"> </w:t>
      </w:r>
      <w:r w:rsidRPr="00113F82">
        <w:rPr>
          <w:rFonts w:ascii="Times New Roman" w:hAnsi="Times New Roman" w:cs="Times New Roman"/>
          <w:sz w:val="24"/>
        </w:rPr>
        <w:t xml:space="preserve">If there is some silver lining to a crisis, it is that it provides good opportunities to upskill the vendor’s sales force. Instead of laying off sales and field-service employees who now have fewer or no customers to serve, vendors can use the freed time and resources to train, coach, and scale up the value-based selling capabilities inside their firm (cf., Keränen &amp; Liozu, 2020). This should be seen as an investment in the future. </w:t>
      </w:r>
    </w:p>
    <w:p w14:paraId="49B52C17" w14:textId="77777777" w:rsidR="00113F82" w:rsidRPr="00113F82" w:rsidRDefault="00113F82" w:rsidP="00113F82">
      <w:pPr>
        <w:pStyle w:val="Luettelokappale"/>
        <w:spacing w:after="0" w:line="276" w:lineRule="auto"/>
        <w:ind w:left="0"/>
        <w:jc w:val="both"/>
        <w:rPr>
          <w:rFonts w:ascii="Times New Roman" w:hAnsi="Times New Roman" w:cs="Times New Roman"/>
          <w:sz w:val="24"/>
        </w:rPr>
      </w:pPr>
    </w:p>
    <w:p w14:paraId="466951C9" w14:textId="77777777" w:rsidR="00113F82" w:rsidRPr="00113F82" w:rsidRDefault="00113F82" w:rsidP="00113F82">
      <w:pPr>
        <w:spacing w:after="0" w:line="276" w:lineRule="auto"/>
        <w:jc w:val="both"/>
        <w:rPr>
          <w:rFonts w:ascii="Times New Roman" w:hAnsi="Times New Roman" w:cs="Times New Roman"/>
          <w:sz w:val="24"/>
          <w:lang w:val="en-US"/>
        </w:rPr>
      </w:pPr>
      <w:r w:rsidRPr="00113F82">
        <w:rPr>
          <w:rFonts w:ascii="Times New Roman" w:hAnsi="Times New Roman" w:cs="Times New Roman"/>
          <w:i/>
          <w:sz w:val="24"/>
          <w:lang w:val="en-US"/>
        </w:rPr>
        <w:t>Reconsider how to approach reserved buyers about value creation opportunities</w:t>
      </w:r>
      <w:r w:rsidRPr="00113F82">
        <w:rPr>
          <w:rFonts w:ascii="Times New Roman" w:hAnsi="Times New Roman" w:cs="Times New Roman"/>
          <w:sz w:val="24"/>
          <w:lang w:val="en-US"/>
        </w:rPr>
        <w:t xml:space="preserve">. Extensive access to information has put contemporary business buyers in a powerful position and made them less reliant on traditional selling initiatives (see Steward et al., 2019). Market crises can further attenuate this propensity, making it difficult for vendors to approach and interact with potential target customers. Sellers should therefore ensure that they communicate substantial value opportunities “in the customer’s language” by sharing content that explains how customers can cope with crisis-related business problems in those channels and touchpoints that buying center members use to search for information to their business problems. Digital content marketing (Järvinen &amp; Taiminen, 2016) and salesforce-wide social selling efforts (Ancillai, </w:t>
      </w:r>
      <w:r w:rsidRPr="00113F82">
        <w:rPr>
          <w:rFonts w:ascii="Times New Roman" w:hAnsi="Times New Roman" w:cs="Times New Roman"/>
          <w:iCs/>
          <w:sz w:val="24"/>
          <w:lang w:val="en-US"/>
        </w:rPr>
        <w:t>Terho, Cardinali, &amp; Pascucci</w:t>
      </w:r>
      <w:r w:rsidRPr="00113F82">
        <w:rPr>
          <w:rFonts w:ascii="Times New Roman" w:hAnsi="Times New Roman" w:cs="Times New Roman"/>
          <w:sz w:val="24"/>
          <w:lang w:val="en-US"/>
        </w:rPr>
        <w:t>, 2019) provide ways to put these ideas into practice. In situations where a crisis hinders face-to-face meetings, organizations should invest in sufficient virtual sales training and support.</w:t>
      </w:r>
    </w:p>
    <w:p w14:paraId="51736748" w14:textId="77777777" w:rsidR="00113F82" w:rsidRPr="00113F82" w:rsidRDefault="00113F82" w:rsidP="00113F82">
      <w:pPr>
        <w:spacing w:after="0" w:line="276" w:lineRule="auto"/>
        <w:jc w:val="both"/>
        <w:rPr>
          <w:rFonts w:ascii="Times New Roman" w:hAnsi="Times New Roman" w:cs="Times New Roman"/>
          <w:sz w:val="24"/>
          <w:lang w:val="en-US"/>
        </w:rPr>
      </w:pPr>
    </w:p>
    <w:p w14:paraId="534E1823"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i/>
          <w:sz w:val="24"/>
          <w:lang w:val="en-US"/>
        </w:rPr>
        <w:t>Pilot innovative value-based selling approaches with customers and demonstrate fairness</w:t>
      </w:r>
      <w:r w:rsidRPr="00113F82">
        <w:rPr>
          <w:rFonts w:ascii="Times New Roman" w:hAnsi="Times New Roman" w:cs="Times New Roman"/>
          <w:sz w:val="24"/>
          <w:lang w:val="en-US"/>
        </w:rPr>
        <w:t xml:space="preserve">. Economic crises provide particularly fruitful opportunities to pilot or propose innovative selling approaches to customers, as they, too, must now rethink the suitability of their legacy purchasing approaches. By successfully piloting new value-based selling initiatives with customers during a crisis, vendors might trigger long-term changes in customer identity regarding how to set boundaries effectively. </w:t>
      </w:r>
      <w:r w:rsidRPr="00113F82">
        <w:rPr>
          <w:rFonts w:ascii="Times New Roman" w:hAnsi="Times New Roman" w:cs="Times New Roman"/>
          <w:sz w:val="24"/>
          <w:szCs w:val="24"/>
          <w:lang w:val="en-US"/>
        </w:rPr>
        <w:t xml:space="preserve">B2B vendors should seek to build documented reference cases that demonstrate how suppliers can help customers deal with crises (cf., Terho &amp; Jalkala, 2017). Reference cases where the customer’s dependence on the supplier’s resources is particularly high, but the supplier has nevertheless acted in the customer’s best interests to realize positive impacts, are likely to be impactful in converting reserved buyers. Thus, we strongly recommend vendors to strive for win-win deals and demonstrate fairness, as this will strengthen their reputation and relationships with customers. </w:t>
      </w:r>
    </w:p>
    <w:p w14:paraId="7600CE87" w14:textId="77777777" w:rsidR="00113F82" w:rsidRPr="00113F82" w:rsidRDefault="00113F82" w:rsidP="00113F82">
      <w:pPr>
        <w:spacing w:after="0" w:line="276" w:lineRule="auto"/>
        <w:jc w:val="both"/>
        <w:rPr>
          <w:rFonts w:ascii="Times New Roman" w:hAnsi="Times New Roman" w:cs="Times New Roman"/>
          <w:sz w:val="24"/>
          <w:lang w:val="en-US"/>
        </w:rPr>
      </w:pPr>
    </w:p>
    <w:p w14:paraId="18000CC1" w14:textId="77777777" w:rsidR="00113F82" w:rsidRPr="00113F82" w:rsidRDefault="00113F82" w:rsidP="00113F82">
      <w:pPr>
        <w:spacing w:after="0" w:line="276" w:lineRule="auto"/>
        <w:rPr>
          <w:rFonts w:ascii="Times New Roman" w:hAnsi="Times New Roman" w:cs="Times New Roman"/>
          <w:b/>
          <w:sz w:val="24"/>
          <w:lang w:val="en-US"/>
        </w:rPr>
      </w:pPr>
      <w:r w:rsidRPr="00113F82">
        <w:rPr>
          <w:rFonts w:ascii="Times New Roman" w:hAnsi="Times New Roman" w:cs="Times New Roman"/>
          <w:b/>
          <w:sz w:val="24"/>
          <w:lang w:val="en-US"/>
        </w:rPr>
        <w:t>5. Conclusions</w:t>
      </w:r>
    </w:p>
    <w:p w14:paraId="54F5F764" w14:textId="77777777" w:rsidR="00113F82" w:rsidRPr="00113F82" w:rsidRDefault="00113F82" w:rsidP="00113F82">
      <w:pPr>
        <w:spacing w:after="0" w:line="276" w:lineRule="auto"/>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Echoing Ritter and Pedersen (2020), we believe that companies that take a proactive and growth-oriented stance while controlling short-term financial damage, will emerge stronger from economic crises (see also Osiyevskyy, Shirokova, &amp; Ritala, 2020). Value-based selling is a tool that helps managers achieve these objectives, allowing vendors and buyers to work closely together to find mutually beneficial solutions to combat disruptions and market decline. However, for value-based selling to work, customers must be willing to shift boundaries, and vendors need to know how to help them do this. </w:t>
      </w:r>
    </w:p>
    <w:p w14:paraId="7B20A8C4" w14:textId="77777777" w:rsidR="00113F82" w:rsidRPr="00113F82" w:rsidRDefault="00113F82" w:rsidP="00113F82">
      <w:pPr>
        <w:spacing w:after="0" w:line="480" w:lineRule="auto"/>
        <w:rPr>
          <w:rFonts w:ascii="Times New Roman" w:hAnsi="Times New Roman" w:cs="Times New Roman"/>
          <w:b/>
          <w:sz w:val="24"/>
          <w:lang w:val="en-US"/>
        </w:rPr>
      </w:pPr>
    </w:p>
    <w:p w14:paraId="2EF7678F" w14:textId="77777777" w:rsidR="00113F82" w:rsidRPr="00113F82" w:rsidRDefault="00113F82" w:rsidP="00113F82">
      <w:pPr>
        <w:rPr>
          <w:rFonts w:ascii="Times New Roman" w:hAnsi="Times New Roman" w:cs="Times New Roman"/>
          <w:b/>
          <w:sz w:val="24"/>
          <w:lang w:val="en-US"/>
        </w:rPr>
      </w:pPr>
      <w:r w:rsidRPr="00113F82">
        <w:rPr>
          <w:rFonts w:ascii="Times New Roman" w:hAnsi="Times New Roman" w:cs="Times New Roman"/>
          <w:b/>
          <w:sz w:val="24"/>
          <w:lang w:val="en-US"/>
        </w:rPr>
        <w:br w:type="page"/>
      </w:r>
    </w:p>
    <w:p w14:paraId="644C9244" w14:textId="77777777" w:rsidR="00113F82" w:rsidRPr="00113F82" w:rsidRDefault="00113F82" w:rsidP="00113F82">
      <w:pPr>
        <w:rPr>
          <w:rFonts w:ascii="Times New Roman" w:hAnsi="Times New Roman" w:cs="Times New Roman"/>
          <w:sz w:val="24"/>
          <w:lang w:val="en-US"/>
        </w:rPr>
      </w:pPr>
      <w:r w:rsidRPr="00113F82">
        <w:rPr>
          <w:rFonts w:ascii="Times New Roman" w:hAnsi="Times New Roman" w:cs="Times New Roman"/>
          <w:b/>
          <w:sz w:val="24"/>
          <w:lang w:val="en-US"/>
        </w:rPr>
        <w:t>References</w:t>
      </w:r>
    </w:p>
    <w:p w14:paraId="6894392E"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Ancillai, C., Terho, H., Cardinali, S., &amp; Pascucci, F. (2019). Advancing social media driven sales research: Establishing conceptual foundations for B-to-B social selling.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82, 293-308.</w:t>
      </w:r>
    </w:p>
    <w:p w14:paraId="19628AEE"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Anderson, J. C., Narus, J. A., &amp; Van Rossum, W. (2006). Customer Value Propositions in Business Markets. Harvard Business Review, 84(3), 90–99.</w:t>
      </w:r>
    </w:p>
    <w:p w14:paraId="7478918B"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Anderson, J. C., &amp; Wynstra, F. (2010). Purchasing higher-value, higher-price offerings in business markets. </w:t>
      </w:r>
      <w:r w:rsidRPr="00113F82">
        <w:rPr>
          <w:rFonts w:ascii="Times New Roman" w:eastAsia="Times New Roman" w:hAnsi="Times New Roman" w:cs="Times New Roman"/>
          <w:i/>
          <w:iCs/>
          <w:sz w:val="24"/>
          <w:szCs w:val="24"/>
          <w:lang w:val="en-US"/>
        </w:rPr>
        <w:t>Journal of Business-to-Business Marketing</w:t>
      </w:r>
      <w:r w:rsidRPr="00113F82">
        <w:rPr>
          <w:rFonts w:ascii="Times New Roman" w:eastAsia="Times New Roman" w:hAnsi="Times New Roman" w:cs="Times New Roman"/>
          <w:iCs/>
          <w:sz w:val="24"/>
          <w:szCs w:val="24"/>
          <w:lang w:val="en-US"/>
        </w:rPr>
        <w:t>, 17(1), 29-61.</w:t>
      </w:r>
    </w:p>
    <w:p w14:paraId="50746D78"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Bain &amp; Company. (2020). In enterprise software, renewals and retention have never been more important. Available at </w:t>
      </w:r>
      <w:hyperlink r:id="rId15" w:history="1">
        <w:r w:rsidRPr="00113F82">
          <w:rPr>
            <w:rStyle w:val="Hyperlinkki"/>
            <w:rFonts w:ascii="Times New Roman" w:eastAsia="Times New Roman" w:hAnsi="Times New Roman" w:cs="Times New Roman"/>
            <w:iCs/>
            <w:sz w:val="24"/>
            <w:szCs w:val="24"/>
            <w:lang w:val="en-US"/>
          </w:rPr>
          <w:t>https://www.bain.com/insights/in-enterprise-software-renewals-and-retention-have-never-been-more-important/</w:t>
        </w:r>
      </w:hyperlink>
    </w:p>
    <w:p w14:paraId="1D9864B2" w14:textId="77777777" w:rsidR="00113F82" w:rsidRPr="00113F82" w:rsidRDefault="00113F82" w:rsidP="00113F82">
      <w:pPr>
        <w:spacing w:line="276" w:lineRule="auto"/>
        <w:ind w:left="567" w:hanging="567"/>
        <w:jc w:val="both"/>
        <w:rPr>
          <w:rStyle w:val="Hyperlinkki"/>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BGC (2020). Leading Sales Through the COVID-19 Crisis. Available at </w:t>
      </w:r>
      <w:hyperlink r:id="rId16" w:history="1">
        <w:r w:rsidRPr="00113F82">
          <w:rPr>
            <w:rStyle w:val="Hyperlinkki"/>
            <w:rFonts w:ascii="Times New Roman" w:eastAsia="Times New Roman" w:hAnsi="Times New Roman" w:cs="Times New Roman"/>
            <w:iCs/>
            <w:sz w:val="24"/>
            <w:szCs w:val="24"/>
            <w:lang w:val="en-US"/>
          </w:rPr>
          <w:t>https://www.bcg.com/en-au/publications/2020/stabilize-increase-sales-through-covid-crisis.aspx</w:t>
        </w:r>
      </w:hyperlink>
    </w:p>
    <w:p w14:paraId="7A5BBACE" w14:textId="77777777" w:rsidR="00113F82" w:rsidRPr="008C17FF" w:rsidRDefault="00113F82" w:rsidP="00113F82">
      <w:pPr>
        <w:spacing w:line="240" w:lineRule="auto"/>
        <w:ind w:left="567" w:hanging="567"/>
        <w:jc w:val="both"/>
        <w:rPr>
          <w:rFonts w:ascii="Times New Roman" w:eastAsia="Times New Roman" w:hAnsi="Times New Roman" w:cs="Times New Roman"/>
          <w:iCs/>
          <w:sz w:val="24"/>
          <w:szCs w:val="24"/>
          <w:lang w:val="en-US"/>
        </w:rPr>
      </w:pPr>
      <w:r w:rsidRPr="008C17FF">
        <w:rPr>
          <w:rFonts w:ascii="Times New Roman" w:eastAsia="Times New Roman" w:hAnsi="Times New Roman" w:cs="Times New Roman"/>
          <w:iCs/>
          <w:sz w:val="24"/>
          <w:szCs w:val="24"/>
          <w:lang w:val="sv-SE"/>
        </w:rPr>
        <w:t xml:space="preserve">Bingham, C. B., &amp; Eisenhardt, K. M. (2008). </w:t>
      </w:r>
      <w:r w:rsidRPr="00113F82">
        <w:rPr>
          <w:rFonts w:ascii="Times New Roman" w:eastAsia="Times New Roman" w:hAnsi="Times New Roman" w:cs="Times New Roman"/>
          <w:iCs/>
          <w:sz w:val="24"/>
          <w:szCs w:val="24"/>
          <w:lang w:val="en-US"/>
        </w:rPr>
        <w:t xml:space="preserve">Position, leverage and opportunity: a typology of strategic logics linking resources with competitive advantage. </w:t>
      </w:r>
      <w:r w:rsidRPr="008C17FF">
        <w:rPr>
          <w:rFonts w:ascii="Times New Roman" w:eastAsia="Times New Roman" w:hAnsi="Times New Roman" w:cs="Times New Roman"/>
          <w:i/>
          <w:iCs/>
          <w:sz w:val="24"/>
          <w:szCs w:val="24"/>
          <w:lang w:val="en-US"/>
        </w:rPr>
        <w:t>Managerial and Decision Economics</w:t>
      </w:r>
      <w:r w:rsidRPr="008C17FF">
        <w:rPr>
          <w:rFonts w:ascii="Times New Roman" w:eastAsia="Times New Roman" w:hAnsi="Times New Roman" w:cs="Times New Roman"/>
          <w:iCs/>
          <w:sz w:val="24"/>
          <w:szCs w:val="24"/>
          <w:lang w:val="en-US"/>
        </w:rPr>
        <w:t xml:space="preserve">, </w:t>
      </w:r>
      <w:r w:rsidRPr="008C17FF">
        <w:rPr>
          <w:rFonts w:ascii="Times New Roman" w:eastAsia="Times New Roman" w:hAnsi="Times New Roman" w:cs="Times New Roman"/>
          <w:i/>
          <w:iCs/>
          <w:sz w:val="24"/>
          <w:szCs w:val="24"/>
          <w:lang w:val="en-US"/>
        </w:rPr>
        <w:t>29</w:t>
      </w:r>
      <w:r w:rsidRPr="008C17FF">
        <w:rPr>
          <w:rFonts w:ascii="Times New Roman" w:eastAsia="Times New Roman" w:hAnsi="Times New Roman" w:cs="Times New Roman"/>
          <w:iCs/>
          <w:sz w:val="24"/>
          <w:szCs w:val="24"/>
          <w:lang w:val="en-US"/>
        </w:rPr>
        <w:t>(2‐3), 241-256.</w:t>
      </w:r>
    </w:p>
    <w:p w14:paraId="2C1A6F3E" w14:textId="77777777" w:rsidR="00113F82" w:rsidRPr="00113F82" w:rsidRDefault="00113F82" w:rsidP="00113F82">
      <w:pPr>
        <w:spacing w:line="240"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Conner, K. R., &amp; Prahalad, C. K. (1996). A resource-based theory of the firm: knowledge vs. opportunism. </w:t>
      </w:r>
      <w:r w:rsidRPr="00113F82">
        <w:rPr>
          <w:rFonts w:ascii="Times New Roman" w:eastAsia="Times New Roman" w:hAnsi="Times New Roman" w:cs="Times New Roman"/>
          <w:i/>
          <w:iCs/>
          <w:sz w:val="24"/>
          <w:szCs w:val="24"/>
          <w:lang w:val="en-US"/>
        </w:rPr>
        <w:t>Organization Science</w:t>
      </w:r>
      <w:r w:rsidRPr="00113F82">
        <w:rPr>
          <w:rFonts w:ascii="Times New Roman" w:eastAsia="Times New Roman" w:hAnsi="Times New Roman" w:cs="Times New Roman"/>
          <w:iCs/>
          <w:sz w:val="24"/>
          <w:szCs w:val="24"/>
          <w:lang w:val="en-US"/>
        </w:rPr>
        <w:t>, 7, 477–501.</w:t>
      </w:r>
    </w:p>
    <w:p w14:paraId="0D2A617D" w14:textId="77777777" w:rsidR="00113F82" w:rsidRPr="008C17FF" w:rsidRDefault="00113F82" w:rsidP="00113F82">
      <w:pPr>
        <w:spacing w:line="240"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Daft, R. L., &amp; Weick, K. E. (1984). Toward a model of organizations as interpretation systems. </w:t>
      </w:r>
      <w:r w:rsidRPr="008C17FF">
        <w:rPr>
          <w:rFonts w:ascii="Times New Roman" w:eastAsia="Times New Roman" w:hAnsi="Times New Roman" w:cs="Times New Roman"/>
          <w:i/>
          <w:iCs/>
          <w:sz w:val="24"/>
          <w:szCs w:val="24"/>
          <w:lang w:val="en-US"/>
        </w:rPr>
        <w:t>Academy of management review</w:t>
      </w:r>
      <w:r w:rsidRPr="008C17FF">
        <w:rPr>
          <w:rFonts w:ascii="Times New Roman" w:eastAsia="Times New Roman" w:hAnsi="Times New Roman" w:cs="Times New Roman"/>
          <w:iCs/>
          <w:sz w:val="24"/>
          <w:szCs w:val="24"/>
          <w:lang w:val="en-US"/>
        </w:rPr>
        <w:t>, 9(2), 284-295.</w:t>
      </w:r>
    </w:p>
    <w:p w14:paraId="2DEAA239" w14:textId="77777777" w:rsidR="00113F82" w:rsidRPr="00113F82" w:rsidRDefault="00113F82" w:rsidP="00113F82">
      <w:pPr>
        <w:autoSpaceDE w:val="0"/>
        <w:autoSpaceDN w:val="0"/>
        <w:adjustRightInd w:val="0"/>
        <w:spacing w:before="120" w:after="120" w:line="240" w:lineRule="auto"/>
        <w:ind w:left="567" w:hanging="567"/>
        <w:jc w:val="both"/>
        <w:rPr>
          <w:rFonts w:ascii="Times New Roman" w:hAnsi="Times New Roman" w:cs="Times New Roman"/>
          <w:sz w:val="24"/>
          <w:szCs w:val="24"/>
          <w:lang w:val="en-US"/>
        </w:rPr>
      </w:pPr>
      <w:r w:rsidRPr="00113F82">
        <w:rPr>
          <w:rFonts w:ascii="Times New Roman" w:hAnsi="Times New Roman" w:cs="Times New Roman"/>
          <w:sz w:val="24"/>
          <w:szCs w:val="24"/>
          <w:lang w:val="en-US"/>
        </w:rPr>
        <w:t xml:space="preserve">Davis, G. F., W. W. Powell. 1992. Chapter 6: Organization-environment relations. M. D. Dunnette, L. M. Hough, eds. </w:t>
      </w:r>
      <w:r w:rsidRPr="00113F82">
        <w:rPr>
          <w:rFonts w:ascii="Times New Roman" w:hAnsi="Times New Roman" w:cs="Times New Roman"/>
          <w:i/>
          <w:iCs/>
          <w:sz w:val="24"/>
          <w:szCs w:val="24"/>
          <w:lang w:val="en-US"/>
        </w:rPr>
        <w:t>Handbook of Industrial and Organizational Psychology</w:t>
      </w:r>
      <w:r w:rsidRPr="00113F82">
        <w:rPr>
          <w:rFonts w:ascii="Times New Roman" w:hAnsi="Times New Roman" w:cs="Times New Roman"/>
          <w:sz w:val="24"/>
          <w:szCs w:val="24"/>
          <w:lang w:val="en-US"/>
        </w:rPr>
        <w:t>. Consulting Psychologists Press, Inc., Palo Alto, CA.</w:t>
      </w:r>
    </w:p>
    <w:p w14:paraId="1D5E25D2"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Hinterhuber, A. (2017). Value quantification capabilities in industrial markets. </w:t>
      </w:r>
      <w:r w:rsidRPr="00113F82">
        <w:rPr>
          <w:rFonts w:ascii="Times New Roman" w:eastAsia="Times New Roman" w:hAnsi="Times New Roman" w:cs="Times New Roman"/>
          <w:i/>
          <w:iCs/>
          <w:sz w:val="24"/>
          <w:szCs w:val="24"/>
          <w:lang w:val="en-US"/>
        </w:rPr>
        <w:t>Journal of Business Research</w:t>
      </w:r>
      <w:r w:rsidRPr="00113F82">
        <w:rPr>
          <w:rFonts w:ascii="Times New Roman" w:eastAsia="Times New Roman" w:hAnsi="Times New Roman" w:cs="Times New Roman"/>
          <w:iCs/>
          <w:sz w:val="24"/>
          <w:szCs w:val="24"/>
          <w:lang w:val="en-US"/>
        </w:rPr>
        <w:t>, 76, 163-178.</w:t>
      </w:r>
    </w:p>
    <w:p w14:paraId="3FDDBD36"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Holmstrom, B. (1999). The firm as a subeconomy. </w:t>
      </w:r>
      <w:r w:rsidRPr="00113F82">
        <w:rPr>
          <w:rFonts w:ascii="Times New Roman" w:eastAsia="Times New Roman" w:hAnsi="Times New Roman" w:cs="Times New Roman"/>
          <w:i/>
          <w:iCs/>
          <w:sz w:val="24"/>
          <w:szCs w:val="24"/>
          <w:lang w:val="en-US"/>
        </w:rPr>
        <w:t>Journal of Law, Economics, and organization</w:t>
      </w:r>
      <w:r w:rsidRPr="00113F82">
        <w:rPr>
          <w:rFonts w:ascii="Times New Roman" w:eastAsia="Times New Roman" w:hAnsi="Times New Roman" w:cs="Times New Roman"/>
          <w:iCs/>
          <w:sz w:val="24"/>
          <w:szCs w:val="24"/>
          <w:lang w:val="en-US"/>
        </w:rPr>
        <w:t>, 15(1), 74-102.</w:t>
      </w:r>
    </w:p>
    <w:p w14:paraId="38B084E1"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Järvinen, J., &amp; Taiminen, H. (2016). Harnessing marketing automation for B2B content marketing.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54, 164-175.</w:t>
      </w:r>
    </w:p>
    <w:p w14:paraId="66E6716B"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Keränen, J., &amp; Jalkala, A. (2013). Towards a framework of customer value assessment in B2B markets: An exploratory study.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42(8), 1307-1317.</w:t>
      </w:r>
    </w:p>
    <w:p w14:paraId="319A133A" w14:textId="77777777" w:rsidR="00113F82" w:rsidRPr="008C17FF" w:rsidRDefault="00113F82" w:rsidP="00113F82">
      <w:pPr>
        <w:spacing w:line="276" w:lineRule="auto"/>
        <w:ind w:left="567" w:hanging="567"/>
        <w:jc w:val="both"/>
        <w:rPr>
          <w:rFonts w:ascii="Times New Roman" w:eastAsia="Times New Roman" w:hAnsi="Times New Roman" w:cs="Times New Roman"/>
          <w:iCs/>
          <w:sz w:val="24"/>
          <w:szCs w:val="24"/>
          <w:lang w:val="sv-SE"/>
        </w:rPr>
      </w:pPr>
      <w:r w:rsidRPr="00113F82">
        <w:rPr>
          <w:rFonts w:ascii="Times New Roman" w:eastAsia="Times New Roman" w:hAnsi="Times New Roman" w:cs="Times New Roman"/>
          <w:iCs/>
          <w:sz w:val="24"/>
          <w:szCs w:val="24"/>
          <w:lang w:val="en-US"/>
        </w:rPr>
        <w:t xml:space="preserve">Keränen, J., &amp; Liozu, S. (2020). Value champions in business markets: Four role configurations. </w:t>
      </w:r>
      <w:r w:rsidRPr="008C17FF">
        <w:rPr>
          <w:rFonts w:ascii="Times New Roman" w:eastAsia="Times New Roman" w:hAnsi="Times New Roman" w:cs="Times New Roman"/>
          <w:i/>
          <w:iCs/>
          <w:sz w:val="24"/>
          <w:szCs w:val="24"/>
          <w:lang w:val="sv-SE"/>
        </w:rPr>
        <w:t>Industrial Marketing Management</w:t>
      </w:r>
      <w:r w:rsidRPr="008C17FF">
        <w:rPr>
          <w:rFonts w:ascii="Times New Roman" w:eastAsia="Times New Roman" w:hAnsi="Times New Roman" w:cs="Times New Roman"/>
          <w:iCs/>
          <w:sz w:val="24"/>
          <w:szCs w:val="24"/>
          <w:lang w:val="sv-SE"/>
        </w:rPr>
        <w:t>, 85, 84-96.</w:t>
      </w:r>
    </w:p>
    <w:p w14:paraId="7EE06D7C"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8C17FF">
        <w:rPr>
          <w:rFonts w:ascii="Times New Roman" w:eastAsia="Times New Roman" w:hAnsi="Times New Roman" w:cs="Times New Roman"/>
          <w:iCs/>
          <w:sz w:val="24"/>
          <w:szCs w:val="24"/>
          <w:lang w:val="sv-SE"/>
        </w:rPr>
        <w:t xml:space="preserve">Kienzler, M., Kindström, D., &amp; Brashear-Alejandro, T. (2019). </w:t>
      </w:r>
      <w:r w:rsidRPr="00113F82">
        <w:rPr>
          <w:rFonts w:ascii="Times New Roman" w:eastAsia="Times New Roman" w:hAnsi="Times New Roman" w:cs="Times New Roman"/>
          <w:iCs/>
          <w:sz w:val="24"/>
          <w:szCs w:val="24"/>
          <w:lang w:val="en-US"/>
        </w:rPr>
        <w:t xml:space="preserve">Value-based selling: a multi-component exploration. </w:t>
      </w:r>
      <w:r w:rsidRPr="00113F82">
        <w:rPr>
          <w:rFonts w:ascii="Times New Roman" w:eastAsia="Times New Roman" w:hAnsi="Times New Roman" w:cs="Times New Roman"/>
          <w:i/>
          <w:iCs/>
          <w:sz w:val="24"/>
          <w:szCs w:val="24"/>
          <w:lang w:val="en-US"/>
        </w:rPr>
        <w:t>Journal of Business &amp; Industrial Marketing</w:t>
      </w:r>
      <w:r w:rsidRPr="00113F82">
        <w:rPr>
          <w:rFonts w:ascii="Times New Roman" w:eastAsia="Times New Roman" w:hAnsi="Times New Roman" w:cs="Times New Roman"/>
          <w:iCs/>
          <w:sz w:val="24"/>
          <w:szCs w:val="24"/>
          <w:lang w:val="en-US"/>
        </w:rPr>
        <w:t>. 34(2), 360-373.</w:t>
      </w:r>
    </w:p>
    <w:p w14:paraId="02D530F3"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Kraljic, P. (1983). Purchasing must become supply management. </w:t>
      </w:r>
      <w:r w:rsidRPr="00113F82">
        <w:rPr>
          <w:rFonts w:ascii="Times New Roman" w:eastAsia="Times New Roman" w:hAnsi="Times New Roman" w:cs="Times New Roman"/>
          <w:i/>
          <w:iCs/>
          <w:sz w:val="24"/>
          <w:szCs w:val="24"/>
          <w:lang w:val="en-US"/>
        </w:rPr>
        <w:t>Harvard Business School Review,</w:t>
      </w:r>
      <w:r w:rsidRPr="00113F82">
        <w:rPr>
          <w:rFonts w:ascii="Times New Roman" w:eastAsia="Times New Roman" w:hAnsi="Times New Roman" w:cs="Times New Roman"/>
          <w:iCs/>
          <w:sz w:val="24"/>
          <w:szCs w:val="24"/>
          <w:lang w:val="en-US"/>
        </w:rPr>
        <w:t xml:space="preserve"> 61(5), 109-117.</w:t>
      </w:r>
    </w:p>
    <w:p w14:paraId="47C39A57"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Meehan, J., Menzies, L., &amp; Michaelides, R. (2017). The long shadow of public policy; Barriers to a value-based approach in healthcare procurement. </w:t>
      </w:r>
      <w:r w:rsidRPr="00113F82">
        <w:rPr>
          <w:rFonts w:ascii="Times New Roman" w:eastAsia="Times New Roman" w:hAnsi="Times New Roman" w:cs="Times New Roman"/>
          <w:i/>
          <w:iCs/>
          <w:sz w:val="24"/>
          <w:szCs w:val="24"/>
          <w:lang w:val="en-US"/>
        </w:rPr>
        <w:t>Journal of Purchasing and Supply Management</w:t>
      </w:r>
      <w:r w:rsidRPr="00113F82">
        <w:rPr>
          <w:rFonts w:ascii="Times New Roman" w:eastAsia="Times New Roman" w:hAnsi="Times New Roman" w:cs="Times New Roman"/>
          <w:iCs/>
          <w:sz w:val="24"/>
          <w:szCs w:val="24"/>
          <w:lang w:val="en-US"/>
        </w:rPr>
        <w:t>, 23(4), 229-241.</w:t>
      </w:r>
    </w:p>
    <w:p w14:paraId="3604E110"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Nenonen, S., Storbacka, K., &amp; Windahl, C. (2019). Capabilities for market-shaping: triggering and facilitating increased value creation. </w:t>
      </w:r>
      <w:r w:rsidRPr="00113F82">
        <w:rPr>
          <w:rFonts w:ascii="Times New Roman" w:eastAsia="Times New Roman" w:hAnsi="Times New Roman" w:cs="Times New Roman"/>
          <w:i/>
          <w:iCs/>
          <w:sz w:val="24"/>
          <w:szCs w:val="24"/>
          <w:lang w:val="en-US"/>
        </w:rPr>
        <w:t>Journal of the Academy of Marketing Science,</w:t>
      </w:r>
      <w:r w:rsidRPr="00113F82">
        <w:rPr>
          <w:rFonts w:ascii="Times New Roman" w:eastAsia="Times New Roman" w:hAnsi="Times New Roman" w:cs="Times New Roman"/>
          <w:iCs/>
          <w:sz w:val="24"/>
          <w:szCs w:val="24"/>
          <w:lang w:val="en-US"/>
        </w:rPr>
        <w:t xml:space="preserve"> 47(4), 617-639.</w:t>
      </w:r>
    </w:p>
    <w:p w14:paraId="743AEB0A"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Osiyevskyy, O., Shirokova, G., &amp; Ritala, P. (2020). Exploration and exploitation in crisis environment: Implications for level and variability of firm performance. </w:t>
      </w:r>
      <w:r w:rsidRPr="00113F82">
        <w:rPr>
          <w:rFonts w:ascii="Times New Roman" w:eastAsia="Times New Roman" w:hAnsi="Times New Roman" w:cs="Times New Roman"/>
          <w:i/>
          <w:iCs/>
          <w:sz w:val="24"/>
          <w:szCs w:val="24"/>
          <w:lang w:val="en-US"/>
        </w:rPr>
        <w:t>Journal of Business Research</w:t>
      </w:r>
      <w:r w:rsidRPr="00113F82">
        <w:rPr>
          <w:rFonts w:ascii="Times New Roman" w:eastAsia="Times New Roman" w:hAnsi="Times New Roman" w:cs="Times New Roman"/>
          <w:iCs/>
          <w:sz w:val="24"/>
          <w:szCs w:val="24"/>
          <w:lang w:val="en-US"/>
        </w:rPr>
        <w:t>, 114, 227-239.</w:t>
      </w:r>
    </w:p>
    <w:p w14:paraId="1357E2BC" w14:textId="77777777" w:rsidR="00113F82" w:rsidRPr="00113F82" w:rsidRDefault="00113F82" w:rsidP="00113F82">
      <w:pPr>
        <w:spacing w:line="276" w:lineRule="auto"/>
        <w:ind w:left="567" w:hanging="567"/>
        <w:jc w:val="both"/>
        <w:rPr>
          <w:rFonts w:ascii="Times New Roman" w:eastAsia="Times New Roman" w:hAnsi="Times New Roman" w:cs="Times New Roman"/>
          <w:i/>
          <w:iCs/>
          <w:sz w:val="24"/>
          <w:szCs w:val="24"/>
          <w:lang w:val="en-US"/>
        </w:rPr>
      </w:pPr>
      <w:r w:rsidRPr="00113F82">
        <w:rPr>
          <w:rFonts w:ascii="Times New Roman" w:eastAsia="Times New Roman" w:hAnsi="Times New Roman" w:cs="Times New Roman"/>
          <w:iCs/>
          <w:sz w:val="24"/>
          <w:szCs w:val="24"/>
          <w:lang w:val="en-US"/>
        </w:rPr>
        <w:t xml:space="preserve">Pfeffer, J., G. Salancik. 1978. </w:t>
      </w:r>
      <w:r w:rsidRPr="00113F82">
        <w:rPr>
          <w:rFonts w:ascii="Times New Roman" w:eastAsia="Times New Roman" w:hAnsi="Times New Roman" w:cs="Times New Roman"/>
          <w:i/>
          <w:iCs/>
          <w:sz w:val="24"/>
          <w:szCs w:val="24"/>
          <w:lang w:val="en-US"/>
        </w:rPr>
        <w:t>The External Control of Organizations: A Resource Dependence Perspective</w:t>
      </w:r>
      <w:r w:rsidRPr="00113F82">
        <w:rPr>
          <w:rFonts w:ascii="Times New Roman" w:eastAsia="Times New Roman" w:hAnsi="Times New Roman" w:cs="Times New Roman"/>
          <w:iCs/>
          <w:sz w:val="24"/>
          <w:szCs w:val="24"/>
          <w:lang w:val="en-US"/>
        </w:rPr>
        <w:t>. Harper &amp; Row Publishers,</w:t>
      </w:r>
      <w:r w:rsidRPr="00113F82">
        <w:rPr>
          <w:rFonts w:ascii="Times New Roman" w:eastAsia="Times New Roman" w:hAnsi="Times New Roman" w:cs="Times New Roman"/>
          <w:i/>
          <w:iCs/>
          <w:sz w:val="24"/>
          <w:szCs w:val="24"/>
          <w:lang w:val="en-US"/>
        </w:rPr>
        <w:t xml:space="preserve"> </w:t>
      </w:r>
      <w:r w:rsidRPr="00113F82">
        <w:rPr>
          <w:rFonts w:ascii="Times New Roman" w:eastAsia="Times New Roman" w:hAnsi="Times New Roman" w:cs="Times New Roman"/>
          <w:iCs/>
          <w:sz w:val="24"/>
          <w:szCs w:val="24"/>
          <w:lang w:val="en-US"/>
        </w:rPr>
        <w:t>New York.</w:t>
      </w:r>
    </w:p>
    <w:p w14:paraId="2DA202C4"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8C17FF">
        <w:rPr>
          <w:rFonts w:ascii="Times New Roman" w:eastAsia="Times New Roman" w:hAnsi="Times New Roman" w:cs="Times New Roman"/>
          <w:iCs/>
          <w:sz w:val="24"/>
          <w:szCs w:val="24"/>
          <w:lang w:val="en-US"/>
        </w:rPr>
        <w:t xml:space="preserve">Raja, J. Z., Frandsen, T., Kowalkowski, C., &amp; Jarmatz, M. (2020). </w:t>
      </w:r>
      <w:r w:rsidRPr="00113F82">
        <w:rPr>
          <w:rFonts w:ascii="Times New Roman" w:eastAsia="Times New Roman" w:hAnsi="Times New Roman" w:cs="Times New Roman"/>
          <w:iCs/>
          <w:sz w:val="24"/>
          <w:szCs w:val="24"/>
          <w:lang w:val="en-US"/>
        </w:rPr>
        <w:t xml:space="preserve">Learning to discover value: Value-based pricing and selling capabilities for services and solutions. </w:t>
      </w:r>
      <w:r w:rsidRPr="00113F82">
        <w:rPr>
          <w:rFonts w:ascii="Times New Roman" w:eastAsia="Times New Roman" w:hAnsi="Times New Roman" w:cs="Times New Roman"/>
          <w:i/>
          <w:iCs/>
          <w:sz w:val="24"/>
          <w:szCs w:val="24"/>
          <w:lang w:val="en-US"/>
        </w:rPr>
        <w:t>Journal of Business Research</w:t>
      </w:r>
      <w:r w:rsidRPr="00113F82">
        <w:rPr>
          <w:rFonts w:ascii="Times New Roman" w:eastAsia="Times New Roman" w:hAnsi="Times New Roman" w:cs="Times New Roman"/>
          <w:iCs/>
          <w:sz w:val="24"/>
          <w:szCs w:val="24"/>
          <w:lang w:val="en-US"/>
        </w:rPr>
        <w:t>, 114, 142-159.</w:t>
      </w:r>
    </w:p>
    <w:p w14:paraId="3B50E315"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Ritter, T., &amp; Pedersen, C. L. (2020). Assessing Coronavirus’s Impact on Your Business Model. </w:t>
      </w:r>
      <w:r w:rsidRPr="00113F82">
        <w:rPr>
          <w:rFonts w:ascii="Times New Roman" w:eastAsia="Times New Roman" w:hAnsi="Times New Roman" w:cs="Times New Roman"/>
          <w:i/>
          <w:iCs/>
          <w:sz w:val="24"/>
          <w:szCs w:val="24"/>
          <w:lang w:val="en-US"/>
        </w:rPr>
        <w:t xml:space="preserve">Harvard Business Review, </w:t>
      </w:r>
      <w:r w:rsidRPr="00113F82">
        <w:rPr>
          <w:rFonts w:ascii="Times New Roman" w:eastAsia="Times New Roman" w:hAnsi="Times New Roman" w:cs="Times New Roman"/>
          <w:iCs/>
          <w:sz w:val="24"/>
          <w:szCs w:val="24"/>
          <w:lang w:val="en-US"/>
        </w:rPr>
        <w:t>Digital Article (April).</w:t>
      </w:r>
    </w:p>
    <w:p w14:paraId="29247A37"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Salonen, A., &amp; Jaakkola, E. (2015). Firm boundary decisions in solution business: Examining internal vs. external resource integration.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xml:space="preserve">, </w:t>
      </w:r>
      <w:r w:rsidRPr="00113F82">
        <w:rPr>
          <w:rFonts w:ascii="Times New Roman" w:eastAsia="Times New Roman" w:hAnsi="Times New Roman" w:cs="Times New Roman"/>
          <w:i/>
          <w:iCs/>
          <w:sz w:val="24"/>
          <w:szCs w:val="24"/>
          <w:lang w:val="en-US"/>
        </w:rPr>
        <w:t>51</w:t>
      </w:r>
      <w:r w:rsidRPr="00113F82">
        <w:rPr>
          <w:rFonts w:ascii="Times New Roman" w:eastAsia="Times New Roman" w:hAnsi="Times New Roman" w:cs="Times New Roman"/>
          <w:iCs/>
          <w:sz w:val="24"/>
          <w:szCs w:val="24"/>
          <w:lang w:val="en-US"/>
        </w:rPr>
        <w:t>, 171-183.</w:t>
      </w:r>
    </w:p>
    <w:p w14:paraId="777164CC"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hAnsi="Times New Roman" w:cs="Times New Roman"/>
          <w:bCs/>
          <w:sz w:val="24"/>
          <w:szCs w:val="24"/>
          <w:lang w:val="en-US"/>
        </w:rPr>
        <w:t xml:space="preserve">Salonen, A., Terho, H., Böhm, E., Rajala, R., &amp; Virtanen, A. (forthcoming). </w:t>
      </w:r>
      <w:r w:rsidRPr="00113F82">
        <w:rPr>
          <w:rFonts w:ascii="Times New Roman" w:hAnsi="Times New Roman" w:cs="Times New Roman"/>
          <w:sz w:val="24"/>
          <w:szCs w:val="24"/>
          <w:lang w:val="en-US"/>
        </w:rPr>
        <w:t xml:space="preserve">Engaging a product focused sales force in solution selling: Interplay of individual and organizational conditions, </w:t>
      </w:r>
      <w:r w:rsidRPr="00113F82">
        <w:rPr>
          <w:rFonts w:ascii="Times New Roman" w:hAnsi="Times New Roman" w:cs="Times New Roman"/>
          <w:i/>
          <w:sz w:val="24"/>
          <w:szCs w:val="24"/>
          <w:lang w:val="en-US"/>
        </w:rPr>
        <w:t>Journal of the Academy of Marketing Science</w:t>
      </w:r>
      <w:r w:rsidRPr="00113F82">
        <w:rPr>
          <w:rFonts w:ascii="Times New Roman" w:hAnsi="Times New Roman" w:cs="Times New Roman"/>
          <w:sz w:val="24"/>
          <w:szCs w:val="24"/>
          <w:lang w:val="en-US"/>
        </w:rPr>
        <w:t>.</w:t>
      </w:r>
    </w:p>
    <w:p w14:paraId="5434D7A0"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DF6E40">
        <w:rPr>
          <w:rFonts w:ascii="Times New Roman" w:eastAsia="Times New Roman" w:hAnsi="Times New Roman" w:cs="Times New Roman"/>
          <w:iCs/>
          <w:sz w:val="24"/>
          <w:szCs w:val="24"/>
        </w:rPr>
        <w:t xml:space="preserve">Santos, F. M. &amp; Eisenhardt, K. M. (2005). </w:t>
      </w:r>
      <w:r w:rsidRPr="00113F82">
        <w:rPr>
          <w:rFonts w:ascii="Times New Roman" w:eastAsia="Times New Roman" w:hAnsi="Times New Roman" w:cs="Times New Roman"/>
          <w:iCs/>
          <w:sz w:val="24"/>
          <w:szCs w:val="24"/>
          <w:lang w:val="en-US"/>
        </w:rPr>
        <w:t xml:space="preserve">Organizational boundaries and theories of organization. </w:t>
      </w:r>
      <w:r w:rsidRPr="00113F82">
        <w:rPr>
          <w:rFonts w:ascii="Times New Roman" w:eastAsia="Times New Roman" w:hAnsi="Times New Roman" w:cs="Times New Roman"/>
          <w:i/>
          <w:iCs/>
          <w:sz w:val="24"/>
          <w:szCs w:val="24"/>
          <w:lang w:val="en-US"/>
        </w:rPr>
        <w:t>Organization Science</w:t>
      </w:r>
      <w:r w:rsidRPr="00113F82">
        <w:rPr>
          <w:rFonts w:ascii="Times New Roman" w:eastAsia="Times New Roman" w:hAnsi="Times New Roman" w:cs="Times New Roman"/>
          <w:iCs/>
          <w:sz w:val="24"/>
          <w:szCs w:val="24"/>
          <w:lang w:val="en-US"/>
        </w:rPr>
        <w:t>, 16(5), 491–508.</w:t>
      </w:r>
    </w:p>
    <w:p w14:paraId="0A40F629"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Santos, F. M. &amp; Eisenhardt,K.M. (2009). Constructing markets and shaping boundaries: entrepreneurial power in nascent fields. </w:t>
      </w:r>
      <w:r w:rsidRPr="00113F82">
        <w:rPr>
          <w:rFonts w:ascii="Times New Roman" w:eastAsia="Times New Roman" w:hAnsi="Times New Roman" w:cs="Times New Roman"/>
          <w:i/>
          <w:iCs/>
          <w:sz w:val="24"/>
          <w:szCs w:val="24"/>
          <w:lang w:val="en-US"/>
        </w:rPr>
        <w:t>Academy of Management Journal</w:t>
      </w:r>
      <w:r w:rsidRPr="00113F82">
        <w:rPr>
          <w:rFonts w:ascii="Times New Roman" w:eastAsia="Times New Roman" w:hAnsi="Times New Roman" w:cs="Times New Roman"/>
          <w:iCs/>
          <w:sz w:val="24"/>
          <w:szCs w:val="24"/>
          <w:lang w:val="en-US"/>
        </w:rPr>
        <w:t>, 52(4), 643–671.</w:t>
      </w:r>
    </w:p>
    <w:p w14:paraId="79303EFC" w14:textId="77777777" w:rsidR="00113F82" w:rsidRPr="008C17FF"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Sjödin, D., Parida, V., Jovanovic, M., &amp; Visnjic, I. (2019). Value creation and value capture alignment in business model innovation: A process view on outcome‐based business models. </w:t>
      </w:r>
      <w:r w:rsidRPr="008C17FF">
        <w:rPr>
          <w:rFonts w:ascii="Times New Roman" w:eastAsia="Times New Roman" w:hAnsi="Times New Roman" w:cs="Times New Roman"/>
          <w:i/>
          <w:iCs/>
          <w:sz w:val="24"/>
          <w:szCs w:val="24"/>
          <w:lang w:val="en-US"/>
        </w:rPr>
        <w:t>Journal of Product Innovation Management</w:t>
      </w:r>
      <w:r w:rsidRPr="008C17FF">
        <w:rPr>
          <w:rFonts w:ascii="Times New Roman" w:eastAsia="Times New Roman" w:hAnsi="Times New Roman" w:cs="Times New Roman"/>
          <w:iCs/>
          <w:sz w:val="24"/>
          <w:szCs w:val="24"/>
          <w:lang w:val="en-US"/>
        </w:rPr>
        <w:t>. 37(2), 158–183.</w:t>
      </w:r>
    </w:p>
    <w:p w14:paraId="4AED3D50" w14:textId="77777777" w:rsidR="00113F82" w:rsidRPr="00113F82" w:rsidRDefault="00113F82" w:rsidP="00113F82">
      <w:pPr>
        <w:spacing w:line="276" w:lineRule="auto"/>
        <w:ind w:left="567" w:hanging="567"/>
        <w:jc w:val="both"/>
        <w:rPr>
          <w:rFonts w:ascii="Times New Roman" w:eastAsia="Times New Roman" w:hAnsi="Times New Roman" w:cs="Times New Roman"/>
          <w:bCs/>
          <w:iCs/>
          <w:sz w:val="24"/>
          <w:szCs w:val="24"/>
          <w:lang w:val="en-US"/>
        </w:rPr>
      </w:pPr>
      <w:r w:rsidRPr="00113F82">
        <w:rPr>
          <w:rFonts w:ascii="Times New Roman" w:eastAsia="Times New Roman" w:hAnsi="Times New Roman" w:cs="Times New Roman"/>
          <w:iCs/>
          <w:sz w:val="24"/>
          <w:szCs w:val="24"/>
          <w:lang w:val="en-US"/>
        </w:rPr>
        <w:t xml:space="preserve">Suplari (2019). </w:t>
      </w:r>
      <w:r w:rsidRPr="00113F82">
        <w:rPr>
          <w:rFonts w:ascii="Times New Roman" w:eastAsia="Times New Roman" w:hAnsi="Times New Roman" w:cs="Times New Roman"/>
          <w:bCs/>
          <w:iCs/>
          <w:sz w:val="24"/>
          <w:szCs w:val="24"/>
          <w:lang w:val="en-US"/>
        </w:rPr>
        <w:t xml:space="preserve">Plans &amp; tactics to recession-proof the enterprise: A survey of procurement &amp; finance professionals. Available at </w:t>
      </w:r>
      <w:hyperlink r:id="rId17" w:history="1">
        <w:r w:rsidRPr="00113F82">
          <w:rPr>
            <w:rStyle w:val="Hyperlinkki"/>
            <w:rFonts w:ascii="Times New Roman" w:eastAsia="Times New Roman" w:hAnsi="Times New Roman" w:cs="Times New Roman"/>
            <w:bCs/>
            <w:iCs/>
            <w:sz w:val="24"/>
            <w:szCs w:val="24"/>
            <w:lang w:val="en-US"/>
          </w:rPr>
          <w:t>https://www.suplari.com/wp-content/uploads/2019/06/Suplari_Recession_Survey_Report_2.0.pdf</w:t>
        </w:r>
      </w:hyperlink>
    </w:p>
    <w:p w14:paraId="0A55F1F8"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Steward, M. D., Narus, J. A., Roehm, M. L., &amp; Ritz, W. (2019). From transactions to journeys and beyond: The evolution of B2B buying process modeling.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83, 288–300.</w:t>
      </w:r>
    </w:p>
    <w:p w14:paraId="1E306AA6"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Storbacka, K. (2011). A solution business model: Capabilities and management practices for integrated solutions.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40(5), 699-711.</w:t>
      </w:r>
    </w:p>
    <w:p w14:paraId="42781495"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Terho, H., Haas, A., Eggert, A., &amp; Ulaga, W. (2012). “It's almost like taking the sales out of selling”: Towards a conceptualization of value-based selling in business markets.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41(1), 174–185.</w:t>
      </w:r>
    </w:p>
    <w:p w14:paraId="13BA6D66" w14:textId="77777777" w:rsidR="00113F82" w:rsidRPr="00113F82" w:rsidRDefault="00113F82" w:rsidP="00113F82">
      <w:pPr>
        <w:spacing w:line="276" w:lineRule="auto"/>
        <w:ind w:left="567" w:hanging="567"/>
        <w:jc w:val="both"/>
        <w:rPr>
          <w:rFonts w:ascii="Times New Roman" w:eastAsia="Times New Roman" w:hAnsi="Times New Roman" w:cs="Times New Roman"/>
          <w:iCs/>
          <w:sz w:val="24"/>
          <w:szCs w:val="24"/>
          <w:lang w:val="en-US"/>
        </w:rPr>
      </w:pPr>
      <w:r w:rsidRPr="00113F82">
        <w:rPr>
          <w:rFonts w:ascii="Times New Roman" w:eastAsia="Times New Roman" w:hAnsi="Times New Roman" w:cs="Times New Roman"/>
          <w:iCs/>
          <w:sz w:val="24"/>
          <w:szCs w:val="24"/>
          <w:lang w:val="en-US"/>
        </w:rPr>
        <w:t xml:space="preserve">Terho, H., Eggert, A., Ulaga, W., Haas, A., &amp; Böhm, E. (2017). Selling value in business markets: Individual and organizational factors for turning the idea into action. </w:t>
      </w:r>
      <w:r w:rsidRPr="00113F82">
        <w:rPr>
          <w:rFonts w:ascii="Times New Roman" w:eastAsia="Times New Roman" w:hAnsi="Times New Roman" w:cs="Times New Roman"/>
          <w:i/>
          <w:iCs/>
          <w:sz w:val="24"/>
          <w:szCs w:val="24"/>
          <w:lang w:val="en-US"/>
        </w:rPr>
        <w:t>Industrial Marketing Management,</w:t>
      </w:r>
      <w:r w:rsidRPr="00113F82">
        <w:rPr>
          <w:rFonts w:ascii="Times New Roman" w:eastAsia="Times New Roman" w:hAnsi="Times New Roman" w:cs="Times New Roman"/>
          <w:iCs/>
          <w:sz w:val="24"/>
          <w:szCs w:val="24"/>
          <w:lang w:val="en-US"/>
        </w:rPr>
        <w:t xml:space="preserve"> 66, 42–55.</w:t>
      </w:r>
    </w:p>
    <w:p w14:paraId="7203B0A7" w14:textId="77777777" w:rsidR="00113F82" w:rsidRPr="00113F82" w:rsidRDefault="00113F82" w:rsidP="00113F82">
      <w:pPr>
        <w:spacing w:line="276" w:lineRule="auto"/>
        <w:ind w:left="567" w:hanging="567"/>
        <w:rPr>
          <w:rFonts w:ascii="Times New Roman" w:hAnsi="Times New Roman" w:cs="Times New Roman"/>
          <w:iCs/>
          <w:sz w:val="24"/>
          <w:lang w:val="en-US"/>
        </w:rPr>
      </w:pPr>
      <w:r w:rsidRPr="00113F82">
        <w:rPr>
          <w:rFonts w:ascii="Times New Roman" w:hAnsi="Times New Roman" w:cs="Times New Roman"/>
          <w:bCs/>
          <w:iCs/>
          <w:sz w:val="24"/>
          <w:lang w:val="en-US"/>
        </w:rPr>
        <w:t>Terho</w:t>
      </w:r>
      <w:r w:rsidRPr="00113F82">
        <w:rPr>
          <w:rFonts w:ascii="Times New Roman" w:hAnsi="Times New Roman" w:cs="Times New Roman"/>
          <w:iCs/>
          <w:sz w:val="24"/>
          <w:lang w:val="en-US"/>
        </w:rPr>
        <w:t xml:space="preserve">, </w:t>
      </w:r>
      <w:r w:rsidRPr="00113F82">
        <w:rPr>
          <w:rFonts w:ascii="Times New Roman" w:hAnsi="Times New Roman" w:cs="Times New Roman"/>
          <w:bCs/>
          <w:iCs/>
          <w:sz w:val="24"/>
          <w:lang w:val="en-US"/>
        </w:rPr>
        <w:t>H., &amp;</w:t>
      </w:r>
      <w:r w:rsidRPr="00113F82">
        <w:rPr>
          <w:rFonts w:ascii="Times New Roman" w:hAnsi="Times New Roman" w:cs="Times New Roman"/>
          <w:iCs/>
          <w:sz w:val="24"/>
          <w:lang w:val="en-US"/>
        </w:rPr>
        <w:t xml:space="preserve"> Jalkala, A. (2017). Customer reference marketing, conceptualization, measurement, and link to selling performance. </w:t>
      </w:r>
      <w:r w:rsidRPr="00113F82">
        <w:rPr>
          <w:rFonts w:ascii="Times New Roman" w:hAnsi="Times New Roman" w:cs="Times New Roman"/>
          <w:i/>
          <w:iCs/>
          <w:sz w:val="24"/>
          <w:lang w:val="en-US"/>
        </w:rPr>
        <w:t xml:space="preserve">Industrial Marketing Management, </w:t>
      </w:r>
      <w:r w:rsidRPr="00113F82">
        <w:rPr>
          <w:rFonts w:ascii="Times New Roman" w:hAnsi="Times New Roman" w:cs="Times New Roman"/>
          <w:iCs/>
          <w:sz w:val="24"/>
          <w:lang w:val="en-US"/>
        </w:rPr>
        <w:t xml:space="preserve">64, 175-186. </w:t>
      </w:r>
    </w:p>
    <w:p w14:paraId="129CE544" w14:textId="77777777" w:rsidR="00113F82" w:rsidRPr="00D3649B" w:rsidRDefault="00113F82" w:rsidP="00113F82">
      <w:pPr>
        <w:spacing w:line="276" w:lineRule="auto"/>
        <w:ind w:left="567" w:hanging="567"/>
        <w:jc w:val="both"/>
        <w:rPr>
          <w:rFonts w:ascii="Times New Roman" w:eastAsia="Times New Roman" w:hAnsi="Times New Roman" w:cs="Times New Roman"/>
          <w:iCs/>
          <w:sz w:val="24"/>
          <w:szCs w:val="24"/>
          <w:lang w:val="de-CH"/>
        </w:rPr>
      </w:pPr>
      <w:r w:rsidRPr="00113F82">
        <w:rPr>
          <w:rFonts w:ascii="Times New Roman" w:eastAsia="Times New Roman" w:hAnsi="Times New Roman" w:cs="Times New Roman"/>
          <w:iCs/>
          <w:sz w:val="24"/>
          <w:szCs w:val="24"/>
          <w:lang w:val="en-US"/>
        </w:rPr>
        <w:t xml:space="preserve">Töytäri, P., Rajala, R., &amp; Alejandro, T. B. (2015). </w:t>
      </w:r>
      <w:r w:rsidRPr="00D3649B">
        <w:rPr>
          <w:rFonts w:ascii="Times New Roman" w:eastAsia="Times New Roman" w:hAnsi="Times New Roman" w:cs="Times New Roman"/>
          <w:iCs/>
          <w:sz w:val="24"/>
          <w:szCs w:val="24"/>
          <w:lang w:val="de-CH"/>
        </w:rPr>
        <w:t xml:space="preserve">Organizational and institutional barriers to value-based pricing in industrial relationships. </w:t>
      </w:r>
      <w:r w:rsidRPr="00D3649B">
        <w:rPr>
          <w:rFonts w:ascii="Times New Roman" w:eastAsia="Times New Roman" w:hAnsi="Times New Roman" w:cs="Times New Roman"/>
          <w:i/>
          <w:iCs/>
          <w:sz w:val="24"/>
          <w:szCs w:val="24"/>
          <w:lang w:val="de-CH"/>
        </w:rPr>
        <w:t>Industrial Marketing Management,</w:t>
      </w:r>
      <w:r w:rsidRPr="00D3649B">
        <w:rPr>
          <w:rFonts w:ascii="Times New Roman" w:eastAsia="Times New Roman" w:hAnsi="Times New Roman" w:cs="Times New Roman"/>
          <w:iCs/>
          <w:sz w:val="24"/>
          <w:szCs w:val="24"/>
          <w:lang w:val="de-CH"/>
        </w:rPr>
        <w:t xml:space="preserve"> 47, 53–64.</w:t>
      </w:r>
    </w:p>
    <w:p w14:paraId="28141914" w14:textId="77777777" w:rsidR="00113F82" w:rsidRPr="00D3649B" w:rsidRDefault="00113F82" w:rsidP="00113F82">
      <w:pPr>
        <w:spacing w:line="276" w:lineRule="auto"/>
        <w:ind w:left="567" w:hanging="567"/>
        <w:jc w:val="both"/>
        <w:rPr>
          <w:rFonts w:ascii="Times New Roman" w:eastAsia="Times New Roman" w:hAnsi="Times New Roman" w:cs="Times New Roman"/>
          <w:iCs/>
          <w:sz w:val="24"/>
          <w:szCs w:val="24"/>
          <w:lang w:val="de-CH"/>
        </w:rPr>
      </w:pPr>
      <w:r w:rsidRPr="00D3649B">
        <w:rPr>
          <w:rFonts w:ascii="Times New Roman" w:eastAsia="Times New Roman" w:hAnsi="Times New Roman" w:cs="Times New Roman"/>
          <w:iCs/>
          <w:sz w:val="24"/>
          <w:szCs w:val="24"/>
          <w:lang w:val="de-CH"/>
        </w:rPr>
        <w:t xml:space="preserve">Töytäri, P., &amp; Rajala, R. (2015). Value-based selling: An organizational capability perspective. </w:t>
      </w:r>
      <w:r w:rsidRPr="00D3649B">
        <w:rPr>
          <w:rFonts w:ascii="Times New Roman" w:eastAsia="Times New Roman" w:hAnsi="Times New Roman" w:cs="Times New Roman"/>
          <w:i/>
          <w:iCs/>
          <w:sz w:val="24"/>
          <w:szCs w:val="24"/>
          <w:lang w:val="de-CH"/>
        </w:rPr>
        <w:t>Industrial Marketing Management, 45</w:t>
      </w:r>
      <w:r w:rsidRPr="00D3649B">
        <w:rPr>
          <w:rFonts w:ascii="Times New Roman" w:eastAsia="Times New Roman" w:hAnsi="Times New Roman" w:cs="Times New Roman"/>
          <w:iCs/>
          <w:sz w:val="24"/>
          <w:szCs w:val="24"/>
          <w:lang w:val="de-CH"/>
        </w:rPr>
        <w:t>, 101–112.</w:t>
      </w:r>
    </w:p>
    <w:p w14:paraId="2612D0A9" w14:textId="77777777" w:rsidR="00113F82" w:rsidRPr="00D3649B" w:rsidRDefault="00113F82" w:rsidP="00113F82">
      <w:pPr>
        <w:spacing w:line="276" w:lineRule="auto"/>
        <w:ind w:left="567" w:hanging="567"/>
        <w:jc w:val="both"/>
        <w:rPr>
          <w:rFonts w:ascii="Times New Roman" w:eastAsia="Times New Roman" w:hAnsi="Times New Roman" w:cs="Times New Roman"/>
          <w:iCs/>
          <w:sz w:val="24"/>
          <w:szCs w:val="24"/>
          <w:lang w:val="de-CH"/>
        </w:rPr>
      </w:pPr>
      <w:r w:rsidRPr="00D3649B">
        <w:rPr>
          <w:rFonts w:ascii="Times New Roman" w:eastAsia="Times New Roman" w:hAnsi="Times New Roman" w:cs="Times New Roman"/>
          <w:iCs/>
          <w:sz w:val="24"/>
          <w:szCs w:val="24"/>
          <w:lang w:val="de-CH"/>
        </w:rPr>
        <w:t xml:space="preserve">Ulaga, W., &amp; Reinartz, W. J. (2011). Hybrid offerings: how manufacturing firms combine goods and services successfully. </w:t>
      </w:r>
      <w:r>
        <w:rPr>
          <w:rFonts w:ascii="Times New Roman" w:eastAsia="Times New Roman" w:hAnsi="Times New Roman" w:cs="Times New Roman"/>
          <w:i/>
          <w:iCs/>
          <w:sz w:val="24"/>
          <w:szCs w:val="24"/>
          <w:lang w:val="de-CH"/>
        </w:rPr>
        <w:t>Journal of M</w:t>
      </w:r>
      <w:r w:rsidRPr="00D3649B">
        <w:rPr>
          <w:rFonts w:ascii="Times New Roman" w:eastAsia="Times New Roman" w:hAnsi="Times New Roman" w:cs="Times New Roman"/>
          <w:i/>
          <w:iCs/>
          <w:sz w:val="24"/>
          <w:szCs w:val="24"/>
          <w:lang w:val="de-CH"/>
        </w:rPr>
        <w:t>arketing</w:t>
      </w:r>
      <w:r w:rsidRPr="00D3649B">
        <w:rPr>
          <w:rFonts w:ascii="Times New Roman" w:eastAsia="Times New Roman" w:hAnsi="Times New Roman" w:cs="Times New Roman"/>
          <w:iCs/>
          <w:sz w:val="24"/>
          <w:szCs w:val="24"/>
          <w:lang w:val="de-CH"/>
        </w:rPr>
        <w:t xml:space="preserve">, </w:t>
      </w:r>
      <w:r w:rsidRPr="00D3649B">
        <w:rPr>
          <w:rFonts w:ascii="Times New Roman" w:eastAsia="Times New Roman" w:hAnsi="Times New Roman" w:cs="Times New Roman"/>
          <w:i/>
          <w:iCs/>
          <w:sz w:val="24"/>
          <w:szCs w:val="24"/>
          <w:lang w:val="de-CH"/>
        </w:rPr>
        <w:t>75</w:t>
      </w:r>
      <w:r w:rsidRPr="00D3649B">
        <w:rPr>
          <w:rFonts w:ascii="Times New Roman" w:eastAsia="Times New Roman" w:hAnsi="Times New Roman" w:cs="Times New Roman"/>
          <w:iCs/>
          <w:sz w:val="24"/>
          <w:szCs w:val="24"/>
          <w:lang w:val="de-CH"/>
        </w:rPr>
        <w:t>(6), 5-23.</w:t>
      </w:r>
    </w:p>
    <w:p w14:paraId="3ADBA64E" w14:textId="77777777" w:rsidR="00113F82" w:rsidRPr="00D3649B" w:rsidRDefault="00113F82" w:rsidP="00113F82">
      <w:pPr>
        <w:spacing w:line="276" w:lineRule="auto"/>
        <w:ind w:left="567" w:hanging="567"/>
        <w:jc w:val="both"/>
        <w:rPr>
          <w:rFonts w:ascii="Times New Roman" w:eastAsia="Times New Roman" w:hAnsi="Times New Roman" w:cs="Times New Roman"/>
          <w:iCs/>
          <w:sz w:val="24"/>
          <w:szCs w:val="24"/>
          <w:lang w:val="de-CH"/>
        </w:rPr>
      </w:pPr>
      <w:r w:rsidRPr="00D3649B">
        <w:rPr>
          <w:rFonts w:ascii="Times New Roman" w:eastAsia="Times New Roman" w:hAnsi="Times New Roman" w:cs="Times New Roman"/>
          <w:iCs/>
          <w:sz w:val="24"/>
          <w:szCs w:val="24"/>
          <w:lang w:val="de-CH"/>
        </w:rPr>
        <w:t xml:space="preserve">Williamson, O. E. (1991). Comparative economic organization: The analysis of discrete structural alternatives. </w:t>
      </w:r>
      <w:r>
        <w:rPr>
          <w:rFonts w:ascii="Times New Roman" w:eastAsia="Times New Roman" w:hAnsi="Times New Roman" w:cs="Times New Roman"/>
          <w:i/>
          <w:iCs/>
          <w:sz w:val="24"/>
          <w:szCs w:val="24"/>
          <w:lang w:val="de-CH"/>
        </w:rPr>
        <w:t>Administrative Science Q</w:t>
      </w:r>
      <w:r w:rsidRPr="00D3649B">
        <w:rPr>
          <w:rFonts w:ascii="Times New Roman" w:eastAsia="Times New Roman" w:hAnsi="Times New Roman" w:cs="Times New Roman"/>
          <w:i/>
          <w:iCs/>
          <w:sz w:val="24"/>
          <w:szCs w:val="24"/>
          <w:lang w:val="de-CH"/>
        </w:rPr>
        <w:t>uarterly</w:t>
      </w:r>
      <w:r w:rsidRPr="00D3649B">
        <w:rPr>
          <w:rFonts w:ascii="Times New Roman" w:eastAsia="Times New Roman" w:hAnsi="Times New Roman" w:cs="Times New Roman"/>
          <w:iCs/>
          <w:sz w:val="24"/>
          <w:szCs w:val="24"/>
          <w:lang w:val="de-CH"/>
        </w:rPr>
        <w:t>, 269-296.</w:t>
      </w:r>
    </w:p>
    <w:p w14:paraId="1787E00C" w14:textId="77777777" w:rsidR="00113F82" w:rsidRPr="004500BC" w:rsidRDefault="00113F82" w:rsidP="00113F82">
      <w:pPr>
        <w:spacing w:line="276" w:lineRule="auto"/>
        <w:ind w:left="567" w:hanging="567"/>
        <w:jc w:val="both"/>
        <w:rPr>
          <w:rFonts w:ascii="Times New Roman" w:eastAsia="Times New Roman" w:hAnsi="Times New Roman" w:cs="Times New Roman"/>
          <w:iCs/>
          <w:sz w:val="24"/>
          <w:szCs w:val="24"/>
        </w:rPr>
      </w:pPr>
    </w:p>
    <w:p w14:paraId="52AADA71" w14:textId="77777777" w:rsidR="00113F82" w:rsidRDefault="00113F82" w:rsidP="00113F82">
      <w:pPr>
        <w:pStyle w:val="EndNoteBibliography"/>
        <w:spacing w:before="0" w:after="0"/>
        <w:ind w:left="567" w:hanging="567"/>
        <w:rPr>
          <w:rStyle w:val="standard-view-style"/>
          <w:lang w:val="en-US"/>
        </w:rPr>
      </w:pPr>
    </w:p>
    <w:p w14:paraId="7F8AEFB9" w14:textId="77777777" w:rsidR="00113F82" w:rsidRPr="004500BC" w:rsidRDefault="00113F82" w:rsidP="00113F82">
      <w:pPr>
        <w:pStyle w:val="EndNoteBibliography"/>
        <w:spacing w:before="0" w:after="0"/>
        <w:ind w:left="567" w:hanging="567"/>
        <w:rPr>
          <w:rStyle w:val="standard-view-style"/>
          <w:lang w:val="en-US"/>
        </w:rPr>
      </w:pPr>
    </w:p>
    <w:p w14:paraId="101B81C6" w14:textId="77777777" w:rsidR="00113F82" w:rsidRPr="004500BC" w:rsidRDefault="00113F82" w:rsidP="00113F82">
      <w:pPr>
        <w:pStyle w:val="EndNoteBibliography"/>
        <w:spacing w:before="0" w:after="0"/>
        <w:ind w:left="567" w:hanging="567"/>
        <w:rPr>
          <w:lang w:val="en-US"/>
        </w:rPr>
      </w:pPr>
    </w:p>
    <w:p w14:paraId="632D4856" w14:textId="77777777" w:rsidR="0088234F" w:rsidRPr="0088234F" w:rsidRDefault="0088234F" w:rsidP="0088234F">
      <w:pPr>
        <w:spacing w:after="0" w:line="240" w:lineRule="auto"/>
        <w:jc w:val="center"/>
        <w:rPr>
          <w:rFonts w:ascii="Times New Roman" w:eastAsia="Times New Roman" w:hAnsi="Times New Roman" w:cs="Times New Roman"/>
          <w:sz w:val="24"/>
          <w:szCs w:val="24"/>
          <w:lang w:val="en-US"/>
        </w:rPr>
      </w:pPr>
    </w:p>
    <w:p w14:paraId="71E20AC5" w14:textId="77777777" w:rsidR="0088234F" w:rsidRPr="00701F26" w:rsidRDefault="0088234F" w:rsidP="0088234F">
      <w:pPr>
        <w:spacing w:after="0" w:line="240" w:lineRule="auto"/>
        <w:jc w:val="center"/>
        <w:rPr>
          <w:rStyle w:val="Hyperlinkki"/>
          <w:rFonts w:ascii="Times New Roman" w:eastAsia="Times New Roman" w:hAnsi="Times New Roman" w:cs="Times New Roman"/>
          <w:sz w:val="24"/>
          <w:szCs w:val="24"/>
          <w:lang w:val="en-US"/>
        </w:rPr>
      </w:pPr>
    </w:p>
    <w:p w14:paraId="07C40D79" w14:textId="77777777" w:rsidR="0088234F" w:rsidRPr="00701F26" w:rsidRDefault="0088234F" w:rsidP="0088234F">
      <w:pPr>
        <w:spacing w:after="0" w:line="240" w:lineRule="auto"/>
        <w:rPr>
          <w:rStyle w:val="Hyperlinkki"/>
          <w:rFonts w:ascii="Times New Roman" w:eastAsia="Times New Roman" w:hAnsi="Times New Roman" w:cs="Times New Roman"/>
          <w:sz w:val="24"/>
          <w:szCs w:val="24"/>
          <w:lang w:val="en-US"/>
        </w:rPr>
      </w:pPr>
    </w:p>
    <w:p w14:paraId="07458FA3" w14:textId="77777777" w:rsidR="0088234F" w:rsidRPr="00701F26" w:rsidRDefault="0088234F" w:rsidP="0088234F">
      <w:pPr>
        <w:spacing w:after="0" w:line="240" w:lineRule="auto"/>
        <w:jc w:val="center"/>
        <w:rPr>
          <w:rStyle w:val="Hyperlinkki"/>
          <w:rFonts w:ascii="Times New Roman" w:eastAsia="Times New Roman" w:hAnsi="Times New Roman" w:cs="Times New Roman"/>
          <w:sz w:val="24"/>
          <w:szCs w:val="24"/>
          <w:lang w:val="en-US"/>
        </w:rPr>
      </w:pPr>
    </w:p>
    <w:p w14:paraId="12A407EE" w14:textId="77777777" w:rsidR="0088234F" w:rsidRDefault="0088234F" w:rsidP="0088234F">
      <w:pPr>
        <w:spacing w:after="0" w:line="240" w:lineRule="auto"/>
        <w:jc w:val="center"/>
        <w:rPr>
          <w:rFonts w:ascii="Times New Roman" w:hAnsi="Times New Roman" w:cs="Times New Roman"/>
          <w:b/>
          <w:sz w:val="24"/>
          <w:szCs w:val="24"/>
          <w:lang w:val="en-US"/>
        </w:rPr>
      </w:pPr>
    </w:p>
    <w:p w14:paraId="39D0F347" w14:textId="77777777" w:rsidR="0088234F" w:rsidRPr="00701F26" w:rsidRDefault="0088234F" w:rsidP="0088234F">
      <w:pPr>
        <w:spacing w:after="0" w:line="240" w:lineRule="auto"/>
        <w:jc w:val="center"/>
        <w:rPr>
          <w:rFonts w:ascii="Times New Roman" w:hAnsi="Times New Roman" w:cs="Times New Roman"/>
          <w:b/>
          <w:sz w:val="24"/>
          <w:szCs w:val="24"/>
          <w:lang w:val="en-US"/>
        </w:rPr>
      </w:pPr>
    </w:p>
    <w:p w14:paraId="63D9B639" w14:textId="4D2D90DB" w:rsidR="0088234F" w:rsidRPr="00701F26" w:rsidRDefault="0088234F" w:rsidP="0088234F">
      <w:pPr>
        <w:spacing w:after="0" w:line="240" w:lineRule="auto"/>
        <w:rPr>
          <w:rFonts w:ascii="Times New Roman" w:hAnsi="Times New Roman" w:cs="Times New Roman"/>
          <w:sz w:val="24"/>
          <w:szCs w:val="24"/>
          <w:lang w:val="en-US"/>
        </w:rPr>
      </w:pPr>
    </w:p>
    <w:p w14:paraId="32308445" w14:textId="77777777" w:rsidR="007A62D7" w:rsidRPr="0088234F" w:rsidRDefault="007A62D7">
      <w:pPr>
        <w:rPr>
          <w:lang w:val="en-US"/>
        </w:rPr>
      </w:pPr>
    </w:p>
    <w:sectPr w:rsidR="007A62D7" w:rsidRPr="0088234F">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CF962" w14:textId="77777777" w:rsidR="00DB0C1E" w:rsidRDefault="00DB0C1E" w:rsidP="00DB0C1E">
      <w:pPr>
        <w:spacing w:after="0" w:line="240" w:lineRule="auto"/>
      </w:pPr>
      <w:r>
        <w:separator/>
      </w:r>
    </w:p>
  </w:endnote>
  <w:endnote w:type="continuationSeparator" w:id="0">
    <w:p w14:paraId="1E460181" w14:textId="77777777" w:rsidR="00DB0C1E" w:rsidRDefault="00DB0C1E" w:rsidP="00DB0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437139"/>
      <w:docPartObj>
        <w:docPartGallery w:val="Page Numbers (Bottom of Page)"/>
        <w:docPartUnique/>
      </w:docPartObj>
    </w:sdtPr>
    <w:sdtEndPr>
      <w:rPr>
        <w:noProof/>
      </w:rPr>
    </w:sdtEndPr>
    <w:sdtContent>
      <w:p w14:paraId="7F38A470" w14:textId="734D9F93" w:rsidR="00113F82" w:rsidRDefault="00113F82" w:rsidP="004B417A">
        <w:pPr>
          <w:pStyle w:val="Alatunniste"/>
          <w:jc w:val="center"/>
        </w:pPr>
        <w:r>
          <w:fldChar w:fldCharType="begin"/>
        </w:r>
        <w:r>
          <w:instrText xml:space="preserve"> PAGE   \* MERGEFORMAT </w:instrText>
        </w:r>
        <w:r>
          <w:fldChar w:fldCharType="separate"/>
        </w:r>
        <w:r w:rsidR="00A8530E">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4DAD0" w14:textId="77777777" w:rsidR="00DB0C1E" w:rsidRDefault="00DB0C1E">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C40F" w14:textId="77777777" w:rsidR="00DB0C1E" w:rsidRDefault="00DB0C1E">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6E9E6" w14:textId="77777777" w:rsidR="00DB0C1E" w:rsidRDefault="00DB0C1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CFBE2" w14:textId="77777777" w:rsidR="00DB0C1E" w:rsidRDefault="00DB0C1E" w:rsidP="00DB0C1E">
      <w:pPr>
        <w:spacing w:after="0" w:line="240" w:lineRule="auto"/>
      </w:pPr>
      <w:r>
        <w:separator/>
      </w:r>
    </w:p>
  </w:footnote>
  <w:footnote w:type="continuationSeparator" w:id="0">
    <w:p w14:paraId="3B5AEECD" w14:textId="77777777" w:rsidR="00DB0C1E" w:rsidRDefault="00DB0C1E" w:rsidP="00DB0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769B" w14:textId="77777777" w:rsidR="00DB0C1E" w:rsidRDefault="00DB0C1E">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1265" w14:textId="77777777" w:rsidR="00DB0C1E" w:rsidRDefault="00DB0C1E">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3251" w14:textId="77777777" w:rsidR="00DB0C1E" w:rsidRDefault="00DB0C1E">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4F"/>
    <w:rsid w:val="000723ED"/>
    <w:rsid w:val="00113F82"/>
    <w:rsid w:val="007A62D7"/>
    <w:rsid w:val="0088234F"/>
    <w:rsid w:val="008C17FF"/>
    <w:rsid w:val="00A8530E"/>
    <w:rsid w:val="00BC6043"/>
    <w:rsid w:val="00DB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81D8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8234F"/>
    <w:rPr>
      <w:lang w:val="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88234F"/>
    <w:rPr>
      <w:color w:val="0563C1" w:themeColor="hyperlink"/>
      <w:u w:val="single"/>
    </w:rPr>
  </w:style>
  <w:style w:type="paragraph" w:styleId="Yltunniste">
    <w:name w:val="header"/>
    <w:basedOn w:val="Normaali"/>
    <w:link w:val="YltunnisteChar"/>
    <w:uiPriority w:val="99"/>
    <w:unhideWhenUsed/>
    <w:rsid w:val="00DB0C1E"/>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DB0C1E"/>
    <w:rPr>
      <w:lang w:val="fi-FI"/>
    </w:rPr>
  </w:style>
  <w:style w:type="paragraph" w:styleId="Alatunniste">
    <w:name w:val="footer"/>
    <w:basedOn w:val="Normaali"/>
    <w:link w:val="AlatunnisteChar"/>
    <w:uiPriority w:val="99"/>
    <w:unhideWhenUsed/>
    <w:rsid w:val="00DB0C1E"/>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DB0C1E"/>
    <w:rPr>
      <w:lang w:val="fi-FI"/>
    </w:rPr>
  </w:style>
  <w:style w:type="paragraph" w:styleId="Luettelokappale">
    <w:name w:val="List Paragraph"/>
    <w:basedOn w:val="Normaali"/>
    <w:uiPriority w:val="34"/>
    <w:qFormat/>
    <w:rsid w:val="00113F82"/>
    <w:pPr>
      <w:ind w:left="720"/>
      <w:contextualSpacing/>
    </w:pPr>
    <w:rPr>
      <w:lang w:val="en-US"/>
    </w:rPr>
  </w:style>
  <w:style w:type="table" w:styleId="TaulukkoRuudukko">
    <w:name w:val="Table Grid"/>
    <w:basedOn w:val="Normaalitaulukko"/>
    <w:uiPriority w:val="39"/>
    <w:rsid w:val="00113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ali"/>
    <w:rsid w:val="00113F82"/>
    <w:pPr>
      <w:spacing w:before="120" w:after="120" w:line="240" w:lineRule="auto"/>
      <w:jc w:val="both"/>
    </w:pPr>
    <w:rPr>
      <w:rFonts w:ascii="Times New Roman" w:eastAsia="Times New Roman" w:hAnsi="Times New Roman" w:cs="Times New Roman"/>
      <w:sz w:val="24"/>
      <w:szCs w:val="24"/>
      <w:lang w:val="de-CH" w:eastAsia="de-DE"/>
    </w:rPr>
  </w:style>
  <w:style w:type="character" w:customStyle="1" w:styleId="standard-view-style">
    <w:name w:val="standard-view-style"/>
    <w:basedOn w:val="Kappaleenoletusfontti"/>
    <w:rsid w:val="00113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1016/j.indmarman.2020.05.029" TargetMode="External"/><Relationship Id="rId17" Type="http://schemas.openxmlformats.org/officeDocument/2006/relationships/hyperlink" Target="https://www.suplari.com/wp-content/uploads/2019/06/Suplari_Recession_Survey_Report_2.0.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cg.com/en-au/publications/2020/stabilize-increase-sales-through-covid-crisi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ri.terho@utu.fi"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bain.com/insights/in-enterprise-software-renewals-and-retention-have-never-been-more-important/" TargetMode="External"/><Relationship Id="rId23" Type="http://schemas.openxmlformats.org/officeDocument/2006/relationships/footer" Target="footer4.xml"/><Relationship Id="rId10" Type="http://schemas.openxmlformats.org/officeDocument/2006/relationships/hyperlink" Target="mailto:anna.k.salonen@utu.fi"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joona.keranen@lut.fi" TargetMode="External"/><Relationship Id="rId14" Type="http://schemas.openxmlformats.org/officeDocument/2006/relationships/footer" Target="foot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D891F44ED121478D672FAF2749D234" ma:contentTypeVersion="9" ma:contentTypeDescription="Create a new document." ma:contentTypeScope="" ma:versionID="cd44afe2af7bae01053bf0c061d0a40a">
  <xsd:schema xmlns:xsd="http://www.w3.org/2001/XMLSchema" xmlns:xs="http://www.w3.org/2001/XMLSchema" xmlns:p="http://schemas.microsoft.com/office/2006/metadata/properties" xmlns:ns3="2c47987d-eb61-491e-abbf-3ac855254bf5" targetNamespace="http://schemas.microsoft.com/office/2006/metadata/properties" ma:root="true" ma:fieldsID="b8027332c4654a46038ac76e168bbd7c" ns3:_="">
    <xsd:import namespace="2c47987d-eb61-491e-abbf-3ac855254b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7987d-eb61-491e-abbf-3ac855254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EBC2A-E48B-4949-B4E1-41993182B87D}">
  <ds:schemaRefs>
    <ds:schemaRef ds:uri="http://purl.org/dc/elements/1.1/"/>
    <ds:schemaRef ds:uri="http://schemas.microsoft.com/office/2006/metadata/properties"/>
    <ds:schemaRef ds:uri="2c47987d-eb61-491e-abbf-3ac855254bf5"/>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77D5945-B221-4FD0-9792-D0642DA0D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7987d-eb61-491e-abbf-3ac855254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2FB43-264E-4C7E-8C58-722F0B3E92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4962</Words>
  <Characters>40193</Characters>
  <Application>Microsoft Office Word</Application>
  <DocSecurity>4</DocSecurity>
  <Lines>334</Lines>
  <Paragraphs>90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2020-08-04T04:51:00Z</dcterms:created>
  <dcterms:modified xsi:type="dcterms:W3CDTF">2020-08-04T04:51:00Z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0x0101003AD891F44ED121478D672FAF2749D234</vt:lpwstr>
  </property>
  <property fmtid="{D5CDD505-2E9C-101B-9397-08002B2CF9AE}" pid="3" name="_NewReviewCycle">
    <vt:lpwstr/>
  </property>
</Properties>
</file>