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2F5BA0" w14:textId="469FE70D" w:rsidR="003E3431" w:rsidRPr="00CE47DE" w:rsidRDefault="0023362D" w:rsidP="00B25C7B">
      <w:pPr>
        <w:spacing w:line="360" w:lineRule="auto"/>
      </w:pPr>
      <w:bookmarkStart w:id="0" w:name="_GoBack"/>
      <w:bookmarkEnd w:id="0"/>
      <w:r w:rsidRPr="00CE47DE">
        <w:t>T</w:t>
      </w:r>
      <w:r w:rsidR="003E3431" w:rsidRPr="00CE47DE">
        <w:t>itle Page</w:t>
      </w:r>
    </w:p>
    <w:p w14:paraId="723930BF" w14:textId="77777777" w:rsidR="00051E9E" w:rsidRPr="00CE47DE" w:rsidRDefault="00051E9E" w:rsidP="00B25C7B">
      <w:pPr>
        <w:spacing w:line="360" w:lineRule="auto"/>
      </w:pPr>
    </w:p>
    <w:p w14:paraId="231A2A13" w14:textId="7BD255B5" w:rsidR="003E3431" w:rsidRPr="00CE47DE" w:rsidRDefault="003F4B0E" w:rsidP="00B25C7B">
      <w:pPr>
        <w:spacing w:line="360" w:lineRule="auto"/>
        <w:rPr>
          <w:b/>
          <w:color w:val="000000"/>
        </w:rPr>
      </w:pPr>
      <w:r w:rsidRPr="00CE47DE">
        <w:rPr>
          <w:b/>
          <w:color w:val="000000"/>
        </w:rPr>
        <w:t>The Knowl</w:t>
      </w:r>
      <w:r w:rsidR="00D83B10" w:rsidRPr="00CE47DE">
        <w:rPr>
          <w:b/>
          <w:color w:val="000000"/>
        </w:rPr>
        <w:t>edge Test Feedback Intervention</w:t>
      </w:r>
      <w:r w:rsidRPr="00CE47DE">
        <w:rPr>
          <w:b/>
          <w:color w:val="000000"/>
        </w:rPr>
        <w:t xml:space="preserve"> (KTFI) </w:t>
      </w:r>
      <w:r w:rsidR="002D114F" w:rsidRPr="00CE47DE">
        <w:rPr>
          <w:b/>
          <w:color w:val="000000"/>
        </w:rPr>
        <w:t>increases knowledge level of spinal sten</w:t>
      </w:r>
      <w:r w:rsidR="007165F6" w:rsidRPr="00CE47DE">
        <w:rPr>
          <w:b/>
          <w:color w:val="000000"/>
        </w:rPr>
        <w:t xml:space="preserve">osis patients before </w:t>
      </w:r>
      <w:r w:rsidR="00E82091" w:rsidRPr="00CE47DE">
        <w:rPr>
          <w:b/>
          <w:color w:val="000000"/>
        </w:rPr>
        <w:t>operation</w:t>
      </w:r>
      <w:r w:rsidR="007165F6" w:rsidRPr="00CE47DE">
        <w:rPr>
          <w:b/>
          <w:color w:val="000000"/>
        </w:rPr>
        <w:t xml:space="preserve"> – </w:t>
      </w:r>
      <w:r w:rsidR="00E274E1" w:rsidRPr="00CE47DE">
        <w:rPr>
          <w:b/>
          <w:color w:val="000000"/>
        </w:rPr>
        <w:t>a</w:t>
      </w:r>
      <w:r w:rsidR="002D114F" w:rsidRPr="00CE47DE">
        <w:rPr>
          <w:b/>
          <w:color w:val="000000"/>
        </w:rPr>
        <w:t xml:space="preserve"> random</w:t>
      </w:r>
      <w:r w:rsidR="00C13E4E" w:rsidRPr="00CE47DE">
        <w:rPr>
          <w:b/>
          <w:color w:val="000000"/>
        </w:rPr>
        <w:t>ized controlled follow-up trial</w:t>
      </w:r>
    </w:p>
    <w:p w14:paraId="10AD853F" w14:textId="77777777" w:rsidR="00EF637B" w:rsidRPr="00CE47DE" w:rsidRDefault="00EF637B" w:rsidP="00B25C7B">
      <w:pPr>
        <w:spacing w:line="360" w:lineRule="auto"/>
        <w:rPr>
          <w:b/>
          <w:color w:val="000000"/>
        </w:rPr>
      </w:pPr>
    </w:p>
    <w:p w14:paraId="08E9C561" w14:textId="781AF0C4" w:rsidR="003E3431" w:rsidRPr="00AE237B" w:rsidRDefault="005F62F6" w:rsidP="00B25C7B">
      <w:pPr>
        <w:spacing w:line="360" w:lineRule="auto"/>
        <w:rPr>
          <w:b/>
          <w:color w:val="000000"/>
          <w:lang w:val="fi-FI"/>
        </w:rPr>
      </w:pPr>
      <w:proofErr w:type="spellStart"/>
      <w:r w:rsidRPr="00AE237B">
        <w:rPr>
          <w:b/>
          <w:color w:val="000000"/>
          <w:lang w:val="fi-FI"/>
        </w:rPr>
        <w:t>Authors</w:t>
      </w:r>
      <w:proofErr w:type="spellEnd"/>
    </w:p>
    <w:p w14:paraId="1CFE3D97" w14:textId="35B567EA" w:rsidR="00165D24" w:rsidRPr="00AE237B" w:rsidRDefault="003E3431" w:rsidP="00165D24">
      <w:pPr>
        <w:spacing w:line="360" w:lineRule="auto"/>
        <w:rPr>
          <w:lang w:val="fi-FI"/>
        </w:rPr>
      </w:pPr>
      <w:r w:rsidRPr="00AE237B">
        <w:rPr>
          <w:color w:val="000000"/>
          <w:lang w:val="fi-FI"/>
        </w:rPr>
        <w:t>Jukka Kesänen</w:t>
      </w:r>
      <w:r w:rsidR="00A75234" w:rsidRPr="00AE237B">
        <w:rPr>
          <w:color w:val="000000"/>
          <w:lang w:val="fi-FI"/>
        </w:rPr>
        <w:t xml:space="preserve"> </w:t>
      </w:r>
      <w:proofErr w:type="spellStart"/>
      <w:proofErr w:type="gramStart"/>
      <w:r w:rsidR="00A75234" w:rsidRPr="00AE237B">
        <w:rPr>
          <w:color w:val="000000"/>
          <w:vertAlign w:val="superscript"/>
          <w:lang w:val="fi-FI"/>
        </w:rPr>
        <w:t>a</w:t>
      </w:r>
      <w:r w:rsidR="00165D24" w:rsidRPr="00AE237B">
        <w:rPr>
          <w:color w:val="000000"/>
          <w:vertAlign w:val="superscript"/>
          <w:lang w:val="fi-FI"/>
        </w:rPr>
        <w:t>,</w:t>
      </w:r>
      <w:r w:rsidR="00A75234" w:rsidRPr="00AE237B">
        <w:rPr>
          <w:color w:val="000000"/>
          <w:vertAlign w:val="superscript"/>
          <w:lang w:val="fi-FI"/>
        </w:rPr>
        <w:t>b</w:t>
      </w:r>
      <w:proofErr w:type="gramEnd"/>
      <w:r w:rsidR="0033364E" w:rsidRPr="00AE237B">
        <w:rPr>
          <w:color w:val="000000"/>
          <w:vertAlign w:val="superscript"/>
          <w:lang w:val="fi-FI"/>
        </w:rPr>
        <w:t>,</w:t>
      </w:r>
      <w:r w:rsidR="00284E11" w:rsidRPr="00AE237B">
        <w:rPr>
          <w:color w:val="000000"/>
          <w:vertAlign w:val="superscript"/>
          <w:lang w:val="fi-FI"/>
        </w:rPr>
        <w:t>c</w:t>
      </w:r>
      <w:proofErr w:type="spellEnd"/>
      <w:r w:rsidR="0033364E" w:rsidRPr="00AE237B">
        <w:rPr>
          <w:color w:val="000000"/>
          <w:vertAlign w:val="superscript"/>
          <w:lang w:val="fi-FI"/>
        </w:rPr>
        <w:t>*</w:t>
      </w:r>
      <w:r w:rsidR="00165D24" w:rsidRPr="00AE237B">
        <w:rPr>
          <w:color w:val="000000"/>
          <w:lang w:val="fi-FI"/>
        </w:rPr>
        <w:t xml:space="preserve">, </w:t>
      </w:r>
      <w:r w:rsidR="00165D24" w:rsidRPr="00AE237B">
        <w:rPr>
          <w:lang w:val="fi-FI"/>
        </w:rPr>
        <w:t xml:space="preserve">Helena </w:t>
      </w:r>
      <w:proofErr w:type="spellStart"/>
      <w:r w:rsidR="00165D24" w:rsidRPr="00AE237B">
        <w:rPr>
          <w:lang w:val="fi-FI"/>
        </w:rPr>
        <w:t>Leino-Kilpi</w:t>
      </w:r>
      <w:proofErr w:type="spellEnd"/>
      <w:r w:rsidR="00165D24" w:rsidRPr="00AE237B">
        <w:rPr>
          <w:lang w:val="fi-FI"/>
        </w:rPr>
        <w:t xml:space="preserve"> </w:t>
      </w:r>
      <w:proofErr w:type="spellStart"/>
      <w:r w:rsidR="00DF5FB7" w:rsidRPr="00AE237B">
        <w:rPr>
          <w:vertAlign w:val="superscript"/>
          <w:lang w:val="fi-FI"/>
        </w:rPr>
        <w:t>a,</w:t>
      </w:r>
      <w:r w:rsidR="00284E11" w:rsidRPr="00AE237B">
        <w:rPr>
          <w:vertAlign w:val="superscript"/>
          <w:lang w:val="fi-FI"/>
        </w:rPr>
        <w:t>d</w:t>
      </w:r>
      <w:proofErr w:type="spellEnd"/>
      <w:r w:rsidR="00165D24" w:rsidRPr="00AE237B">
        <w:rPr>
          <w:lang w:val="fi-FI"/>
        </w:rPr>
        <w:t xml:space="preserve">, Teija Lund </w:t>
      </w:r>
      <w:r w:rsidR="00284E11" w:rsidRPr="00AE237B">
        <w:rPr>
          <w:vertAlign w:val="superscript"/>
          <w:lang w:val="fi-FI"/>
        </w:rPr>
        <w:t>e</w:t>
      </w:r>
      <w:r w:rsidR="00165D24" w:rsidRPr="00AE237B">
        <w:rPr>
          <w:lang w:val="fi-FI"/>
        </w:rPr>
        <w:t xml:space="preserve">, Liisa Montin </w:t>
      </w:r>
      <w:r w:rsidR="00165D24" w:rsidRPr="00AE237B">
        <w:rPr>
          <w:vertAlign w:val="superscript"/>
          <w:lang w:val="fi-FI"/>
        </w:rPr>
        <w:t>b</w:t>
      </w:r>
      <w:r w:rsidR="00165D24" w:rsidRPr="00AE237B">
        <w:rPr>
          <w:lang w:val="fi-FI"/>
        </w:rPr>
        <w:t xml:space="preserve">, Pauli Puukka </w:t>
      </w:r>
      <w:r w:rsidR="00284E11" w:rsidRPr="00AE237B">
        <w:rPr>
          <w:vertAlign w:val="superscript"/>
          <w:lang w:val="fi-FI"/>
        </w:rPr>
        <w:t>f</w:t>
      </w:r>
      <w:r w:rsidR="00165D24" w:rsidRPr="00AE237B">
        <w:rPr>
          <w:lang w:val="fi-FI"/>
        </w:rPr>
        <w:t>,</w:t>
      </w:r>
    </w:p>
    <w:p w14:paraId="608D9070" w14:textId="069B4C22" w:rsidR="00165D24" w:rsidRPr="00CE47DE" w:rsidRDefault="00165D24" w:rsidP="00165D24">
      <w:pPr>
        <w:widowControl w:val="0"/>
        <w:autoSpaceDE w:val="0"/>
        <w:autoSpaceDN w:val="0"/>
        <w:adjustRightInd w:val="0"/>
        <w:spacing w:line="360" w:lineRule="auto"/>
        <w:rPr>
          <w:rFonts w:eastAsiaTheme="minorEastAsia"/>
          <w:vertAlign w:val="superscript"/>
        </w:rPr>
      </w:pPr>
      <w:proofErr w:type="spellStart"/>
      <w:r w:rsidRPr="00CE47DE">
        <w:t>Kirsi</w:t>
      </w:r>
      <w:proofErr w:type="spellEnd"/>
      <w:r w:rsidRPr="00CE47DE">
        <w:t xml:space="preserve"> </w:t>
      </w:r>
      <w:proofErr w:type="spellStart"/>
      <w:r w:rsidRPr="00CE47DE">
        <w:t>Valkeapää</w:t>
      </w:r>
      <w:proofErr w:type="spellEnd"/>
      <w:r w:rsidRPr="00CE47DE">
        <w:t xml:space="preserve"> </w:t>
      </w:r>
      <w:proofErr w:type="spellStart"/>
      <w:r w:rsidRPr="00CE47DE">
        <w:rPr>
          <w:vertAlign w:val="superscript"/>
        </w:rPr>
        <w:t>a</w:t>
      </w:r>
      <w:proofErr w:type="gramStart"/>
      <w:r w:rsidR="001919FF" w:rsidRPr="00CE47DE">
        <w:rPr>
          <w:vertAlign w:val="superscript"/>
        </w:rPr>
        <w:t>,</w:t>
      </w:r>
      <w:r w:rsidR="00284E11" w:rsidRPr="00CE47DE">
        <w:rPr>
          <w:vertAlign w:val="superscript"/>
        </w:rPr>
        <w:t>g</w:t>
      </w:r>
      <w:proofErr w:type="spellEnd"/>
      <w:proofErr w:type="gramEnd"/>
    </w:p>
    <w:p w14:paraId="114AA7A3" w14:textId="5AEE7D8F" w:rsidR="003E3431" w:rsidRPr="00CE47DE" w:rsidRDefault="003E3431" w:rsidP="00B25C7B">
      <w:pPr>
        <w:spacing w:line="360" w:lineRule="auto"/>
        <w:rPr>
          <w:color w:val="000000"/>
        </w:rPr>
      </w:pPr>
    </w:p>
    <w:p w14:paraId="5451F64A" w14:textId="571F8A43" w:rsidR="003F1B33" w:rsidRPr="00CE47DE" w:rsidRDefault="00A75234">
      <w:pPr>
        <w:spacing w:after="200" w:line="276" w:lineRule="auto"/>
        <w:rPr>
          <w:color w:val="000000"/>
        </w:rPr>
      </w:pPr>
      <w:proofErr w:type="gramStart"/>
      <w:r w:rsidRPr="00CE47DE">
        <w:rPr>
          <w:rFonts w:eastAsiaTheme="minorEastAsia"/>
          <w:vertAlign w:val="superscript"/>
        </w:rPr>
        <w:t>a</w:t>
      </w:r>
      <w:proofErr w:type="gramEnd"/>
      <w:r w:rsidRPr="00CE47DE">
        <w:rPr>
          <w:rFonts w:eastAsiaTheme="minorEastAsia"/>
          <w:vertAlign w:val="superscript"/>
        </w:rPr>
        <w:t xml:space="preserve"> </w:t>
      </w:r>
      <w:r w:rsidRPr="00CE47DE">
        <w:rPr>
          <w:color w:val="000000"/>
        </w:rPr>
        <w:t>Department of Nursing Science, University of Turku, Turku, Finland</w:t>
      </w:r>
    </w:p>
    <w:p w14:paraId="6188E769" w14:textId="38B2268E" w:rsidR="00A75234" w:rsidRPr="005F6B68" w:rsidRDefault="00A75234">
      <w:pPr>
        <w:spacing w:after="200" w:line="276" w:lineRule="auto"/>
        <w:rPr>
          <w:bCs/>
          <w:color w:val="000000"/>
          <w:lang w:val="sv-SE"/>
        </w:rPr>
      </w:pPr>
      <w:r w:rsidRPr="005F6B68">
        <w:rPr>
          <w:bCs/>
          <w:color w:val="000000"/>
          <w:vertAlign w:val="superscript"/>
          <w:lang w:val="sv-SE"/>
        </w:rPr>
        <w:t xml:space="preserve">b </w:t>
      </w:r>
      <w:r w:rsidRPr="005F6B68">
        <w:rPr>
          <w:bCs/>
          <w:color w:val="000000"/>
          <w:lang w:val="sv-SE"/>
        </w:rPr>
        <w:t xml:space="preserve">Orton </w:t>
      </w:r>
      <w:proofErr w:type="spellStart"/>
      <w:r w:rsidRPr="005F6B68">
        <w:rPr>
          <w:bCs/>
          <w:color w:val="000000"/>
          <w:lang w:val="sv-SE"/>
        </w:rPr>
        <w:t>Orthopaedic</w:t>
      </w:r>
      <w:proofErr w:type="spellEnd"/>
      <w:r w:rsidRPr="005F6B68">
        <w:rPr>
          <w:bCs/>
          <w:color w:val="000000"/>
          <w:lang w:val="sv-SE"/>
        </w:rPr>
        <w:t xml:space="preserve"> Hospital, </w:t>
      </w:r>
      <w:proofErr w:type="spellStart"/>
      <w:r w:rsidRPr="005F6B68">
        <w:rPr>
          <w:bCs/>
          <w:color w:val="000000"/>
          <w:lang w:val="sv-SE"/>
        </w:rPr>
        <w:t>Helsinki</w:t>
      </w:r>
      <w:proofErr w:type="spellEnd"/>
      <w:r w:rsidRPr="005F6B68">
        <w:rPr>
          <w:bCs/>
          <w:color w:val="000000"/>
          <w:lang w:val="sv-SE"/>
        </w:rPr>
        <w:t>, Finland</w:t>
      </w:r>
    </w:p>
    <w:p w14:paraId="220ACD33" w14:textId="6FCF344C" w:rsidR="00284E11" w:rsidRPr="00CE47DE" w:rsidRDefault="00284E11">
      <w:pPr>
        <w:spacing w:after="200" w:line="276" w:lineRule="auto"/>
        <w:rPr>
          <w:bCs/>
          <w:color w:val="000000"/>
        </w:rPr>
      </w:pPr>
      <w:proofErr w:type="gramStart"/>
      <w:r w:rsidRPr="00CE47DE">
        <w:rPr>
          <w:bCs/>
          <w:color w:val="000000"/>
          <w:vertAlign w:val="superscript"/>
        </w:rPr>
        <w:t>c</w:t>
      </w:r>
      <w:proofErr w:type="gramEnd"/>
      <w:r w:rsidRPr="00CE47DE">
        <w:rPr>
          <w:bCs/>
          <w:color w:val="000000"/>
        </w:rPr>
        <w:t xml:space="preserve"> Metropolia University of Applied Sciences, Helsinki, Finland</w:t>
      </w:r>
    </w:p>
    <w:p w14:paraId="75EF3568" w14:textId="1F49E935" w:rsidR="00A75234" w:rsidRPr="00CE47DE" w:rsidRDefault="00284E11">
      <w:pPr>
        <w:spacing w:after="200" w:line="276" w:lineRule="auto"/>
        <w:rPr>
          <w:color w:val="000000"/>
        </w:rPr>
      </w:pPr>
      <w:proofErr w:type="gramStart"/>
      <w:r w:rsidRPr="00CE47DE">
        <w:rPr>
          <w:color w:val="000000"/>
          <w:vertAlign w:val="superscript"/>
        </w:rPr>
        <w:t>d</w:t>
      </w:r>
      <w:proofErr w:type="gramEnd"/>
      <w:r w:rsidR="00A75234" w:rsidRPr="00CE47DE">
        <w:rPr>
          <w:color w:val="000000"/>
        </w:rPr>
        <w:t xml:space="preserve"> Turku University Hospital, Turku, Finland</w:t>
      </w:r>
    </w:p>
    <w:p w14:paraId="504259AF" w14:textId="22403DE1" w:rsidR="00A75234" w:rsidRPr="00CE47DE" w:rsidRDefault="00284E11">
      <w:pPr>
        <w:spacing w:after="200" w:line="276" w:lineRule="auto"/>
      </w:pPr>
      <w:proofErr w:type="gramStart"/>
      <w:r w:rsidRPr="00CE47DE">
        <w:rPr>
          <w:vertAlign w:val="superscript"/>
        </w:rPr>
        <w:t>e</w:t>
      </w:r>
      <w:proofErr w:type="gramEnd"/>
      <w:r w:rsidR="00A75234" w:rsidRPr="00CE47DE">
        <w:rPr>
          <w:vertAlign w:val="superscript"/>
        </w:rPr>
        <w:t xml:space="preserve"> </w:t>
      </w:r>
      <w:r w:rsidR="00A75234" w:rsidRPr="00CE47DE">
        <w:t xml:space="preserve">Helsinki University Hospital, </w:t>
      </w:r>
      <w:proofErr w:type="spellStart"/>
      <w:r w:rsidR="00A75234" w:rsidRPr="00CE47DE">
        <w:t>Jorvi</w:t>
      </w:r>
      <w:proofErr w:type="spellEnd"/>
      <w:r w:rsidR="00A75234" w:rsidRPr="00CE47DE">
        <w:t xml:space="preserve"> Hospital, Espoo, Finland</w:t>
      </w:r>
    </w:p>
    <w:p w14:paraId="3D918387" w14:textId="21D56A69" w:rsidR="00A75234" w:rsidRPr="00CE47DE" w:rsidRDefault="00284E11">
      <w:pPr>
        <w:spacing w:after="200" w:line="276" w:lineRule="auto"/>
      </w:pPr>
      <w:proofErr w:type="gramStart"/>
      <w:r w:rsidRPr="00CE47DE">
        <w:rPr>
          <w:vertAlign w:val="superscript"/>
        </w:rPr>
        <w:t>f</w:t>
      </w:r>
      <w:proofErr w:type="gramEnd"/>
      <w:r w:rsidR="00A75234" w:rsidRPr="00CE47DE">
        <w:t xml:space="preserve"> National Institute for Health and Welfare, Turku, Finland</w:t>
      </w:r>
    </w:p>
    <w:p w14:paraId="515B341F" w14:textId="6685473D" w:rsidR="001919FF" w:rsidRPr="00CE47DE" w:rsidRDefault="00284E11">
      <w:pPr>
        <w:spacing w:after="200" w:line="276" w:lineRule="auto"/>
        <w:rPr>
          <w:rFonts w:eastAsiaTheme="minorEastAsia"/>
        </w:rPr>
      </w:pPr>
      <w:proofErr w:type="gramStart"/>
      <w:r w:rsidRPr="00CE47DE">
        <w:rPr>
          <w:vertAlign w:val="superscript"/>
        </w:rPr>
        <w:t>g</w:t>
      </w:r>
      <w:proofErr w:type="gramEnd"/>
      <w:r w:rsidR="001919FF" w:rsidRPr="00CE47DE">
        <w:t xml:space="preserve"> Lahti University of Applied Sciences, Lahti, Finland</w:t>
      </w:r>
    </w:p>
    <w:p w14:paraId="5E27C4B9" w14:textId="77777777" w:rsidR="00A75234" w:rsidRPr="00CE47DE" w:rsidRDefault="00A75234">
      <w:pPr>
        <w:spacing w:after="200" w:line="276" w:lineRule="auto"/>
        <w:rPr>
          <w:rFonts w:eastAsiaTheme="minorEastAsia"/>
        </w:rPr>
      </w:pPr>
    </w:p>
    <w:p w14:paraId="76AD611E" w14:textId="1C544858" w:rsidR="00165D24" w:rsidRPr="00CE47DE" w:rsidRDefault="0033364E" w:rsidP="00165D24">
      <w:pPr>
        <w:spacing w:line="360" w:lineRule="auto"/>
        <w:rPr>
          <w:color w:val="000000"/>
        </w:rPr>
      </w:pPr>
      <w:r w:rsidRPr="00CE47DE">
        <w:rPr>
          <w:rFonts w:eastAsiaTheme="minorEastAsia"/>
          <w:vertAlign w:val="superscript"/>
        </w:rPr>
        <w:t>*</w:t>
      </w:r>
      <w:r w:rsidR="00165D24" w:rsidRPr="00CE47DE">
        <w:rPr>
          <w:rFonts w:eastAsiaTheme="minorEastAsia"/>
        </w:rPr>
        <w:t>Corresponding author</w:t>
      </w:r>
      <w:r w:rsidRPr="00CE47DE">
        <w:rPr>
          <w:rFonts w:eastAsiaTheme="minorEastAsia"/>
        </w:rPr>
        <w:t xml:space="preserve"> at: </w:t>
      </w:r>
      <w:r w:rsidR="00165D24" w:rsidRPr="00CE47DE">
        <w:t xml:space="preserve">Department of Nursing Science, University of Turku, FIN-20014 </w:t>
      </w:r>
      <w:proofErr w:type="spellStart"/>
      <w:r w:rsidR="00165D24" w:rsidRPr="00CE47DE">
        <w:t>Turun</w:t>
      </w:r>
      <w:proofErr w:type="spellEnd"/>
      <w:r w:rsidR="00165D24" w:rsidRPr="00CE47DE">
        <w:t xml:space="preserve"> </w:t>
      </w:r>
      <w:proofErr w:type="spellStart"/>
      <w:r w:rsidR="00165D24" w:rsidRPr="00CE47DE">
        <w:t>Yliopisto</w:t>
      </w:r>
      <w:proofErr w:type="spellEnd"/>
      <w:r w:rsidR="00165D24" w:rsidRPr="00CE47DE">
        <w:t xml:space="preserve">. Tel.: </w:t>
      </w:r>
      <w:r w:rsidR="00165D24" w:rsidRPr="00CE47DE">
        <w:rPr>
          <w:color w:val="000000"/>
        </w:rPr>
        <w:t>+358 40 630 3637</w:t>
      </w:r>
      <w:r w:rsidR="005F62F6" w:rsidRPr="00CE47DE">
        <w:rPr>
          <w:color w:val="000000"/>
        </w:rPr>
        <w:t>. E-mail: jpkesa@utu.fi</w:t>
      </w:r>
    </w:p>
    <w:p w14:paraId="5D18B41E" w14:textId="77777777" w:rsidR="00C13E4E" w:rsidRPr="00CE47DE" w:rsidRDefault="00C13E4E">
      <w:pPr>
        <w:spacing w:after="200" w:line="276" w:lineRule="auto"/>
        <w:rPr>
          <w:b/>
        </w:rPr>
      </w:pPr>
      <w:r w:rsidRPr="00CE47DE">
        <w:rPr>
          <w:b/>
        </w:rPr>
        <w:br w:type="page"/>
      </w:r>
    </w:p>
    <w:p w14:paraId="6D35D14E" w14:textId="566789A7" w:rsidR="00A920F4" w:rsidRPr="00CE47DE" w:rsidRDefault="001B45D7" w:rsidP="0033364E">
      <w:pPr>
        <w:spacing w:line="480" w:lineRule="auto"/>
      </w:pPr>
      <w:r w:rsidRPr="00CE47DE">
        <w:rPr>
          <w:b/>
        </w:rPr>
        <w:lastRenderedPageBreak/>
        <w:t>Abstract</w:t>
      </w:r>
    </w:p>
    <w:p w14:paraId="318BFBC7" w14:textId="3F86B164" w:rsidR="008F2832" w:rsidRPr="00CE47DE" w:rsidRDefault="00A920F4" w:rsidP="0033364E">
      <w:pPr>
        <w:pStyle w:val="Oletus"/>
        <w:spacing w:line="480" w:lineRule="auto"/>
        <w:rPr>
          <w:rFonts w:ascii="Times New Roman" w:hAnsi="Times New Roman" w:cs="Times New Roman"/>
          <w:sz w:val="24"/>
          <w:szCs w:val="24"/>
          <w:lang w:val="en-GB"/>
        </w:rPr>
      </w:pPr>
      <w:r w:rsidRPr="00CE47DE">
        <w:rPr>
          <w:rFonts w:ascii="Times New Roman" w:hAnsi="Times New Roman" w:cs="Times New Roman"/>
          <w:i/>
          <w:sz w:val="24"/>
          <w:szCs w:val="24"/>
          <w:lang w:val="en-GB"/>
        </w:rPr>
        <w:t>Objective</w:t>
      </w:r>
      <w:r w:rsidR="00882A3B" w:rsidRPr="00CE47DE">
        <w:rPr>
          <w:rFonts w:ascii="Times New Roman" w:hAnsi="Times New Roman" w:cs="Times New Roman"/>
          <w:i/>
          <w:sz w:val="24"/>
          <w:szCs w:val="24"/>
          <w:lang w:val="en-GB"/>
        </w:rPr>
        <w:t xml:space="preserve">: </w:t>
      </w:r>
      <w:r w:rsidR="00E274E1" w:rsidRPr="00CE47DE">
        <w:rPr>
          <w:rFonts w:ascii="Times New Roman" w:eastAsia="Arial Unicode MS" w:hAnsi="Times New Roman" w:cs="Times New Roman"/>
          <w:sz w:val="24"/>
          <w:szCs w:val="24"/>
          <w:lang w:val="en-GB"/>
        </w:rPr>
        <w:t xml:space="preserve">To assess the impact of a preoperative educational </w:t>
      </w:r>
      <w:r w:rsidR="009B13E1" w:rsidRPr="00CE47DE">
        <w:rPr>
          <w:rFonts w:ascii="Times New Roman" w:eastAsia="Arial Unicode MS" w:hAnsi="Times New Roman" w:cs="Times New Roman"/>
          <w:sz w:val="24"/>
          <w:szCs w:val="24"/>
          <w:lang w:val="en-GB"/>
        </w:rPr>
        <w:t xml:space="preserve">intervention </w:t>
      </w:r>
      <w:r w:rsidR="00E274E1" w:rsidRPr="00CE47DE">
        <w:rPr>
          <w:rFonts w:ascii="Times New Roman" w:eastAsia="Arial Unicode MS" w:hAnsi="Times New Roman" w:cs="Times New Roman"/>
          <w:sz w:val="24"/>
          <w:szCs w:val="24"/>
          <w:lang w:val="en-GB"/>
        </w:rPr>
        <w:t>on the knowledge level o</w:t>
      </w:r>
      <w:r w:rsidR="00DB56BE" w:rsidRPr="00CE47DE">
        <w:rPr>
          <w:rFonts w:ascii="Times New Roman" w:eastAsia="Arial Unicode MS" w:hAnsi="Times New Roman" w:cs="Times New Roman"/>
          <w:sz w:val="24"/>
          <w:szCs w:val="24"/>
          <w:lang w:val="en-GB"/>
        </w:rPr>
        <w:t>f patients with spinal stenosis</w:t>
      </w:r>
      <w:r w:rsidR="004530AC" w:rsidRPr="00CE47DE">
        <w:rPr>
          <w:rFonts w:ascii="Times New Roman" w:hAnsi="Times New Roman" w:cs="Times New Roman"/>
          <w:lang w:val="en-GB"/>
        </w:rPr>
        <w:t xml:space="preserve">. </w:t>
      </w:r>
    </w:p>
    <w:p w14:paraId="4F6426F3" w14:textId="77777777" w:rsidR="00A920F4" w:rsidRPr="00CE47DE" w:rsidRDefault="00A920F4" w:rsidP="0033364E">
      <w:pPr>
        <w:spacing w:line="480" w:lineRule="auto"/>
      </w:pPr>
    </w:p>
    <w:p w14:paraId="4B46F052" w14:textId="64E4ACF7" w:rsidR="005055D3" w:rsidRPr="00CE47DE" w:rsidRDefault="00A920F4" w:rsidP="0033364E">
      <w:pPr>
        <w:spacing w:line="480" w:lineRule="auto"/>
      </w:pPr>
      <w:r w:rsidRPr="00CE47DE">
        <w:rPr>
          <w:i/>
        </w:rPr>
        <w:t>Methods</w:t>
      </w:r>
      <w:r w:rsidR="00882A3B" w:rsidRPr="00CE47DE">
        <w:t xml:space="preserve">: </w:t>
      </w:r>
      <w:r w:rsidR="00E274E1" w:rsidRPr="00CE47DE">
        <w:rPr>
          <w:rFonts w:eastAsia="Arial Unicode MS" w:cs="Arial Unicode MS"/>
        </w:rPr>
        <w:t>One hundred spinal stenosis patients were randomized into a preoperative educational intervention group (IG, n</w:t>
      </w:r>
      <w:r w:rsidR="00DF5FB7" w:rsidRPr="00CE47DE">
        <w:rPr>
          <w:rFonts w:eastAsia="Arial Unicode MS" w:cs="Arial Unicode MS"/>
        </w:rPr>
        <w:t xml:space="preserve"> </w:t>
      </w:r>
      <w:r w:rsidR="00E274E1" w:rsidRPr="00CE47DE">
        <w:rPr>
          <w:rFonts w:eastAsia="Arial Unicode MS" w:cs="Arial Unicode MS"/>
        </w:rPr>
        <w:t>=</w:t>
      </w:r>
      <w:r w:rsidR="00DF5FB7" w:rsidRPr="00CE47DE">
        <w:rPr>
          <w:rFonts w:eastAsia="Arial Unicode MS" w:cs="Arial Unicode MS"/>
        </w:rPr>
        <w:t xml:space="preserve"> </w:t>
      </w:r>
      <w:r w:rsidR="00E274E1" w:rsidRPr="00CE47DE">
        <w:rPr>
          <w:rFonts w:eastAsia="Arial Unicode MS" w:cs="Arial Unicode MS"/>
        </w:rPr>
        <w:t>50) or a control group (CG, n</w:t>
      </w:r>
      <w:r w:rsidR="00DF5FB7" w:rsidRPr="00CE47DE">
        <w:rPr>
          <w:rFonts w:eastAsia="Arial Unicode MS" w:cs="Arial Unicode MS"/>
        </w:rPr>
        <w:t xml:space="preserve"> </w:t>
      </w:r>
      <w:r w:rsidR="00E274E1" w:rsidRPr="00CE47DE">
        <w:rPr>
          <w:rFonts w:eastAsia="Arial Unicode MS" w:cs="Arial Unicode MS"/>
        </w:rPr>
        <w:t>=</w:t>
      </w:r>
      <w:r w:rsidR="00DF5FB7" w:rsidRPr="00CE47DE">
        <w:rPr>
          <w:rFonts w:eastAsia="Arial Unicode MS" w:cs="Arial Unicode MS"/>
        </w:rPr>
        <w:t xml:space="preserve"> </w:t>
      </w:r>
      <w:r w:rsidR="00E274E1" w:rsidRPr="00CE47DE">
        <w:rPr>
          <w:rFonts w:eastAsia="Arial Unicode MS" w:cs="Arial Unicode MS"/>
        </w:rPr>
        <w:t>50).  All the patients received routine preoperative education. In addition, the IG went through an empowering telephone discourse base</w:t>
      </w:r>
      <w:r w:rsidR="000B3AED">
        <w:rPr>
          <w:rFonts w:eastAsia="Arial Unicode MS" w:cs="Arial Unicode MS"/>
        </w:rPr>
        <w:t xml:space="preserve">d on a knowledge test performed </w:t>
      </w:r>
      <w:r w:rsidR="00E274E1" w:rsidRPr="00CE47DE">
        <w:rPr>
          <w:rFonts w:eastAsia="Arial Unicode MS" w:cs="Arial Unicode MS"/>
        </w:rPr>
        <w:t xml:space="preserve">before </w:t>
      </w:r>
      <w:r w:rsidR="00F65107">
        <w:rPr>
          <w:rFonts w:eastAsia="Arial Unicode MS" w:cs="Arial Unicode MS"/>
        </w:rPr>
        <w:t>admission to hospital</w:t>
      </w:r>
      <w:r w:rsidR="00E274E1" w:rsidRPr="00CE47DE">
        <w:rPr>
          <w:rFonts w:eastAsia="Arial Unicode MS" w:cs="Arial Unicode MS"/>
        </w:rPr>
        <w:t xml:space="preserve">. Data on patients´ knowledge level were collected at baseline (after the treatment decision), admission to </w:t>
      </w:r>
      <w:proofErr w:type="gramStart"/>
      <w:r w:rsidR="00E274E1" w:rsidRPr="00CE47DE">
        <w:rPr>
          <w:rFonts w:eastAsia="Arial Unicode MS" w:cs="Arial Unicode MS"/>
        </w:rPr>
        <w:t>hospital,</w:t>
      </w:r>
      <w:proofErr w:type="gramEnd"/>
      <w:r w:rsidR="00E274E1" w:rsidRPr="00CE47DE">
        <w:rPr>
          <w:rFonts w:eastAsia="Arial Unicode MS" w:cs="Arial Unicode MS"/>
        </w:rPr>
        <w:t xml:space="preserve"> discharge from hospital and at 3 and 6 months follow-up.</w:t>
      </w:r>
    </w:p>
    <w:p w14:paraId="17637A58" w14:textId="77777777" w:rsidR="00A920F4" w:rsidRPr="00CE47DE" w:rsidRDefault="00A920F4" w:rsidP="0033364E">
      <w:pPr>
        <w:spacing w:line="480" w:lineRule="auto"/>
      </w:pPr>
    </w:p>
    <w:p w14:paraId="526C726A" w14:textId="48BB55EC" w:rsidR="00A63C0A" w:rsidRPr="00CE47DE" w:rsidRDefault="00A920F4" w:rsidP="0033364E">
      <w:pPr>
        <w:spacing w:line="480" w:lineRule="auto"/>
      </w:pPr>
      <w:r w:rsidRPr="00CE47DE">
        <w:rPr>
          <w:i/>
        </w:rPr>
        <w:t>Results</w:t>
      </w:r>
      <w:r w:rsidR="00882A3B" w:rsidRPr="00CE47DE">
        <w:rPr>
          <w:i/>
        </w:rPr>
        <w:t xml:space="preserve">: </w:t>
      </w:r>
      <w:r w:rsidR="00E274E1" w:rsidRPr="00CE47DE">
        <w:rPr>
          <w:rFonts w:eastAsia="Arial Unicode MS" w:cs="Arial Unicode MS"/>
        </w:rPr>
        <w:t xml:space="preserve">At baseline, there was no difference </w:t>
      </w:r>
      <w:r w:rsidR="00621978">
        <w:rPr>
          <w:rFonts w:eastAsia="Arial Unicode MS" w:cs="Arial Unicode MS"/>
        </w:rPr>
        <w:t>i</w:t>
      </w:r>
      <w:r w:rsidR="00E274E1" w:rsidRPr="00CE47DE">
        <w:rPr>
          <w:rFonts w:eastAsia="Arial Unicode MS" w:cs="Arial Unicode MS"/>
        </w:rPr>
        <w:t>n the knowledge level of the study groups. At admission, the knowledge level was significantly higher in five of six dimension of empowering knowledge in the IG compared to the CG. During follow-up, the knowledge level within the study groups remained stable.</w:t>
      </w:r>
    </w:p>
    <w:p w14:paraId="5E121583" w14:textId="77777777" w:rsidR="00A920F4" w:rsidRPr="00CE47DE" w:rsidRDefault="00A920F4" w:rsidP="0033364E">
      <w:pPr>
        <w:spacing w:line="480" w:lineRule="auto"/>
      </w:pPr>
    </w:p>
    <w:p w14:paraId="2A29E0F5" w14:textId="4727AF6C" w:rsidR="00A920F4" w:rsidRPr="00CE47DE" w:rsidRDefault="00A920F4" w:rsidP="0033364E">
      <w:pPr>
        <w:spacing w:line="480" w:lineRule="auto"/>
      </w:pPr>
      <w:r w:rsidRPr="00CE47DE">
        <w:rPr>
          <w:i/>
        </w:rPr>
        <w:t>Conclusion</w:t>
      </w:r>
      <w:r w:rsidR="00882A3B" w:rsidRPr="00CE47DE">
        <w:rPr>
          <w:i/>
        </w:rPr>
        <w:t>:</w:t>
      </w:r>
      <w:r w:rsidR="00882A3B" w:rsidRPr="00CE47DE">
        <w:t xml:space="preserve"> </w:t>
      </w:r>
      <w:r w:rsidR="00E274E1" w:rsidRPr="00CE47DE">
        <w:rPr>
          <w:rFonts w:eastAsia="Arial Unicode MS" w:cs="Arial Unicode MS"/>
        </w:rPr>
        <w:t>A preoperative KTFI significantly increased the patients´ knowledge level in most dimensions of empowering knowledge</w:t>
      </w:r>
    </w:p>
    <w:p w14:paraId="7B4591DB" w14:textId="77777777" w:rsidR="00A920F4" w:rsidRPr="00CE47DE" w:rsidRDefault="00A920F4" w:rsidP="0033364E">
      <w:pPr>
        <w:spacing w:line="480" w:lineRule="auto"/>
      </w:pPr>
    </w:p>
    <w:p w14:paraId="50A7C655" w14:textId="7403CEA9" w:rsidR="00115A77" w:rsidRPr="00CE47DE" w:rsidRDefault="00882A3B" w:rsidP="0033364E">
      <w:pPr>
        <w:spacing w:line="480" w:lineRule="auto"/>
      </w:pPr>
      <w:r w:rsidRPr="00CE47DE">
        <w:rPr>
          <w:i/>
        </w:rPr>
        <w:t>Practice implication:</w:t>
      </w:r>
      <w:r w:rsidRPr="00CE47DE">
        <w:t xml:space="preserve"> </w:t>
      </w:r>
      <w:r w:rsidR="00E274E1" w:rsidRPr="00CE47DE">
        <w:rPr>
          <w:rFonts w:eastAsia="Arial Unicode MS" w:cs="Arial Unicode MS"/>
        </w:rPr>
        <w:t>KTFI is an effective method of preoperative education in patients with spinal stenosis</w:t>
      </w:r>
      <w:r w:rsidR="00435E8A" w:rsidRPr="00CE47DE">
        <w:t xml:space="preserve"> </w:t>
      </w:r>
    </w:p>
    <w:p w14:paraId="2E26EFE9" w14:textId="77777777" w:rsidR="00115A77" w:rsidRPr="00CE47DE" w:rsidRDefault="00115A77" w:rsidP="0033364E">
      <w:pPr>
        <w:spacing w:line="480" w:lineRule="auto"/>
      </w:pPr>
    </w:p>
    <w:p w14:paraId="6D07E9F0" w14:textId="2D6B1F03" w:rsidR="00A2430C" w:rsidRPr="00CE47DE" w:rsidRDefault="00115A77" w:rsidP="0033364E">
      <w:pPr>
        <w:spacing w:line="480" w:lineRule="auto"/>
      </w:pPr>
      <w:r w:rsidRPr="00CE47DE">
        <w:t>Keywords</w:t>
      </w:r>
      <w:r w:rsidR="00417556" w:rsidRPr="00CE47DE">
        <w:t xml:space="preserve">: empowering patient education, </w:t>
      </w:r>
      <w:r w:rsidR="002679C2" w:rsidRPr="00CE47DE">
        <w:t xml:space="preserve">empowering discourse, </w:t>
      </w:r>
      <w:r w:rsidR="00417556" w:rsidRPr="00CE47DE">
        <w:t xml:space="preserve">knowledge test, </w:t>
      </w:r>
      <w:r w:rsidR="00B84E78" w:rsidRPr="00CE47DE">
        <w:t xml:space="preserve">feedback, </w:t>
      </w:r>
      <w:r w:rsidR="00C320A9" w:rsidRPr="00CE47DE">
        <w:t xml:space="preserve">spinal </w:t>
      </w:r>
      <w:r w:rsidR="0004066D" w:rsidRPr="00CE47DE">
        <w:t>stenosis,</w:t>
      </w:r>
      <w:r w:rsidR="00C320A9" w:rsidRPr="00CE47DE">
        <w:t xml:space="preserve"> </w:t>
      </w:r>
      <w:r w:rsidR="0004066D" w:rsidRPr="00CE47DE">
        <w:t>surgery</w:t>
      </w:r>
      <w:r w:rsidR="002679C2" w:rsidRPr="00CE47DE">
        <w:t>, randomized controlled trial</w:t>
      </w:r>
    </w:p>
    <w:p w14:paraId="378104E0" w14:textId="6E3D1EAD" w:rsidR="001B45D7" w:rsidRPr="00CE47DE" w:rsidRDefault="00596B7E" w:rsidP="0033364E">
      <w:pPr>
        <w:pStyle w:val="NormalWeb"/>
        <w:spacing w:line="480" w:lineRule="auto"/>
        <w:rPr>
          <w:rFonts w:ascii="Times New Roman" w:hAnsi="Times New Roman" w:cs="Times New Roman"/>
          <w:lang w:val="en-GB"/>
        </w:rPr>
      </w:pPr>
      <w:r w:rsidRPr="00CE47DE">
        <w:rPr>
          <w:rFonts w:ascii="Times New Roman" w:hAnsi="Times New Roman" w:cs="Times New Roman"/>
          <w:lang w:val="en-GB"/>
        </w:rPr>
        <w:lastRenderedPageBreak/>
        <w:t>Trial</w:t>
      </w:r>
      <w:r w:rsidR="000048F5" w:rsidRPr="00CE47DE">
        <w:rPr>
          <w:rFonts w:ascii="Times New Roman" w:hAnsi="Times New Roman" w:cs="Times New Roman"/>
          <w:lang w:val="en-GB"/>
        </w:rPr>
        <w:t xml:space="preserve"> </w:t>
      </w:r>
      <w:r w:rsidRPr="00CE47DE">
        <w:rPr>
          <w:rFonts w:ascii="Times New Roman" w:hAnsi="Times New Roman" w:cs="Times New Roman"/>
          <w:lang w:val="en-GB"/>
        </w:rPr>
        <w:t>registration:</w:t>
      </w:r>
      <w:r w:rsidR="00A2430C" w:rsidRPr="00CE47DE">
        <w:rPr>
          <w:rFonts w:ascii="Times New Roman" w:hAnsi="Times New Roman" w:cs="Times New Roman"/>
          <w:lang w:val="en-GB"/>
        </w:rPr>
        <w:t xml:space="preserve"> </w:t>
      </w:r>
      <w:r w:rsidR="0091749E" w:rsidRPr="00CE47DE">
        <w:rPr>
          <w:rFonts w:ascii="Times New Roman" w:hAnsi="Times New Roman" w:cs="Times New Roman"/>
          <w:lang w:val="en-GB"/>
        </w:rPr>
        <w:t xml:space="preserve">This trial is registered at </w:t>
      </w:r>
      <w:r w:rsidR="00012A21" w:rsidRPr="00CE47DE">
        <w:rPr>
          <w:rFonts w:ascii="Times New Roman" w:hAnsi="Times New Roman" w:cs="Times New Roman"/>
          <w:lang w:val="en-GB"/>
        </w:rPr>
        <w:t>Australian New Zealand Cl</w:t>
      </w:r>
      <w:r w:rsidR="00E013B4" w:rsidRPr="00CE47DE">
        <w:rPr>
          <w:rFonts w:ascii="Times New Roman" w:hAnsi="Times New Roman" w:cs="Times New Roman"/>
          <w:lang w:val="en-GB"/>
        </w:rPr>
        <w:t>inical Trials Registry (ANZCTR)</w:t>
      </w:r>
      <w:r w:rsidR="00012A21" w:rsidRPr="00CE47DE">
        <w:rPr>
          <w:rFonts w:ascii="Times New Roman" w:hAnsi="Times New Roman" w:cs="Times New Roman"/>
          <w:lang w:val="en-GB"/>
        </w:rPr>
        <w:t xml:space="preserve"> </w:t>
      </w:r>
      <w:r w:rsidR="00FC48E9" w:rsidRPr="00CE47DE">
        <w:rPr>
          <w:rFonts w:ascii="Times New Roman" w:hAnsi="Times New Roman" w:cs="Times New Roman"/>
          <w:lang w:val="en-GB"/>
        </w:rPr>
        <w:t>ACTRN12611000417987</w:t>
      </w:r>
      <w:r w:rsidR="001B45D7" w:rsidRPr="00CE47DE">
        <w:rPr>
          <w:rFonts w:ascii="Times New Roman" w:hAnsi="Times New Roman" w:cs="Times New Roman"/>
          <w:lang w:val="en-GB"/>
        </w:rPr>
        <w:br w:type="page"/>
      </w:r>
      <w:r w:rsidR="00A920F4" w:rsidRPr="00CE47DE">
        <w:rPr>
          <w:rFonts w:ascii="Times New Roman" w:hAnsi="Times New Roman" w:cs="Times New Roman"/>
          <w:b/>
          <w:lang w:val="en-GB"/>
        </w:rPr>
        <w:lastRenderedPageBreak/>
        <w:t xml:space="preserve">1. </w:t>
      </w:r>
      <w:r w:rsidR="001B45D7" w:rsidRPr="00CE47DE">
        <w:rPr>
          <w:rFonts w:ascii="Times New Roman" w:hAnsi="Times New Roman" w:cs="Times New Roman"/>
          <w:b/>
          <w:lang w:val="en-GB"/>
        </w:rPr>
        <w:t>Introduction</w:t>
      </w:r>
    </w:p>
    <w:p w14:paraId="3729A007" w14:textId="63C752DB" w:rsidR="0061385C" w:rsidRPr="00CE47DE" w:rsidRDefault="00B5319C" w:rsidP="0061385C">
      <w:pPr>
        <w:widowControl w:val="0"/>
        <w:autoSpaceDE w:val="0"/>
        <w:autoSpaceDN w:val="0"/>
        <w:adjustRightInd w:val="0"/>
        <w:spacing w:line="480" w:lineRule="auto"/>
      </w:pPr>
      <w:r w:rsidRPr="00CE47DE">
        <w:t xml:space="preserve">Lumbar spinal stenosis (LSS, narrowing of the spinal canal) can </w:t>
      </w:r>
      <w:r w:rsidR="00DB56BE" w:rsidRPr="00CE47DE">
        <w:t xml:space="preserve">cause considerable pain and disability, and </w:t>
      </w:r>
      <w:r w:rsidR="000B3AED">
        <w:t xml:space="preserve">can </w:t>
      </w:r>
      <w:r w:rsidR="00DB56BE" w:rsidRPr="00CE47DE">
        <w:t xml:space="preserve">thus </w:t>
      </w:r>
      <w:r w:rsidRPr="00CE47DE">
        <w:t>impair the quality of life of the aging population</w:t>
      </w:r>
      <w:r w:rsidR="00DB56BE" w:rsidRPr="00CE47DE">
        <w:t>.</w:t>
      </w:r>
      <w:r w:rsidRPr="00CE47DE">
        <w:t xml:space="preserve"> </w:t>
      </w:r>
      <w:r w:rsidR="00752C92" w:rsidRPr="00C63A82">
        <w:fldChar w:fldCharType="begin" w:fldLock="1"/>
      </w:r>
      <w:r w:rsidR="0068258A">
        <w:instrText>ADDIN CSL_CITATION { "citationItems" : [ { "id" : "ITEM-1", "itemData" : { "DOI" : "10.1016/j.spinee.2010.05.006", "ISSN" : "1878-1632", "PMID" : "20620984", "abstract" : "COMMENTARY ON: Chen E, Tong KB, Laouri M. Surgical treatment patterns among Medicare beneficiaries newly diagnosed with lumbar spinal stenosis. Spine J 2010;10:588-594 (in this issue).", "author" : [ { "dropping-particle" : "", "family" : "Deyo", "given" : "Richard A", "non-dropping-particle" : "", "parse-names" : false, "suffix" : "" } ], "container-title" : "The spine journal : official journal of the North American Spine Society", "id" : "ITEM-1", "issue" : "7", "issued" : { "date-parts" : [ [ "2010" ] ] }, "page" : "625-627", "title" : "Treatment of lumbar spinal stenosis: a balancing act", "type" : "article-journal", "volume" : "10" }, "uris" : [ "http://www.mendeley.com/documents/?uuid=bd43d8cf-d6a4-471e-a9c8-4ec86ed7092d" ] }, { "id" : "ITEM-2", "itemData" : { "DOI" : "10.1016/j.spinee.2011.11.009", "ISSN" : "1878-1632", "PMID" : "22193054", "abstract" : "BACKGROUND CONTEXT: Spinal stenosis is one of the most commonly diagnosed pathologies of the lumbar spine and the leading indication for spine surgery in adults aged 65 years and older. Yet, the burden of lumbar spinal stenosis (LSS) alone, and in combination with common comorbidities, on health-related quality of life (HRQL) is unknown as are comorbidities specifically associated with this chronic condition.\\n\\nPURPOSE: To estimate the illness burden of LSS on HRQL, adjusting for the effects of specific comorbidities, age, and gender, and investigate whether specific comorbidities are associated with the condition.\\n\\nSTUDY DESIGN/SETTING: A community-based cohort of 245 patients diagnosed with LSS was assembled and compared with a representative sample of 7,489 adults from the base population of Albertans responding to the Canadian Community Health Survey on HRQL and comorbidities.\\n\\nMETHODS: Health-related quality-of-life data were acquired through interviews for both groups using the Health Utilities Index Mark 3 (HUI3). Both groups were also queried about the presence of 13 specific chronic conditions. Linear regression was used to model HUI3 scores as a function of group, age, gender, and specific comorbid conditions. Logistic regression was used to compare the odds of having particular comorbid conditions between the LSS and general population groups.\\n\\nRESULTS: The mean unadjusted overall HUI3 scores were 0.60 for the LSS group and 0.85 for the general population (1=perfect health). After adjustment, HRQL deficits four times that deemed a clinically important difference remained between the groups. Controlling age and gender, the prevalence of arthritis, migraines, hypertension, and incontinence was significantly greater in the LSS group as compared with the general population sample.\\n\\nCONCLUSIONS: Diagnosed LSS is associated with a very substantial burden of illness that is compounded by associated comorbidities, with implications for clinical care, health-care policy decisions, and research. Attention to comorbidities is particularly important in LSS.", "author" : [ { "dropping-particle" : "", "family" : "Batti\u00e9", "given" : "Michele C", "non-dropping-particle" : "", "parse-names" : false, "suffix" : "" }, { "dropping-particle" : "", "family" : "Jones", "given" : "C Allyson", "non-dropping-particle" : "", "parse-names" : false, "suffix" : "" }, { "dropping-particle" : "", "family" : "Schopflocher", "given" : "Donald P", "non-dropping-particle" : "", "parse-names" : false, "suffix" : "" }, { "dropping-particle" : "", "family" : "Hu", "given" : "Richard W", "non-dropping-particle" : "", "parse-names" : false, "suffix" : "" } ], "container-title" : "The spine journal", "id" : "ITEM-2", "issue" : "3", "issued" : { "date-parts" : [ [ "2012" ] ] }, "page" : "189-195", "title" : "Health-related quality of life and comorbidities associated with lumbar spinal stenosis", "type" : "article-journal", "volume" : "12" }, "uris" : [ "http://www.mendeley.com/documents/?uuid=08313be2-d72a-4f01-b85b-9081bddb9243" ] }, { "id" : "ITEM-3", "itemData" : { "DOI" : "10.1155/2013/590652", "ISSN" : "1537-744X", "PMID" : "24453878", "abstract" : "Lumbar spinal stenosis (LSS) is common in the elderly. However, there have been few reports on its impact on quality of life (QoL) in community-dwelling individuals. The purpose of this study was to clarify how symptomatic LSS affects QoL at the community level. A total of 1862 people (697 males and 1165 females, most subjects were between 40 and 85 y.o.) agreed to participate and were interviewed. The presence of symptomatic LSS was assessed by a specially designed questionnaire. The Medical Outcomes Study 36-Item Short Form Health Survey (SF-36) was also administered. In addition, the presence of comorbid conditions that affect QoL, such as osteoarthritis of the knee and hip, cardiovascular disease, cerebrovascular disease, or respiratory disease, was also analyzed. The prevalence of symptomatic LSS gradually increased with age. Furthermore, the presence of symptomatic LSS had a strong negative effect on all 8 physical and mental domains and the physical component summary (PCS) (OR: 1.547-2.544) but not the mental component summary (MCS). In comparison with comorbid conditions, LSS had a much stronger negative impact on health-related QoL (HR-QoL). The current study confirmed that the presence of symptomatic LSS might have a strong negative influence on HR-QoL in the community setting.", "author" : [ { "dropping-particle" : "", "family" : "Otani", "given" : "Koji", "non-dropping-particle" : "", "parse-names" : false, "suffix" : "" }, { "dropping-particle" : "", "family" : "Kikuchi", "given" : "Shinichi", "non-dropping-particle" : "", "parse-names" : false, "suffix" : "" }, { "dropping-particle" : "", "family" : "Yabuki", "given" : "Shoji", "non-dropping-particle" : "", "parse-names" : false, "suffix" : "" }, { "dropping-particle" : "", "family" : "Igarashi", "given" : "Tamaki", "non-dropping-particle" : "", "parse-names" : false, "suffix" : "" }, { "dropping-particle" : "", "family" : "Nikaido", "given" : "Takuya", "non-dropping-particle" : "", "parse-names" : false, "suffix" : "" }, { "dropping-particle" : "", "family" : "Watanabe", "given" : "Kazuyuki", "non-dropping-particle" : "", "parse-names" : false, "suffix" : "" }, { "dropping-particle" : "", "family" : "Konno", "given" : "Shinichi", "non-dropping-particle" : "", "parse-names" : false, "suffix" : "" } ], "container-title" : "TheScientificWorldJournal", "id" : "ITEM-3", "issued" : { "date-parts" : [ [ "2013", "1" ] ] }, "page" : "Article ID 590652", "title" : "Lumbar spinal stenosis has a negative impact on quality of life compared with other comorbidities: an epidemiological cross-sectional study of 1862 community-dwelling individuals", "type" : "article-journal", "volume" : "2013" }, "uris" : [ "http://www.mendeley.com/documents/?uuid=12f24101-f756-4729-a229-82443c827db4" ] } ], "mendeley" : { "formattedCitation" : "[1\u20133]", "plainTextFormattedCitation" : "[1\u20133]", "previouslyFormattedCitation" : "[1\u20133]" }, "properties" : { "noteIndex" : 0 }, "schema" : "https://github.com/citation-style-language/schema/raw/master/csl-citation.json" }</w:instrText>
      </w:r>
      <w:r w:rsidR="00752C92" w:rsidRPr="00C63A82">
        <w:fldChar w:fldCharType="separate"/>
      </w:r>
      <w:r w:rsidR="004A0CB7" w:rsidRPr="004A0CB7">
        <w:rPr>
          <w:noProof/>
        </w:rPr>
        <w:t>[1–3]</w:t>
      </w:r>
      <w:r w:rsidR="00752C92" w:rsidRPr="00C63A82">
        <w:fldChar w:fldCharType="end"/>
      </w:r>
      <w:r w:rsidR="00294DC6" w:rsidRPr="00C63A82">
        <w:t>.</w:t>
      </w:r>
      <w:r w:rsidR="002A286F" w:rsidRPr="00C63A82">
        <w:t xml:space="preserve"> </w:t>
      </w:r>
      <w:r w:rsidR="000B3AED" w:rsidRPr="000B3AED">
        <w:rPr>
          <w:b/>
        </w:rPr>
        <w:t>Treatment of lumbar spinal stenosis is initially conservative (usually physical therapy and pain medication) unless absolute indications for surgery exist (e.g. progressive neurological deficits). With prolonged symptoms of significant pain and disability, surgical treatment is usually considered</w:t>
      </w:r>
      <w:r w:rsidR="00C63A82" w:rsidRPr="00926134">
        <w:rPr>
          <w:rFonts w:eastAsiaTheme="minorHAnsi"/>
          <w:b/>
          <w:color w:val="222222"/>
          <w:lang w:eastAsia="en-US"/>
        </w:rPr>
        <w:t xml:space="preserve"> </w:t>
      </w:r>
      <w:r w:rsidR="00C63A82" w:rsidRPr="00926134">
        <w:rPr>
          <w:rFonts w:eastAsiaTheme="minorHAnsi"/>
          <w:b/>
          <w:color w:val="222222"/>
          <w:lang w:eastAsia="en-US"/>
        </w:rPr>
        <w:fldChar w:fldCharType="begin" w:fldLock="1"/>
      </w:r>
      <w:r w:rsidR="0068258A">
        <w:rPr>
          <w:rFonts w:eastAsiaTheme="minorHAnsi"/>
          <w:b/>
          <w:color w:val="222222"/>
          <w:lang w:eastAsia="en-US"/>
        </w:rPr>
        <w:instrText>ADDIN CSL_CITATION { "citationItems" : [ { "id" : "ITEM-1", "itemData" : { "DOI" : "10.1097/BRS.0b013e3182541955", "ISBN" : "1528-1159 (Electronic)\\r0362-2436 (Linking)", "ISSN" : "0362-2436", "PMID" : "22426453", "abstract" : "STUDY DESIGN: A retrospective cohort study. OBJECTIVE: In this article, we examined the Spine Patient Outcomes Research Trial lumbar stenosis observational cohort to determine baseline patient characteristics that are predictive of the treatment patients chose. We also evaluated cutoff points on validated patient questionnaires that differentiate patients who chose surgery from those who chose nonsurgical management. SUMMARY OF BACKGROUND DATA: Although the evidence from current studies suggests that surgical intervention is effective for lumbar spinal stenosis, the same studies show that nonoperative patients also improve. Thus, the reasons for patients choosing surgery versus nonoperative care are of continuing interest. METHODS: Baseline patient and clinical characteristics between those who received operative intervention and those who received nonoperative care were compared to determine baseline predictors of lumbar spinal stenosis management. Also, an evaluation of responses to the 36-Item Short Form Health Survey Bodily Pain (BP), 36-Item Short Form Health Survey Physical Function (PF), and the modified Oswestry Disability Index (ODI) questionnaires was performed to determine the percentage of patients choosing surgical versus nonoperative care relative to their initial questionnaire values. RESULTS: This analysis looked at the 356 patients in the observational spinal stenosis cohort of Spine Patient Outcomes Research Trial who completed at least 1 follow-up visit. Patients choosing surgery were younger (P = 0.022), had worse BP (P &lt; 0.001), worse PF (P &lt; 0.001), worse ODI (P &lt; 0.001), worse Stenosis Bothersomeness Index (P &lt; 0.001), were dissatisfied with their symptoms (P = 0.001), and had a worse self-assessed health trend (P &lt; 0.001). Patients tended to choose surgery if they had lateral recess stenosis (P = 0.022). Kaplan-Meier curves demonstrate that patients with a BP score of 32 or less, PF score of 30 or less, and ODI greater than 29 chose surgery 75% of the time. CONCLUSION: A greater understanding of baseline characteristics that influence patient choices in the treatment of lumbar spinal stenosis can aid the patient and the surgeon during the shared decision-making process.", "author" : [ { "dropping-particle" : "", "family" : "Kurd", "given" : "M F", "non-dropping-particle" : "", "parse-names" : false, "suffix" : "" }, { "dropping-particle" : "", "family" : "Lurie", "given" : "J D", "non-dropping-particle" : "", "parse-names" : false, "suffix" : "" }, { "dropping-particle" : "", "family" : "Zhao", "given" : "W", "non-dropping-particle" : "", "parse-names" : false, "suffix" : "" }, { "dropping-particle" : "", "family" : "Tosteson", "given" : "T", "non-dropping-particle" : "", "parse-names" : false, "suffix" : "" }, { "dropping-particle" : "", "family" : "Hilibrand", "given" : "A S", "non-dropping-particle" : "", "parse-names" : false, "suffix" : "" }, { "dropping-particle" : "", "family" : "Rihn", "given" : "J", "non-dropping-particle" : "", "parse-names" : false, "suffix" : "" }, { "dropping-particle" : "", "family" : "Albert", "given" : "T J", "non-dropping-particle" : "", "parse-names" : false, "suffix" : "" }, { "dropping-particle" : "", "family" : "Weinstein", "given" : "J N", "non-dropping-particle" : "", "parse-names" : false, "suffix" : "" } ], "container-title" : "Spine", "id" : "ITEM-1", "issue" : "19", "issued" : { "date-parts" : [ [ "2012" ] ] }, "page" : "1702-1707", "title" : "Predictors of treatment choice in lumbar spinal stenosis: a spine patient outcomes research trial study", "type" : "article-journal", "volume" : "37" }, "uris" : [ "http://www.mendeley.com/documents/?uuid=3168dd79-d4ff-4700-81aa-6b6173aa1e59" ] } ], "mendeley" : { "formattedCitation" : "[4]", "plainTextFormattedCitation" : "[4]", "previouslyFormattedCitation" : "[4]" }, "properties" : { "noteIndex" : 0 }, "schema" : "https://github.com/citation-style-language/schema/raw/master/csl-citation.json" }</w:instrText>
      </w:r>
      <w:r w:rsidR="00C63A82" w:rsidRPr="00926134">
        <w:rPr>
          <w:rFonts w:eastAsiaTheme="minorHAnsi"/>
          <w:b/>
          <w:color w:val="222222"/>
          <w:lang w:eastAsia="en-US"/>
        </w:rPr>
        <w:fldChar w:fldCharType="separate"/>
      </w:r>
      <w:r w:rsidR="004A0CB7" w:rsidRPr="004A0CB7">
        <w:rPr>
          <w:rFonts w:eastAsiaTheme="minorHAnsi"/>
          <w:noProof/>
          <w:color w:val="222222"/>
          <w:lang w:eastAsia="en-US"/>
        </w:rPr>
        <w:t>[4]</w:t>
      </w:r>
      <w:r w:rsidR="00C63A82" w:rsidRPr="00926134">
        <w:rPr>
          <w:rFonts w:eastAsiaTheme="minorHAnsi"/>
          <w:b/>
          <w:color w:val="222222"/>
          <w:lang w:eastAsia="en-US"/>
        </w:rPr>
        <w:fldChar w:fldCharType="end"/>
      </w:r>
      <w:r w:rsidR="00C63A82" w:rsidRPr="00926134">
        <w:rPr>
          <w:rFonts w:eastAsiaTheme="minorHAnsi"/>
          <w:b/>
          <w:color w:val="222222"/>
          <w:lang w:eastAsia="en-US"/>
        </w:rPr>
        <w:t>.</w:t>
      </w:r>
      <w:r w:rsidR="00C63A82" w:rsidRPr="000C6972">
        <w:rPr>
          <w:rFonts w:eastAsiaTheme="minorHAnsi"/>
          <w:color w:val="222222"/>
          <w:lang w:val="en-US" w:eastAsia="en-US"/>
        </w:rPr>
        <w:t xml:space="preserve"> </w:t>
      </w:r>
      <w:r w:rsidRPr="00C63A82">
        <w:t xml:space="preserve">LSS </w:t>
      </w:r>
      <w:r w:rsidR="0004066D" w:rsidRPr="00C63A82">
        <w:t xml:space="preserve"> is the most common indication for spine surgery in older adults </w:t>
      </w:r>
      <w:r w:rsidR="0004066D" w:rsidRPr="00C63A82">
        <w:fldChar w:fldCharType="begin" w:fldLock="1"/>
      </w:r>
      <w:r w:rsidR="0068258A">
        <w:instrText>ADDIN CSL_CITATION { "citationItems" : [ { "id" : "ITEM-1", "itemData" : { "DOI" : "10.1016/j.spinee.2010.05.006", "ISSN" : "1878-1632", "PMID" : "20620984", "abstract" : "COMMENTARY ON: Chen E, Tong KB, Laouri M. Surgical treatment patterns among Medicare beneficiaries newly diagnosed with lumbar spinal stenosis. Spine J 2010;10:588-594 (in this issue).", "author" : [ { "dropping-particle" : "", "family" : "Deyo", "given" : "Richard A", "non-dropping-particle" : "", "parse-names" : false, "suffix" : "" } ], "container-title" : "The spine journal : official journal of the North American Spine Society", "id" : "ITEM-1", "issue" : "7", "issued" : { "date-parts" : [ [ "2010" ] ] }, "page" : "625-627", "title" : "Treatment of lumbar spinal stenosis: a balancing act", "type" : "article-journal", "volume" : "10" }, "uris" : [ "http://www.mendeley.com/documents/?uuid=bd43d8cf-d6a4-471e-a9c8-4ec86ed7092d" ] } ], "mendeley" : { "formattedCitation" : "[1]", "plainTextFormattedCitation" : "[1]", "previouslyFormattedCitation" : "[1]" }, "properties" : { "noteIndex" : 0 }, "schema" : "https://github.com/citation-style-language/schema/raw/master/csl-citation.json" }</w:instrText>
      </w:r>
      <w:r w:rsidR="0004066D" w:rsidRPr="00C63A82">
        <w:fldChar w:fldCharType="separate"/>
      </w:r>
      <w:r w:rsidR="004A0CB7" w:rsidRPr="004A0CB7">
        <w:rPr>
          <w:noProof/>
        </w:rPr>
        <w:t>[1]</w:t>
      </w:r>
      <w:r w:rsidR="0004066D" w:rsidRPr="00C63A82">
        <w:fldChar w:fldCharType="end"/>
      </w:r>
      <w:r w:rsidR="0004066D" w:rsidRPr="00C63A82">
        <w:t>.</w:t>
      </w:r>
      <w:r w:rsidRPr="00C63A82">
        <w:t xml:space="preserve"> A shared</w:t>
      </w:r>
      <w:r w:rsidRPr="00CE47DE">
        <w:t xml:space="preserve"> decision-making process is recommended due to significant trade-offs between </w:t>
      </w:r>
      <w:r w:rsidR="000F6A14">
        <w:t xml:space="preserve">LSS </w:t>
      </w:r>
      <w:r w:rsidRPr="00CE47DE">
        <w:t xml:space="preserve">treatment </w:t>
      </w:r>
      <w:r w:rsidR="007473EA" w:rsidRPr="00CE47DE">
        <w:t>options</w:t>
      </w:r>
      <w:r w:rsidRPr="00CE47DE">
        <w:t>, and differences in patient preferences and values</w:t>
      </w:r>
      <w:r w:rsidR="00D40230" w:rsidRPr="00CE47DE">
        <w:rPr>
          <w:rFonts w:eastAsiaTheme="minorHAnsi"/>
        </w:rPr>
        <w:t xml:space="preserve"> </w:t>
      </w:r>
      <w:r w:rsidR="00D40230" w:rsidRPr="00CE47DE">
        <w:rPr>
          <w:rFonts w:eastAsiaTheme="minorHAnsi"/>
        </w:rPr>
        <w:fldChar w:fldCharType="begin" w:fldLock="1"/>
      </w:r>
      <w:r w:rsidR="0068258A">
        <w:rPr>
          <w:rFonts w:eastAsiaTheme="minorHAnsi"/>
        </w:rPr>
        <w:instrText>ADDIN CSL_CITATION { "citationItems" : [ { "id" : "ITEM-1", "itemData" : { "DOI" : "10.1016/j.berh.2009.11.001", "ISBN" : "1521-6942", "ISSN" : "15216942", "PMID" : "20227646", "abstract" : "Lumbar spinal stenosis (LSS) is most commonly due to degenerative changes in older individuals. LSS is being more commonly diagnosed and may relate to better access to advanced imaging and to an ageing population. This review focusses on radicular symptoms related to degenerative central and lateral stenosis and updates knowledge of LSS pathophysiology, diagnosis and management. Since patients with anatomic LSS can range from asymptomatic to severely disabled, the clinical diagnosis focusses on symptoms and examination findings associated with LSS. Imaging findings are helpful for patients with persistent, bothersome symptoms in whom invasive treatments are being considered. There is limited information from high-quality studies about the relative merits and demerits of commonly used treatments. Interpreting and comparing results of available research are limited by a lack of consensus about the definition of LSS. Nevertheless, evidence supports decompressive laminectomy for patients with persistent and bothersome symptoms. Recommendations favour a shared decision-making approach due to important trade-offs between alternative therapies and differences among patients in their preferences and values.", "author" : [ { "dropping-particle" : "", "family" : "Genevay", "given" : "Stephane", "non-dropping-particle" : "", "parse-names" : false, "suffix" : "" }, { "dropping-particle" : "", "family" : "Atlas", "given" : "Steven J", "non-dropping-particle" : "", "parse-names" : false, "suffix" : "" } ], "container-title" : "Best practice &amp; research. Clinical rheumatology", "id" : "ITEM-1", "issue" : "2", "issued" : { "date-parts" : [ [ "2010" ] ] }, "page" : "253-265", "title" : "Lumbar spinal stenosis", "type" : "article-journal", "volume" : "24" }, "uris" : [ "http://www.mendeley.com/documents/?uuid=57410a11-243b-4a56-b87f-fe0e7e66acc6" ] } ], "mendeley" : { "formattedCitation" : "[5]", "plainTextFormattedCitation" : "[5]", "previouslyFormattedCitation" : "[5]" }, "properties" : { "noteIndex" : 0 }, "schema" : "https://github.com/citation-style-language/schema/raw/master/csl-citation.json" }</w:instrText>
      </w:r>
      <w:r w:rsidR="00D40230" w:rsidRPr="00CE47DE">
        <w:rPr>
          <w:rFonts w:eastAsiaTheme="minorHAnsi"/>
        </w:rPr>
        <w:fldChar w:fldCharType="separate"/>
      </w:r>
      <w:r w:rsidR="004A0CB7" w:rsidRPr="004A0CB7">
        <w:rPr>
          <w:rFonts w:eastAsiaTheme="minorHAnsi"/>
          <w:noProof/>
        </w:rPr>
        <w:t>[5]</w:t>
      </w:r>
      <w:r w:rsidR="00D40230" w:rsidRPr="00CE47DE">
        <w:rPr>
          <w:rFonts w:eastAsiaTheme="minorHAnsi"/>
        </w:rPr>
        <w:fldChar w:fldCharType="end"/>
      </w:r>
      <w:r w:rsidR="00D40230" w:rsidRPr="00CE47DE">
        <w:rPr>
          <w:rFonts w:eastAsiaTheme="minorHAnsi"/>
        </w:rPr>
        <w:t xml:space="preserve">. </w:t>
      </w:r>
      <w:r w:rsidR="00842BE6" w:rsidRPr="00CE47DE">
        <w:rPr>
          <w:rFonts w:eastAsia="Arial Unicode MS" w:cs="Arial Unicode MS"/>
        </w:rPr>
        <w:t>For the patient to be able to actively participate in the decision-making process, a broad knowledge basis is required</w:t>
      </w:r>
      <w:r w:rsidR="00D40230" w:rsidRPr="00CE47DE">
        <w:rPr>
          <w:rFonts w:eastAsiaTheme="minorHAnsi"/>
        </w:rPr>
        <w:t xml:space="preserve"> </w:t>
      </w:r>
      <w:r w:rsidR="00752C92" w:rsidRPr="00CE47DE">
        <w:fldChar w:fldCharType="begin" w:fldLock="1"/>
      </w:r>
      <w:r w:rsidR="0068258A">
        <w:instrText>ADDIN CSL_CITATION { "citationItems" : [ { "id" : "ITEM-1", "itemData" : { "DOI" : "10.1097/BRS.0b013e3182541955", "ISBN" : "1528-1159 (Electronic)\\r0362-2436 (Linking)", "ISSN" : "0362-2436", "PMID" : "22426453", "abstract" : "STUDY DESIGN: A retrospective cohort study. OBJECTIVE: In this article, we examined the Spine Patient Outcomes Research Trial lumbar stenosis observational cohort to determine baseline patient characteristics that are predictive of the treatment patients chose. We also evaluated cutoff points on validated patient questionnaires that differentiate patients who chose surgery from those who chose nonsurgical management. SUMMARY OF BACKGROUND DATA: Although the evidence from current studies suggests that surgical intervention is effective for lumbar spinal stenosis, the same studies show that nonoperative patients also improve. Thus, the reasons for patients choosing surgery versus nonoperative care are of continuing interest. METHODS: Baseline patient and clinical characteristics between those who received operative intervention and those who received nonoperative care were compared to determine baseline predictors of lumbar spinal stenosis management. Also, an evaluation of responses to the 36-Item Short Form Health Survey Bodily Pain (BP), 36-Item Short Form Health Survey Physical Function (PF), and the modified Oswestry Disability Index (ODI) questionnaires was performed to determine the percentage of patients choosing surgical versus nonoperative care relative to their initial questionnaire values. RESULTS: This analysis looked at the 356 patients in the observational spinal stenosis cohort of Spine Patient Outcomes Research Trial who completed at least 1 follow-up visit. Patients choosing surgery were younger (P = 0.022), had worse BP (P &lt; 0.001), worse PF (P &lt; 0.001), worse ODI (P &lt; 0.001), worse Stenosis Bothersomeness Index (P &lt; 0.001), were dissatisfied with their symptoms (P = 0.001), and had a worse self-assessed health trend (P &lt; 0.001). Patients tended to choose surgery if they had lateral recess stenosis (P = 0.022). Kaplan-Meier curves demonstrate that patients with a BP score of 32 or less, PF score of 30 or less, and ODI greater than 29 chose surgery 75% of the time. CONCLUSION: A greater understanding of baseline characteristics that influence patient choices in the treatment of lumbar spinal stenosis can aid the patient and the surgeon during the shared decision-making process.", "author" : [ { "dropping-particle" : "", "family" : "Kurd", "given" : "M F", "non-dropping-particle" : "", "parse-names" : false, "suffix" : "" }, { "dropping-particle" : "", "family" : "Lurie", "given" : "J D", "non-dropping-particle" : "", "parse-names" : false, "suffix" : "" }, { "dropping-particle" : "", "family" : "Zhao", "given" : "W", "non-dropping-particle" : "", "parse-names" : false, "suffix" : "" }, { "dropping-particle" : "", "family" : "Tosteson", "given" : "T", "non-dropping-particle" : "", "parse-names" : false, "suffix" : "" }, { "dropping-particle" : "", "family" : "Hilibrand", "given" : "A S", "non-dropping-particle" : "", "parse-names" : false, "suffix" : "" }, { "dropping-particle" : "", "family" : "Rihn", "given" : "J", "non-dropping-particle" : "", "parse-names" : false, "suffix" : "" }, { "dropping-particle" : "", "family" : "Albert", "given" : "T J", "non-dropping-particle" : "", "parse-names" : false, "suffix" : "" }, { "dropping-particle" : "", "family" : "Weinstein", "given" : "J N", "non-dropping-particle" : "", "parse-names" : false, "suffix" : "" } ], "container-title" : "Spine", "id" : "ITEM-1", "issue" : "19", "issued" : { "date-parts" : [ [ "2012" ] ] }, "page" : "1702-1707", "title" : "Predictors of treatment choice in lumbar spinal stenosis: a spine patient outcomes research trial study", "type" : "article-journal", "volume" : "37" }, "uris" : [ "http://www.mendeley.com/documents/?uuid=3168dd79-d4ff-4700-81aa-6b6173aa1e59" ] }, { "id" : "ITEM-2", "itemData" : { "DOI" : "10.1097/BSD.0b013e31829e1514", "ISSN" : "1539-2465", "PMID" : "23839025", "abstract" : "STUDY DESIGN:: Prospective non-interventional observation. OBJECTIVE:: To examine factors that influence a patient's real decision to accept the offer of surgery for lumbar spinal stenosis in a relatively controlled situation. SUMMARY OF BACKGROUND DATA:: A patient's decision to undergo spine surgery might be influenced by factors other than pathology. However there is limited research exploring the decision. METHODS:: A study performed for other purposes recruited persons aged 55-90 with medical record evidence of an offer of surgery for spinal stenosis by a university faculty surgeon. Inclusion criteria included neurogenic claudication, subjectively positive imaging, difficulty walking 200 yards. Potential subjects with additional disabling conditions (e.g. lower limb amputation), conditions that might mimic stenosis (e.g. polyneuropathy) or some contraindications to invasive treatment (e.g. anticoagulation) were excluded. Subjects filled out questionnaires on function, quality of life, pain, and health, and were examined by a spine surgeon masked to diagnostic category. (Other recruits had back pain or no symptoms) Telephone follow-up 6-12 months later determined whether surgery was done. RESULTS:: Of 39 qualifying subjects, 20 followed through with surgery. A binary logistic regression revealed that significant factors that influence patient decision-making included SF-36 measures of \"Comparative Health\" and \"Role Limit Emotional\" as well as the subject's overall perception of their quality of life. The combination of all three factors yielded a predictive model (P=0.031). Individually, however, only \"Comparative Health\" was significant and able to predict a decision to proceed with surgery (P=0.036). CONCLUSIONS:: In this population with significant disability, uncomplicated medical history and a relatively clear diagnosis, the decision to accept surgical intervention was influenced by issues of perceived overall health and quality of life. Interventions to change real or perceived overall health may impact patient acceptance of surgery.", "author" : [ { "dropping-particle" : "", "family" : "Roszell", "given" : "Karin", "non-dropping-particle" : "", "parse-names" : false, "suffix" : "" }, { "dropping-particle" : "", "family" : "Sandella", "given" : "Danielle", "non-dropping-particle" : "", "parse-names" : false, "suffix" : "" }, { "dropping-particle" : "", "family" : "Haig", "given" : "Andrew John", "non-dropping-particle" : "", "parse-names" : false, "suffix" : "" }, { "dropping-particle" : "", "family" : "Yamakawa", "given" : "Karen S J", "non-dropping-particle" : "", "parse-names" : false, "suffix" : "" } ], "container-title" : "Journal of spinal disorders &amp; techniques", "id" : "ITEM-2", "issued" : { "date-parts" : [ [ "2013" ] ] }, "title" : "Spinal Stenosis: Factors That Influence Patients' Decision to Undergo Surgery", "type" : "article-journal", "volume" : "in press" }, "uris" : [ "http://www.mendeley.com/documents/?uuid=b2d80ed3-0c4f-4727-bbad-3e69305bd70e" ] }, { "id" : "ITEM-3", "itemData" : { "DOI" : "10.1007/s11136-007-9171-y", "ISBN" : "0962-9343 (Print)", "ISSN" : "09629343", "PMID" : "17286194", "abstract" : "PURPOSE: Patients undergoing surgery can be impaired in several health-related quality of life areas. As a result, a modern and effective presentation of medical information before elective surgery is of great importance. Thorough preoperative education of the patient could possibly lead to an improvement of postoperative quality of life. MATERIALS AND METHODS: In a prospective randomized study we examined the influence of a preoperative informative video on the postoperative quality of life of patients undergoing elective surgery for inguinal hernia. Quality of life was assessed with a short form questionnaire (SF-36) preoperatively, on the first postoperative day and 3, 6, and 12 months after surgery. RESULTS: From January 2004 until January 2005, 100 patients were included in the study (video group n = 50 patients, control group n = 50 patients). Quality of life was measured higher in the video group soon after surgery and until 3 months afterwards. In the same group other aspects evaluated such as \"global health\" and \"social role\" showed higher values postoperatively and resumption of preoperative activities took place earlier. No difference was detectable 6 months after surgery. CONCLUSION: Informative video presents a modern and cost-effective method for the justified and detailed education of the patient about the several pre-, intra-, and postoperative steps of an elective groin hernia operation. The higher information level and the better conditions of surgical care, as the patients perceive these, lead to a better postoperative quality of life.", "author" : [ { "dropping-particle" : "", "family" : "Zieren", "given" : "Juergen", "non-dropping-particle" : "", "parse-names" : false, "suffix" : "" }, { "dropping-particle" : "", "family" : "Menenakos", "given" : "Charalambos", "non-dropping-particle" : "", "parse-names" : false, "suffix" : "" }, { "dropping-particle" : "", "family" : "Mueller", "given" : "Joachim M.", "non-dropping-particle" : "", "parse-names" : false, "suffix" : "" } ], "container-title" : "Quality of Life Research", "id" : "ITEM-3", "issue" : "5", "issued" : { "date-parts" : [ [ "2007" ] ] }, "page" : "725-729", "title" : "Does an informative video before inguinal hernia surgical repair influence postoperative quality of life? Results of a prospective randomized study", "type" : "article-journal", "volume" : "16" }, "uris" : [ "http://www.mendeley.com/documents/?uuid=3d319d87-8945-4c7b-8ba5-7eb621d6b7e7" ] }, { "id" : "ITEM-4", "itemData" : { "DOI" : "10.1016/j.clineuro.2013.12.013", "ISBN" : "0303-8467", "ISSN" : "03038467", "PMID" : "24529231", "abstract" : "Background Patients are increasingly reliant upon the Internet as a primary source of medical information. The educational experience varies by search engine, search term, and changes daily. There are no tools for critical evaluation of spinal surgery websites. Purpose To highlight the variability between common search engines for the same search terms. To detect bias, by prevalence of specific kinds of websites for certain spinal disorders. Demonstrate a simple scoring system of spinal disorder website for patient use, to maximize the quality of information exposed to the patient. Study design Ten common search terms were used to query three of the most common search engines. The top fifty results of each query were tabulated. A negative binomial regression was performed to highlight the variation across each search engine. Results Google was more likely than Bing and Yahoo search engines to return hospital ads (P = 0.002) and more likely to return scholarly sites of peer-reviewed lite (P = 0.003). Educational web sites, surgical group sites, and online web communities had a significantly higher likelihood of returning on any search, regardless of search engine, or search string (P = 0.007). Likewise, professional websites, including hospital run, industry sponsored, legal, and peer-reviewed web pages were less likely to be found on a search overall, regardless of engine and search string (P = 0.078). Conclusion The Internet is a rapidly growing body of medical information which can serve as a useful tool for patient education. High quality information is readily available, provided that the patient uses a consistent, focused metric for evaluating online spine surgery information, as there is a clear variability in the way search engines present information to the patient. ?? 2014 Elsevier B.V. All rights reserved.", "author" : [ { "dropping-particle" : "", "family" : "Ghobrial", "given" : "George M.", "non-dropping-particle" : "", "parse-names" : false, "suffix" : "" }, { "dropping-particle" : "", "family" : "Mehdi", "given" : "Angud", "non-dropping-particle" : "", "parse-names" : false, "suffix" : "" }, { "dropping-particle" : "", "family" : "Maltenfort", "given" : "Mitchell", "non-dropping-particle" : "", "parse-names" : false, "suffix" : "" }, { "dropping-particle" : "", "family" : "Sharan", "given" : "Ashwini D.", "non-dropping-particle" : "", "parse-names" : false, "suffix" : "" }, { "dropping-particle" : "", "family" : "Harrop", "given" : "James S.", "non-dropping-particle" : "", "parse-names" : false, "suffix" : "" } ], "container-title" : "Clinical Neurology and Neurosurgery", "id" : "ITEM-4", "issued" : { "date-parts" : [ [ "2014" ] ] }, "page" : "59-64", "title" : "Variability of patient spine education by Internet search engine", "type" : "article-journal", "volume" : "118" }, "uris" : [ "http://www.mendeley.com/documents/?uuid=185d86b4-8bf0-45c2-81ac-3ea28fdc18dd" ] } ], "mendeley" : { "formattedCitation" : "[4,6\u20138]", "plainTextFormattedCitation" : "[4,6\u20138]", "previouslyFormattedCitation" : "[4,6\u20138]" }, "properties" : { "noteIndex" : 0 }, "schema" : "https://github.com/citation-style-language/schema/raw/master/csl-citation.json" }</w:instrText>
      </w:r>
      <w:r w:rsidR="00752C92" w:rsidRPr="00CE47DE">
        <w:fldChar w:fldCharType="separate"/>
      </w:r>
      <w:r w:rsidR="004A0CB7" w:rsidRPr="004A0CB7">
        <w:rPr>
          <w:noProof/>
        </w:rPr>
        <w:t>[4,6–8]</w:t>
      </w:r>
      <w:r w:rsidR="00752C92" w:rsidRPr="00CE47DE">
        <w:fldChar w:fldCharType="end"/>
      </w:r>
      <w:r w:rsidR="00883C7A" w:rsidRPr="00CE47DE">
        <w:t xml:space="preserve">. </w:t>
      </w:r>
      <w:r w:rsidR="00AA28B6" w:rsidRPr="00CE47DE">
        <w:rPr>
          <w:rFonts w:eastAsiaTheme="minorHAnsi"/>
        </w:rPr>
        <w:t>In general</w:t>
      </w:r>
      <w:r w:rsidR="00D40230" w:rsidRPr="00CE47DE">
        <w:rPr>
          <w:rFonts w:eastAsiaTheme="minorHAnsi"/>
        </w:rPr>
        <w:t>,</w:t>
      </w:r>
      <w:r w:rsidR="00AA28B6" w:rsidRPr="00CE47DE">
        <w:rPr>
          <w:rFonts w:eastAsiaTheme="minorHAnsi"/>
        </w:rPr>
        <w:t xml:space="preserve"> </w:t>
      </w:r>
      <w:r w:rsidR="00842BE6" w:rsidRPr="00CE47DE">
        <w:rPr>
          <w:rFonts w:eastAsia="Arial Unicode MS" w:cs="Arial Unicode MS"/>
        </w:rPr>
        <w:t>knowledge expectations of surgical patients are high</w:t>
      </w:r>
      <w:r w:rsidR="009A0293" w:rsidRPr="00CE47DE">
        <w:t xml:space="preserve"> </w:t>
      </w:r>
      <w:r w:rsidR="00752C92" w:rsidRPr="00CE47DE">
        <w:fldChar w:fldCharType="begin" w:fldLock="1"/>
      </w:r>
      <w:r w:rsidR="0068258A">
        <w:instrText>ADDIN CSL_CITATION { "citationItems" : [ { "id" : "ITEM-1", "itemData" : { "DOI" : "10.1111/ijn.12189", "ISSN" : "13227114", "PMID" : "24118436", "abstract" : "Ageing population entails a growing international problem of osteoarthritis. Best practices for education of these patients are lacking. This study focused on empowering education in Northern (Finland, Iceland, Lithuania and Sweden) and Southern Europe (Cyprus, Greece and Spain). The aim was to analyse associations between expected knowledge and background factors. The data were collected from European arthroplasty patients with the Knowledge Expectations of hospital patients- scale, (KE(hp) - scale), including bio-physiological, functional, experiential, ethical, social and financial dimensions. Patients had essential bio-physiological and functional knowledge expectations. Women expected more than men, employed less than retired, unemployed or who worked at home. Generally, patients in Northern countries expected more than in Southern countries. However, highest expectations were found in Sweden and Greece, lowest in Spain and Cyprus. There are differences in knowledge expectations based on patients' backgrounds. Development of common standards in European patient education needs further research.", "author" : [ { "dropping-particle" : "", "family" : "Valkeap\u00e4\u00e4", "given" : "Kirsi", "non-dropping-particle" : "", "parse-names" : false, "suffix" : "" }, { "dropping-particle" : "", "family" : "Klemetti", "given" : "Seija", "non-dropping-particle" : "", "parse-names" : false, "suffix" : "" }, { "dropping-particle" : "", "family" : "Cabrera", "given" : "Esther", "non-dropping-particle" : "", "parse-names" : false, "suffix" : "" }, { "dropping-particle" : "", "family" : "Cano", "given" : "Sara", "non-dropping-particle" : "", "parse-names" : false, "suffix" : "" }, { "dropping-particle" : "", "family" : "Charalambous", "given" : "Andreas", "non-dropping-particle" : "", "parse-names" : false, "suffix" : "" }, { "dropping-particle" : "", "family" : "Copanitsanou", "given" : "Panagiota", "non-dropping-particle" : "", "parse-names" : false, "suffix" : "" }, { "dropping-particle" : "", "family" : "Ingadottir", "given" : "Brynja", "non-dropping-particle" : "", "parse-names" : false, "suffix" : "" }, { "dropping-particle" : "", "family" : "Istomina", "given" : "Natalja", "non-dropping-particle" : "", "parse-names" : false, "suffix" : "" }, { "dropping-particle" : "", "family" : "Johansson Stark", "given" : "\u00c5sa", "non-dropping-particle" : "", "parse-names" : false, "suffix" : "" }, { "dropping-particle" : "", "family" : "Katajisto", "given" : "Jouko", "non-dropping-particle" : "", "parse-names" : false, "suffix" : "" }, { "dropping-particle" : "", "family" : "Lemonidou", "given" : "Chryssoula", "non-dropping-particle" : "", "parse-names" : false, "suffix" : "" }, { "dropping-particle" : "", "family" : "Papastavrou", "given" : "Evridiki", "non-dropping-particle" : "", "parse-names" : false, "suffix" : "" }, { "dropping-particle" : "", "family" : "Sigurdardottir", "given" : "Arun K", "non-dropping-particle" : "", "parse-names" : false, "suffix" : "" }, { "dropping-particle" : "", "family" : "Sourtzi", "given" : "Panayota", "non-dropping-particle" : "", "parse-names" : false, "suffix" : "" }, { "dropping-particle" : "", "family" : "Unosson", "given" : "Mitra", "non-dropping-particle" : "", "parse-names" : false, "suffix" : "" }, { "dropping-particle" : "", "family" : "Zabalegui", "given" : "Adelaida", "non-dropping-particle" : "", "parse-names" : false, "suffix" : "" }, { "dropping-particle" : "", "family" : "Leino-Kilpi", "given" : "Helena", "non-dropping-particle" : "", "parse-names" : false, "suffix" : "" } ], "container-title" : "International Journal of Nursing Practice", "id" : "ITEM-1", "issue" : "6", "issued" : { "date-parts" : [ [ "2014", "12", "11" ] ] }, "page" : "597-607", "title" : "Knowledge expectations of surgical orthopaedic patients: A European survey", "type" : "article-journal", "volume" : "20" }, "uris" : [ "http://www.mendeley.com/documents/?uuid=4a44f25d-240c-4188-820e-246f726ab5c6" ] }, { "id" : "ITEM-2", "itemData" : { "DOI" : "10.1016/j.ijnurstu.2014.03.006", "ISSN" : "00207489", "PMID" : "24751503", "abstract" : "BACKGROUND: Patient education in connection with hip replacement is intended to prepare patients for surgery, discharge and postoperative recovery. Patients experience symptoms and emotions due to disease or upcoming surgery which can affect how their knowledge expectations are fulfilled.\\n\\nOBJECTIVES: To describe the differences between received and expected knowledge in patients undergoing elective hip replacement in three Nordic countries, and to analyse how these differences are related to patients' characteristics, preoperative symptoms and emotions.\\n\\nDESIGN: A descriptive, prospective survey with two data collection points; before admission and at hospital discharge after surgery.\\n\\nSETTINGS: Two Finnish, three Icelandic and two Swedish hospitals.\\n\\nPARTICIPANTS: The population consisted of patients on a waiting list for hip replacement. Of the consecutively included patients, 320 answered questionnaires both before admission and at discharge and were included in the study. The mean age of the patients was 64 years, and 55% were women.\\n\\nMETHODS: Structured questionnaires were used; the knowledge expectations of hospital patients scale and self-reported scales for symptoms and emotions before admission and received knowledge of hospital patients scale at discharge. Fulfilment of knowledge expectation was assessed by calculating the difference between received and expected knowledge with a paired sample t-test. A multiple stepwise regression model was used to explain the variance of fulfilled knowledge expectations.\\n\\nRESULTS: Patients expected more knowledge than they received (p&lt;0.001) and 77% of them had unfulfilled knowledge expectations. Patients with a higher level of education were more likely to have unfulfilled knowledge expectations. A higher level of education was also related to a greater difference between received and expected knowledge. The difference was more correlated with patients' emotions than their symptoms. A depressive state was the major predictor of the variance in the difference between received and expected knowledge.\\n\\nCONCLUSIONS: In order to better support patients by education it is necessary to assess their emotional state, educational level and knowledge expectations before surgery.", "author" : [ { "dropping-particle" : "", "family" : "Johansson Stark", "given" : "\u00c5sa", "non-dropping-particle" : "", "parse-names" : false, "suffix" : "" }, { "dropping-particle" : "", "family" : "Ingadottir", "given" : "Brynja", "non-dropping-particle" : "", "parse-names" : false, "suffix" : "" }, { "dropping-particle" : "", "family" : "Salanter\u00e4", "given" : "Sanna", "non-dropping-particle" : "", "parse-names" : false, "suffix" : "" }, { "dropping-particle" : "", "family" : "Sigurdardottir", "given" : "Arun", "non-dropping-particle" : "", "parse-names" : false, "suffix" : "" }, { "dropping-particle" : "", "family" : "Valkeap\u00e4\u00e4", "given" : "Kirsi", "non-dropping-particle" : "", "parse-names" : false, "suffix" : "" }, { "dropping-particle" : "", "family" : "Bachrach-Lindstr\u00f6m", "given" : "Margareta", "non-dropping-particle" : "", "parse-names" : false, "suffix" : "" }, { "dropping-particle" : "", "family" : "Unosson", "given" : "Mitra", "non-dropping-particle" : "", "parse-names" : false, "suffix" : "" } ], "container-title" : "International Journal of Nursing Studies", "id" : "ITEM-2", "issue" : "11", "issued" : { "date-parts" : [ [ "2014" ] ] }, "page" : "1491-1499", "title" : "Fulfilment of hip replacement patients\u2019 knowledge expectations, and its relationship with emotional state: a survey in three Nordic countries", "type" : "article-journal", "volume" : "51" }, "uris" : [ "http://www.mendeley.com/documents/?uuid=28405f94-5111-4d2c-8a58-4f7dcbd85a36" ] } ], "mendeley" : { "formattedCitation" : "[9,10]", "plainTextFormattedCitation" : "[9,10]", "previouslyFormattedCitation" : "[9,10]" }, "properties" : { "noteIndex" : 0 }, "schema" : "https://github.com/citation-style-language/schema/raw/master/csl-citation.json" }</w:instrText>
      </w:r>
      <w:r w:rsidR="00752C92" w:rsidRPr="00CE47DE">
        <w:fldChar w:fldCharType="separate"/>
      </w:r>
      <w:r w:rsidR="004A0CB7" w:rsidRPr="004A0CB7">
        <w:rPr>
          <w:noProof/>
        </w:rPr>
        <w:t>[9,10]</w:t>
      </w:r>
      <w:r w:rsidR="00752C92" w:rsidRPr="00CE47DE">
        <w:fldChar w:fldCharType="end"/>
      </w:r>
      <w:r w:rsidR="009A0293" w:rsidRPr="00CE47DE">
        <w:t xml:space="preserve"> </w:t>
      </w:r>
      <w:r w:rsidR="00842BE6" w:rsidRPr="00CE47DE">
        <w:rPr>
          <w:rFonts w:eastAsia="Arial Unicode MS" w:cs="Arial Unicode MS"/>
        </w:rPr>
        <w:t>albeit rarely met in clinical practice</w:t>
      </w:r>
      <w:r w:rsidR="00C7036C" w:rsidRPr="00CE47DE">
        <w:t xml:space="preserve"> </w:t>
      </w:r>
      <w:r w:rsidR="00752C92" w:rsidRPr="00CE47DE">
        <w:fldChar w:fldCharType="begin" w:fldLock="1"/>
      </w:r>
      <w:r w:rsidR="0068258A">
        <w:instrText>ADDIN CSL_CITATION { "citationItems" : [ { "id" : "ITEM-1",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"ITEM-1", "issue" : "2", "issued" : { "date-parts" : [ [ "2007" ] ] }, "page" : "113-119", "title" : "Expectations and received knowledge by surgical patients", "type" : "article-journal", "volume" : "19" }, "uris" : [ "http://www.mendeley.com/documents/?uuid=1c76ddb1-6c98-420b-bd6d-a8b6d62b77e6" ] }, { "id" : "ITEM-2", "itemData" : { "DOI" : "10.1177/1054773814549992", "ISSN" : "1552-3799", "PMID" : "25230804", "abstract" : "The purpose of the study was to examine received and expected knowledge of patients with knee/hip arthroplasty in seven European countries. The goal was to obtain information for developing empowering patient education. The data were collected (during 2009-2012) from patients (n = 943) with hip/knee arthroplasty prior to scheduled preoperative education and before discharge with the Received Knowledge of hospital patient scale (RKhp) and Expected Knowledge of hospital patient scale (EKhp). Patients' knowledge expectations were high but the level of received knowledge did not correspond to expectations. The difference between received and expected knowledge was higher in Greece and Sweden compared with Finland (p &lt; .0001, p &lt; .0001), Spain (p &lt; .0001, p = .001), and Lithuania (p = .005, p = .003), respectively. Patients' knowledge expectations are important in tailoring patient education. To achieve high standards in the future, scientific research collaboration on empowering patient education is needed between European countries.", "author" : [ { "dropping-particle" : "", "family" : "Klemetti", "given" : "Seija", "non-dropping-particle" : "", "parse-names" : false, "suffix" : "" }, { "dropping-particle" : "", "family" : "Leino-Kilpi", "given" : "Helena", "non-dropping-particle" : "", "parse-names" : false, "suffix" : "" }, { "dropping-particle" : "", "family" : "Cabrera", "given" : "Esther", "non-dropping-particle" : "", "parse-names" : false, "suffix" : "" }, { "dropping-particle" : "", "family" : "Copanitsanou", "given" : "Panagiota", "non-dropping-particle" : "", "parse-names" : false, "suffix" : "" }, { "dropping-particle" : "", "family" : "Ingadottir", "given" : "Brynja", "non-dropping-particle" : "", "parse-names" : false, "suffix" : "" }, { "dropping-particle" : "", "family" : "Istomina", "given" : "Natalja", "non-dropping-particle" : "", "parse-names" : false, "suffix" : "" }, { "dropping-particle" : "", "family" : "Katajisto", "given" : "Jouko", "non-dropping-particle" : "", "parse-names" : false, "suffix" : "" }, { "dropping-particle" : "", "family" : "Papastavrou", "given" : "Evridiki", "non-dropping-particle" : "", "parse-names" : false, "suffix" : "" }, { "dropping-particle" : "", "family" : "Unosson", "given" : "Mitra", "non-dropping-particle" : "", "parse-names" : false, "suffix" : "" }, { "dropping-particle" : "", "family" : "Valkeap\u00e4\u00e4", "given" : "Kirsi", "non-dropping-particle" : "", "parse-names" : false, "suffix" : "" } ], "container-title" : "Clinical nursing research", "id" : "ITEM-2", "issued" : { "date-parts" : [ [ "2015" ] ] }, "page" : "624-643", "title" : "Difference between received and expected knowledge of patients undergoing knee or hip replacement in seven European countries", "type" : "article-journal", "volume" : "24" }, "uris" : [ "http://www.mendeley.com/documents/?uuid=9a130fee-9980-42ba-bd72-ad7093cf2e27" ] } ], "mendeley" : { "formattedCitation" : "[11,12]", "plainTextFormattedCitation" : "[11,12]", "previouslyFormattedCitation" : "[11,12]" }, "properties" : { "noteIndex" : 0 }, "schema" : "https://github.com/citation-style-language/schema/raw/master/csl-citation.json" }</w:instrText>
      </w:r>
      <w:r w:rsidR="00752C92" w:rsidRPr="00CE47DE">
        <w:fldChar w:fldCharType="separate"/>
      </w:r>
      <w:r w:rsidR="004A0CB7" w:rsidRPr="004A0CB7">
        <w:rPr>
          <w:noProof/>
        </w:rPr>
        <w:t>[11,12]</w:t>
      </w:r>
      <w:r w:rsidR="00752C92" w:rsidRPr="00CE47DE">
        <w:fldChar w:fldCharType="end"/>
      </w:r>
      <w:r w:rsidR="00C7036C" w:rsidRPr="00CE47DE">
        <w:t xml:space="preserve">. </w:t>
      </w:r>
      <w:r w:rsidR="00842BE6" w:rsidRPr="00CE47DE">
        <w:rPr>
          <w:rFonts w:eastAsia="Arial Unicode MS" w:cs="Arial Unicode MS"/>
        </w:rPr>
        <w:t>Thus, effective patient education methods are needed</w:t>
      </w:r>
      <w:r w:rsidR="00584323" w:rsidRPr="00CE47DE">
        <w:t xml:space="preserve"> </w:t>
      </w:r>
      <w:r w:rsidR="00752C92" w:rsidRPr="00CE47DE">
        <w:fldChar w:fldCharType="begin" w:fldLock="1"/>
      </w:r>
      <w:r w:rsidR="0068258A">
        <w:instrText>ADDIN CSL_CITATION { "citationItems" : [ { "id" : "ITEM-1",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"ITEM-1", "issue" : "2", "issued" : { "date-parts" : [ [ "2007" ] ] }, "page" : "113-119", "title" : "Expectations and received knowledge by surgical patients", "type" : "article-journal", "volume" : "19" }, "uris" : [ "http://www.mendeley.com/documents/?uuid=1c76ddb1-6c98-420b-bd6d-a8b6d62b77e6" ] } ], "mendeley" : { "formattedCitation" : "[11]", "plainTextFormattedCitation" : "[11]", "previouslyFormattedCitation" : "[11]" }, "properties" : { "noteIndex" : 0 }, "schema" : "https://github.com/citation-style-language/schema/raw/master/csl-citation.json" }</w:instrText>
      </w:r>
      <w:r w:rsidR="00752C92" w:rsidRPr="00CE47DE">
        <w:fldChar w:fldCharType="separate"/>
      </w:r>
      <w:r w:rsidR="004A0CB7" w:rsidRPr="004A0CB7">
        <w:rPr>
          <w:noProof/>
        </w:rPr>
        <w:t>[11]</w:t>
      </w:r>
      <w:r w:rsidR="00752C92" w:rsidRPr="00CE47DE">
        <w:fldChar w:fldCharType="end"/>
      </w:r>
      <w:r w:rsidR="001C138F" w:rsidRPr="00CE47DE">
        <w:t>.</w:t>
      </w:r>
      <w:r w:rsidR="00780DC3">
        <w:t xml:space="preserve"> </w:t>
      </w:r>
      <w:r w:rsidR="00780DC3" w:rsidRPr="00780DC3">
        <w:rPr>
          <w:b/>
        </w:rPr>
        <w:t xml:space="preserve">Furthermore, these education methods need to </w:t>
      </w:r>
      <w:proofErr w:type="gramStart"/>
      <w:r w:rsidR="00780DC3" w:rsidRPr="00780DC3">
        <w:rPr>
          <w:b/>
        </w:rPr>
        <w:t>be individually tailored</w:t>
      </w:r>
      <w:proofErr w:type="gramEnd"/>
      <w:r w:rsidR="00780DC3" w:rsidRPr="00780DC3">
        <w:rPr>
          <w:b/>
        </w:rPr>
        <w:t>, as learning styles and strategies differ from patient to patient. It is the responsibility of health care professionals to ensure that patients´ knowledge level is sufficient for undergoing the treatment proper</w:t>
      </w:r>
      <w:r w:rsidR="00780DC3">
        <w:rPr>
          <w:b/>
        </w:rPr>
        <w:t xml:space="preserve"> </w:t>
      </w:r>
      <w:r w:rsidR="00780DC3">
        <w:rPr>
          <w:b/>
        </w:rPr>
        <w:fldChar w:fldCharType="begin" w:fldLock="1"/>
      </w:r>
      <w:r w:rsidR="00CD1888">
        <w:rPr>
          <w:b/>
        </w:rPr>
        <w:instrText>ADDIN CSL_CITATION { "citationItems" : [ { "id" : "ITEM-1", "itemData" : { "DOI" : "10.1111/j.1440-172X.2010.01901.x.", "author" : [ { "dropping-particle" : "", "family" : "Montin", "given" : "Liisa", "non-dropping-particle" : "", "parse-names" : false, "suffix" : "" }, { "dropping-particle" : "", "family" : "Suominen", "given" : "Tarja", "non-dropping-particle" : "", "parse-names" : false, "suffix" : "" }, { "dropping-particle" : "", "family" : "Haaranen", "given" : "Ella", "non-dropping-particle" : "", "parse-names" : false, "suffix" : "" }, { "dropping-particle" : "", "family" : "Katajisto", "given" : "Jouko", "non-dropping-particle" : "", "parse-names" : false, "suffix" : "" }, { "dropping-particle" : "", "family" : "Lepist\u00f6", "given" : "Jyrki", "non-dropping-particle" : "", "parse-names" : false, "suffix" : "" }, { "dropping-particle" : "", "family" : "Leino-Kilpi", "given" : "Helena", "non-dropping-particle" : "", "parse-names" : false, "suffix" : "" } ], "container-title" : "International Journal of Nursing Practice", "id" : "ITEM-1", "issue" : "1", "issued" : { "date-parts" : [ [ "2011" ] ] }, "page" : "19-26", "title" : "The changes in health-related quality of life and related factors during the process of total hip arthroplasty", "type" : "article-journal", "volume" : "17" }, "uris" : [ "http://www.mendeley.com/documents/?uuid=9aebe0f4-d9c7-4d12-a7a4-429fbafec8c5" ] } ], "mendeley" : { "formattedCitation" : "[13]", "plainTextFormattedCitation" : "[13]", "previouslyFormattedCitation" : "[13]" }, "properties" : { "noteIndex" : 0 }, "schema" : "https://github.com/citation-style-language/schema/raw/master/csl-citation.json" }</w:instrText>
      </w:r>
      <w:r w:rsidR="00780DC3">
        <w:rPr>
          <w:b/>
        </w:rPr>
        <w:fldChar w:fldCharType="separate"/>
      </w:r>
      <w:r w:rsidR="004A0CB7" w:rsidRPr="004A0CB7">
        <w:rPr>
          <w:noProof/>
        </w:rPr>
        <w:t>[13]</w:t>
      </w:r>
      <w:r w:rsidR="00780DC3">
        <w:rPr>
          <w:b/>
        </w:rPr>
        <w:fldChar w:fldCharType="end"/>
      </w:r>
      <w:r w:rsidR="00780DC3">
        <w:t xml:space="preserve">  </w:t>
      </w:r>
    </w:p>
    <w:p w14:paraId="7D965E85" w14:textId="77777777" w:rsidR="00406E8D" w:rsidRPr="00CE47DE" w:rsidRDefault="00406E8D" w:rsidP="0061385C">
      <w:pPr>
        <w:widowControl w:val="0"/>
        <w:autoSpaceDE w:val="0"/>
        <w:autoSpaceDN w:val="0"/>
        <w:adjustRightInd w:val="0"/>
        <w:spacing w:line="480" w:lineRule="auto"/>
      </w:pPr>
    </w:p>
    <w:p w14:paraId="0AFBDA85" w14:textId="1BD0A2DA" w:rsidR="007473EA" w:rsidRPr="004067E7" w:rsidRDefault="007473EA" w:rsidP="00A4263F">
      <w:pPr>
        <w:spacing w:line="480" w:lineRule="auto"/>
        <w:rPr>
          <w:b/>
        </w:rPr>
      </w:pPr>
      <w:r w:rsidRPr="00CE47DE">
        <w:t>In previous literature, patient education methods tailored for spin</w:t>
      </w:r>
      <w:r w:rsidR="00621978">
        <w:t>e</w:t>
      </w:r>
      <w:r w:rsidRPr="00CE47DE">
        <w:t xml:space="preserve"> surgery patients have concentrated on decision</w:t>
      </w:r>
      <w:r w:rsidR="000345FF" w:rsidRPr="00CE47DE">
        <w:t>-</w:t>
      </w:r>
      <w:r w:rsidRPr="00CE47DE">
        <w:t>making regarding treatm</w:t>
      </w:r>
      <w:r w:rsidR="001A12AB" w:rsidRPr="00CE47DE">
        <w:t>ent</w:t>
      </w:r>
      <w:r w:rsidR="00EF7C44">
        <w:t xml:space="preserve"> </w:t>
      </w:r>
      <w:r w:rsidR="008C0210">
        <w:t>(</w:t>
      </w:r>
      <w:r w:rsidRPr="00CE47DE">
        <w:t xml:space="preserve">an interactive video and booklet </w:t>
      </w:r>
      <w:r w:rsidRPr="00CE47DE">
        <w:fldChar w:fldCharType="begin" w:fldLock="1"/>
      </w:r>
      <w:r w:rsidR="0068258A">
        <w:instrText>ADDIN CSL_CITATION { "citationItems" : [ { "id" : "ITEM-1", "itemData" : { "DOI" : "10.1097/00007632-200101150-00016", "ISBN" : "0362-2436 (Print)\\n0362-2436 (Linking)", "ISSN" : "0362-2436", "PMID" : "11154542", "abstract" : "STUDY DESIGN: A randomized trial of 100 patients with low back pain who were potential surgical candidates. OBJECTIVES: To determine whether an interactive videodisc with a booklet is superior to a booklet alone for informing patients about back surgery. SUMMARY OF BACKGROUND DATA: Substantial geographic variation has been observed in lumbar spine surgery. Informed patient preferences should play an important role in decisions about surgery. However, little is known about optimal strategies for informing patients. METHODS: Subjects were randomized to receive an interactive videodisc (with a booklet) or a booklet alone. A knowledge test administered at baseline and follow-up was used to measure improvement in knowledge about treatment options for lumbar spine problems. Patients' reactions to the videodisc and booklet and preferences for treatment were also assessed. RESULTS: The patients' knowledge improved after exposure to either intervention. Multivariate analyses adjusted for baseline score, age, education, gender, and diagnosis showed a significant advantage for the videodisc with booklet over the booklet alone. The videodisc-booklet group showed significantly greater gains in knowledge among subjects with the worst baseline knowledge scores. A larger proportion of subjects in the videodisc-booklet group rated the materials easy to understand (93% vs.- 72%,P = 0.04), containing the right amount of information (93% vs.- 80%,P = 0.3), and adequate to assist in choice of treatment (75% vs.- 51%,P = 0.2). Those who viewed the videodisc expressed a somewhat lower preference for surgery than those who received the booklet alone (23% vs.- 42%,P = 0.4). CONCLUSIONS: Both the booklet alone and the combination of videodisc and booklet improved knowledge. The combination produced greater knowledge gains than the booklet alone for the subgroup with the least knowledge at baseline. Patients preferred the combination and had a slightly lower preference for surgery if they had viewed the video presentation. For some patients, the video may enhance involvement in clinical decisions.", "author" : [ { "dropping-particle" : "", "family" : "Phelan", "given" : "E A", "non-dropping-particle" : "", "parse-names" : false, "suffix" : "" }, { "dropping-particle" : "", "family" : "Deyo", "given" : "R A", "non-dropping-particle" : "", "parse-names" : false, "suffix" : "" }, { "dropping-particle" : "", "family" : "Cherkin", "given" : "D C", "non-dropping-particle" : "", "parse-names" : false, "suffix" : "" }, { "dropping-particle" : "", "family" : "Weinstein", "given" : "J N", "non-dropping-particle" : "", "parse-names" : false, "suffix" : "" }, { "dropping-particle" : "", "family" : "Ciol", "given" : "M A", "non-dropping-particle" : "", "parse-names" : false, "suffix" : "" }, { "dropping-particle" : "", "family" : "Kreuter", "given" : "W", "non-dropping-particle" : "", "parse-names" : false, "suffix" : "" }, { "dropping-particle" : "", "family" : "Howe", "given" : "J F", "non-dropping-particle" : "", "parse-names" : false, "suffix" : "" } ], "container-title" : "Spine", "id" : "ITEM-1", "issue" : "2", "issued" : { "date-parts" : [ [ "2001", "1", "15" ] ] }, "page" : "206-211", "title" : "Helping patients decide about back surgery: a randomized trial of an interactive video program", "type" : "article-journal", "volume" : "26" }, "uris" : [ "http://www.mendeley.com/documents/?uuid=8b3f1a95-d4f7-4ddc-b63c-ba903cb593e6" ] } ], "mendeley" : { "formattedCitation" : "[14]", "plainTextFormattedCitation" : "[14]", "previouslyFormattedCitation" : "[14]" }, "properties" : { "noteIndex" : 0 }, "schema" : "https://github.com/citation-style-language/schema/raw/master/csl-citation.json" }</w:instrText>
      </w:r>
      <w:r w:rsidRPr="00CE47DE">
        <w:fldChar w:fldCharType="separate"/>
      </w:r>
      <w:r w:rsidR="004A0CB7" w:rsidRPr="004A0CB7">
        <w:rPr>
          <w:noProof/>
        </w:rPr>
        <w:t>[14]</w:t>
      </w:r>
      <w:r w:rsidRPr="00CE47DE">
        <w:fldChar w:fldCharType="end"/>
      </w:r>
      <w:r w:rsidRPr="00CE47DE">
        <w:t xml:space="preserve">, an information sheet </w:t>
      </w:r>
      <w:r w:rsidRPr="00CE47DE">
        <w:fldChar w:fldCharType="begin" w:fldLock="1"/>
      </w:r>
      <w:r w:rsidR="0068258A">
        <w:instrText>ADDIN CSL_CITATION { "citationItems" : [ { "id" : "ITEM-1", "itemData" : { "DOI" : "10.1097/BRS.0b013e3182091bbc", "ISSN" : "1528-1159", "PMID" : "21386769", "abstract" : "STUDY DESIGN: Presentation and analysis of a patient information sheet. OBJECTIVE: To produce an evidence-based information sheet that will serve as an aide-memoire to the process of taking informed consent prior to spinal surgery. SUMMARY OF BACKGROUND DATA: Consent for a surgical intervention is the end of a process of discussion between the surgeon and the patient. It is essential that the patient has been provided with sufficient information to make an informed judgment as to whether the benefits of a proposed procedure will outweigh its risks. METHODS: We searched MEDLINE, the Cochrane database of systematic reviews and personal libraries for articles reporting complications of the surgical treatment of spinal diseases with particular reference to the most commonly treated conditions. A draft document was drawn up referencing the odds of specific complications. This was circulated to the National Health Service Scotland Central Legal Office for scrutiny and to an English language expert at the University of Edinburgh for translation to lay English. Finally, the document was issued to 50 patients in the outpatient clinic and scored on visual analog scales (VAS) for the ease of understanding, usefulness, and length. RESULTS: The product of this project was a two-page A4 sheet, with the front page outlining information applicable to spinal surgery \"in general\" and a back page detailing all common risks, relating to a headline procedure, that a Court of Law would expect a surgeon to discuss. The patients' VAS score (0-10) for \"ease of understanding\" was 8.8 \u00b1 1.3 and for \"usefulness\" 8.9 \u00b1 1.0 (means \u00b1 SD). Forty-three of 50 patients (86%) indicated that the length of the document was \"just right\" and seven (14%) of them that it was \"too long.\" CONCLUSION: The ISSiS is user friendly and can be employed as a tool in the process of obtaining consent.", "author" : [ { "dropping-particle" : "", "family" : "Ng", "given" : "Chye Yew", "non-dropping-particle" : "", "parse-names" : false, "suffix" : "" }, { "dropping-particle" : "", "family" : "Gibson", "given" : "J N Alastair", "non-dropping-particle" : "", "parse-names" : false, "suffix" : "" } ], "container-title" : "Spine", "id" : "ITEM-1", "issue" : "26", "issued" : { "date-parts" : [ [ "2011" ] ] }, "page" : "2333-2345", "title" : "An aid to the explanation of surgical risks and complications: the International Spinal Surgery Information Sheet", "type" : "article-journal", "volume" : "36" }, "uris" : [ "http://www.mendeley.com/documents/?uuid=49603d04-cd67-485d-842d-489fb4ae4155" ] } ], "mendeley" : { "formattedCitation" : "[15]", "plainTextFormattedCitation" : "[15]", "previouslyFormattedCitation" : "[15]" }, "properties" : { "noteIndex" : 0 }, "schema" : "https://github.com/citation-style-language/schema/raw/master/csl-citation.json" }</w:instrText>
      </w:r>
      <w:r w:rsidRPr="00CE47DE">
        <w:fldChar w:fldCharType="separate"/>
      </w:r>
      <w:r w:rsidR="004A0CB7" w:rsidRPr="004A0CB7">
        <w:rPr>
          <w:noProof/>
        </w:rPr>
        <w:t>[15]</w:t>
      </w:r>
      <w:r w:rsidRPr="00CE47DE">
        <w:fldChar w:fldCharType="end"/>
      </w:r>
      <w:r w:rsidRPr="00CE47DE">
        <w:t xml:space="preserve"> and an evidence-based video </w:t>
      </w:r>
      <w:r w:rsidRPr="00CE47DE">
        <w:fldChar w:fldCharType="begin" w:fldLock="1"/>
      </w:r>
      <w:r w:rsidR="0068258A">
        <w:instrText>ADDIN CSL_CITATION { "citationItems" : [ { "id" : "ITEM-1", "itemData" : { "DOI" : "10.1097/BRS.0b013e3182055c1e", "ISSN" : "1528-1159", "PMID" : "21358485", "abstract" : "STUDY DESIGN: Secondary analysis within a large clinical trial. OBJECTIVE: To evaluate the changes in treatment preference before and after watching a video decision aid as part of an informed consent process. SUMMARY OF BACKGROUND DATA: A randomized trial with a similar decision aid in herniated disc patients had shown decreased rate of surgery in the video group, but the effect of the video on expressed preferences is not known. METHODS: Subjects enrolling in the Spine Patient Outcomes Research Trial (SPORT) with intervertebral disc herniation, spinal stenosis, or degenerative spondylolisthesis at 13 multidisciplinary spine centers across the United States were given an evidence-based videotape decision aid viewed prior to enrollment as part of informed consent. RESULTS: Of the 2505 patients, 86% (n = 2151) watched the video and 14% (n = 354) did not. Watchers shifted their preference more often than nonwatchers (37.9% vs. 20.8%, P &lt; 0.0001) and more often demonstrated a strengthened preference (26.2% vs. 11.1%, P &lt; 0.0001). Among the 806 patients whose preference shifted after watching the video, 55% shifted toward surgery (P = 0.003). Among the 617 who started with no preference, after the video 27% preferred nonoperative care, 22% preferred surgery, and 51% remained uncertain. CONCLUSION: After watching the evidence-based patient decision aid (video) used in SPORT, patients with specific lumbar spine disorders formed and/or strengthened their treatment preferences in a balanced way that did not appear biased toward or away from surgery.", "author" : [ { "dropping-particle" : "", "family" : "Lurie", "given" : "Jon D", "non-dropping-particle" : "", "parse-names" : false, "suffix" : "" }, { "dropping-particle" : "", "family" : "Spratt", "given" : "Kevin F", "non-dropping-particle" : "", "parse-names" : false, "suffix" : "" }, { "dropping-particle" : "", "family" : "Blood", "given" : "Emily A", "non-dropping-particle" : "", "parse-names" : false, "suffix" : "" }, { "dropping-particle" : "", "family" : "Tosteson", "given" : "Tor D", "non-dropping-particle" : "", "parse-names" : false, "suffix" : "" }, { "dropping-particle" : "", "family" : "Tosteson", "given" : "Anna N A", "non-dropping-particle" : "", "parse-names" : false, "suffix" : "" }, { "dropping-particle" : "", "family" : "Weinstein", "given" : "James N", "non-dropping-particle" : "", "parse-names" : false, "suffix" : "" } ], "container-title" : "Spine", "id" : "ITEM-1", "issue" : "18", "issued" : { "date-parts" : [ [ "2011", "8", "15" ] ] }, "page" : "1501-1504", "title" : "Effects of viewing an evidence-based video decision aid on patients' treatment preferences for spine surgery", "type" : "article-journal", "volume" : "36" }, "uris" : [ "http://www.mendeley.com/documents/?uuid=4a28f4d4-403e-4ac3-b526-bd710019b77d" ] } ], "mendeley" : { "formattedCitation" : "[16]", "plainTextFormattedCitation" : "[16]", "previouslyFormattedCitation" : "[16]" }, "properties" : { "noteIndex" : 0 }, "schema" : "https://github.com/citation-style-language/schema/raw/master/csl-citation.json" }</w:instrText>
      </w:r>
      <w:r w:rsidRPr="00CE47DE">
        <w:fldChar w:fldCharType="separate"/>
      </w:r>
      <w:r w:rsidR="004A0CB7" w:rsidRPr="004A0CB7">
        <w:rPr>
          <w:noProof/>
        </w:rPr>
        <w:t>[16]</w:t>
      </w:r>
      <w:r w:rsidRPr="00CE47DE">
        <w:fldChar w:fldCharType="end"/>
      </w:r>
      <w:r w:rsidRPr="00CE47DE">
        <w:t xml:space="preserve">), anxiety related to the operation (web-based information program </w:t>
      </w:r>
      <w:r w:rsidRPr="00CE47DE">
        <w:fldChar w:fldCharType="begin" w:fldLock="1"/>
      </w:r>
      <w:r w:rsidR="0068258A">
        <w:instrText>ADDIN CSL_CITATION { "citationItems" : [ { "id" : "ITEM-1", "itemData" : { "ISSN" : "0926-9630", "PMID" : "17102406", "abstract" : "The purposes of this study are to develop a Web-based information program for patients undergoing spinal fusion, and to evaluate the effect on patients' anxiety and knowledge through a Web-based information program. There was significant difference in the levels of anxiety and knowledge between the two groups after program implementation. There was significant difference in the level of knowledge between before and after education of preadmission patients.", "author" : [ { "dropping-particle" : "", "family" : "Bong", "given" : "Myoung-Rye", "non-dropping-particle" : "", "parse-names" : false, "suffix" : "" }, { "dropping-particle" : "", "family" : "Park", "given" : "Hyeoun-Ae", "non-dropping-particle" : "", "parse-names" : false, "suffix" : "" } ], "container-title" : "Studies in health technology and informatics", "id" : "ITEM-1", "issued" : { "date-parts" : [ [ "2006", "1" ] ] }, "page" : "826", "title" : "The development and evaluation of a Web-site for patients undergoing spinal fusion", "type" : "article-journal", "volume" : "122" }, "uris" : [ "http://www.mendeley.com/documents/?uuid=7f88deab-852f-4981-a6fb-944eaec3d6e4" ] } ], "mendeley" : { "formattedCitation" : "[17]", "plainTextFormattedCitation" : "[17]", "previouslyFormattedCitation" : "[17]" }, "properties" : { "noteIndex" : 0 }, "schema" : "https://github.com/citation-style-language/schema/raw/master/csl-citation.json" }</w:instrText>
      </w:r>
      <w:r w:rsidRPr="00CE47DE">
        <w:fldChar w:fldCharType="separate"/>
      </w:r>
      <w:r w:rsidR="004A0CB7" w:rsidRPr="004A0CB7">
        <w:rPr>
          <w:noProof/>
        </w:rPr>
        <w:t>[17]</w:t>
      </w:r>
      <w:r w:rsidRPr="00CE47DE">
        <w:fldChar w:fldCharType="end"/>
      </w:r>
      <w:r w:rsidRPr="00CE47DE">
        <w:t xml:space="preserve">), and postoperative rehabilitation (evidence-based booklet </w:t>
      </w:r>
      <w:r w:rsidRPr="00CE47DE">
        <w:fldChar w:fldCharType="begin" w:fldLock="1"/>
      </w:r>
      <w:r w:rsidR="0068258A">
        <w:instrText>ADDIN CSL_CITATION { "citationItems" : [ { "id" : "ITEM-1", "itemData" : { "DOI" : "10.1007/s00586-012-2242-y", "ISSN" : "1432-0932", "PMID" : "22382727", "abstract" : "PURPOSE: This study evaluated an evidence-based education booklet developed for patients undergoing spinal surgery which was used as a treatment intervention in a multi-centre, factorial, randomised controlled trial (FASTER: Function after spinal treatment, exercise and rehabilitation) investigating the post-operative management of spinal surgery patients. This study sought to determine the acceptability and content of the booklet to patients. METHODS: Patients receiving the educational booklet before discharge from hospital as part of the FASTER study were asked to complete an evaluation, which rated the booklet \"Your Back Operation\" with regard to content, information, usability, etc. using forced and open questions. This assessment was conducted at the same time as the initial 6-week post-operative review performed as part of the larger study. RESULTS: Therefore, 97% of the 117 trial participants who returned their 6-week evaluation and randomised to receive a booklet returned their questionnaire. The booklet was highly rated receiving an overall rating of 7 or more out of 10 from 101/111 (91%), and high ratings for content, readability and information. The booklet's key messages were clear to the majority of patients; however, many patients highlighted deficiencies with respect to content particularly in relation to wound care and exercise. CONCLUSIONS: Patients valued the booklet and rated its content highly. Many suggested that the booklet be developed further and there was a clear desire for specific exercises to be included even though there is no evidence to support specific exercise prescription.", "author" : [ { "dropping-particle" : "", "family" : "McGregor", "given" : "A H", "non-dropping-particle" : "", "parse-names" : false, "suffix" : "" }, { "dropping-particle" : "", "family" : "Henley", "given" : "A", "non-dropping-particle" : "", "parse-names" : false, "suffix" : "" }, { "dropping-particle" : "", "family" : "Morris", "given" : "T P", "non-dropping-particle" : "", "parse-names" : false, "suffix" : "" }, { "dropping-particle" : "", "family" : "Dor\u00e9", "given" : "C J", "non-dropping-particle" : "", "parse-names" : false, "suffix" : "" } ], "container-title" : "European spine journal", "id" : "ITEM-1", "issue" : "8", "issued" : { "date-parts" : [ [ "2012", "8" ] ] }, "page" : "1609-1615", "title" : "Patients' views on an education booklet following spinal surgery", "type" : "article-journal", "volume" : "21" }, "uris" : [ "http://www.mendeley.com/documents/?uuid=8a530049-4d47-4f89-b2f7-7b06889e3d57" ] } ], "mendeley" : { "formattedCitation" : "[18]", "plainTextFormattedCitation" : "[18]", "previouslyFormattedCitation" : "[18]" }, "properties" : { "noteIndex" : 0 }, "schema" : "https://github.com/citation-style-language/schema/raw/master/csl-citation.json" }</w:instrText>
      </w:r>
      <w:r w:rsidRPr="00CE47DE">
        <w:fldChar w:fldCharType="separate"/>
      </w:r>
      <w:r w:rsidR="004A0CB7" w:rsidRPr="004A0CB7">
        <w:rPr>
          <w:noProof/>
        </w:rPr>
        <w:t>[18]</w:t>
      </w:r>
      <w:r w:rsidRPr="00CE47DE">
        <w:fldChar w:fldCharType="end"/>
      </w:r>
      <w:r w:rsidRPr="00CE47DE">
        <w:t xml:space="preserve">). </w:t>
      </w:r>
      <w:r w:rsidR="00621978" w:rsidRPr="004067E7">
        <w:rPr>
          <w:rFonts w:eastAsia="Arial Unicode MS" w:cs="Arial Unicode MS"/>
          <w:b/>
        </w:rPr>
        <w:t xml:space="preserve">The impact of preoperative patient education with the framework of the entire surgical pathway </w:t>
      </w:r>
      <w:proofErr w:type="gramStart"/>
      <w:r w:rsidR="00621978" w:rsidRPr="004067E7">
        <w:rPr>
          <w:rFonts w:eastAsia="Arial Unicode MS" w:cs="Arial Unicode MS"/>
          <w:b/>
        </w:rPr>
        <w:t>has not been studied</w:t>
      </w:r>
      <w:proofErr w:type="gramEnd"/>
      <w:r w:rsidR="00621978" w:rsidRPr="004067E7">
        <w:rPr>
          <w:rFonts w:eastAsia="Arial Unicode MS" w:cs="Arial Unicode MS"/>
          <w:b/>
        </w:rPr>
        <w:t xml:space="preserve"> to date in spine surgery patients</w:t>
      </w:r>
      <w:r w:rsidR="00CE5BD8" w:rsidRPr="004067E7">
        <w:rPr>
          <w:rFonts w:eastAsia="Arial Unicode MS" w:cs="Arial Unicode MS"/>
          <w:b/>
        </w:rPr>
        <w:t xml:space="preserve">. </w:t>
      </w:r>
    </w:p>
    <w:p w14:paraId="6BA9F872" w14:textId="77777777" w:rsidR="000345FF" w:rsidRPr="00CE47DE" w:rsidRDefault="000345FF" w:rsidP="00A4263F">
      <w:pPr>
        <w:spacing w:line="480" w:lineRule="auto"/>
      </w:pPr>
    </w:p>
    <w:p w14:paraId="518D44AF" w14:textId="0A4CA735" w:rsidR="00CE5BD8" w:rsidRPr="008E46FC" w:rsidRDefault="00CE5BD8" w:rsidP="00CE5BD8">
      <w:pPr>
        <w:pStyle w:val="Oletus"/>
        <w:spacing w:line="480" w:lineRule="auto"/>
        <w:rPr>
          <w:rFonts w:ascii="Times New Roman" w:hAnsi="Times New Roman" w:cs="Times New Roman"/>
          <w:b/>
          <w:sz w:val="24"/>
          <w:szCs w:val="24"/>
          <w:lang w:val="en-GB"/>
        </w:rPr>
      </w:pPr>
      <w:r w:rsidRPr="008E46FC">
        <w:rPr>
          <w:rFonts w:ascii="Times New Roman" w:hAnsi="Times New Roman" w:cs="Times New Roman"/>
          <w:b/>
          <w:sz w:val="24"/>
          <w:szCs w:val="24"/>
          <w:lang w:val="en-GB"/>
        </w:rPr>
        <w:t>When designing our preoperative educational intervention, we used the concept of empowering patient education (EPE</w:t>
      </w:r>
      <w:r w:rsidR="004067E7">
        <w:rPr>
          <w:rFonts w:ascii="Times New Roman" w:hAnsi="Times New Roman" w:cs="Times New Roman"/>
          <w:b/>
          <w:sz w:val="24"/>
          <w:szCs w:val="24"/>
          <w:lang w:val="en-GB"/>
        </w:rPr>
        <w:t xml:space="preserve">) which aims at recognising and improving the </w:t>
      </w:r>
      <w:r w:rsidRPr="008E46FC">
        <w:rPr>
          <w:rFonts w:ascii="Times New Roman" w:hAnsi="Times New Roman" w:cs="Times New Roman"/>
          <w:b/>
          <w:sz w:val="24"/>
          <w:szCs w:val="24"/>
          <w:lang w:val="en-GB"/>
        </w:rPr>
        <w:t xml:space="preserve">patients´ </w:t>
      </w:r>
      <w:r w:rsidRPr="008E46FC">
        <w:rPr>
          <w:rFonts w:ascii="Times New Roman" w:hAnsi="Times New Roman" w:cs="Times New Roman"/>
          <w:b/>
          <w:sz w:val="24"/>
          <w:szCs w:val="24"/>
          <w:lang w:val="en-GB"/>
        </w:rPr>
        <w:lastRenderedPageBreak/>
        <w:t xml:space="preserve">ability to make informed choices and better control their health problem, i.e. to become empowered </w:t>
      </w:r>
      <w:r w:rsidRPr="008E46FC">
        <w:rPr>
          <w:rFonts w:ascii="Times New Roman" w:eastAsia="Arial Unicode MS" w:hAnsi="Times New Roman" w:cs="Times New Roman"/>
          <w:b/>
          <w:sz w:val="24"/>
          <w:szCs w:val="24"/>
        </w:rPr>
        <w:fldChar w:fldCharType="begin" w:fldLock="1"/>
      </w:r>
      <w:r w:rsidR="0068258A">
        <w:rPr>
          <w:rFonts w:ascii="Times New Roman" w:eastAsia="Arial Unicode MS" w:hAnsi="Times New Roman" w:cs="Times New Roman"/>
          <w:b/>
          <w:sz w:val="24"/>
          <w:szCs w:val="24"/>
          <w:lang w:val="en-US"/>
        </w:rPr>
        <w:instrText>ADDIN CSL_CITATION { "citationItems" : [ { "id" : "ITEM-1", "itemData" : { "DOI" : "10.1016/0738-3991(95)00730-N", "ISSN" : "07383991", "abstract" : "Our paper reviews the philosophical and theoretical foundations of the empowerment approach to chronic disease care and education. The fundamental differences between the compliance and empowerment approaches are elucidated. The empowerment philosophy is based on the premise that human beings have the capacity to make choices and are responsible for the consequences of their choices. Empowerment is defined as an educational process designed to help patients develop the knowledge, skills, attitudes, and degree of self-awareness necessary to effectively assume responsibility for their health-related decisions. Using empowerment as an intellectual foundation, an holistic approach to health education is presented. Topics such as well-being, self-image, motivation, adaptability, stress management, problem-solving, social support, self-awareness, and hope, are discussed. Our paper asserts that health educators have a responsibility to address the physical, emotional, cognitive, and spiritual needs of persons challenged to live with a chronic disease.", "author" : [ { "dropping-particle" : "", "family" : "Feste", "given" : "Catherine", "non-dropping-particle" : "", "parse-names" : false, "suffix" : "" }, { "dropping-particle" : "", "family" : "Anderson", "given" : "Robert M.", "non-dropping-particle" : "", "parse-names" : false, "suffix" : "" } ], "container-title" : "Patient Education and Counseling", "id" : "ITEM-1", "issue" : "1-3", "issued" : { "date-parts" : [ [ "1995", "9" ] ] }, "page" : "139-144", "title" : "Empowerment: from philosophy to practice", "type" : "article-journal", "volume" : "26" }, "uris" : [ "http://www.mendeley.com/documents/?uuid=848c52a9-16fa-42ad-8428-88ff273a82ea" ] }, { "id" : "ITEM-2", "itemData" : { "DOI" : "10.1097/01376517-199804000-00005", "ISSN" : "0888-0395", "PMID" : "9642619", "abstract" : "Elements of empowerment are: cognitive, experiential, ethical, social, biophysiological, functional and economic. Empirical data from 64 Finnish multiple sclerosis patients were collected. Based on the data, the social element is the most dominating element of empowerment. Patient-center research in nursing care of MS patients should be done to facilitate MS patients abilities toward empowerment.", "author" : [ { "dropping-particle" : "", "family" : "Leino-Kilpi", "given" : "Helena", "non-dropping-particle" : "", "parse-names" : false, "suffix" : "" }, { "dropping-particle" : "", "family" : "Luoto", "given" : "Eija", "non-dropping-particle" : "", "parse-names" : false, "suffix" : "" }, { "dropping-particle" : "", "family" : "Katajisto", "given" : "Jouko", "non-dropping-particle" : "", "parse-names" : false, "suffix" : "" } ], "container-title" : "The Journal of neuroscience nursing : journal of the American Association of Neuroscience Nurses", "id" : "ITEM-2", "issue" : "2", "issued" : { "date-parts" : [ [ "1998" ] ] }, "page" : "116-123", "title" : "Elements of empowerment and MS patients", "type" : "article-journal", "volume" : "30" }, "uris" : [ "http://www.mendeley.com/documents/?uuid=e50b4231-3523-4ef1-b4c1-48ef62a8d272" ] }, { "id" : "ITEM-3", "itemData" : { "DOI" : "10.1111/j.1365-2648.2007.04408.x", "ISBN" : "0309-2402 (Print)\\r0309-2402 (Linking)", "ISSN" : "03092402", "PMID" : "17908124", "abstract" : "AIM: This paper is a report of a study to compare orthopaedic ambulatory surgery patients' knowledge expectations before admission and their perceptions of received knowledge 2 weeks after discharge. BACKGROUND: Advances in technology and population ageing are driving up the number of ambulatory orthopaedic surgical procedures. Shorter hospital stays present a major challenge for patient education. METHODS: A descriptive comparative cross-sectional study (pre- and post-test) design was adopted. The data were collected from 120 consecutive patients in 2004, using the Hospital Patient's Knowledge Expectations Scale and Hospital Patient's Received Knowledge Scale. All patients participated in a preoperative education session given by a nurse. RESULTS: Patients expected more knowledge than they actually perceived that they received on all dimensions except the bio-physiological. They perceived that they received least knowledge about experiential, ethical, social and financial dimensions of knowledge. Knowledge expectations correlated with age and professional education. Perceptions of received knowledge correlated with earlier ambulatory surgery, and both expected knowledge and perceptions of received knowledge were related to the level of basic education. CONCLUSION: Patients' knowledge expectations are greater than the knowledge they perceived that they receive, and they cannot become empowered if they lack important knowledge. Further research is needed to learn about meeting patients' knowledge expectations.", "author" : [ { "dropping-particle" : "", "family" : "Heikkinen", "given" : "Katja", "non-dropping-particle" : "", "parse-names" : false, "suffix" : "" }, { "dropping-particle" : "", "family" : "Leino-Kilpi", "given" : "Helena", "non-dropping-particle" : "", "parse-names" : false, "suffix" : "" }, { "dropping-particle" : "", "family" : "Hiltunen", "given" : "Ari", "non-dropping-particle" : "", "parse-names" : false, "suffix" : "" }, { "dropping-particle" : "", "family" : "Johansson", "given" : "Kirsi", "non-dropping-particle" : "", "parse-names" : false, "suffix" : "" }, { "dropping-particle" : "", "family" : "Kaljonen", "given" : "Anne", "non-dropping-particle" : "", "parse-names" : false, "suffix" : "" }, { "dropping-particle" : "", "family" : "Rankinen", "given" : "Sirkku", "non-dropping-particle" : "", "parse-names" : false, "suffix" : "" }, { "dropping-particle" : "", "family" : "Virtanen", "given" : "Heli", "non-dropping-particle" : "", "parse-names" : false, "suffix" : "" }, { "dropping-particle" : "", "family" : "Salanter\u00e4", "given" : "Sanna", "non-dropping-particle" : "", "parse-names" : false, "suffix" : "" } ], "container-title" : "Journal of Advanced Nursing", "id" : "ITEM-3", "issue" : "3", "issued" : { "date-parts" : [ [ "2007" ] ] }, "page" : "270-278", "title" : "Ambulatory orthopaedic surgery patients' knowledge expectations and perceptions of received knowledge", "type" : "article-journal", "volume" : "60" }, "uris" : [ "http://www.mendeley.com/documents/?uuid=43d8b9dc-c25b-4760-b887-20e33232aa2b" ] } ], "mendeley" : { "formattedCitation" : "[19\u201321]", "plainTextFormattedCitation" : "[19\u201321]", "previouslyFormattedCitation" : "[19\u201321]" }, "properties" : { "noteIndex" : 0 }, "schema" : "https://github.com/citation-style-language/schema/raw/master/csl-citation.json" }</w:instrText>
      </w:r>
      <w:r w:rsidRPr="008E46FC">
        <w:rPr>
          <w:rFonts w:ascii="Times New Roman" w:eastAsia="Arial Unicode MS" w:hAnsi="Times New Roman" w:cs="Times New Roman"/>
          <w:b/>
          <w:sz w:val="24"/>
          <w:szCs w:val="24"/>
        </w:rPr>
        <w:fldChar w:fldCharType="separate"/>
      </w:r>
      <w:r w:rsidR="004A0CB7" w:rsidRPr="004A0CB7">
        <w:rPr>
          <w:rFonts w:ascii="Times New Roman" w:eastAsia="Arial Unicode MS" w:hAnsi="Times New Roman" w:cs="Times New Roman"/>
          <w:noProof/>
          <w:sz w:val="24"/>
          <w:szCs w:val="24"/>
          <w:lang w:val="en-US"/>
        </w:rPr>
        <w:t>[19–21]</w:t>
      </w:r>
      <w:r w:rsidRPr="008E46FC">
        <w:rPr>
          <w:rFonts w:ascii="Times New Roman" w:eastAsia="Arial Unicode MS" w:hAnsi="Times New Roman" w:cs="Times New Roman"/>
          <w:b/>
          <w:sz w:val="24"/>
          <w:szCs w:val="24"/>
        </w:rPr>
        <w:fldChar w:fldCharType="end"/>
      </w:r>
      <w:r w:rsidRPr="008E46FC">
        <w:rPr>
          <w:rFonts w:ascii="Times New Roman" w:hAnsi="Times New Roman" w:cs="Times New Roman"/>
          <w:b/>
          <w:sz w:val="24"/>
          <w:szCs w:val="24"/>
          <w:lang w:val="en-GB"/>
        </w:rPr>
        <w:t xml:space="preserve">through active and equal participation </w:t>
      </w:r>
      <w:r w:rsidRPr="008E46FC">
        <w:rPr>
          <w:rFonts w:ascii="Times New Roman" w:eastAsia="Arial Unicode MS" w:hAnsi="Times New Roman" w:cs="Times New Roman"/>
          <w:b/>
          <w:sz w:val="24"/>
          <w:szCs w:val="24"/>
        </w:rPr>
        <w:fldChar w:fldCharType="begin" w:fldLock="1"/>
      </w:r>
      <w:r w:rsidR="0068258A">
        <w:rPr>
          <w:rFonts w:ascii="Times New Roman" w:eastAsia="Arial Unicode MS" w:hAnsi="Times New Roman" w:cs="Times New Roman"/>
          <w:b/>
          <w:sz w:val="24"/>
          <w:szCs w:val="24"/>
          <w:lang w:val="en-US"/>
        </w:rPr>
        <w:instrText>ADDIN CSL_CITATION { "citationItems" : [ { "id" : "ITEM-1", "itemData" : { "author" : [ { "dropping-particle" : "", "family" : "Falk Rafael", "given" : "Adeline R", "non-dropping-particle" : "", "parse-names" : false, "suffix" : "" } ], "container-title" : "Advances in Nursing Science", "id" : "ITEM-1", "issue" : "2", "issued" : { "date-parts" : [ [ "1995" ] ] }, "page" : "25-32", "title" : "Advocacy and empowerment: Dichotomous or synchronous concepts?", "type" : "article-journal", "volume" : "18" }, "uris" : [ "http://www.mendeley.com/documents/?uuid=3f8f11fa-f4df-4a87-81fb-acac4d298009" ] }, { "id" : "ITEM-2", "itemData" : { "author" : [ { "dropping-particle" : "", "family" : "Falk-Rafael", "given" : "Adeline R", "non-dropping-particle" : "", "parse-names" : false, "suffix" : "" } ], "container-title" : "Advances in Nursing Science", "id" : "ITEM-2", "issue" : "1", "issued" : { "date-parts" : [ [ "2001" ] ] }, "page" : "1-16", "title" : "Empowerment as a Process of Evolving Consciousness: A Model of Empowered Caring", "type" : "article-journal", "volume" : "24" }, "uris" : [ "http://www.mendeley.com/documents/?uuid=cbeb1dc1-e0a0-4674-97f5-b4b489eddbce" ] } ], "mendeley" : { "formattedCitation" : "[22,23]", "plainTextFormattedCitation" : "[22,23]", "previouslyFormattedCitation" : "[22,23]" }, "properties" : { "noteIndex" : 0 }, "schema" : "https://github.com/citation-style-language/schema/raw/master/csl-citation.json" }</w:instrText>
      </w:r>
      <w:r w:rsidRPr="008E46FC">
        <w:rPr>
          <w:rFonts w:ascii="Times New Roman" w:eastAsia="Arial Unicode MS" w:hAnsi="Times New Roman" w:cs="Times New Roman"/>
          <w:b/>
          <w:sz w:val="24"/>
          <w:szCs w:val="24"/>
        </w:rPr>
        <w:fldChar w:fldCharType="separate"/>
      </w:r>
      <w:r w:rsidR="004A0CB7" w:rsidRPr="004A0CB7">
        <w:rPr>
          <w:rFonts w:ascii="Times New Roman" w:eastAsia="Arial Unicode MS" w:hAnsi="Times New Roman" w:cs="Times New Roman"/>
          <w:noProof/>
          <w:sz w:val="24"/>
          <w:szCs w:val="24"/>
          <w:lang w:val="en-US"/>
        </w:rPr>
        <w:t>[22,23]</w:t>
      </w:r>
      <w:r w:rsidRPr="008E46FC">
        <w:rPr>
          <w:rFonts w:ascii="Times New Roman" w:eastAsia="Arial Unicode MS" w:hAnsi="Times New Roman" w:cs="Times New Roman"/>
          <w:b/>
          <w:sz w:val="24"/>
          <w:szCs w:val="24"/>
        </w:rPr>
        <w:fldChar w:fldCharType="end"/>
      </w:r>
      <w:r w:rsidRPr="008E46FC">
        <w:rPr>
          <w:rFonts w:ascii="Times New Roman" w:hAnsi="Times New Roman" w:cs="Times New Roman"/>
          <w:b/>
          <w:sz w:val="24"/>
          <w:szCs w:val="24"/>
          <w:lang w:val="en-GB"/>
        </w:rPr>
        <w:t xml:space="preserve">. In this empowering process, knowledge is an essential element </w:t>
      </w:r>
      <w:r w:rsidRPr="008E46FC">
        <w:rPr>
          <w:rFonts w:ascii="Times New Roman" w:eastAsia="Arial Unicode MS" w:hAnsi="Times New Roman" w:cs="Times New Roman"/>
          <w:b/>
          <w:sz w:val="24"/>
          <w:szCs w:val="24"/>
        </w:rPr>
        <w:fldChar w:fldCharType="begin" w:fldLock="1"/>
      </w:r>
      <w:r w:rsidR="0068258A">
        <w:rPr>
          <w:rFonts w:ascii="Times New Roman" w:eastAsia="Arial Unicode MS" w:hAnsi="Times New Roman" w:cs="Times New Roman"/>
          <w:b/>
          <w:sz w:val="24"/>
          <w:szCs w:val="24"/>
          <w:lang w:val="en-US"/>
        </w:rPr>
        <w:instrText>ADDIN CSL_CITATION { "citationItems" : [ { "id" : "ITEM-1", "itemData" : { "DOI" : "10.1016/j.pec.2009.07.025", "ISSN" : "1873-5134", "PMID" : "19682830", "abstract" : "OBJECTIVE: The purpose of this article is to clarify the concept of empowerment and to correct common misconceptions about its use in diabetes care and education. METHODS: The patient empowerment approach is well suited to helping patients make self-selected changes related to weight, nutrition, and physical activity. Although the concept of patient empowerment has become an integral part of diabetes education, an accurate understanding and authentic application of empowerment has not occurred as readily. The empowerment approach is clarified and common misconceptions have been corrected. RESULTS: Embracing empowerment means making a paradigm shift that is often difficult because the traditional approach to care is embedded in the training and socialization of most health care professionals (HCPs). CONCLUSION: Unlike the traditional approach, empowerment is not something one does to patients. Rather, empowerment begins when HCPs acknowledge that patient are in control of their daily diabetes care. Empowerment occurs when the HCPs goal is to increase the capacity of patients to think critically and make autonomous, informed decisions. Empowerment also occurs when patients are actually making autonomous, informed decisions about their diabetes self-management. PRACTICE IMPLICATIONS: Clarity about all aspects of the empowerment approach is essential if it is to be used effectively.", "author" : [ { "dropping-particle" : "", "family" : "Anderson", "given" : "Robert M", "non-dropping-particle" : "", "parse-names" : false, "suffix" : "" }, { "dropping-particle" : "", "family" : "Funnell", "given" : "Martha M", "non-dropping-particle" : "", "parse-names" : false, "suffix" : "" } ], "container-title" : "Patient education and counseling", "id" : "ITEM-1", "issue" : "3", "issued" : { "date-parts" : [ [ "2010", "6" ] ] }, "page" : "277-282", "title" : "Patient empowerment: myths and misconceptions", "type" : "article-journal", "volume" : "79" }, "uris" : [ "http://www.mendeley.com/documents/?uuid=bf02fc60-3703-4145-88e4-7e0c11e2639b" ] }, { "id" : "ITEM-2", "itemData" : { "ISSN" : "1057-3631", "PMID" : "16177581", "abstract" : "The purpose of this study was to analyze the connections between patient education and health-related quality of life as an outcome variable. Data were collected among surgical hospital patients (n = 237) in Finland. On the basis of the results, there seems to be a positive relationship between received knowledge and health-related quality of life, and as such, the study produced knowledge about one quality indicator in nursing care. More research is needed to explore this connection in greater details.", "author" : [ { "dropping-particle" : "", "family" : "Leino-Kilpi", "given" : "Helena", "non-dropping-particle" : "", "parse-names" : false, "suffix" : "" }, { "dropping-particle" : "", "family" : "Johansson", "given" : "K", "non-dropping-particle" : "", "parse-names" : false, "suffix" : "" }, { "dropping-particle" : "", "family" : "Heikkinen", "given" : "K", "non-dropping-particle" : "", "parse-names" : false, "suffix" : "" }, { "dropping-particle" : "", "family" : "Kaljonen", "given" : "A", "non-dropping-particle" : "", "parse-names" : false, "suffix" : "" }, { "dropping-particle" : "", "family" : "Virtanen", "given" : "H", "non-dropping-particle" : "", "parse-names" : false, "suffix" : "" }, { "dropping-particle" : "", "family" : "Salanter\u00e4", "given" : "S", "non-dropping-particle" : "", "parse-names" : false, "suffix" : "" } ], "container-title" : "Journal of nursing care quality", "id" : "ITEM-2", "issue" : "4", "issued" : { "date-parts" : [ [ "2005" ] ] }, "page" : "307-316", "title" : "Patient education and health-related quality of life: surgical hospital patients as a case in point", "type" : "article-journal", "volume" : "20" }, "uris" : [ "http://www.mendeley.com/documents/?uuid=39174fd6-50b0-4196-bc41-a953641235ee" ] } ], "mendeley" : { "formattedCitation" : "[24,25]", "plainTextFormattedCitation" : "[24,25]", "previouslyFormattedCitation" : "[24,25]" }, "properties" : { "noteIndex" : 0 }, "schema" : "https://github.com/citation-style-language/schema/raw/master/csl-citation.json" }</w:instrText>
      </w:r>
      <w:r w:rsidRPr="008E46FC">
        <w:rPr>
          <w:rFonts w:ascii="Times New Roman" w:eastAsia="Arial Unicode MS" w:hAnsi="Times New Roman" w:cs="Times New Roman"/>
          <w:b/>
          <w:sz w:val="24"/>
          <w:szCs w:val="24"/>
        </w:rPr>
        <w:fldChar w:fldCharType="separate"/>
      </w:r>
      <w:r w:rsidR="004A0CB7" w:rsidRPr="004A0CB7">
        <w:rPr>
          <w:rFonts w:ascii="Times New Roman" w:eastAsia="Arial Unicode MS" w:hAnsi="Times New Roman" w:cs="Times New Roman"/>
          <w:noProof/>
          <w:sz w:val="24"/>
          <w:szCs w:val="24"/>
          <w:lang w:val="en-US"/>
        </w:rPr>
        <w:t>[24,25]</w:t>
      </w:r>
      <w:r w:rsidRPr="008E46FC">
        <w:rPr>
          <w:rFonts w:ascii="Times New Roman" w:eastAsia="Arial Unicode MS" w:hAnsi="Times New Roman" w:cs="Times New Roman"/>
          <w:b/>
          <w:sz w:val="24"/>
          <w:szCs w:val="24"/>
        </w:rPr>
        <w:fldChar w:fldCharType="end"/>
      </w:r>
      <w:r w:rsidR="005404D5">
        <w:rPr>
          <w:rFonts w:ascii="Times New Roman" w:hAnsi="Times New Roman" w:cs="Times New Roman"/>
          <w:b/>
          <w:sz w:val="24"/>
          <w:szCs w:val="24"/>
          <w:lang w:val="en-GB"/>
        </w:rPr>
        <w:t xml:space="preserve"> consisting</w:t>
      </w:r>
      <w:r w:rsidR="002A5052">
        <w:rPr>
          <w:rFonts w:ascii="Times New Roman" w:hAnsi="Times New Roman" w:cs="Times New Roman"/>
          <w:b/>
          <w:sz w:val="24"/>
          <w:szCs w:val="24"/>
          <w:lang w:val="en-GB"/>
        </w:rPr>
        <w:t xml:space="preserve"> the following six dimensions</w:t>
      </w:r>
      <w:r w:rsidRPr="008E46FC">
        <w:rPr>
          <w:rFonts w:ascii="Times New Roman" w:hAnsi="Times New Roman" w:cs="Times New Roman"/>
          <w:b/>
          <w:sz w:val="24"/>
          <w:szCs w:val="24"/>
          <w:lang w:val="en-GB"/>
        </w:rPr>
        <w:t xml:space="preserve">: </w:t>
      </w:r>
      <w:r w:rsidRPr="008E46FC">
        <w:rPr>
          <w:rFonts w:ascii="Times New Roman" w:eastAsia="Arial Unicode MS" w:hAnsi="Times New Roman" w:cs="Times New Roman"/>
          <w:b/>
          <w:sz w:val="24"/>
          <w:szCs w:val="24"/>
          <w:lang w:val="en-GB"/>
        </w:rPr>
        <w:t xml:space="preserve">the bio-physiological (e.g. </w:t>
      </w:r>
      <w:r w:rsidR="00154D95" w:rsidRPr="008E46FC">
        <w:rPr>
          <w:rFonts w:ascii="Times New Roman" w:eastAsia="Arial Unicode MS" w:hAnsi="Times New Roman" w:cs="Times New Roman"/>
          <w:b/>
          <w:sz w:val="24"/>
          <w:szCs w:val="24"/>
          <w:lang w:val="en-GB"/>
        </w:rPr>
        <w:t>aetiology</w:t>
      </w:r>
      <w:r w:rsidRPr="008E46FC">
        <w:rPr>
          <w:rFonts w:ascii="Times New Roman" w:eastAsia="Arial Unicode MS" w:hAnsi="Times New Roman" w:cs="Times New Roman"/>
          <w:b/>
          <w:sz w:val="24"/>
          <w:szCs w:val="24"/>
          <w:lang w:val="en-GB"/>
        </w:rPr>
        <w:t>, symptoms, treatment, complications), functional (e.g. mobility, rehabilitation, rest, nutrition), social (patient unions, family and work), experiential (emotions, attitude), ethical (patient rights, participation in decision-making and confidentiality), and financial (costs and social benefits).</w:t>
      </w:r>
      <w:r w:rsidRPr="008E46FC">
        <w:rPr>
          <w:rFonts w:ascii="Times New Roman" w:hAnsi="Times New Roman" w:cs="Times New Roman"/>
          <w:b/>
          <w:sz w:val="24"/>
          <w:szCs w:val="24"/>
          <w:lang w:val="en-GB"/>
        </w:rPr>
        <w:t xml:space="preserve"> For surgical patients to be able to prepare for surgery, they need knowledge on all these dimensions </w:t>
      </w:r>
      <w:r w:rsidRPr="008E46FC">
        <w:rPr>
          <w:rFonts w:ascii="Times New Roman" w:eastAsia="Arial Unicode MS" w:hAnsi="Times New Roman" w:cs="Times New Roman"/>
          <w:b/>
          <w:sz w:val="24"/>
          <w:szCs w:val="24"/>
        </w:rPr>
        <w:fldChar w:fldCharType="begin" w:fldLock="1"/>
      </w:r>
      <w:r w:rsidR="0068258A">
        <w:rPr>
          <w:rFonts w:ascii="Times New Roman" w:eastAsia="Arial Unicode MS" w:hAnsi="Times New Roman" w:cs="Times New Roman"/>
          <w:b/>
          <w:sz w:val="24"/>
          <w:szCs w:val="24"/>
          <w:lang w:val="en-US"/>
        </w:rPr>
        <w:instrText>ADDIN CSL_CITATION { "citationItems" : [ { "id" : "ITEM-1", "itemData" : { "DOI" : "10.1097/01376517-199804000-00005", "ISSN" : "0888-0395", "PMID" : "9642619", "abstract" : "Elements of empowerment are: cognitive, experiential, ethical, social, biophysiological, functional and economic. Empirical data from 64 Finnish multiple sclerosis patients were collected. Based on the data, the social element is the most dominating element of empowerment. Patient-center research in nursing care of MS patients should be done to facilitate MS patients abilities toward empowerment.", "author" : [ { "dropping-particle" : "", "family" : "Leino-Kilpi", "given" : "Helena", "non-dropping-particle" : "", "parse-names" : false, "suffix" : "" }, { "dropping-particle" : "", "family" : "Luoto", "given" : "Eija", "non-dropping-particle" : "", "parse-names" : false, "suffix" : "" }, { "dropping-particle" : "", "family" : "Katajisto", "given" : "Jouko", "non-dropping-particle" : "", "parse-names" : false, "suffix" : "" } ], "container-title" : "The Journal of neuroscience nursing : journal of the American Association of Neuroscience Nurses", "id" : "ITEM-1", "issue" : "2", "issued" : { "date-parts" : [ [ "1998" ] ] }, "page" : "116-123", "title" : "Elements of empowerment and MS patients", "type" : "article-journal", "volume" : "30" }, "uris" : [ "http://www.mendeley.com/documents/?uuid=e50b4231-3523-4ef1-b4c1-48ef62a8d272" ] }, { "id" : "ITEM-2",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"ITEM-2", "issue" : "2", "issued" : { "date-parts" : [ [ "2007" ] ] }, "page" : "113-119", "title" : "Expectations and received knowledge by surgical patients", "type" : "article-journal", "volume" : "19" }, "uris" : [ "http://www.mendeley.com/documents/?uuid=1c76ddb1-6c98-420b-bd6d-a8b6d62b77e6" ] }, { "id" : "ITEM-3", "itemData" : { "DOI" : "10.1016/j.pec.2005.02.012", "ISBN" : "0738-3991", "ISSN" : "07383991", "PMID" : "16533673", "abstract" : "Objective: A literature review was conducted to explore what is already known of surgical patients' informational needs, their opinions about the provision of information and the effect of individualised information. Methods: Computerised searches from 1994 to March 2004 were conducted on MEDLINE, the Cochrane Database of Systematic Reviews and the Cochrane Central Register of Controlled Trials using the keywords information, surgical patient adult and nursing. Results: Findings about the provision of information and important areas for surgical patients vary from study to study. Surgical patients have specific informational needs during the peri-operative period. However, some studies showed that the patients were not given the information that they need. This is a concern because patients have to take care of themselves after discharge. Individually tailored learning and teaching strategies are needed for patients to ensure the quality and usefulness of information for patients post-discharge. Conclusions: The results of this review confirm that information, which is tailored to individual patient needs, has an important role for surgical patients. At present there is a poor understanding of the processes that describe the detailed experiences of surgical patients in clinical care and the possibilities of empowerment through learning. Practice implications: As surgical patients differ individually in their learning needs and benefit from different content and quantity of information, more emphasis should be put into evaluating and assessing these individual needs. ?? 2005 Elsevier Ireland Ltd. All rights reserved.", "author" : [ { "dropping-particle" : "", "family" : "Suhonen", "given" : "Riitta", "non-dropping-particle" : "", "parse-names" : false, "suffix" : "" }, { "dropping-particle" : "", "family" : "Leino-Kilpi", "given" : "Helena", "non-dropping-particle" : "", "parse-names" : false, "suffix" : "" } ], "container-title" : "Patient Education and Counseling", "id" : "ITEM-3", "issue" : "1", "issued" : { "date-parts" : [ [ "2006" ] ] }, "page" : "5-15", "title" : "Adult surgical patients and the information provided to them by nurses: A literature review", "type" : "article", "volume" : "61" }, "uris" : [ "http://www.mendeley.com/documents/?uuid=5629e1c5-2c6e-4006-990d-5ef55ef07b6e" ] }, { "id" : "ITEM-4", "itemData" : { "DOI" : "10.1111/ijn.12189", "ISSN" : "13227114", "PMID" : "24118436", "abstract" : "Ageing population entails a growing international problem of osteoarthritis. Best practices for education of these patients are lacking. This study focused on empowering education in Northern (Finland, Iceland, Lithuania and Sweden) and Southern Europe (Cyprus, Greece and Spain). The aim was to analyse associations between expected knowledge and background factors. The data were collected from European arthroplasty patients with the Knowledge Expectations of hospital patients- scale, (KE(hp) - scale), including bio-physiological, functional, experiential, ethical, social and financial dimensions. Patients had essential bio-physiological and functional knowledge expectations. Women expected more than men, employed less than retired, unemployed or who worked at home. Generally, patients in Northern countries expected more than in Southern countries. However, highest expectations were found in Sweden and Greece, lowest in Spain and Cyprus. There are differences in knowledge expectations based on patients' backgrounds. Development of common standards in European patient education needs further research.", "author" : [ { "dropping-particle" : "", "family" : "Valkeap\u00e4\u00e4", "given" : "Kirsi", "non-dropping-particle" : "", "parse-names" : false, "suffix" : "" }, { "dropping-particle" : "", "family" : "Klemetti", "given" : "Seija", "non-dropping-particle" : "", "parse-names" : false, "suffix" : "" }, { "dropping-particle" : "", "family" : "Cabrera", "given" : "Esther", "non-dropping-particle" : "", "parse-names" : false, "suffix" : "" }, { "dropping-particle" : "", "family" : "Cano", "given" : "Sara", "non-dropping-particle" : "", "parse-names" : false, "suffix" : "" }, { "dropping-particle" : "", "family" : "Charalambous", "given" : "Andreas", "non-dropping-particle" : "", "parse-names" : false, "suffix" : "" }, { "dropping-particle" : "", "family" : "Copanitsanou", "given" : "Panagiota", "non-dropping-particle" : "", "parse-names" : false, "suffix" : "" }, { "dropping-particle" : "", "family" : "Ingadottir", "given" : "Brynja", "non-dropping-particle" : "", "parse-names" : false, "suffix" : "" }, { "dropping-particle" : "", "family" : "Istomina", "given" : "Natalja", "non-dropping-particle" : "", "parse-names" : false, "suffix" : "" }, { "dropping-particle" : "", "family" : "Johansson Stark", "given" : "\u00c5sa", "non-dropping-particle" : "", "parse-names" : false, "suffix" : "" }, { "dropping-particle" : "", "family" : "Katajisto", "given" : "Jouko", "non-dropping-particle" : "", "parse-names" : false, "suffix" : "" }, { "dropping-particle" : "", "family" : "Lemonidou", "given" : "Chryssoula", "non-dropping-particle" : "", "parse-names" : false, "suffix" : "" }, { "dropping-particle" : "", "family" : "Papastavrou", "given" : "Evridiki", "non-dropping-particle" : "", "parse-names" : false, "suffix" : "" }, { "dropping-particle" : "", "family" : "Sigurdardottir", "given" : "Arun K", "non-dropping-particle" : "", "parse-names" : false, "suffix" : "" }, { "dropping-particle" : "", "family" : "Sourtzi", "given" : "Panayota", "non-dropping-particle" : "", "parse-names" : false, "suffix" : "" }, { "dropping-particle" : "", "family" : "Unosson", "given" : "Mitra", "non-dropping-particle" : "", "parse-names" : false, "suffix" : "" }, { "dropping-particle" : "", "family" : "Zabalegui", "given" : "Adelaida", "non-dropping-particle" : "", "parse-names" : false, "suffix" : "" }, { "dropping-particle" : "", "family" : "Leino-Kilpi", "given" : "Helena", "non-dropping-particle" : "", "parse-names" : false, "suffix" : "" } ], "container-title" : "International Journal of Nursing Practice", "id" : "ITEM-4", "issue" : "6", "issued" : { "date-parts" : [ [ "2014", "12", "11" ] ] }, "page" : "597-607", "title" : "Knowledge expectations of surgical orthopaedic patients: A European survey", "type" : "article-journal", "volume" : "20" }, "uris" : [ "http://www.mendeley.com/documents/?uuid=4a44f25d-240c-4188-820e-246f726ab5c6" ] } ], "mendeley" : { "formattedCitation" : "[9,11,20,26]", "plainTextFormattedCitation" : "[9,11,20,26]", "previouslyFormattedCitation" : "[9,11,20,26]" }, "properties" : { "noteIndex" : 0 }, "schema" : "https://github.com/citation-style-language/schema/raw/master/csl-citation.json" }</w:instrText>
      </w:r>
      <w:r w:rsidRPr="008E46FC">
        <w:rPr>
          <w:rFonts w:ascii="Times New Roman" w:eastAsia="Arial Unicode MS" w:hAnsi="Times New Roman" w:cs="Times New Roman"/>
          <w:b/>
          <w:sz w:val="24"/>
          <w:szCs w:val="24"/>
        </w:rPr>
        <w:fldChar w:fldCharType="separate"/>
      </w:r>
      <w:r w:rsidR="004A0CB7" w:rsidRPr="004A0CB7">
        <w:rPr>
          <w:rFonts w:ascii="Times New Roman" w:eastAsia="Arial Unicode MS" w:hAnsi="Times New Roman" w:cs="Times New Roman"/>
          <w:noProof/>
          <w:sz w:val="24"/>
          <w:szCs w:val="24"/>
          <w:lang w:val="en-US"/>
        </w:rPr>
        <w:t>[9,11,20,26]</w:t>
      </w:r>
      <w:r w:rsidRPr="008E46FC">
        <w:rPr>
          <w:rFonts w:ascii="Times New Roman" w:eastAsia="Arial Unicode MS" w:hAnsi="Times New Roman" w:cs="Times New Roman"/>
          <w:b/>
          <w:sz w:val="24"/>
          <w:szCs w:val="24"/>
        </w:rPr>
        <w:fldChar w:fldCharType="end"/>
      </w:r>
      <w:r w:rsidRPr="008E46FC">
        <w:rPr>
          <w:rFonts w:ascii="Times New Roman" w:hAnsi="Times New Roman" w:cs="Times New Roman"/>
          <w:b/>
          <w:sz w:val="24"/>
          <w:szCs w:val="24"/>
          <w:lang w:val="en-GB"/>
        </w:rPr>
        <w:t xml:space="preserve">. </w:t>
      </w:r>
      <w:r w:rsidR="00154D95">
        <w:rPr>
          <w:rFonts w:ascii="Times New Roman" w:hAnsi="Times New Roman" w:cs="Times New Roman"/>
          <w:b/>
          <w:sz w:val="24"/>
          <w:szCs w:val="24"/>
          <w:lang w:val="en-GB"/>
        </w:rPr>
        <w:t xml:space="preserve">Moreover, to be able to support the patients’ empowerment, health care professionals need information on patients’ existing knowledge level </w:t>
      </w:r>
      <w:r w:rsidR="008E46FC">
        <w:rPr>
          <w:rFonts w:ascii="Times New Roman" w:eastAsia="Arial Unicode MS" w:hAnsi="Times New Roman" w:cs="Times New Roman"/>
          <w:b/>
          <w:sz w:val="24"/>
          <w:szCs w:val="24"/>
        </w:rPr>
        <w:fldChar w:fldCharType="begin" w:fldLock="1"/>
      </w:r>
      <w:r w:rsidR="00CD1888">
        <w:rPr>
          <w:rFonts w:ascii="Times New Roman" w:eastAsia="Arial Unicode MS" w:hAnsi="Times New Roman" w:cs="Times New Roman"/>
          <w:b/>
          <w:sz w:val="24"/>
          <w:szCs w:val="24"/>
          <w:lang w:val="en-US"/>
        </w:rPr>
        <w:instrText>ADDIN CSL_CITATION { "citationItems" : [ { "id" : "ITEM-1", "itemData" : { "DOI" : "10.1111/j.1365-2648.2005.03381.x", "ISSN" : "0309-2402", "PMID" : "15788086", "abstract" : "AIMS: This paper presents a systematic review whose aim was to describe the scope and methods of the current literature on preoperative patient education and to identify the effects of this education.\n\nBACKGROUND: Preoperative patient education is a common and important intervention in surgical nursing, yet there is very limited systematic evidence on its precise role.\n\nMETHODS: The Medline, CINAHL, Eric, Psycinfo and Social Sciences Index databases and the Cochrane Library were searched, covering the period from the beginning of each database to April 2003. Studies were included if they concerned adult orthopaedic patients, preoperative nursing patient education and were based on randomized controlled or clinical trials. Meta-analysis was carried out where appropriate.\n\nRESULTS: We identified 11 articles involving 1044 participants. Most studies included one experimental and one control group; only two had more than one experimental and control group. The educational interventions varied widely, but the majority were based on written materials alone, or written materials in combination with other teaching methods. The most common outcome measures related to pain, knowledge, anxiety, exercises and length of stay, and the least common to self-efficacy and empowerment. The methodological quality of the studies varied. Almost all reported one or more statistically significant effects. Based on the findings of the meta-analysis, preoperative education appears to have some impacts on patients' anxiety and knowledge levels.\n\nCONCLUSIONS: The review clearly highlights the need for well-designed, methodologically sound research into the outcomes of patient education. It also points to the need to study patient education from the point of view of empowerment.", "author" : [ { "dropping-particle" : "", "family" : "Johansson", "given" : "Kirsi", "non-dropping-particle" : "", "parse-names" : false, "suffix" : "" }, { "dropping-particle" : "", "family" : "Nuutila", "given" : "Liisamaija", "non-dropping-particle" : "", "parse-names" : false, "suffix" : "" }, { "dropping-particle" : "", "family" : "Virtanen", "given" : "Heli", "non-dropping-particle" : "", "parse-names" : false, "suffix" : "" }, { "dropping-particle" : "", "family" : "Katajisto", "given" : "Jouko", "non-dropping-particle" : "", "parse-names" : false, "suffix" : "" }, { "dropping-particle" : "", "family" : "Salanter\u00e4", "given" : "Sanna", "non-dropping-particle" : "", "parse-names" : false, "suffix" : "" } ], "container-title" : "Journal of advanced nursing", "id" : "ITEM-1", "issue" : "2", "issued" : { "date-parts" : [ [ "2005", "4" ] ] }, "page" : "212-23", "title" : "Preoperative education for orthopaedic patients: systematic review.", "type" : "article-journal", "volume" : "50" }, "uris" : [ "http://www.mendeley.com/documents/?uuid=20a0f1b9-d2b6-45dc-bc22-09f280a136bb", "http://www.mendeley.com/documents/?uuid=eb96b607-d3a1-4b6a-948e-8707849d1c53" ] }, { "id" : "ITEM-2", "itemData" : { "ISSN" : "0738-3991", "PMID" : "11602370", "abstract" : "The main goals of this study were to examine aspects of the delivery and reception of advice and questions in interaction between nurses and patients and to describe linguistic features that constructed nurse-centered and empowermental health counseling. The research data, 38 health counseling sessions, were videotaped, transcribed verbatim, and analyzed by using an adaptation of conversational analysis. During nurse-centered discussions, the nurses' advice did not correspond to the patients' need for information. These counseling sessions began with check-up questions about the patients' condition and continued with factual questions about their illnesses and health care measures. During empowering health counseling, the nurses made use of the patients' knowledge of their circumstances and supported the patients' ability to reflect on their health behavior. Questioning and advising strategies were found to be crucial for building up empowermental conversation and enhancing the impact of health counseling.", "author" : [ { "dropping-particle" : "", "family" : "Poskiparta", "given" : "M", "non-dropping-particle" : "", "parse-names" : false, "suffix" : "" }, { "dropping-particle" : "", "family" : "Liimatainen", "given" : "L", "non-dropping-particle" : "", "parse-names" : false, "suffix" : "" }, { "dropping-particle" : "", "family" : "Kettunen", "given" : "T", "non-dropping-particle" : "", "parse-names" : false, "suffix" : "" }, { "dropping-particle" : "", "family" : "Karhila", "given" : "P", "non-dropping-particle" : "", "parse-names" : false, "suffix" : "" } ], "container-title" : "Patient education and counseling", "id" : "ITEM-2", "issue" : "1", "issued" : { "date-parts" : [ [ "2001", "10" ] ] }, "page" : "69-79", "title" : "From nurse-centered health counseling to empowermental health counseling", "type" : "article-journal", "volume" : "45" }, "uris" : [ "http://www.mendeley.com/documents/?uuid=f94d2705-0dc7-4c47-a748-4b3a22cac9b0", "http://www.mendeley.com/documents/?uuid=4a0099e3-3b27-4f13-ac54-c078d77788b2" ] }, { "id" : "ITEM-3", "itemData" : { "ISSN" : "1049-510X", "PMID" : "16259492", "abstract" : "OBJECTIVE: The objective of this study was to evaluate the impact of a problem-based empowerment patient education program specifically tailored for urban African Americans with type 2 diabetes. RESEARCH DESIGN AND METHODS: The study used a randomized controlled trial (RCT) pretest/post-test design with repeated measures. Patients were randomly assigned to either a six-week intervention group or a six-week wait-listed control group. After completing the six sessions, patients were invited to participate in one of two follow-up conditions; attend a monthly support group or receive a monthly phone call from a nurse. Assessment measures included HbA1C, lipids, blood pressure, weight, self-management behavior and psychosocial adaptation. RESULTS: Both control and intervention patients showed a broad array of small-to-modest positive changes during the six-week RCT. These gains were maintained or improved upon during the one-year follow-up period. For patients in the two follow-up conditions, a positive correlation was seen between the number of follow-up contacts and their one-year HbA1C values. CONCLUSIONS: We believe that results of this study can be attributed to volunteer bias, study effects (ie, providing study data on several occasions to patients and their physicians during the one-year study period), and impact of the interventions. However, the study design does not allow us to examine the relative impact of these three factors on the patient improvements seen over the one-year study period.", "author" : [ { "dropping-particle" : "", "family" : "Anderson", "given" : "Robert M", "non-dropping-particle" : "", "parse-names" : false, "suffix" : "" }, { "dropping-particle" : "", "family" : "Funnell", "given" : "Martha M", "non-dropping-particle" : "", "parse-names" : false, "suffix" : "" }, { "dropping-particle" : "", "family" : "Nwankwo", "given" : "Robin", "non-dropping-particle" : "", "parse-names" : false, "suffix" : "" }, { "dropping-particle" : "Lou", "family" : "Gillard", "given" : "Mary", "non-dropping-particle" : "", "parse-names" : false, "suffix" : "" }, { "dropping-particle" : "", "family" : "Oh", "given" : "Mary", "non-dropping-particle" : "", "parse-names" : false, "suffix" : "" }, { "dropping-particle" : "", "family" : "Fitzgerald", "given" : "J Thomas", "non-dropping-particle" : "", "parse-names" : false, "suffix" : "" } ], "container-title" : "Ethnicity &amp; disease", "id" : "ITEM-3", "issue" : "4", "issued" : { "date-parts" : [ [ "2005", "1" ] ] }, "page" : "671-8", "title" : "Evaluating a problem-based empowerment program for African Americans with diabetes: results of a randomized controlled trial", "type" : "article-journal", "volume" : "15" }, "uris" : [ "http://www.mendeley.com/documents/?uuid=cdcd4f4e-b11e-4feb-b908-13559985a331" ] }, { "id" : "ITEM-4", "itemData" : { "DOI" : "10.1016/0738-3991(95)00730-N", "ISSN" : "07383991", "abstract" : "Our paper reviews the philosophical and theoretical foundations of the empowerment approach to chronic disease care and education. The fundamental differences between the compliance and empowerment approaches are elucidated. The empowerment philosophy is based on the premise that human beings have the capacity to make choices and are responsible for the consequences of their choices. Empowerment is defined as an educational process designed to help patients develop the knowledge, skills, attitudes, and degree of self-awareness necessary to effectively assume responsibility for their health-related decisions. Using empowerment as an intellectual foundation, an holistic approach to health education is presented. Topics such as well-being, self-image, motivation, adaptability, stress management, problem-solving, social support, self-awareness, and hope, are discussed. Our paper asserts that health educators have a responsibility to address the physical, emotional, cognitive, and spiritual needs of persons challenged to live with a chronic disease.", "author" : [ { "dropping-particle" : "", "family" : "Feste", "given" : "Catherine", "non-dropping-particle" : "", "parse-names" : false, "suffix" : "" }, { "dropping-particle" : "", "family" : "Anderson", "given" : "Robert M.", "non-dropping-particle" : "", "parse-names" : false, "suffix" : "" } ], "container-title" : "Patient Education and Counseling", "id" : "ITEM-4", "issue" : "1-3", "issued" : { "date-parts" : [ [ "1995", "9" ] ] }, "page" : "139-144", "title" : "Empowerment: from philosophy to practice", "type" : "article-journal", "volume" : "26" }, "uris" : [ "http://www.mendeley.com/documents/?uuid=848c52a9-16fa-42ad-8428-88ff273a82ea" ] } ], "mendeley" : { "formattedCitation" : "[19,27\u201329]", "plainTextFormattedCitation" : "[19,27\u201329]", "previouslyFormattedCitation" : "[19,27\u201329]" }, "properties" : { "noteIndex" : 0 }, "schema" : "https://github.com/citation-style-language/schema/raw/master/csl-citation.json" }</w:instrText>
      </w:r>
      <w:r w:rsidR="008E46FC">
        <w:rPr>
          <w:rFonts w:ascii="Times New Roman" w:eastAsia="Arial Unicode MS" w:hAnsi="Times New Roman" w:cs="Times New Roman"/>
          <w:b/>
          <w:sz w:val="24"/>
          <w:szCs w:val="24"/>
        </w:rPr>
        <w:fldChar w:fldCharType="separate"/>
      </w:r>
      <w:r w:rsidR="004A0CB7" w:rsidRPr="004A0CB7">
        <w:rPr>
          <w:rFonts w:ascii="Times New Roman" w:eastAsia="Arial Unicode MS" w:hAnsi="Times New Roman" w:cs="Times New Roman"/>
          <w:noProof/>
          <w:sz w:val="24"/>
          <w:szCs w:val="24"/>
        </w:rPr>
        <w:t>[19,27–29]</w:t>
      </w:r>
      <w:r w:rsidR="008E46FC">
        <w:rPr>
          <w:rFonts w:ascii="Times New Roman" w:eastAsia="Arial Unicode MS" w:hAnsi="Times New Roman" w:cs="Times New Roman"/>
          <w:b/>
          <w:sz w:val="24"/>
          <w:szCs w:val="24"/>
        </w:rPr>
        <w:fldChar w:fldCharType="end"/>
      </w:r>
      <w:r w:rsidR="008E46FC">
        <w:rPr>
          <w:rFonts w:ascii="Times New Roman" w:hAnsi="Times New Roman" w:cs="Times New Roman"/>
          <w:b/>
          <w:sz w:val="24"/>
          <w:szCs w:val="24"/>
          <w:lang w:val="en-GB"/>
        </w:rPr>
        <w:t>.</w:t>
      </w:r>
    </w:p>
    <w:p w14:paraId="642CE69B" w14:textId="77777777" w:rsidR="00A10805" w:rsidRPr="00655CDB" w:rsidRDefault="00A10805" w:rsidP="00A4263F">
      <w:pPr>
        <w:spacing w:line="480" w:lineRule="auto"/>
        <w:rPr>
          <w:rFonts w:eastAsia="Arial Unicode MS" w:cs="Arial Unicode MS"/>
          <w:b/>
        </w:rPr>
      </w:pPr>
    </w:p>
    <w:p w14:paraId="11BE8F52" w14:textId="26E97B75" w:rsidR="000345FF" w:rsidRPr="00CE47DE" w:rsidRDefault="000345FF" w:rsidP="00A4263F">
      <w:pPr>
        <w:spacing w:line="480" w:lineRule="auto"/>
        <w:rPr>
          <w:rFonts w:eastAsia="Arial Unicode MS" w:cs="Arial Unicode MS"/>
          <w:b/>
        </w:rPr>
      </w:pPr>
      <w:r w:rsidRPr="00655CDB">
        <w:rPr>
          <w:rFonts w:eastAsia="Arial Unicode MS" w:cs="Arial Unicode MS"/>
          <w:b/>
        </w:rPr>
        <w:t xml:space="preserve">Different </w:t>
      </w:r>
      <w:r w:rsidR="00C1150F" w:rsidRPr="00655CDB">
        <w:rPr>
          <w:rFonts w:eastAsia="Arial Unicode MS" w:cs="Arial Unicode MS"/>
          <w:b/>
        </w:rPr>
        <w:t>EPE</w:t>
      </w:r>
      <w:r w:rsidRPr="00655CDB">
        <w:rPr>
          <w:rFonts w:eastAsia="Arial Unicode MS" w:cs="Arial Unicode MS"/>
          <w:b/>
        </w:rPr>
        <w:t xml:space="preserve"> methods have proven effective in diverse patient groups. In surgical patients, they have not only increased the knowledge level</w:t>
      </w:r>
      <w:r w:rsidR="00C86394">
        <w:rPr>
          <w:rFonts w:eastAsia="Arial Unicode MS" w:cs="Arial Unicode MS"/>
          <w:b/>
        </w:rPr>
        <w:t xml:space="preserve"> </w:t>
      </w:r>
      <w:r w:rsidR="00C86394">
        <w:rPr>
          <w:rFonts w:eastAsia="Arial Unicode MS" w:cs="Arial Unicode MS"/>
          <w:b/>
        </w:rPr>
        <w:fldChar w:fldCharType="begin" w:fldLock="1"/>
      </w:r>
      <w:r w:rsidR="0068258A">
        <w:rPr>
          <w:rFonts w:eastAsia="Arial Unicode MS" w:cs="Arial Unicode MS"/>
          <w:b/>
        </w:rPr>
        <w:instrText>ADDIN CSL_CITATION { "citationItems" : [ { "id" : "ITEM-1", "itemData" : { "DOI" : "10.1016/j.pec.2008.06.015", "ISBN" : "0738-3991", "ISSN" : "07383991", "PMID" : "18678461", "abstract" : "Objective: The aim of this study was to compare the cognitive empowerment of ambulatory orthopaedic surgery patients when using Internet-based education (experiment) in contrast to face to face education conducted by a nurse (control). Methods: Elective ambulatory orthopaedic surgery patients were randomized to either an experiment group (n = 72) receiving Internet-based education, or to a control group (n = 75) receiving face-to-face education with a nurse. The data were collected at three different time points: before the preoperative education session, after preoperative education and 2 weeks after the operation. Three structured instruments were used: the Knowledge Test, the Sufficiency of Knowledge and the Orthopaedic Patient Knowledge Instrument. Results: Patients in both groups showed improvement in their knowledge. However, patients who received Internet-based education improved their knowledge level significantly more in the ethical (p = 0.005) and functional (p = 0.023) dimensions and also in total (p = 0.033) than those patients who underwent face-to-face education with a nurse. In addition, patients in the experiment group had higher scores in sufficiency of knowledge in the experiential (p = 0.050) and financial (p = 0.048) dimensions and, moreover, their scores in sufficiency of knowledge in the ethical dimension improved significantly more (p = 0.008) during the study period than patients in the control group. Conclusion: Improvements in the patients' level and sufficiency of knowledge within both groups indicates an increase in patients' cognitive empowerment. Practice implications: Internet-based education can be used in ambulatory orthopaedic surgery patient education for increasing patients' cognitive empowerment. \u00a9 2008 Elsevier Ireland Ltd. All rights reserved.", "author" : [ { "dropping-particle" : "", "family" : "Heikkinen", "given" : "Katja", "non-dropping-particle" : "", "parse-names" : false, "suffix" : "" }, { "dropping-particle" : "", "family" : "Helena", "given" : "Leino Kilpi", "non-dropping-particle" : "", "parse-names" : false, "suffix" : "" }, { "dropping-particle" : "", "family" : "Taina", "given" : "Nummela", "non-dropping-particle" : "", "parse-names" : false, "suffix" : "" }, { "dropping-particle" : "", "family" : "Anne", "given" : "Kaljonen", "non-dropping-particle" : "", "parse-names" : false, "suffix" : "" }, { "dropping-particle" : "", "family" : "Sanna", "given" : "Salanter\u00e4", "non-dropping-particle" : "", "parse-names" : false, "suffix" : "" } ], "container-title" : "Patient Education and Counseling", "id" : "ITEM-1", "issue" : "2", "issued" : { "date-parts" : [ [ "2008" ] ] }, "page" : "272-279", "title" : "A comparison of two educational interventions for the cognitive empowerment of ambulatory orthopaedic surgery patients", "type" : "article-journal", "volume" : "73" }, "uris" : [ "http://www.mendeley.com/documents/?uuid=0757d573-c980-4411-824f-0e38e8eac630" ] } ], "mendeley" : { "formattedCitation" : "[30]", "plainTextFormattedCitation" : "[30]", "previouslyFormattedCitation" : "[30]" }, "properties" : { "noteIndex" : 0 }, "schema" : "https://github.com/citation-style-language/schema/raw/master/csl-citation.json" }</w:instrText>
      </w:r>
      <w:r w:rsidR="00C86394">
        <w:rPr>
          <w:rFonts w:eastAsia="Arial Unicode MS" w:cs="Arial Unicode MS"/>
          <w:b/>
        </w:rPr>
        <w:fldChar w:fldCharType="separate"/>
      </w:r>
      <w:r w:rsidR="004A0CB7" w:rsidRPr="004A0CB7">
        <w:rPr>
          <w:rFonts w:eastAsia="Arial Unicode MS" w:cs="Arial Unicode MS"/>
          <w:noProof/>
        </w:rPr>
        <w:t>[30]</w:t>
      </w:r>
      <w:r w:rsidR="00C86394">
        <w:rPr>
          <w:rFonts w:eastAsia="Arial Unicode MS" w:cs="Arial Unicode MS"/>
          <w:b/>
        </w:rPr>
        <w:fldChar w:fldCharType="end"/>
      </w:r>
      <w:r w:rsidRPr="00655CDB">
        <w:rPr>
          <w:rFonts w:eastAsia="Arial Unicode MS" w:cs="Arial Unicode MS"/>
          <w:b/>
        </w:rPr>
        <w:t>, but also resulted in</w:t>
      </w:r>
      <w:r w:rsidR="004A5664" w:rsidRPr="00655CDB">
        <w:rPr>
          <w:rFonts w:eastAsia="Arial Unicode MS" w:cs="Arial Unicode MS"/>
          <w:b/>
        </w:rPr>
        <w:t xml:space="preserve"> decreased preoperative anxiety </w:t>
      </w:r>
      <w:r w:rsidR="004A5664" w:rsidRPr="00655CDB">
        <w:rPr>
          <w:rFonts w:eastAsia="Arial Unicode MS" w:cs="Arial Unicode MS"/>
          <w:b/>
        </w:rPr>
        <w:fldChar w:fldCharType="begin" w:fldLock="1"/>
      </w:r>
      <w:r w:rsidR="00D22925">
        <w:rPr>
          <w:rFonts w:eastAsia="Arial Unicode MS" w:cs="Arial Unicode MS"/>
          <w:b/>
        </w:rPr>
        <w:instrText>ADDIN CSL_CITATION { "citationItems" : [ { "id" : "ITEM-1", "itemData" : { "DOI" : "10.1007/s00586-015-3788-2", "ISSN" : "1432-0932", "PMID" : "25670066", "abstract" : "PURPOSE: No study has investigated preoperative anxiety about spinal surgery under general anesthesia. The purposes of this study were (1) to determine how many patients have preoperative anxiety about spinal surgery and general anesthesia, (2) to evaluate the level of anxiety, (3) to identify patient factors potentially associated with the level of anxiety, and (4) to describe the characteristics of the anxiety that patients experience during the perioperative period. METHODS: This study was performed in 175 consecutive patients undergoing laminectomy for lumbar stenosis or discectomy for herniated nucleus pulposus under general anesthesia. Demographic data, information related to surgery, and characteristics of anxiety were obtained using a questionnaire. The level of anxiety was assessed using a visual analog scale of anxiety (VAS-anxiety). Patient factors potentially associated with the level of anxiety were investigated using multiple stepwise regression analysis. RESULTS: Of 157 patients finally included in this study, 137 (87 %) had preoperative anxiety (VAS-anxiety &gt; 0). The mean VAS-anxiety score for spinal surgery was significantly higher than that for general anesthesia (4.6 \u00b1 3.0 vs. 3.2 \u00b1 2.7; P &lt; 0.001). Sex and age were significant patient factors related to the level of anxiety about spinal surgery (P = 0.009) and general anesthesia (P = 0.018); female patients had a higher level of anxiety about spinal surgery, and elderly patients had a higher level of anxiety about general anesthesia. The most helpful factors in overcoming anxiety before surgery and in reducing anxiety after surgery were faith in the medical staff (48.9 %) and surgeon's explanation of the surgery performed (72.3 %), respectively. CONCLUSIONS: Patients awaiting laminectomy or discectomy feared spinal surgery more than general anesthesia. This study also found that medical staff and surgeons play important roles in overcoming and reducing patient anxiety during the perioperative period.", "author" : [ { "dropping-particle" : "", "family" : "Lee", "given" : "Jun-Seok", "non-dropping-particle" : "", "parse-names" : false, "suffix" : "" }, { "dropping-particle" : "", "family" : "Park", "given" : "Yong-Moon", "non-dropping-particle" : "", "parse-names" : false, "suffix" : "" }, { "dropping-particle" : "", "family" : "Ha", "given" : "Kee-Yong", "non-dropping-particle" : "", "parse-names" : false, "suffix" : "" }, { "dropping-particle" : "", "family" : "Cho", "given" : "Sung-Wook", "non-dropping-particle" : "", "parse-names" : false, "suffix" : "" }, { "dropping-particle" : "", "family" : "Bak", "given" : "Geun-Hyeong", "non-dropping-particle" : "", "parse-names" : false, "suffix" : "" }, { "dropping-particle" : "", "family" : "Kim", "given" : "Ki-Won", "non-dropping-particle" : "", "parse-names" : false, "suffix" : "" } ], "container-title" : "European spine journal", "id" : "ITEM-1", "issue" : "3", "issued" : { "date-parts" : [ [ "2016", "2", "11" ] ] }, "page" : "698-707", "title" : "Preoperative anxiety about spinal surgery under general anesthesia", "type" : "article-journal", "volume" : "25" }, "uris" : [ "http://www.mendeley.com/documents/?uuid=041fd21b-936a-4e88-a7f8-77d355cdcc6d" ] }, { "id" : "ITEM-2", "itemData" : { "DOI" : "10.1097/EJA.0000000000000307", "ISSN" : "0265-0215", "PMID" : "26196527", "abstract" : "BACKGROUND: Despite growing evidence that an educational anaesthesia video can effectively reduce perioperative anxiety, the ideal medium for addressing perioperative anxiety is unclear. OBJECTIVE: The purpose of this study was to investigate the effect of viewing an anaesthetic patient information video on anxiety levels in patients scheduled to undergo surgery. DESIGN: A randomised, controlled, parallel-groups trial. SETTING: Pingtung Christian Hospital (PTCH), Taiwan. PATIENTS: One hundred patients were randomised to either an experimental group (n = 50) or a control group (n = 50). INTERVENTIONS: At the preoperative clinic, the experimental group watched the an 8 minute educational anaesthetic video, whereas the control group received a standard 8-min verbal briefing on anaesthesia after preoperative assessment. MAIN OUTCOMES MEASURES: The Chinese version of the Spielberger state trait anxiety inventory, which included a state scale (STAI-S) and a trait scale (STAI-T), was performed in the preoperative clinic (T1) before anaesthetic preassessment, at the preoperative holding area just before surgery (T2) and again on the third day after surgery (T3). Scores for overall satisfaction with medical care were obtained on the third day after surgery. For two time interval comparisons, effect size was used to standardise the extent of change as measured by STAI-S. RESULTS: After the educational intervention, state anxiety was lower in the experimental group than in the control group at both T2 (42.9 \u00b1 6.5 vs. 45.0 \u00b1 12.7) and T3 (40.2 \u00b1 5.3 vs. 48.8 \u00b1 8.5). Compared with control group, the experimental group had a larger effect size at T2 and T3 (-0.65 and -0.36, respectively). Overall satisfaction was significantly higher in the experimental group than in the control group (P &lt; 0.05). CONCLUSION: Perioperative anxiety was significantly reduced and overall patient satisfaction increased after viewing a preoperative educational anaesthesia video compared with a standard verbal briefing on anaesthesia.", "author" : [ { "dropping-particle" : "", "family" : "Lin", "given" : "Shun-Yuan", "non-dropping-particle" : "", "parse-names" : false, "suffix" : "" }, { "dropping-particle" : "", "family" : "Huang", "given" : "Hung-An", "non-dropping-particle" : "", "parse-names" : false, "suffix" : "" }, { "dropping-particle" : "", "family" : "Lin", "given" : "Sung-Chun", "non-dropping-particle" : "", "parse-names" : false, "suffix" : "" }, { "dropping-particle" : "", "family" : "Huang", "given" : "Yuan-Ting", "non-dropping-particle" : "", "parse-names" : false, "suffix" : "" }, { "dropping-particle" : "", "family" : "Wang", "given" : "Kuo-Yang", "non-dropping-particle" : "", "parse-names" : false, "suffix" : "" }, { "dropping-particle" : "", "family" : "Shi", "given" : "Hon-Yi", "non-dropping-particle" : "", "parse-names" : false, "suffix" : "" } ], "container-title" : "European Journal of Anaesthesiology", "id" : "ITEM-2", "issue" : "2", "issued" : { "date-parts" : [ [ "2016", "7", "18" ] ] }, "page" : "134-139", "title" : "The effect of an anaesthetic patient information video on perioperative anxiety", "type" : "article-journal", "volume" : "33" }, "uris" : [ "http://www.mendeley.com/documents/?uuid=f1eeccbc-8f79-45c6-a1a6-d3ddecf780d8" ] }, { "id" : "ITEM-3", "itemData" : { "ISSN" : "0738-3991", "PMID" : "14572947", "abstract" : "The primary objective of this study was to test whether specific information given prior to surgery can help patients obtain better pain relief after total knee arthroplasty (TKA). Secondary objectives were to study the impact of preoperative information on state and trait anxiety, satisfaction with pain management and satisfaction with nursing care. The study was an intervention study with two groups of equal size (n=30). The intervention group was given specific information while the control group received routine information. Pain assessments were made preoperatively and every 3h for the first three postoperative days, using the visual analogue scale (VAS). The results of this study suggest that information does influence the experience of pain after surgery and related psychological factors. The postoperative pain declined more rapidly for patients in the treatment group, the degree of preoperative state anxiety was lower and they were more satisfied with the postoperative pain management.", "author" : [ { "dropping-particle" : "", "family" : "Sj\u00f6ling", "given" : "Mats", "non-dropping-particle" : "", "parse-names" : false, "suffix" : "" }, { "dropping-particle" : "", "family" : "Nordahl", "given" : "Gunnar", "non-dropping-particle" : "", "parse-names" : false, "suffix" : "" }, { "dropping-particle" : "", "family" : "Olofsson", "given" : "Niclas", "non-dropping-particle" : "", "parse-names" : false, "suffix" : "" }, { "dropping-particle" : "", "family" : "Asplund", "given" : "Kenneth", "non-dropping-particle" : "", "parse-names" : false, "suffix" : "" } ], "container-title" : "Patient education and counseling", "id" : "ITEM-3", "issue" : "2", "issued" : { "date-parts" : [ [ "2003", "10" ] ] }, "page" : "169-76", "title" : "The impact of preoperative information on state anxiety, postoperative pain and satisfaction with pain management", "type" : "article-journal", "volume" : "51" }, "uris" : [ "http://www.mendeley.com/documents/?uuid=5098a2a5-d78c-4806-bcc9-fe56049bbadb" ] }, { "id" : "ITEM-4", "itemData" : { "DOI" : "10.1016/j.pec.2005.04.009", "ISBN" : "0738-3991 (Print)", "ISSN" : "07383991", "PMID" : "15970422", "abstract" : "Objective: A case study at the department for heart surgery of an Austrian University Hospital in 2001, examined the outcome of improved communication aimed at empowering patients to be more effective co-producers of recuperation after surgery. Methods: Evaluated were the effects of a training program for developing communication skills of health professionals (physicians, physiotherapists, and nurses) along with a reorganization of patient information schemes. The clinical outcomes after four types of surgery (bypass, stent, artificial valve insertion and combination of these) were observed in 100 patients without (control group) and 99 with the intervention administered (intervention group). Two objective and two subjective health outcome parameters were selected for analysis: care level adjusted length of stay in hospital, frequency of post-surgery complications, subjective health, subjective satisfaction with care received. Self-administered breathing exercises were measured as an intermediary outcome parameter. Results: In the intervention group length of hospital stay was shorter (by 1 day), incidence of post-surgery tachyarrhythmia was reduced (by 15%), transfer to less intensive care levels was faster and patient ratings for communicative quality of care by doctors and nurses were improved. Conclusion: Professional communication aimed at empowering patients to act as co producers can indeed have an effect on clinical outcome. Practice implications: Staff training and reorganization of communication schemes can be an effective intervention in hospital care. \u00a9 2005 Elsevier Ireland Ltd. All rights reserved.", "author" : [ { "dropping-particle" : "", "family" : "Trummer", "given" : "Ursula F.", "non-dropping-particle" : "", "parse-names" : false, "suffix" : "" }, { "dropping-particle" : "", "family" : "Mueller", "given" : "Ulrich O.", "non-dropping-particle" : "", "parse-names" : false, "suffix" : "" }, { "dropping-particle" : "", "family" : "Nowak", "given" : "Peter", "non-dropping-particle" : "", "parse-names" : false, "suffix" : "" }, { "dropping-particle" : "", "family" : "Stidl", "given" : "Thomas", "non-dropping-particle" : "", "parse-names" : false, "suffix" : "" }, { "dropping-particle" : "", "family" : "Pelikan", "given" : "J\u00fcrgen M.", "non-dropping-particle" : "", "parse-names" : false, "suffix" : "" } ], "container-title" : "Patient Education and Counseling", "id" : "ITEM-4", "issue" : "2", "issued" : { "date-parts" : [ [ "2006" ] ] }, "page" : "299-306", "title" : "Does physician-patient communication that aims at empowering patients improve clinical outcome? A case study", "type" : "article-journal", "volume" : "61" }, "uris" : [ "http://www.mendeley.com/documents/?uuid=bc0673ec-0928-42e2-92a3-5b0464acaae7" ] } ], "mendeley" : { "formattedCitation" : "[31\u201334]", "plainTextFormattedCitation" : "[31\u201334]", "previouslyFormattedCitation" : "[31\u201334]" }, "properties" : { "noteIndex" : 0 }, "schema" : "https://github.com/citation-style-language/schema/raw/master/csl-citation.json" }</w:instrText>
      </w:r>
      <w:r w:rsidR="004A5664" w:rsidRPr="00655CDB">
        <w:rPr>
          <w:rFonts w:eastAsia="Arial Unicode MS" w:cs="Arial Unicode MS"/>
          <w:b/>
        </w:rPr>
        <w:fldChar w:fldCharType="separate"/>
      </w:r>
      <w:r w:rsidR="004A0CB7" w:rsidRPr="004A0CB7">
        <w:rPr>
          <w:rFonts w:eastAsia="Arial Unicode MS" w:cs="Arial Unicode MS"/>
          <w:noProof/>
        </w:rPr>
        <w:t>[31–34]</w:t>
      </w:r>
      <w:r w:rsidR="004A5664" w:rsidRPr="00655CDB">
        <w:rPr>
          <w:rFonts w:eastAsia="Arial Unicode MS" w:cs="Arial Unicode MS"/>
          <w:b/>
        </w:rPr>
        <w:fldChar w:fldCharType="end"/>
      </w:r>
      <w:r w:rsidR="008E46FC">
        <w:rPr>
          <w:rFonts w:eastAsia="Arial Unicode MS" w:cs="Arial Unicode MS"/>
          <w:b/>
        </w:rPr>
        <w:t>,</w:t>
      </w:r>
      <w:r w:rsidRPr="00655CDB">
        <w:rPr>
          <w:rFonts w:eastAsia="Arial Unicode MS" w:cs="Arial Unicode MS"/>
          <w:b/>
        </w:rPr>
        <w:t xml:space="preserve"> </w:t>
      </w:r>
      <w:r w:rsidR="004D0487" w:rsidRPr="00655CDB">
        <w:rPr>
          <w:rFonts w:eastAsia="Arial Unicode MS" w:cs="Arial Unicode MS"/>
          <w:b/>
        </w:rPr>
        <w:t xml:space="preserve"> </w:t>
      </w:r>
      <w:r w:rsidRPr="00655CDB">
        <w:rPr>
          <w:rFonts w:eastAsia="Arial Unicode MS" w:cs="Arial Unicode MS"/>
          <w:b/>
        </w:rPr>
        <w:t>faster recovery, lower incidence of complications, improved quality of communication between patients and health care professionals</w:t>
      </w:r>
      <w:r w:rsidRPr="00CE47DE">
        <w:rPr>
          <w:rFonts w:eastAsia="Arial Unicode MS" w:cs="Arial Unicode MS"/>
          <w:b/>
        </w:rPr>
        <w:t xml:space="preserve"> </w:t>
      </w:r>
      <w:r w:rsidR="00154034">
        <w:rPr>
          <w:rFonts w:eastAsia="Arial Unicode MS" w:cs="Arial Unicode MS"/>
          <w:b/>
        </w:rPr>
        <w:fldChar w:fldCharType="begin" w:fldLock="1"/>
      </w:r>
      <w:r w:rsidR="0068258A">
        <w:rPr>
          <w:rFonts w:eastAsia="Arial Unicode MS" w:cs="Arial Unicode MS"/>
          <w:b/>
        </w:rPr>
        <w:instrText>ADDIN CSL_CITATION { "citationItems" : [ { "id" : "ITEM-1", "itemData" : { "DOI" : "10.1016/j.pec.2005.04.009", "ISBN" : "0738-3991 (Print)", "ISSN" : "07383991", "PMID" : "15970422", "abstract" : "Objective: A case study at the department for heart surgery of an Austrian University Hospital in 2001, examined the outcome of improved communication aimed at empowering patients to be more effective co-producers of recuperation after surgery. Methods: Evaluated were the effects of a training program for developing communication skills of health professionals (physicians, physiotherapists, and nurses) along with a reorganization of patient information schemes. The clinical outcomes after four types of surgery (bypass, stent, artificial valve insertion and combination of these) were observed in 100 patients without (control group) and 99 with the intervention administered (intervention group). Two objective and two subjective health outcome parameters were selected for analysis: care level adjusted length of stay in hospital, frequency of post-surgery complications, subjective health, subjective satisfaction with care received. Self-administered breathing exercises were measured as an intermediary outcome parameter. Results: In the intervention group length of hospital stay was shorter (by 1 day), incidence of post-surgery tachyarrhythmia was reduced (by 15%), transfer to less intensive care levels was faster and patient ratings for communicative quality of care by doctors and nurses were improved. Conclusion: Professional communication aimed at empowering patients to act as co producers can indeed have an effect on clinical outcome. Practice implications: Staff training and reorganization of communication schemes can be an effective intervention in hospital care. \u00a9 2005 Elsevier Ireland Ltd. All rights reserved.", "author" : [ { "dropping-particle" : "", "family" : "Trummer", "given" : "Ursula F.", "non-dropping-particle" : "", "parse-names" : false, "suffix" : "" }, { "dropping-particle" : "", "family" : "Mueller", "given" : "Ulrich O.", "non-dropping-particle" : "", "parse-names" : false, "suffix" : "" }, { "dropping-particle" : "", "family" : "Nowak", "given" : "Peter", "non-dropping-particle" : "", "parse-names" : false, "suffix" : "" }, { "dropping-particle" : "", "family" : "Stidl", "given" : "Thomas", "non-dropping-particle" : "", "parse-names" : false, "suffix" : "" }, { "dropping-particle" : "", "family" : "Pelikan", "given" : "J\u00fcrgen M.", "non-dropping-particle" : "", "parse-names" : false, "suffix" : "" } ], "container-title" : "Patient Education and Counseling", "id" : "ITEM-1", "issue" : "2", "issued" : { "date-parts" : [ [ "2006" ] ] }, "page" : "299-306", "title" : "Does physician-patient communication that aims at empowering patients improve clinical outcome? A case study", "type" : "article-journal", "volume" : "61" }, "uris" : [ "http://www.mendeley.com/documents/?uuid=bc0673ec-0928-42e2-92a3-5b0464acaae7" ] } ], "mendeley" : { "formattedCitation" : "[34]", "plainTextFormattedCitation" : "[34]", "previouslyFormattedCitation" : "[34]" }, "properties" : { "noteIndex" : 0 }, "schema" : "https://github.com/citation-style-language/schema/raw/master/csl-citation.json" }</w:instrText>
      </w:r>
      <w:r w:rsidR="00154034">
        <w:rPr>
          <w:rFonts w:eastAsia="Arial Unicode MS" w:cs="Arial Unicode MS"/>
          <w:b/>
        </w:rPr>
        <w:fldChar w:fldCharType="separate"/>
      </w:r>
      <w:r w:rsidR="004A0CB7" w:rsidRPr="004A0CB7">
        <w:rPr>
          <w:rFonts w:eastAsia="Arial Unicode MS" w:cs="Arial Unicode MS"/>
          <w:noProof/>
        </w:rPr>
        <w:t>[34]</w:t>
      </w:r>
      <w:r w:rsidR="00154034">
        <w:rPr>
          <w:rFonts w:eastAsia="Arial Unicode MS" w:cs="Arial Unicode MS"/>
          <w:b/>
        </w:rPr>
        <w:fldChar w:fldCharType="end"/>
      </w:r>
      <w:r w:rsidRPr="00CE47DE">
        <w:rPr>
          <w:rFonts w:eastAsia="Arial Unicode MS" w:cs="Arial Unicode MS"/>
          <w:b/>
        </w:rPr>
        <w:t xml:space="preserve">, higher postoperative </w:t>
      </w:r>
      <w:r w:rsidR="008E46FC">
        <w:rPr>
          <w:rFonts w:eastAsia="Arial Unicode MS" w:cs="Arial Unicode MS"/>
          <w:b/>
        </w:rPr>
        <w:t>quality of life</w:t>
      </w:r>
      <w:r w:rsidRPr="00CE47DE">
        <w:rPr>
          <w:rFonts w:eastAsia="Arial Unicode MS" w:cs="Arial Unicode MS"/>
          <w:b/>
        </w:rPr>
        <w:t xml:space="preserve"> </w:t>
      </w:r>
      <w:r w:rsidR="00154034">
        <w:rPr>
          <w:rFonts w:eastAsia="Arial Unicode MS" w:cs="Arial Unicode MS"/>
          <w:b/>
        </w:rPr>
        <w:fldChar w:fldCharType="begin" w:fldLock="1"/>
      </w:r>
      <w:r w:rsidR="0068258A">
        <w:rPr>
          <w:rFonts w:eastAsia="Arial Unicode MS" w:cs="Arial Unicode MS"/>
          <w:b/>
        </w:rPr>
        <w:instrText>ADDIN CSL_CITATION { "citationItems" : [ { "id" : "ITEM-1", "itemData" : { "DOI" : "10.1007/s11136-007-9171-y", "ISBN" : "0962-9343 (Print)", "ISSN" : "09629343", "PMID" : "17286194", "abstract" : "PURPOSE: Patients undergoing surgery can be impaired in several health-related quality of life areas. As a result, a modern and effective presentation of medical information before elective surgery is of great importance. Thorough preoperative education of the patient could possibly lead to an improvement of postoperative quality of life. MATERIALS AND METHODS: In a prospective randomized study we examined the influence of a preoperative informative video on the postoperative quality of life of patients undergoing elective surgery for inguinal hernia. Quality of life was assessed with a short form questionnaire (SF-36) preoperatively, on the first postoperative day and 3, 6, and 12 months after surgery. RESULTS: From January 2004 until January 2005, 100 patients were included in the study (video group n = 50 patients, control group n = 50 patients). Quality of life was measured higher in the video group soon after surgery and until 3 months afterwards. In the same group other aspects evaluated such as \"global health\" and \"social role\" showed higher values postoperatively and resumption of preoperative activities took place earlier. No difference was detectable 6 months after surgery. CONCLUSION: Informative video presents a modern and cost-effective method for the justified and detailed education of the patient about the several pre-, intra-, and postoperative steps of an elective groin hernia operation. The higher information level and the better conditions of surgical care, as the patients perceive these, lead to a better postoperative quality of life.", "author" : [ { "dropping-particle" : "", "family" : "Zieren", "given" : "Juergen", "non-dropping-particle" : "", "parse-names" : false, "suffix" : "" }, { "dropping-particle" : "", "family" : "Menenakos", "given" : "Charalambos", "non-dropping-particle" : "", "parse-names" : false, "suffix" : "" }, { "dropping-particle" : "", "family" : "Mueller", "given" : "Joachim M.", "non-dropping-particle" : "", "parse-names" : false, "suffix" : "" } ], "container-title" : "Quality of Life Research", "id" : "ITEM-1", "issue" : "5", "issued" : { "date-parts" : [ [ "2007" ] ] }, "page" : "725-729", "title" : "Does an informative video before inguinal hernia surgical repair influence postoperative quality of life? Results of a prospective randomized study", "type" : "article-journal", "volume" : "16" }, "uris" : [ "http://www.mendeley.com/documents/?uuid=3d319d87-8945-4c7b-8ba5-7eb621d6b7e7" ] } ], "mendeley" : { "formattedCitation" : "[7]", "plainTextFormattedCitation" : "[7]", "previouslyFormattedCitation" : "[7]" }, "properties" : { "noteIndex" : 0 }, "schema" : "https://github.com/citation-style-language/schema/raw/master/csl-citation.json" }</w:instrText>
      </w:r>
      <w:r w:rsidR="00154034">
        <w:rPr>
          <w:rFonts w:eastAsia="Arial Unicode MS" w:cs="Arial Unicode MS"/>
          <w:b/>
        </w:rPr>
        <w:fldChar w:fldCharType="separate"/>
      </w:r>
      <w:r w:rsidR="004A0CB7" w:rsidRPr="004A0CB7">
        <w:rPr>
          <w:rFonts w:eastAsia="Arial Unicode MS" w:cs="Arial Unicode MS"/>
          <w:noProof/>
        </w:rPr>
        <w:t>[7]</w:t>
      </w:r>
      <w:r w:rsidR="00154034">
        <w:rPr>
          <w:rFonts w:eastAsia="Arial Unicode MS" w:cs="Arial Unicode MS"/>
          <w:b/>
        </w:rPr>
        <w:fldChar w:fldCharType="end"/>
      </w:r>
      <w:r w:rsidR="00154034">
        <w:rPr>
          <w:rFonts w:eastAsia="Arial Unicode MS" w:cs="Arial Unicode MS"/>
          <w:b/>
        </w:rPr>
        <w:t xml:space="preserve"> </w:t>
      </w:r>
      <w:r w:rsidRPr="00CE47DE">
        <w:rPr>
          <w:rFonts w:eastAsia="Arial Unicode MS" w:cs="Arial Unicode MS"/>
          <w:b/>
        </w:rPr>
        <w:t xml:space="preserve">and better certainty of care-related issues and a more positive learning experience </w:t>
      </w:r>
      <w:r w:rsidR="00154034">
        <w:rPr>
          <w:rFonts w:eastAsia="Arial Unicode MS" w:cs="Arial Unicode MS"/>
          <w:b/>
        </w:rPr>
        <w:fldChar w:fldCharType="begin" w:fldLock="1"/>
      </w:r>
      <w:r w:rsidR="0068258A">
        <w:rPr>
          <w:rFonts w:eastAsia="Arial Unicode MS" w:cs="Arial Unicode MS"/>
          <w:b/>
        </w:rPr>
        <w:instrText>ADDIN CSL_CITATION { "citationItems" : [ { "id" : "ITEM-1", "itemData" : { "DOI" : "10.1016/j.pec.2006.10.011", "ISBN" : "0738-3991", "ISSN" : "07383991", "PMID" : "17161934", "abstract" : "Objective: To determine whether it is possible to increase patients' knowledge and certainty about care-related issues, to reach a more empowering learning experience and to exercise a more positive impact on selected clinical outcomes by means of additional preadmission education (education using the concept map method added to standard preadmission education) than by means of standard preadmission education (written educational material with non-systematic oral education). Methods: Elective hip arthroplasty patients were randomized into group A (n = 62), who received preadmission education using the concept map method with written educational material; and group B (n = 61), who received the written educational material and non-systematic oral education. Data were collected from both groups 4 weeks prior to hospital admission, at admission and at discharge using questionnaires. Results: In the first post-test at admission, group A had significantly better knowledge and certainty of care-related issues than group B. Group A also reported a significantly more positive learning experience than patients in group B. In the second post-test at discharge, patients in group A still had better knowledge and certainty of care-related issues than patients in group B. Conclusion: Preadmission education using the concept map method and written educational material seems to yield better learning results than the use of written educational material with non-systematic oral education. Practice implications: Empowering preadmission education using the concept map method is beneficial for patients. \u00a9 2006 Elsevier Ireland Ltd. All rights reserved.", "author" : [ { "dropping-particle" : "", "family" : "Johansson", "given" : "Kirsi", "non-dropping-particle" : "", "parse-names" : false, "suffix" : "" }, { "dropping-particle" : "", "family" : "Salanter\u00e4", "given" : "Sanna", "non-dropping-particle" : "", "parse-names" : false, "suffix" : "" }, { "dropping-particle" : "", "family" : "Katajisto", "given" : "Jouko", "non-dropping-particle" : "", "parse-names" : false, "suffix" : "" } ], "container-title" : "Patient Education and Counseling", "id" : "ITEM-1", "issue" : "1", "issued" : { "date-parts" : [ [ "2007" ] ] }, "page" : "84-91", "title" : "Empowering orthopaedic patients through preadmission education: Results from a clinical study", "type" : "article-journal", "volume" : "66" }, "uris" : [ "http://www.mendeley.com/documents/?uuid=0d646081-20dd-4fb7-9246-9db50992d6fe" ] } ], "mendeley" : { "formattedCitation" : "[35]", "plainTextFormattedCitation" : "[35]", "previouslyFormattedCitation" : "[35]" }, "properties" : { "noteIndex" : 0 }, "schema" : "https://github.com/citation-style-language/schema/raw/master/csl-citation.json" }</w:instrText>
      </w:r>
      <w:r w:rsidR="00154034">
        <w:rPr>
          <w:rFonts w:eastAsia="Arial Unicode MS" w:cs="Arial Unicode MS"/>
          <w:b/>
        </w:rPr>
        <w:fldChar w:fldCharType="separate"/>
      </w:r>
      <w:r w:rsidR="004A0CB7" w:rsidRPr="004A0CB7">
        <w:rPr>
          <w:rFonts w:eastAsia="Arial Unicode MS" w:cs="Arial Unicode MS"/>
          <w:noProof/>
        </w:rPr>
        <w:t>[35]</w:t>
      </w:r>
      <w:r w:rsidR="00154034">
        <w:rPr>
          <w:rFonts w:eastAsia="Arial Unicode MS" w:cs="Arial Unicode MS"/>
          <w:b/>
        </w:rPr>
        <w:fldChar w:fldCharType="end"/>
      </w:r>
      <w:r w:rsidR="008E6A2F">
        <w:rPr>
          <w:rFonts w:eastAsia="Arial Unicode MS" w:cs="Arial Unicode MS"/>
          <w:b/>
        </w:rPr>
        <w:t>.</w:t>
      </w:r>
      <w:r w:rsidRPr="00CE47DE">
        <w:rPr>
          <w:rFonts w:eastAsia="Arial Unicode MS" w:cs="Arial Unicode MS"/>
          <w:b/>
        </w:rPr>
        <w:t xml:space="preserve"> </w:t>
      </w:r>
      <w:r w:rsidR="008E6A2F">
        <w:rPr>
          <w:rFonts w:eastAsia="Arial Unicode MS" w:cs="Arial Unicode MS"/>
          <w:b/>
        </w:rPr>
        <w:t>I</w:t>
      </w:r>
      <w:r w:rsidRPr="00CE47DE">
        <w:rPr>
          <w:rFonts w:eastAsia="Arial Unicode MS" w:cs="Arial Unicode MS"/>
          <w:b/>
        </w:rPr>
        <w:t xml:space="preserve">n addition, </w:t>
      </w:r>
      <w:r w:rsidR="008E46FC">
        <w:rPr>
          <w:rFonts w:eastAsia="Arial Unicode MS" w:cs="Arial Unicode MS"/>
          <w:b/>
        </w:rPr>
        <w:t>EPE has been</w:t>
      </w:r>
      <w:r w:rsidRPr="00CE47DE">
        <w:rPr>
          <w:rFonts w:eastAsia="Arial Unicode MS" w:cs="Arial Unicode MS"/>
          <w:b/>
        </w:rPr>
        <w:t xml:space="preserve"> connecte</w:t>
      </w:r>
      <w:r w:rsidR="008E46FC">
        <w:rPr>
          <w:rFonts w:eastAsia="Arial Unicode MS" w:cs="Arial Unicode MS"/>
          <w:b/>
        </w:rPr>
        <w:t>d to the quality of nursing</w:t>
      </w:r>
      <w:r w:rsidR="008E6A2F">
        <w:rPr>
          <w:rFonts w:eastAsia="Arial Unicode MS" w:cs="Arial Unicode MS"/>
          <w:b/>
        </w:rPr>
        <w:t xml:space="preserve"> care</w:t>
      </w:r>
      <w:r w:rsidRPr="00CE47DE">
        <w:rPr>
          <w:rFonts w:eastAsia="Arial Unicode MS" w:cs="Arial Unicode MS"/>
          <w:b/>
        </w:rPr>
        <w:t xml:space="preserve"> </w:t>
      </w:r>
      <w:r w:rsidR="00154034">
        <w:rPr>
          <w:rFonts w:eastAsia="Arial Unicode MS" w:cs="Arial Unicode MS"/>
          <w:b/>
        </w:rPr>
        <w:fldChar w:fldCharType="begin" w:fldLock="1"/>
      </w:r>
      <w:r w:rsidR="00CD1888">
        <w:rPr>
          <w:rFonts w:eastAsia="Arial Unicode MS" w:cs="Arial Unicode MS"/>
          <w:b/>
        </w:rPr>
        <w:instrText>ADDIN CSL_CITATION { "citationItems" : [ { "id" : "ITEM-1", "itemData" : { "DOI" : "10.1111/ijn.12277", "ISSN" : "13227114", "PMID" : "24689487", "abstract" : "The main purpose of this study was to evaluate and analyse the connection between the level of quality of nursing care and knowledge received by patients (N = 266, n = 226), response rate was 85%. The data were collected using two structured instruments: one measuring the quality of nursing care experienced by patients (The Good Nursing Care Scale, GNCS) and one measuring the received knowledge of hospital patients (RKHP). The data were collected at one (out of five) Finnish university hospitals, in all medical wards during 5 weeks in 2009. A clear association between the level of the quality of nursing care and the level of received knowledge was found: on the total level of instruments, correlation was strong (r = 0.705). Support of empowerment (GNCS) had statistically significant strong correlation between biophysiological knowledge (RKHP), (r = 0.718), and experiential knowledge (r = 0.633), (P \u2264 0.01). Furthermore, there was a strong correlation between nursing activities and biophysiological knowledge (r = 0.637). Higher age, sufficient advance information and better self-perceived health status were associated both with the level of the quality of nursing care and level of received knowledge. In the future, a special attention should be paid to the sufficient information for patients before their hospital stays.", "author" : [ { "dropping-particle" : "", "family" : "Leino-Kilpi", "given" : "Helena", "non-dropping-particle" : "", "parse-names" : false, "suffix" : "" }, { "dropping-particle" : "", "family" : "Gr\u00f6ndahl", "given" : "Weronica", "non-dropping-particle" : "", "parse-names" : false, "suffix" : "" }, { "dropping-particle" : "", "family" : "Pekonen", "given" : "Arja", "non-dropping-particle" : "", "parse-names" : false, "suffix" : "" }, { "dropping-particle" : "", "family" : "Katajisto", "given" : "Jouko", "non-dropping-particle" : "", "parse-names" : false, "suffix" : "" }, { "dropping-particle" : "", "family" : "Suhonen", "given" : "Riitta", "non-dropping-particle" : "", "parse-names" : false, "suffix" : "" }, { "dropping-particle" : "", "family" : "Valkeap\u00e4\u00e4", "given" : "Kirsi", "non-dropping-particle" : "", "parse-names" : false, "suffix" : "" }, { "dropping-particle" : "", "family" : "Virtanen", "given" : "Heli", "non-dropping-particle" : "", "parse-names" : false, "suffix" : "" }, { "dropping-particle" : "", "family" : "Salanter\u00e4", "given" : "Sanna", "non-dropping-particle" : "", "parse-names" : false, "suffix" : "" } ], "container-title" : "International Journal of Nursing Practice", "id" : "ITEM-1", "issue" : "6", "issued" : { "date-parts" : [ [ "2015", "4", "1" ] ] }, "page" : "689-698", "title" : "Knowledge received by hospital patients-a factor connected with the patient-centred quality of nursing care", "type" : "article-journal", "volume" : "21" }, "uris" : [ "http://www.mendeley.com/documents/?uuid=089b0f46-a3d3-4ef2-943e-d04d0020759b" ] } ], "mendeley" : { "formattedCitation" : "[36]", "plainTextFormattedCitation" : "[36]", "previouslyFormattedCitation" : "[36]" }, "properties" : { "noteIndex" : 0 }, "schema" : "https://github.com/citation-style-language/schema/raw/master/csl-citation.json" }</w:instrText>
      </w:r>
      <w:r w:rsidR="00154034">
        <w:rPr>
          <w:rFonts w:eastAsia="Arial Unicode MS" w:cs="Arial Unicode MS"/>
          <w:b/>
        </w:rPr>
        <w:fldChar w:fldCharType="separate"/>
      </w:r>
      <w:r w:rsidR="004A0CB7" w:rsidRPr="004A0CB7">
        <w:rPr>
          <w:rFonts w:eastAsia="Arial Unicode MS" w:cs="Arial Unicode MS"/>
          <w:noProof/>
        </w:rPr>
        <w:t>[36]</w:t>
      </w:r>
      <w:r w:rsidR="00154034">
        <w:rPr>
          <w:rFonts w:eastAsia="Arial Unicode MS" w:cs="Arial Unicode MS"/>
          <w:b/>
        </w:rPr>
        <w:fldChar w:fldCharType="end"/>
      </w:r>
      <w:r w:rsidRPr="00CE47DE">
        <w:rPr>
          <w:rFonts w:eastAsia="Arial Unicode MS" w:cs="Arial Unicode MS"/>
          <w:b/>
        </w:rPr>
        <w:t xml:space="preserve">. </w:t>
      </w:r>
    </w:p>
    <w:p w14:paraId="7AC73165" w14:textId="77777777" w:rsidR="000345FF" w:rsidRPr="00CE47DE" w:rsidRDefault="000345FF" w:rsidP="00A4263F">
      <w:pPr>
        <w:spacing w:line="480" w:lineRule="auto"/>
        <w:rPr>
          <w:rFonts w:eastAsia="Arial Unicode MS" w:cs="Arial Unicode MS"/>
          <w:b/>
        </w:rPr>
      </w:pPr>
    </w:p>
    <w:p w14:paraId="2BFBCF91" w14:textId="0D10C7E4" w:rsidR="00EE08FA" w:rsidRPr="00CE47DE" w:rsidRDefault="000345FF" w:rsidP="00A4263F">
      <w:pPr>
        <w:spacing w:line="480" w:lineRule="auto"/>
        <w:rPr>
          <w:rFonts w:eastAsia="Arial Unicode MS" w:cs="Arial Unicode MS"/>
          <w:b/>
        </w:rPr>
      </w:pPr>
      <w:r w:rsidRPr="00CE47DE">
        <w:rPr>
          <w:rFonts w:eastAsia="Arial Unicode MS" w:cs="Arial Unicode MS"/>
          <w:b/>
        </w:rPr>
        <w:t xml:space="preserve">In the present study, the preoperative </w:t>
      </w:r>
      <w:r w:rsidR="00EE08FA" w:rsidRPr="00CE47DE">
        <w:rPr>
          <w:rFonts w:eastAsia="Arial Unicode MS" w:cs="Arial Unicode MS"/>
          <w:b/>
        </w:rPr>
        <w:t>Knowledge Test Feedback</w:t>
      </w:r>
      <w:r w:rsidRPr="00CE47DE">
        <w:rPr>
          <w:rFonts w:eastAsia="Arial Unicode MS" w:cs="Arial Unicode MS"/>
          <w:b/>
        </w:rPr>
        <w:t xml:space="preserve"> </w:t>
      </w:r>
      <w:r w:rsidR="00EE08FA" w:rsidRPr="00CE47DE">
        <w:rPr>
          <w:rFonts w:eastAsia="Arial Unicode MS" w:cs="Arial Unicode MS"/>
          <w:b/>
        </w:rPr>
        <w:t>I</w:t>
      </w:r>
      <w:r w:rsidRPr="00CE47DE">
        <w:rPr>
          <w:rFonts w:eastAsia="Arial Unicode MS" w:cs="Arial Unicode MS"/>
          <w:b/>
        </w:rPr>
        <w:t xml:space="preserve">ntervention (KTFI) consisted of </w:t>
      </w:r>
      <w:r w:rsidR="005A54D7">
        <w:rPr>
          <w:rFonts w:eastAsia="Arial Unicode MS" w:cs="Arial Unicode MS"/>
          <w:b/>
        </w:rPr>
        <w:t>an empowering telephone discourse based on a specially designed knowledge test</w:t>
      </w:r>
      <w:r w:rsidR="00EE08FA" w:rsidRPr="00973313">
        <w:rPr>
          <w:rFonts w:eastAsia="Arial Unicode MS" w:cs="Arial Unicode MS"/>
          <w:b/>
        </w:rPr>
        <w:t xml:space="preserve">. </w:t>
      </w:r>
      <w:r w:rsidR="00EE08FA" w:rsidRPr="00CE47DE">
        <w:rPr>
          <w:rFonts w:eastAsia="Arial Unicode MS" w:cs="Arial Unicode MS"/>
          <w:b/>
        </w:rPr>
        <w:t xml:space="preserve">Feedback plays a fundamental role in empowering discourse, as it provides the patients with an understanding of their knowledge level, and demonstrates the existing knowledge gaps, thus directing future learning </w:t>
      </w:r>
      <w:r w:rsidR="00973313">
        <w:rPr>
          <w:rFonts w:eastAsia="Arial Unicode MS" w:cs="Arial Unicode MS"/>
          <w:b/>
        </w:rPr>
        <w:fldChar w:fldCharType="begin" w:fldLock="1"/>
      </w:r>
      <w:r w:rsidR="0068258A">
        <w:rPr>
          <w:rFonts w:eastAsia="Arial Unicode MS" w:cs="Arial Unicode MS"/>
          <w:b/>
        </w:rPr>
        <w:instrText>ADDIN CSL_CITATION { "citationItems" : [ { "id" : "ITEM-1", "itemData" : { "author" : [ { "dropping-particle" : "", "family" : "Hattie", "given" : "John", "non-dropping-particle" : "", "parse-names" : false, "suffix" : "" }, { "dropping-particle" : "", "family" : "Timperley", "given" : "Helen", "non-dropping-particle" : "", "parse-names" : false, "suffix" : "" } ], "container-title" : "Review of Educational Research", "id" : "ITEM-1", "issue" : "1", "issued" : { "date-parts" : [ [ "2007" ] ] }, "page" : "81-112", "title" : "The Power of Feedback", "type" : "article-journal", "volume" : "77" }, "uris" : [ "http://www.mendeley.com/documents/?uuid=dd4d4153-7d6d-4de1-a321-6c6330720ce3" ] }, { "id" : "ITEM-2", "itemData" : { "DOI" : "10.1016/j.pec.2006.10.011", "ISBN" : "0738-3991", "ISSN" : "07383991", "PMID" : "17161934", "abstract" : "Objective: To determine whether it is possible to increase patients' knowledge and certainty about care-related issues, to reach a more empowering learning experience and to exercise a more positive impact on selected clinical outcomes by means of additional preadmission education (education using the concept map method added to standard preadmission education) than by means of standard preadmission education (written educational material with non-systematic oral education). Methods: Elective hip arthroplasty patients were randomized into group A (n = 62), who received preadmission education using the concept map method with written educational material; and group B (n = 61), who received the written educational material and non-systematic oral education. Data were collected from both groups 4 weeks prior to hospital admission, at admission and at discharge using questionnaires. Results: In the first post-test at admission, group A had significantly better knowledge and certainty of care-related issues than group B. Group A also reported a significantly more positive learning experience than patients in group B. In the second post-test at discharge, patients in group A still had better knowledge and certainty of care-related issues than patients in group B. Conclusion: Preadmission education using the concept map method and written educational material seems to yield better learning results than the use of written educational material with non-systematic oral education. Practice implications: Empowering preadmission education using the concept map method is beneficial for patients. \u00a9 2006 Elsevier Ireland Ltd. All rights reserved.", "author" : [ { "dropping-particle" : "", "family" : "Johansson", "given" : "Kirsi", "non-dropping-particle" : "", "parse-names" : false, "suffix" : "" }, { "dropping-particle" : "", "family" : "Salanter\u00e4", "given" : "Sanna", "non-dropping-particle" : "", "parse-names" : false, "suffix" : "" }, { "dropping-particle" : "", "family" : "Katajisto", "given" : "Jouko", "non-dropping-particle" : "", "parse-names" : false, "suffix" : "" } ], "container-title" : "Patient Education and Counseling", "id" : "ITEM-2", "issue" : "1", "issued" : { "date-parts" : [ [ "2007" ] ] }, "page" : "84-91", "title" : "Empowering orthopaedic patients through preadmission education: Results from a clinical study", "type" : "article-journal", "volume" : "66" }, "uris" : [ "http://www.mendeley.com/documents/?uuid=0d646081-20dd-4fb7-9246-9db50992d6fe" ] } ], "mendeley" : { "formattedCitation" : "[35,37]", "plainTextFormattedCitation" : "[35,37]", "previouslyFormattedCitation" : "[35,37]" }, "properties" : { "noteIndex" : 0 }, "schema" : "https://github.com/citation-style-language/schema/raw/master/csl-citation.json" }</w:instrText>
      </w:r>
      <w:r w:rsidR="00973313">
        <w:rPr>
          <w:rFonts w:eastAsia="Arial Unicode MS" w:cs="Arial Unicode MS"/>
          <w:b/>
        </w:rPr>
        <w:fldChar w:fldCharType="separate"/>
      </w:r>
      <w:r w:rsidR="004A0CB7" w:rsidRPr="004A0CB7">
        <w:rPr>
          <w:rFonts w:eastAsia="Arial Unicode MS" w:cs="Arial Unicode MS"/>
          <w:noProof/>
        </w:rPr>
        <w:t>[35,37]</w:t>
      </w:r>
      <w:r w:rsidR="00973313">
        <w:rPr>
          <w:rFonts w:eastAsia="Arial Unicode MS" w:cs="Arial Unicode MS"/>
          <w:b/>
        </w:rPr>
        <w:fldChar w:fldCharType="end"/>
      </w:r>
      <w:r w:rsidR="00EE08FA" w:rsidRPr="00CE47DE">
        <w:rPr>
          <w:rFonts w:eastAsia="Arial Unicode MS" w:cs="Arial Unicode MS"/>
          <w:b/>
        </w:rPr>
        <w:t xml:space="preserve">. Moreover, feedback supports the educator in tailoring the teaching for the individual patient </w:t>
      </w:r>
      <w:r w:rsidR="00973313">
        <w:rPr>
          <w:rFonts w:eastAsia="Arial Unicode MS" w:cs="Arial Unicode MS"/>
          <w:b/>
        </w:rPr>
        <w:fldChar w:fldCharType="begin" w:fldLock="1"/>
      </w:r>
      <w:r w:rsidR="0068258A">
        <w:rPr>
          <w:rFonts w:eastAsia="Arial Unicode MS" w:cs="Arial Unicode MS"/>
          <w:b/>
        </w:rPr>
        <w:instrText>ADDIN CSL_CITATION { "citationItems" : [ { "id" : "ITEM-1", "itemData" : { "DOI" : "10.1080/01421590031075", "ISSN" : "1466-187X", "PMID" : "11371292", "abstract" : "In undergraduate clinical courses, students are often dispersed over several teaching sites. Traditional curricula do not have mechanisms that allow monitoring of an individual student's educational progress or that of a small group of students at a teaching site relative to that of the whole group. To address these issues, we have developed a web-based formative assessment system that consists of knowledge tests based on multiple true-false questions. During the test, in addition to marking true or false against each question, students indicate their level of confidence (doubt or certainty) about each answer. The feedback consists of whether the answer is correct or incorrect and the confidence with which the student had responded. Feedback to students assesses their own performance in relation to that of their peers. Feedback to tutors provides anonymized information about the level of achievement of students at their teaching site relative to that of students at other sites. This systems has the tools that students can use to direct their learning and tutors can use to tailor their teaching in the light of the instantaneously available comparative feedback.", "author" : [ { "dropping-particle" : "", "family" : "Khan", "given" : "Khalid S", "non-dropping-particle" : "", "parse-names" : false, "suffix" : "" }, { "dropping-particle" : "", "family" : "Davies", "given" : "David A", "non-dropping-particle" : "", "parse-names" : false, "suffix" : "" }, { "dropping-particle" : "", "family" : "Gupta", "given" : "Janesh K", "non-dropping-particle" : "", "parse-names" : false, "suffix" : "" } ], "container-title" : "Medical teacher", "id" : "ITEM-1", "issue" : "2", "issued" : { "date-parts" : [ [ "2001" ] ] }, "page" : "158-163", "title" : "Formative self-assessment using multiple true-false questions on the Internet: feedback according to confidence about correct knowledge", "type" : "article-journal", "volume" : "23" }, "uris" : [ "http://www.mendeley.com/documents/?uuid=81cbdff5-84ae-48b4-b750-41ad0100c379" ] } ], "mendeley" : { "formattedCitation" : "[38]", "plainTextFormattedCitation" : "[38]", "previouslyFormattedCitation" : "[38]" }, "properties" : { "noteIndex" : 0 }, "schema" : "https://github.com/citation-style-language/schema/raw/master/csl-citation.json" }</w:instrText>
      </w:r>
      <w:r w:rsidR="00973313">
        <w:rPr>
          <w:rFonts w:eastAsia="Arial Unicode MS" w:cs="Arial Unicode MS"/>
          <w:b/>
        </w:rPr>
        <w:fldChar w:fldCharType="separate"/>
      </w:r>
      <w:r w:rsidR="004A0CB7" w:rsidRPr="004A0CB7">
        <w:rPr>
          <w:rFonts w:eastAsia="Arial Unicode MS" w:cs="Arial Unicode MS"/>
          <w:noProof/>
        </w:rPr>
        <w:t>[38]</w:t>
      </w:r>
      <w:r w:rsidR="00973313">
        <w:rPr>
          <w:rFonts w:eastAsia="Arial Unicode MS" w:cs="Arial Unicode MS"/>
          <w:b/>
        </w:rPr>
        <w:fldChar w:fldCharType="end"/>
      </w:r>
      <w:r w:rsidR="00EE08FA" w:rsidRPr="00CE47DE">
        <w:rPr>
          <w:rFonts w:eastAsia="Arial Unicode MS" w:cs="Arial Unicode MS"/>
          <w:b/>
        </w:rPr>
        <w:t>.</w:t>
      </w:r>
    </w:p>
    <w:p w14:paraId="75F81540" w14:textId="77777777" w:rsidR="00EE08FA" w:rsidRPr="00CE47DE" w:rsidRDefault="00EE08FA" w:rsidP="00A4263F">
      <w:pPr>
        <w:spacing w:line="480" w:lineRule="auto"/>
        <w:rPr>
          <w:rFonts w:eastAsia="Arial Unicode MS" w:cs="Arial Unicode MS"/>
          <w:b/>
        </w:rPr>
      </w:pPr>
    </w:p>
    <w:p w14:paraId="25EFF0CA" w14:textId="2936D565" w:rsidR="001B09B5" w:rsidRPr="00CE47DE" w:rsidRDefault="00E016C7" w:rsidP="001B09B5">
      <w:pPr>
        <w:spacing w:line="480" w:lineRule="auto"/>
        <w:rPr>
          <w:rFonts w:eastAsia="Arial Unicode MS" w:cs="Arial Unicode MS"/>
          <w:b/>
        </w:rPr>
      </w:pPr>
      <w:r w:rsidRPr="00CE47DE">
        <w:rPr>
          <w:rFonts w:eastAsia="Arial Unicode MS" w:cs="Arial Unicode MS"/>
          <w:b/>
        </w:rPr>
        <w:t>In an empowering discourse</w:t>
      </w:r>
      <w:r>
        <w:rPr>
          <w:rFonts w:eastAsia="Arial Unicode MS" w:cs="Arial Unicode MS"/>
          <w:b/>
        </w:rPr>
        <w:t>,</w:t>
      </w:r>
      <w:r w:rsidRPr="00CE47DE">
        <w:rPr>
          <w:rFonts w:eastAsia="Arial Unicode MS" w:cs="Arial Unicode MS"/>
          <w:b/>
        </w:rPr>
        <w:t xml:space="preserve"> both </w:t>
      </w:r>
      <w:r>
        <w:rPr>
          <w:rFonts w:eastAsia="Arial Unicode MS" w:cs="Arial Unicode MS"/>
          <w:b/>
        </w:rPr>
        <w:t xml:space="preserve">the educator and the </w:t>
      </w:r>
      <w:r w:rsidRPr="00CE47DE">
        <w:rPr>
          <w:rFonts w:eastAsia="Arial Unicode MS" w:cs="Arial Unicode MS"/>
          <w:b/>
        </w:rPr>
        <w:t>patient ha</w:t>
      </w:r>
      <w:r>
        <w:rPr>
          <w:rFonts w:eastAsia="Arial Unicode MS" w:cs="Arial Unicode MS"/>
          <w:b/>
        </w:rPr>
        <w:t>ve an</w:t>
      </w:r>
      <w:r w:rsidRPr="00CE47DE">
        <w:rPr>
          <w:rFonts w:eastAsia="Arial Unicode MS" w:cs="Arial Unicode MS"/>
          <w:b/>
        </w:rPr>
        <w:t xml:space="preserve"> essential </w:t>
      </w:r>
      <w:r>
        <w:rPr>
          <w:rFonts w:eastAsia="Arial Unicode MS" w:cs="Arial Unicode MS"/>
          <w:b/>
        </w:rPr>
        <w:t xml:space="preserve">role in bringing their own expertise </w:t>
      </w:r>
      <w:r w:rsidRPr="00CE47DE">
        <w:rPr>
          <w:rFonts w:eastAsia="Arial Unicode MS" w:cs="Arial Unicode MS"/>
          <w:b/>
        </w:rPr>
        <w:t>to the discourse.</w:t>
      </w:r>
      <w:r>
        <w:rPr>
          <w:rFonts w:eastAsia="Arial Unicode MS" w:cs="Arial Unicode MS"/>
          <w:b/>
        </w:rPr>
        <w:t xml:space="preserve"> </w:t>
      </w:r>
      <w:r w:rsidR="003979E6" w:rsidRPr="00CE47DE">
        <w:rPr>
          <w:rFonts w:eastAsia="Arial Unicode MS" w:cs="Arial Unicode MS"/>
          <w:b/>
        </w:rPr>
        <w:t>The empowering discourse consist of three phases</w:t>
      </w:r>
      <w:r w:rsidR="00210D33" w:rsidRPr="00CE47DE">
        <w:rPr>
          <w:rFonts w:eastAsia="Arial Unicode MS" w:cs="Arial Unicode MS"/>
          <w:b/>
        </w:rPr>
        <w:t>:</w:t>
      </w:r>
      <w:r w:rsidR="003979E6" w:rsidRPr="00CE47DE">
        <w:rPr>
          <w:rFonts w:eastAsia="Arial Unicode MS" w:cs="Arial Unicode MS"/>
          <w:b/>
        </w:rPr>
        <w:t xml:space="preserve"> (1) initiation, (2) progression, and (3) </w:t>
      </w:r>
      <w:r w:rsidR="004D0487" w:rsidRPr="00CE47DE">
        <w:rPr>
          <w:rFonts w:eastAsia="Arial Unicode MS" w:cs="Arial Unicode MS"/>
          <w:b/>
        </w:rPr>
        <w:t>conclusion</w:t>
      </w:r>
      <w:r w:rsidR="004903F5" w:rsidRPr="00CE47DE">
        <w:rPr>
          <w:rFonts w:eastAsia="Arial Unicode MS" w:cs="Arial Unicode MS"/>
          <w:b/>
        </w:rPr>
        <w:t xml:space="preserve">. In the initiation phase, the aim is </w:t>
      </w:r>
      <w:r w:rsidR="005A54D7">
        <w:rPr>
          <w:rFonts w:eastAsia="Arial Unicode MS" w:cs="Arial Unicode MS"/>
          <w:b/>
        </w:rPr>
        <w:t>to create a</w:t>
      </w:r>
      <w:r w:rsidR="004903F5" w:rsidRPr="00CE47DE">
        <w:rPr>
          <w:rFonts w:eastAsia="Arial Unicode MS" w:cs="Arial Unicode MS"/>
          <w:b/>
        </w:rPr>
        <w:t xml:space="preserve"> positive and respectful atmos</w:t>
      </w:r>
      <w:r w:rsidR="00A71AE1">
        <w:rPr>
          <w:rFonts w:eastAsia="Arial Unicode MS" w:cs="Arial Unicode MS"/>
          <w:b/>
        </w:rPr>
        <w:t>phere</w:t>
      </w:r>
      <w:r w:rsidR="005A54D7">
        <w:rPr>
          <w:rFonts w:eastAsia="Arial Unicode MS" w:cs="Arial Unicode MS"/>
          <w:b/>
        </w:rPr>
        <w:t xml:space="preserve"> by</w:t>
      </w:r>
      <w:r w:rsidR="00A71AE1">
        <w:rPr>
          <w:rFonts w:eastAsia="Arial Unicode MS" w:cs="Arial Unicode MS"/>
          <w:b/>
        </w:rPr>
        <w:t xml:space="preserve"> </w:t>
      </w:r>
      <w:r w:rsidR="005A54D7">
        <w:rPr>
          <w:rFonts w:eastAsia="Arial Unicode MS" w:cs="Arial Unicode MS"/>
          <w:b/>
        </w:rPr>
        <w:t>equal participation and mutual understanding o</w:t>
      </w:r>
      <w:r w:rsidR="00CD7E28">
        <w:rPr>
          <w:rFonts w:eastAsia="Arial Unicode MS" w:cs="Arial Unicode MS"/>
          <w:b/>
        </w:rPr>
        <w:t>f</w:t>
      </w:r>
      <w:r w:rsidR="00A71AE1">
        <w:rPr>
          <w:rFonts w:eastAsia="Arial Unicode MS" w:cs="Arial Unicode MS"/>
          <w:b/>
        </w:rPr>
        <w:t xml:space="preserve"> the</w:t>
      </w:r>
      <w:r w:rsidR="004903F5" w:rsidRPr="00CE47DE">
        <w:rPr>
          <w:rFonts w:eastAsia="Arial Unicode MS" w:cs="Arial Unicode MS"/>
          <w:b/>
        </w:rPr>
        <w:t xml:space="preserve"> goal of the discourse.  The </w:t>
      </w:r>
      <w:r w:rsidR="000F6A14">
        <w:rPr>
          <w:rFonts w:eastAsia="Arial Unicode MS" w:cs="Arial Unicode MS"/>
          <w:b/>
        </w:rPr>
        <w:t>educator</w:t>
      </w:r>
      <w:r w:rsidR="004903F5" w:rsidRPr="00CE47DE">
        <w:rPr>
          <w:rFonts w:eastAsia="Arial Unicode MS" w:cs="Arial Unicode MS"/>
          <w:b/>
        </w:rPr>
        <w:t xml:space="preserve">’s role is </w:t>
      </w:r>
      <w:r w:rsidR="00A76B47">
        <w:rPr>
          <w:rFonts w:eastAsia="Arial Unicode MS" w:cs="Arial Unicode MS"/>
          <w:b/>
        </w:rPr>
        <w:t>essential as an initiator</w:t>
      </w:r>
      <w:r w:rsidR="004903F5" w:rsidRPr="00CE47DE">
        <w:rPr>
          <w:rFonts w:eastAsia="Arial Unicode MS" w:cs="Arial Unicode MS"/>
          <w:b/>
        </w:rPr>
        <w:t xml:space="preserve">. </w:t>
      </w:r>
      <w:r w:rsidR="00F833CD">
        <w:rPr>
          <w:rFonts w:eastAsia="Arial Unicode MS" w:cs="Arial Unicode MS"/>
          <w:b/>
        </w:rPr>
        <w:t>The progression phase starts</w:t>
      </w:r>
      <w:r w:rsidR="004903F5" w:rsidRPr="00CE47DE">
        <w:rPr>
          <w:rFonts w:eastAsia="Arial Unicode MS" w:cs="Arial Unicode MS"/>
          <w:b/>
        </w:rPr>
        <w:t xml:space="preserve"> with assessment </w:t>
      </w:r>
      <w:r w:rsidR="008E6A2F">
        <w:rPr>
          <w:rFonts w:eastAsia="Arial Unicode MS" w:cs="Arial Unicode MS"/>
          <w:b/>
        </w:rPr>
        <w:t xml:space="preserve">of </w:t>
      </w:r>
      <w:r w:rsidR="00CD7E28">
        <w:rPr>
          <w:rFonts w:eastAsia="Arial Unicode MS" w:cs="Arial Unicode MS"/>
          <w:b/>
        </w:rPr>
        <w:t>patient’s</w:t>
      </w:r>
      <w:r w:rsidR="004903F5" w:rsidRPr="00CE47DE">
        <w:rPr>
          <w:rFonts w:eastAsia="Arial Unicode MS" w:cs="Arial Unicode MS"/>
          <w:b/>
        </w:rPr>
        <w:t xml:space="preserve"> knowledge base, skills and expectation</w:t>
      </w:r>
      <w:r w:rsidR="00CD7E28">
        <w:rPr>
          <w:rFonts w:eastAsia="Arial Unicode MS" w:cs="Arial Unicode MS"/>
          <w:b/>
        </w:rPr>
        <w:t>s</w:t>
      </w:r>
      <w:r w:rsidR="004903F5" w:rsidRPr="00CE47DE">
        <w:rPr>
          <w:rFonts w:eastAsia="Arial Unicode MS" w:cs="Arial Unicode MS"/>
          <w:b/>
        </w:rPr>
        <w:t xml:space="preserve">. </w:t>
      </w:r>
      <w:r w:rsidR="00CD7E28">
        <w:rPr>
          <w:rFonts w:eastAsia="Arial Unicode MS" w:cs="Arial Unicode MS"/>
          <w:b/>
        </w:rPr>
        <w:t>In the progression phase, the educator invite</w:t>
      </w:r>
      <w:r>
        <w:rPr>
          <w:rFonts w:eastAsia="Arial Unicode MS" w:cs="Arial Unicode MS"/>
          <w:b/>
        </w:rPr>
        <w:t>s the</w:t>
      </w:r>
      <w:r w:rsidR="00CD7E28">
        <w:rPr>
          <w:rFonts w:eastAsia="Arial Unicode MS" w:cs="Arial Unicode MS"/>
          <w:b/>
        </w:rPr>
        <w:t xml:space="preserve"> patient</w:t>
      </w:r>
      <w:r w:rsidR="004903F5" w:rsidRPr="00CE47DE">
        <w:rPr>
          <w:rFonts w:eastAsia="Arial Unicode MS" w:cs="Arial Unicode MS"/>
          <w:b/>
        </w:rPr>
        <w:t xml:space="preserve"> to participate in decision-making</w:t>
      </w:r>
      <w:r>
        <w:rPr>
          <w:rFonts w:eastAsia="Arial Unicode MS" w:cs="Arial Unicode MS"/>
          <w:b/>
        </w:rPr>
        <w:t xml:space="preserve"> with own interpretations of the issues in question</w:t>
      </w:r>
      <w:r w:rsidR="00627CF0" w:rsidRPr="00CE47DE">
        <w:rPr>
          <w:rFonts w:eastAsia="Arial Unicode MS" w:cs="Arial Unicode MS"/>
          <w:b/>
        </w:rPr>
        <w:t xml:space="preserve">. </w:t>
      </w:r>
      <w:r w:rsidR="004D0487" w:rsidRPr="00CE47DE">
        <w:rPr>
          <w:rFonts w:eastAsia="Arial Unicode MS" w:cs="Arial Unicode MS"/>
          <w:b/>
        </w:rPr>
        <w:t xml:space="preserve">In the conclusion phase, the </w:t>
      </w:r>
      <w:r>
        <w:rPr>
          <w:rFonts w:eastAsia="Arial Unicode MS" w:cs="Arial Unicode MS"/>
          <w:b/>
        </w:rPr>
        <w:t xml:space="preserve">initial </w:t>
      </w:r>
      <w:r w:rsidR="004D0487" w:rsidRPr="00CE47DE">
        <w:rPr>
          <w:rFonts w:eastAsia="Arial Unicode MS" w:cs="Arial Unicode MS"/>
          <w:b/>
        </w:rPr>
        <w:t xml:space="preserve">goals </w:t>
      </w:r>
      <w:proofErr w:type="gramStart"/>
      <w:r w:rsidR="00CD7E28">
        <w:rPr>
          <w:rFonts w:eastAsia="Arial Unicode MS" w:cs="Arial Unicode MS"/>
          <w:b/>
        </w:rPr>
        <w:t>are revised</w:t>
      </w:r>
      <w:proofErr w:type="gramEnd"/>
      <w:r w:rsidR="00CD7E28">
        <w:rPr>
          <w:rFonts w:eastAsia="Arial Unicode MS" w:cs="Arial Unicode MS"/>
          <w:b/>
        </w:rPr>
        <w:t xml:space="preserve"> and the results are</w:t>
      </w:r>
      <w:r w:rsidR="004D0487" w:rsidRPr="00CE47DE">
        <w:rPr>
          <w:rFonts w:eastAsia="Arial Unicode MS" w:cs="Arial Unicode MS"/>
          <w:b/>
        </w:rPr>
        <w:t xml:space="preserve"> summari</w:t>
      </w:r>
      <w:r w:rsidR="00CE47DE">
        <w:rPr>
          <w:rFonts w:eastAsia="Arial Unicode MS" w:cs="Arial Unicode MS"/>
          <w:b/>
        </w:rPr>
        <w:t>s</w:t>
      </w:r>
      <w:r w:rsidR="004D0487" w:rsidRPr="00CE47DE">
        <w:rPr>
          <w:rFonts w:eastAsia="Arial Unicode MS" w:cs="Arial Unicode MS"/>
          <w:b/>
        </w:rPr>
        <w:t xml:space="preserve">ed. </w:t>
      </w:r>
      <w:r w:rsidR="00973313">
        <w:rPr>
          <w:rFonts w:eastAsia="Arial Unicode MS" w:cs="Arial Unicode MS"/>
          <w:b/>
        </w:rPr>
        <w:fldChar w:fldCharType="begin" w:fldLock="1"/>
      </w:r>
      <w:r w:rsidR="00CD1888">
        <w:rPr>
          <w:rFonts w:eastAsia="Arial Unicode MS" w:cs="Arial Unicode MS"/>
          <w:b/>
        </w:rPr>
        <w:instrText>ADDIN CSL_CITATION { "citationItems" : [ { "id" : "ITEM-1", "itemData" : { "DOI" : "10.1016/j.pec.2006.12.010", "ISSN" : "0738-3991", "PMID" : "17349769", "abstract" : "OBJECTIVE: A systematic literature review, using a metasummary technique for qualitative studies (n=15) was conducted to describe the nature of empowering discourses between patient and nurse. METHODS: Computerised searches from 1995 to October 2005 were conducted on the Ovid Medline database using the keywords empower(*), power(*), resource(*), participat(*), facilitat(*), negotiat(*), communicat(*), interact(*), dialog(*), discours(*), discuss(*), encount(*), conversat(*) and 'nurse-patient relations'. All statements concerning empowering discourse were integrated into 29 abstracted findings. Frequency and intensity effect sizes were then calculated. RESULTS: Empowering discourses vary from study to study. Analysed as a whole, an empowering discourse has specific characteristics and structure. Both patients and nurses have essential roles within this type of discourse and their relationship is characterized by an appreciation of each other's expertise within these roles. CONCLUSION: The results of this review show empowerment during discourse between patient and nurse has a complex and multifaceted but analysable nature. More research is needed to find systematic methods of empowering discourse. PRACTICE IMPLICATIONS: The results of this study increase nurses' understanding of empowering methods in patient education identifying ways of facilitating patient empowerment.", "author" : [ { "dropping-particle" : "", "family" : "Virtanen", "given" : "Heli", "non-dropping-particle" : "", "parse-names" : false, "suffix" : "" }, { "dropping-particle" : "", "family" : "Leino-Kilpi", "given" : "Helena", "non-dropping-particle" : "", "parse-names" : false, "suffix" : "" }, { "dropping-particle" : "", "family" : "Salanter\u00e4", "given" : "Sanna", "non-dropping-particle" : "", "parse-names" : false, "suffix" : "" } ], "container-title" : "Patient education and counseling", "id" : "ITEM-1", "issue" : "2", "issued" : { "date-parts" : [ [ "2007", "5" ] ] }, "page" : "140-146", "title" : "Empowering discourse in patient education", "type" : "article-journal", "volume" : "66" }, "uris" : [ "http://www.mendeley.com/documents/?uuid=51fdf931-4b77-4fed-bd4c-c762ab71364f" ] }, { "id" : "ITEM-2", "itemData" : { "DOI" : "10.1097/01.NCN.0000432119.56581.24", "ISSN" : "1538-9774", "PMID" : "23958965", "abstract" : "Nurses find empowering discourse as a patient education intervention demanding, so using methods that support the constructive learning of empowering discourse during their education would be helpful. The aim of this descriptive, comparative study was to evaluate student control when using a computer simulation program that facilitates learning about empowering discourse. The study hypothesis was as follows: Students can control the use of an empowering discourse computer simulation program regardless of their sociodemographic background and study orientation. In the study, 69 students completed an educational session culminating in a computer simulation in which the students responded to a simulated patient's statements in their choice of six content areas in three sections by using a multiple-choice method, an open-ended method, or both methods. The students used all the options in the program despite their background and study orientations. The findings provided evidence that nursing students had control over the use of the computer simulation program to manage their own learning and were able to construct personal knowledge about empowering discourse using the computer simulation regardless of their study orientations.", "author" : [ { "dropping-particle" : "", "family" : "Virtanen", "given" : "Heli", "non-dropping-particle" : "", "parse-names" : false, "suffix" : "" }, { "dropping-particle" : "", "family" : "Leino-Kilpi", "given" : "Helena", "non-dropping-particle" : "", "parse-names" : false, "suffix" : "" }, { "dropping-particle" : "", "family" : "Leinonen", "given" : "Keijo", "non-dropping-particle" : "", "parse-names" : false, "suffix" : "" }, { "dropping-particle" : "", "family" : "Puukka", "given" : "Pauli", "non-dropping-particle" : "", "parse-names" : false, "suffix" : "" }, { "dropping-particle" : "", "family" : "W\u00f6nts\u00f6", "given" : "Jarkko", "non-dropping-particle" : "", "parse-names" : false, "suffix" : "" }, { "dropping-particle" : "", "family" : "Salanter\u00e4", "given" : "Sanna", "non-dropping-particle" : "", "parse-names" : false, "suffix" : "" } ], "container-title" : "Computers, informatics, nursing : CIN", "id" : "ITEM-2", "issue" : "10", "issued" : { "date-parts" : [ [ "2013" ] ] }, "page" : "512-522", "title" : "Nursing student control over using a computer simulation program about empowering discourse", "type" : "article-journal", "volume" : "31" }, "uris" : [ "http://www.mendeley.com/documents/?uuid=1ecc6426-0ed9-4103-81cb-665b76510b6e" ] } ], "mendeley" : { "formattedCitation" : "[39,40]", "plainTextFormattedCitation" : "[39,40]", "previouslyFormattedCitation" : "[39,40]" }, "properties" : { "noteIndex" : 0 }, "schema" : "https://github.com/citation-style-language/schema/raw/master/csl-citation.json" }</w:instrText>
      </w:r>
      <w:r w:rsidR="00973313">
        <w:rPr>
          <w:rFonts w:eastAsia="Arial Unicode MS" w:cs="Arial Unicode MS"/>
          <w:b/>
        </w:rPr>
        <w:fldChar w:fldCharType="separate"/>
      </w:r>
      <w:r w:rsidR="004A0CB7" w:rsidRPr="004A0CB7">
        <w:rPr>
          <w:rFonts w:eastAsia="Arial Unicode MS" w:cs="Arial Unicode MS"/>
          <w:noProof/>
        </w:rPr>
        <w:t>[39,40]</w:t>
      </w:r>
      <w:r w:rsidR="00973313">
        <w:rPr>
          <w:rFonts w:eastAsia="Arial Unicode MS" w:cs="Arial Unicode MS"/>
          <w:b/>
        </w:rPr>
        <w:fldChar w:fldCharType="end"/>
      </w:r>
      <w:r w:rsidR="00973313">
        <w:rPr>
          <w:rFonts w:eastAsia="Arial Unicode MS" w:cs="Arial Unicode MS"/>
          <w:b/>
        </w:rPr>
        <w:t>.</w:t>
      </w:r>
      <w:r w:rsidR="0067422D">
        <w:rPr>
          <w:rFonts w:eastAsia="Arial Unicode MS" w:cs="Arial Unicode MS"/>
          <w:b/>
        </w:rPr>
        <w:t xml:space="preserve"> </w:t>
      </w:r>
    </w:p>
    <w:p w14:paraId="06DA9F0C" w14:textId="77777777" w:rsidR="007473EA" w:rsidRPr="00CE47DE" w:rsidRDefault="007473EA" w:rsidP="00A4263F">
      <w:pPr>
        <w:spacing w:line="480" w:lineRule="auto"/>
        <w:rPr>
          <w:rFonts w:eastAsia="Arial Unicode MS" w:cs="Arial Unicode MS"/>
        </w:rPr>
      </w:pPr>
    </w:p>
    <w:p w14:paraId="072475F2" w14:textId="1E605A1D" w:rsidR="00B83F12" w:rsidRPr="00CE47DE" w:rsidRDefault="00AB20BE" w:rsidP="00A4263F">
      <w:pPr>
        <w:spacing w:line="480" w:lineRule="auto"/>
      </w:pPr>
      <w:r w:rsidRPr="00CE47DE">
        <w:t xml:space="preserve">We designed a randomized controlled trial to assess the impact of the Knowledge Test Feedback Intervention (KTFI) on patients´ knowledge level; the comparison was between an intervention </w:t>
      </w:r>
      <w:proofErr w:type="gramStart"/>
      <w:r w:rsidRPr="00CE47DE">
        <w:t>group</w:t>
      </w:r>
      <w:proofErr w:type="gramEnd"/>
      <w:r w:rsidRPr="00CE47DE">
        <w:t xml:space="preserve"> (IG) and a control group (CG). Further, we wanted to evaluate the feasibility of the KT</w:t>
      </w:r>
      <w:r w:rsidR="00EA51E4">
        <w:t>FI</w:t>
      </w:r>
      <w:r w:rsidRPr="00CE47DE">
        <w:t xml:space="preserve">. Our ultimate goal was to improve the </w:t>
      </w:r>
      <w:r w:rsidR="00EA51E4">
        <w:t>preoperative education of spine</w:t>
      </w:r>
      <w:r w:rsidRPr="00CE47DE">
        <w:t xml:space="preserve"> surgery patients.</w:t>
      </w:r>
    </w:p>
    <w:p w14:paraId="6C6B38ED" w14:textId="77777777" w:rsidR="00070924" w:rsidRPr="00CE47DE" w:rsidRDefault="00070924" w:rsidP="00A4263F">
      <w:pPr>
        <w:spacing w:line="480" w:lineRule="auto"/>
      </w:pPr>
    </w:p>
    <w:p w14:paraId="3BE934FC" w14:textId="77777777" w:rsidR="00070924" w:rsidRPr="00CE47DE" w:rsidRDefault="00070924" w:rsidP="00A4263F">
      <w:pPr>
        <w:spacing w:line="480" w:lineRule="auto"/>
      </w:pPr>
      <w:r w:rsidRPr="00CE47DE">
        <w:t>The research questions were as follows:</w:t>
      </w:r>
    </w:p>
    <w:p w14:paraId="7FF47406" w14:textId="18FE9E35" w:rsidR="00070924" w:rsidRPr="00CE47DE" w:rsidRDefault="008B2DD5" w:rsidP="00070924">
      <w:pPr>
        <w:pStyle w:val="ListParagraph"/>
        <w:numPr>
          <w:ilvl w:val="0"/>
          <w:numId w:val="14"/>
        </w:numPr>
        <w:spacing w:line="480" w:lineRule="auto"/>
      </w:pPr>
      <w:r w:rsidRPr="00CE47DE">
        <w:t>W</w:t>
      </w:r>
      <w:r w:rsidR="00FE45C0" w:rsidRPr="00CE47DE">
        <w:t>hat was the patient’s</w:t>
      </w:r>
      <w:r w:rsidRPr="00CE47DE">
        <w:t xml:space="preserve"> knowledge level at different </w:t>
      </w:r>
      <w:r w:rsidR="00AB20BE" w:rsidRPr="00CE47DE">
        <w:t>stages</w:t>
      </w:r>
      <w:r w:rsidR="00FE45C0" w:rsidRPr="00CE47DE">
        <w:t xml:space="preserve"> of the surgical process</w:t>
      </w:r>
      <w:r w:rsidR="00070924" w:rsidRPr="00CE47DE">
        <w:t>?</w:t>
      </w:r>
    </w:p>
    <w:p w14:paraId="3FD2AD9F" w14:textId="77777777" w:rsidR="00AB20BE" w:rsidRPr="00CE47DE" w:rsidRDefault="00AB20BE" w:rsidP="00AB20BE">
      <w:pPr>
        <w:pStyle w:val="ListParagraph"/>
        <w:numPr>
          <w:ilvl w:val="0"/>
          <w:numId w:val="14"/>
        </w:numPr>
        <w:spacing w:line="480" w:lineRule="auto"/>
      </w:pPr>
      <w:r w:rsidRPr="00CE47DE">
        <w:t>Was there a difference in the knowledge level between the study groups?</w:t>
      </w:r>
    </w:p>
    <w:p w14:paraId="3F6D56D0" w14:textId="105B93F1" w:rsidR="00C04D80" w:rsidRPr="00CE47DE" w:rsidRDefault="00AB20BE" w:rsidP="00AB20BE">
      <w:pPr>
        <w:pStyle w:val="ListParagraph"/>
        <w:numPr>
          <w:ilvl w:val="0"/>
          <w:numId w:val="14"/>
        </w:numPr>
        <w:spacing w:line="480" w:lineRule="auto"/>
      </w:pPr>
      <w:r w:rsidRPr="00CE47DE">
        <w:t>Was the educational intervention feasible from the patients´ perspective?</w:t>
      </w:r>
    </w:p>
    <w:p w14:paraId="1D1CF0B4" w14:textId="77777777" w:rsidR="00465BEB" w:rsidRPr="00CE47DE" w:rsidRDefault="00465BEB" w:rsidP="00465BEB">
      <w:pPr>
        <w:pStyle w:val="ListParagraph"/>
        <w:spacing w:line="480" w:lineRule="auto"/>
      </w:pPr>
    </w:p>
    <w:p w14:paraId="0BCBD000" w14:textId="6636D2D4" w:rsidR="002D2B4F" w:rsidRPr="00CE47DE" w:rsidRDefault="00465BEB" w:rsidP="00A4263F">
      <w:pPr>
        <w:spacing w:line="480" w:lineRule="auto"/>
      </w:pPr>
      <w:r w:rsidRPr="00CE47DE">
        <w:t>We set the</w:t>
      </w:r>
      <w:r w:rsidR="000A447A" w:rsidRPr="00CE47DE">
        <w:t xml:space="preserve"> f</w:t>
      </w:r>
      <w:r w:rsidRPr="00CE47DE">
        <w:t>ollowing hypothesis</w:t>
      </w:r>
      <w:r w:rsidR="002D2B4F" w:rsidRPr="00CE47DE">
        <w:t>:</w:t>
      </w:r>
      <w:r w:rsidR="00541F15" w:rsidRPr="00CE47DE">
        <w:t xml:space="preserve"> </w:t>
      </w:r>
    </w:p>
    <w:p w14:paraId="7ABAFDBF" w14:textId="49E9194E" w:rsidR="00D3727F" w:rsidRPr="00CE47DE" w:rsidRDefault="00C778A2" w:rsidP="00A4263F">
      <w:pPr>
        <w:spacing w:line="480" w:lineRule="auto"/>
      </w:pPr>
      <w:r w:rsidRPr="00CE47DE">
        <w:t xml:space="preserve">The </w:t>
      </w:r>
      <w:r w:rsidR="00465BEB" w:rsidRPr="00CE47DE">
        <w:t>KTFI increases</w:t>
      </w:r>
      <w:r w:rsidR="00FE45C0" w:rsidRPr="00CE47DE">
        <w:t xml:space="preserve"> </w:t>
      </w:r>
      <w:r w:rsidR="000A447A" w:rsidRPr="00CE47DE">
        <w:t xml:space="preserve">the patient’s knowledge level compared to </w:t>
      </w:r>
      <w:r w:rsidR="00465BEB" w:rsidRPr="00CE47DE">
        <w:t>routine</w:t>
      </w:r>
      <w:r w:rsidR="000A447A" w:rsidRPr="00CE47DE">
        <w:t xml:space="preserve"> preoperative education</w:t>
      </w:r>
      <w:r w:rsidRPr="00CE47DE">
        <w:t>.</w:t>
      </w:r>
    </w:p>
    <w:p w14:paraId="77818326" w14:textId="77777777" w:rsidR="001B45D7" w:rsidRPr="00CE47DE" w:rsidRDefault="001B45D7" w:rsidP="00A4263F">
      <w:pPr>
        <w:spacing w:line="480" w:lineRule="auto"/>
      </w:pPr>
    </w:p>
    <w:p w14:paraId="3E91300E" w14:textId="4C789849" w:rsidR="001B45D7" w:rsidRPr="00CE47DE" w:rsidRDefault="00A920F4" w:rsidP="00A4263F">
      <w:pPr>
        <w:spacing w:line="480" w:lineRule="auto"/>
        <w:rPr>
          <w:b/>
        </w:rPr>
      </w:pPr>
      <w:r w:rsidRPr="00CE47DE">
        <w:rPr>
          <w:b/>
        </w:rPr>
        <w:t xml:space="preserve">2. </w:t>
      </w:r>
      <w:r w:rsidR="001B45D7" w:rsidRPr="00CE47DE">
        <w:rPr>
          <w:b/>
        </w:rPr>
        <w:t>Methods</w:t>
      </w:r>
    </w:p>
    <w:p w14:paraId="084252BA" w14:textId="6F96A1C5" w:rsidR="00E80D1C" w:rsidRPr="00CE47DE" w:rsidRDefault="00E80D1C" w:rsidP="00A4263F">
      <w:pPr>
        <w:spacing w:line="480" w:lineRule="auto"/>
        <w:rPr>
          <w:i/>
        </w:rPr>
      </w:pPr>
      <w:r w:rsidRPr="00CE47DE">
        <w:rPr>
          <w:i/>
        </w:rPr>
        <w:lastRenderedPageBreak/>
        <w:t>2.</w:t>
      </w:r>
      <w:r w:rsidR="0061385C" w:rsidRPr="00CE47DE">
        <w:rPr>
          <w:i/>
        </w:rPr>
        <w:t>1</w:t>
      </w:r>
      <w:r w:rsidRPr="00CE47DE">
        <w:rPr>
          <w:i/>
        </w:rPr>
        <w:t>. Design</w:t>
      </w:r>
      <w:r w:rsidR="00780599" w:rsidRPr="00CE47DE">
        <w:rPr>
          <w:i/>
        </w:rPr>
        <w:t xml:space="preserve"> and settings</w:t>
      </w:r>
    </w:p>
    <w:p w14:paraId="68EDFFDD" w14:textId="5CADC6DC" w:rsidR="0039029B" w:rsidRPr="00CE47DE" w:rsidRDefault="001C0209" w:rsidP="00A4263F">
      <w:pPr>
        <w:spacing w:line="480" w:lineRule="auto"/>
      </w:pPr>
      <w:r w:rsidRPr="00CE47DE">
        <w:t>The present study was a</w:t>
      </w:r>
      <w:r w:rsidR="00C23C88" w:rsidRPr="00CE47DE">
        <w:t xml:space="preserve"> r</w:t>
      </w:r>
      <w:r w:rsidR="00E80D1C" w:rsidRPr="00CE47DE">
        <w:t xml:space="preserve">andomized controlled </w:t>
      </w:r>
      <w:r w:rsidR="00C23C88" w:rsidRPr="00CE47DE">
        <w:t xml:space="preserve">double-blinded </w:t>
      </w:r>
      <w:r w:rsidR="00BC6A61" w:rsidRPr="00CE47DE">
        <w:t xml:space="preserve">intervention </w:t>
      </w:r>
      <w:r w:rsidRPr="00CE47DE">
        <w:t>trial with</w:t>
      </w:r>
      <w:r w:rsidR="00BC6A61" w:rsidRPr="00CE47DE">
        <w:t xml:space="preserve"> a </w:t>
      </w:r>
      <w:r w:rsidR="00D826E3" w:rsidRPr="00CE47DE">
        <w:t>six</w:t>
      </w:r>
      <w:r w:rsidRPr="00CE47DE">
        <w:t>-</w:t>
      </w:r>
      <w:r w:rsidR="00E80D1C" w:rsidRPr="00CE47DE">
        <w:t>mo</w:t>
      </w:r>
      <w:r w:rsidR="00D826E3" w:rsidRPr="00CE47DE">
        <w:t>n</w:t>
      </w:r>
      <w:r w:rsidR="00E80D1C" w:rsidRPr="00CE47DE">
        <w:t>th foll</w:t>
      </w:r>
      <w:r w:rsidR="0035072F" w:rsidRPr="00CE47DE">
        <w:t>ow-up</w:t>
      </w:r>
      <w:r w:rsidR="00903243" w:rsidRPr="00CE47DE">
        <w:t xml:space="preserve"> (F</w:t>
      </w:r>
      <w:r w:rsidR="00EB33CC" w:rsidRPr="00CE47DE">
        <w:t>igure1)</w:t>
      </w:r>
      <w:r w:rsidRPr="00CE47DE">
        <w:t xml:space="preserve">. The </w:t>
      </w:r>
      <w:r w:rsidR="00084510" w:rsidRPr="00CE47DE">
        <w:t>data collection</w:t>
      </w:r>
      <w:r w:rsidR="00190326" w:rsidRPr="00CE47DE">
        <w:t xml:space="preserve"> </w:t>
      </w:r>
      <w:proofErr w:type="gramStart"/>
      <w:r w:rsidR="00190326" w:rsidRPr="00CE47DE">
        <w:t>was conduct</w:t>
      </w:r>
      <w:r w:rsidR="00667E29" w:rsidRPr="00CE47DE">
        <w:t>ed</w:t>
      </w:r>
      <w:proofErr w:type="gramEnd"/>
      <w:r w:rsidR="00667E29" w:rsidRPr="00CE47DE">
        <w:t xml:space="preserve"> from April 2011 to January</w:t>
      </w:r>
      <w:r w:rsidR="00780599" w:rsidRPr="00CE47DE">
        <w:t xml:space="preserve"> 201</w:t>
      </w:r>
      <w:r w:rsidR="00667E29" w:rsidRPr="00CE47DE">
        <w:t>3</w:t>
      </w:r>
      <w:r w:rsidR="00780599" w:rsidRPr="00CE47DE">
        <w:t xml:space="preserve"> </w:t>
      </w:r>
      <w:r w:rsidR="00D86B9F" w:rsidRPr="00CE47DE">
        <w:t xml:space="preserve">in </w:t>
      </w:r>
      <w:r w:rsidRPr="00CE47DE">
        <w:t xml:space="preserve">the spine department of an </w:t>
      </w:r>
      <w:r w:rsidR="0039029B" w:rsidRPr="00CE47DE">
        <w:t>orthopaedic</w:t>
      </w:r>
      <w:r w:rsidR="00BC6A61" w:rsidRPr="00CE47DE">
        <w:t xml:space="preserve"> </w:t>
      </w:r>
      <w:r w:rsidR="00293840" w:rsidRPr="00CE47DE">
        <w:t>hospital</w:t>
      </w:r>
      <w:r w:rsidR="00986293" w:rsidRPr="00CE47DE">
        <w:t xml:space="preserve"> </w:t>
      </w:r>
      <w:r w:rsidRPr="00CE47DE">
        <w:t>with approximately</w:t>
      </w:r>
      <w:r w:rsidR="00986293" w:rsidRPr="00CE47DE">
        <w:t xml:space="preserve"> </w:t>
      </w:r>
      <w:r w:rsidRPr="00CE47DE">
        <w:t>400</w:t>
      </w:r>
      <w:r w:rsidR="00986293" w:rsidRPr="00CE47DE">
        <w:t xml:space="preserve"> </w:t>
      </w:r>
      <w:r w:rsidRPr="00CE47DE">
        <w:rPr>
          <w:rFonts w:eastAsiaTheme="minorHAnsi"/>
          <w:lang w:eastAsia="en-US"/>
        </w:rPr>
        <w:t>spin</w:t>
      </w:r>
      <w:r w:rsidR="00C3667E" w:rsidRPr="00CE47DE">
        <w:rPr>
          <w:rFonts w:eastAsiaTheme="minorHAnsi"/>
          <w:lang w:eastAsia="en-US"/>
        </w:rPr>
        <w:t>al</w:t>
      </w:r>
      <w:r w:rsidRPr="00CE47DE">
        <w:rPr>
          <w:rFonts w:eastAsiaTheme="minorHAnsi"/>
          <w:lang w:eastAsia="en-US"/>
        </w:rPr>
        <w:t xml:space="preserve"> operations </w:t>
      </w:r>
      <w:r w:rsidR="006103CF" w:rsidRPr="00CE47DE">
        <w:rPr>
          <w:rFonts w:eastAsiaTheme="minorHAnsi"/>
          <w:lang w:eastAsia="en-US"/>
        </w:rPr>
        <w:t>per year</w:t>
      </w:r>
      <w:r w:rsidR="00986293" w:rsidRPr="00CE47DE">
        <w:t xml:space="preserve">. </w:t>
      </w:r>
    </w:p>
    <w:p w14:paraId="1CDF4E4A" w14:textId="77777777" w:rsidR="0039029B" w:rsidRPr="00CE47DE" w:rsidRDefault="0039029B" w:rsidP="00A4263F">
      <w:pPr>
        <w:spacing w:line="480" w:lineRule="auto"/>
      </w:pPr>
    </w:p>
    <w:p w14:paraId="489FDAA7" w14:textId="04423DCF" w:rsidR="009D06F1" w:rsidRPr="00CE47DE" w:rsidRDefault="009D06F1" w:rsidP="00A4263F">
      <w:pPr>
        <w:spacing w:line="480" w:lineRule="auto"/>
        <w:rPr>
          <w:i/>
        </w:rPr>
      </w:pPr>
      <w:r w:rsidRPr="00CE47DE">
        <w:rPr>
          <w:i/>
        </w:rPr>
        <w:t>2.</w:t>
      </w:r>
      <w:r w:rsidR="003322D8" w:rsidRPr="00CE47DE">
        <w:rPr>
          <w:i/>
        </w:rPr>
        <w:t>2</w:t>
      </w:r>
      <w:r w:rsidR="0061385C" w:rsidRPr="00CE47DE">
        <w:rPr>
          <w:i/>
        </w:rPr>
        <w:t>.</w:t>
      </w:r>
      <w:r w:rsidRPr="00CE47DE">
        <w:rPr>
          <w:i/>
        </w:rPr>
        <w:t xml:space="preserve"> Participants</w:t>
      </w:r>
      <w:r w:rsidR="00415565" w:rsidRPr="00CE47DE">
        <w:rPr>
          <w:i/>
        </w:rPr>
        <w:t xml:space="preserve"> and recruitment</w:t>
      </w:r>
    </w:p>
    <w:p w14:paraId="3EB406E4" w14:textId="2CF9E83E" w:rsidR="00465BEB" w:rsidRPr="00CE47DE" w:rsidRDefault="00465BEB" w:rsidP="00A4263F">
      <w:pPr>
        <w:spacing w:line="480" w:lineRule="auto"/>
        <w:jc w:val="both"/>
        <w:outlineLvl w:val="0"/>
      </w:pPr>
      <w:r w:rsidRPr="00CE47DE">
        <w:t xml:space="preserve">Adult patients undergoing surgery for spinal stenosis were eligible to participate in the study. Inclusion criteria </w:t>
      </w:r>
      <w:proofErr w:type="gramStart"/>
      <w:r w:rsidRPr="00CE47DE">
        <w:t>were:</w:t>
      </w:r>
      <w:proofErr w:type="gramEnd"/>
      <w:r w:rsidRPr="00CE47DE">
        <w:t xml:space="preserve"> willingness to participate, age 18 or older, sufficient understanding of the Finnish language, access to a telephone.</w:t>
      </w:r>
      <w:r w:rsidR="00EA51E4">
        <w:t xml:space="preserve"> Exclusion criteria </w:t>
      </w:r>
      <w:proofErr w:type="gramStart"/>
      <w:r w:rsidR="00EA51E4">
        <w:t>were:</w:t>
      </w:r>
      <w:proofErr w:type="gramEnd"/>
      <w:r w:rsidR="00EA51E4">
        <w:t xml:space="preserve"> spine</w:t>
      </w:r>
      <w:r w:rsidRPr="00CE47DE">
        <w:t xml:space="preserve"> surgery for some other indication, time from decision to surgery shorter than 4 weeks</w:t>
      </w:r>
      <w:r w:rsidR="00E07F29">
        <w:t xml:space="preserve">. </w:t>
      </w:r>
      <w:r w:rsidR="00E07F29" w:rsidRPr="00E07F29">
        <w:rPr>
          <w:b/>
        </w:rPr>
        <w:t>T</w:t>
      </w:r>
      <w:r w:rsidR="00EA51E4">
        <w:rPr>
          <w:b/>
        </w:rPr>
        <w:t>his t</w:t>
      </w:r>
      <w:r w:rsidR="00E07F29" w:rsidRPr="00E07F29">
        <w:rPr>
          <w:b/>
        </w:rPr>
        <w:t xml:space="preserve">ime limit </w:t>
      </w:r>
      <w:proofErr w:type="gramStart"/>
      <w:r w:rsidR="00E07F29" w:rsidRPr="00E07F29">
        <w:rPr>
          <w:b/>
        </w:rPr>
        <w:t>was chosen</w:t>
      </w:r>
      <w:proofErr w:type="gramEnd"/>
      <w:r w:rsidR="00E07F29" w:rsidRPr="00E07F29">
        <w:rPr>
          <w:b/>
        </w:rPr>
        <w:t xml:space="preserve"> to allow</w:t>
      </w:r>
      <w:r w:rsidR="00210D33" w:rsidRPr="00E07F29">
        <w:rPr>
          <w:b/>
        </w:rPr>
        <w:t xml:space="preserve"> </w:t>
      </w:r>
      <w:r w:rsidR="00EA51E4">
        <w:rPr>
          <w:b/>
        </w:rPr>
        <w:t xml:space="preserve">us enough </w:t>
      </w:r>
      <w:r w:rsidR="00210D33" w:rsidRPr="00E07F29">
        <w:rPr>
          <w:b/>
        </w:rPr>
        <w:t>time</w:t>
      </w:r>
      <w:r w:rsidR="00210D33" w:rsidRPr="00CE47DE">
        <w:rPr>
          <w:b/>
        </w:rPr>
        <w:t xml:space="preserve"> to arrange the intervention</w:t>
      </w:r>
      <w:r w:rsidRPr="00CE47DE">
        <w:t>.</w:t>
      </w:r>
      <w:r w:rsidR="00F81347" w:rsidRPr="00CE47DE">
        <w:t xml:space="preserve"> </w:t>
      </w:r>
      <w:r w:rsidR="00210D33" w:rsidRPr="00CE47DE">
        <w:t>The</w:t>
      </w:r>
      <w:r w:rsidRPr="00CE47DE">
        <w:t xml:space="preserve"> research nurse or the principal investigator recruited eligible patients either a</w:t>
      </w:r>
      <w:r w:rsidR="00CC7700" w:rsidRPr="00CE47DE">
        <w:t xml:space="preserve">t the outpatient clinic or by </w:t>
      </w:r>
      <w:r w:rsidRPr="00CE47DE">
        <w:t>telephone after the treatment decisi</w:t>
      </w:r>
      <w:r w:rsidR="00EA51E4">
        <w:t>on</w:t>
      </w:r>
      <w:r w:rsidR="008419A3" w:rsidRPr="00CE47DE">
        <w:t xml:space="preserve">. From </w:t>
      </w:r>
      <w:proofErr w:type="gramStart"/>
      <w:r w:rsidR="008419A3" w:rsidRPr="00CE47DE">
        <w:t>a total of 132</w:t>
      </w:r>
      <w:proofErr w:type="gramEnd"/>
      <w:r w:rsidRPr="00CE47DE">
        <w:t xml:space="preserve"> </w:t>
      </w:r>
      <w:r w:rsidR="008419A3" w:rsidRPr="00CE47DE">
        <w:t xml:space="preserve">eligible </w:t>
      </w:r>
      <w:r w:rsidRPr="00CE47DE">
        <w:t>patients invited, one hundred were randomized into the intervention (IG, n=50) or the control (CG, n=50) group</w:t>
      </w:r>
      <w:r w:rsidR="00EA51E4">
        <w:t>.</w:t>
      </w:r>
      <w:r w:rsidRPr="00CE47DE">
        <w:t xml:space="preserve"> </w:t>
      </w:r>
      <w:proofErr w:type="gramStart"/>
      <w:r w:rsidRPr="00CE47DE">
        <w:t>87</w:t>
      </w:r>
      <w:proofErr w:type="gramEnd"/>
      <w:r w:rsidRPr="00CE47DE">
        <w:t xml:space="preserve"> patients completed the 6-month follow-up (47 in the IG and 40 in the CG). The reasons for refusals and dropouts </w:t>
      </w:r>
      <w:proofErr w:type="gramStart"/>
      <w:r w:rsidRPr="00CE47DE">
        <w:t>are presented</w:t>
      </w:r>
      <w:proofErr w:type="gramEnd"/>
      <w:r w:rsidRPr="00CE47DE">
        <w:t xml:space="preserve"> in Figure 1.</w:t>
      </w:r>
    </w:p>
    <w:p w14:paraId="60DD9AEA" w14:textId="77777777" w:rsidR="00465BEB" w:rsidRPr="00CE47DE" w:rsidRDefault="00465BEB" w:rsidP="00A4263F">
      <w:pPr>
        <w:spacing w:line="480" w:lineRule="auto"/>
        <w:jc w:val="both"/>
        <w:outlineLvl w:val="0"/>
      </w:pPr>
    </w:p>
    <w:p w14:paraId="28E3FAF5" w14:textId="3BF0144A" w:rsidR="0072148B" w:rsidRPr="00CE47DE" w:rsidRDefault="005E5B92" w:rsidP="00A4263F">
      <w:pPr>
        <w:spacing w:line="480" w:lineRule="auto"/>
      </w:pPr>
      <w:r w:rsidRPr="00CE47DE">
        <w:t>-----------------------</w:t>
      </w:r>
    </w:p>
    <w:p w14:paraId="1243A425" w14:textId="4B73392D" w:rsidR="00857736" w:rsidRPr="00CE47DE" w:rsidRDefault="00857736" w:rsidP="00A4263F">
      <w:pPr>
        <w:spacing w:line="480" w:lineRule="auto"/>
      </w:pPr>
      <w:r w:rsidRPr="00CE47DE">
        <w:t xml:space="preserve">Figure </w:t>
      </w:r>
      <w:proofErr w:type="gramStart"/>
      <w:r w:rsidRPr="00CE47DE">
        <w:t>1</w:t>
      </w:r>
      <w:proofErr w:type="gramEnd"/>
      <w:r w:rsidRPr="00CE47DE">
        <w:t xml:space="preserve"> about here</w:t>
      </w:r>
    </w:p>
    <w:p w14:paraId="4140DB96" w14:textId="77777777" w:rsidR="00667E29" w:rsidRPr="00CE47DE" w:rsidRDefault="00667E29" w:rsidP="00A4263F">
      <w:pPr>
        <w:spacing w:line="480" w:lineRule="auto"/>
      </w:pPr>
      <w:r w:rsidRPr="00CE47DE">
        <w:t>-----------------------</w:t>
      </w:r>
    </w:p>
    <w:p w14:paraId="6ED9D3E4" w14:textId="35A2CA8A" w:rsidR="00667E29" w:rsidRPr="00CE47DE" w:rsidRDefault="00667E29" w:rsidP="00A4263F">
      <w:pPr>
        <w:spacing w:line="480" w:lineRule="auto"/>
      </w:pPr>
    </w:p>
    <w:p w14:paraId="368DE51C" w14:textId="36B768AC" w:rsidR="0039029B" w:rsidRPr="00CE47DE" w:rsidRDefault="0039029B" w:rsidP="00A4263F">
      <w:pPr>
        <w:spacing w:line="480" w:lineRule="auto"/>
        <w:rPr>
          <w:i/>
        </w:rPr>
      </w:pPr>
      <w:r w:rsidRPr="00CE47DE">
        <w:rPr>
          <w:i/>
        </w:rPr>
        <w:t>2.</w:t>
      </w:r>
      <w:r w:rsidR="003322D8" w:rsidRPr="00CE47DE">
        <w:rPr>
          <w:i/>
        </w:rPr>
        <w:t>3</w:t>
      </w:r>
      <w:r w:rsidRPr="00CE47DE">
        <w:rPr>
          <w:i/>
        </w:rPr>
        <w:t>. Sample size</w:t>
      </w:r>
    </w:p>
    <w:p w14:paraId="546F2E75" w14:textId="76CF5B25" w:rsidR="00D57D70" w:rsidRPr="00CE47DE" w:rsidRDefault="00291F36" w:rsidP="00A4263F">
      <w:pPr>
        <w:spacing w:line="480" w:lineRule="auto"/>
        <w:rPr>
          <w:rFonts w:eastAsia="AdvP4DF60E"/>
        </w:rPr>
      </w:pPr>
      <w:r w:rsidRPr="00CE47DE">
        <w:rPr>
          <w:rFonts w:eastAsia="Arial Unicode MS" w:cs="Arial Unicode MS"/>
        </w:rPr>
        <w:t xml:space="preserve">The present study reports the results of one part of a larger project on </w:t>
      </w:r>
      <w:r w:rsidR="002641C5" w:rsidRPr="00CE47DE">
        <w:rPr>
          <w:rFonts w:eastAsia="Arial Unicode MS" w:cs="Arial Unicode MS"/>
          <w:b/>
        </w:rPr>
        <w:t>the outcomes of</w:t>
      </w:r>
      <w:r w:rsidR="002641C5" w:rsidRPr="00CE47DE">
        <w:rPr>
          <w:rFonts w:eastAsia="Arial Unicode MS" w:cs="Arial Unicode MS"/>
        </w:rPr>
        <w:t xml:space="preserve"> </w:t>
      </w:r>
      <w:r w:rsidRPr="00CE47DE">
        <w:rPr>
          <w:rFonts w:eastAsia="Arial Unicode MS" w:cs="Arial Unicode MS"/>
        </w:rPr>
        <w:t xml:space="preserve">preoperative education of spinal stenosis patients. As the </w:t>
      </w:r>
      <w:r w:rsidR="00DD61DC" w:rsidRPr="00CE47DE">
        <w:rPr>
          <w:rFonts w:eastAsia="Arial Unicode MS" w:cs="Arial Unicode MS"/>
        </w:rPr>
        <w:t>KNOWBACK Test</w:t>
      </w:r>
      <w:r w:rsidRPr="00CE47DE">
        <w:rPr>
          <w:rFonts w:eastAsia="Arial Unicode MS" w:cs="Arial Unicode MS"/>
        </w:rPr>
        <w:t xml:space="preserve"> was specifically developed for this study, the sample size calculation</w:t>
      </w:r>
      <w:r w:rsidR="00CC7700" w:rsidRPr="00CE47DE">
        <w:rPr>
          <w:rFonts w:eastAsia="Arial Unicode MS" w:cs="Arial Unicode MS"/>
        </w:rPr>
        <w:t xml:space="preserve"> could not be based on it, but</w:t>
      </w:r>
      <w:r w:rsidRPr="00CE47DE">
        <w:rPr>
          <w:rFonts w:eastAsia="Arial Unicode MS" w:cs="Arial Unicode MS"/>
        </w:rPr>
        <w:t xml:space="preserve"> on</w:t>
      </w:r>
      <w:r w:rsidRPr="00CE47DE">
        <w:t xml:space="preserve"> </w:t>
      </w:r>
      <w:proofErr w:type="spellStart"/>
      <w:r w:rsidRPr="00CE47DE">
        <w:t>Spielberger’s</w:t>
      </w:r>
      <w:proofErr w:type="spellEnd"/>
      <w:r w:rsidRPr="00CE47DE">
        <w:t xml:space="preserve"> State-Trait Anxiety Inventory for adults (STAI) </w:t>
      </w:r>
      <w:r w:rsidRPr="00CE47DE">
        <w:fldChar w:fldCharType="begin" w:fldLock="1"/>
      </w:r>
      <w:r w:rsidR="0068258A">
        <w:instrText>ADDIN CSL_CITATION { "citationItems" : [ { "id" : "ITEM-1", "itemData" : { "author" : [ { "dropping-particle" : "", "family" : "Spielberger", "given" : "Charles D", "non-dropping-particle" : "", "parse-names" : false, "suffix" : "" }, { "dropping-particle" : "", "family" : "Gorsuch", "given" : "Richard L", "non-dropping-particle" : "", "parse-names" : false, "suffix" : "" }, { "dropping-particle" : "", "family" : "Lushene", "given" : "Robert E", "non-dropping-particle" : "", "parse-names" : false, "suffix" : "" }, { "dropping-particle" : "", "family" : "Vagg", "given" : "P R", "non-dropping-particle" : "", "parse-names" : false, "suffix" : "" }, { "dropping-particle" : "", "family" : "Jacobs", "given" : "Gerard A", "non-dropping-particle" : "", "parse-names" : false, "suffix" : "" } ], "id" : "ITEM-1", "issued" : { "date-parts" : [ [ "1983" ] ] }, "publisher" : "Mind Garden Inc", "publisher-place" : "Palo Alto", "title" : "Manual for the State-Trait Anxiety Inventory", "type" : "book" }, "uris" : [ "http://www.mendeley.com/documents/?uuid=8618afed-eeea-4e76-a288-4fdcb1880a35" ] } ], "mendeley" : { "formattedCitation" : "[41]", "plainTextFormattedCitation" : "[41]", "previouslyFormattedCitation" : "[41]" }, "properties" : { "noteIndex" : 0 }, "schema" : "https://github.com/citation-style-language/schema/raw/master/csl-citation.json" }</w:instrText>
      </w:r>
      <w:r w:rsidRPr="00CE47DE">
        <w:fldChar w:fldCharType="separate"/>
      </w:r>
      <w:r w:rsidR="004A0CB7" w:rsidRPr="004A0CB7">
        <w:rPr>
          <w:noProof/>
        </w:rPr>
        <w:t>[41]</w:t>
      </w:r>
      <w:r w:rsidRPr="00CE47DE">
        <w:fldChar w:fldCharType="end"/>
      </w:r>
      <w:r w:rsidR="00CC7700" w:rsidRPr="00CE47DE">
        <w:t xml:space="preserve">, </w:t>
      </w:r>
      <w:r w:rsidR="00247865" w:rsidRPr="0074227D">
        <w:rPr>
          <w:b/>
        </w:rPr>
        <w:t>the</w:t>
      </w:r>
      <w:r w:rsidR="004B5D9E" w:rsidRPr="0074227D">
        <w:rPr>
          <w:b/>
        </w:rPr>
        <w:t xml:space="preserve"> </w:t>
      </w:r>
      <w:r w:rsidR="00247865" w:rsidRPr="0074227D">
        <w:rPr>
          <w:b/>
        </w:rPr>
        <w:t>primary</w:t>
      </w:r>
      <w:r w:rsidR="00CC7700" w:rsidRPr="0074227D">
        <w:rPr>
          <w:b/>
        </w:rPr>
        <w:t xml:space="preserve"> outcome of the </w:t>
      </w:r>
      <w:r w:rsidR="00247865" w:rsidRPr="0074227D">
        <w:rPr>
          <w:b/>
        </w:rPr>
        <w:t xml:space="preserve">clinical </w:t>
      </w:r>
      <w:r w:rsidR="004B5D9E" w:rsidRPr="0074227D">
        <w:rPr>
          <w:b/>
        </w:rPr>
        <w:t>f</w:t>
      </w:r>
      <w:r w:rsidR="00EF5460" w:rsidRPr="0074227D">
        <w:rPr>
          <w:b/>
        </w:rPr>
        <w:t xml:space="preserve">ollow-up </w:t>
      </w:r>
      <w:r w:rsidR="00247865" w:rsidRPr="0074227D">
        <w:rPr>
          <w:b/>
        </w:rPr>
        <w:t>of</w:t>
      </w:r>
      <w:r w:rsidR="00EF5460" w:rsidRPr="0074227D">
        <w:rPr>
          <w:b/>
        </w:rPr>
        <w:t xml:space="preserve"> the study </w:t>
      </w:r>
      <w:r w:rsidR="00EF5460" w:rsidRPr="0074227D">
        <w:rPr>
          <w:b/>
        </w:rPr>
        <w:lastRenderedPageBreak/>
        <w:t>project</w:t>
      </w:r>
      <w:r w:rsidRPr="0074227D">
        <w:rPr>
          <w:rFonts w:eastAsia="Arial Unicode MS" w:cs="Arial Unicode MS"/>
          <w:b/>
        </w:rPr>
        <w:t>.</w:t>
      </w:r>
      <w:r w:rsidR="00C7014B" w:rsidRPr="00CE47DE">
        <w:rPr>
          <w:rFonts w:eastAsia="AdvP4DF60E"/>
        </w:rPr>
        <w:t xml:space="preserve"> </w:t>
      </w:r>
      <w:r w:rsidR="00D57D70" w:rsidRPr="00CE47DE">
        <w:rPr>
          <w:rFonts w:eastAsia="AdvP4DF60E"/>
        </w:rPr>
        <w:t xml:space="preserve">With 100 participants the study has an 80% power to detect a </w:t>
      </w:r>
      <w:r w:rsidR="00FD0C8E" w:rsidRPr="00CE47DE">
        <w:rPr>
          <w:rFonts w:eastAsia="AdvP4DF60E"/>
        </w:rPr>
        <w:t>difference</w:t>
      </w:r>
      <w:r w:rsidR="005855F4" w:rsidRPr="00CE47DE">
        <w:rPr>
          <w:rFonts w:eastAsia="AdvP4DF60E"/>
        </w:rPr>
        <w:t xml:space="preserve"> of 3 points</w:t>
      </w:r>
      <w:r w:rsidR="00667E29" w:rsidRPr="00CE47DE">
        <w:rPr>
          <w:rFonts w:eastAsia="AdvP4DF60E"/>
        </w:rPr>
        <w:t xml:space="preserve"> </w:t>
      </w:r>
      <w:r w:rsidR="00D57D70" w:rsidRPr="00CE47DE">
        <w:rPr>
          <w:rFonts w:eastAsia="AdvP4DF60E"/>
        </w:rPr>
        <w:t xml:space="preserve">in anxiety between </w:t>
      </w:r>
      <w:r w:rsidR="00EF5460" w:rsidRPr="00CE47DE">
        <w:rPr>
          <w:rFonts w:eastAsia="AdvP4DF60E"/>
        </w:rPr>
        <w:t>the two groups (p = 0.05),</w:t>
      </w:r>
      <w:r w:rsidR="00D57D70" w:rsidRPr="00CE47DE">
        <w:rPr>
          <w:rFonts w:eastAsia="AdvP4DF60E"/>
        </w:rPr>
        <w:t xml:space="preserve"> allowing a 15% dropout rate. The power c</w:t>
      </w:r>
      <w:r w:rsidR="001353F1" w:rsidRPr="00CE47DE">
        <w:rPr>
          <w:rFonts w:eastAsia="AdvP4DF60E"/>
        </w:rPr>
        <w:t xml:space="preserve">alculation was based on the </w:t>
      </w:r>
      <w:proofErr w:type="gramStart"/>
      <w:r w:rsidR="001353F1" w:rsidRPr="00CE47DE">
        <w:rPr>
          <w:rFonts w:eastAsia="AdvP4DF60E"/>
        </w:rPr>
        <w:t xml:space="preserve">two </w:t>
      </w:r>
      <w:r w:rsidR="00D57D70" w:rsidRPr="00CE47DE">
        <w:rPr>
          <w:rFonts w:eastAsia="AdvP4DF60E"/>
        </w:rPr>
        <w:t>group</w:t>
      </w:r>
      <w:proofErr w:type="gramEnd"/>
      <w:r w:rsidR="00D57D70" w:rsidRPr="00CE47DE">
        <w:rPr>
          <w:rFonts w:eastAsia="AdvP4DF60E"/>
        </w:rPr>
        <w:t xml:space="preserve"> t-test.</w:t>
      </w:r>
    </w:p>
    <w:p w14:paraId="436A7492" w14:textId="77777777" w:rsidR="001955EC" w:rsidRPr="00CE47DE" w:rsidRDefault="001955EC" w:rsidP="00A4263F">
      <w:pPr>
        <w:spacing w:line="480" w:lineRule="auto"/>
      </w:pPr>
    </w:p>
    <w:p w14:paraId="09081923" w14:textId="3E752FC1" w:rsidR="00E80D1C" w:rsidRPr="00CE47DE" w:rsidRDefault="00E80D1C" w:rsidP="00A4263F">
      <w:pPr>
        <w:spacing w:line="480" w:lineRule="auto"/>
        <w:rPr>
          <w:i/>
        </w:rPr>
      </w:pPr>
      <w:r w:rsidRPr="00CE47DE">
        <w:rPr>
          <w:i/>
        </w:rPr>
        <w:t>2.</w:t>
      </w:r>
      <w:r w:rsidR="003322D8" w:rsidRPr="00CE47DE">
        <w:rPr>
          <w:i/>
        </w:rPr>
        <w:t>4</w:t>
      </w:r>
      <w:r w:rsidRPr="00CE47DE">
        <w:rPr>
          <w:i/>
        </w:rPr>
        <w:t xml:space="preserve">. </w:t>
      </w:r>
      <w:r w:rsidR="00613E0A" w:rsidRPr="00CE47DE">
        <w:rPr>
          <w:i/>
        </w:rPr>
        <w:t>Randomization</w:t>
      </w:r>
      <w:r w:rsidRPr="00CE47DE">
        <w:rPr>
          <w:i/>
        </w:rPr>
        <w:t xml:space="preserve"> </w:t>
      </w:r>
    </w:p>
    <w:p w14:paraId="1CA70F1F" w14:textId="57841DAA" w:rsidR="00E80D1C" w:rsidRPr="00CE47DE" w:rsidRDefault="004411A7" w:rsidP="00A4263F">
      <w:pPr>
        <w:spacing w:line="480" w:lineRule="auto"/>
        <w:rPr>
          <w:b/>
        </w:rPr>
      </w:pPr>
      <w:r w:rsidRPr="00CE47DE">
        <w:t xml:space="preserve">To ensure balance of </w:t>
      </w:r>
      <w:r w:rsidR="003457DD" w:rsidRPr="00CE47DE">
        <w:t>participant</w:t>
      </w:r>
      <w:r w:rsidRPr="00CE47DE">
        <w:t xml:space="preserve"> characteristics between </w:t>
      </w:r>
      <w:r w:rsidR="00D64BA6" w:rsidRPr="00CE47DE">
        <w:t xml:space="preserve">the study </w:t>
      </w:r>
      <w:r w:rsidRPr="00CE47DE">
        <w:t xml:space="preserve">groups </w:t>
      </w:r>
      <w:r w:rsidR="00D64BA6" w:rsidRPr="00CE47DE">
        <w:t xml:space="preserve">the </w:t>
      </w:r>
      <w:r w:rsidRPr="00CE47DE">
        <w:t xml:space="preserve">minimization method </w:t>
      </w:r>
      <w:r w:rsidR="004B0021">
        <w:t>of randomization</w:t>
      </w:r>
      <w:r w:rsidR="00355752" w:rsidRPr="00CE47DE">
        <w:t xml:space="preserve"> </w:t>
      </w:r>
      <w:r w:rsidR="00A564B8" w:rsidRPr="00CE47DE">
        <w:fldChar w:fldCharType="begin" w:fldLock="1"/>
      </w:r>
      <w:r w:rsidR="0068258A">
        <w:instrText>ADDIN CSL_CITATION { "citationItems" : [ { "id" : "ITEM-1", "itemData" : { "ISSN" : "0959-8138", "PMID" : "10334768", "author" : [ { "dropping-particle" : "", "family" : "Treasure", "given" : "T", "non-dropping-particle" : "", "parse-names" : false, "suffix" : "" }, { "dropping-particle" : "", "family" : "MacRae", "given" : "K D", "non-dropping-particle" : "", "parse-names" : false, "suffix" : "" } ], "container-title" : "BMJ (Clinical research ed.)", "id" : "ITEM-1", "issue" : "7195", "issued" : { "date-parts" : [ [ "1999", "5", "22" ] ] }, "page" : "1420", "title" : "Minimisation is much better than the randomised block design in certain cases", "type" : "article-journal", "volume" : "318" }, "uris" : [ "http://www.mendeley.com/documents/?uuid=ea4434ba-9b10-4d18-8280-9f619dfd8c37" ] } ], "mendeley" : { "formattedCitation" : "[42]", "plainTextFormattedCitation" : "[42]", "previouslyFormattedCitation" : "[42]" }, "properties" : { "noteIndex" : 0 }, "schema" : "https://github.com/citation-style-language/schema/raw/master/csl-citation.json" }</w:instrText>
      </w:r>
      <w:r w:rsidR="00A564B8" w:rsidRPr="00CE47DE">
        <w:fldChar w:fldCharType="separate"/>
      </w:r>
      <w:r w:rsidR="004A0CB7" w:rsidRPr="004A0CB7">
        <w:rPr>
          <w:noProof/>
        </w:rPr>
        <w:t>[42]</w:t>
      </w:r>
      <w:r w:rsidR="00A564B8" w:rsidRPr="00CE47DE">
        <w:fldChar w:fldCharType="end"/>
      </w:r>
      <w:r w:rsidR="00DD4E45">
        <w:t xml:space="preserve"> was</w:t>
      </w:r>
      <w:r w:rsidR="00C04D80" w:rsidRPr="00CE47DE">
        <w:t xml:space="preserve"> </w:t>
      </w:r>
      <w:r w:rsidR="00D64BA6" w:rsidRPr="00CE47DE">
        <w:t>based on</w:t>
      </w:r>
      <w:r w:rsidR="00A73729" w:rsidRPr="00CE47DE">
        <w:t xml:space="preserve"> </w:t>
      </w:r>
      <w:r w:rsidR="008B5A40" w:rsidRPr="00CE47DE">
        <w:t>educational level</w:t>
      </w:r>
      <w:r w:rsidR="004E5C6D" w:rsidRPr="00CE47DE">
        <w:t>, age and gender</w:t>
      </w:r>
      <w:r w:rsidRPr="00CE47DE">
        <w:t>.</w:t>
      </w:r>
      <w:r w:rsidR="00D64BA6" w:rsidRPr="00CE47DE">
        <w:rPr>
          <w:rFonts w:eastAsia="Arial Unicode MS" w:cs="Arial Unicode MS"/>
        </w:rPr>
        <w:t xml:space="preserve"> </w:t>
      </w:r>
      <w:r w:rsidR="000F6A14">
        <w:rPr>
          <w:rFonts w:eastAsia="Arial Unicode MS" w:cs="Arial Unicode MS"/>
        </w:rPr>
        <w:t>The</w:t>
      </w:r>
      <w:r w:rsidR="00D64BA6" w:rsidRPr="00CE47DE">
        <w:rPr>
          <w:rFonts w:eastAsia="Arial Unicode MS" w:cs="Arial Unicode MS"/>
        </w:rPr>
        <w:t xml:space="preserve"> resea</w:t>
      </w:r>
      <w:r w:rsidR="00B928D3" w:rsidRPr="00CE47DE">
        <w:rPr>
          <w:rFonts w:eastAsia="Arial Unicode MS" w:cs="Arial Unicode MS"/>
        </w:rPr>
        <w:t>rch nurse conducted the randomiz</w:t>
      </w:r>
      <w:r w:rsidR="00D64BA6" w:rsidRPr="00CE47DE">
        <w:rPr>
          <w:rFonts w:eastAsia="Arial Unicode MS" w:cs="Arial Unicode MS"/>
        </w:rPr>
        <w:t xml:space="preserve">ation using the MINIM software </w:t>
      </w:r>
      <w:r w:rsidR="00673449" w:rsidRPr="00CE47DE">
        <w:t>(www.sghms.ac.uk/depts/phs/guide/randser.htm</w:t>
      </w:r>
      <w:r w:rsidR="00D64BA6" w:rsidRPr="00CE47DE">
        <w:t xml:space="preserve">) </w:t>
      </w:r>
      <w:r w:rsidR="009F5A9C" w:rsidRPr="00CE47DE">
        <w:t xml:space="preserve">and allocated patients into </w:t>
      </w:r>
      <w:r w:rsidR="00D64BA6" w:rsidRPr="00CE47DE">
        <w:t xml:space="preserve">the two </w:t>
      </w:r>
      <w:r w:rsidR="009F5A9C" w:rsidRPr="00CE47DE">
        <w:t xml:space="preserve">study groups </w:t>
      </w:r>
      <w:r w:rsidR="00EA51E4">
        <w:t>after</w:t>
      </w:r>
      <w:r w:rsidR="00176C8D" w:rsidRPr="00CE47DE">
        <w:t xml:space="preserve"> informed consent</w:t>
      </w:r>
      <w:r w:rsidR="0074227D">
        <w:t xml:space="preserve">. </w:t>
      </w:r>
      <w:r w:rsidR="0074227D" w:rsidRPr="0074227D">
        <w:rPr>
          <w:b/>
        </w:rPr>
        <w:t>The study group allocation</w:t>
      </w:r>
      <w:r w:rsidR="004B5D9E" w:rsidRPr="0074227D">
        <w:rPr>
          <w:b/>
        </w:rPr>
        <w:t xml:space="preserve"> </w:t>
      </w:r>
      <w:proofErr w:type="gramStart"/>
      <w:r w:rsidR="0074227D">
        <w:rPr>
          <w:b/>
        </w:rPr>
        <w:t xml:space="preserve">was </w:t>
      </w:r>
      <w:r w:rsidR="00EA51E4">
        <w:rPr>
          <w:b/>
        </w:rPr>
        <w:t xml:space="preserve">then </w:t>
      </w:r>
      <w:r w:rsidR="0074227D">
        <w:rPr>
          <w:b/>
        </w:rPr>
        <w:t>saved</w:t>
      </w:r>
      <w:proofErr w:type="gramEnd"/>
      <w:r w:rsidR="0074227D">
        <w:rPr>
          <w:b/>
        </w:rPr>
        <w:t xml:space="preserve"> to password protected research chart</w:t>
      </w:r>
      <w:r w:rsidR="00F832E7" w:rsidRPr="00CE47DE">
        <w:rPr>
          <w:b/>
        </w:rPr>
        <w:t>.</w:t>
      </w:r>
    </w:p>
    <w:p w14:paraId="16B90E50" w14:textId="77777777" w:rsidR="00E80D1C" w:rsidRPr="00CE47DE" w:rsidRDefault="00E80D1C" w:rsidP="00A4263F">
      <w:pPr>
        <w:spacing w:line="480" w:lineRule="auto"/>
      </w:pPr>
    </w:p>
    <w:p w14:paraId="061AAAF7" w14:textId="657D1729" w:rsidR="00E80D1C" w:rsidRPr="00671154" w:rsidRDefault="00E80D1C" w:rsidP="00A4263F">
      <w:pPr>
        <w:spacing w:line="480" w:lineRule="auto"/>
        <w:rPr>
          <w:i/>
        </w:rPr>
      </w:pPr>
      <w:r w:rsidRPr="00671154">
        <w:rPr>
          <w:i/>
        </w:rPr>
        <w:t>2.</w:t>
      </w:r>
      <w:r w:rsidR="003322D8" w:rsidRPr="00671154">
        <w:rPr>
          <w:i/>
        </w:rPr>
        <w:t>5</w:t>
      </w:r>
      <w:r w:rsidRPr="00671154">
        <w:rPr>
          <w:i/>
        </w:rPr>
        <w:t xml:space="preserve">. Blinding </w:t>
      </w:r>
    </w:p>
    <w:p w14:paraId="5BD8381E" w14:textId="3FA1A2E4" w:rsidR="00D64E50" w:rsidRPr="00CE47DE" w:rsidRDefault="00491313" w:rsidP="00D64E50">
      <w:pPr>
        <w:spacing w:line="480" w:lineRule="auto"/>
      </w:pPr>
      <w:r w:rsidRPr="00CE47DE">
        <w:rPr>
          <w:rFonts w:eastAsia="Arial Unicode MS" w:cs="Arial Unicode MS"/>
        </w:rPr>
        <w:t>All</w:t>
      </w:r>
      <w:r w:rsidR="00613E0A" w:rsidRPr="00CE47DE">
        <w:rPr>
          <w:rFonts w:eastAsia="Arial Unicode MS" w:cs="Arial Unicode MS"/>
        </w:rPr>
        <w:t xml:space="preserve"> health care professionals involved in the </w:t>
      </w:r>
      <w:r w:rsidR="00631060">
        <w:rPr>
          <w:rFonts w:eastAsia="Arial Unicode MS" w:cs="Arial Unicode MS"/>
        </w:rPr>
        <w:t>care</w:t>
      </w:r>
      <w:r w:rsidR="003A6A5E">
        <w:rPr>
          <w:rFonts w:eastAsia="Arial Unicode MS" w:cs="Arial Unicode MS"/>
        </w:rPr>
        <w:t xml:space="preserve"> of the</w:t>
      </w:r>
      <w:r w:rsidR="004E153E">
        <w:rPr>
          <w:rFonts w:eastAsia="Arial Unicode MS" w:cs="Arial Unicode MS"/>
        </w:rPr>
        <w:t xml:space="preserve"> patients </w:t>
      </w:r>
      <w:proofErr w:type="gramStart"/>
      <w:r w:rsidR="004E153E">
        <w:rPr>
          <w:rFonts w:eastAsia="Arial Unicode MS" w:cs="Arial Unicode MS"/>
        </w:rPr>
        <w:t>were</w:t>
      </w:r>
      <w:r w:rsidR="00613E0A" w:rsidRPr="00CE47DE">
        <w:rPr>
          <w:rFonts w:eastAsia="Arial Unicode MS" w:cs="Arial Unicode MS"/>
        </w:rPr>
        <w:t xml:space="preserve"> blinded</w:t>
      </w:r>
      <w:proofErr w:type="gramEnd"/>
      <w:r w:rsidR="00613E0A" w:rsidRPr="00CE47DE">
        <w:rPr>
          <w:rFonts w:eastAsia="Arial Unicode MS" w:cs="Arial Unicode MS"/>
        </w:rPr>
        <w:t xml:space="preserve"> to the </w:t>
      </w:r>
      <w:r w:rsidR="003A6A5E">
        <w:rPr>
          <w:rFonts w:eastAsia="Arial Unicode MS" w:cs="Arial Unicode MS"/>
        </w:rPr>
        <w:t>study group</w:t>
      </w:r>
      <w:r w:rsidR="00613E0A" w:rsidRPr="00CE47DE">
        <w:rPr>
          <w:rFonts w:eastAsia="Arial Unicode MS" w:cs="Arial Unicode MS"/>
        </w:rPr>
        <w:t xml:space="preserve"> allocation</w:t>
      </w:r>
      <w:r w:rsidR="00631060">
        <w:rPr>
          <w:rFonts w:eastAsia="Arial Unicode MS" w:cs="Arial Unicode MS"/>
        </w:rPr>
        <w:t>.</w:t>
      </w:r>
      <w:r w:rsidR="00613E0A" w:rsidRPr="00CE47DE">
        <w:rPr>
          <w:rFonts w:eastAsia="Arial Unicode MS" w:cs="Arial Unicode MS"/>
        </w:rPr>
        <w:t xml:space="preserve"> In order to blind the patients, the study group descriptions were intentionally cursory; the patients were aware of the general purpose of the study, but not of the group allocation </w:t>
      </w:r>
      <w:r w:rsidR="00A564B8" w:rsidRPr="00CE47DE">
        <w:fldChar w:fldCharType="begin" w:fldLock="1"/>
      </w:r>
      <w:r w:rsidR="0068258A">
        <w:instrText>ADDIN CSL_CITATION { "citationItems" : [ { "id" : "ITEM-1", "itemData" : { "ISSN" : "0749-8047", "PMID" : "15322439", "abstract" : "OBJECTIVES: Cognitive-behavioral pain management programs typically achieve improvements in pain cognitions, disability, and physical performance. However, it is not known whether the neurophysiology education component of such programs contributes to these outcomes. In chronic low back pain patients, we investigated the effect of neurophysiology education on cognitions, disability, and physical performance. METHODS: This study was a blinded randomized controlled trial. Individual education sessions on neurophysiology of pain (experimental group) and back anatomy and physiology (control group) were conducted by trained physical therapist educators. Cognitions were evaluated using the Survey of Pain Attitudes (revised) (SOPA(R)), and the Pain Catastrophizing Scale (PCS). Behavioral measures included the Roland Morris Disability Questionnaire (RMDQ), and 3 physical performance tasks; (1) straight leg raise (SLR), (2) forward bending range, and (3) an abdominal \"drawing-in\" task, which provides a measure of voluntary activation of the deep abdominal muscles. Methodological checks evaluated non-specific effects of intervention. RESULTS: There was a significant treatment effect on the SOPA(R), PCS, SLR, and forward bending. There was a statistically significant effect on RMDQ; however, the size of this effect was small and probably not clinically meaningful. DISCUSSION: Education about pain neurophysiology changes pain cognitions and physical performance but is insufficient by itself to obtain a change in perceived disability. The results suggest that pain neurophysiology education, but not back school type education, should be included in a wider pain management approach.", "author" : [ { "dropping-particle" : "", "family" : "Moseley", "given" : "G Lorimer", "non-dropping-particle" : "", "parse-names" : false, "suffix" : "" }, { "dropping-particle" : "", "family" : "Nicholas", "given" : "Michael K", "non-dropping-particle" : "", "parse-names" : false, "suffix" : "" }, { "dropping-particle" : "", "family" : "Hodges", "given" : "Paul W", "non-dropping-particle" : "", "parse-names" : false, "suffix" : "" } ], "container-title" : "The Clinical journal of pain", "id" : "ITEM-1", "issue" : "5", "issued" : { "date-parts" : [ [ "2004", "1" ] ] }, "page" : "324-330", "title" : "A randomized controlled trial of intensive neurophysiology education in chronic low back pain", "type" : "article-journal", "volume" : "20" }, "uris" : [ "http://www.mendeley.com/documents/?uuid=04a708a4-e2a3-49c8-a82c-166d94718c85" ] } ], "mendeley" : { "formattedCitation" : "[43]", "plainTextFormattedCitation" : "[43]", "previouslyFormattedCitation" : "[43]" }, "properties" : { "noteIndex" : 0 }, "schema" : "https://github.com/citation-style-language/schema/raw/master/csl-citation.json" }</w:instrText>
      </w:r>
      <w:r w:rsidR="00A564B8" w:rsidRPr="00CE47DE">
        <w:fldChar w:fldCharType="separate"/>
      </w:r>
      <w:r w:rsidR="004A0CB7" w:rsidRPr="004A0CB7">
        <w:rPr>
          <w:noProof/>
        </w:rPr>
        <w:t>[43]</w:t>
      </w:r>
      <w:r w:rsidR="00A564B8" w:rsidRPr="00CE47DE">
        <w:fldChar w:fldCharType="end"/>
      </w:r>
      <w:r w:rsidR="00697556" w:rsidRPr="00CE47DE">
        <w:fldChar w:fldCharType="begin"/>
      </w:r>
      <w:r w:rsidR="00697556" w:rsidRPr="00CE47DE">
        <w:instrText>ADDIN RW.CITE{{868 Moseley,G L. 2004}}</w:instrText>
      </w:r>
      <w:r w:rsidR="00697556" w:rsidRPr="00CE47DE">
        <w:fldChar w:fldCharType="end"/>
      </w:r>
      <w:r w:rsidR="00DC7E86" w:rsidRPr="00CE47DE">
        <w:t xml:space="preserve">. </w:t>
      </w:r>
      <w:r w:rsidR="00613E0A" w:rsidRPr="00CE47DE">
        <w:t xml:space="preserve"> Both groups received a telephone call from the research nurse before the operation: in the IG, an empowering discourse based on </w:t>
      </w:r>
      <w:r w:rsidR="0022776F">
        <w:t>a</w:t>
      </w:r>
      <w:r w:rsidR="00613E0A" w:rsidRPr="00CE47DE">
        <w:t xml:space="preserve"> knowledge test </w:t>
      </w:r>
      <w:proofErr w:type="gramStart"/>
      <w:r w:rsidR="00613E0A" w:rsidRPr="00CE47DE">
        <w:t>was conducted</w:t>
      </w:r>
      <w:proofErr w:type="gramEnd"/>
      <w:r w:rsidR="00613E0A" w:rsidRPr="00CE47DE">
        <w:t xml:space="preserve">, and in the CG, </w:t>
      </w:r>
      <w:r w:rsidR="004E153E">
        <w:t>a</w:t>
      </w:r>
      <w:r w:rsidR="00613E0A" w:rsidRPr="00CE47DE">
        <w:t xml:space="preserve"> general discussion concentrated on the patient´s health history (diseases, allergies, medication, previous operations and hospital experiences). Possible contamination </w:t>
      </w:r>
      <w:r w:rsidR="005A5A21">
        <w:t>during</w:t>
      </w:r>
      <w:r w:rsidR="00613E0A" w:rsidRPr="00CE47DE">
        <w:t xml:space="preserve"> the study period </w:t>
      </w:r>
      <w:proofErr w:type="gramStart"/>
      <w:r w:rsidR="00613E0A" w:rsidRPr="00CE47DE">
        <w:t>could not be controlled</w:t>
      </w:r>
      <w:proofErr w:type="gramEnd"/>
      <w:r w:rsidR="00613E0A" w:rsidRPr="00CE47DE">
        <w:t>, e.g. the patients could use different information sources at any time during the follow-up</w:t>
      </w:r>
      <w:r w:rsidR="00631060">
        <w:t>.</w:t>
      </w:r>
      <w:r w:rsidR="00EA022C" w:rsidRPr="00CE47DE">
        <w:t xml:space="preserve"> </w:t>
      </w:r>
    </w:p>
    <w:p w14:paraId="31FEFA92" w14:textId="77777777" w:rsidR="00613E0A" w:rsidRPr="00CE47DE" w:rsidRDefault="00613E0A" w:rsidP="00D64E50">
      <w:pPr>
        <w:spacing w:line="480" w:lineRule="auto"/>
        <w:rPr>
          <w:i/>
        </w:rPr>
      </w:pPr>
    </w:p>
    <w:p w14:paraId="272B7A76" w14:textId="437AEC49" w:rsidR="00D64E50" w:rsidRPr="00CE47DE" w:rsidRDefault="00D64E50" w:rsidP="00D64E50">
      <w:pPr>
        <w:spacing w:line="480" w:lineRule="auto"/>
        <w:rPr>
          <w:i/>
        </w:rPr>
      </w:pPr>
      <w:r w:rsidRPr="00CE47DE">
        <w:rPr>
          <w:i/>
        </w:rPr>
        <w:t xml:space="preserve">2.6. </w:t>
      </w:r>
      <w:r w:rsidR="00C6199F" w:rsidRPr="00CE47DE">
        <w:rPr>
          <w:i/>
        </w:rPr>
        <w:t>Preoperative r</w:t>
      </w:r>
      <w:r w:rsidR="00613E0A" w:rsidRPr="00CE47DE">
        <w:rPr>
          <w:i/>
        </w:rPr>
        <w:t>outine</w:t>
      </w:r>
      <w:r w:rsidRPr="00CE47DE">
        <w:rPr>
          <w:i/>
        </w:rPr>
        <w:t xml:space="preserve"> education</w:t>
      </w:r>
    </w:p>
    <w:p w14:paraId="5A72F96D" w14:textId="0F6AEB8F" w:rsidR="00BB5CA6" w:rsidRPr="00CE47DE" w:rsidRDefault="00A753C3" w:rsidP="00BB5CA6">
      <w:pPr>
        <w:spacing w:line="480" w:lineRule="auto"/>
      </w:pPr>
      <w:r w:rsidRPr="00CE47DE">
        <w:lastRenderedPageBreak/>
        <w:t xml:space="preserve">All </w:t>
      </w:r>
      <w:r w:rsidR="00D15B67" w:rsidRPr="00CE47DE">
        <w:t xml:space="preserve">the </w:t>
      </w:r>
      <w:r w:rsidRPr="00CE47DE">
        <w:t xml:space="preserve">patients received the routine preoperative </w:t>
      </w:r>
      <w:r w:rsidR="0022776F">
        <w:t>education</w:t>
      </w:r>
      <w:r w:rsidRPr="00CE47DE">
        <w:t xml:space="preserve"> according to the hospital guidelines. The face-to-face discussion with the surgeon dealt with general information about spinal stenosis, available treatment options, and different aspects of surgical treatment (e.g. complications and surgical outcomes). Written material and a fac</w:t>
      </w:r>
      <w:r w:rsidR="00DD4E45">
        <w:t>e-to-face discussion with a</w:t>
      </w:r>
      <w:r w:rsidRPr="00CE47DE">
        <w:t xml:space="preserve"> nurse provided the patients with advice on how to prepare for the </w:t>
      </w:r>
      <w:r w:rsidR="0022776F">
        <w:t>surgery</w:t>
      </w:r>
      <w:r w:rsidRPr="00CE47DE">
        <w:t xml:space="preserve">. Any concerns the patients might have had </w:t>
      </w:r>
      <w:proofErr w:type="gramStart"/>
      <w:r w:rsidRPr="00CE47DE">
        <w:t>were clarified</w:t>
      </w:r>
      <w:proofErr w:type="gramEnd"/>
      <w:r w:rsidRPr="00CE47DE">
        <w:t xml:space="preserve"> during these discussions. An </w:t>
      </w:r>
      <w:r w:rsidR="00482F85" w:rsidRPr="00CE47DE">
        <w:t>anaesthesiologist</w:t>
      </w:r>
      <w:r w:rsidRPr="00CE47DE">
        <w:t xml:space="preserve"> and a physiotherapist met the patients when they </w:t>
      </w:r>
      <w:proofErr w:type="gramStart"/>
      <w:r w:rsidRPr="00CE47DE">
        <w:t>were hospitalized</w:t>
      </w:r>
      <w:proofErr w:type="gramEnd"/>
      <w:r w:rsidRPr="00CE47DE">
        <w:t xml:space="preserve"> for surgery. </w:t>
      </w:r>
    </w:p>
    <w:p w14:paraId="5EF471A2" w14:textId="77777777" w:rsidR="00A753C3" w:rsidRPr="00CE47DE" w:rsidRDefault="00A753C3" w:rsidP="00BB5CA6">
      <w:pPr>
        <w:spacing w:line="480" w:lineRule="auto"/>
      </w:pPr>
    </w:p>
    <w:p w14:paraId="7CAE57D8" w14:textId="7E8E98C9" w:rsidR="006E1DB4" w:rsidRPr="00CE47DE" w:rsidRDefault="00A920F4" w:rsidP="006E1DB4">
      <w:pPr>
        <w:spacing w:line="480" w:lineRule="auto"/>
        <w:rPr>
          <w:i/>
        </w:rPr>
      </w:pPr>
      <w:r w:rsidRPr="00CE47DE">
        <w:rPr>
          <w:i/>
        </w:rPr>
        <w:t>2.</w:t>
      </w:r>
      <w:r w:rsidR="00D64E50" w:rsidRPr="00CE47DE">
        <w:rPr>
          <w:i/>
        </w:rPr>
        <w:t>7</w:t>
      </w:r>
      <w:r w:rsidRPr="00CE47DE">
        <w:rPr>
          <w:i/>
        </w:rPr>
        <w:t xml:space="preserve">. </w:t>
      </w:r>
      <w:r w:rsidR="0054336A" w:rsidRPr="00CE47DE">
        <w:rPr>
          <w:i/>
        </w:rPr>
        <w:t>I</w:t>
      </w:r>
      <w:r w:rsidRPr="00CE47DE">
        <w:rPr>
          <w:i/>
        </w:rPr>
        <w:t>ntervention</w:t>
      </w:r>
      <w:r w:rsidR="009B4E01">
        <w:rPr>
          <w:i/>
        </w:rPr>
        <w:t xml:space="preserve"> </w:t>
      </w:r>
    </w:p>
    <w:p w14:paraId="25FCB9E5" w14:textId="1BDB892C" w:rsidR="005A5A21" w:rsidRPr="002D13C9" w:rsidRDefault="005A5A21" w:rsidP="005A5A21">
      <w:pPr>
        <w:pStyle w:val="Leipteksti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both"/>
        <w:rPr>
          <w:rFonts w:ascii="Times New Roman" w:hAnsi="Times New Roman"/>
          <w:lang w:val="en-GB"/>
        </w:rPr>
      </w:pPr>
      <w:r w:rsidRPr="002D13C9">
        <w:rPr>
          <w:rFonts w:ascii="Times New Roman" w:hAnsi="Times New Roman"/>
          <w:lang w:val="en-GB"/>
        </w:rPr>
        <w:t xml:space="preserve">In addition to the routine preoperative patient education, the patients of the IG underwent the Knowledge Test Feedback Intervention (KTFI, see Figure 2) consisting of an empowering telephone discourse based on the patient´s existing knowledge. The KTFI was developed specifically for the present study using existing literature </w:t>
      </w:r>
      <w:r w:rsidR="005F3F03" w:rsidRPr="002D13C9">
        <w:rPr>
          <w:rFonts w:ascii="Times New Roman" w:hAnsi="Times New Roman"/>
          <w:b/>
          <w:lang w:val="en-GB"/>
        </w:rPr>
        <w:fldChar w:fldCharType="begin" w:fldLock="1"/>
      </w:r>
      <w:r w:rsidR="00CD1888">
        <w:rPr>
          <w:rFonts w:ascii="Times New Roman" w:hAnsi="Times New Roman"/>
          <w:b/>
          <w:lang w:val="en-GB"/>
        </w:rPr>
        <w:instrText>ADDIN CSL_CITATION { "citationItems" : [ { "id" : "ITEM-1", "itemData" : { "DOI" : "10.1016/j.pec.2006.10.011", "ISBN" : "0738-3991", "ISSN" : "07383991", "PMID" : "17161934", "abstract" : "Objective: To determine whether it is possible to increase patients' knowledge and certainty about care-related issues, to reach a more empowering learning experience and to exercise a more positive impact on selected clinical outcomes by means of additional preadmission education (education using the concept map method added to standard preadmission education) than by means of standard preadmission education (written educational material with non-systematic oral education). Methods: Elective hip arthroplasty patients were randomized into group A (n = 62), who received preadmission education using the concept map method with written educational material; and group B (n = 61), who received the written educational material and non-systematic oral education. Data were collected from both groups 4 weeks prior to hospital admission, at admission and at discharge using questionnaires. Results: In the first post-test at admission, group A had significantly better knowledge and certainty of care-related issues than group B. Group A also reported a significantly more positive learning experience than patients in group B. In the second post-test at discharge, patients in group A still had better knowledge and certainty of care-related issues than patients in group B. Conclusion: Preadmission education using the concept map method and written educational material seems to yield better learning results than the use of written educational material with non-systematic oral education. Practice implications: Empowering preadmission education using the concept map method is beneficial for patients. \u00a9 2006 Elsevier Ireland Ltd. All rights reserved.", "author" : [ { "dropping-particle" : "", "family" : "Johansson", "given" : "Kirsi", "non-dropping-particle" : "", "parse-names" : false, "suffix" : "" }, { "dropping-particle" : "", "family" : "Salanter\u00e4", "given" : "Sanna", "non-dropping-particle" : "", "parse-names" : false, "suffix" : "" }, { "dropping-particle" : "", "family" : "Katajisto", "given" : "Jouko", "non-dropping-particle" : "", "parse-names" : false, "suffix" : "" } ], "container-title" : "Patient Education and Counseling", "id" : "ITEM-1", "issue" : "1", "issued" : { "date-parts" : [ [ "2007" ] ] }, "page" : "84-91", "title" : "Empowering orthopaedic patients through preadmission education: Results from a clinical study", "type" : "article-journal", "volume" : "66" }, "uris" : [ "http://www.mendeley.com/documents/?uuid=0d646081-20dd-4fb7-9246-9db50992d6fe" ] }, { "id" : "ITEM-2", "itemData" : { "DOI" : "10.1093/her/16.2.227", "ISSN" : "0268-1153", "PMID" : "11345664", "abstract" : "This study illustrates practices that a nurse uses in order to empower patients. The emphasis is on speech formulae that encourage patients to discuss their concerns and to solicit information about impending surgery. The study is a part of a larger research project and a single case was selected for presentation in this article because it differed from the rest of the data by manifesting empowering practice. A videotaped nurse-patient health counseling session was conducted in a hospital and transcribed verbatim. The investigator interviewed the nurse and the patient after the conversation, and these interviews were transcribed as well. The encounter that is presented here as a case study is a concrete example of a counseling session during which the patient is free to discuss with the nurse. The empowering practices that the nurse employed were as follows: encouraging the patient to speak out, tactfully sounding out the patient's concerns and knowledge of impending surgery, listening to feedback, and building a positive vision of the future for the patient. We suggest that nurses should pay attention to verbal expression and forms of language. This enables them to gain self-awareness and discover new tools to work with.", "author" : [ { "dropping-particle" : "", "family" : "Kettunen", "given" : "T", "non-dropping-particle" : "", "parse-names" : false, "suffix" : "" }, { "dropping-particle" : "", "family" : "Poskiparta", "given" : "M", "non-dropping-particle" : "", "parse-names" : false, "suffix" : "" }, { "dropping-particle" : "", "family" : "Liimatainen", "given" : "L", "non-dropping-particle" : "", "parse-names" : false, "suffix" : "" } ], "container-title" : "Health education research", "id" : "ITEM-2", "issue" : "2", "issued" : { "date-parts" : [ [ "2001" ] ] }, "page" : "227-238", "title" : "Empowering counseling - a case study: nurse-patient encounter in a hospital", "type" : "article-journal", "volume" : "16" }, "uris" : [ "http://www.mendeley.com/documents/?uuid=0eb12d25-53ce-4a37-9cee-abc92a1be4fa" ] }, { "id" : "ITEM-3", "itemData" : { "DOI" : "10.1016/j.pec.2006.12.010", "ISSN" : "0738-3991", "PMID" : "17349769", "abstract" : "OBJECTIVE: A systematic literature review, using a metasummary technique for qualitative studies (n=15) was conducted to describe the nature of empowering discourses between patient and nurse. METHODS: Computerised searches from 1995 to October 2005 were conducted on the Ovid Medline database using the keywords empower(*), power(*), resource(*), participat(*), facilitat(*), negotiat(*), communicat(*), interact(*), dialog(*), discours(*), discuss(*), encount(*), conversat(*) and 'nurse-patient relations'. All statements concerning empowering discourse were integrated into 29 abstracted findings. Frequency and intensity effect sizes were then calculated. RESULTS: Empowering discourses vary from study to study. Analysed as a whole, an empowering discourse has specific characteristics and structure. Both patients and nurses have essential roles within this type of discourse and their relationship is characterized by an appreciation of each other's expertise within these roles. CONCLUSION: The results of this review show empowerment during discourse between patient and nurse has a complex and multifaceted but analysable nature. More research is needed to find systematic methods of empowering discourse. PRACTICE IMPLICATIONS: The results of this study increase nurses' understanding of empowering methods in patient education identifying ways of facilitating patient empowerment.", "author" : [ { "dropping-particle" : "", "family" : "Virtanen", "given" : "Heli", "non-dropping-particle" : "", "parse-names" : false, "suffix" : "" }, { "dropping-particle" : "", "family" : "Leino-Kilpi", "given" : "Helena", "non-dropping-particle" : "", "parse-names" : false, "suffix" : "" }, { "dropping-particle" : "", "family" : "Salanter\u00e4", "given" : "Sanna", "non-dropping-particle" : "", "parse-names" : false, "suffix" : "" } ], "container-title" : "Patient education and counseling", "id" : "ITEM-3", "issue" : "2", "issued" : { "date-parts" : [ [ "2007", "5" ] ] }, "page" : "140-146", "title" : "Empowering discourse in patient education", "type" : "article-journal", "volume" : "66" }, "uris" : [ "http://www.mendeley.com/documents/?uuid=51fdf931-4b77-4fed-bd4c-c762ab71364f" ] }, { "id" : "ITEM-4", "itemData" : { "DOI" : "10.1097/01.NCN.0000432119.56581.24", "ISSN" : "1538-9774", "PMID" : "23958965", "abstract" : "Nurses find empowering discourse as a patient education intervention demanding, so using methods that support the constructive learning of empowering discourse during their education would be helpful. The aim of this descriptive, comparative study was to evaluate student control when using a computer simulation program that facilitates learning about empowering discourse. The study hypothesis was as follows: Students can control the use of an empowering discourse computer simulation program regardless of their sociodemographic background and study orientation. In the study, 69 students completed an educational session culminating in a computer simulation in which the students responded to a simulated patient's statements in their choice of six content areas in three sections by using a multiple-choice method, an open-ended method, or both methods. The students used all the options in the program despite their background and study orientations. The findings provided evidence that nursing students had control over the use of the computer simulation program to manage their own learning and were able to construct personal knowledge about empowering discourse using the computer simulation regardless of their study orientations.", "author" : [ { "dropping-particle" : "", "family" : "Virtanen", "given" : "Heli", "non-dropping-particle" : "", "parse-names" : false, "suffix" : "" }, { "dropping-particle" : "", "family" : "Leino-Kilpi", "given" : "Helena", "non-dropping-particle" : "", "parse-names" : false, "suffix" : "" }, { "dropping-particle" : "", "family" : "Leinonen", "given" : "Keijo", "non-dropping-particle" : "", "parse-names" : false, "suffix" : "" }, { "dropping-particle" : "", "family" : "Puukka", "given" : "Pauli", "non-dropping-particle" : "", "parse-names" : false, "suffix" : "" }, { "dropping-particle" : "", "family" : "W\u00f6nts\u00f6", "given" : "Jarkko", "non-dropping-particle" : "", "parse-names" : false, "suffix" : "" }, { "dropping-particle" : "", "family" : "Salanter\u00e4", "given" : "Sanna", "non-dropping-particle" : "", "parse-names" : false, "suffix" : "" } ], "container-title" : "Computers, informatics, nursing : CIN", "id" : "ITEM-4", "issue" : "10", "issued" : { "date-parts" : [ [ "2013" ] ] }, "page" : "512-522", "title" : "Nursing student control over using a computer simulation program about empowering discourse", "type" : "article-journal", "volume" : "31" }, "uris" : [ "http://www.mendeley.com/documents/?uuid=1ecc6426-0ed9-4103-81cb-665b76510b6e" ] } ], "mendeley" : { "formattedCitation" : "[35,39,40,44]", "plainTextFormattedCitation" : "[35,39,40,44]", "previouslyFormattedCitation" : "[35,39,40,44]" }, "properties" : { "noteIndex" : 0 }, "schema" : "https://github.com/citation-style-language/schema/raw/master/csl-citation.json" }</w:instrText>
      </w:r>
      <w:r w:rsidR="005F3F03" w:rsidRPr="002D13C9">
        <w:rPr>
          <w:rFonts w:ascii="Times New Roman" w:hAnsi="Times New Roman"/>
          <w:b/>
          <w:lang w:val="en-GB"/>
        </w:rPr>
        <w:fldChar w:fldCharType="separate"/>
      </w:r>
      <w:r w:rsidR="004A0CB7" w:rsidRPr="004A0CB7">
        <w:rPr>
          <w:rFonts w:ascii="Times New Roman" w:hAnsi="Times New Roman"/>
          <w:noProof/>
          <w:lang w:val="en-GB"/>
        </w:rPr>
        <w:t>[35,39,40,44]</w:t>
      </w:r>
      <w:r w:rsidR="005F3F03" w:rsidRPr="002D13C9">
        <w:rPr>
          <w:rFonts w:ascii="Times New Roman" w:hAnsi="Times New Roman"/>
          <w:b/>
          <w:lang w:val="en-GB"/>
        </w:rPr>
        <w:fldChar w:fldCharType="end"/>
      </w:r>
      <w:r w:rsidRPr="002D13C9">
        <w:rPr>
          <w:rFonts w:ascii="Times New Roman" w:hAnsi="Times New Roman"/>
          <w:lang w:val="en-GB"/>
        </w:rPr>
        <w:t>, an expert panel (10 nursing science researchers) and a pilot test with two patients (data included in the results). The intervention occurred on an average 9 days before the operation (range 3-35 days). The goal of the intervention was to increase the patients´ knowledge on preparation for and recovery from spinal stenosis surgery.</w:t>
      </w:r>
      <w:r w:rsidR="005F3F03" w:rsidRPr="002D13C9">
        <w:rPr>
          <w:rFonts w:ascii="Times New Roman" w:hAnsi="Times New Roman"/>
          <w:b/>
          <w:lang w:val="en-GB"/>
        </w:rPr>
        <w:t xml:space="preserve"> </w:t>
      </w:r>
    </w:p>
    <w:p w14:paraId="6B743F96" w14:textId="77777777" w:rsidR="005A5A21" w:rsidRPr="002D13C9" w:rsidRDefault="005A5A21" w:rsidP="005A5A21">
      <w:pPr>
        <w:pStyle w:val="Leipteksti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both"/>
        <w:rPr>
          <w:rFonts w:ascii="Times New Roman" w:hAnsi="Times New Roman"/>
          <w:lang w:val="en-GB"/>
        </w:rPr>
      </w:pPr>
    </w:p>
    <w:p w14:paraId="61218055" w14:textId="08718D9C" w:rsidR="00A17398" w:rsidRDefault="005A5A21" w:rsidP="00086451">
      <w:pPr>
        <w:pStyle w:val="Leipteksti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both"/>
        <w:rPr>
          <w:rFonts w:ascii="Times New Roman" w:hAnsi="Times New Roman"/>
          <w:lang w:val="en-GB"/>
        </w:rPr>
      </w:pPr>
      <w:r w:rsidRPr="002D13C9">
        <w:rPr>
          <w:rFonts w:ascii="Times New Roman" w:hAnsi="Times New Roman"/>
          <w:lang w:val="en-GB"/>
        </w:rPr>
        <w:t xml:space="preserve">The structure of the empowering discourse </w:t>
      </w:r>
      <w:r w:rsidR="00086451" w:rsidRPr="002D13C9">
        <w:rPr>
          <w:rFonts w:ascii="Times New Roman" w:hAnsi="Times New Roman"/>
          <w:b/>
          <w:lang w:val="en-GB"/>
        </w:rPr>
        <w:fldChar w:fldCharType="begin" w:fldLock="1"/>
      </w:r>
      <w:r w:rsidR="00CD1888">
        <w:rPr>
          <w:rFonts w:ascii="Times New Roman" w:hAnsi="Times New Roman"/>
          <w:b/>
          <w:lang w:val="en-GB"/>
        </w:rPr>
        <w:instrText>ADDIN CSL_CITATION { "citationItems" : [ { "id" : "ITEM-1", "itemData" : { "DOI" : "10.1016/j.pec.2006.12.010", "ISSN" : "0738-3991", "PMID" : "17349769", "abstract" : "OBJECTIVE: A systematic literature review, using a metasummary technique for qualitative studies (n=15) was conducted to describe the nature of empowering discourses between patient and nurse. METHODS: Computerised searches from 1995 to October 2005 were conducted on the Ovid Medline database using the keywords empower(*), power(*), resource(*), participat(*), facilitat(*), negotiat(*), communicat(*), interact(*), dialog(*), discours(*), discuss(*), encount(*), conversat(*) and 'nurse-patient relations'. All statements concerning empowering discourse were integrated into 29 abstracted findings. Frequency and intensity effect sizes were then calculated. RESULTS: Empowering discourses vary from study to study. Analysed as a whole, an empowering discourse has specific characteristics and structure. Both patients and nurses have essential roles within this type of discourse and their relationship is characterized by an appreciation of each other's expertise within these roles. CONCLUSION: The results of this review show empowerment during discourse between patient and nurse has a complex and multifaceted but analysable nature. More research is needed to find systematic methods of empowering discourse. PRACTICE IMPLICATIONS: The results of this study increase nurses' understanding of empowering methods in patient education identifying ways of facilitating patient empowerment.", "author" : [ { "dropping-particle" : "", "family" : "Virtanen", "given" : "Heli", "non-dropping-particle" : "", "parse-names" : false, "suffix" : "" }, { "dropping-particle" : "", "family" : "Leino-Kilpi", "given" : "Helena", "non-dropping-particle" : "", "parse-names" : false, "suffix" : "" }, { "dropping-particle" : "", "family" : "Salanter\u00e4", "given" : "Sanna", "non-dropping-particle" : "", "parse-names" : false, "suffix" : "" } ], "container-title" : "Patient education and counseling", "id" : "ITEM-1", "issue" : "2", "issued" : { "date-parts" : [ [ "2007", "5" ] ] }, "page" : "140-146", "title" : "Empowering discourse in patient education", "type" : "article-journal", "volume" : "66" }, "uris" : [ "http://www.mendeley.com/documents/?uuid=51fdf931-4b77-4fed-bd4c-c762ab71364f" ] }, { "id" : "ITEM-2", "itemData" : { "DOI" : "10.1097/01.NCN.0000432119.56581.24", "ISSN" : "1538-9774", "PMID" : "23958965", "abstract" : "Nurses find empowering discourse as a patient education intervention demanding, so using methods that support the constructive learning of empowering discourse during their education would be helpful. The aim of this descriptive, comparative study was to evaluate student control when using a computer simulation program that facilitates learning about empowering discourse. The study hypothesis was as follows: Students can control the use of an empowering discourse computer simulation program regardless of their sociodemographic background and study orientation. In the study, 69 students completed an educational session culminating in a computer simulation in which the students responded to a simulated patient's statements in their choice of six content areas in three sections by using a multiple-choice method, an open-ended method, or both methods. The students used all the options in the program despite their background and study orientations. The findings provided evidence that nursing students had control over the use of the computer simulation program to manage their own learning and were able to construct personal knowledge about empowering discourse using the computer simulation regardless of their study orientations.", "author" : [ { "dropping-particle" : "", "family" : "Virtanen", "given" : "Heli", "non-dropping-particle" : "", "parse-names" : false, "suffix" : "" }, { "dropping-particle" : "", "family" : "Leino-Kilpi", "given" : "Helena", "non-dropping-particle" : "", "parse-names" : false, "suffix" : "" }, { "dropping-particle" : "", "family" : "Leinonen", "given" : "Keijo", "non-dropping-particle" : "", "parse-names" : false, "suffix" : "" }, { "dropping-particle" : "", "family" : "Puukka", "given" : "Pauli", "non-dropping-particle" : "", "parse-names" : false, "suffix" : "" }, { "dropping-particle" : "", "family" : "W\u00f6nts\u00f6", "given" : "Jarkko", "non-dropping-particle" : "", "parse-names" : false, "suffix" : "" }, { "dropping-particle" : "", "family" : "Salanter\u00e4", "given" : "Sanna", "non-dropping-particle" : "", "parse-names" : false, "suffix" : "" } ], "container-title" : "Computers, informatics, nursing : CIN", "id" : "ITEM-2", "issue" : "10", "issued" : { "date-parts" : [ [ "2013" ] ] }, "page" : "512-522", "title" : "Nursing student control over using a computer simulation program about empowering discourse", "type" : "article-journal", "volume" : "31" }, "uris" : [ "http://www.mendeley.com/documents/?uuid=1ecc6426-0ed9-4103-81cb-665b76510b6e" ] } ], "mendeley" : { "formattedCitation" : "[39,40]", "plainTextFormattedCitation" : "[39,40]", "previouslyFormattedCitation" : "[39,40]" }, "properties" : { "noteIndex" : 0 }, "schema" : "https://github.com/citation-style-language/schema/raw/master/csl-citation.json" }</w:instrText>
      </w:r>
      <w:r w:rsidR="00086451" w:rsidRPr="002D13C9">
        <w:rPr>
          <w:rFonts w:ascii="Times New Roman" w:hAnsi="Times New Roman"/>
          <w:b/>
          <w:lang w:val="en-GB"/>
        </w:rPr>
        <w:fldChar w:fldCharType="separate"/>
      </w:r>
      <w:r w:rsidR="004A0CB7" w:rsidRPr="004A0CB7">
        <w:rPr>
          <w:rFonts w:ascii="Times New Roman" w:hAnsi="Times New Roman"/>
          <w:noProof/>
          <w:lang w:val="en-GB"/>
        </w:rPr>
        <w:t>[39,40]</w:t>
      </w:r>
      <w:r w:rsidR="00086451" w:rsidRPr="002D13C9">
        <w:rPr>
          <w:rFonts w:ascii="Times New Roman" w:hAnsi="Times New Roman"/>
          <w:b/>
          <w:lang w:val="en-GB"/>
        </w:rPr>
        <w:fldChar w:fldCharType="end"/>
      </w:r>
      <w:r w:rsidRPr="002D13C9">
        <w:rPr>
          <w:rFonts w:ascii="Times New Roman" w:hAnsi="Times New Roman"/>
          <w:lang w:val="en-GB"/>
        </w:rPr>
        <w:t xml:space="preserve"> was modified for the present study. At baseline (after decision of </w:t>
      </w:r>
      <w:proofErr w:type="gramStart"/>
      <w:r w:rsidRPr="002D13C9">
        <w:rPr>
          <w:rFonts w:ascii="Times New Roman" w:hAnsi="Times New Roman"/>
          <w:lang w:val="en-GB"/>
        </w:rPr>
        <w:t>surgery)</w:t>
      </w:r>
      <w:proofErr w:type="gramEnd"/>
      <w:r w:rsidRPr="002D13C9">
        <w:rPr>
          <w:rFonts w:ascii="Times New Roman" w:hAnsi="Times New Roman"/>
          <w:lang w:val="en-GB"/>
        </w:rPr>
        <w:t xml:space="preserve"> the patient completed a test evaluating his/her knowledge level on issues around the planned surgical treatment (KNOWBACK Test, see below</w:t>
      </w:r>
      <w:r w:rsidRPr="002D13C9">
        <w:rPr>
          <w:rFonts w:ascii="Times New Roman" w:hAnsi="Times New Roman"/>
          <w:szCs w:val="24"/>
          <w:lang w:val="en-GB"/>
        </w:rPr>
        <w:t xml:space="preserve">). </w:t>
      </w:r>
      <w:r w:rsidR="002D13C9" w:rsidRPr="002D13C9">
        <w:rPr>
          <w:rFonts w:ascii="Times New Roman" w:hAnsi="Times New Roman"/>
          <w:szCs w:val="24"/>
          <w:lang w:val="en-GB"/>
        </w:rPr>
        <w:t xml:space="preserve">A copy of the corrected test </w:t>
      </w:r>
      <w:proofErr w:type="gramStart"/>
      <w:r w:rsidR="002D13C9" w:rsidRPr="002D13C9">
        <w:rPr>
          <w:rFonts w:ascii="Times New Roman" w:hAnsi="Times New Roman"/>
          <w:szCs w:val="24"/>
          <w:lang w:val="en-GB"/>
        </w:rPr>
        <w:t>was sent</w:t>
      </w:r>
      <w:proofErr w:type="gramEnd"/>
      <w:r w:rsidR="002D13C9" w:rsidRPr="002D13C9">
        <w:rPr>
          <w:rFonts w:ascii="Times New Roman" w:hAnsi="Times New Roman"/>
          <w:szCs w:val="24"/>
          <w:lang w:val="en-GB"/>
        </w:rPr>
        <w:t xml:space="preserve"> to the patient before the empowering telephone discourse. During the progression phase of the </w:t>
      </w:r>
      <w:proofErr w:type="spellStart"/>
      <w:proofErr w:type="gramStart"/>
      <w:r w:rsidR="002D13C9" w:rsidRPr="002D13C9">
        <w:rPr>
          <w:rFonts w:ascii="Times New Roman" w:hAnsi="Times New Roman"/>
          <w:szCs w:val="24"/>
          <w:lang w:val="en-GB"/>
        </w:rPr>
        <w:t>discourseall</w:t>
      </w:r>
      <w:proofErr w:type="spellEnd"/>
      <w:proofErr w:type="gramEnd"/>
      <w:r w:rsidR="002D13C9" w:rsidRPr="002D13C9">
        <w:rPr>
          <w:rFonts w:ascii="Times New Roman" w:hAnsi="Times New Roman"/>
          <w:szCs w:val="24"/>
          <w:lang w:val="en-GB"/>
        </w:rPr>
        <w:t xml:space="preserve"> right answers were noted and wrong answers were corrected. </w:t>
      </w:r>
      <w:r w:rsidRPr="002D13C9">
        <w:rPr>
          <w:rFonts w:ascii="Times New Roman" w:hAnsi="Times New Roman"/>
          <w:szCs w:val="24"/>
          <w:lang w:val="en-GB"/>
        </w:rPr>
        <w:t xml:space="preserve"> </w:t>
      </w:r>
      <w:r w:rsidRPr="002D13C9">
        <w:rPr>
          <w:rFonts w:ascii="Times New Roman" w:hAnsi="Times New Roman"/>
          <w:b/>
          <w:lang w:val="en-GB"/>
        </w:rPr>
        <w:t>The patient regulated the depth of the discourse by expressing his/her willingness to discuss the different issues either on a general or on a deeper and more detailed level.</w:t>
      </w:r>
      <w:r w:rsidRPr="002D13C9">
        <w:rPr>
          <w:rFonts w:ascii="Times New Roman" w:hAnsi="Times New Roman"/>
          <w:lang w:val="en-GB"/>
        </w:rPr>
        <w:t xml:space="preserve"> The nurse enabled this by open-ended questions and active listening. The mean duration of the discourse was 21 minutes (range 8-65 minutes). </w:t>
      </w:r>
    </w:p>
    <w:p w14:paraId="4B9D50D8" w14:textId="77777777" w:rsidR="00665C39" w:rsidRDefault="00665C39" w:rsidP="00086451">
      <w:pPr>
        <w:pStyle w:val="Leipteksti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both"/>
        <w:rPr>
          <w:rFonts w:ascii="Times New Roman" w:hAnsi="Times New Roman"/>
          <w:lang w:val="en-GB"/>
        </w:rPr>
      </w:pPr>
    </w:p>
    <w:p w14:paraId="16875A71" w14:textId="77777777" w:rsidR="00665C39" w:rsidRPr="004A0CB7" w:rsidRDefault="00665C39">
      <w:pPr>
        <w:rPr>
          <w:rFonts w:ascii="Helvetica" w:eastAsia="ヒラギノ角ゴ Pro W3" w:hAnsi="Helvetica"/>
          <w:color w:val="000000"/>
          <w:szCs w:val="20"/>
          <w:lang w:val="en-US"/>
        </w:rPr>
      </w:pPr>
      <w:r w:rsidRPr="004A0CB7">
        <w:rPr>
          <w:rFonts w:ascii="Helvetica" w:eastAsia="ヒラギノ角ゴ Pro W3" w:hAnsi="Helvetica"/>
          <w:color w:val="000000"/>
          <w:szCs w:val="20"/>
          <w:lang w:val="en-US"/>
        </w:rPr>
        <w:t>------------------------</w:t>
      </w:r>
    </w:p>
    <w:p w14:paraId="2193EF18" w14:textId="77777777" w:rsidR="00665C39" w:rsidRDefault="00665C39" w:rsidP="00086451">
      <w:pPr>
        <w:pStyle w:val="Leipteksti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both"/>
        <w:rPr>
          <w:rFonts w:ascii="Times New Roman" w:hAnsi="Times New Roman"/>
          <w:lang w:val="en-GB"/>
        </w:rPr>
      </w:pPr>
      <w:r>
        <w:rPr>
          <w:rFonts w:ascii="Times New Roman" w:hAnsi="Times New Roman"/>
          <w:lang w:val="en-GB"/>
        </w:rPr>
        <w:t xml:space="preserve">Figure </w:t>
      </w:r>
      <w:proofErr w:type="gramStart"/>
      <w:r>
        <w:rPr>
          <w:rFonts w:ascii="Times New Roman" w:hAnsi="Times New Roman"/>
          <w:lang w:val="en-GB"/>
        </w:rPr>
        <w:t>2</w:t>
      </w:r>
      <w:proofErr w:type="gramEnd"/>
      <w:r>
        <w:rPr>
          <w:rFonts w:ascii="Times New Roman" w:hAnsi="Times New Roman"/>
          <w:lang w:val="en-GB"/>
        </w:rPr>
        <w:t xml:space="preserve"> about here</w:t>
      </w:r>
    </w:p>
    <w:p w14:paraId="4C9B0443" w14:textId="43482171" w:rsidR="00665C39" w:rsidRPr="002D13C9" w:rsidRDefault="00665C39" w:rsidP="00086451">
      <w:pPr>
        <w:pStyle w:val="Leipteksti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both"/>
        <w:rPr>
          <w:rFonts w:ascii="Times New Roman" w:hAnsi="Times New Roman"/>
          <w:lang w:val="en-GB"/>
        </w:rPr>
      </w:pPr>
      <w:r>
        <w:rPr>
          <w:rFonts w:ascii="Times New Roman" w:hAnsi="Times New Roman"/>
          <w:lang w:val="en-GB"/>
        </w:rPr>
        <w:t>-------------------------</w:t>
      </w:r>
    </w:p>
    <w:p w14:paraId="11D6E15A" w14:textId="77777777" w:rsidR="00086451" w:rsidRPr="002D13C9" w:rsidRDefault="00086451" w:rsidP="00086451">
      <w:pPr>
        <w:pStyle w:val="Leipteksti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both"/>
        <w:rPr>
          <w:rFonts w:ascii="Times New Roman" w:eastAsia="Times New Roman" w:hAnsi="Times New Roman"/>
          <w:color w:val="auto"/>
          <w:sz w:val="20"/>
          <w:lang w:val="en-GB" w:bidi="x-none"/>
        </w:rPr>
      </w:pPr>
    </w:p>
    <w:p w14:paraId="5B126704" w14:textId="07704CA4" w:rsidR="009D06F1" w:rsidRPr="002D13C9" w:rsidRDefault="009D06F1" w:rsidP="00A4263F">
      <w:pPr>
        <w:spacing w:line="480" w:lineRule="auto"/>
      </w:pPr>
      <w:r w:rsidRPr="002D13C9">
        <w:rPr>
          <w:i/>
        </w:rPr>
        <w:t>2.</w:t>
      </w:r>
      <w:r w:rsidR="003322D8" w:rsidRPr="002D13C9">
        <w:rPr>
          <w:i/>
        </w:rPr>
        <w:t>8</w:t>
      </w:r>
      <w:r w:rsidRPr="002D13C9">
        <w:rPr>
          <w:i/>
        </w:rPr>
        <w:t xml:space="preserve">. </w:t>
      </w:r>
      <w:r w:rsidR="0047565D" w:rsidRPr="002D13C9">
        <w:rPr>
          <w:i/>
        </w:rPr>
        <w:t>Measurements</w:t>
      </w:r>
    </w:p>
    <w:p w14:paraId="1FB9E06D" w14:textId="63397394" w:rsidR="0047565D" w:rsidRPr="00CE47DE" w:rsidRDefault="0047565D" w:rsidP="00A4263F">
      <w:pPr>
        <w:spacing w:line="480" w:lineRule="auto"/>
      </w:pPr>
      <w:r w:rsidRPr="002D13C9">
        <w:t xml:space="preserve">The </w:t>
      </w:r>
      <w:r w:rsidR="00455CDA" w:rsidRPr="002D13C9">
        <w:t xml:space="preserve">patients´ knowledge level was the primary outcome </w:t>
      </w:r>
      <w:r w:rsidR="00455CDA" w:rsidRPr="002D13C9">
        <w:rPr>
          <w:b/>
        </w:rPr>
        <w:t xml:space="preserve">of </w:t>
      </w:r>
      <w:r w:rsidR="007161FF" w:rsidRPr="002D13C9">
        <w:rPr>
          <w:b/>
        </w:rPr>
        <w:t>this part</w:t>
      </w:r>
      <w:r w:rsidR="007161FF" w:rsidRPr="002D13C9">
        <w:t xml:space="preserve"> of the study</w:t>
      </w:r>
      <w:r w:rsidR="007161FF">
        <w:t xml:space="preserve"> project</w:t>
      </w:r>
      <w:r w:rsidR="00455CDA" w:rsidRPr="00CE47DE">
        <w:t xml:space="preserve">. The measurements </w:t>
      </w:r>
      <w:proofErr w:type="gramStart"/>
      <w:r w:rsidR="00455CDA" w:rsidRPr="00CE47DE">
        <w:t>were scheduled</w:t>
      </w:r>
      <w:proofErr w:type="gramEnd"/>
      <w:r w:rsidR="00455CDA" w:rsidRPr="00CE47DE">
        <w:t xml:space="preserve"> at baseline (T0), </w:t>
      </w:r>
      <w:r w:rsidR="00382892" w:rsidRPr="00CE47DE">
        <w:t>at admission to</w:t>
      </w:r>
      <w:r w:rsidR="00455CDA" w:rsidRPr="00CE47DE">
        <w:t xml:space="preserve"> hospital (T1), on the day before discharge (T2), and at three (T3) and six months (T4) after the </w:t>
      </w:r>
      <w:r w:rsidR="002D13C9">
        <w:t>surgery</w:t>
      </w:r>
      <w:r w:rsidR="00455CDA" w:rsidRPr="00CE47DE">
        <w:t xml:space="preserve"> (Figure 1). Patients </w:t>
      </w:r>
      <w:r w:rsidR="002D13C9">
        <w:rPr>
          <w:b/>
        </w:rPr>
        <w:t xml:space="preserve">in </w:t>
      </w:r>
      <w:r w:rsidR="007161FF" w:rsidRPr="007161FF">
        <w:rPr>
          <w:b/>
        </w:rPr>
        <w:t xml:space="preserve">both study groups </w:t>
      </w:r>
      <w:r w:rsidR="00455CDA" w:rsidRPr="00CE47DE">
        <w:t>completed the data collection questionnaires</w:t>
      </w:r>
      <w:r w:rsidR="00F053C0">
        <w:t xml:space="preserve"> at home </w:t>
      </w:r>
      <w:r w:rsidR="00455CDA" w:rsidRPr="00CE47DE">
        <w:t xml:space="preserve">at T0, T3 and T4; at T1 and </w:t>
      </w:r>
      <w:proofErr w:type="gramStart"/>
      <w:r w:rsidR="00455CDA" w:rsidRPr="00CE47DE">
        <w:t>T2</w:t>
      </w:r>
      <w:proofErr w:type="gramEnd"/>
      <w:r w:rsidR="00455CDA" w:rsidRPr="00CE47DE">
        <w:t xml:space="preserve"> they completed the questionnaires at the hospital ward. At </w:t>
      </w:r>
      <w:proofErr w:type="gramStart"/>
      <w:r w:rsidR="00455CDA" w:rsidRPr="00CE47DE">
        <w:t>T1</w:t>
      </w:r>
      <w:proofErr w:type="gramEnd"/>
      <w:r w:rsidR="00455CDA" w:rsidRPr="00CE47DE">
        <w:t xml:space="preserve"> we also assessed the feasibility of the </w:t>
      </w:r>
      <w:r w:rsidR="00DD61DC" w:rsidRPr="00CE47DE">
        <w:t>KNOWBACK Test</w:t>
      </w:r>
      <w:r w:rsidR="00455CDA" w:rsidRPr="00CE47DE">
        <w:t xml:space="preserve"> from the patients´ perspective.</w:t>
      </w:r>
      <w:r w:rsidR="00CE47DE">
        <w:t xml:space="preserve"> </w:t>
      </w:r>
      <w:r w:rsidR="00CE47DE">
        <w:rPr>
          <w:b/>
        </w:rPr>
        <w:t>T</w:t>
      </w:r>
      <w:r w:rsidR="00CE47DE" w:rsidRPr="00CE47DE">
        <w:rPr>
          <w:b/>
        </w:rPr>
        <w:t xml:space="preserve">he </w:t>
      </w:r>
      <w:proofErr w:type="gramStart"/>
      <w:r w:rsidR="00CE47DE" w:rsidRPr="00CE47DE">
        <w:rPr>
          <w:b/>
        </w:rPr>
        <w:t>data collection was conducted by the research secretary</w:t>
      </w:r>
      <w:r w:rsidR="007161FF">
        <w:rPr>
          <w:b/>
        </w:rPr>
        <w:t xml:space="preserve"> blinded to </w:t>
      </w:r>
      <w:r w:rsidR="002D13C9">
        <w:rPr>
          <w:b/>
        </w:rPr>
        <w:t xml:space="preserve">the </w:t>
      </w:r>
      <w:r w:rsidR="007161FF">
        <w:rPr>
          <w:b/>
        </w:rPr>
        <w:t>study group allocation</w:t>
      </w:r>
      <w:proofErr w:type="gramEnd"/>
      <w:r w:rsidR="00CE47DE" w:rsidRPr="00CE47DE">
        <w:rPr>
          <w:b/>
        </w:rPr>
        <w:t>.</w:t>
      </w:r>
    </w:p>
    <w:p w14:paraId="0A61EBA0" w14:textId="77777777" w:rsidR="0047565D" w:rsidRPr="00CE47DE" w:rsidRDefault="0047565D" w:rsidP="00A4263F">
      <w:pPr>
        <w:spacing w:line="480" w:lineRule="auto"/>
      </w:pPr>
    </w:p>
    <w:p w14:paraId="6C90CFEC" w14:textId="77777777" w:rsidR="007C4841" w:rsidRDefault="00FC7756" w:rsidP="00A4263F">
      <w:pPr>
        <w:spacing w:line="480" w:lineRule="auto"/>
      </w:pPr>
      <w:r w:rsidRPr="00CE47DE">
        <w:rPr>
          <w:i/>
        </w:rPr>
        <w:t>2.</w:t>
      </w:r>
      <w:r w:rsidR="003322D8" w:rsidRPr="00CE47DE">
        <w:rPr>
          <w:i/>
        </w:rPr>
        <w:t>8</w:t>
      </w:r>
      <w:r w:rsidRPr="00CE47DE">
        <w:rPr>
          <w:i/>
        </w:rPr>
        <w:t>.</w:t>
      </w:r>
      <w:r w:rsidR="0061385C" w:rsidRPr="00CE47DE">
        <w:rPr>
          <w:i/>
        </w:rPr>
        <w:t>1</w:t>
      </w:r>
      <w:r w:rsidRPr="00CE47DE">
        <w:rPr>
          <w:i/>
        </w:rPr>
        <w:t>.</w:t>
      </w:r>
      <w:r w:rsidR="003B4AF3" w:rsidRPr="00CE47DE">
        <w:rPr>
          <w:i/>
        </w:rPr>
        <w:t xml:space="preserve"> </w:t>
      </w:r>
      <w:r w:rsidR="00DD61DC" w:rsidRPr="00CE47DE">
        <w:rPr>
          <w:i/>
        </w:rPr>
        <w:t>KNOWBACK Test</w:t>
      </w:r>
    </w:p>
    <w:p w14:paraId="53E69810" w14:textId="7F2AE742" w:rsidR="005E7205" w:rsidRPr="007C4841" w:rsidRDefault="002D13C9" w:rsidP="00A4263F">
      <w:pPr>
        <w:spacing w:line="480" w:lineRule="auto"/>
        <w:rPr>
          <w:i/>
        </w:rPr>
      </w:pPr>
      <w:r>
        <w:rPr>
          <w:b/>
        </w:rPr>
        <w:t>The theoretical</w:t>
      </w:r>
      <w:r w:rsidR="006D0C27" w:rsidRPr="00CE47DE">
        <w:rPr>
          <w:b/>
        </w:rPr>
        <w:t xml:space="preserve"> </w:t>
      </w:r>
      <w:r>
        <w:rPr>
          <w:b/>
        </w:rPr>
        <w:t xml:space="preserve">bases </w:t>
      </w:r>
      <w:r w:rsidR="007C4841">
        <w:rPr>
          <w:b/>
        </w:rPr>
        <w:t>of t</w:t>
      </w:r>
      <w:r w:rsidR="007C4841" w:rsidRPr="00CE47DE">
        <w:t>he KNOWBACK Test</w:t>
      </w:r>
      <w:r w:rsidR="007C4841" w:rsidRPr="00CE47DE">
        <w:rPr>
          <w:b/>
        </w:rPr>
        <w:t xml:space="preserve"> </w:t>
      </w:r>
      <w:r w:rsidR="006D0C27" w:rsidRPr="00CE47DE">
        <w:rPr>
          <w:b/>
        </w:rPr>
        <w:t xml:space="preserve">is </w:t>
      </w:r>
      <w:r w:rsidR="00B81701">
        <w:rPr>
          <w:b/>
        </w:rPr>
        <w:t xml:space="preserve">the </w:t>
      </w:r>
      <w:r w:rsidR="006D0C27" w:rsidRPr="00CE47DE">
        <w:rPr>
          <w:b/>
        </w:rPr>
        <w:t xml:space="preserve">six-dimensional empowering knowledge  </w:t>
      </w:r>
      <w:r w:rsidR="00A564B8" w:rsidRPr="00CE47DE">
        <w:rPr>
          <w:b/>
        </w:rPr>
        <w:fldChar w:fldCharType="begin" w:fldLock="1"/>
      </w:r>
      <w:r w:rsidR="0068258A">
        <w:rPr>
          <w:b/>
        </w:rPr>
        <w:instrText>ADDIN CSL_CITATION { "citationItems" : [ { "id" : "ITEM-1", "itemData" : { "DOI" : "10.1097/01376517-199804000-00005", "ISSN" : "0888-0395", "PMID" : "9642619", "abstract" : "Elements of empowerment are: cognitive, experiential, ethical, social, biophysiological, functional and economic. Empirical data from 64 Finnish multiple sclerosis patients were collected. Based on the data, the social element is the most dominating element of empowerment. Patient-center research in nursing care of MS patients should be done to facilitate MS patients abilities toward empowerment.", "author" : [ { "dropping-particle" : "", "family" : "Leino-Kilpi", "given" : "Helena", "non-dropping-particle" : "", "parse-names" : false, "suffix" : "" }, { "dropping-particle" : "", "family" : "Luoto", "given" : "Eija", "non-dropping-particle" : "", "parse-names" : false, "suffix" : "" }, { "dropping-particle" : "", "family" : "Katajisto", "given" : "Jouko", "non-dropping-particle" : "", "parse-names" : false, "suffix" : "" } ], "container-title" : "The Journal of neuroscience nursing : journal of the American Association of Neuroscience Nurses", "id" : "ITEM-1", "issue" : "2", "issued" : { "date-parts" : [ [ "1998" ] ] }, "page" : "116-123", "title" : "Elements of empowerment and MS patients", "type" : "article-journal", "volume" : "30" }, "uris" : [ "http://www.mendeley.com/documents/?uuid=e50b4231-3523-4ef1-b4c1-48ef62a8d272" ] }, { "id" : "ITEM-2",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"ITEM-2", "issue" : "2", "issued" : { "date-parts" : [ [ "2007" ] ] }, "page" : "113-119", "title" : "Expectations and received knowledge by surgical patients", "type" : "article-journal", "volume" : "19" }, "uris" : [ "http://www.mendeley.com/documents/?uuid=1c76ddb1-6c98-420b-bd6d-a8b6d62b77e6" ] } ], "mendeley" : { "formattedCitation" : "[11,20]", "plainTextFormattedCitation" : "[11,20]", "previouslyFormattedCitation" : "[11,20]" }, "properties" : { "noteIndex" : 0 }, "schema" : "https://github.com/citation-style-language/schema/raw/master/csl-citation.json" }</w:instrText>
      </w:r>
      <w:r w:rsidR="00A564B8" w:rsidRPr="00CE47DE">
        <w:rPr>
          <w:b/>
        </w:rPr>
        <w:fldChar w:fldCharType="separate"/>
      </w:r>
      <w:r w:rsidR="004A0CB7" w:rsidRPr="004A0CB7">
        <w:rPr>
          <w:noProof/>
        </w:rPr>
        <w:t>[11,20]</w:t>
      </w:r>
      <w:r w:rsidR="00A564B8" w:rsidRPr="00CE47DE">
        <w:rPr>
          <w:b/>
        </w:rPr>
        <w:fldChar w:fldCharType="end"/>
      </w:r>
      <w:r w:rsidR="006D0C27" w:rsidRPr="00CE47DE">
        <w:rPr>
          <w:b/>
        </w:rPr>
        <w:t xml:space="preserve"> </w:t>
      </w:r>
      <w:r>
        <w:rPr>
          <w:b/>
        </w:rPr>
        <w:t>with</w:t>
      </w:r>
      <w:r w:rsidR="00B81701">
        <w:rPr>
          <w:b/>
        </w:rPr>
        <w:t>in the framework of the surgical pathway of spinal stenosis patients</w:t>
      </w:r>
      <w:r>
        <w:rPr>
          <w:b/>
        </w:rPr>
        <w:t>,</w:t>
      </w:r>
      <w:r w:rsidR="00B81701">
        <w:rPr>
          <w:b/>
        </w:rPr>
        <w:t xml:space="preserve"> </w:t>
      </w:r>
      <w:r w:rsidR="00DB6E12" w:rsidRPr="00CE47DE">
        <w:rPr>
          <w:b/>
        </w:rPr>
        <w:t>i.e</w:t>
      </w:r>
      <w:r w:rsidR="00B81701">
        <w:rPr>
          <w:b/>
        </w:rPr>
        <w:t>.</w:t>
      </w:r>
      <w:r w:rsidR="00DB6E12" w:rsidRPr="00CE47DE">
        <w:rPr>
          <w:b/>
        </w:rPr>
        <w:t xml:space="preserve"> knowledge related to</w:t>
      </w:r>
      <w:r>
        <w:rPr>
          <w:b/>
        </w:rPr>
        <w:t xml:space="preserve"> the</w:t>
      </w:r>
      <w:r w:rsidR="00DB6E12" w:rsidRPr="00CE47DE">
        <w:rPr>
          <w:b/>
        </w:rPr>
        <w:t xml:space="preserve"> pre-, </w:t>
      </w:r>
      <w:proofErr w:type="spellStart"/>
      <w:r w:rsidR="00DB6E12" w:rsidRPr="00CE47DE">
        <w:rPr>
          <w:b/>
        </w:rPr>
        <w:t>peri</w:t>
      </w:r>
      <w:proofErr w:type="spellEnd"/>
      <w:r w:rsidR="00DB6E12" w:rsidRPr="00CE47DE">
        <w:rPr>
          <w:b/>
        </w:rPr>
        <w:t>- and postopera</w:t>
      </w:r>
      <w:r w:rsidR="00B81701">
        <w:rPr>
          <w:b/>
        </w:rPr>
        <w:t>tive phases of surgical process</w:t>
      </w:r>
      <w:r w:rsidR="00A2653E" w:rsidRPr="00CE47DE">
        <w:rPr>
          <w:b/>
        </w:rPr>
        <w:t>.</w:t>
      </w:r>
      <w:r w:rsidR="00455CDA" w:rsidRPr="00CE47DE">
        <w:rPr>
          <w:b/>
        </w:rPr>
        <w:t xml:space="preserve"> </w:t>
      </w:r>
      <w:r w:rsidR="006D0C27" w:rsidRPr="00CE47DE">
        <w:rPr>
          <w:b/>
        </w:rPr>
        <w:t xml:space="preserve">A first draft of the test (28 items) </w:t>
      </w:r>
      <w:proofErr w:type="gramStart"/>
      <w:r w:rsidR="006D0C27" w:rsidRPr="00CE47DE">
        <w:rPr>
          <w:b/>
        </w:rPr>
        <w:t>was based</w:t>
      </w:r>
      <w:proofErr w:type="gramEnd"/>
      <w:r w:rsidR="006D0C27" w:rsidRPr="00CE47DE">
        <w:rPr>
          <w:b/>
        </w:rPr>
        <w:t xml:space="preserve"> on the existing literature </w:t>
      </w:r>
      <w:r w:rsidR="00455CDA" w:rsidRPr="00CE47DE">
        <w:rPr>
          <w:b/>
        </w:rPr>
        <w:t>and on the educational material of the hospital</w:t>
      </w:r>
      <w:r w:rsidR="00455CDA" w:rsidRPr="00CE47DE">
        <w:t xml:space="preserve">. In the second phase, an expert panel (3 nurses, 1 physiotherapist, </w:t>
      </w:r>
      <w:proofErr w:type="gramStart"/>
      <w:r w:rsidR="00455CDA" w:rsidRPr="00CE47DE">
        <w:t>1</w:t>
      </w:r>
      <w:proofErr w:type="gramEnd"/>
      <w:r w:rsidR="00455CDA" w:rsidRPr="00CE47DE">
        <w:t xml:space="preserve"> clinical nurse specialist) assessed the adequacy and clarity of the test items</w:t>
      </w:r>
      <w:r w:rsidR="003067D0" w:rsidRPr="00CE47DE">
        <w:t xml:space="preserve"> </w:t>
      </w:r>
      <w:r w:rsidR="005D7635" w:rsidRPr="00CE47DE">
        <w:rPr>
          <w:b/>
        </w:rPr>
        <w:t>based on content validity index</w:t>
      </w:r>
      <w:r w:rsidR="00651951" w:rsidRPr="00CE47DE">
        <w:rPr>
          <w:b/>
        </w:rPr>
        <w:t xml:space="preserve"> (CVI)</w:t>
      </w:r>
      <w:r w:rsidR="00455CDA" w:rsidRPr="00CE47DE">
        <w:rPr>
          <w:b/>
        </w:rPr>
        <w:t xml:space="preserve">. </w:t>
      </w:r>
      <w:r w:rsidR="00697B08" w:rsidRPr="00CE47DE">
        <w:rPr>
          <w:b/>
        </w:rPr>
        <w:t xml:space="preserve">The expert panel negotiated until they achieved </w:t>
      </w:r>
      <w:r w:rsidR="00651951" w:rsidRPr="00CE47DE">
        <w:rPr>
          <w:b/>
        </w:rPr>
        <w:t xml:space="preserve">CVI 0.8 </w:t>
      </w:r>
      <w:r w:rsidR="000E7139">
        <w:rPr>
          <w:b/>
        </w:rPr>
        <w:fldChar w:fldCharType="begin" w:fldLock="1"/>
      </w:r>
      <w:r w:rsidR="0068258A">
        <w:rPr>
          <w:b/>
        </w:rPr>
        <w:instrText>ADDIN CSL_CITATION { "citationItems" : [ { "id" : "ITEM-1", "itemData" : { "author" : [ { "dropping-particle" : "", "family" : "Lynn", "given" : "M. R.", "non-dropping-particle" : "", "parse-names" : false, "suffix" : "" } ], "container-title" : "Nursing research", "id" : "ITEM-1", "issue" : "6", "issued" : { "date-parts" : [ [ "1986" ] ] }, "page" : "382 -385", "title" : "Determination and quantification of content validity", "type" : "article-journal", "volume" : "35" }, "uris" : [ "http://www.mendeley.com/documents/?uuid=9a07da63-5549-46d1-b555-965fbec4a75f" ] } ], "mendeley" : { "formattedCitation" : "[45]", "plainTextFormattedCitation" : "[45]", "previouslyFormattedCitation" : "[45]" }, "properties" : { "noteIndex" : 0 }, "schema" : "https://github.com/citation-style-language/schema/raw/master/csl-citation.json" }</w:instrText>
      </w:r>
      <w:r w:rsidR="000E7139">
        <w:rPr>
          <w:b/>
        </w:rPr>
        <w:fldChar w:fldCharType="separate"/>
      </w:r>
      <w:r w:rsidR="004A0CB7" w:rsidRPr="004A0CB7">
        <w:rPr>
          <w:noProof/>
        </w:rPr>
        <w:t>[45]</w:t>
      </w:r>
      <w:r w:rsidR="000E7139">
        <w:rPr>
          <w:b/>
        </w:rPr>
        <w:fldChar w:fldCharType="end"/>
      </w:r>
      <w:r w:rsidR="00697B08" w:rsidRPr="00CE47DE">
        <w:rPr>
          <w:b/>
        </w:rPr>
        <w:t>.</w:t>
      </w:r>
      <w:r w:rsidR="00697B08" w:rsidRPr="00CE47DE">
        <w:t xml:space="preserve">   </w:t>
      </w:r>
      <w:r w:rsidR="00455CDA" w:rsidRPr="00CE47DE">
        <w:t xml:space="preserve">One item concerning the possibility of waking up during </w:t>
      </w:r>
      <w:r w:rsidR="00CE47DE" w:rsidRPr="00CE47DE">
        <w:t>anaesthesia</w:t>
      </w:r>
      <w:r w:rsidR="00455CDA" w:rsidRPr="00CE47DE">
        <w:t xml:space="preserve"> </w:t>
      </w:r>
      <w:proofErr w:type="gramStart"/>
      <w:r w:rsidR="00455CDA" w:rsidRPr="00CE47DE">
        <w:t xml:space="preserve">was </w:t>
      </w:r>
      <w:r>
        <w:t>left out</w:t>
      </w:r>
      <w:proofErr w:type="gramEnd"/>
      <w:r>
        <w:t xml:space="preserve"> because it was </w:t>
      </w:r>
      <w:r w:rsidR="00455CDA" w:rsidRPr="00CE47DE">
        <w:t>considered to</w:t>
      </w:r>
      <w:r>
        <w:t>o frightening</w:t>
      </w:r>
      <w:r w:rsidR="00455CDA" w:rsidRPr="00CE47DE">
        <w:t xml:space="preserve">. Three additional items </w:t>
      </w:r>
      <w:proofErr w:type="gramStart"/>
      <w:r w:rsidR="00455CDA" w:rsidRPr="00CE47DE">
        <w:t>were reworded</w:t>
      </w:r>
      <w:proofErr w:type="gramEnd"/>
      <w:r w:rsidR="00455CDA" w:rsidRPr="00CE47DE">
        <w:t xml:space="preserve"> for clarity. In the third phase</w:t>
      </w:r>
      <w:r>
        <w:t>, a patient panel with 10 spine</w:t>
      </w:r>
      <w:r w:rsidR="00455CDA" w:rsidRPr="00CE47DE">
        <w:t xml:space="preserve"> surgery patients assessed the adequacy and clarity of the test. </w:t>
      </w:r>
      <w:r w:rsidR="00641C21" w:rsidRPr="00CE47DE">
        <w:t>They suggested no additional modifications</w:t>
      </w:r>
      <w:r w:rsidR="00455CDA" w:rsidRPr="00CE47DE">
        <w:t>.</w:t>
      </w:r>
    </w:p>
    <w:p w14:paraId="37D3A469" w14:textId="77777777" w:rsidR="005E7205" w:rsidRPr="00CE47DE" w:rsidRDefault="005E7205" w:rsidP="00A4263F">
      <w:pPr>
        <w:spacing w:line="480" w:lineRule="auto"/>
      </w:pPr>
    </w:p>
    <w:p w14:paraId="6BB51FB2" w14:textId="62DD396C" w:rsidR="002161C8" w:rsidRPr="00CE47DE" w:rsidRDefault="000B6289" w:rsidP="00A4263F">
      <w:pPr>
        <w:spacing w:line="480" w:lineRule="auto"/>
      </w:pPr>
      <w:r w:rsidRPr="00CE47DE">
        <w:t>At this point, t</w:t>
      </w:r>
      <w:r w:rsidR="00455CDA" w:rsidRPr="00CE47DE">
        <w:t xml:space="preserve">he </w:t>
      </w:r>
      <w:r w:rsidR="00DD61DC" w:rsidRPr="00CE47DE">
        <w:t>KNOWBACK Test</w:t>
      </w:r>
      <w:r w:rsidR="00455CDA" w:rsidRPr="00CE47DE">
        <w:t xml:space="preserve"> consisted of a total of 27 items and 6 subscales according to the dim</w:t>
      </w:r>
      <w:r w:rsidR="00667E29" w:rsidRPr="00CE47DE">
        <w:t>ensions of empowering knowledge</w:t>
      </w:r>
      <w:r w:rsidR="00455CDA" w:rsidRPr="00CE47DE">
        <w:t xml:space="preserve"> </w:t>
      </w:r>
      <w:r w:rsidR="00A564B8" w:rsidRPr="00CE47DE">
        <w:fldChar w:fldCharType="begin" w:fldLock="1"/>
      </w:r>
      <w:r w:rsidR="0068258A">
        <w:instrText>ADDIN CSL_CITATION { "citationItems" : [ { "id" : "ITEM-1", "itemData" : { "DOI" : "10.1097/01376517-199804000-00005", "ISSN" : "0888-0395", "PMID" : "9642619", "abstract" : "Elements of empowerment are: cognitive, experiential, ethical, social, biophysiological, functional and economic. Empirical data from 64 Finnish multiple sclerosis patients were collected. Based on the data, the social element is the most dominating element of empowerment. Patient-center research in nursing care of MS patients should be done to facilitate MS patients abilities toward empowerment.", "author" : [ { "dropping-particle" : "", "family" : "Leino-Kilpi", "given" : "Helena", "non-dropping-particle" : "", "parse-names" : false, "suffix" : "" }, { "dropping-particle" : "", "family" : "Luoto", "given" : "Eija", "non-dropping-particle" : "", "parse-names" : false, "suffix" : "" }, { "dropping-particle" : "", "family" : "Katajisto", "given" : "Jouko", "non-dropping-particle" : "", "parse-names" : false, "suffix" : "" } ], "container-title" : "The Journal of neuroscience nursing : journal of the American Association of Neuroscience Nurses", "id" : "ITEM-1", "issue" : "2", "issued" : { "date-parts" : [ [ "1998" ] ] }, "page" : "116-123", "title" : "Elements of empowerment and MS patients", "type" : "article-journal", "volume" : "30" }, "uris" : [ "http://www.mendeley.com/documents/?uuid=e50b4231-3523-4ef1-b4c1-48ef62a8d272" ] }, { "id" : "ITEM-2",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"ITEM-2", "issue" : "2", "issued" : { "date-parts" : [ [ "2007" ] ] }, "page" : "113-119", "title" : "Expectations and received knowledge by surgical patients", "type" : "article-journal", "volume" : "19" }, "uris" : [ "http://www.mendeley.com/documents/?uuid=1c76ddb1-6c98-420b-bd6d-a8b6d62b77e6" ] } ], "mendeley" : { "formattedCitation" : "[11,20]", "plainTextFormattedCitation" : "[11,20]", "previouslyFormattedCitation" : "[11,20]" }, "properties" : { "noteIndex" : 0 }, "schema" : "https://github.com/citation-style-language/schema/raw/master/csl-citation.json" }</w:instrText>
      </w:r>
      <w:r w:rsidR="00A564B8" w:rsidRPr="00CE47DE">
        <w:fldChar w:fldCharType="separate"/>
      </w:r>
      <w:r w:rsidR="004A0CB7" w:rsidRPr="004A0CB7">
        <w:rPr>
          <w:noProof/>
        </w:rPr>
        <w:t>[11,20]</w:t>
      </w:r>
      <w:r w:rsidR="00A564B8" w:rsidRPr="00CE47DE">
        <w:fldChar w:fldCharType="end"/>
      </w:r>
      <w:r w:rsidR="00112EA8" w:rsidRPr="00CE47DE">
        <w:t xml:space="preserve"> </w:t>
      </w:r>
      <w:r w:rsidR="00BF0707" w:rsidRPr="00CE47DE">
        <w:t>(</w:t>
      </w:r>
      <w:r w:rsidR="00B7268A" w:rsidRPr="00CE47DE">
        <w:t>Figure 2</w:t>
      </w:r>
      <w:r w:rsidR="00BF0707" w:rsidRPr="00CE47DE">
        <w:t>)</w:t>
      </w:r>
      <w:r w:rsidR="00667E29" w:rsidRPr="00CE47DE">
        <w:t>.</w:t>
      </w:r>
      <w:r w:rsidR="00455CDA" w:rsidRPr="00CE47DE">
        <w:t xml:space="preserve"> Possible responses to each individual item </w:t>
      </w:r>
      <w:proofErr w:type="gramStart"/>
      <w:r w:rsidR="002161C8" w:rsidRPr="00CE47DE">
        <w:t>were ”</w:t>
      </w:r>
      <w:proofErr w:type="gramEnd"/>
      <w:r w:rsidR="00971BA4" w:rsidRPr="00CE47DE">
        <w:t>true</w:t>
      </w:r>
      <w:r w:rsidR="00455CDA" w:rsidRPr="00CE47DE">
        <w:t xml:space="preserve">”, ”false” or ”do not know” (examples in </w:t>
      </w:r>
      <w:r w:rsidR="00266FC5" w:rsidRPr="00CE47DE">
        <w:t>Table 1</w:t>
      </w:r>
      <w:r w:rsidR="00455CDA" w:rsidRPr="00CE47DE">
        <w:t>). The total test score</w:t>
      </w:r>
      <w:r w:rsidR="005D7635" w:rsidRPr="00CE47DE">
        <w:t xml:space="preserve"> </w:t>
      </w:r>
      <w:r w:rsidR="00CE47DE">
        <w:t>(</w:t>
      </w:r>
      <w:r w:rsidR="005D7635" w:rsidRPr="00CE47DE">
        <w:rPr>
          <w:b/>
        </w:rPr>
        <w:t>range</w:t>
      </w:r>
      <w:r w:rsidR="00455CDA" w:rsidRPr="00CE47DE">
        <w:rPr>
          <w:b/>
        </w:rPr>
        <w:t xml:space="preserve"> </w:t>
      </w:r>
      <w:r w:rsidR="005D7635" w:rsidRPr="00CE47DE">
        <w:rPr>
          <w:b/>
        </w:rPr>
        <w:t>0–27</w:t>
      </w:r>
      <w:r w:rsidR="00CE47DE">
        <w:rPr>
          <w:b/>
        </w:rPr>
        <w:t>)</w:t>
      </w:r>
      <w:r w:rsidR="005D7635" w:rsidRPr="00CE47DE">
        <w:t xml:space="preserve"> </w:t>
      </w:r>
      <w:r w:rsidR="00455CDA" w:rsidRPr="00CE47DE">
        <w:lastRenderedPageBreak/>
        <w:t xml:space="preserve">was calculated by giving a score of 1 to a correct response, and a score of 0 to an incorrect, missing </w:t>
      </w:r>
      <w:proofErr w:type="gramStart"/>
      <w:r w:rsidR="00455CDA" w:rsidRPr="00CE47DE">
        <w:t>or ”</w:t>
      </w:r>
      <w:proofErr w:type="gramEnd"/>
      <w:r w:rsidR="00455CDA" w:rsidRPr="00CE47DE">
        <w:t xml:space="preserve">do not know” response. </w:t>
      </w:r>
      <w:r w:rsidR="002641C5" w:rsidRPr="00CE47DE">
        <w:t>Thus,</w:t>
      </w:r>
      <w:r w:rsidR="00455CDA" w:rsidRPr="00CE47DE">
        <w:t xml:space="preserve"> the scores of correct answers constituted the patient´s knowledge level. The scores </w:t>
      </w:r>
      <w:proofErr w:type="gramStart"/>
      <w:r w:rsidR="00455CDA" w:rsidRPr="00CE47DE">
        <w:t>were calculated</w:t>
      </w:r>
      <w:proofErr w:type="gramEnd"/>
      <w:r w:rsidR="00455CDA" w:rsidRPr="00CE47DE">
        <w:t xml:space="preserve"> for the whole </w:t>
      </w:r>
      <w:r w:rsidR="00DD61DC" w:rsidRPr="00CE47DE">
        <w:t xml:space="preserve">KNOWBACK </w:t>
      </w:r>
      <w:r w:rsidR="00A651C7" w:rsidRPr="00CE47DE">
        <w:t>Test</w:t>
      </w:r>
      <w:r w:rsidR="00455CDA" w:rsidRPr="00CE47DE">
        <w:t xml:space="preserve"> and for each subscale separately.</w:t>
      </w:r>
      <w:r w:rsidR="00CE47DE">
        <w:t xml:space="preserve"> </w:t>
      </w:r>
    </w:p>
    <w:p w14:paraId="70831BD8" w14:textId="49727E35" w:rsidR="006F3409" w:rsidRPr="00CE47DE" w:rsidRDefault="005E5B92" w:rsidP="006F3409">
      <w:pPr>
        <w:spacing w:line="480" w:lineRule="auto"/>
      </w:pPr>
      <w:r w:rsidRPr="00CE47DE">
        <w:t>------------------------</w:t>
      </w:r>
    </w:p>
    <w:p w14:paraId="302F72E0" w14:textId="59774544" w:rsidR="00FD6508" w:rsidRPr="00CE47DE" w:rsidRDefault="00266FC5" w:rsidP="006F3409">
      <w:pPr>
        <w:spacing w:line="480" w:lineRule="auto"/>
      </w:pPr>
      <w:r w:rsidRPr="00CE47DE">
        <w:t>Table 1</w:t>
      </w:r>
      <w:r w:rsidR="00FD6508" w:rsidRPr="00CE47DE">
        <w:t xml:space="preserve"> about here</w:t>
      </w:r>
    </w:p>
    <w:p w14:paraId="118900BD" w14:textId="77777777" w:rsidR="002161C8" w:rsidRPr="00CE47DE" w:rsidRDefault="002161C8">
      <w:r w:rsidRPr="00CE47DE">
        <w:t>------------------------</w:t>
      </w:r>
    </w:p>
    <w:p w14:paraId="1E8DE288" w14:textId="3D0C0783" w:rsidR="002161C8" w:rsidRPr="00CE47DE" w:rsidRDefault="002161C8" w:rsidP="006F3409">
      <w:pPr>
        <w:spacing w:line="480" w:lineRule="auto"/>
      </w:pPr>
    </w:p>
    <w:p w14:paraId="5581107B" w14:textId="4A5943D2" w:rsidR="00AD7AA6" w:rsidRPr="00CE47DE" w:rsidRDefault="000B6289" w:rsidP="006F3409">
      <w:pPr>
        <w:spacing w:line="480" w:lineRule="auto"/>
      </w:pPr>
      <w:r w:rsidRPr="00CE47DE">
        <w:t xml:space="preserve">Finally, </w:t>
      </w:r>
      <w:r w:rsidR="00C356F9">
        <w:t>50 spine</w:t>
      </w:r>
      <w:r w:rsidR="002161C8" w:rsidRPr="00CE47DE">
        <w:t xml:space="preserve"> surgery patients</w:t>
      </w:r>
      <w:r w:rsidRPr="00CE47DE">
        <w:t xml:space="preserve"> who were not part of the present </w:t>
      </w:r>
      <w:proofErr w:type="gramStart"/>
      <w:r w:rsidRPr="00CE47DE">
        <w:t>study,</w:t>
      </w:r>
      <w:proofErr w:type="gramEnd"/>
      <w:r w:rsidR="002161C8" w:rsidRPr="00CE47DE">
        <w:t xml:space="preserve"> completed the </w:t>
      </w:r>
      <w:r w:rsidR="00DD61DC" w:rsidRPr="00CE47DE">
        <w:t>KNOWBACK Test</w:t>
      </w:r>
      <w:r w:rsidR="002161C8" w:rsidRPr="00CE47DE">
        <w:t xml:space="preserve"> before their scheduled </w:t>
      </w:r>
      <w:r w:rsidR="00C356F9">
        <w:t>surgery</w:t>
      </w:r>
      <w:r w:rsidR="002161C8" w:rsidRPr="00CE47DE">
        <w:t>. In this pilot study, the percentage</w:t>
      </w:r>
      <w:r w:rsidR="00667E29" w:rsidRPr="00CE47DE">
        <w:t xml:space="preserve"> of correct answers on</w:t>
      </w:r>
      <w:r w:rsidR="002161C8" w:rsidRPr="00CE47DE">
        <w:t xml:space="preserve"> </w:t>
      </w:r>
      <w:r w:rsidRPr="00CE47DE">
        <w:t xml:space="preserve">an </w:t>
      </w:r>
      <w:r w:rsidR="002161C8" w:rsidRPr="00CE47DE">
        <w:t xml:space="preserve">item </w:t>
      </w:r>
      <w:r w:rsidR="00667E29" w:rsidRPr="00CE47DE">
        <w:t xml:space="preserve">level </w:t>
      </w:r>
      <w:r w:rsidR="002161C8" w:rsidRPr="00CE47DE">
        <w:t xml:space="preserve">ranged from </w:t>
      </w:r>
      <w:proofErr w:type="gramStart"/>
      <w:r w:rsidR="002161C8" w:rsidRPr="00CE47DE">
        <w:t>1</w:t>
      </w:r>
      <w:proofErr w:type="gramEnd"/>
      <w:r w:rsidR="002161C8" w:rsidRPr="00CE47DE">
        <w:t xml:space="preserve"> to 91</w:t>
      </w:r>
      <w:r w:rsidR="007B1D9C">
        <w:t xml:space="preserve"> </w:t>
      </w:r>
      <w:r w:rsidR="002161C8" w:rsidRPr="00CE47DE">
        <w:t>%</w:t>
      </w:r>
      <w:r w:rsidR="00FA0819" w:rsidRPr="00CE47DE">
        <w:t xml:space="preserve">, </w:t>
      </w:r>
      <w:r w:rsidR="00EF7A26">
        <w:t xml:space="preserve">with </w:t>
      </w:r>
      <w:r w:rsidR="00FA0819" w:rsidRPr="00CE47DE">
        <w:t>SD of the different items</w:t>
      </w:r>
      <w:r w:rsidR="002161C8" w:rsidRPr="00CE47DE">
        <w:t xml:space="preserve"> </w:t>
      </w:r>
      <w:r w:rsidR="007B1D9C">
        <w:t xml:space="preserve">ranging between </w:t>
      </w:r>
      <w:r w:rsidR="002161C8" w:rsidRPr="00CE47DE">
        <w:t>12</w:t>
      </w:r>
      <w:r w:rsidR="00FA0819" w:rsidRPr="00CE47DE">
        <w:t>–</w:t>
      </w:r>
      <w:r w:rsidR="00DB7D15" w:rsidRPr="00CE47DE">
        <w:t>50</w:t>
      </w:r>
      <w:r w:rsidR="007B1D9C">
        <w:t xml:space="preserve"> %</w:t>
      </w:r>
      <w:r w:rsidR="00FA0819" w:rsidRPr="00CE47DE">
        <w:t>.</w:t>
      </w:r>
      <w:r w:rsidRPr="00CE47DE">
        <w:t xml:space="preserve"> </w:t>
      </w:r>
    </w:p>
    <w:p w14:paraId="5BAC361D" w14:textId="77777777" w:rsidR="002161C8" w:rsidRPr="00CE47DE" w:rsidRDefault="002161C8" w:rsidP="006F3409">
      <w:pPr>
        <w:spacing w:line="480" w:lineRule="auto"/>
      </w:pPr>
    </w:p>
    <w:p w14:paraId="589CBBC0" w14:textId="19C28BDF" w:rsidR="002161C8" w:rsidRPr="00CE47DE" w:rsidRDefault="00B75FB1" w:rsidP="00FD2013">
      <w:pPr>
        <w:spacing w:line="480" w:lineRule="auto"/>
      </w:pPr>
      <w:r>
        <w:t>We</w:t>
      </w:r>
      <w:r w:rsidR="002161C8" w:rsidRPr="00CE47DE">
        <w:t xml:space="preserve"> used the Back Pain Knowledge test</w:t>
      </w:r>
      <w:r w:rsidR="0079512A" w:rsidRPr="00CE47DE">
        <w:t xml:space="preserve"> </w:t>
      </w:r>
      <w:r w:rsidR="001E78AD" w:rsidRPr="00CE47DE">
        <w:fldChar w:fldCharType="begin" w:fldLock="1"/>
      </w:r>
      <w:r w:rsidR="0068258A">
        <w:instrText>ADDIN CSL_CITATION { "citationItems" : [ { "id" : "ITEM-1", "itemData" : { "DOI" : "10.1097/00007632-200101150-00016", "ISBN" : "0362-2436 (Print)\\n0362-2436 (Linking)", "ISSN" : "0362-2436", "PMID" : "11154542", "abstract" : "STUDY DESIGN: A randomized trial of 100 patients with low back pain who were potential surgical candidates. OBJECTIVES: To determine whether an interactive videodisc with a booklet is superior to a booklet alone for informing patients about back surgery. SUMMARY OF BACKGROUND DATA: Substantial geographic variation has been observed in lumbar spine surgery. Informed patient preferences should play an important role in decisions about surgery. However, little is known about optimal strategies for informing patients. METHODS: Subjects were randomized to receive an interactive videodisc (with a booklet) or a booklet alone. A knowledge test administered at baseline and follow-up was used to measure improvement in knowledge about treatment options for lumbar spine problems. Patients' reactions to the videodisc and booklet and preferences for treatment were also assessed. RESULTS: The patients' knowledge improved after exposure to either intervention. Multivariate analyses adjusted for baseline score, age, education, gender, and diagnosis showed a significant advantage for the videodisc with booklet over the booklet alone. The videodisc-booklet group showed significantly greater gains in knowledge among subjects with the worst baseline knowledge scores. A larger proportion of subjects in the videodisc-booklet group rated the materials easy to understand (93% vs.- 72%,P = 0.04), containing the right amount of information (93% vs.- 80%,P = 0.3), and adequate to assist in choice of treatment (75% vs.- 51%,P = 0.2). Those who viewed the videodisc expressed a somewhat lower preference for surgery than those who received the booklet alone (23% vs.- 42%,P = 0.4). CONCLUSIONS: Both the booklet alone and the combination of videodisc and booklet improved knowledge. The combination produced greater knowledge gains than the booklet alone for the subgroup with the least knowledge at baseline. Patients preferred the combination and had a slightly lower preference for surgery if they had viewed the video presentation. For some patients, the video may enhance involvement in clinical decisions.", "author" : [ { "dropping-particle" : "", "family" : "Phelan", "given" : "E A", "non-dropping-particle" : "", "parse-names" : false, "suffix" : "" }, { "dropping-particle" : "", "family" : "Deyo", "given" : "R A", "non-dropping-particle" : "", "parse-names" : false, "suffix" : "" }, { "dropping-particle" : "", "family" : "Cherkin", "given" : "D C", "non-dropping-particle" : "", "parse-names" : false, "suffix" : "" }, { "dropping-particle" : "", "family" : "Weinstein", "given" : "J N", "non-dropping-particle" : "", "parse-names" : false, "suffix" : "" }, { "dropping-particle" : "", "family" : "Ciol", "given" : "M A", "non-dropping-particle" : "", "parse-names" : false, "suffix" : "" }, { "dropping-particle" : "", "family" : "Kreuter", "given" : "W", "non-dropping-particle" : "", "parse-names" : false, "suffix" : "" }, { "dropping-particle" : "", "family" : "Howe", "given" : "J F", "non-dropping-particle" : "", "parse-names" : false, "suffix" : "" } ], "container-title" : "Spine", "id" : "ITEM-1", "issue" : "2", "issued" : { "date-parts" : [ [ "2001", "1", "15" ] ] }, "page" : "206-211", "title" : "Helping patients decide about back surgery: a randomized trial of an interactive video program", "type" : "article-journal", "volume" : "26" }, "uris" : [ "http://www.mendeley.com/documents/?uuid=8b3f1a95-d4f7-4ddc-b63c-ba903cb593e6" ] } ], "mendeley" : { "formattedCitation" : "[14]", "plainTextFormattedCitation" : "[14]", "previouslyFormattedCitation" : "[14]" }, "properties" : { "noteIndex" : 0 }, "schema" : "https://github.com/citation-style-language/schema/raw/master/csl-citation.json" }</w:instrText>
      </w:r>
      <w:r w:rsidR="001E78AD" w:rsidRPr="00CE47DE">
        <w:fldChar w:fldCharType="separate"/>
      </w:r>
      <w:r w:rsidR="004A0CB7" w:rsidRPr="004A0CB7">
        <w:rPr>
          <w:noProof/>
        </w:rPr>
        <w:t>[14]</w:t>
      </w:r>
      <w:r w:rsidR="001E78AD" w:rsidRPr="00CE47DE">
        <w:fldChar w:fldCharType="end"/>
      </w:r>
      <w:r w:rsidR="001E78AD" w:rsidRPr="00CE47DE">
        <w:t xml:space="preserve"> </w:t>
      </w:r>
      <w:r w:rsidR="002161C8" w:rsidRPr="00CE47DE">
        <w:t xml:space="preserve">to measure the criterion validity of the </w:t>
      </w:r>
      <w:r w:rsidR="003D5F5C" w:rsidRPr="00CE47DE">
        <w:t xml:space="preserve">bio-physiological subscale of the </w:t>
      </w:r>
      <w:r w:rsidR="00DD61DC" w:rsidRPr="00CE47DE">
        <w:t>KNOWBACK Test</w:t>
      </w:r>
      <w:r w:rsidR="003D5F5C" w:rsidRPr="00CE47DE">
        <w:t>.</w:t>
      </w:r>
      <w:r w:rsidR="002161C8" w:rsidRPr="00CE47DE">
        <w:t xml:space="preserve"> The Back Pain Knowledge test is a 17-item questionnaire concentrating on the pathology, treatment options, and outcomes of spine surgery and conservative care</w:t>
      </w:r>
      <w:r w:rsidR="00302FCA" w:rsidRPr="00CE47DE">
        <w:t>. It has been validated  in low back pain patients who were potential candidates for surgical treatment</w:t>
      </w:r>
      <w:r w:rsidR="002161C8" w:rsidRPr="00CE47DE">
        <w:t xml:space="preserve"> </w:t>
      </w:r>
      <w:r w:rsidR="002161C8" w:rsidRPr="00CE47DE">
        <w:fldChar w:fldCharType="begin" w:fldLock="1"/>
      </w:r>
      <w:r w:rsidR="0068258A">
        <w:instrText>ADDIN CSL_CITATION { "citationItems" : [ { "id" : "ITEM-1", "itemData" : { "DOI" : "10.1097/00007632-200101150-00016", "ISBN" : "0362-2436 (Print)\\n0362-2436 (Linking)", "ISSN" : "0362-2436", "PMID" : "11154542", "abstract" : "STUDY DESIGN: A randomized trial of 100 patients with low back pain who were potential surgical candidates. OBJECTIVES: To determine whether an interactive videodisc with a booklet is superior to a booklet alone for informing patients about back surgery. SUMMARY OF BACKGROUND DATA: Substantial geographic variation has been observed in lumbar spine surgery. Informed patient preferences should play an important role in decisions about surgery. However, little is known about optimal strategies for informing patients. METHODS: Subjects were randomized to receive an interactive videodisc (with a booklet) or a booklet alone. A knowledge test administered at baseline and follow-up was used to measure improvement in knowledge about treatment options for lumbar spine problems. Patients' reactions to the videodisc and booklet and preferences for treatment were also assessed. RESULTS: The patients' knowledge improved after exposure to either intervention. Multivariate analyses adjusted for baseline score, age, education, gender, and diagnosis showed a significant advantage for the videodisc with booklet over the booklet alone. The videodisc-booklet group showed significantly greater gains in knowledge among subjects with the worst baseline knowledge scores. A larger proportion of subjects in the videodisc-booklet group rated the materials easy to understand (93% vs.- 72%,P = 0.04), containing the right amount of information (93% vs.- 80%,P = 0.3), and adequate to assist in choice of treatment (75% vs.- 51%,P = 0.2). Those who viewed the videodisc expressed a somewhat lower preference for surgery than those who received the booklet alone (23% vs.- 42%,P = 0.4). CONCLUSIONS: Both the booklet alone and the combination of videodisc and booklet improved knowledge. The combination produced greater knowledge gains than the booklet alone for the subgroup with the least knowledge at baseline. Patients preferred the combination and had a slightly lower preference for surgery if they had viewed the video presentation. For some patients, the video may enhance involvement in clinical decisions.", "author" : [ { "dropping-particle" : "", "family" : "Phelan", "given" : "E A", "non-dropping-particle" : "", "parse-names" : false, "suffix" : "" }, { "dropping-particle" : "", "family" : "Deyo", "given" : "R A", "non-dropping-particle" : "", "parse-names" : false, "suffix" : "" }, { "dropping-particle" : "", "family" : "Cherkin", "given" : "D C", "non-dropping-particle" : "", "parse-names" : false, "suffix" : "" }, { "dropping-particle" : "", "family" : "Weinstein", "given" : "J N", "non-dropping-particle" : "", "parse-names" : false, "suffix" : "" }, { "dropping-particle" : "", "family" : "Ciol", "given" : "M A", "non-dropping-particle" : "", "parse-names" : false, "suffix" : "" }, { "dropping-particle" : "", "family" : "Kreuter", "given" : "W", "non-dropping-particle" : "", "parse-names" : false, "suffix" : "" }, { "dropping-particle" : "", "family" : "Howe", "given" : "J F", "non-dropping-particle" : "", "parse-names" : false, "suffix" : "" } ], "container-title" : "Spine", "id" : "ITEM-1", "issue" : "2", "issued" : { "date-parts" : [ [ "2001", "1", "15" ] ] }, "page" : "206-211", "title" : "Helping patients decide about back surgery: a randomized trial of an interactive video program", "type" : "article-journal", "volume" : "26" }, "uris" : [ "http://www.mendeley.com/documents/?uuid=8b3f1a95-d4f7-4ddc-b63c-ba903cb593e6" ] } ], "mendeley" : { "formattedCitation" : "[14]", "plainTextFormattedCitation" : "[14]", "previouslyFormattedCitation" : "[14]" }, "properties" : { "noteIndex" : 0 }, "schema" : "https://github.com/citation-style-language/schema/raw/master/csl-citation.json" }</w:instrText>
      </w:r>
      <w:r w:rsidR="002161C8" w:rsidRPr="00CE47DE">
        <w:fldChar w:fldCharType="separate"/>
      </w:r>
      <w:r w:rsidR="004A0CB7" w:rsidRPr="004A0CB7">
        <w:rPr>
          <w:noProof/>
        </w:rPr>
        <w:t>[14]</w:t>
      </w:r>
      <w:r w:rsidR="002161C8" w:rsidRPr="00CE47DE">
        <w:fldChar w:fldCharType="end"/>
      </w:r>
      <w:r w:rsidR="002161C8" w:rsidRPr="00CE47DE">
        <w:t xml:space="preserve">. </w:t>
      </w:r>
      <w:r w:rsidR="00F3718C" w:rsidRPr="00CE47DE">
        <w:t xml:space="preserve">In </w:t>
      </w:r>
      <w:r w:rsidR="003D5F5C" w:rsidRPr="00CE47DE">
        <w:t xml:space="preserve">the </w:t>
      </w:r>
      <w:r w:rsidR="00F3718C" w:rsidRPr="00CE47DE">
        <w:t>present study sample, a</w:t>
      </w:r>
      <w:r w:rsidR="002161C8" w:rsidRPr="00CE47DE">
        <w:t xml:space="preserve"> statistically significant correlation ranging from 0.37 to 0.63 (p &lt; .0001–0.008) was established be</w:t>
      </w:r>
      <w:r w:rsidR="00302FCA" w:rsidRPr="00CE47DE">
        <w:t>tween the bio-physiological sub</w:t>
      </w:r>
      <w:r w:rsidR="002161C8" w:rsidRPr="00CE47DE">
        <w:t xml:space="preserve">scale of the </w:t>
      </w:r>
      <w:r w:rsidR="00DD61DC" w:rsidRPr="00CE47DE">
        <w:t>KNOWBACK Test</w:t>
      </w:r>
      <w:r w:rsidR="002161C8" w:rsidRPr="00CE47DE">
        <w:t xml:space="preserve"> and the Back Pain Knowledge Test.</w:t>
      </w:r>
    </w:p>
    <w:p w14:paraId="55C48DDC" w14:textId="0327786D" w:rsidR="006F3409" w:rsidRPr="00CE47DE" w:rsidRDefault="006F3409" w:rsidP="006F3409">
      <w:pPr>
        <w:spacing w:line="480" w:lineRule="auto"/>
      </w:pPr>
    </w:p>
    <w:p w14:paraId="3DEE7317" w14:textId="103333D6" w:rsidR="00FC7756" w:rsidRPr="00CE47DE" w:rsidRDefault="00FC7756" w:rsidP="00A4263F">
      <w:pPr>
        <w:spacing w:line="480" w:lineRule="auto"/>
        <w:rPr>
          <w:i/>
        </w:rPr>
      </w:pPr>
      <w:r w:rsidRPr="00CE47DE">
        <w:rPr>
          <w:i/>
        </w:rPr>
        <w:t>2.</w:t>
      </w:r>
      <w:r w:rsidR="003322D8" w:rsidRPr="00CE47DE">
        <w:rPr>
          <w:i/>
        </w:rPr>
        <w:t>8</w:t>
      </w:r>
      <w:r w:rsidRPr="00CE47DE">
        <w:rPr>
          <w:i/>
        </w:rPr>
        <w:t>.</w:t>
      </w:r>
      <w:r w:rsidR="0061385C" w:rsidRPr="00CE47DE">
        <w:rPr>
          <w:i/>
        </w:rPr>
        <w:t>2</w:t>
      </w:r>
      <w:r w:rsidRPr="00CE47DE">
        <w:rPr>
          <w:i/>
        </w:rPr>
        <w:t>. Patient</w:t>
      </w:r>
      <w:r w:rsidR="00FC5D87" w:rsidRPr="00CE47DE">
        <w:rPr>
          <w:i/>
        </w:rPr>
        <w:t>s’</w:t>
      </w:r>
      <w:r w:rsidRPr="00CE47DE">
        <w:rPr>
          <w:i/>
        </w:rPr>
        <w:t xml:space="preserve"> </w:t>
      </w:r>
      <w:r w:rsidR="00FC5D87" w:rsidRPr="00CE47DE">
        <w:rPr>
          <w:i/>
        </w:rPr>
        <w:t>evalua</w:t>
      </w:r>
      <w:r w:rsidR="00E7147A" w:rsidRPr="00CE47DE">
        <w:rPr>
          <w:i/>
        </w:rPr>
        <w:t>tion</w:t>
      </w:r>
      <w:r w:rsidRPr="00CE47DE">
        <w:rPr>
          <w:i/>
        </w:rPr>
        <w:t xml:space="preserve"> of </w:t>
      </w:r>
      <w:r w:rsidR="00FC5D87" w:rsidRPr="00CE47DE">
        <w:rPr>
          <w:i/>
        </w:rPr>
        <w:t xml:space="preserve">the feasibility of </w:t>
      </w:r>
      <w:r w:rsidR="00EC0294" w:rsidRPr="00CE47DE">
        <w:rPr>
          <w:i/>
        </w:rPr>
        <w:t xml:space="preserve">the </w:t>
      </w:r>
      <w:r w:rsidRPr="00CE47DE">
        <w:rPr>
          <w:i/>
        </w:rPr>
        <w:t>education</w:t>
      </w:r>
    </w:p>
    <w:p w14:paraId="5AE3796A" w14:textId="5AC38D69" w:rsidR="005771FD" w:rsidRPr="00CE47DE" w:rsidRDefault="00F3718C" w:rsidP="00A4263F">
      <w:pPr>
        <w:spacing w:line="480" w:lineRule="auto"/>
      </w:pPr>
      <w:r w:rsidRPr="00CE47DE">
        <w:t>At T1 the patients assessed the feasibility</w:t>
      </w:r>
      <w:r w:rsidR="00302FCA" w:rsidRPr="00CE47DE">
        <w:t xml:space="preserve"> (clarity, intelligibility, adequacy)</w:t>
      </w:r>
      <w:r w:rsidRPr="00CE47DE">
        <w:t xml:space="preserve"> of the KTFI using a previously developed instrument modified for the purposes of this study</w:t>
      </w:r>
      <w:r w:rsidR="00E91419" w:rsidRPr="00CE47DE">
        <w:t xml:space="preserve"> </w:t>
      </w:r>
      <w:r w:rsidR="00E91419" w:rsidRPr="00CE47DE">
        <w:fldChar w:fldCharType="begin" w:fldLock="1"/>
      </w:r>
      <w:r w:rsidR="0068258A">
        <w:instrText>ADDIN CSL_CITATION { "citationItems" : [ { "id" : "ITEM-1", "itemData" : { "DOI" : "10.1016/j.pec.2009.10.003", "ISSN" : "1873-5134", "PMID" : "19875266", "abstract" : "OBJECTIVE: The objective of this study was to define how preoperative nutritional face-to-face counseling on child's fasting affects parental knowledge, preoperative need-for-information, and anxiety, in pediatric ambulatory tonsillectomy. METHODS: The participants in the prospective, randomly allocated study were parents (intervention 62/control 62) with children (4-10 years) admitted for ambulatory tonsillectomy. Data were collected by the knowledge test designed for the study and with The Amsterdam preoperative anxiety and information scale (APAIS). The intervention group was invited to a preoperative visit to receive written and verbal face-to-face counseling. They were initiated into the child's active preoperative nutrition. The parents of the control group received current information without face-to-face counseling. RESULTS: The parents followed the instructions. Their knowledge about the child's fast increased (p=0.003), and need-for-information and anxiety decreased (p&lt;0.0001) significantly. CONCLUSION: The preoperative face-to-face counseling with written information improves parental knowledge about the child's fasting and active preoperative nutrition, and relieves their need-for-information and anxiety. PRACTICE IMPLICATIONS: The primary responsibility remains with the health care professionals when the active preoperative nutrition of the child and counseling on it are introduced into nursing practice.", "author" : [ { "dropping-particle" : "", "family" : "Klemetti", "given" : "Seija", "non-dropping-particle" : "", "parse-names" : false, "suffix" : "" }, { "dropping-particle" : "", "family" : "Kinnunen", "given" : "Ilpo", "non-dropping-particle" : "", "parse-names" : false, "suffix" : "" }, { "dropping-particle" : "", "family" : "Suominen", "given" : "Tarja", "non-dropping-particle" : "", "parse-names" : false, "suffix" : "" }, { "dropping-particle" : "", "family" : "Antila", "given" : "Heikki", "non-dropping-particle" : "", "parse-names" : false, "suffix" : "" }, { "dropping-particle" : "", "family" : "Vahlberg", "given" : "Tero", "non-dropping-particle" : "", "parse-names" : false, "suffix" : "" }, { "dropping-particle" : "", "family" : "Grenman", "given" : "Reidar", "non-dropping-particle" : "", "parse-names" : false, "suffix" : "" }, { "dropping-particle" : "", "family" : "Leino-Kilpi", "given" : "Helena", "non-dropping-particle" : "", "parse-names" : false, "suffix" : "" } ], "container-title" : "Patient education and counseling", "id" : "ITEM-1", "issue" : "1", "issued" : { "date-parts" : [ [ "2010", "7" ] ] }, "page" : "64-70", "title" : "The effect of preoperative nutritional face-to-face counseling about child's fasting on parental knowledge, preoperative need-for-information, and anxiety, in pediatric ambulatory tonsillectomy", "type" : "article-journal", "volume" : "80" }, "uris" : [ "http://www.mendeley.com/documents/?uuid=c390bf91-4189-407e-9d30-589ce2ac6a99" ] } ], "mendeley" : { "formattedCitation" : "[46]", "plainTextFormattedCitation" : "[46]", "previouslyFormattedCitation" : "[46]" }, "properties" : { "noteIndex" : 0 }, "schema" : "https://github.com/citation-style-language/schema/raw/master/csl-citation.json" }</w:instrText>
      </w:r>
      <w:r w:rsidR="00E91419" w:rsidRPr="00CE47DE">
        <w:fldChar w:fldCharType="separate"/>
      </w:r>
      <w:r w:rsidR="004A0CB7" w:rsidRPr="004A0CB7">
        <w:rPr>
          <w:noProof/>
        </w:rPr>
        <w:t>[46]</w:t>
      </w:r>
      <w:r w:rsidR="00E91419" w:rsidRPr="00CE47DE">
        <w:fldChar w:fldCharType="end"/>
      </w:r>
      <w:r w:rsidR="00421B10" w:rsidRPr="00CE47DE">
        <w:t>. The Cronbach´s alpha coefficient of the instrument was 0.85.</w:t>
      </w:r>
    </w:p>
    <w:p w14:paraId="264F6D10" w14:textId="77777777" w:rsidR="00123287" w:rsidRPr="00CE47DE" w:rsidRDefault="00123287" w:rsidP="00A4263F">
      <w:pPr>
        <w:spacing w:line="480" w:lineRule="auto"/>
      </w:pPr>
    </w:p>
    <w:p w14:paraId="63B5BBFC" w14:textId="32AFE3A9" w:rsidR="005771FD" w:rsidRPr="00CE47DE" w:rsidRDefault="005771FD" w:rsidP="00A4263F">
      <w:pPr>
        <w:spacing w:line="480" w:lineRule="auto"/>
      </w:pPr>
      <w:r w:rsidRPr="00CE47DE">
        <w:rPr>
          <w:i/>
        </w:rPr>
        <w:lastRenderedPageBreak/>
        <w:t>2.</w:t>
      </w:r>
      <w:r w:rsidR="003322D8" w:rsidRPr="00CE47DE">
        <w:rPr>
          <w:i/>
        </w:rPr>
        <w:t>8</w:t>
      </w:r>
      <w:r w:rsidRPr="00CE47DE">
        <w:rPr>
          <w:i/>
        </w:rPr>
        <w:t>.</w:t>
      </w:r>
      <w:r w:rsidR="00084E45" w:rsidRPr="00CE47DE">
        <w:rPr>
          <w:i/>
        </w:rPr>
        <w:t>3</w:t>
      </w:r>
      <w:r w:rsidRPr="00CE47DE">
        <w:rPr>
          <w:i/>
        </w:rPr>
        <w:t>. Demographic information</w:t>
      </w:r>
    </w:p>
    <w:p w14:paraId="48AD0AB5" w14:textId="378B9AB3" w:rsidR="002C55FB" w:rsidRPr="00CE47DE" w:rsidRDefault="002C55FB" w:rsidP="00A4263F">
      <w:pPr>
        <w:spacing w:line="480" w:lineRule="auto"/>
      </w:pPr>
      <w:r w:rsidRPr="00CE47DE">
        <w:t xml:space="preserve">Demographic and health history </w:t>
      </w:r>
      <w:r w:rsidR="00BC6936" w:rsidRPr="00CE47DE">
        <w:t xml:space="preserve">data </w:t>
      </w:r>
      <w:r w:rsidR="006C045F" w:rsidRPr="00CE47DE">
        <w:t>collected were</w:t>
      </w:r>
      <w:r w:rsidRPr="00CE47DE">
        <w:t xml:space="preserve"> as follows: gender, age, </w:t>
      </w:r>
      <w:r w:rsidR="00E06C64" w:rsidRPr="00CE47DE">
        <w:t>civil</w:t>
      </w:r>
      <w:r w:rsidR="00F02451" w:rsidRPr="00CE47DE">
        <w:t xml:space="preserve"> status, </w:t>
      </w:r>
      <w:r w:rsidRPr="00CE47DE">
        <w:t>basic e</w:t>
      </w:r>
      <w:r w:rsidR="00CE1970" w:rsidRPr="00CE47DE">
        <w:t>ducation</w:t>
      </w:r>
      <w:r w:rsidRPr="00CE47DE">
        <w:t>, employment status, health care pro</w:t>
      </w:r>
      <w:r w:rsidR="00B167D8" w:rsidRPr="00CE47DE">
        <w:t xml:space="preserve">fession, </w:t>
      </w:r>
      <w:r w:rsidRPr="00CE47DE">
        <w:t xml:space="preserve">duration of the </w:t>
      </w:r>
      <w:r w:rsidR="00F52795" w:rsidRPr="00CE47DE">
        <w:t>hospitali</w:t>
      </w:r>
      <w:r w:rsidR="00B167D8" w:rsidRPr="00CE47DE">
        <w:t>z</w:t>
      </w:r>
      <w:r w:rsidR="00F52795" w:rsidRPr="00CE47DE">
        <w:t>ation</w:t>
      </w:r>
      <w:r w:rsidRPr="00CE47DE">
        <w:t xml:space="preserve">, </w:t>
      </w:r>
      <w:r w:rsidR="00B167D8" w:rsidRPr="00CE47DE">
        <w:t>and</w:t>
      </w:r>
      <w:r w:rsidR="00F52795" w:rsidRPr="00CE47DE">
        <w:t xml:space="preserve"> previous operations</w:t>
      </w:r>
      <w:r w:rsidR="003B4AF3" w:rsidRPr="00CE47DE">
        <w:t>.</w:t>
      </w:r>
    </w:p>
    <w:p w14:paraId="37C173AE" w14:textId="77777777" w:rsidR="002D2B4F" w:rsidRPr="00CE47DE" w:rsidRDefault="002D2B4F" w:rsidP="00A4263F">
      <w:pPr>
        <w:spacing w:line="480" w:lineRule="auto"/>
      </w:pPr>
    </w:p>
    <w:p w14:paraId="207F76B2" w14:textId="03873E95" w:rsidR="00A920F4" w:rsidRPr="00CE47DE" w:rsidRDefault="00A920F4" w:rsidP="00A4263F">
      <w:pPr>
        <w:spacing w:line="480" w:lineRule="auto"/>
      </w:pPr>
      <w:r w:rsidRPr="00CE47DE">
        <w:rPr>
          <w:i/>
        </w:rPr>
        <w:t>2.</w:t>
      </w:r>
      <w:r w:rsidR="003322D8" w:rsidRPr="00CE47DE">
        <w:rPr>
          <w:i/>
        </w:rPr>
        <w:t>9</w:t>
      </w:r>
      <w:r w:rsidRPr="00CE47DE">
        <w:rPr>
          <w:i/>
        </w:rPr>
        <w:t>. Analysis</w:t>
      </w:r>
    </w:p>
    <w:p w14:paraId="6034A467" w14:textId="6C43AC63" w:rsidR="00401EDC" w:rsidRPr="00CE47DE" w:rsidRDefault="00401EDC" w:rsidP="00401EDC">
      <w:pPr>
        <w:spacing w:line="480" w:lineRule="auto"/>
      </w:pPr>
      <w:r w:rsidRPr="00CE47DE">
        <w:t xml:space="preserve">The participants’ characteristics </w:t>
      </w:r>
      <w:proofErr w:type="gramStart"/>
      <w:r w:rsidRPr="00CE47DE">
        <w:t>were presented</w:t>
      </w:r>
      <w:proofErr w:type="gramEnd"/>
      <w:r w:rsidRPr="00CE47DE">
        <w:t xml:space="preserve"> as frequencies and percentages or means and SDs. The differences between study groups were </w:t>
      </w:r>
      <w:r w:rsidR="00CE47DE" w:rsidRPr="00CE47DE">
        <w:t>analysed</w:t>
      </w:r>
      <w:r w:rsidRPr="00CE47DE">
        <w:t xml:space="preserve"> </w:t>
      </w:r>
      <w:r w:rsidR="00BC6936" w:rsidRPr="00CE47DE">
        <w:t>with</w:t>
      </w:r>
      <w:r w:rsidRPr="00CE47DE">
        <w:t xml:space="preserve"> t-test for normally dist</w:t>
      </w:r>
      <w:r w:rsidR="00B52544" w:rsidRPr="00CE47DE">
        <w:t>ributed</w:t>
      </w:r>
      <w:r w:rsidRPr="00CE47DE">
        <w:t xml:space="preserve"> variables or </w:t>
      </w:r>
      <w:r w:rsidR="00BC6936" w:rsidRPr="00CE47DE">
        <w:t xml:space="preserve">with </w:t>
      </w:r>
      <w:r w:rsidRPr="00CE47DE">
        <w:t xml:space="preserve">Wilcoxon two-sample test </w:t>
      </w:r>
      <w:r w:rsidR="00B52544" w:rsidRPr="00CE47DE">
        <w:t xml:space="preserve">if the variables were </w:t>
      </w:r>
      <w:r w:rsidRPr="00CE47DE">
        <w:t>no</w:t>
      </w:r>
      <w:r w:rsidR="00B52544" w:rsidRPr="00CE47DE">
        <w:t xml:space="preserve">t </w:t>
      </w:r>
      <w:r w:rsidRPr="00CE47DE">
        <w:t>normal</w:t>
      </w:r>
      <w:r w:rsidR="00B52544" w:rsidRPr="00CE47DE">
        <w:t>ly</w:t>
      </w:r>
      <w:r w:rsidRPr="00CE47DE">
        <w:t xml:space="preserve"> </w:t>
      </w:r>
      <w:r w:rsidR="00B52544" w:rsidRPr="00CE47DE">
        <w:t>distributed</w:t>
      </w:r>
      <w:r w:rsidRPr="00CE47DE">
        <w:t xml:space="preserve">. Chi-square or Fisher’s test were applied for categorical variables. The knowledge level </w:t>
      </w:r>
      <w:r w:rsidR="00B52544" w:rsidRPr="00CE47DE">
        <w:t xml:space="preserve">indicated by the </w:t>
      </w:r>
      <w:r w:rsidR="00DD61DC" w:rsidRPr="00CE47DE">
        <w:t>KNOWBACK Test</w:t>
      </w:r>
      <w:r w:rsidRPr="00CE47DE">
        <w:t xml:space="preserve"> was </w:t>
      </w:r>
      <w:r w:rsidR="00CE47DE" w:rsidRPr="00CE47DE">
        <w:t>analysed</w:t>
      </w:r>
      <w:r w:rsidRPr="00CE47DE">
        <w:t xml:space="preserve"> </w:t>
      </w:r>
      <w:r w:rsidR="00BC6936" w:rsidRPr="00CE47DE">
        <w:t>with</w:t>
      </w:r>
      <w:r w:rsidRPr="00CE47DE">
        <w:t xml:space="preserve"> two way repeated measures analysis of variance (ANOVA) with </w:t>
      </w:r>
      <w:r w:rsidR="00B52544" w:rsidRPr="00CE47DE">
        <w:t xml:space="preserve">the </w:t>
      </w:r>
      <w:r w:rsidRPr="00CE47DE">
        <w:t xml:space="preserve">group (IG, CG) as </w:t>
      </w:r>
      <w:r w:rsidR="00B52544" w:rsidRPr="00CE47DE">
        <w:t xml:space="preserve">a </w:t>
      </w:r>
      <w:r w:rsidRPr="00CE47DE">
        <w:t>between-subject factor</w:t>
      </w:r>
      <w:r w:rsidR="00B52544" w:rsidRPr="00CE47DE">
        <w:t>,</w:t>
      </w:r>
      <w:r w:rsidRPr="00CE47DE">
        <w:t xml:space="preserve"> and time </w:t>
      </w:r>
      <w:r w:rsidR="00B52544" w:rsidRPr="00CE47DE">
        <w:t xml:space="preserve">point </w:t>
      </w:r>
      <w:r w:rsidRPr="00CE47DE">
        <w:t xml:space="preserve">(T0, T1, T2, T3, T4) as </w:t>
      </w:r>
      <w:r w:rsidR="00B52544" w:rsidRPr="00CE47DE">
        <w:t xml:space="preserve">a </w:t>
      </w:r>
      <w:r w:rsidRPr="00CE47DE">
        <w:t>within-subject factor. As all group*time interactions were significant</w:t>
      </w:r>
      <w:r w:rsidR="00BC6936" w:rsidRPr="00CE47DE">
        <w:t>,</w:t>
      </w:r>
      <w:r w:rsidRPr="00CE47DE">
        <w:t xml:space="preserve"> the groups were </w:t>
      </w:r>
      <w:r w:rsidR="00B52544" w:rsidRPr="00CE47DE">
        <w:t xml:space="preserve">additionally </w:t>
      </w:r>
      <w:proofErr w:type="spellStart"/>
      <w:r w:rsidR="00BC6936" w:rsidRPr="00CE47DE">
        <w:t>analyzed</w:t>
      </w:r>
      <w:proofErr w:type="spellEnd"/>
      <w:r w:rsidRPr="00CE47DE">
        <w:t xml:space="preserve"> </w:t>
      </w:r>
      <w:r w:rsidR="00BC6936" w:rsidRPr="00CE47DE">
        <w:t>with</w:t>
      </w:r>
      <w:r w:rsidRPr="00CE47DE">
        <w:t xml:space="preserve"> repeated me</w:t>
      </w:r>
      <w:r w:rsidR="00B52544" w:rsidRPr="00CE47DE">
        <w:t>asures ANOVA separately</w:t>
      </w:r>
      <w:r w:rsidRPr="00CE47DE">
        <w:t xml:space="preserve">. All pairwise comparisons </w:t>
      </w:r>
      <w:proofErr w:type="gramStart"/>
      <w:r w:rsidRPr="00CE47DE">
        <w:t>were performed</w:t>
      </w:r>
      <w:proofErr w:type="gramEnd"/>
      <w:r w:rsidRPr="00CE47DE">
        <w:t xml:space="preserve"> using Tukey-Kramer adjustment. Internal consistenc</w:t>
      </w:r>
      <w:r w:rsidR="00B52544" w:rsidRPr="00CE47DE">
        <w:t>y</w:t>
      </w:r>
      <w:r w:rsidRPr="00CE47DE">
        <w:t xml:space="preserve"> of </w:t>
      </w:r>
      <w:r w:rsidR="00BC6936" w:rsidRPr="00CE47DE">
        <w:t xml:space="preserve">the </w:t>
      </w:r>
      <w:r w:rsidR="00DD61DC" w:rsidRPr="00CE47DE">
        <w:t>KNOWBACK Test</w:t>
      </w:r>
      <w:r w:rsidRPr="00CE47DE">
        <w:t xml:space="preserve"> </w:t>
      </w:r>
      <w:proofErr w:type="gramStart"/>
      <w:r w:rsidRPr="00CE47DE">
        <w:t>was evaluated</w:t>
      </w:r>
      <w:proofErr w:type="gramEnd"/>
      <w:r w:rsidRPr="00CE47DE">
        <w:t xml:space="preserve"> using Cronbach’s alpha coefficient. For criterion validity </w:t>
      </w:r>
      <w:proofErr w:type="gramStart"/>
      <w:r w:rsidRPr="00CE47DE">
        <w:t>Spearman</w:t>
      </w:r>
      <w:proofErr w:type="gramEnd"/>
      <w:r w:rsidRPr="00CE47DE">
        <w:t xml:space="preserve"> correlations between </w:t>
      </w:r>
      <w:r w:rsidR="00DD61DC" w:rsidRPr="00CE47DE">
        <w:t>KNOWBACK Test</w:t>
      </w:r>
      <w:r w:rsidRPr="00CE47DE">
        <w:t xml:space="preserve"> and Back Pain Knowledge Test were calculated. The data were </w:t>
      </w:r>
      <w:r w:rsidR="009466C0" w:rsidRPr="00CE47DE">
        <w:t>analysed</w:t>
      </w:r>
      <w:r w:rsidRPr="00CE47DE">
        <w:t xml:space="preserve"> using SAS 9.3 (SAS Institute Inc., Cary, NC, USA). P-values </w:t>
      </w:r>
      <w:r w:rsidR="00BC6936" w:rsidRPr="00CE47DE">
        <w:t xml:space="preserve">of </w:t>
      </w:r>
      <w:r w:rsidRPr="00CE47DE">
        <w:t xml:space="preserve">less than 0.05 </w:t>
      </w:r>
      <w:proofErr w:type="gramStart"/>
      <w:r w:rsidRPr="00CE47DE">
        <w:t xml:space="preserve">were </w:t>
      </w:r>
      <w:r w:rsidR="00BC6936" w:rsidRPr="00CE47DE">
        <w:t>chosen</w:t>
      </w:r>
      <w:proofErr w:type="gramEnd"/>
      <w:r w:rsidRPr="00CE47DE">
        <w:t xml:space="preserve"> as statistically significant.</w:t>
      </w:r>
    </w:p>
    <w:p w14:paraId="3319E623" w14:textId="77777777" w:rsidR="006F6F94" w:rsidRPr="00CE47DE" w:rsidRDefault="006F6F94" w:rsidP="00A4263F">
      <w:pPr>
        <w:spacing w:line="480" w:lineRule="auto"/>
      </w:pPr>
    </w:p>
    <w:p w14:paraId="53F7988A" w14:textId="329C2929" w:rsidR="008B3877" w:rsidRPr="00CE47DE" w:rsidRDefault="008B3877" w:rsidP="00A4263F">
      <w:pPr>
        <w:spacing w:line="480" w:lineRule="auto"/>
        <w:rPr>
          <w:i/>
        </w:rPr>
      </w:pPr>
      <w:r w:rsidRPr="00CE47DE">
        <w:rPr>
          <w:i/>
        </w:rPr>
        <w:t>2.</w:t>
      </w:r>
      <w:r w:rsidR="00084E45" w:rsidRPr="00CE47DE">
        <w:rPr>
          <w:i/>
        </w:rPr>
        <w:t>1</w:t>
      </w:r>
      <w:r w:rsidR="001353F1" w:rsidRPr="00CE47DE">
        <w:rPr>
          <w:i/>
        </w:rPr>
        <w:t>0</w:t>
      </w:r>
      <w:r w:rsidRPr="00CE47DE">
        <w:rPr>
          <w:i/>
        </w:rPr>
        <w:t>. Ethical considerations</w:t>
      </w:r>
    </w:p>
    <w:p w14:paraId="5CA3C810" w14:textId="6B3F182F" w:rsidR="008B3877" w:rsidRPr="00CE47DE" w:rsidRDefault="00101895" w:rsidP="00A4263F">
      <w:pPr>
        <w:spacing w:line="480" w:lineRule="auto"/>
      </w:pPr>
      <w:r w:rsidRPr="00CE47DE">
        <w:t>The e</w:t>
      </w:r>
      <w:r w:rsidR="008B3877" w:rsidRPr="00CE47DE">
        <w:t xml:space="preserve">thical </w:t>
      </w:r>
      <w:r w:rsidR="00DB29CB" w:rsidRPr="00CE47DE">
        <w:t xml:space="preserve">approval </w:t>
      </w:r>
      <w:proofErr w:type="gramStart"/>
      <w:r w:rsidR="00DB29CB" w:rsidRPr="00CE47DE">
        <w:t>was</w:t>
      </w:r>
      <w:r w:rsidR="008B3877" w:rsidRPr="00CE47DE">
        <w:t xml:space="preserve"> </w:t>
      </w:r>
      <w:r w:rsidR="00B906C2" w:rsidRPr="00CE47DE">
        <w:t>obtained</w:t>
      </w:r>
      <w:proofErr w:type="gramEnd"/>
      <w:r w:rsidR="00B906C2" w:rsidRPr="00CE47DE">
        <w:t xml:space="preserve"> from the </w:t>
      </w:r>
      <w:r w:rsidR="00DB29CB" w:rsidRPr="00CE47DE">
        <w:rPr>
          <w:rFonts w:eastAsiaTheme="minorHAnsi"/>
          <w:color w:val="262626"/>
          <w:lang w:eastAsia="en-US"/>
        </w:rPr>
        <w:t>Ethics C</w:t>
      </w:r>
      <w:r w:rsidR="003540EE">
        <w:rPr>
          <w:rFonts w:eastAsiaTheme="minorHAnsi"/>
          <w:color w:val="262626"/>
          <w:lang w:eastAsia="en-US"/>
        </w:rPr>
        <w:t>ommittee of t</w:t>
      </w:r>
      <w:r w:rsidR="00DB29CB" w:rsidRPr="00CE47DE">
        <w:rPr>
          <w:rFonts w:eastAsiaTheme="minorHAnsi"/>
          <w:color w:val="262626"/>
          <w:lang w:eastAsia="en-US"/>
        </w:rPr>
        <w:t xml:space="preserve">he Hospital </w:t>
      </w:r>
      <w:r w:rsidR="00DB29CB" w:rsidRPr="00CE47DE">
        <w:rPr>
          <w:rFonts w:eastAsiaTheme="minorHAnsi"/>
          <w:color w:val="000000" w:themeColor="text1"/>
          <w:lang w:eastAsia="en-US"/>
        </w:rPr>
        <w:t xml:space="preserve">District of Helsinki and </w:t>
      </w:r>
      <w:proofErr w:type="spellStart"/>
      <w:r w:rsidR="00DB29CB" w:rsidRPr="00CE47DE">
        <w:rPr>
          <w:rFonts w:eastAsiaTheme="minorHAnsi"/>
          <w:color w:val="000000" w:themeColor="text1"/>
          <w:lang w:eastAsia="en-US"/>
        </w:rPr>
        <w:t>Uusimaa</w:t>
      </w:r>
      <w:proofErr w:type="spellEnd"/>
      <w:r w:rsidR="00DB29CB" w:rsidRPr="00CE47DE">
        <w:rPr>
          <w:color w:val="000000" w:themeColor="text1"/>
        </w:rPr>
        <w:t xml:space="preserve"> </w:t>
      </w:r>
      <w:r w:rsidRPr="00CE47DE">
        <w:rPr>
          <w:color w:val="000000" w:themeColor="text1"/>
        </w:rPr>
        <w:t>(</w:t>
      </w:r>
      <w:r w:rsidR="00BC5248" w:rsidRPr="00CE47DE">
        <w:rPr>
          <w:color w:val="000000" w:themeColor="text1"/>
        </w:rPr>
        <w:t>280/13/03/02/2010)</w:t>
      </w:r>
      <w:r w:rsidR="00DB29CB" w:rsidRPr="00CE47DE">
        <w:rPr>
          <w:color w:val="000000" w:themeColor="text1"/>
        </w:rPr>
        <w:t>.</w:t>
      </w:r>
      <w:r w:rsidRPr="00CE47DE">
        <w:rPr>
          <w:color w:val="000000" w:themeColor="text1"/>
        </w:rPr>
        <w:t xml:space="preserve"> </w:t>
      </w:r>
      <w:r w:rsidR="00B906C2" w:rsidRPr="00CE47DE">
        <w:rPr>
          <w:color w:val="000000" w:themeColor="text1"/>
        </w:rPr>
        <w:t xml:space="preserve"> </w:t>
      </w:r>
      <w:r w:rsidR="0001252E" w:rsidRPr="00CE47DE">
        <w:t>R</w:t>
      </w:r>
      <w:r w:rsidR="00843093" w:rsidRPr="00CE47DE">
        <w:t>esearch permission</w:t>
      </w:r>
      <w:r w:rsidRPr="00CE47DE">
        <w:t xml:space="preserve"> </w:t>
      </w:r>
      <w:r w:rsidR="00843093" w:rsidRPr="00CE47DE">
        <w:t xml:space="preserve">from the </w:t>
      </w:r>
      <w:r w:rsidR="00C802E7" w:rsidRPr="00CE47DE">
        <w:t>hospital</w:t>
      </w:r>
      <w:r w:rsidR="00843093" w:rsidRPr="00CE47DE">
        <w:t xml:space="preserve"> </w:t>
      </w:r>
      <w:r w:rsidRPr="00CE47DE">
        <w:t>and</w:t>
      </w:r>
      <w:r w:rsidR="00B906C2" w:rsidRPr="00CE47DE">
        <w:t xml:space="preserve"> </w:t>
      </w:r>
      <w:r w:rsidR="00843093" w:rsidRPr="00CE47DE">
        <w:t>all relevant permissions from the copyright holder</w:t>
      </w:r>
      <w:r w:rsidR="00C802E7" w:rsidRPr="00CE47DE">
        <w:t>s of the different</w:t>
      </w:r>
      <w:r w:rsidR="00B906C2" w:rsidRPr="00CE47DE">
        <w:t xml:space="preserve"> instruments</w:t>
      </w:r>
      <w:r w:rsidR="00843093" w:rsidRPr="00CE47DE">
        <w:t xml:space="preserve"> </w:t>
      </w:r>
      <w:proofErr w:type="gramStart"/>
      <w:r w:rsidR="00843093" w:rsidRPr="00CE47DE">
        <w:t>were obtained</w:t>
      </w:r>
      <w:proofErr w:type="gramEnd"/>
      <w:r w:rsidR="00B906C2" w:rsidRPr="00CE47DE">
        <w:t>. Patient</w:t>
      </w:r>
      <w:r w:rsidR="000D72F0" w:rsidRPr="00CE47DE">
        <w:t>s</w:t>
      </w:r>
      <w:r w:rsidR="00B906C2" w:rsidRPr="00CE47DE">
        <w:t xml:space="preserve"> gave their written informed consent after </w:t>
      </w:r>
      <w:r w:rsidR="00C802E7" w:rsidRPr="00CE47DE">
        <w:t xml:space="preserve">having received </w:t>
      </w:r>
      <w:r w:rsidR="00B906C2" w:rsidRPr="00CE47DE">
        <w:t>verbal and written information of the study.</w:t>
      </w:r>
      <w:r w:rsidR="003176E7" w:rsidRPr="00CE47DE">
        <w:t xml:space="preserve"> </w:t>
      </w:r>
      <w:r w:rsidR="00FD6508" w:rsidRPr="00CE47DE">
        <w:lastRenderedPageBreak/>
        <w:t xml:space="preserve">The study was carried out in accordance with the Declaration of Helsinki and </w:t>
      </w:r>
      <w:r w:rsidR="00AC0A34" w:rsidRPr="00CE47DE">
        <w:t>Responsible Conduct of Research</w:t>
      </w:r>
      <w:r w:rsidR="002C4A1D" w:rsidRPr="00CE47DE">
        <w:t xml:space="preserve"> </w:t>
      </w:r>
      <w:r w:rsidR="002C4A1D" w:rsidRPr="00CE47DE">
        <w:fldChar w:fldCharType="begin" w:fldLock="1"/>
      </w:r>
      <w:r w:rsidR="0068258A">
        <w:instrText>ADDIN CSL_CITATION { "citationItems" : [ { "id" : "ITEM-1", "itemData" : { "editor" : [ { "dropping-particle" : "", "family" : "Varantola", "given" : "Krista", "non-dropping-particle" : "", "parse-names" : false, "suffix" : "" }, { "dropping-particle" : "", "family" : "Launis", "given" : "Veikko", "non-dropping-particle" : "", "parse-names" : false, "suffix" : "" }, { "dropping-particle" : "", "family" : "Helin", "given" : "Markku", "non-dropping-particle" : "", "parse-names" : false, "suffix" : "" }, { "dropping-particle" : "", "family" : "Spoof", "given" : "Sanna Kaisa", "non-dropping-particle" : "", "parse-names" : false, "suffix" : "" }, { "dropping-particle" : "", "family" : "J\u00e4ppinen", "given" : "Sanna", "non-dropping-particle" : "", "parse-names" : false, "suffix" : "" } ], "id" : "ITEM-1", "issued" : { "date-parts" : [ [ "2013" ] ] }, "publisher" : "Finnish Advisory Board on Research Integrity", "publisher-place" : "Helsinki", "title" : "Responsible conduct of research and procedures for handling allegations of misconduct in Finland", "type" : "book" }, "uris" : [ "http://www.mendeley.com/documents/?uuid=ff72fba4-3f99-47aa-823a-36cec7ca6a66" ] } ], "mendeley" : { "formattedCitation" : "[47]", "plainTextFormattedCitation" : "[47]", "previouslyFormattedCitation" : "[47]" }, "properties" : { "noteIndex" : 0 }, "schema" : "https://github.com/citation-style-language/schema/raw/master/csl-citation.json" }</w:instrText>
      </w:r>
      <w:r w:rsidR="002C4A1D" w:rsidRPr="00CE47DE">
        <w:fldChar w:fldCharType="separate"/>
      </w:r>
      <w:r w:rsidR="004A0CB7" w:rsidRPr="004A0CB7">
        <w:rPr>
          <w:noProof/>
        </w:rPr>
        <w:t>[47]</w:t>
      </w:r>
      <w:r w:rsidR="002C4A1D" w:rsidRPr="00CE47DE">
        <w:fldChar w:fldCharType="end"/>
      </w:r>
      <w:r w:rsidR="00FD6508" w:rsidRPr="00CE47DE">
        <w:t>.</w:t>
      </w:r>
    </w:p>
    <w:p w14:paraId="66FBB8E6" w14:textId="77777777" w:rsidR="001B45D7" w:rsidRPr="00CE47DE" w:rsidRDefault="001B45D7" w:rsidP="00A4263F">
      <w:pPr>
        <w:spacing w:line="480" w:lineRule="auto"/>
      </w:pPr>
    </w:p>
    <w:p w14:paraId="61F131DC" w14:textId="4977117E" w:rsidR="001B45D7" w:rsidRPr="00CE47DE" w:rsidRDefault="00A920F4" w:rsidP="00A4263F">
      <w:pPr>
        <w:spacing w:line="480" w:lineRule="auto"/>
        <w:rPr>
          <w:b/>
        </w:rPr>
      </w:pPr>
      <w:r w:rsidRPr="00CE47DE">
        <w:rPr>
          <w:b/>
        </w:rPr>
        <w:t xml:space="preserve">3. </w:t>
      </w:r>
      <w:r w:rsidR="001B45D7" w:rsidRPr="00CE47DE">
        <w:rPr>
          <w:b/>
        </w:rPr>
        <w:t>Results</w:t>
      </w:r>
    </w:p>
    <w:p w14:paraId="19FF09DA" w14:textId="4203764F" w:rsidR="009D06F1" w:rsidRPr="00CE47DE" w:rsidRDefault="009D06F1" w:rsidP="00A4263F">
      <w:pPr>
        <w:spacing w:line="480" w:lineRule="auto"/>
        <w:rPr>
          <w:i/>
        </w:rPr>
      </w:pPr>
      <w:r w:rsidRPr="00CE47DE">
        <w:rPr>
          <w:i/>
        </w:rPr>
        <w:t>3.</w:t>
      </w:r>
      <w:r w:rsidR="00084E45" w:rsidRPr="00CE47DE">
        <w:rPr>
          <w:i/>
        </w:rPr>
        <w:t>1</w:t>
      </w:r>
      <w:r w:rsidR="00254C3B" w:rsidRPr="00CE47DE">
        <w:rPr>
          <w:i/>
        </w:rPr>
        <w:t>. Participant</w:t>
      </w:r>
      <w:r w:rsidR="00F6354E" w:rsidRPr="00CE47DE">
        <w:rPr>
          <w:i/>
        </w:rPr>
        <w:t xml:space="preserve"> characteristics </w:t>
      </w:r>
    </w:p>
    <w:p w14:paraId="3F69D7CE" w14:textId="194F6B73" w:rsidR="004F4336" w:rsidRDefault="0018098D" w:rsidP="00A4263F">
      <w:pPr>
        <w:spacing w:line="480" w:lineRule="auto"/>
      </w:pPr>
      <w:r w:rsidRPr="00CE47DE">
        <w:t xml:space="preserve">There were no statistically significant differences </w:t>
      </w:r>
      <w:r w:rsidR="00CF598D" w:rsidRPr="00CE47DE">
        <w:t>between</w:t>
      </w:r>
      <w:r w:rsidRPr="00CE47DE">
        <w:t xml:space="preserve"> the study groups</w:t>
      </w:r>
      <w:r w:rsidR="0001252E" w:rsidRPr="00CE47DE">
        <w:t xml:space="preserve"> at base</w:t>
      </w:r>
      <w:r w:rsidR="00FF5C5E" w:rsidRPr="00CE47DE">
        <w:t xml:space="preserve">line. </w:t>
      </w:r>
      <w:r w:rsidRPr="00CE47DE">
        <w:t>In both groups,</w:t>
      </w:r>
      <w:r w:rsidR="00C802E7" w:rsidRPr="00CE47DE">
        <w:t xml:space="preserve"> the</w:t>
      </w:r>
      <w:r w:rsidRPr="00CE47DE">
        <w:t xml:space="preserve"> majority </w:t>
      </w:r>
      <w:r w:rsidR="00C802E7" w:rsidRPr="00CE47DE">
        <w:t xml:space="preserve">of patients </w:t>
      </w:r>
      <w:r w:rsidRPr="00CE47DE">
        <w:t xml:space="preserve">were female, </w:t>
      </w:r>
      <w:r w:rsidR="00CF598D" w:rsidRPr="00CE47DE">
        <w:t xml:space="preserve">retired, </w:t>
      </w:r>
      <w:r w:rsidRPr="00CE47DE">
        <w:t xml:space="preserve">age 60 years </w:t>
      </w:r>
      <w:r w:rsidR="00C802E7" w:rsidRPr="00CE47DE">
        <w:t>or older. The average</w:t>
      </w:r>
      <w:r w:rsidRPr="00CE47DE">
        <w:t xml:space="preserve"> </w:t>
      </w:r>
      <w:r w:rsidR="009841A2" w:rsidRPr="00CE47DE">
        <w:t>hospital</w:t>
      </w:r>
      <w:r w:rsidR="00C802E7" w:rsidRPr="00CE47DE">
        <w:t xml:space="preserve"> s</w:t>
      </w:r>
      <w:r w:rsidR="009841A2" w:rsidRPr="00CE47DE">
        <w:t>t</w:t>
      </w:r>
      <w:r w:rsidR="00C802E7" w:rsidRPr="00CE47DE">
        <w:t>ay</w:t>
      </w:r>
      <w:r w:rsidR="009841A2" w:rsidRPr="00CE47DE">
        <w:t xml:space="preserve"> was</w:t>
      </w:r>
      <w:r w:rsidRPr="00CE47DE">
        <w:t xml:space="preserve"> 7 days. </w:t>
      </w:r>
      <w:r w:rsidR="007E33A1" w:rsidRPr="00CE47DE">
        <w:t xml:space="preserve">Almost all patients had earlier experiences of surgical procedures. </w:t>
      </w:r>
      <w:r w:rsidR="00E96D48" w:rsidRPr="00CE47DE">
        <w:t>(</w:t>
      </w:r>
      <w:r w:rsidR="00266FC5" w:rsidRPr="00CE47DE">
        <w:t>Table 2</w:t>
      </w:r>
      <w:r w:rsidR="00E96D48" w:rsidRPr="00CE47DE">
        <w:t>)</w:t>
      </w:r>
      <w:r w:rsidR="007E33A1" w:rsidRPr="00CE47DE">
        <w:t>.</w:t>
      </w:r>
    </w:p>
    <w:p w14:paraId="7B0E9A53" w14:textId="77777777" w:rsidR="00665C39" w:rsidRPr="00CE47DE" w:rsidRDefault="00665C39" w:rsidP="00A4263F">
      <w:pPr>
        <w:spacing w:line="480" w:lineRule="auto"/>
      </w:pPr>
    </w:p>
    <w:p w14:paraId="10C7F947" w14:textId="77777777" w:rsidR="00665C39" w:rsidRDefault="00665C39">
      <w:r>
        <w:t>-----------------------</w:t>
      </w:r>
    </w:p>
    <w:p w14:paraId="6FAC8340" w14:textId="483412F4" w:rsidR="00665C39" w:rsidRDefault="00665C39"/>
    <w:p w14:paraId="7A436C04" w14:textId="541D287B" w:rsidR="00665C39" w:rsidRDefault="00665C39">
      <w:r>
        <w:t>Table 2 about here</w:t>
      </w:r>
    </w:p>
    <w:p w14:paraId="62B2DC14" w14:textId="77777777" w:rsidR="00665C39" w:rsidRDefault="00665C39"/>
    <w:p w14:paraId="05AE3E6E" w14:textId="25F2D39A" w:rsidR="00665C39" w:rsidRDefault="00665C39">
      <w:r>
        <w:t>------------------------</w:t>
      </w:r>
    </w:p>
    <w:p w14:paraId="6918739B" w14:textId="35103AFF" w:rsidR="00665C39" w:rsidRPr="00CE47DE" w:rsidRDefault="00665C39" w:rsidP="00A4263F">
      <w:pPr>
        <w:spacing w:line="480" w:lineRule="auto"/>
      </w:pPr>
    </w:p>
    <w:p w14:paraId="31D16060" w14:textId="4372E080" w:rsidR="001C76F7" w:rsidRPr="00CE47DE" w:rsidRDefault="009D06F1" w:rsidP="00A4263F">
      <w:pPr>
        <w:spacing w:line="480" w:lineRule="auto"/>
        <w:rPr>
          <w:i/>
        </w:rPr>
      </w:pPr>
      <w:r w:rsidRPr="00CE47DE">
        <w:rPr>
          <w:i/>
        </w:rPr>
        <w:t>3.</w:t>
      </w:r>
      <w:r w:rsidR="00084E45" w:rsidRPr="00CE47DE">
        <w:rPr>
          <w:i/>
        </w:rPr>
        <w:t>2</w:t>
      </w:r>
      <w:r w:rsidRPr="00CE47DE">
        <w:rPr>
          <w:i/>
        </w:rPr>
        <w:t>. Knowledge</w:t>
      </w:r>
      <w:r w:rsidR="001F5B4C" w:rsidRPr="00CE47DE">
        <w:rPr>
          <w:i/>
        </w:rPr>
        <w:t xml:space="preserve"> level</w:t>
      </w:r>
      <w:r w:rsidR="00AC5BC9" w:rsidRPr="00CE47DE">
        <w:rPr>
          <w:i/>
        </w:rPr>
        <w:t xml:space="preserve"> </w:t>
      </w:r>
      <w:r w:rsidR="0001252E" w:rsidRPr="00CE47DE">
        <w:rPr>
          <w:i/>
        </w:rPr>
        <w:t>during follow-up</w:t>
      </w:r>
    </w:p>
    <w:p w14:paraId="1594224B" w14:textId="78955B0A" w:rsidR="007F76CB" w:rsidRPr="00CE47DE" w:rsidRDefault="00AC5BC9" w:rsidP="00A4263F">
      <w:pPr>
        <w:spacing w:line="480" w:lineRule="auto"/>
      </w:pPr>
      <w:r w:rsidRPr="00CE47DE">
        <w:t xml:space="preserve">In the </w:t>
      </w:r>
      <w:r w:rsidR="00903243" w:rsidRPr="00CE47DE">
        <w:t>IG</w:t>
      </w:r>
      <w:r w:rsidRPr="00CE47DE">
        <w:t xml:space="preserve">, the total </w:t>
      </w:r>
      <w:r w:rsidR="00D86F7C" w:rsidRPr="00CE47DE">
        <w:t>knowledge level was at baseline</w:t>
      </w:r>
      <w:r w:rsidR="00B51BAC" w:rsidRPr="00CE47DE">
        <w:t xml:space="preserve"> (T0)</w:t>
      </w:r>
      <w:r w:rsidR="00E37A57" w:rsidRPr="00CE47DE">
        <w:t xml:space="preserve"> </w:t>
      </w:r>
      <w:r w:rsidR="00FB3F74">
        <w:t>13.4</w:t>
      </w:r>
      <w:r w:rsidRPr="00CE47DE">
        <w:t xml:space="preserve"> (SD 3.9</w:t>
      </w:r>
      <w:r w:rsidR="00E321BD">
        <w:t>;</w:t>
      </w:r>
      <w:r w:rsidR="00E321BD" w:rsidRPr="00E321BD">
        <w:rPr>
          <w:b/>
        </w:rPr>
        <w:t xml:space="preserve"> </w:t>
      </w:r>
      <w:r w:rsidR="00E321BD">
        <w:rPr>
          <w:b/>
        </w:rPr>
        <w:t>scale</w:t>
      </w:r>
      <w:r w:rsidR="00E321BD" w:rsidRPr="00E321BD">
        <w:rPr>
          <w:b/>
        </w:rPr>
        <w:t xml:space="preserve"> 0–27</w:t>
      </w:r>
      <w:r w:rsidR="001129F9">
        <w:rPr>
          <w:b/>
        </w:rPr>
        <w:t>; range 4–21</w:t>
      </w:r>
      <w:r w:rsidR="00FB3F74">
        <w:t>)</w:t>
      </w:r>
      <w:r w:rsidRPr="00CE47DE">
        <w:t>, at admission</w:t>
      </w:r>
      <w:r w:rsidR="00382892" w:rsidRPr="00CE47DE">
        <w:t xml:space="preserve"> </w:t>
      </w:r>
      <w:r w:rsidR="006A3BAA" w:rsidRPr="00CE47DE">
        <w:t>(T1) 2</w:t>
      </w:r>
      <w:r w:rsidR="00D86F7C" w:rsidRPr="00CE47DE">
        <w:t>1</w:t>
      </w:r>
      <w:r w:rsidR="006A3BAA" w:rsidRPr="00CE47DE">
        <w:t>.6 (SD 3.5</w:t>
      </w:r>
      <w:r w:rsidR="001129F9">
        <w:t xml:space="preserve">; </w:t>
      </w:r>
      <w:r w:rsidR="001129F9" w:rsidRPr="001129F9">
        <w:rPr>
          <w:b/>
        </w:rPr>
        <w:t>range 8–25</w:t>
      </w:r>
      <w:r w:rsidR="006A3BAA" w:rsidRPr="00CE47DE">
        <w:t xml:space="preserve">), at </w:t>
      </w:r>
      <w:r w:rsidR="00D86F7C" w:rsidRPr="00CE47DE">
        <w:t>discharge (</w:t>
      </w:r>
      <w:r w:rsidR="006A3BAA" w:rsidRPr="00CE47DE">
        <w:t>T2) 21.4</w:t>
      </w:r>
      <w:r w:rsidR="00D86F7C" w:rsidRPr="00CE47DE">
        <w:t xml:space="preserve"> (SD 3.4</w:t>
      </w:r>
      <w:r w:rsidR="001129F9">
        <w:t xml:space="preserve">; </w:t>
      </w:r>
      <w:r w:rsidR="001129F9" w:rsidRPr="001129F9">
        <w:rPr>
          <w:b/>
        </w:rPr>
        <w:t>range 10–26</w:t>
      </w:r>
      <w:r w:rsidR="00D86F7C" w:rsidRPr="00CE47DE">
        <w:t>)</w:t>
      </w:r>
      <w:r w:rsidR="006A3BAA" w:rsidRPr="00CE47DE">
        <w:t xml:space="preserve">, </w:t>
      </w:r>
      <w:r w:rsidR="00151799" w:rsidRPr="00CE47DE">
        <w:t xml:space="preserve">at </w:t>
      </w:r>
      <w:r w:rsidR="006A3BAA" w:rsidRPr="00CE47DE">
        <w:t>three months (T3) 21.2 (SD 4.6</w:t>
      </w:r>
      <w:r w:rsidR="001129F9">
        <w:t xml:space="preserve">; </w:t>
      </w:r>
      <w:r w:rsidR="001129F9" w:rsidRPr="001129F9">
        <w:rPr>
          <w:b/>
        </w:rPr>
        <w:t xml:space="preserve">range </w:t>
      </w:r>
      <w:r w:rsidR="001129F9">
        <w:rPr>
          <w:b/>
        </w:rPr>
        <w:t>11–27</w:t>
      </w:r>
      <w:r w:rsidR="006A3BAA" w:rsidRPr="00CE47DE">
        <w:t xml:space="preserve">) and </w:t>
      </w:r>
      <w:r w:rsidR="00151799" w:rsidRPr="00CE47DE">
        <w:t xml:space="preserve">at </w:t>
      </w:r>
      <w:r w:rsidR="006A3BAA" w:rsidRPr="00CE47DE">
        <w:t xml:space="preserve">six </w:t>
      </w:r>
      <w:r w:rsidR="00FB3F74">
        <w:t>months</w:t>
      </w:r>
      <w:r w:rsidR="006A3BAA" w:rsidRPr="00CE47DE">
        <w:t xml:space="preserve"> (T4) 20.3 (SD 4.5</w:t>
      </w:r>
      <w:r w:rsidR="001129F9">
        <w:t xml:space="preserve">; </w:t>
      </w:r>
      <w:r w:rsidR="001129F9" w:rsidRPr="001129F9">
        <w:rPr>
          <w:b/>
        </w:rPr>
        <w:t xml:space="preserve">range </w:t>
      </w:r>
      <w:r w:rsidR="001129F9">
        <w:rPr>
          <w:b/>
        </w:rPr>
        <w:t>11–26</w:t>
      </w:r>
      <w:r w:rsidR="006A3BAA" w:rsidRPr="00CE47DE">
        <w:t xml:space="preserve">).  </w:t>
      </w:r>
      <w:r w:rsidR="007F76CB" w:rsidRPr="00CE47DE">
        <w:t xml:space="preserve">The knowledge level of the IG increased statistically significantly </w:t>
      </w:r>
      <w:r w:rsidR="00151799" w:rsidRPr="00CE47DE">
        <w:t>by</w:t>
      </w:r>
      <w:r w:rsidR="007F76CB" w:rsidRPr="00CE47DE">
        <w:t xml:space="preserve"> </w:t>
      </w:r>
      <w:r w:rsidR="00A56BE9" w:rsidRPr="00CE47DE">
        <w:t>8.2 scores</w:t>
      </w:r>
      <w:r w:rsidR="007F76CB" w:rsidRPr="00CE47DE">
        <w:t xml:space="preserve"> (95% CI 6.6–9.7, p &lt; </w:t>
      </w:r>
      <w:r w:rsidR="00641C21" w:rsidRPr="00CE47DE">
        <w:t>0</w:t>
      </w:r>
      <w:r w:rsidR="007F76CB" w:rsidRPr="00CE47DE">
        <w:t>.0001) after the intervention (T1)</w:t>
      </w:r>
      <w:r w:rsidR="00151799" w:rsidRPr="00CE47DE">
        <w:t>,</w:t>
      </w:r>
      <w:r w:rsidR="007F76CB" w:rsidRPr="00CE47DE">
        <w:t xml:space="preserve"> and remained stable throughout</w:t>
      </w:r>
      <w:r w:rsidR="002A5120" w:rsidRPr="00CE47DE">
        <w:t xml:space="preserve"> the</w:t>
      </w:r>
      <w:r w:rsidR="007F76CB" w:rsidRPr="00CE47DE">
        <w:t xml:space="preserve"> follow-up (</w:t>
      </w:r>
      <w:r w:rsidR="00266FC5" w:rsidRPr="00CE47DE">
        <w:t>Table 3</w:t>
      </w:r>
      <w:r w:rsidR="007F76CB" w:rsidRPr="00CE47DE">
        <w:t>).</w:t>
      </w:r>
    </w:p>
    <w:p w14:paraId="2CA9EF78" w14:textId="77777777" w:rsidR="007F76CB" w:rsidRPr="00CE47DE" w:rsidRDefault="007F76CB" w:rsidP="00A4263F">
      <w:pPr>
        <w:spacing w:line="480" w:lineRule="auto"/>
      </w:pPr>
    </w:p>
    <w:p w14:paraId="381F639E" w14:textId="1E50B270" w:rsidR="007F76CB" w:rsidRPr="00CE47DE" w:rsidRDefault="007F76CB" w:rsidP="007F76CB">
      <w:pPr>
        <w:spacing w:line="480" w:lineRule="auto"/>
      </w:pPr>
      <w:r w:rsidRPr="00CE47DE">
        <w:t xml:space="preserve">In the CG, the total knowledge level </w:t>
      </w:r>
      <w:r w:rsidR="007C0B09" w:rsidRPr="00CE47DE">
        <w:t>at the</w:t>
      </w:r>
      <w:r w:rsidR="00C467DA" w:rsidRPr="00CE47DE">
        <w:t xml:space="preserve"> baseline </w:t>
      </w:r>
      <w:r w:rsidR="007C0B09" w:rsidRPr="00CE47DE">
        <w:t xml:space="preserve">was </w:t>
      </w:r>
      <w:r w:rsidR="00C467DA" w:rsidRPr="00CE47DE">
        <w:t>1</w:t>
      </w:r>
      <w:r w:rsidR="00A56BE9" w:rsidRPr="00CE47DE">
        <w:t xml:space="preserve">3.9 </w:t>
      </w:r>
      <w:r w:rsidR="008F4403" w:rsidRPr="00CE47DE">
        <w:t>(SD 4.5</w:t>
      </w:r>
      <w:r w:rsidR="001129F9">
        <w:t xml:space="preserve">; </w:t>
      </w:r>
      <w:r w:rsidR="001129F9" w:rsidRPr="001129F9">
        <w:rPr>
          <w:b/>
        </w:rPr>
        <w:t xml:space="preserve">range </w:t>
      </w:r>
      <w:r w:rsidR="001129F9">
        <w:rPr>
          <w:b/>
        </w:rPr>
        <w:t>3–21</w:t>
      </w:r>
      <w:r w:rsidR="008F4403" w:rsidRPr="00CE47DE">
        <w:t xml:space="preserve">) </w:t>
      </w:r>
      <w:r w:rsidR="00A56BE9" w:rsidRPr="00CE47DE">
        <w:t xml:space="preserve">and </w:t>
      </w:r>
      <w:r w:rsidR="007C0B09" w:rsidRPr="00CE47DE">
        <w:t>reached</w:t>
      </w:r>
      <w:r w:rsidR="008F4403" w:rsidRPr="00CE47DE">
        <w:t xml:space="preserve"> the highest level</w:t>
      </w:r>
      <w:r w:rsidR="007C0B09" w:rsidRPr="00CE47DE">
        <w:t xml:space="preserve"> of</w:t>
      </w:r>
      <w:r w:rsidR="008F4403" w:rsidRPr="00CE47DE">
        <w:t xml:space="preserve"> </w:t>
      </w:r>
      <w:r w:rsidR="00A56BE9" w:rsidRPr="00CE47DE">
        <w:t>15.4</w:t>
      </w:r>
      <w:r w:rsidR="008F4403" w:rsidRPr="00CE47DE">
        <w:t xml:space="preserve"> (SD 4.1</w:t>
      </w:r>
      <w:r w:rsidR="001129F9">
        <w:t>;</w:t>
      </w:r>
      <w:r w:rsidR="001129F9" w:rsidRPr="001129F9">
        <w:rPr>
          <w:b/>
        </w:rPr>
        <w:t xml:space="preserve"> range </w:t>
      </w:r>
      <w:r w:rsidR="001129F9">
        <w:rPr>
          <w:b/>
        </w:rPr>
        <w:t>3–22</w:t>
      </w:r>
      <w:r w:rsidR="008F4403" w:rsidRPr="00CE47DE">
        <w:t xml:space="preserve">) at </w:t>
      </w:r>
      <w:r w:rsidR="007C0B09" w:rsidRPr="00CE47DE">
        <w:t>discharge (</w:t>
      </w:r>
      <w:r w:rsidR="008F4403" w:rsidRPr="00CE47DE">
        <w:t>T2</w:t>
      </w:r>
      <w:r w:rsidR="007C0B09" w:rsidRPr="00CE47DE">
        <w:t>)</w:t>
      </w:r>
      <w:r w:rsidR="008F4403" w:rsidRPr="00CE47DE">
        <w:t>. D</w:t>
      </w:r>
      <w:r w:rsidRPr="00CE47DE">
        <w:t xml:space="preserve">uring the hospitalization (between T1 and T2) there was a </w:t>
      </w:r>
      <w:r w:rsidR="00A6553B" w:rsidRPr="00CE47DE">
        <w:t xml:space="preserve">minor </w:t>
      </w:r>
      <w:r w:rsidR="00D41EE8">
        <w:t>but</w:t>
      </w:r>
      <w:r w:rsidR="00F02F56">
        <w:t xml:space="preserve"> non-</w:t>
      </w:r>
      <w:r w:rsidRPr="00CE47DE">
        <w:t xml:space="preserve">significant increase of 2.2 scores (95% CI –3.6–7.9, p = 0.0619). The knowledge level </w:t>
      </w:r>
      <w:r w:rsidR="00FA618A" w:rsidRPr="00CE47DE">
        <w:t>remained</w:t>
      </w:r>
      <w:r w:rsidRPr="00CE47DE">
        <w:t xml:space="preserve"> stable </w:t>
      </w:r>
      <w:r w:rsidR="00151799" w:rsidRPr="00CE47DE">
        <w:t>throughout</w:t>
      </w:r>
      <w:r w:rsidRPr="00CE47DE">
        <w:t xml:space="preserve"> </w:t>
      </w:r>
      <w:r w:rsidR="007C0B09" w:rsidRPr="00CE47DE">
        <w:t xml:space="preserve">the </w:t>
      </w:r>
      <w:r w:rsidRPr="00CE47DE">
        <w:t>follow-up (</w:t>
      </w:r>
      <w:r w:rsidR="00266FC5" w:rsidRPr="00CE47DE">
        <w:t>Table 3</w:t>
      </w:r>
      <w:r w:rsidR="00D6263A" w:rsidRPr="00CE47DE">
        <w:t>).</w:t>
      </w:r>
      <w:r w:rsidR="008F4403" w:rsidRPr="00CE47DE">
        <w:t xml:space="preserve"> </w:t>
      </w:r>
    </w:p>
    <w:p w14:paraId="0E548778" w14:textId="682D97A4" w:rsidR="007F76CB" w:rsidRPr="00CE47DE" w:rsidRDefault="007F76CB" w:rsidP="00A4263F">
      <w:pPr>
        <w:spacing w:line="480" w:lineRule="auto"/>
      </w:pPr>
    </w:p>
    <w:p w14:paraId="3A3BCF7B" w14:textId="0FB28F7E" w:rsidR="0018165D" w:rsidRPr="00CE47DE" w:rsidRDefault="00E648B3" w:rsidP="00A4263F">
      <w:pPr>
        <w:spacing w:line="480" w:lineRule="auto"/>
      </w:pPr>
      <w:r w:rsidRPr="00CE47DE">
        <w:lastRenderedPageBreak/>
        <w:t xml:space="preserve">In </w:t>
      </w:r>
      <w:r w:rsidR="0018165D" w:rsidRPr="00CE47DE">
        <w:t xml:space="preserve">the subscales of </w:t>
      </w:r>
      <w:r w:rsidR="007C0B09" w:rsidRPr="00CE47DE">
        <w:t xml:space="preserve">the </w:t>
      </w:r>
      <w:r w:rsidR="00DD61DC" w:rsidRPr="00CE47DE">
        <w:t>KNOWBACK Test</w:t>
      </w:r>
      <w:r w:rsidR="00151799" w:rsidRPr="00CE47DE">
        <w:t xml:space="preserve"> at</w:t>
      </w:r>
      <w:r w:rsidRPr="00CE47DE">
        <w:t xml:space="preserve"> baseline, t</w:t>
      </w:r>
      <w:r w:rsidR="00501A2E" w:rsidRPr="00CE47DE">
        <w:t xml:space="preserve">he </w:t>
      </w:r>
      <w:r w:rsidR="00137FF3" w:rsidRPr="00CE47DE">
        <w:t xml:space="preserve">highest knowledge level </w:t>
      </w:r>
      <w:r w:rsidR="00151799" w:rsidRPr="00CE47DE">
        <w:t xml:space="preserve">of </w:t>
      </w:r>
      <w:r w:rsidR="00137FF3" w:rsidRPr="00CE47DE">
        <w:t>2.5</w:t>
      </w:r>
      <w:r w:rsidR="00DD24F3" w:rsidRPr="00CE47DE">
        <w:t xml:space="preserve"> </w:t>
      </w:r>
      <w:r w:rsidR="00536456" w:rsidRPr="00CE47DE">
        <w:t>scores</w:t>
      </w:r>
      <w:r w:rsidR="00137FF3" w:rsidRPr="00CE47DE">
        <w:t xml:space="preserve"> (SD </w:t>
      </w:r>
      <w:r w:rsidR="00501A2E" w:rsidRPr="00CE47DE">
        <w:t>0.7</w:t>
      </w:r>
      <w:r w:rsidR="00AC5BC9" w:rsidRPr="00CE47DE">
        <w:t xml:space="preserve">, scale 0–3) </w:t>
      </w:r>
      <w:r w:rsidR="00501A2E" w:rsidRPr="00CE47DE">
        <w:t xml:space="preserve">was on the experiential </w:t>
      </w:r>
      <w:r w:rsidR="001C6405" w:rsidRPr="00CE47DE">
        <w:t>subscale</w:t>
      </w:r>
      <w:r w:rsidR="00501A2E" w:rsidRPr="00CE47DE">
        <w:t xml:space="preserve"> in both study groups</w:t>
      </w:r>
      <w:r w:rsidR="00151799" w:rsidRPr="00CE47DE">
        <w:t>,</w:t>
      </w:r>
      <w:r w:rsidR="00501A2E" w:rsidRPr="00CE47DE">
        <w:t xml:space="preserve"> and the lowest</w:t>
      </w:r>
      <w:r w:rsidR="00DD24F3" w:rsidRPr="00CE47DE">
        <w:t xml:space="preserve"> knowledge level</w:t>
      </w:r>
      <w:r w:rsidR="00151799" w:rsidRPr="00CE47DE">
        <w:t xml:space="preserve"> of</w:t>
      </w:r>
      <w:r w:rsidR="00501A2E" w:rsidRPr="00CE47DE">
        <w:t xml:space="preserve"> </w:t>
      </w:r>
      <w:r w:rsidR="00DD24F3" w:rsidRPr="00CE47DE">
        <w:t xml:space="preserve">0.9 </w:t>
      </w:r>
      <w:r w:rsidR="00536456" w:rsidRPr="00CE47DE">
        <w:t>scores</w:t>
      </w:r>
      <w:r w:rsidR="00DD24F3" w:rsidRPr="00CE47DE">
        <w:t xml:space="preserve"> (SD 0.9</w:t>
      </w:r>
      <w:r w:rsidR="00AC5BC9" w:rsidRPr="00CE47DE">
        <w:t>, scale 0–3</w:t>
      </w:r>
      <w:r w:rsidR="00DD24F3" w:rsidRPr="00CE47DE">
        <w:t xml:space="preserve">) </w:t>
      </w:r>
      <w:r w:rsidR="00501A2E" w:rsidRPr="00CE47DE">
        <w:t xml:space="preserve">in the </w:t>
      </w:r>
      <w:r w:rsidR="00903243" w:rsidRPr="00CE47DE">
        <w:t>IG</w:t>
      </w:r>
      <w:r w:rsidR="00501A2E" w:rsidRPr="00CE47DE">
        <w:t xml:space="preserve"> in </w:t>
      </w:r>
      <w:r w:rsidR="007C0B09" w:rsidRPr="00CE47DE">
        <w:t xml:space="preserve">the </w:t>
      </w:r>
      <w:r w:rsidR="00501A2E" w:rsidRPr="00CE47DE">
        <w:t xml:space="preserve">ethical </w:t>
      </w:r>
      <w:r w:rsidR="00DD24F3" w:rsidRPr="00CE47DE">
        <w:t>dimension</w:t>
      </w:r>
      <w:r w:rsidR="00D6263A" w:rsidRPr="00CE47DE">
        <w:t>.</w:t>
      </w:r>
    </w:p>
    <w:p w14:paraId="5BECCDFD" w14:textId="77777777" w:rsidR="00B51BAC" w:rsidRPr="00CE47DE" w:rsidRDefault="00B51BAC" w:rsidP="00A4263F">
      <w:pPr>
        <w:spacing w:line="480" w:lineRule="auto"/>
      </w:pPr>
    </w:p>
    <w:p w14:paraId="6C5D1B5B" w14:textId="45CA6B6E" w:rsidR="00007759" w:rsidRPr="00CE47DE" w:rsidRDefault="00B14E97" w:rsidP="00A4263F">
      <w:pPr>
        <w:spacing w:line="480" w:lineRule="auto"/>
      </w:pPr>
      <w:r w:rsidRPr="00CE47DE">
        <w:t>In</w:t>
      </w:r>
      <w:r w:rsidR="00A6553B" w:rsidRPr="00CE47DE">
        <w:t xml:space="preserve"> the IG</w:t>
      </w:r>
      <w:r w:rsidR="00031EC3" w:rsidRPr="00CE47DE">
        <w:t>, there was a statistically significant knowledge level increase in all other subscales (</w:t>
      </w:r>
      <w:proofErr w:type="spellStart"/>
      <w:r w:rsidR="00031EC3" w:rsidRPr="00CE47DE">
        <w:t>p</w:t>
      </w:r>
      <w:r w:rsidR="00A6553B" w:rsidRPr="00CE47DE">
        <w:rPr>
          <w:vertAlign w:val="subscript"/>
        </w:rPr>
        <w:t>time</w:t>
      </w:r>
      <w:proofErr w:type="spellEnd"/>
      <w:r w:rsidR="00031EC3" w:rsidRPr="00CE47DE">
        <w:t xml:space="preserve"> &lt; 0.0001) </w:t>
      </w:r>
      <w:r w:rsidRPr="00CE47DE">
        <w:t xml:space="preserve">but the </w:t>
      </w:r>
      <w:r w:rsidR="00031EC3" w:rsidRPr="00CE47DE">
        <w:t>experiential dimension (</w:t>
      </w:r>
      <w:proofErr w:type="spellStart"/>
      <w:r w:rsidR="00031EC3" w:rsidRPr="003540EE">
        <w:t>p</w:t>
      </w:r>
      <w:r w:rsidR="00A6553B" w:rsidRPr="00CE47DE">
        <w:rPr>
          <w:vertAlign w:val="subscript"/>
        </w:rPr>
        <w:t>time</w:t>
      </w:r>
      <w:proofErr w:type="spellEnd"/>
      <w:r w:rsidR="00031EC3" w:rsidRPr="00CE47DE">
        <w:t xml:space="preserve"> = 0.</w:t>
      </w:r>
      <w:r w:rsidR="00641C21" w:rsidRPr="00CE47DE">
        <w:t>2968</w:t>
      </w:r>
      <w:r w:rsidR="00031EC3" w:rsidRPr="00CE47DE">
        <w:t>)</w:t>
      </w:r>
      <w:r w:rsidR="00A6553B" w:rsidRPr="00CE47DE">
        <w:t>.</w:t>
      </w:r>
      <w:r w:rsidR="00031EC3" w:rsidRPr="00CE47DE">
        <w:t xml:space="preserve"> </w:t>
      </w:r>
      <w:r w:rsidRPr="00CE47DE">
        <w:t>In</w:t>
      </w:r>
      <w:r w:rsidR="005F474D" w:rsidRPr="00CE47DE">
        <w:t xml:space="preserve"> the </w:t>
      </w:r>
      <w:r w:rsidR="00903243" w:rsidRPr="00CE47DE">
        <w:t>CG</w:t>
      </w:r>
      <w:r w:rsidR="006454C3" w:rsidRPr="00CE47DE">
        <w:t>,</w:t>
      </w:r>
      <w:r w:rsidR="008105F9" w:rsidRPr="00CE47DE">
        <w:t xml:space="preserve"> a statistically significant knowledge increase </w:t>
      </w:r>
      <w:r w:rsidRPr="00CE47DE">
        <w:t xml:space="preserve">was noted </w:t>
      </w:r>
      <w:r w:rsidR="008105F9" w:rsidRPr="00CE47DE">
        <w:t>in bio-physiological (</w:t>
      </w:r>
      <w:proofErr w:type="spellStart"/>
      <w:r w:rsidR="00616CB6" w:rsidRPr="00CE47DE">
        <w:t>p</w:t>
      </w:r>
      <w:r w:rsidR="004B1841" w:rsidRPr="00CE47DE">
        <w:rPr>
          <w:vertAlign w:val="subscript"/>
        </w:rPr>
        <w:t>time</w:t>
      </w:r>
      <w:proofErr w:type="spellEnd"/>
      <w:r w:rsidR="00616CB6" w:rsidRPr="00CE47DE">
        <w:t xml:space="preserve"> = 0.0003), </w:t>
      </w:r>
      <w:r w:rsidR="008105F9" w:rsidRPr="00CE47DE">
        <w:t>functional (</w:t>
      </w:r>
      <w:proofErr w:type="spellStart"/>
      <w:r w:rsidR="008105F9" w:rsidRPr="00CE47DE">
        <w:t>p</w:t>
      </w:r>
      <w:r w:rsidR="004B1841" w:rsidRPr="00CE47DE">
        <w:rPr>
          <w:vertAlign w:val="subscript"/>
        </w:rPr>
        <w:t>time</w:t>
      </w:r>
      <w:proofErr w:type="spellEnd"/>
      <w:r w:rsidR="008105F9" w:rsidRPr="00CE47DE">
        <w:t xml:space="preserve"> &lt; 0.00</w:t>
      </w:r>
      <w:r w:rsidR="00616CB6" w:rsidRPr="00CE47DE">
        <w:t>0</w:t>
      </w:r>
      <w:r w:rsidR="008105F9" w:rsidRPr="00CE47DE">
        <w:t>1)</w:t>
      </w:r>
      <w:r w:rsidR="00616CB6" w:rsidRPr="00CE47DE">
        <w:t xml:space="preserve"> and ethical (</w:t>
      </w:r>
      <w:proofErr w:type="spellStart"/>
      <w:r w:rsidR="00616CB6" w:rsidRPr="00CE47DE">
        <w:t>p</w:t>
      </w:r>
      <w:r w:rsidR="004B1841" w:rsidRPr="00CE47DE">
        <w:rPr>
          <w:vertAlign w:val="subscript"/>
        </w:rPr>
        <w:t>time</w:t>
      </w:r>
      <w:proofErr w:type="spellEnd"/>
      <w:r w:rsidR="00641C21" w:rsidRPr="00CE47DE">
        <w:t xml:space="preserve"> = 0.0267</w:t>
      </w:r>
      <w:r w:rsidR="00616CB6" w:rsidRPr="00CE47DE">
        <w:t>)</w:t>
      </w:r>
      <w:r w:rsidR="008105F9" w:rsidRPr="00CE47DE">
        <w:t xml:space="preserve"> subscales</w:t>
      </w:r>
      <w:r w:rsidR="00A6553B" w:rsidRPr="00CE47DE">
        <w:t xml:space="preserve"> (</w:t>
      </w:r>
      <w:r w:rsidR="00266FC5" w:rsidRPr="00CE47DE">
        <w:t>Table 3</w:t>
      </w:r>
      <w:r w:rsidR="00A6553B" w:rsidRPr="00CE47DE">
        <w:t>).</w:t>
      </w:r>
    </w:p>
    <w:p w14:paraId="5B591031" w14:textId="77777777" w:rsidR="00007759" w:rsidRPr="00CE47DE" w:rsidRDefault="00007759" w:rsidP="00A4263F">
      <w:pPr>
        <w:spacing w:line="480" w:lineRule="auto"/>
      </w:pPr>
    </w:p>
    <w:p w14:paraId="1BA8B995" w14:textId="48964995" w:rsidR="00031EC3" w:rsidRPr="00CE47DE" w:rsidRDefault="00031EC3" w:rsidP="00A4263F">
      <w:pPr>
        <w:spacing w:line="480" w:lineRule="auto"/>
        <w:rPr>
          <w:i/>
        </w:rPr>
      </w:pPr>
      <w:r w:rsidRPr="00CE47DE">
        <w:rPr>
          <w:i/>
        </w:rPr>
        <w:t>3.</w:t>
      </w:r>
      <w:r w:rsidR="00210D33" w:rsidRPr="00CE47DE">
        <w:rPr>
          <w:i/>
        </w:rPr>
        <w:t>3</w:t>
      </w:r>
      <w:r w:rsidRPr="00CE47DE">
        <w:rPr>
          <w:i/>
        </w:rPr>
        <w:t xml:space="preserve">. </w:t>
      </w:r>
      <w:r w:rsidR="00151799" w:rsidRPr="00CE47DE">
        <w:rPr>
          <w:i/>
        </w:rPr>
        <w:t xml:space="preserve">Between group differences </w:t>
      </w:r>
      <w:r w:rsidR="00C51719" w:rsidRPr="00CE47DE">
        <w:rPr>
          <w:i/>
        </w:rPr>
        <w:t>in</w:t>
      </w:r>
      <w:r w:rsidR="00151799" w:rsidRPr="00CE47DE">
        <w:rPr>
          <w:i/>
        </w:rPr>
        <w:t xml:space="preserve"> knowledge level</w:t>
      </w:r>
    </w:p>
    <w:p w14:paraId="5FE7F295" w14:textId="633B98AD" w:rsidR="004F5209" w:rsidRPr="00CE47DE" w:rsidRDefault="00352726" w:rsidP="00A4263F">
      <w:pPr>
        <w:spacing w:line="480" w:lineRule="auto"/>
      </w:pPr>
      <w:r w:rsidRPr="00CE47DE">
        <w:t xml:space="preserve">There was no statistically significant difference </w:t>
      </w:r>
      <w:r w:rsidR="0087125E" w:rsidRPr="00CE47DE">
        <w:t>(–</w:t>
      </w:r>
      <w:r w:rsidR="00536456" w:rsidRPr="00CE47DE">
        <w:t>0.5 sc</w:t>
      </w:r>
      <w:r w:rsidR="00FD2013" w:rsidRPr="00CE47DE">
        <w:t>ore, 95% CI –2.2–1.1, p = 0.5</w:t>
      </w:r>
      <w:r w:rsidR="00641C21" w:rsidRPr="00CE47DE">
        <w:t>363</w:t>
      </w:r>
      <w:r w:rsidR="00536456" w:rsidRPr="00CE47DE">
        <w:t xml:space="preserve">) </w:t>
      </w:r>
      <w:r w:rsidRPr="00CE47DE">
        <w:t xml:space="preserve">between the </w:t>
      </w:r>
      <w:r w:rsidR="00477F9D" w:rsidRPr="00CE47DE">
        <w:t>study</w:t>
      </w:r>
      <w:r w:rsidRPr="00CE47DE">
        <w:t xml:space="preserve"> group</w:t>
      </w:r>
      <w:r w:rsidR="00477F9D" w:rsidRPr="00CE47DE">
        <w:t>s</w:t>
      </w:r>
      <w:r w:rsidRPr="00CE47DE">
        <w:t xml:space="preserve"> at baseline</w:t>
      </w:r>
      <w:r w:rsidR="00755949" w:rsidRPr="00CE47DE">
        <w:t xml:space="preserve"> (T0)</w:t>
      </w:r>
      <w:r w:rsidRPr="00CE47DE">
        <w:t xml:space="preserve"> in </w:t>
      </w:r>
      <w:r w:rsidR="00ED1BD5" w:rsidRPr="00CE47DE">
        <w:t xml:space="preserve">the total </w:t>
      </w:r>
      <w:r w:rsidR="00536456" w:rsidRPr="00CE47DE">
        <w:t>knowledge level</w:t>
      </w:r>
      <w:r w:rsidR="00ED1BD5" w:rsidRPr="00CE47DE">
        <w:t xml:space="preserve"> </w:t>
      </w:r>
      <w:r w:rsidR="00D83AD0" w:rsidRPr="00CE47DE">
        <w:t>or in</w:t>
      </w:r>
      <w:r w:rsidR="00ED1BD5" w:rsidRPr="00CE47DE">
        <w:t xml:space="preserve"> any of the subscales</w:t>
      </w:r>
      <w:r w:rsidRPr="00CE47DE">
        <w:t xml:space="preserve"> </w:t>
      </w:r>
      <w:r w:rsidR="00BC57A6" w:rsidRPr="00CE47DE">
        <w:t>(</w:t>
      </w:r>
      <w:r w:rsidR="00266FC5" w:rsidRPr="00CE47DE">
        <w:t>Table 3</w:t>
      </w:r>
      <w:r w:rsidR="00ED1BD5" w:rsidRPr="00CE47DE">
        <w:t xml:space="preserve">). </w:t>
      </w:r>
      <w:r w:rsidR="00A6553B" w:rsidRPr="00CE47DE">
        <w:t>T</w:t>
      </w:r>
      <w:r w:rsidRPr="00CE47DE">
        <w:t xml:space="preserve">he difference of the </w:t>
      </w:r>
      <w:r w:rsidR="00ED1BD5" w:rsidRPr="00CE47DE">
        <w:t xml:space="preserve">total </w:t>
      </w:r>
      <w:r w:rsidRPr="00CE47DE">
        <w:t xml:space="preserve">knowledge level between </w:t>
      </w:r>
      <w:r w:rsidR="00477F9D" w:rsidRPr="00CE47DE">
        <w:t xml:space="preserve">the study </w:t>
      </w:r>
      <w:r w:rsidRPr="00CE47DE">
        <w:t xml:space="preserve">groups was statistically significant (p &lt; 0.0001) after </w:t>
      </w:r>
      <w:r w:rsidR="006C158C" w:rsidRPr="00CE47DE">
        <w:t xml:space="preserve">the </w:t>
      </w:r>
      <w:r w:rsidRPr="00CE47DE">
        <w:t>intervention at all measurement points</w:t>
      </w:r>
      <w:r w:rsidR="0029232A" w:rsidRPr="00CE47DE">
        <w:t xml:space="preserve"> (T1</w:t>
      </w:r>
      <w:r w:rsidR="00C04D80" w:rsidRPr="00CE47DE">
        <w:t>–</w:t>
      </w:r>
      <w:r w:rsidR="0029232A" w:rsidRPr="00CE47DE">
        <w:t>T4)</w:t>
      </w:r>
      <w:r w:rsidRPr="00CE47DE">
        <w:t>.</w:t>
      </w:r>
    </w:p>
    <w:p w14:paraId="1E5DA1E7" w14:textId="77777777" w:rsidR="0029232A" w:rsidRPr="00CE47DE" w:rsidRDefault="0029232A" w:rsidP="00A4263F">
      <w:pPr>
        <w:spacing w:line="480" w:lineRule="auto"/>
      </w:pPr>
    </w:p>
    <w:p w14:paraId="4948ED81" w14:textId="0B8978BB" w:rsidR="00BA7815" w:rsidRDefault="00BA7815" w:rsidP="00A4263F">
      <w:pPr>
        <w:spacing w:line="480" w:lineRule="auto"/>
      </w:pPr>
      <w:r w:rsidRPr="00CE47DE">
        <w:t>Within the subscales of</w:t>
      </w:r>
      <w:r w:rsidR="006C158C" w:rsidRPr="00CE47DE">
        <w:t xml:space="preserve"> the</w:t>
      </w:r>
      <w:r w:rsidRPr="00CE47DE">
        <w:t xml:space="preserve"> </w:t>
      </w:r>
      <w:r w:rsidR="00DD61DC" w:rsidRPr="00CE47DE">
        <w:t>KNOWBACK Test</w:t>
      </w:r>
      <w:r w:rsidRPr="00CE47DE">
        <w:t xml:space="preserve">, there was a statistically significant difference between the </w:t>
      </w:r>
      <w:r w:rsidR="00903243" w:rsidRPr="00CE47DE">
        <w:t>IG</w:t>
      </w:r>
      <w:r w:rsidRPr="00CE47DE">
        <w:t xml:space="preserve"> and </w:t>
      </w:r>
      <w:r w:rsidR="006C158C" w:rsidRPr="00CE47DE">
        <w:t xml:space="preserve">the </w:t>
      </w:r>
      <w:r w:rsidR="00903243" w:rsidRPr="00CE47DE">
        <w:t>CG</w:t>
      </w:r>
      <w:r w:rsidRPr="00CE47DE">
        <w:t xml:space="preserve"> </w:t>
      </w:r>
      <w:r w:rsidR="006C158C" w:rsidRPr="00CE47DE">
        <w:t>i</w:t>
      </w:r>
      <w:r w:rsidRPr="00CE47DE">
        <w:t>n bio-physiological, functional, social and ethical subscale</w:t>
      </w:r>
      <w:r w:rsidR="00151799" w:rsidRPr="00CE47DE">
        <w:t>s</w:t>
      </w:r>
      <w:r w:rsidRPr="00CE47DE">
        <w:t xml:space="preserve"> at all measurement points</w:t>
      </w:r>
      <w:r w:rsidR="00031EC3" w:rsidRPr="00CE47DE">
        <w:t xml:space="preserve"> </w:t>
      </w:r>
      <w:r w:rsidR="00151799" w:rsidRPr="00CE47DE">
        <w:t xml:space="preserve">after </w:t>
      </w:r>
      <w:r w:rsidR="007923BA" w:rsidRPr="00CE47DE">
        <w:t xml:space="preserve">the </w:t>
      </w:r>
      <w:r w:rsidR="00151799" w:rsidRPr="00CE47DE">
        <w:t xml:space="preserve">intervention </w:t>
      </w:r>
      <w:r w:rsidR="00031EC3" w:rsidRPr="00CE47DE">
        <w:t>(T1</w:t>
      </w:r>
      <w:r w:rsidR="00C80424" w:rsidRPr="00CE47DE">
        <w:t>–</w:t>
      </w:r>
      <w:r w:rsidR="00031EC3" w:rsidRPr="00CE47DE">
        <w:t>T</w:t>
      </w:r>
      <w:r w:rsidR="006C158C" w:rsidRPr="00CE47DE">
        <w:t>4</w:t>
      </w:r>
      <w:r w:rsidR="00031EC3" w:rsidRPr="00CE47DE">
        <w:t>)</w:t>
      </w:r>
      <w:r w:rsidR="006C158C" w:rsidRPr="00CE47DE">
        <w:t>. In</w:t>
      </w:r>
      <w:r w:rsidRPr="00CE47DE">
        <w:t xml:space="preserve"> the experiential subscale</w:t>
      </w:r>
      <w:r w:rsidR="00151799" w:rsidRPr="00CE47DE">
        <w:t>,</w:t>
      </w:r>
      <w:r w:rsidRPr="00CE47DE">
        <w:t xml:space="preserve"> the </w:t>
      </w:r>
      <w:r w:rsidR="00903243" w:rsidRPr="00CE47DE">
        <w:t>CG</w:t>
      </w:r>
      <w:r w:rsidRPr="00CE47DE">
        <w:t xml:space="preserve"> scored statically significant</w:t>
      </w:r>
      <w:r w:rsidR="006C158C" w:rsidRPr="00CE47DE">
        <w:t>ly</w:t>
      </w:r>
      <w:r w:rsidRPr="00CE47DE">
        <w:t xml:space="preserve"> </w:t>
      </w:r>
      <w:r w:rsidR="00755C0B" w:rsidRPr="00CE47DE">
        <w:t>highe</w:t>
      </w:r>
      <w:r w:rsidR="00BC57A6" w:rsidRPr="00CE47DE">
        <w:t xml:space="preserve">r than the </w:t>
      </w:r>
      <w:r w:rsidR="00903243" w:rsidRPr="00CE47DE">
        <w:t>IG</w:t>
      </w:r>
      <w:r w:rsidR="00BC57A6" w:rsidRPr="00CE47DE">
        <w:t xml:space="preserve"> </w:t>
      </w:r>
      <w:r w:rsidR="00F665DF" w:rsidRPr="00CE47DE">
        <w:t>at T1</w:t>
      </w:r>
      <w:r w:rsidR="00C80424" w:rsidRPr="00CE47DE">
        <w:t>–</w:t>
      </w:r>
      <w:r w:rsidR="00F665DF" w:rsidRPr="00CE47DE">
        <w:t>T2 and vice versa at T3–T4</w:t>
      </w:r>
      <w:r w:rsidR="00C80424" w:rsidRPr="00CE47DE">
        <w:t xml:space="preserve"> </w:t>
      </w:r>
      <w:r w:rsidR="00BC57A6" w:rsidRPr="00CE47DE">
        <w:t>(</w:t>
      </w:r>
      <w:r w:rsidR="00266FC5" w:rsidRPr="00CE47DE">
        <w:t>Table 3</w:t>
      </w:r>
      <w:r w:rsidR="0087125E" w:rsidRPr="00CE47DE">
        <w:t>).</w:t>
      </w:r>
    </w:p>
    <w:p w14:paraId="52AD09B4" w14:textId="77777777" w:rsidR="004349AB" w:rsidRDefault="004349AB" w:rsidP="00A4263F">
      <w:pPr>
        <w:spacing w:line="480" w:lineRule="auto"/>
      </w:pPr>
    </w:p>
    <w:p w14:paraId="5AD93711" w14:textId="650619B6" w:rsidR="004349AB" w:rsidRDefault="004349AB" w:rsidP="00A4263F">
      <w:pPr>
        <w:spacing w:line="480" w:lineRule="auto"/>
      </w:pPr>
      <w:r>
        <w:t>-----------------------</w:t>
      </w:r>
    </w:p>
    <w:p w14:paraId="75803625" w14:textId="27430F41" w:rsidR="004349AB" w:rsidRDefault="004349AB" w:rsidP="00A4263F">
      <w:pPr>
        <w:spacing w:line="480" w:lineRule="auto"/>
      </w:pPr>
      <w:r>
        <w:t>Table 3 about here</w:t>
      </w:r>
    </w:p>
    <w:p w14:paraId="535A171B" w14:textId="1059EDD7" w:rsidR="004349AB" w:rsidRPr="00CE47DE" w:rsidRDefault="004349AB" w:rsidP="00A4263F">
      <w:pPr>
        <w:spacing w:line="480" w:lineRule="auto"/>
      </w:pPr>
      <w:r>
        <w:t>------------------------</w:t>
      </w:r>
    </w:p>
    <w:p w14:paraId="2FF44787" w14:textId="77777777" w:rsidR="004E0948" w:rsidRPr="00CE47DE" w:rsidRDefault="004E0948" w:rsidP="00A4263F">
      <w:pPr>
        <w:spacing w:line="480" w:lineRule="auto"/>
      </w:pPr>
    </w:p>
    <w:p w14:paraId="6894E496" w14:textId="182FA9E8" w:rsidR="009D06F1" w:rsidRPr="00CE47DE" w:rsidRDefault="009D06F1" w:rsidP="00A4263F">
      <w:pPr>
        <w:spacing w:line="480" w:lineRule="auto"/>
        <w:rPr>
          <w:i/>
        </w:rPr>
      </w:pPr>
      <w:r w:rsidRPr="00CE47DE">
        <w:rPr>
          <w:i/>
        </w:rPr>
        <w:t>3.</w:t>
      </w:r>
      <w:r w:rsidR="00210D33" w:rsidRPr="00CE47DE">
        <w:rPr>
          <w:i/>
        </w:rPr>
        <w:t>4</w:t>
      </w:r>
      <w:r w:rsidRPr="00CE47DE">
        <w:rPr>
          <w:i/>
        </w:rPr>
        <w:t xml:space="preserve">. </w:t>
      </w:r>
      <w:r w:rsidR="00DD3E4B" w:rsidRPr="00CE47DE">
        <w:rPr>
          <w:i/>
        </w:rPr>
        <w:t>Patients’ evaluation of the feasibility of the education</w:t>
      </w:r>
    </w:p>
    <w:p w14:paraId="772A4EB7" w14:textId="27D3B3E0" w:rsidR="00A30CC6" w:rsidRPr="00CE47DE" w:rsidRDefault="0068573B" w:rsidP="00A4263F">
      <w:pPr>
        <w:spacing w:line="480" w:lineRule="auto"/>
      </w:pPr>
      <w:r w:rsidRPr="00CE47DE">
        <w:lastRenderedPageBreak/>
        <w:t>T</w:t>
      </w:r>
      <w:r w:rsidR="00B52208" w:rsidRPr="00CE47DE">
        <w:t xml:space="preserve">he sum score of the clarity, intelligibility and adequacy of the </w:t>
      </w:r>
      <w:r w:rsidR="006B4297" w:rsidRPr="00CE47DE">
        <w:t>KTFI</w:t>
      </w:r>
      <w:r w:rsidR="00B52208" w:rsidRPr="00CE47DE">
        <w:t xml:space="preserve"> in </w:t>
      </w:r>
      <w:r w:rsidR="00903243" w:rsidRPr="00CE47DE">
        <w:t>IG</w:t>
      </w:r>
      <w:r w:rsidR="00B52208" w:rsidRPr="00CE47DE">
        <w:t xml:space="preserve"> </w:t>
      </w:r>
      <w:r w:rsidR="006B4297" w:rsidRPr="00CE47DE">
        <w:t xml:space="preserve">was </w:t>
      </w:r>
      <w:r w:rsidR="00B52208" w:rsidRPr="00CE47DE">
        <w:t>4.</w:t>
      </w:r>
      <w:r w:rsidR="000A794F" w:rsidRPr="00CE47DE">
        <w:t>5</w:t>
      </w:r>
      <w:r w:rsidR="00B52208" w:rsidRPr="00CE47DE">
        <w:t xml:space="preserve"> </w:t>
      </w:r>
      <w:r w:rsidR="00A56BE9" w:rsidRPr="00CE47DE">
        <w:t>(SD 0.6, scale 0–</w:t>
      </w:r>
      <w:r w:rsidR="004756DC" w:rsidRPr="00CE47DE">
        <w:t>5</w:t>
      </w:r>
      <w:r w:rsidR="00A56BE9" w:rsidRPr="00CE47DE">
        <w:t>)</w:t>
      </w:r>
      <w:r w:rsidR="00B224B1" w:rsidRPr="00CE47DE">
        <w:t>.</w:t>
      </w:r>
      <w:r w:rsidR="00B75421" w:rsidRPr="00CE47DE">
        <w:rPr>
          <w:color w:val="FF0000"/>
        </w:rPr>
        <w:t xml:space="preserve"> </w:t>
      </w:r>
      <w:r w:rsidR="00616CAB" w:rsidRPr="00CE47DE">
        <w:t xml:space="preserve">No correlation </w:t>
      </w:r>
      <w:r w:rsidRPr="00CE47DE">
        <w:t>exi</w:t>
      </w:r>
      <w:r w:rsidR="006B4297" w:rsidRPr="00CE47DE">
        <w:t>s</w:t>
      </w:r>
      <w:r w:rsidRPr="00CE47DE">
        <w:t>ted</w:t>
      </w:r>
      <w:r w:rsidR="00616CAB" w:rsidRPr="00CE47DE">
        <w:t xml:space="preserve"> between the </w:t>
      </w:r>
      <w:r w:rsidR="006B4297" w:rsidRPr="00CE47DE">
        <w:t xml:space="preserve">perceived </w:t>
      </w:r>
      <w:r w:rsidR="00616CAB" w:rsidRPr="00CE47DE">
        <w:t xml:space="preserve">feasibility </w:t>
      </w:r>
      <w:r w:rsidR="006B4297" w:rsidRPr="00CE47DE">
        <w:t xml:space="preserve">of the intervention </w:t>
      </w:r>
      <w:r w:rsidR="00616CAB" w:rsidRPr="00CE47DE">
        <w:t xml:space="preserve">and the </w:t>
      </w:r>
      <w:r w:rsidR="006B4297" w:rsidRPr="00CE47DE">
        <w:t>measure</w:t>
      </w:r>
      <w:r w:rsidR="007137F3">
        <w:t>d</w:t>
      </w:r>
      <w:r w:rsidR="006B4297" w:rsidRPr="00CE47DE">
        <w:t xml:space="preserve"> knowledge level</w:t>
      </w:r>
      <w:r w:rsidR="00616CAB" w:rsidRPr="00CE47DE">
        <w:t>.</w:t>
      </w:r>
    </w:p>
    <w:p w14:paraId="772859A2" w14:textId="77777777" w:rsidR="001B45D7" w:rsidRPr="00CE47DE" w:rsidRDefault="001B45D7" w:rsidP="00A4263F">
      <w:pPr>
        <w:spacing w:line="480" w:lineRule="auto"/>
      </w:pPr>
    </w:p>
    <w:p w14:paraId="62038D97" w14:textId="1B2F2811" w:rsidR="001B45D7" w:rsidRPr="00CE47DE" w:rsidRDefault="00A920F4" w:rsidP="00A4263F">
      <w:pPr>
        <w:spacing w:line="480" w:lineRule="auto"/>
        <w:rPr>
          <w:b/>
        </w:rPr>
      </w:pPr>
      <w:r w:rsidRPr="00CE47DE">
        <w:rPr>
          <w:b/>
        </w:rPr>
        <w:t xml:space="preserve">4. </w:t>
      </w:r>
      <w:r w:rsidR="004B6489" w:rsidRPr="00CE47DE">
        <w:rPr>
          <w:b/>
        </w:rPr>
        <w:t>Discussion</w:t>
      </w:r>
      <w:r w:rsidR="001B45D7" w:rsidRPr="00CE47DE">
        <w:rPr>
          <w:b/>
        </w:rPr>
        <w:t xml:space="preserve"> and Conclusion</w:t>
      </w:r>
    </w:p>
    <w:p w14:paraId="46E799AB" w14:textId="3B093C3B" w:rsidR="001B45D7" w:rsidRPr="00CE47DE" w:rsidRDefault="00EE220B" w:rsidP="00A4263F">
      <w:pPr>
        <w:spacing w:line="480" w:lineRule="auto"/>
        <w:rPr>
          <w:i/>
        </w:rPr>
      </w:pPr>
      <w:r w:rsidRPr="00CE47DE">
        <w:rPr>
          <w:i/>
        </w:rPr>
        <w:t>4.1.</w:t>
      </w:r>
      <w:r w:rsidR="00A920F4" w:rsidRPr="00CE47DE">
        <w:rPr>
          <w:i/>
        </w:rPr>
        <w:t xml:space="preserve"> </w:t>
      </w:r>
      <w:r w:rsidR="001B45D7" w:rsidRPr="00CE47DE">
        <w:rPr>
          <w:i/>
        </w:rPr>
        <w:t>Discussion</w:t>
      </w:r>
    </w:p>
    <w:p w14:paraId="734D603D" w14:textId="42115EA5" w:rsidR="0053444F" w:rsidRDefault="00616CAB" w:rsidP="00A4263F">
      <w:pPr>
        <w:spacing w:line="480" w:lineRule="auto"/>
      </w:pPr>
      <w:r w:rsidRPr="00CE47DE">
        <w:t>KTFI proved to be effective in increasing the knowledge level of the patients, which is in line with previou</w:t>
      </w:r>
      <w:r w:rsidR="00D41EE8">
        <w:t>s studies on education of spine</w:t>
      </w:r>
      <w:r w:rsidRPr="00CE47DE">
        <w:t xml:space="preserve"> surgery patients </w:t>
      </w:r>
      <w:r w:rsidR="00C04D80" w:rsidRPr="00CE47DE">
        <w:fldChar w:fldCharType="begin" w:fldLock="1"/>
      </w:r>
      <w:r w:rsidR="0068258A">
        <w:instrText>ADDIN CSL_CITATION { "citationItems" : [ { "id" : "ITEM-1", "itemData" : { "DOI" : "10.1097/00007632-200101150-00016", "ISBN" : "0362-2436 (Print)\\n0362-2436 (Linking)", "ISSN" : "0362-2436", "PMID" : "11154542", "abstract" : "STUDY DESIGN: A randomized trial of 100 patients with low back pain who were potential surgical candidates. OBJECTIVES: To determine whether an interactive videodisc with a booklet is superior to a booklet alone for informing patients about back surgery. SUMMARY OF BACKGROUND DATA: Substantial geographic variation has been observed in lumbar spine surgery. Informed patient preferences should play an important role in decisions about surgery. However, little is known about optimal strategies for informing patients. METHODS: Subjects were randomized to receive an interactive videodisc (with a booklet) or a booklet alone. A knowledge test administered at baseline and follow-up was used to measure improvement in knowledge about treatment options for lumbar spine problems. Patients' reactions to the videodisc and booklet and preferences for treatment were also assessed. RESULTS: The patients' knowledge improved after exposure to either intervention. Multivariate analyses adjusted for baseline score, age, education, gender, and diagnosis showed a significant advantage for the videodisc with booklet over the booklet alone. The videodisc-booklet group showed significantly greater gains in knowledge among subjects with the worst baseline knowledge scores. A larger proportion of subjects in the videodisc-booklet group rated the materials easy to understand (93% vs.- 72%,P = 0.04), containing the right amount of information (93% vs.- 80%,P = 0.3), and adequate to assist in choice of treatment (75% vs.- 51%,P = 0.2). Those who viewed the videodisc expressed a somewhat lower preference for surgery than those who received the booklet alone (23% vs.- 42%,P = 0.4). CONCLUSIONS: Both the booklet alone and the combination of videodisc and booklet improved knowledge. The combination produced greater knowledge gains than the booklet alone for the subgroup with the least knowledge at baseline. Patients preferred the combination and had a slightly lower preference for surgery if they had viewed the video presentation. For some patients, the video may enhance involvement in clinical decisions.", "author" : [ { "dropping-particle" : "", "family" : "Phelan", "given" : "E A", "non-dropping-particle" : "", "parse-names" : false, "suffix" : "" }, { "dropping-particle" : "", "family" : "Deyo", "given" : "R A", "non-dropping-particle" : "", "parse-names" : false, "suffix" : "" }, { "dropping-particle" : "", "family" : "Cherkin", "given" : "D C", "non-dropping-particle" : "", "parse-names" : false, "suffix" : "" }, { "dropping-particle" : "", "family" : "Weinstein", "given" : "J N", "non-dropping-particle" : "", "parse-names" : false, "suffix" : "" }, { "dropping-particle" : "", "family" : "Ciol", "given" : "M A", "non-dropping-particle" : "", "parse-names" : false, "suffix" : "" }, { "dropping-particle" : "", "family" : "Kreuter", "given" : "W", "non-dropping-particle" : "", "parse-names" : false, "suffix" : "" }, { "dropping-particle" : "", "family" : "Howe", "given" : "J F", "non-dropping-particle" : "", "parse-names" : false, "suffix" : "" } ], "container-title" : "Spine", "id" : "ITEM-1", "issue" : "2", "issued" : { "date-parts" : [ [ "2001", "1", "15" ] ] }, "page" : "206-211", "title" : "Helping patients decide about back surgery: a randomized trial of an interactive video program", "type" : "article-journal", "volume" : "26" }, "uris" : [ "http://www.mendeley.com/documents/?uuid=8b3f1a95-d4f7-4ddc-b63c-ba903cb593e6" ] }, { "id" : "ITEM-2", "itemData" : { "ISSN" : "0926-9630", "PMID" : "17102406", "abstract" : "The purposes of this study are to develop a Web-based information program for patients undergoing spinal fusion, and to evaluate the effect on patients' anxiety and knowledge through a Web-based information program. There was significant difference in the levels of anxiety and knowledge between the two groups after program implementation. There was significant difference in the level of knowledge between before and after education of preadmission patients.", "author" : [ { "dropping-particle" : "", "family" : "Bong", "given" : "Myoung-Rye", "non-dropping-particle" : "", "parse-names" : false, "suffix" : "" }, { "dropping-particle" : "", "family" : "Park", "given" : "Hyeoun-Ae", "non-dropping-particle" : "", "parse-names" : false, "suffix" : "" } ], "container-title" : "Studies in health technology and informatics", "id" : "ITEM-2", "issued" : { "date-parts" : [ [ "2006", "1" ] ] }, "page" : "826", "title" : "The development and evaluation of a Web-site for patients undergoing spinal fusion", "type" : "article-journal", "volume" : "122" }, "uris" : [ "http://www.mendeley.com/documents/?uuid=7f88deab-852f-4981-a6fb-944eaec3d6e4" ] } ], "mendeley" : { "formattedCitation" : "[14,17]", "plainTextFormattedCitation" : "[14,17]", "previouslyFormattedCitation" : "[14,17]" }, "properties" : { "noteIndex" : 0 }, "schema" : "https://github.com/citation-style-language/schema/raw/master/csl-citation.json" }</w:instrText>
      </w:r>
      <w:r w:rsidR="00C04D80" w:rsidRPr="00CE47DE">
        <w:fldChar w:fldCharType="separate"/>
      </w:r>
      <w:r w:rsidR="004A0CB7" w:rsidRPr="004A0CB7">
        <w:rPr>
          <w:noProof/>
        </w:rPr>
        <w:t>[14,17]</w:t>
      </w:r>
      <w:r w:rsidR="00C04D80" w:rsidRPr="00CE47DE">
        <w:fldChar w:fldCharType="end"/>
      </w:r>
      <w:r w:rsidR="005425F3" w:rsidRPr="00CE47DE">
        <w:t xml:space="preserve">. </w:t>
      </w:r>
      <w:r w:rsidR="007137F3">
        <w:rPr>
          <w:b/>
        </w:rPr>
        <w:t>The</w:t>
      </w:r>
      <w:r w:rsidR="00C86394" w:rsidRPr="0053444F">
        <w:rPr>
          <w:b/>
        </w:rPr>
        <w:t xml:space="preserve"> knowledge level </w:t>
      </w:r>
      <w:r w:rsidR="007137F3">
        <w:rPr>
          <w:b/>
        </w:rPr>
        <w:t xml:space="preserve">measured with the KNOWBACK Test </w:t>
      </w:r>
      <w:r w:rsidR="00C86394" w:rsidRPr="0053444F">
        <w:rPr>
          <w:b/>
        </w:rPr>
        <w:t>was approximate</w:t>
      </w:r>
      <w:r w:rsidR="00D41EE8">
        <w:rPr>
          <w:b/>
        </w:rPr>
        <w:t>ly</w:t>
      </w:r>
      <w:r w:rsidR="00C86394" w:rsidRPr="0053444F">
        <w:rPr>
          <w:b/>
        </w:rPr>
        <w:t xml:space="preserve"> 50 % </w:t>
      </w:r>
      <w:r w:rsidR="007137F3">
        <w:rPr>
          <w:b/>
        </w:rPr>
        <w:t xml:space="preserve">of the maximum at the baseline </w:t>
      </w:r>
      <w:r w:rsidR="00C86394" w:rsidRPr="0053444F">
        <w:rPr>
          <w:b/>
        </w:rPr>
        <w:t xml:space="preserve">in both </w:t>
      </w:r>
      <w:r w:rsidR="007137F3">
        <w:rPr>
          <w:b/>
        </w:rPr>
        <w:t xml:space="preserve">study </w:t>
      </w:r>
      <w:r w:rsidR="00C86394" w:rsidRPr="0053444F">
        <w:rPr>
          <w:b/>
        </w:rPr>
        <w:t>groups</w:t>
      </w:r>
      <w:r w:rsidR="007137F3">
        <w:rPr>
          <w:b/>
        </w:rPr>
        <w:t>,</w:t>
      </w:r>
      <w:r w:rsidR="00C86394" w:rsidRPr="0053444F">
        <w:rPr>
          <w:b/>
        </w:rPr>
        <w:t xml:space="preserve"> </w:t>
      </w:r>
      <w:r w:rsidR="00C86394">
        <w:rPr>
          <w:b/>
        </w:rPr>
        <w:t xml:space="preserve">and in the </w:t>
      </w:r>
      <w:proofErr w:type="gramStart"/>
      <w:r w:rsidR="00C86394">
        <w:rPr>
          <w:b/>
        </w:rPr>
        <w:t>IG</w:t>
      </w:r>
      <w:proofErr w:type="gramEnd"/>
      <w:r w:rsidR="00C86394">
        <w:rPr>
          <w:b/>
        </w:rPr>
        <w:t xml:space="preserve"> it increas</w:t>
      </w:r>
      <w:r w:rsidR="002F1B2D">
        <w:rPr>
          <w:b/>
        </w:rPr>
        <w:t xml:space="preserve">ed </w:t>
      </w:r>
      <w:r w:rsidR="00D41EE8">
        <w:rPr>
          <w:b/>
        </w:rPr>
        <w:t xml:space="preserve">by </w:t>
      </w:r>
      <w:r w:rsidR="009375AF">
        <w:rPr>
          <w:b/>
        </w:rPr>
        <w:t>29 %</w:t>
      </w:r>
      <w:r w:rsidR="002F1B2D">
        <w:rPr>
          <w:b/>
        </w:rPr>
        <w:t xml:space="preserve"> </w:t>
      </w:r>
      <w:r w:rsidR="00D41EE8">
        <w:rPr>
          <w:b/>
          <w:color w:val="000000" w:themeColor="text1"/>
        </w:rPr>
        <w:t>points</w:t>
      </w:r>
      <w:r w:rsidR="009375AF" w:rsidRPr="002F1B2D">
        <w:rPr>
          <w:b/>
          <w:color w:val="FF0000"/>
        </w:rPr>
        <w:t xml:space="preserve"> </w:t>
      </w:r>
      <w:r w:rsidR="007137F3">
        <w:rPr>
          <w:b/>
        </w:rPr>
        <w:t xml:space="preserve">after the KTFI </w:t>
      </w:r>
      <w:r w:rsidR="009375AF">
        <w:rPr>
          <w:b/>
        </w:rPr>
        <w:t>while there was no chang</w:t>
      </w:r>
      <w:r w:rsidR="007137F3">
        <w:rPr>
          <w:b/>
        </w:rPr>
        <w:t xml:space="preserve">e in </w:t>
      </w:r>
      <w:r w:rsidR="00D41EE8">
        <w:rPr>
          <w:b/>
        </w:rPr>
        <w:t xml:space="preserve">the </w:t>
      </w:r>
      <w:r w:rsidR="007137F3">
        <w:rPr>
          <w:b/>
        </w:rPr>
        <w:t>CG</w:t>
      </w:r>
      <w:r w:rsidR="00C86394">
        <w:rPr>
          <w:b/>
        </w:rPr>
        <w:t xml:space="preserve">. </w:t>
      </w:r>
      <w:r w:rsidR="00C86394">
        <w:t xml:space="preserve"> </w:t>
      </w:r>
      <w:r w:rsidR="002F1B2D" w:rsidRPr="002F1B2D">
        <w:rPr>
          <w:b/>
        </w:rPr>
        <w:t>In the IG</w:t>
      </w:r>
      <w:r w:rsidR="002F1B2D">
        <w:rPr>
          <w:b/>
        </w:rPr>
        <w:t>, all dimensions of empowering knowledge</w:t>
      </w:r>
      <w:r w:rsidR="002F1B2D" w:rsidRPr="002F1B2D">
        <w:rPr>
          <w:b/>
        </w:rPr>
        <w:t xml:space="preserve"> </w:t>
      </w:r>
      <w:r w:rsidR="00C86394" w:rsidRPr="002C430B">
        <w:rPr>
          <w:b/>
        </w:rPr>
        <w:t>increase</w:t>
      </w:r>
      <w:r w:rsidR="00784069">
        <w:rPr>
          <w:b/>
        </w:rPr>
        <w:t>d</w:t>
      </w:r>
      <w:r w:rsidR="00C86394" w:rsidRPr="002C430B">
        <w:rPr>
          <w:b/>
        </w:rPr>
        <w:t xml:space="preserve"> </w:t>
      </w:r>
      <w:r w:rsidR="00784069">
        <w:rPr>
          <w:b/>
        </w:rPr>
        <w:t>except</w:t>
      </w:r>
      <w:r w:rsidR="00C86394" w:rsidRPr="002C430B">
        <w:rPr>
          <w:b/>
        </w:rPr>
        <w:t xml:space="preserve"> the experiential</w:t>
      </w:r>
      <w:r w:rsidR="00C86394">
        <w:rPr>
          <w:b/>
        </w:rPr>
        <w:t xml:space="preserve"> </w:t>
      </w:r>
      <w:r w:rsidR="001B593C">
        <w:rPr>
          <w:b/>
        </w:rPr>
        <w:t>which was at</w:t>
      </w:r>
      <w:r w:rsidR="00784069">
        <w:rPr>
          <w:b/>
        </w:rPr>
        <w:t xml:space="preserve"> high level already at baseline</w:t>
      </w:r>
      <w:r w:rsidR="00C86394" w:rsidRPr="002C430B">
        <w:rPr>
          <w:b/>
        </w:rPr>
        <w:t>.</w:t>
      </w:r>
      <w:r w:rsidR="00C86394">
        <w:rPr>
          <w:b/>
        </w:rPr>
        <w:t xml:space="preserve"> </w:t>
      </w:r>
      <w:r w:rsidR="00784069">
        <w:rPr>
          <w:b/>
        </w:rPr>
        <w:t>This is most probab</w:t>
      </w:r>
      <w:r w:rsidR="001B593C">
        <w:rPr>
          <w:b/>
        </w:rPr>
        <w:t xml:space="preserve">ly </w:t>
      </w:r>
      <w:proofErr w:type="gramStart"/>
      <w:r w:rsidR="001B593C">
        <w:rPr>
          <w:b/>
        </w:rPr>
        <w:t>due to the fact that</w:t>
      </w:r>
      <w:proofErr w:type="gramEnd"/>
      <w:r w:rsidR="001B593C">
        <w:rPr>
          <w:b/>
        </w:rPr>
        <w:t xml:space="preserve"> most</w:t>
      </w:r>
      <w:r w:rsidR="00784069">
        <w:rPr>
          <w:b/>
        </w:rPr>
        <w:t xml:space="preserve"> patients had </w:t>
      </w:r>
      <w:r w:rsidR="001B593C">
        <w:rPr>
          <w:b/>
        </w:rPr>
        <w:t>experiences of surgical treatment</w:t>
      </w:r>
      <w:r w:rsidR="00784069">
        <w:rPr>
          <w:b/>
        </w:rPr>
        <w:t>. The change in knowledg</w:t>
      </w:r>
      <w:r w:rsidR="001B593C">
        <w:rPr>
          <w:b/>
        </w:rPr>
        <w:t>e level prov</w:t>
      </w:r>
      <w:r w:rsidR="00784069">
        <w:rPr>
          <w:b/>
        </w:rPr>
        <w:t xml:space="preserve">ed stable throughout the six-month follow-up. </w:t>
      </w:r>
    </w:p>
    <w:p w14:paraId="3B6908AC" w14:textId="77777777" w:rsidR="00616CAB" w:rsidRPr="00CE47DE" w:rsidRDefault="00616CAB" w:rsidP="00A4263F">
      <w:pPr>
        <w:spacing w:line="480" w:lineRule="auto"/>
      </w:pPr>
    </w:p>
    <w:p w14:paraId="0A9D29BE" w14:textId="3318EEEF" w:rsidR="00BB1A5E" w:rsidRPr="000D7E62" w:rsidRDefault="00616CAB" w:rsidP="000D7E62">
      <w:pPr>
        <w:pStyle w:val="Oletus"/>
        <w:spacing w:line="480" w:lineRule="auto"/>
        <w:rPr>
          <w:rFonts w:ascii="Times New Roman" w:hAnsi="Times New Roman" w:cs="Times New Roman"/>
          <w:sz w:val="24"/>
          <w:szCs w:val="24"/>
          <w:lang w:val="en-GB"/>
        </w:rPr>
      </w:pPr>
      <w:r w:rsidRPr="000D7E62">
        <w:rPr>
          <w:rFonts w:ascii="Times New Roman" w:hAnsi="Times New Roman" w:cs="Times New Roman"/>
          <w:sz w:val="24"/>
          <w:szCs w:val="24"/>
          <w:lang w:val="en-GB"/>
        </w:rPr>
        <w:t xml:space="preserve">In the CG, there was a minor, </w:t>
      </w:r>
      <w:r w:rsidR="0068717B" w:rsidRPr="000D7E62">
        <w:rPr>
          <w:rFonts w:ascii="Times New Roman" w:hAnsi="Times New Roman" w:cs="Times New Roman"/>
          <w:sz w:val="24"/>
          <w:szCs w:val="24"/>
          <w:lang w:val="en-GB"/>
        </w:rPr>
        <w:t xml:space="preserve">but </w:t>
      </w:r>
      <w:r w:rsidRPr="000D7E62">
        <w:rPr>
          <w:rFonts w:ascii="Times New Roman" w:hAnsi="Times New Roman" w:cs="Times New Roman"/>
          <w:sz w:val="24"/>
          <w:szCs w:val="24"/>
          <w:lang w:val="en-GB"/>
        </w:rPr>
        <w:t xml:space="preserve">statistically not significant increase </w:t>
      </w:r>
      <w:r w:rsidR="00F6787E" w:rsidRPr="000D7E62">
        <w:rPr>
          <w:rFonts w:ascii="Times New Roman" w:hAnsi="Times New Roman" w:cs="Times New Roman"/>
          <w:sz w:val="24"/>
          <w:szCs w:val="24"/>
          <w:lang w:val="en-GB"/>
        </w:rPr>
        <w:t>in</w:t>
      </w:r>
      <w:r w:rsidRPr="000D7E62">
        <w:rPr>
          <w:rFonts w:ascii="Times New Roman" w:hAnsi="Times New Roman" w:cs="Times New Roman"/>
          <w:sz w:val="24"/>
          <w:szCs w:val="24"/>
          <w:lang w:val="en-GB"/>
        </w:rPr>
        <w:t xml:space="preserve"> the total knowledge level during the hospitalization. This may be du</w:t>
      </w:r>
      <w:r w:rsidR="0068717B" w:rsidRPr="000D7E62">
        <w:rPr>
          <w:rFonts w:ascii="Times New Roman" w:hAnsi="Times New Roman" w:cs="Times New Roman"/>
          <w:sz w:val="24"/>
          <w:szCs w:val="24"/>
          <w:lang w:val="en-GB"/>
        </w:rPr>
        <w:t>e to a</w:t>
      </w:r>
      <w:r w:rsidR="00F6787E" w:rsidRPr="000D7E62">
        <w:rPr>
          <w:rFonts w:ascii="Times New Roman" w:hAnsi="Times New Roman" w:cs="Times New Roman"/>
          <w:sz w:val="24"/>
          <w:szCs w:val="24"/>
          <w:lang w:val="en-GB"/>
        </w:rPr>
        <w:t>n</w:t>
      </w:r>
      <w:r w:rsidR="0068717B" w:rsidRPr="000D7E62">
        <w:rPr>
          <w:rFonts w:ascii="Times New Roman" w:hAnsi="Times New Roman" w:cs="Times New Roman"/>
          <w:sz w:val="24"/>
          <w:szCs w:val="24"/>
          <w:lang w:val="en-GB"/>
        </w:rPr>
        <w:t xml:space="preserve"> increase</w:t>
      </w:r>
      <w:r w:rsidRPr="000D7E62">
        <w:rPr>
          <w:rFonts w:ascii="Times New Roman" w:hAnsi="Times New Roman" w:cs="Times New Roman"/>
          <w:sz w:val="24"/>
          <w:szCs w:val="24"/>
          <w:lang w:val="en-GB"/>
        </w:rPr>
        <w:t xml:space="preserve"> in the bio-physiological and functional dimensions, </w:t>
      </w:r>
      <w:r w:rsidR="000D7E62" w:rsidRPr="000D7E62">
        <w:rPr>
          <w:rFonts w:ascii="Times New Roman" w:hAnsi="Times New Roman" w:cs="Times New Roman"/>
          <w:sz w:val="24"/>
          <w:szCs w:val="24"/>
          <w:lang w:val="en-GB"/>
        </w:rPr>
        <w:t>which are covered by the routine</w:t>
      </w:r>
      <w:r w:rsidRPr="000D7E62">
        <w:rPr>
          <w:rFonts w:ascii="Times New Roman" w:hAnsi="Times New Roman" w:cs="Times New Roman"/>
          <w:sz w:val="24"/>
          <w:szCs w:val="24"/>
          <w:lang w:val="en-GB"/>
        </w:rPr>
        <w:t xml:space="preserve"> patient education </w:t>
      </w:r>
      <w:r w:rsidR="00C04D80" w:rsidRPr="000D7E62">
        <w:rPr>
          <w:rFonts w:ascii="Times New Roman" w:hAnsi="Times New Roman" w:cs="Times New Roman"/>
          <w:sz w:val="24"/>
          <w:szCs w:val="24"/>
          <w:lang w:val="en-GB"/>
        </w:rPr>
        <w:fldChar w:fldCharType="begin" w:fldLock="1"/>
      </w:r>
      <w:r w:rsidR="0068258A">
        <w:rPr>
          <w:rFonts w:ascii="Times New Roman" w:hAnsi="Times New Roman" w:cs="Times New Roman"/>
          <w:sz w:val="24"/>
          <w:szCs w:val="24"/>
          <w:lang w:val="en-GB"/>
        </w:rPr>
        <w:instrText>ADDIN CSL_CITATION { "citationItems" : [ { "id" : "ITEM-1",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"ITEM-1", "issue" : "2", "issued" : { "date-parts" : [ [ "2007" ] ] }, "page" : "113-119", "title" : "Expectations and received knowledge by surgical patients", "type" : "article-journal", "volume" : "19" }, "uris" : [ "http://www.mendeley.com/documents/?uuid=1c76ddb1-6c98-420b-bd6d-a8b6d62b77e6" ] } ], "mendeley" : { "formattedCitation" : "[11]", "plainTextFormattedCitation" : "[11]", "previouslyFormattedCitation" : "[11]" }, "properties" : { "noteIndex" : 0 }, "schema" : "https://github.com/citation-style-language/schema/raw/master/csl-citation.json" }</w:instrText>
      </w:r>
      <w:r w:rsidR="00C04D80" w:rsidRPr="000D7E62">
        <w:rPr>
          <w:rFonts w:ascii="Times New Roman" w:hAnsi="Times New Roman" w:cs="Times New Roman"/>
          <w:sz w:val="24"/>
          <w:szCs w:val="24"/>
          <w:lang w:val="en-GB"/>
        </w:rPr>
        <w:fldChar w:fldCharType="separate"/>
      </w:r>
      <w:r w:rsidR="004A0CB7" w:rsidRPr="004A0CB7">
        <w:rPr>
          <w:rFonts w:ascii="Times New Roman" w:hAnsi="Times New Roman" w:cs="Times New Roman"/>
          <w:noProof/>
          <w:sz w:val="24"/>
          <w:szCs w:val="24"/>
          <w:lang w:val="en-GB"/>
        </w:rPr>
        <w:t>[11]</w:t>
      </w:r>
      <w:r w:rsidR="00C04D80" w:rsidRPr="000D7E62">
        <w:rPr>
          <w:rFonts w:ascii="Times New Roman" w:hAnsi="Times New Roman" w:cs="Times New Roman"/>
          <w:sz w:val="24"/>
          <w:szCs w:val="24"/>
          <w:lang w:val="en-GB"/>
        </w:rPr>
        <w:fldChar w:fldCharType="end"/>
      </w:r>
      <w:r w:rsidR="0087125E" w:rsidRPr="000D7E62">
        <w:rPr>
          <w:rFonts w:ascii="Times New Roman" w:hAnsi="Times New Roman" w:cs="Times New Roman"/>
          <w:sz w:val="24"/>
          <w:szCs w:val="24"/>
          <w:lang w:val="en-GB"/>
        </w:rPr>
        <w:t>.</w:t>
      </w:r>
      <w:r w:rsidR="00FD4A5D" w:rsidRPr="000D7E62">
        <w:rPr>
          <w:rFonts w:ascii="Times New Roman" w:hAnsi="Times New Roman" w:cs="Times New Roman"/>
          <w:sz w:val="24"/>
          <w:szCs w:val="24"/>
          <w:lang w:val="en-GB"/>
        </w:rPr>
        <w:t xml:space="preserve"> </w:t>
      </w:r>
      <w:r w:rsidR="002B242D" w:rsidRPr="000D7E62">
        <w:rPr>
          <w:rFonts w:ascii="Times New Roman" w:hAnsi="Times New Roman" w:cs="Times New Roman"/>
          <w:sz w:val="24"/>
          <w:szCs w:val="24"/>
          <w:lang w:val="en-GB"/>
        </w:rPr>
        <w:t xml:space="preserve">The increase of knowledge level in the bio-physiological and functional dimensions </w:t>
      </w:r>
      <w:r w:rsidRPr="000D7E62">
        <w:rPr>
          <w:rFonts w:ascii="Times New Roman" w:hAnsi="Times New Roman" w:cs="Times New Roman"/>
          <w:sz w:val="24"/>
          <w:szCs w:val="24"/>
          <w:lang w:val="en-GB"/>
        </w:rPr>
        <w:t>may be beneficial in the</w:t>
      </w:r>
      <w:r w:rsidR="002B242D" w:rsidRPr="000D7E62">
        <w:rPr>
          <w:rFonts w:ascii="Times New Roman" w:hAnsi="Times New Roman" w:cs="Times New Roman"/>
          <w:sz w:val="24"/>
          <w:szCs w:val="24"/>
          <w:lang w:val="en-GB"/>
        </w:rPr>
        <w:t xml:space="preserve"> empowering process, </w:t>
      </w:r>
      <w:r w:rsidRPr="000D7E62">
        <w:rPr>
          <w:rFonts w:ascii="Times New Roman" w:hAnsi="Times New Roman" w:cs="Times New Roman"/>
          <w:sz w:val="24"/>
          <w:szCs w:val="24"/>
          <w:lang w:val="en-GB"/>
        </w:rPr>
        <w:t>as</w:t>
      </w:r>
      <w:r w:rsidR="002B242D" w:rsidRPr="000D7E62">
        <w:rPr>
          <w:rFonts w:ascii="Times New Roman" w:hAnsi="Times New Roman" w:cs="Times New Roman"/>
          <w:sz w:val="24"/>
          <w:szCs w:val="24"/>
          <w:lang w:val="en-GB"/>
        </w:rPr>
        <w:t xml:space="preserve"> the </w:t>
      </w:r>
      <w:r w:rsidRPr="000D7E62">
        <w:rPr>
          <w:rFonts w:ascii="Times New Roman" w:hAnsi="Times New Roman" w:cs="Times New Roman"/>
          <w:sz w:val="24"/>
          <w:szCs w:val="24"/>
          <w:lang w:val="en-GB"/>
        </w:rPr>
        <w:t>knowledge expectations of</w:t>
      </w:r>
      <w:r w:rsidR="002B242D" w:rsidRPr="000D7E62">
        <w:rPr>
          <w:rFonts w:ascii="Times New Roman" w:hAnsi="Times New Roman" w:cs="Times New Roman"/>
          <w:sz w:val="24"/>
          <w:szCs w:val="24"/>
          <w:lang w:val="en-GB"/>
        </w:rPr>
        <w:t xml:space="preserve"> orthopaedic patients </w:t>
      </w:r>
      <w:r w:rsidR="0068573B" w:rsidRPr="000D7E62">
        <w:rPr>
          <w:rFonts w:ascii="Times New Roman" w:hAnsi="Times New Roman" w:cs="Times New Roman"/>
          <w:sz w:val="24"/>
          <w:szCs w:val="24"/>
          <w:lang w:val="en-GB"/>
        </w:rPr>
        <w:t>ha</w:t>
      </w:r>
      <w:r w:rsidR="0068717B" w:rsidRPr="000D7E62">
        <w:rPr>
          <w:rFonts w:ascii="Times New Roman" w:hAnsi="Times New Roman" w:cs="Times New Roman"/>
          <w:sz w:val="24"/>
          <w:szCs w:val="24"/>
          <w:lang w:val="en-GB"/>
        </w:rPr>
        <w:t>ve</w:t>
      </w:r>
      <w:r w:rsidR="0068573B" w:rsidRPr="000D7E62">
        <w:rPr>
          <w:rFonts w:ascii="Times New Roman" w:hAnsi="Times New Roman" w:cs="Times New Roman"/>
          <w:sz w:val="24"/>
          <w:szCs w:val="24"/>
          <w:lang w:val="en-GB"/>
        </w:rPr>
        <w:t xml:space="preserve"> been shown highest</w:t>
      </w:r>
      <w:r w:rsidR="002B242D" w:rsidRPr="000D7E62">
        <w:rPr>
          <w:rFonts w:ascii="Times New Roman" w:hAnsi="Times New Roman" w:cs="Times New Roman"/>
          <w:sz w:val="24"/>
          <w:szCs w:val="24"/>
          <w:lang w:val="en-GB"/>
        </w:rPr>
        <w:t xml:space="preserve"> in these two dimension</w:t>
      </w:r>
      <w:r w:rsidRPr="000D7E62">
        <w:rPr>
          <w:rFonts w:ascii="Times New Roman" w:hAnsi="Times New Roman" w:cs="Times New Roman"/>
          <w:sz w:val="24"/>
          <w:szCs w:val="24"/>
          <w:lang w:val="en-GB"/>
        </w:rPr>
        <w:t xml:space="preserve">s </w:t>
      </w:r>
      <w:r w:rsidR="009162CB" w:rsidRPr="000D7E62">
        <w:rPr>
          <w:rFonts w:ascii="Times New Roman" w:hAnsi="Times New Roman" w:cs="Times New Roman"/>
          <w:sz w:val="24"/>
          <w:szCs w:val="24"/>
          <w:lang w:val="en-GB"/>
        </w:rPr>
        <w:fldChar w:fldCharType="begin" w:fldLock="1"/>
      </w:r>
      <w:r w:rsidR="0068258A">
        <w:rPr>
          <w:rFonts w:ascii="Times New Roman" w:hAnsi="Times New Roman" w:cs="Times New Roman"/>
          <w:sz w:val="24"/>
          <w:szCs w:val="24"/>
          <w:lang w:val="en-GB"/>
        </w:rPr>
        <w:instrText>ADDIN CSL_CITATION { "citationItems" : [ { "id" : "ITEM-1",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"ITEM-1", "issue" : "2", "issued" : { "date-parts" : [ [ "2007" ] ] }, "page" : "113-119", "title" : "Expectations and received knowledge by surgical patients", "type" : "article-journal", "volume" : "19" }, "uris" : [ "http://www.mendeley.com/documents/?uuid=1c76ddb1-6c98-420b-bd6d-a8b6d62b77e6" ] }, { "id" : "ITEM-2", "itemData" : { "DOI" : "10.1111/ijn.12189", "ISSN" : "13227114", "PMID" : "24118436", "abstract" : "Ageing population entails a growing international problem of osteoarthritis. Best practices for education of these patients are lacking. This study focused on empowering education in Northern (Finland, Iceland, Lithuania and Sweden) and Southern Europe (Cyprus, Greece and Spain). The aim was to analyse associations between expected knowledge and background factors. The data were collected from European arthroplasty patients with the Knowledge Expectations of hospital patients- scale, (KE(hp) - scale), including bio-physiological, functional, experiential, ethical, social and financial dimensions. Patients had essential bio-physiological and functional knowledge expectations. Women expected more than men, employed less than retired, unemployed or who worked at home. Generally, patients in Northern countries expected more than in Southern countries. However, highest expectations were found in Sweden and Greece, lowest in Spain and Cyprus. There are differences in knowledge expectations based on patients' backgrounds. Development of common standards in European patient education needs further research.", "author" : [ { "dropping-particle" : "", "family" : "Valkeap\u00e4\u00e4", "given" : "Kirsi", "non-dropping-particle" : "", "parse-names" : false, "suffix" : "" }, { "dropping-particle" : "", "family" : "Klemetti", "given" : "Seija", "non-dropping-particle" : "", "parse-names" : false, "suffix" : "" }, { "dropping-particle" : "", "family" : "Cabrera", "given" : "Esther", "non-dropping-particle" : "", "parse-names" : false, "suffix" : "" }, { "dropping-particle" : "", "family" : "Cano", "given" : "Sara", "non-dropping-particle" : "", "parse-names" : false, "suffix" : "" }, { "dropping-particle" : "", "family" : "Charalambous", "given" : "Andreas", "non-dropping-particle" : "", "parse-names" : false, "suffix" : "" }, { "dropping-particle" : "", "family" : "Copanitsanou", "given" : "Panagiota", "non-dropping-particle" : "", "parse-names" : false, "suffix" : "" }, { "dropping-particle" : "", "family" : "Ingadottir", "given" : "Brynja", "non-dropping-particle" : "", "parse-names" : false, "suffix" : "" }, { "dropping-particle" : "", "family" : "Istomina", "given" : "Natalja", "non-dropping-particle" : "", "parse-names" : false, "suffix" : "" }, { "dropping-particle" : "", "family" : "Johansson Stark", "given" : "\u00c5sa", "non-dropping-particle" : "", "parse-names" : false, "suffix" : "" }, { "dropping-particle" : "", "family" : "Katajisto", "given" : "Jouko", "non-dropping-particle" : "", "parse-names" : false, "suffix" : "" }, { "dropping-particle" : "", "family" : "Lemonidou", "given" : "Chryssoula", "non-dropping-particle" : "", "parse-names" : false, "suffix" : "" }, { "dropping-particle" : "", "family" : "Papastavrou", "given" : "Evridiki", "non-dropping-particle" : "", "parse-names" : false, "suffix" : "" }, { "dropping-particle" : "", "family" : "Sigurdardottir", "given" : "Arun K", "non-dropping-particle" : "", "parse-names" : false, "suffix" : "" }, { "dropping-particle" : "", "family" : "Sourtzi", "given" : "Panayota", "non-dropping-particle" : "", "parse-names" : false, "suffix" : "" }, { "dropping-particle" : "", "family" : "Unosson", "given" : "Mitra", "non-dropping-particle" : "", "parse-names" : false, "suffix" : "" }, { "dropping-particle" : "", "family" : "Zabalegui", "given" : "Adelaida", "non-dropping-particle" : "", "parse-names" : false, "suffix" : "" }, { "dropping-particle" : "", "family" : "Leino-Kilpi", "given" : "Helena", "non-dropping-particle" : "", "parse-names" : false, "suffix" : "" } ], "container-title" : "International Journal of Nursing Practice", "id" : "ITEM-2", "issue" : "6", "issued" : { "date-parts" : [ [ "2014", "12", "11" ] ] }, "page" : "597-607", "title" : "Knowledge expectations of surgical orthopaedic patients: A European survey", "type" : "article-journal", "volume" : "20" }, "uris" : [ "http://www.mendeley.com/documents/?uuid=4a44f25d-240c-4188-820e-246f726ab5c6" ] }, { "id" : "ITEM-3", "itemData" : { "DOI" : "10.1016/j.pec.2008.06.015", "ISBN" : "0738-3991", "ISSN" : "07383991", "PMID" : "18678461", "abstract" : "Objective: The aim of this study was to compare the cognitive empowerment of ambulatory orthopaedic surgery patients when using Internet-based education (experiment) in contrast to face to face education conducted by a nurse (control). Methods: Elective ambulatory orthopaedic surgery patients were randomized to either an experiment group (n = 72) receiving Internet-based education, or to a control group (n = 75) receiving face-to-face education with a nurse. The data were collected at three different time points: before the preoperative education session, after preoperative education and 2 weeks after the operation. Three structured instruments were used: the Knowledge Test, the Sufficiency of Knowledge and the Orthopaedic Patient Knowledge Instrument. Results: Patients in both groups showed improvement in their knowledge. However, patients who received Internet-based education improved their knowledge level significantly more in the ethical (p = 0.005) and functional (p = 0.023) dimensions and also in total (p = 0.033) than those patients who underwent face-to-face education with a nurse. In addition, patients in the experiment group had higher scores in sufficiency of knowledge in the experiential (p = 0.050) and financial (p = 0.048) dimensions and, moreover, their scores in sufficiency of knowledge in the ethical dimension improved significantly more (p = 0.008) during the study period than patients in the control group. Conclusion: Improvements in the patients' level and sufficiency of knowledge within both groups indicates an increase in patients' cognitive empowerment. Practice implications: Internet-based education can be used in ambulatory orthopaedic surgery patient education for increasing patients' cognitive empowerment. \u00a9 2008 Elsevier Ireland Ltd. All rights reserved.", "author" : [ { "dropping-particle" : "", "family" : "Heikkinen", "given" : "Katja", "non-dropping-particle" : "", "parse-names" : false, "suffix" : "" }, { "dropping-particle" : "", "family" : "Helena", "given" : "Leino Kilpi", "non-dropping-particle" : "", "parse-names" : false, "suffix" : "" }, { "dropping-particle" : "", "family" : "Taina", "given" : "Nummela", "non-dropping-particle" : "", "parse-names" : false, "suffix" : "" }, { "dropping-particle" : "", "family" : "Anne", "given" : "Kaljonen", "non-dropping-particle" : "", "parse-names" : false, "suffix" : "" }, { "dropping-particle" : "", "family" : "Sanna", "given" : "Salanter\u00e4", "non-dropping-particle" : "", "parse-names" : false, "suffix" : "" } ], "container-title" : "Patient Education and Counseling", "id" : "ITEM-3", "issue" : "2", "issued" : { "date-parts" : [ [ "2008" ] ] }, "page" : "272-279", "title" : "A comparison of two educational interventions for the cognitive empowerment of ambulatory orthopaedic surgery patients", "type" : "article-journal", "volume" : "73" }, "uris" : [ "http://www.mendeley.com/documents/?uuid=0757d573-c980-4411-824f-0e38e8eac630" ] } ], "mendeley" : { "formattedCitation" : "[9,11,30]", "plainTextFormattedCitation" : "[9,11,30]", "previouslyFormattedCitation" : "[9,11,30]" }, "properties" : { "noteIndex" : 0 }, "schema" : "https://github.com/citation-style-language/schema/raw/master/csl-citation.json" }</w:instrText>
      </w:r>
      <w:r w:rsidR="009162CB" w:rsidRPr="000D7E62">
        <w:rPr>
          <w:rFonts w:ascii="Times New Roman" w:hAnsi="Times New Roman" w:cs="Times New Roman"/>
          <w:sz w:val="24"/>
          <w:szCs w:val="24"/>
          <w:lang w:val="en-GB"/>
        </w:rPr>
        <w:fldChar w:fldCharType="separate"/>
      </w:r>
      <w:r w:rsidR="004A0CB7" w:rsidRPr="004A0CB7">
        <w:rPr>
          <w:rFonts w:ascii="Times New Roman" w:hAnsi="Times New Roman" w:cs="Times New Roman"/>
          <w:noProof/>
          <w:sz w:val="24"/>
          <w:szCs w:val="24"/>
          <w:lang w:val="en-GB"/>
        </w:rPr>
        <w:t>[9,11,30]</w:t>
      </w:r>
      <w:r w:rsidR="009162CB" w:rsidRPr="000D7E62">
        <w:rPr>
          <w:rFonts w:ascii="Times New Roman" w:hAnsi="Times New Roman" w:cs="Times New Roman"/>
          <w:sz w:val="24"/>
          <w:szCs w:val="24"/>
          <w:lang w:val="en-GB"/>
        </w:rPr>
        <w:fldChar w:fldCharType="end"/>
      </w:r>
      <w:r w:rsidR="00AD4E45" w:rsidRPr="000D7E62">
        <w:rPr>
          <w:rFonts w:ascii="Times New Roman" w:hAnsi="Times New Roman" w:cs="Times New Roman"/>
          <w:sz w:val="24"/>
          <w:szCs w:val="24"/>
          <w:lang w:val="en-GB"/>
        </w:rPr>
        <w:t xml:space="preserve">. </w:t>
      </w:r>
      <w:r w:rsidR="000D7E62" w:rsidRPr="000D7E62">
        <w:rPr>
          <w:rFonts w:ascii="Times New Roman" w:hAnsi="Times New Roman" w:cs="Times New Roman"/>
          <w:b/>
          <w:sz w:val="24"/>
          <w:szCs w:val="24"/>
          <w:lang w:val="en-GB"/>
        </w:rPr>
        <w:t xml:space="preserve">However, from the standpoint of empowerment, in order to ensure sufficient knowledge of the whole surgical pathway, patients need to be educated on all dimensions of empowering knowledge </w:t>
      </w:r>
      <w:r w:rsidR="00E77054" w:rsidRPr="000D7E62">
        <w:rPr>
          <w:rFonts w:ascii="Times New Roman" w:hAnsi="Times New Roman" w:cs="Times New Roman"/>
          <w:b/>
          <w:sz w:val="24"/>
          <w:szCs w:val="24"/>
          <w:lang w:val="en-GB"/>
        </w:rPr>
        <w:t xml:space="preserve"> </w:t>
      </w:r>
      <w:r w:rsidR="00E77054" w:rsidRPr="000D7E62">
        <w:rPr>
          <w:rFonts w:ascii="Times New Roman" w:hAnsi="Times New Roman" w:cs="Times New Roman"/>
          <w:b/>
          <w:sz w:val="24"/>
          <w:szCs w:val="24"/>
          <w:lang w:val="en-GB"/>
        </w:rPr>
        <w:fldChar w:fldCharType="begin" w:fldLock="1"/>
      </w:r>
      <w:r w:rsidR="0068258A">
        <w:rPr>
          <w:rFonts w:ascii="Times New Roman" w:hAnsi="Times New Roman" w:cs="Times New Roman"/>
          <w:b/>
          <w:sz w:val="24"/>
          <w:szCs w:val="24"/>
          <w:lang w:val="en-GB"/>
        </w:rPr>
        <w:instrText>ADDIN CSL_CITATION { "citationItems" : [ { "id" : "ITEM-1", "itemData" : { "DOI" : "10.1093/intqhc/mzl075", "ISBN" : "1353-4505 (Print)\\r1353-4505 (Linking)", "ISSN" : "13534505", "PMID" : "17277008", "abstract" : "OBJECTIVE: Here, the aim is to compare surgical patients' knowledge expectations at admission with the knowledge they received during their hospital stay. DESIGN: The study used a descriptive and comparative design. SETTING: The study was conducted on surgical wards at one randomly selected university hospital in Finland. PARTICIPANTS: The sample (n = 237) consisted of surgical patients (traumatological, gastroenterological, urological and heart and thorax surgery) admitted to hospital during a 2-month period in 2003. METHODS: The data were collected by two specially developed, parallel questionnaires: Hospital Patients' Knowledge Expectations and Hospital Patients' Received Knowledge. These 40-item instruments used a four-tier response scale and made a distinction between the bio-physiological, functional, experiential, ethical, social and financial dimensions of knowledge. The data were analysed statistically. RESULTS: Surgical patients received less knowledge than they felt they expected on the bio-physiological, functional, experiential, ethical, social and financial dimensions. Their knowledge expectations and the knowledge they received were related to age, gender and level of basic education. CONCLUSIONS: The results highlighted the need for improved patient education. Surgical patients expect to receive more knowledge than they actually receive on all dimensions. The most problematic areas in the education of surgical patients are the experiential, ethical, social and financial dimensions of knowledge. In particular, younger patients, female patients and patients with a higher level of education require more attention.", "author" : [ { "dropping-particle" : "", "family" : "Rankinen", "given" : "Sirkku", "non-dropping-particle" : "", "parse-names" : false, "suffix" : "" }, { "dropping-particle" : "", "family" : "Salanter\u00e4", "given" : "Sanna", "non-dropping-particle" : "", "parse-names" : false, "suffix" : "" }, { "dropping-particle" : "", "family" : "Heikkinen", "given" : "Katja", "non-dropping-particle" : "", "parse-names" : false, "suffix" : "" }, { "dropping-particle" : "", "family" : "Johansson", "given" : "Kirsi", "non-dropping-particle" : "", "parse-names" : false, "suffix" : "" }, { "dropping-particle" : "", "family" : "Kaljonen", "given" : "Anne", "non-dropping-particle" : "", "parse-names" : false, "suffix" : "" }, { "dropping-particle" : "", "family" : "Virtanen", "given" : "Heli", "non-dropping-particle" : "", "parse-names" : false, "suffix" : "" }, { "dropping-particle" : "", "family" : "Leino-Kilpi", "given" : "Helena", "non-dropping-particle" : "", "parse-names" : false, "suffix" : "" } ], "container-title" : "International Journal for Quality in Health Care", "id" : "ITEM-1", "issue" : "2", "issued" : { "date-parts" : [ [ "2007" ] ] }, "page" : "113-119", "title" : "Expectations and received knowledge by surgical patients", "type" : "article-journal", "volume" : "19" }, "uris" : [ "http://www.mendeley.com/documents/?uuid=1c76ddb1-6c98-420b-bd6d-a8b6d62b77e6" ] } ], "mendeley" : { "formattedCitation" : "[11]", "plainTextFormattedCitation" : "[11]", "previouslyFormattedCitation" : "[11]" }, "properties" : { "noteIndex" : 0 }, "schema" : "https://github.com/citation-style-language/schema/raw/master/csl-citation.json" }</w:instrText>
      </w:r>
      <w:r w:rsidR="00E77054" w:rsidRPr="000D7E62">
        <w:rPr>
          <w:rFonts w:ascii="Times New Roman" w:hAnsi="Times New Roman" w:cs="Times New Roman"/>
          <w:b/>
          <w:sz w:val="24"/>
          <w:szCs w:val="24"/>
          <w:lang w:val="en-GB"/>
        </w:rPr>
        <w:fldChar w:fldCharType="separate"/>
      </w:r>
      <w:r w:rsidR="004A0CB7" w:rsidRPr="004A0CB7">
        <w:rPr>
          <w:rFonts w:ascii="Times New Roman" w:hAnsi="Times New Roman" w:cs="Times New Roman"/>
          <w:noProof/>
          <w:sz w:val="24"/>
          <w:szCs w:val="24"/>
          <w:lang w:val="en-GB"/>
        </w:rPr>
        <w:t>[11]</w:t>
      </w:r>
      <w:r w:rsidR="00E77054" w:rsidRPr="000D7E62">
        <w:rPr>
          <w:rFonts w:ascii="Times New Roman" w:hAnsi="Times New Roman" w:cs="Times New Roman"/>
          <w:b/>
          <w:sz w:val="24"/>
          <w:szCs w:val="24"/>
          <w:lang w:val="en-GB"/>
        </w:rPr>
        <w:fldChar w:fldCharType="end"/>
      </w:r>
      <w:r w:rsidR="00E77054" w:rsidRPr="000D7E62">
        <w:rPr>
          <w:rFonts w:ascii="Times New Roman" w:hAnsi="Times New Roman" w:cs="Times New Roman"/>
          <w:b/>
          <w:sz w:val="24"/>
          <w:szCs w:val="24"/>
          <w:lang w:val="en-GB"/>
        </w:rPr>
        <w:t>.</w:t>
      </w:r>
      <w:r w:rsidR="00E77054" w:rsidRPr="000D7E62">
        <w:rPr>
          <w:rFonts w:ascii="Times New Roman" w:hAnsi="Times New Roman" w:cs="Times New Roman"/>
          <w:sz w:val="24"/>
          <w:szCs w:val="24"/>
          <w:lang w:val="en-GB"/>
        </w:rPr>
        <w:t xml:space="preserve"> </w:t>
      </w:r>
    </w:p>
    <w:p w14:paraId="23BE362B" w14:textId="77777777" w:rsidR="00C13E4E" w:rsidRPr="000D7E62" w:rsidRDefault="00C13E4E" w:rsidP="000D7E62">
      <w:pPr>
        <w:pStyle w:val="Oletus"/>
        <w:spacing w:line="480" w:lineRule="auto"/>
        <w:rPr>
          <w:rFonts w:ascii="Times New Roman" w:hAnsi="Times New Roman" w:cs="Times New Roman"/>
          <w:sz w:val="24"/>
          <w:szCs w:val="24"/>
          <w:lang w:val="en-GB"/>
        </w:rPr>
      </w:pPr>
    </w:p>
    <w:p w14:paraId="66EA405E" w14:textId="6C8DC526" w:rsidR="002542A4" w:rsidRDefault="003A6CFF" w:rsidP="002542A4">
      <w:pPr>
        <w:spacing w:line="480" w:lineRule="auto"/>
      </w:pPr>
      <w:r w:rsidRPr="00CE47DE">
        <w:lastRenderedPageBreak/>
        <w:t>The patients assessed the feasibility (clarity, intelligibility, adequacy) of the KTFI very high, making it a potentially usable patient education method</w:t>
      </w:r>
      <w:r w:rsidR="00E321BD">
        <w:t xml:space="preserve"> from </w:t>
      </w:r>
      <w:r w:rsidR="00E321BD" w:rsidRPr="00E321BD">
        <w:rPr>
          <w:b/>
        </w:rPr>
        <w:t>the perspective of patients</w:t>
      </w:r>
      <w:r w:rsidRPr="00CE47DE">
        <w:t xml:space="preserve"> </w:t>
      </w:r>
      <w:r w:rsidR="00372235" w:rsidRPr="00CE47DE">
        <w:fldChar w:fldCharType="begin" w:fldLock="1"/>
      </w:r>
      <w:r w:rsidR="0068258A">
        <w:instrText>ADDIN CSL_CITATION { "citationItems" : [ { "id" : "ITEM-1", "itemData" : { "DOI" : "10.1111/j.1479-6988.2005.00026.x", "ISBN" : "1744-1609", "ISSN" : "1744-1595", "PMID" : "21631749", "abstract" : "Evidence-based healthcare as it is contemporarily conceived is based on the view that clinical decisions should be based on the best available scientific evidence but recognising patient preferences, the context of healthcare and the judgement of the clinician. The ongoing debate on the nature of evidence for practice across all of the health professions is influenced by the experience of clinicians in everyday practice who, in using the evidence, assert that there are diverse sources of research-based and non-research-based evidence and that the process of evidence-based practice should be placed within a broader context that is grounded in practice; recognises different evidentiary bases; and is directed towards improving global health across vasty different practice contexts. We present a developmental framework of evidence-based practice that builds and expands on the work of leaders in the field of evidence-based healthcare; is contextualised; is inclusive of diverse forms of evidence; and incorporates understandings of knowledge transfer and utilisation. The conceptual model attempts to situate healthcare evidence and its role and use within the complexity of practice settings globally.", "author" : [ { "dropping-particle" : "", "family" : "Pearson", "given" : "Alan", "non-dropping-particle" : "", "parse-names" : false, "suffix" : "" }, { "dropping-particle" : "", "family" : "Wiechula", "given" : "Rick", "non-dropping-particle" : "", "parse-names" : false, "suffix" : "" }, { "dropping-particle" : "", "family" : "Court", "given" : "Anthea", "non-dropping-particle" : "", "parse-names" : false, "suffix" : "" }, { "dropping-particle" : "", "family" : "Lockwood", "given" : "Craig", "non-dropping-particle" : "", "parse-names" : false, "suffix" : "" } ], "container-title" : "International journal of evidence-based healthcare", "id" : "ITEM-1", "issue" : "8", "issued" : { "date-parts" : [ [ "2005" ] ] }, "page" : "207-215", "title" : "The JBI model of evidence-based healthcare", "type" : "article-journal", "volume" : "3" }, "uris" : [ "http://www.mendeley.com/documents/?uuid=42f3a7d3-9fdc-49df-956b-2247701323cb" ] } ], "mendeley" : { "formattedCitation" : "[48]", "plainTextFormattedCitation" : "[48]", "previouslyFormattedCitation" : "[48]" }, "properties" : { "noteIndex" : 0 }, "schema" : "https://github.com/citation-style-language/schema/raw/master/csl-citation.json" }</w:instrText>
      </w:r>
      <w:r w:rsidR="00372235" w:rsidRPr="00CE47DE">
        <w:fldChar w:fldCharType="separate"/>
      </w:r>
      <w:r w:rsidR="004A0CB7" w:rsidRPr="004A0CB7">
        <w:rPr>
          <w:noProof/>
        </w:rPr>
        <w:t>[48]</w:t>
      </w:r>
      <w:r w:rsidR="00372235" w:rsidRPr="00CE47DE">
        <w:fldChar w:fldCharType="end"/>
      </w:r>
      <w:r w:rsidR="00D776A4" w:rsidRPr="00CE47DE">
        <w:t xml:space="preserve">. </w:t>
      </w:r>
      <w:r w:rsidRPr="00CE47DE">
        <w:t>On the other hand, the high rating does not give any suggestions for future development of the KTFI</w:t>
      </w:r>
      <w:r w:rsidR="00372235" w:rsidRPr="00CE47DE">
        <w:t xml:space="preserve"> </w:t>
      </w:r>
      <w:r w:rsidR="00372235" w:rsidRPr="00CE47DE">
        <w:fldChar w:fldCharType="begin" w:fldLock="1"/>
      </w:r>
      <w:r w:rsidR="0068258A">
        <w:instrText>ADDIN CSL_CITATION { "citationItems" : [ { "id" : "ITEM-1", "itemData" : { "DOI" : "10.1016/j.jclinepi.2006.03.012", "ISBN" : "3120444677", "ISSN" : "08954356", "PMID" : "17161752", "abstract" : "Objectives: Recently, an increasing number of systematic reviews have been published in which the measurement properties of health status questionnaires are compared. For a meaningful comparison, quality criteria for measurement properties are needed. Our aim was to develop quality criteria for design, methods, and outcomes of studies on the development and evaluation of health status questionnaires. Study Design and Setting: Quality criteria for content validity, internal consistency, criterion validity, construct validity, reproducibility, longitudinal validity, responsiveness, floor and ceiling effects, and interpretability were derived from existing guidelines and consensus within our research group. Results: For each measurement property a criterion was defined for a positive, negative, or indeterminate rating, depending on the design, methods, and outcomes of the validation study. Conclusion: Our criteria make a substantial contribution toward defining explicit quality criteria for measurement properties of health status questionnaires. Our criteria can be used in systematic reviews of health status questionnaires, to detect shortcomings and gaps in knowledge of measurement properties, and to design validation studies. The future challenge will be to refine and complete the criteria and to reach broad consensus, especially on quality criteria for good measurement properties. \u00a9 2006 Elsevier Inc. All rights reserved.", "author" : [ { "dropping-particle" : "", "family" : "Terwee", "given" : "Caroline B.", "non-dropping-particle" : "", "parse-names" : false, "suffix" : "" }, { "dropping-particle" : "", "family" : "Bot", "given" : "Sandra D M", "non-dropping-particle" : "", "parse-names" : false, "suffix" : "" }, { "dropping-particle" : "", "family" : "Boer", "given" : "Michael R.", "non-dropping-particle" : "de", "parse-names" : false, "suffix" : "" }, { "dropping-particle" : "", "family" : "Windt", "given" : "Dani\u00eblle A W M", "non-dropping-particle" : "van der", "parse-names" : false, "suffix" : "" }, { "dropping-particle" : "", "family" : "Knol", "given" : "Dirk L.", "non-dropping-particle" : "", "parse-names" : false, "suffix" : "" }, { "dropping-particle" : "", "family" : "Dekker", "given" : "Joost", "non-dropping-particle" : "", "parse-names" : false, "suffix" : "" }, { "dropping-particle" : "", "family" : "Bouter", "given" : "Lex M.", "non-dropping-particle" : "", "parse-names" : false, "suffix" : "" }, { "dropping-particle" : "", "family" : "Vet", "given" : "Henrica C W", "non-dropping-particle" : "de", "parse-names" : false, "suffix" : "" } ], "container-title" : "Journal of Clinical Epidemiology", "id" : "ITEM-1", "issue" : "1", "issued" : { "date-parts" : [ [ "2007" ] ] }, "page" : "34-42", "title" : "Quality criteria were proposed for measurement properties of health status questionnaires", "type" : "article-journal", "volume" : "60" }, "uris" : [ "http://www.mendeley.com/documents/?uuid=e44ec8e9-5f22-4d8f-88e9-0c471eb897df" ] } ], "mendeley" : { "formattedCitation" : "[49]", "plainTextFormattedCitation" : "[49]", "previouslyFormattedCitation" : "[49]" }, "properties" : { "noteIndex" : 0 }, "schema" : "https://github.com/citation-style-language/schema/raw/master/csl-citation.json" }</w:instrText>
      </w:r>
      <w:r w:rsidR="00372235" w:rsidRPr="00CE47DE">
        <w:fldChar w:fldCharType="separate"/>
      </w:r>
      <w:r w:rsidR="004A0CB7" w:rsidRPr="004A0CB7">
        <w:rPr>
          <w:noProof/>
        </w:rPr>
        <w:t>[49]</w:t>
      </w:r>
      <w:r w:rsidR="00372235" w:rsidRPr="00CE47DE">
        <w:fldChar w:fldCharType="end"/>
      </w:r>
      <w:r w:rsidRPr="00CE47DE">
        <w:t xml:space="preserve">. </w:t>
      </w:r>
      <w:r w:rsidR="00196EF3" w:rsidRPr="00196EF3">
        <w:rPr>
          <w:b/>
        </w:rPr>
        <w:t xml:space="preserve">The high feasibility rating may be due to the </w:t>
      </w:r>
      <w:r w:rsidR="000D7E62">
        <w:rPr>
          <w:b/>
        </w:rPr>
        <w:t xml:space="preserve">individual character of </w:t>
      </w:r>
      <w:r w:rsidR="00594B7F">
        <w:rPr>
          <w:b/>
        </w:rPr>
        <w:t xml:space="preserve">the </w:t>
      </w:r>
      <w:proofErr w:type="gramStart"/>
      <w:r w:rsidR="00594B7F">
        <w:rPr>
          <w:b/>
        </w:rPr>
        <w:t>intervention</w:t>
      </w:r>
      <w:r w:rsidR="000D7E62">
        <w:rPr>
          <w:b/>
        </w:rPr>
        <w:t xml:space="preserve"> which</w:t>
      </w:r>
      <w:proofErr w:type="gramEnd"/>
      <w:r w:rsidR="000D7E62">
        <w:rPr>
          <w:b/>
        </w:rPr>
        <w:t xml:space="preserve"> was based on </w:t>
      </w:r>
      <w:r w:rsidR="00594B7F">
        <w:rPr>
          <w:b/>
        </w:rPr>
        <w:t>the patients’</w:t>
      </w:r>
      <w:r w:rsidR="000D7E62">
        <w:rPr>
          <w:b/>
        </w:rPr>
        <w:t xml:space="preserve"> actual needs</w:t>
      </w:r>
      <w:r w:rsidR="00196EF3" w:rsidRPr="00196EF3">
        <w:rPr>
          <w:b/>
        </w:rPr>
        <w:t>.</w:t>
      </w:r>
      <w:r w:rsidR="00196EF3">
        <w:t xml:space="preserve">   </w:t>
      </w:r>
      <w:r w:rsidR="000D7E62">
        <w:t>W</w:t>
      </w:r>
      <w:r w:rsidRPr="00CE47DE">
        <w:t xml:space="preserve">e believe that such low-technology patient </w:t>
      </w:r>
      <w:r w:rsidR="00594B7F">
        <w:t>education methods are needed;</w:t>
      </w:r>
      <w:r w:rsidRPr="00CE47DE">
        <w:t xml:space="preserve"> many older people </w:t>
      </w:r>
      <w:r w:rsidR="004930C2" w:rsidRPr="00CE47DE">
        <w:t>may</w:t>
      </w:r>
      <w:r w:rsidRPr="00CE47DE">
        <w:t xml:space="preserve"> lack </w:t>
      </w:r>
      <w:r w:rsidR="004930C2" w:rsidRPr="00CE47DE">
        <w:t>the access to information technology</w:t>
      </w:r>
      <w:r w:rsidR="002542A4" w:rsidRPr="00CE47DE">
        <w:t xml:space="preserve"> </w:t>
      </w:r>
      <w:r w:rsidR="002542A4" w:rsidRPr="00CE47DE">
        <w:fldChar w:fldCharType="begin" w:fldLock="1"/>
      </w:r>
      <w:r w:rsidR="0068258A">
        <w:instrText>ADDIN CSL_CITATION { "citationItems" : [ { "id" : "ITEM-1", "itemData" : { "URL" : "http://www.ikateknologia.fi/images/stories/English/Gallup-koosteEnkku_nettiin.pdf", "accessed" : { "date-parts" : [ [ "2015", "9", "29" ] ] }, "author" : [ { "dropping-particle" : "", "family" : "Nordlund", "given" : "Marika", "non-dropping-particle" : "", "parse-names" : false, "suffix" : "" }, { "dropping-particle" : "", "family" : "Stenberg", "given" : "Lea", "non-dropping-particle" : "", "parse-names" : false, "suffix" : "" }, { "dropping-particle" : "", "family" : "Lempola", "given" : "Hanna-Mari", "non-dropping-particle" : "", "parse-names" : false, "suffix" : "" } ], "container-title" : "KA\u0308KA\u0308TE Project and La\u0308hiVerkko Project", "id" : "ITEM-1", "issued" : { "date-parts" : [ [ "2014" ] ] }, "title" : "Use of information technology, reasons for non-use, age group 75\u201389 \u2013 survey summary", "type" : "webpage" }, "uris" : [ "http://www.mendeley.com/documents/?uuid=9429f351-b4cc-4fb4-b80d-f47b44789884" ] } ], "mendeley" : { "formattedCitation" : "[50]", "plainTextFormattedCitation" : "[50]", "previouslyFormattedCitation" : "[50]" }, "properties" : { "noteIndex" : 0 }, "schema" : "https://github.com/citation-style-language/schema/raw/master/csl-citation.json" }</w:instrText>
      </w:r>
      <w:r w:rsidR="002542A4" w:rsidRPr="00CE47DE">
        <w:fldChar w:fldCharType="separate"/>
      </w:r>
      <w:r w:rsidR="004A0CB7" w:rsidRPr="004A0CB7">
        <w:rPr>
          <w:noProof/>
        </w:rPr>
        <w:t>[50]</w:t>
      </w:r>
      <w:r w:rsidR="002542A4" w:rsidRPr="00CE47DE">
        <w:fldChar w:fldCharType="end"/>
      </w:r>
      <w:r w:rsidR="00E321BD">
        <w:t xml:space="preserve"> </w:t>
      </w:r>
      <w:r w:rsidR="00594B7F">
        <w:rPr>
          <w:b/>
        </w:rPr>
        <w:t>and</w:t>
      </w:r>
      <w:r w:rsidR="00E321BD" w:rsidRPr="002C430B">
        <w:rPr>
          <w:b/>
        </w:rPr>
        <w:t xml:space="preserve"> patients vary </w:t>
      </w:r>
      <w:r w:rsidR="000D7E62">
        <w:rPr>
          <w:b/>
        </w:rPr>
        <w:t>in how</w:t>
      </w:r>
      <w:r w:rsidR="00E321BD" w:rsidRPr="002C430B">
        <w:rPr>
          <w:b/>
        </w:rPr>
        <w:t xml:space="preserve"> they learn </w:t>
      </w:r>
      <w:r w:rsidR="000E7139">
        <w:rPr>
          <w:b/>
        </w:rPr>
        <w:fldChar w:fldCharType="begin" w:fldLock="1"/>
      </w:r>
      <w:r w:rsidR="0068258A">
        <w:rPr>
          <w:b/>
        </w:rPr>
        <w:instrText>ADDIN CSL_CITATION { "citationItems" : [ { "id" : "ITEM-1", "itemData" : { "author" : [ { "dropping-particle" : "", "family" : "Lonka", "given" : "Kirsi", "non-dropping-particle" : "", "parse-names" : false, "suffix" : "" }, { "dropping-particle" : "", "family" : "Lindblom-Yl\u00e4nne", "given" : "Sari", "non-dropping-particle" : "", "parse-names" : false, "suffix" : "" } ], "container-title" : "Higher Education", "id" : "ITEM-1", "issue" : "1", "issued" : { "date-parts" : [ [ "1996" ] ] }, "page" : "5-24", "title" : "Epistemologies, Conceptions of Learning, and Study Practices in Medicine and Psychology", "type" : "article-journal", "volume" : "31" }, "uris" : [ "http://www.mendeley.com/documents/?uuid=a0bc56c8-48e6-4a9b-b2ed-40a521971832", "http://www.mendeley.com/documents/?uuid=e4bd4368-8bfb-43ae-8c05-efcd10c69a4b" ] } ], "mendeley" : { "formattedCitation" : "[51]", "plainTextFormattedCitation" : "[51]", "previouslyFormattedCitation" : "[51]" }, "properties" : { "noteIndex" : 0 }, "schema" : "https://github.com/citation-style-language/schema/raw/master/csl-citation.json" }</w:instrText>
      </w:r>
      <w:r w:rsidR="000E7139">
        <w:rPr>
          <w:b/>
        </w:rPr>
        <w:fldChar w:fldCharType="separate"/>
      </w:r>
      <w:r w:rsidR="004A0CB7" w:rsidRPr="004A0CB7">
        <w:rPr>
          <w:noProof/>
        </w:rPr>
        <w:t>[51]</w:t>
      </w:r>
      <w:r w:rsidR="000E7139">
        <w:rPr>
          <w:b/>
        </w:rPr>
        <w:fldChar w:fldCharType="end"/>
      </w:r>
      <w:r w:rsidR="002542A4" w:rsidRPr="002C430B">
        <w:rPr>
          <w:b/>
        </w:rPr>
        <w:t>.</w:t>
      </w:r>
      <w:r w:rsidR="002D47AC">
        <w:rPr>
          <w:b/>
        </w:rPr>
        <w:t xml:space="preserve"> </w:t>
      </w:r>
    </w:p>
    <w:p w14:paraId="514034CE" w14:textId="77777777" w:rsidR="00F627B1" w:rsidRDefault="00F627B1" w:rsidP="002542A4">
      <w:pPr>
        <w:spacing w:line="480" w:lineRule="auto"/>
      </w:pPr>
    </w:p>
    <w:p w14:paraId="2736ABF6" w14:textId="52BBFC2D" w:rsidR="00F627B1" w:rsidRPr="00024E50" w:rsidRDefault="00161586" w:rsidP="00024E50">
      <w:pPr>
        <w:pStyle w:val="Oletus"/>
        <w:spacing w:line="480" w:lineRule="auto"/>
        <w:rPr>
          <w:rFonts w:ascii="Times New Roman" w:hAnsi="Times New Roman" w:cs="Times New Roman"/>
          <w:b/>
          <w:sz w:val="24"/>
          <w:szCs w:val="24"/>
          <w:lang w:val="en-GB"/>
        </w:rPr>
      </w:pPr>
      <w:r w:rsidRPr="00024E50">
        <w:rPr>
          <w:rFonts w:ascii="Times New Roman" w:hAnsi="Times New Roman" w:cs="Times New Roman"/>
          <w:b/>
          <w:sz w:val="24"/>
          <w:szCs w:val="24"/>
          <w:lang w:val="en-GB"/>
        </w:rPr>
        <w:t xml:space="preserve">Although our educational intervention required relatively few resources and was easy to conduct, it proved effective in increasing the patients´ knowledge level regarding </w:t>
      </w:r>
      <w:r w:rsidR="00787E6E">
        <w:rPr>
          <w:rFonts w:ascii="Times New Roman" w:hAnsi="Times New Roman" w:cs="Times New Roman"/>
          <w:b/>
          <w:sz w:val="24"/>
          <w:szCs w:val="24"/>
          <w:lang w:val="en-GB"/>
        </w:rPr>
        <w:t xml:space="preserve">in </w:t>
      </w:r>
      <w:r w:rsidRPr="00024E50">
        <w:rPr>
          <w:rFonts w:ascii="Times New Roman" w:hAnsi="Times New Roman" w:cs="Times New Roman"/>
          <w:b/>
          <w:sz w:val="24"/>
          <w:szCs w:val="24"/>
          <w:lang w:val="en-GB"/>
        </w:rPr>
        <w:t xml:space="preserve">all aspects of their surgical treatment. Previous literature suggests that this may lead to positive clinical outcomes such as </w:t>
      </w:r>
      <w:r w:rsidR="001D195B" w:rsidRPr="00024E50">
        <w:rPr>
          <w:rFonts w:ascii="Times New Roman" w:eastAsia="Arial Unicode MS" w:hAnsi="Times New Roman" w:cs="Times New Roman"/>
          <w:b/>
          <w:sz w:val="24"/>
          <w:szCs w:val="24"/>
          <w:lang w:val="en-GB"/>
        </w:rPr>
        <w:t xml:space="preserve">decreased preoperative anxiety </w:t>
      </w:r>
      <w:r w:rsidR="001D195B" w:rsidRPr="00024E50">
        <w:rPr>
          <w:rFonts w:ascii="Times New Roman" w:eastAsia="Arial Unicode MS" w:hAnsi="Times New Roman" w:cs="Times New Roman"/>
          <w:b/>
          <w:sz w:val="24"/>
          <w:szCs w:val="24"/>
          <w:lang w:val="en-GB"/>
        </w:rPr>
        <w:fldChar w:fldCharType="begin" w:fldLock="1"/>
      </w:r>
      <w:r w:rsidR="00D22925">
        <w:rPr>
          <w:rFonts w:ascii="Times New Roman" w:eastAsia="Arial Unicode MS" w:hAnsi="Times New Roman" w:cs="Times New Roman"/>
          <w:b/>
          <w:sz w:val="24"/>
          <w:szCs w:val="24"/>
          <w:lang w:val="en-GB"/>
        </w:rPr>
        <w:instrText>ADDIN CSL_CITATION { "citationItems" : [ { "id" : "ITEM-1", "itemData" : { "DOI" : "10.1007/s00586-015-3788-2", "ISSN" : "1432-0932", "PMID" : "25670066", "abstract" : "PURPOSE: No study has investigated preoperative anxiety about spinal surgery under general anesthesia. The purposes of this study were (1) to determine how many patients have preoperative anxiety about spinal surgery and general anesthesia, (2) to evaluate the level of anxiety, (3) to identify patient factors potentially associated with the level of anxiety, and (4) to describe the characteristics of the anxiety that patients experience during the perioperative period. METHODS: This study was performed in 175 consecutive patients undergoing laminectomy for lumbar stenosis or discectomy for herniated nucleus pulposus under general anesthesia. Demographic data, information related to surgery, and characteristics of anxiety were obtained using a questionnaire. The level of anxiety was assessed using a visual analog scale of anxiety (VAS-anxiety). Patient factors potentially associated with the level of anxiety were investigated using multiple stepwise regression analysis. RESULTS: Of 157 patients finally included in this study, 137 (87 %) had preoperative anxiety (VAS-anxiety &gt; 0). The mean VAS-anxiety score for spinal surgery was significantly higher than that for general anesthesia (4.6 \u00b1 3.0 vs. 3.2 \u00b1 2.7; P &lt; 0.001). Sex and age were significant patient factors related to the level of anxiety about spinal surgery (P = 0.009) and general anesthesia (P = 0.018); female patients had a higher level of anxiety about spinal surgery, and elderly patients had a higher level of anxiety about general anesthesia. The most helpful factors in overcoming anxiety before surgery and in reducing anxiety after surgery were faith in the medical staff (48.9 %) and surgeon's explanation of the surgery performed (72.3 %), respectively. CONCLUSIONS: Patients awaiting laminectomy or discectomy feared spinal surgery more than general anesthesia. This study also found that medical staff and surgeons play important roles in overcoming and reducing patient anxiety during the perioperative period.", "author" : [ { "dropping-particle" : "", "family" : "Lee", "given" : "Jun-Seok", "non-dropping-particle" : "", "parse-names" : false, "suffix" : "" }, { "dropping-particle" : "", "family" : "Park", "given" : "Yong-Moon", "non-dropping-particle" : "", "parse-names" : false, "suffix" : "" }, { "dropping-particle" : "", "family" : "Ha", "given" : "Kee-Yong", "non-dropping-particle" : "", "parse-names" : false, "suffix" : "" }, { "dropping-particle" : "", "family" : "Cho", "given" : "Sung-Wook", "non-dropping-particle" : "", "parse-names" : false, "suffix" : "" }, { "dropping-particle" : "", "family" : "Bak", "given" : "Geun-Hyeong", "non-dropping-particle" : "", "parse-names" : false, "suffix" : "" }, { "dropping-particle" : "", "family" : "Kim", "given" : "Ki-Won", "non-dropping-particle" : "", "parse-names" : false, "suffix" : "" } ], "container-title" : "European spine journal", "id" : "ITEM-1", "issue" : "3", "issued" : { "date-parts" : [ [ "2016", "2", "11" ] ] }, "page" : "698-707", "title" : "Preoperative anxiety about spinal surgery under general anesthesia", "type" : "article-journal", "volume" : "25" }, "uris" : [ "http://www.mendeley.com/documents/?uuid=041fd21b-936a-4e88-a7f8-77d355cdcc6d" ] }, { "id" : "ITEM-2", "itemData" : { "DOI" : "10.1097/EJA.0000000000000307", "ISSN" : "0265-0215", "PMID" : "26196527", "abstract" : "BACKGROUND: Despite growing evidence that an educational anaesthesia video can effectively reduce perioperative anxiety, the ideal medium for addressing perioperative anxiety is unclear. OBJECTIVE: The purpose of this study was to investigate the effect of viewing an anaesthetic patient information video on anxiety levels in patients scheduled to undergo surgery. DESIGN: A randomised, controlled, parallel-groups trial. SETTING: Pingtung Christian Hospital (PTCH), Taiwan. PATIENTS: One hundred patients were randomised to either an experimental group (n = 50) or a control group (n = 50). INTERVENTIONS: At the preoperative clinic, the experimental group watched the an 8 minute educational anaesthetic video, whereas the control group received a standard 8-min verbal briefing on anaesthesia after preoperative assessment. MAIN OUTCOMES MEASURES: The Chinese version of the Spielberger state trait anxiety inventory, which included a state scale (STAI-S) and a trait scale (STAI-T), was performed in the preoperative clinic (T1) before anaesthetic preassessment, at the preoperative holding area just before surgery (T2) and again on the third day after surgery (T3). Scores for overall satisfaction with medical care were obtained on the third day after surgery. For two time interval comparisons, effect size was used to standardise the extent of change as measured by STAI-S. RESULTS: After the educational intervention, state anxiety was lower in the experimental group than in the control group at both T2 (42.9 \u00b1 6.5 vs. 45.0 \u00b1 12.7) and T3 (40.2 \u00b1 5.3 vs. 48.8 \u00b1 8.5). Compared with control group, the experimental group had a larger effect size at T2 and T3 (-0.65 and -0.36, respectively). Overall satisfaction was significantly higher in the experimental group than in the control group (P &lt; 0.05). CONCLUSION: Perioperative anxiety was significantly reduced and overall patient satisfaction increased after viewing a preoperative educational anaesthesia video compared with a standard verbal briefing on anaesthesia.", "author" : [ { "dropping-particle" : "", "family" : "Lin", "given" : "Shun-Yuan", "non-dropping-particle" : "", "parse-names" : false, "suffix" : "" }, { "dropping-particle" : "", "family" : "Huang", "given" : "Hung-An", "non-dropping-particle" : "", "parse-names" : false, "suffix" : "" }, { "dropping-particle" : "", "family" : "Lin", "given" : "Sung-Chun", "non-dropping-particle" : "", "parse-names" : false, "suffix" : "" }, { "dropping-particle" : "", "family" : "Huang", "given" : "Yuan-Ting", "non-dropping-particle" : "", "parse-names" : false, "suffix" : "" }, { "dropping-particle" : "", "family" : "Wang", "given" : "Kuo-Yang", "non-dropping-particle" : "", "parse-names" : false, "suffix" : "" }, { "dropping-particle" : "", "family" : "Shi", "given" : "Hon-Yi", "non-dropping-particle" : "", "parse-names" : false, "suffix" : "" } ], "container-title" : "European Journal of Anaesthesiology", "id" : "ITEM-2", "issue" : "2", "issued" : { "date-parts" : [ [ "2016", "7", "18" ] ] }, "page" : "134-139", "title" : "The effect of an anaesthetic patient information video on perioperative anxiety", "type" : "article-journal", "volume" : "33" }, "uris" : [ "http://www.mendeley.com/documents/?uuid=f1eeccbc-8f79-45c6-a1a6-d3ddecf780d8" ] }, { "id" : "ITEM-3", "itemData" : { "ISSN" : "0738-3991", "PMID" : "14572947", "abstract" : "The primary objective of this study was to test whether specific information given prior to surgery can help patients obtain better pain relief after total knee arthroplasty (TKA). Secondary objectives were to study the impact of preoperative information on state and trait anxiety, satisfaction with pain management and satisfaction with nursing care. The study was an intervention study with two groups of equal size (n=30). The intervention group was given specific information while the control group received routine information. Pain assessments were made preoperatively and every 3h for the first three postoperative days, using the visual analogue scale (VAS). The results of this study suggest that information does influence the experience of pain after surgery and related psychological factors. The postoperative pain declined more rapidly for patients in the treatment group, the degree of preoperative state anxiety was lower and they were more satisfied with the postoperative pain management.", "author" : [ { "dropping-particle" : "", "family" : "Sj\u00f6ling", "given" : "Mats", "non-dropping-particle" : "", "parse-names" : false, "suffix" : "" }, { "dropping-particle" : "", "family" : "Nordahl", "given" : "Gunnar", "non-dropping-particle" : "", "parse-names" : false, "suffix" : "" }, { "dropping-particle" : "", "family" : "Olofsson", "given" : "Niclas", "non-dropping-particle" : "", "parse-names" : false, "suffix" : "" }, { "dropping-particle" : "", "family" : "Asplund", "given" : "Kenneth", "non-dropping-particle" : "", "parse-names" : false, "suffix" : "" } ], "container-title" : "Patient education and counseling", "id" : "ITEM-3", "issue" : "2", "issued" : { "date-parts" : [ [ "2003", "10" ] ] }, "page" : "169-76", "title" : "The impact of preoperative information on state anxiety, postoperative pain and satisfaction with pain management", "type" : "article-journal", "volume" : "51" }, "uris" : [ "http://www.mendeley.com/documents/?uuid=5098a2a5-d78c-4806-bcc9-fe56049bbadb" ] }, { "id" : "ITEM-4", "itemData" : { "DOI" : "10.1016/j.pec.2005.04.009", "ISBN" : "0738-3991 (Print)", "ISSN" : "07383991", "PMID" : "15970422", "abstract" : "Objective: A case study at the department for heart surgery of an Austrian University Hospital in 2001, examined the outcome of improved communication aimed at empowering patients to be more effective co-producers of recuperation after surgery. Methods: Evaluated were the effects of a training program for developing communication skills of health professionals (physicians, physiotherapists, and nurses) along with a reorganization of patient information schemes. The clinical outcomes after four types of surgery (bypass, stent, artificial valve insertion and combination of these) were observed in 100 patients without (control group) and 99 with the intervention administered (intervention group). Two objective and two subjective health outcome parameters were selected for analysis: care level adjusted length of stay in hospital, frequency of post-surgery complications, subjective health, subjective satisfaction with care received. Self-administered breathing exercises were measured as an intermediary outcome parameter. Results: In the intervention group length of hospital stay was shorter (by 1 day), incidence of post-surgery tachyarrhythmia was reduced (by 15%), transfer to less intensive care levels was faster and patient ratings for communicative quality of care by doctors and nurses were improved. Conclusion: Professional communication aimed at empowering patients to act as co producers can indeed have an effect on clinical outcome. Practice implications: Staff training and reorganization of communication schemes can be an effective intervention in hospital care. \u00a9 2005 Elsevier Ireland Ltd. All rights reserved.", "author" : [ { "dropping-particle" : "", "family" : "Trummer", "given" : "Ursula F.", "non-dropping-particle" : "", "parse-names" : false, "suffix" : "" }, { "dropping-particle" : "", "family" : "Mueller", "given" : "Ulrich O.", "non-dropping-particle" : "", "parse-names" : false, "suffix" : "" }, { "dropping-particle" : "", "family" : "Nowak", "given" : "Peter", "non-dropping-particle" : "", "parse-names" : false, "suffix" : "" }, { "dropping-particle" : "", "family" : "Stidl", "given" : "Thomas", "non-dropping-particle" : "", "parse-names" : false, "suffix" : "" }, { "dropping-particle" : "", "family" : "Pelikan", "given" : "J\u00fcrgen M.", "non-dropping-particle" : "", "parse-names" : false, "suffix" : "" } ], "container-title" : "Patient Education and Counseling", "id" : "ITEM-4", "issue" : "2", "issued" : { "date-parts" : [ [ "2006" ] ] }, "page" : "299-306", "title" : "Does physician-patient communication that aims at empowering patients improve clinical outcome? A case study", "type" : "article-journal", "volume" : "61" }, "uris" : [ "http://www.mendeley.com/documents/?uuid=bc0673ec-0928-42e2-92a3-5b0464acaae7" ] } ], "mendeley" : { "formattedCitation" : "[31\u201334]", "plainTextFormattedCitation" : "[31\u201334]", "previouslyFormattedCitation" : "[31\u201334]" }, "properties" : { "noteIndex" : 0 }, "schema" : "https://github.com/citation-style-language/schema/raw/master/csl-citation.json" }</w:instrText>
      </w:r>
      <w:r w:rsidR="001D195B" w:rsidRPr="00024E50">
        <w:rPr>
          <w:rFonts w:ascii="Times New Roman" w:eastAsia="Arial Unicode MS" w:hAnsi="Times New Roman" w:cs="Times New Roman"/>
          <w:b/>
          <w:sz w:val="24"/>
          <w:szCs w:val="24"/>
          <w:lang w:val="en-GB"/>
        </w:rPr>
        <w:fldChar w:fldCharType="separate"/>
      </w:r>
      <w:r w:rsidR="004A0CB7" w:rsidRPr="004A0CB7">
        <w:rPr>
          <w:rFonts w:ascii="Times New Roman" w:eastAsia="Arial Unicode MS" w:hAnsi="Times New Roman" w:cs="Times New Roman"/>
          <w:noProof/>
          <w:sz w:val="24"/>
          <w:szCs w:val="24"/>
          <w:lang w:val="en-GB"/>
        </w:rPr>
        <w:t>[31–34]</w:t>
      </w:r>
      <w:r w:rsidR="001D195B" w:rsidRPr="00024E50">
        <w:rPr>
          <w:rFonts w:ascii="Times New Roman" w:eastAsia="Arial Unicode MS" w:hAnsi="Times New Roman" w:cs="Times New Roman"/>
          <w:b/>
          <w:sz w:val="24"/>
          <w:szCs w:val="24"/>
          <w:lang w:val="en-GB"/>
        </w:rPr>
        <w:fldChar w:fldCharType="end"/>
      </w:r>
      <w:r w:rsidR="001D195B" w:rsidRPr="00024E50">
        <w:rPr>
          <w:rFonts w:ascii="Times New Roman" w:eastAsia="Arial Unicode MS" w:hAnsi="Times New Roman" w:cs="Times New Roman"/>
          <w:b/>
          <w:sz w:val="24"/>
          <w:szCs w:val="24"/>
          <w:lang w:val="en-GB"/>
        </w:rPr>
        <w:t xml:space="preserve">,  faster recovery, lower incidence of complications </w:t>
      </w:r>
      <w:r w:rsidR="001D195B" w:rsidRPr="00024E50">
        <w:rPr>
          <w:rFonts w:ascii="Times New Roman" w:eastAsia="Arial Unicode MS" w:hAnsi="Times New Roman" w:cs="Times New Roman"/>
          <w:b/>
          <w:sz w:val="24"/>
          <w:szCs w:val="24"/>
          <w:lang w:val="en-GB"/>
        </w:rPr>
        <w:fldChar w:fldCharType="begin" w:fldLock="1"/>
      </w:r>
      <w:r w:rsidR="0068258A">
        <w:rPr>
          <w:rFonts w:ascii="Times New Roman" w:eastAsia="Arial Unicode MS" w:hAnsi="Times New Roman" w:cs="Times New Roman"/>
          <w:b/>
          <w:sz w:val="24"/>
          <w:szCs w:val="24"/>
          <w:lang w:val="en-GB"/>
        </w:rPr>
        <w:instrText>ADDIN CSL_CITATION { "citationItems" : [ { "id" : "ITEM-1", "itemData" : { "DOI" : "10.1016/j.pec.2005.04.009", "ISBN" : "0738-3991 (Print)", "ISSN" : "07383991", "PMID" : "15970422", "abstract" : "Objective: A case study at the department for heart surgery of an Austrian University Hospital in 2001, examined the outcome of improved communication aimed at empowering patients to be more effective co-producers of recuperation after surgery. Methods: Evaluated were the effects of a training program for developing communication skills of health professionals (physicians, physiotherapists, and nurses) along with a reorganization of patient information schemes. The clinical outcomes after four types of surgery (bypass, stent, artificial valve insertion and combination of these) were observed in 100 patients without (control group) and 99 with the intervention administered (intervention group). Two objective and two subjective health outcome parameters were selected for analysis: care level adjusted length of stay in hospital, frequency of post-surgery complications, subjective health, subjective satisfaction with care received. Self-administered breathing exercises were measured as an intermediary outcome parameter. Results: In the intervention group length of hospital stay was shorter (by 1 day), incidence of post-surgery tachyarrhythmia was reduced (by 15%), transfer to less intensive care levels was faster and patient ratings for communicative quality of care by doctors and nurses were improved. Conclusion: Professional communication aimed at empowering patients to act as co producers can indeed have an effect on clinical outcome. Practice implications: Staff training and reorganization of communication schemes can be an effective intervention in hospital care. \u00a9 2005 Elsevier Ireland Ltd. All rights reserved.", "author" : [ { "dropping-particle" : "", "family" : "Trummer", "given" : "Ursula F.", "non-dropping-particle" : "", "parse-names" : false, "suffix" : "" }, { "dropping-particle" : "", "family" : "Mueller", "given" : "Ulrich O.", "non-dropping-particle" : "", "parse-names" : false, "suffix" : "" }, { "dropping-particle" : "", "family" : "Nowak", "given" : "Peter", "non-dropping-particle" : "", "parse-names" : false, "suffix" : "" }, { "dropping-particle" : "", "family" : "Stidl", "given" : "Thomas", "non-dropping-particle" : "", "parse-names" : false, "suffix" : "" }, { "dropping-particle" : "", "family" : "Pelikan", "given" : "J\u00fcrgen M.", "non-dropping-particle" : "", "parse-names" : false, "suffix" : "" } ], "container-title" : "Patient Education and Counseling", "id" : "ITEM-1", "issue" : "2", "issued" : { "date-parts" : [ [ "2006" ] ] }, "page" : "299-306", "title" : "Does physician-patient communication that aims at empowering patients improve clinical outcome? A case study", "type" : "article-journal", "volume" : "61" }, "uris" : [ "http://www.mendeley.com/documents/?uuid=bc0673ec-0928-42e2-92a3-5b0464acaae7" ] } ], "mendeley" : { "formattedCitation" : "[34]", "plainTextFormattedCitation" : "[34]", "previouslyFormattedCitation" : "[34]" }, "properties" : { "noteIndex" : 0 }, "schema" : "https://github.com/citation-style-language/schema/raw/master/csl-citation.json" }</w:instrText>
      </w:r>
      <w:r w:rsidR="001D195B" w:rsidRPr="00024E50">
        <w:rPr>
          <w:rFonts w:ascii="Times New Roman" w:eastAsia="Arial Unicode MS" w:hAnsi="Times New Roman" w:cs="Times New Roman"/>
          <w:b/>
          <w:sz w:val="24"/>
          <w:szCs w:val="24"/>
          <w:lang w:val="en-GB"/>
        </w:rPr>
        <w:fldChar w:fldCharType="separate"/>
      </w:r>
      <w:r w:rsidR="004A0CB7" w:rsidRPr="004A0CB7">
        <w:rPr>
          <w:rFonts w:ascii="Times New Roman" w:eastAsia="Arial Unicode MS" w:hAnsi="Times New Roman" w:cs="Times New Roman"/>
          <w:noProof/>
          <w:sz w:val="24"/>
          <w:szCs w:val="24"/>
          <w:lang w:val="en-GB"/>
        </w:rPr>
        <w:t>[34]</w:t>
      </w:r>
      <w:r w:rsidR="001D195B" w:rsidRPr="00024E50">
        <w:rPr>
          <w:rFonts w:ascii="Times New Roman" w:eastAsia="Arial Unicode MS" w:hAnsi="Times New Roman" w:cs="Times New Roman"/>
          <w:b/>
          <w:sz w:val="24"/>
          <w:szCs w:val="24"/>
          <w:lang w:val="en-GB"/>
        </w:rPr>
        <w:fldChar w:fldCharType="end"/>
      </w:r>
      <w:r w:rsidR="001D195B" w:rsidRPr="00024E50">
        <w:rPr>
          <w:rFonts w:ascii="Times New Roman" w:eastAsia="Arial Unicode MS" w:hAnsi="Times New Roman" w:cs="Times New Roman"/>
          <w:b/>
          <w:sz w:val="24"/>
          <w:szCs w:val="24"/>
          <w:lang w:val="en-GB"/>
        </w:rPr>
        <w:t>, and</w:t>
      </w:r>
      <w:r w:rsidR="002D47AC" w:rsidRPr="00024E50">
        <w:rPr>
          <w:rFonts w:ascii="Times New Roman" w:eastAsia="Arial Unicode MS" w:hAnsi="Times New Roman" w:cs="Times New Roman"/>
          <w:b/>
          <w:sz w:val="24"/>
          <w:szCs w:val="24"/>
          <w:lang w:val="en-GB"/>
        </w:rPr>
        <w:t xml:space="preserve"> higher postoperative </w:t>
      </w:r>
      <w:r w:rsidR="00787E6E">
        <w:rPr>
          <w:rFonts w:ascii="Times New Roman" w:eastAsia="Arial Unicode MS" w:hAnsi="Times New Roman" w:cs="Times New Roman"/>
          <w:b/>
          <w:sz w:val="24"/>
          <w:szCs w:val="24"/>
          <w:lang w:val="en-GB"/>
        </w:rPr>
        <w:t>quality of life</w:t>
      </w:r>
      <w:r w:rsidR="002D47AC" w:rsidRPr="00024E50">
        <w:rPr>
          <w:rFonts w:ascii="Times New Roman" w:eastAsia="Arial Unicode MS" w:hAnsi="Times New Roman" w:cs="Times New Roman"/>
          <w:b/>
          <w:sz w:val="24"/>
          <w:szCs w:val="24"/>
          <w:lang w:val="en-GB"/>
        </w:rPr>
        <w:t xml:space="preserve"> </w:t>
      </w:r>
      <w:r w:rsidR="002D47AC" w:rsidRPr="00024E50">
        <w:rPr>
          <w:rFonts w:ascii="Times New Roman" w:eastAsia="Arial Unicode MS" w:hAnsi="Times New Roman" w:cs="Times New Roman"/>
          <w:b/>
          <w:sz w:val="24"/>
          <w:szCs w:val="24"/>
          <w:lang w:val="en-GB"/>
        </w:rPr>
        <w:fldChar w:fldCharType="begin" w:fldLock="1"/>
      </w:r>
      <w:r w:rsidR="0068258A">
        <w:rPr>
          <w:rFonts w:ascii="Times New Roman" w:eastAsia="Arial Unicode MS" w:hAnsi="Times New Roman" w:cs="Times New Roman"/>
          <w:b/>
          <w:sz w:val="24"/>
          <w:szCs w:val="24"/>
          <w:lang w:val="en-GB"/>
        </w:rPr>
        <w:instrText>ADDIN CSL_CITATION { "citationItems" : [ { "id" : "ITEM-1", "itemData" : { "DOI" : "10.1007/s11136-007-9171-y", "ISBN" : "0962-9343 (Print)", "ISSN" : "09629343", "PMID" : "17286194", "abstract" : "PURPOSE: Patients undergoing surgery can be impaired in several health-related quality of life areas. As a result, a modern and effective presentation of medical information before elective surgery is of great importance. Thorough preoperative education of the patient could possibly lead to an improvement of postoperative quality of life. MATERIALS AND METHODS: In a prospective randomized study we examined the influence of a preoperative informative video on the postoperative quality of life of patients undergoing elective surgery for inguinal hernia. Quality of life was assessed with a short form questionnaire (SF-36) preoperatively, on the first postoperative day and 3, 6, and 12 months after surgery. RESULTS: From January 2004 until January 2005, 100 patients were included in the study (video group n = 50 patients, control group n = 50 patients). Quality of life was measured higher in the video group soon after surgery and until 3 months afterwards. In the same group other aspects evaluated such as \"global health\" and \"social role\" showed higher values postoperatively and resumption of preoperative activities took place earlier. No difference was detectable 6 months after surgery. CONCLUSION: Informative video presents a modern and cost-effective method for the justified and detailed education of the patient about the several pre-, intra-, and postoperative steps of an elective groin hernia operation. The higher information level and the better conditions of surgical care, as the patients perceive these, lead to a better postoperative quality of life.", "author" : [ { "dropping-particle" : "", "family" : "Zieren", "given" : "Juergen", "non-dropping-particle" : "", "parse-names" : false, "suffix" : "" }, { "dropping-particle" : "", "family" : "Menenakos", "given" : "Charalambos", "non-dropping-particle" : "", "parse-names" : false, "suffix" : "" }, { "dropping-particle" : "", "family" : "Mueller", "given" : "Joachim M.", "non-dropping-particle" : "", "parse-names" : false, "suffix" : "" } ], "container-title" : "Quality of Life Research", "id" : "ITEM-1", "issue" : "5", "issued" : { "date-parts" : [ [ "2007" ] ] }, "page" : "725-729", "title" : "Does an informative video before inguinal hernia surgical repair influence postoperative quality of life? Results of a prospective randomized study", "type" : "article-journal", "volume" : "16" }, "uris" : [ "http://www.mendeley.com/documents/?uuid=3d319d87-8945-4c7b-8ba5-7eb621d6b7e7" ] } ], "mendeley" : { "formattedCitation" : "[7]", "plainTextFormattedCitation" : "[7]", "previouslyFormattedCitation" : "[7]" }, "properties" : { "noteIndex" : 0 }, "schema" : "https://github.com/citation-style-language/schema/raw/master/csl-citation.json" }</w:instrText>
      </w:r>
      <w:r w:rsidR="002D47AC" w:rsidRPr="00024E50">
        <w:rPr>
          <w:rFonts w:ascii="Times New Roman" w:eastAsia="Arial Unicode MS" w:hAnsi="Times New Roman" w:cs="Times New Roman"/>
          <w:b/>
          <w:sz w:val="24"/>
          <w:szCs w:val="24"/>
          <w:lang w:val="en-GB"/>
        </w:rPr>
        <w:fldChar w:fldCharType="separate"/>
      </w:r>
      <w:r w:rsidR="004A0CB7" w:rsidRPr="004A0CB7">
        <w:rPr>
          <w:rFonts w:ascii="Times New Roman" w:eastAsia="Arial Unicode MS" w:hAnsi="Times New Roman" w:cs="Times New Roman"/>
          <w:noProof/>
          <w:sz w:val="24"/>
          <w:szCs w:val="24"/>
          <w:lang w:val="en-GB"/>
        </w:rPr>
        <w:t>[7]</w:t>
      </w:r>
      <w:r w:rsidR="002D47AC" w:rsidRPr="00024E50">
        <w:rPr>
          <w:rFonts w:ascii="Times New Roman" w:eastAsia="Arial Unicode MS" w:hAnsi="Times New Roman" w:cs="Times New Roman"/>
          <w:b/>
          <w:sz w:val="24"/>
          <w:szCs w:val="24"/>
          <w:lang w:val="en-GB"/>
        </w:rPr>
        <w:fldChar w:fldCharType="end"/>
      </w:r>
      <w:r w:rsidR="002D47AC" w:rsidRPr="00024E50">
        <w:rPr>
          <w:rFonts w:ascii="Times New Roman" w:eastAsia="Arial Unicode MS" w:hAnsi="Times New Roman" w:cs="Times New Roman"/>
          <w:b/>
          <w:sz w:val="24"/>
          <w:szCs w:val="24"/>
          <w:lang w:val="en-GB"/>
        </w:rPr>
        <w:t>.</w:t>
      </w:r>
      <w:r w:rsidR="00525049" w:rsidRPr="00024E50">
        <w:rPr>
          <w:rFonts w:ascii="Times New Roman" w:eastAsia="Arial Unicode MS" w:hAnsi="Times New Roman" w:cs="Times New Roman"/>
          <w:b/>
          <w:sz w:val="24"/>
          <w:szCs w:val="24"/>
          <w:lang w:val="en-GB"/>
        </w:rPr>
        <w:t xml:space="preserve"> </w:t>
      </w:r>
      <w:r w:rsidR="00024E50" w:rsidRPr="00024E50">
        <w:rPr>
          <w:rFonts w:ascii="Times New Roman" w:hAnsi="Times New Roman" w:cs="Times New Roman"/>
          <w:b/>
          <w:sz w:val="24"/>
          <w:szCs w:val="24"/>
          <w:lang w:val="en-GB"/>
        </w:rPr>
        <w:t>However, the clinical importan</w:t>
      </w:r>
      <w:r w:rsidR="00787E6E">
        <w:rPr>
          <w:rFonts w:ascii="Times New Roman" w:hAnsi="Times New Roman" w:cs="Times New Roman"/>
          <w:b/>
          <w:sz w:val="24"/>
          <w:szCs w:val="24"/>
          <w:lang w:val="en-GB"/>
        </w:rPr>
        <w:t>ce of increased knowledge</w:t>
      </w:r>
      <w:r w:rsidR="00024E50" w:rsidRPr="00024E50">
        <w:rPr>
          <w:rFonts w:ascii="Times New Roman" w:hAnsi="Times New Roman" w:cs="Times New Roman"/>
          <w:b/>
          <w:sz w:val="24"/>
          <w:szCs w:val="24"/>
          <w:lang w:val="en-GB"/>
        </w:rPr>
        <w:t xml:space="preserve"> needs further study. Moreover, based on the present data, there is no way of knowing whether a threshold level of knowledge </w:t>
      </w:r>
      <w:proofErr w:type="gramStart"/>
      <w:r w:rsidR="00024E50" w:rsidRPr="00024E50">
        <w:rPr>
          <w:rFonts w:ascii="Times New Roman" w:hAnsi="Times New Roman" w:cs="Times New Roman"/>
          <w:b/>
          <w:sz w:val="24"/>
          <w:szCs w:val="24"/>
          <w:lang w:val="en-GB"/>
        </w:rPr>
        <w:t>exists</w:t>
      </w:r>
      <w:proofErr w:type="gramEnd"/>
      <w:r w:rsidR="00024E50" w:rsidRPr="00024E50">
        <w:rPr>
          <w:rFonts w:ascii="Times New Roman" w:hAnsi="Times New Roman" w:cs="Times New Roman"/>
          <w:b/>
          <w:sz w:val="24"/>
          <w:szCs w:val="24"/>
          <w:lang w:val="en-GB"/>
        </w:rPr>
        <w:t xml:space="preserve"> that would be beneficial for the surgery.</w:t>
      </w:r>
      <w:r w:rsidR="00203590" w:rsidRPr="00024E50">
        <w:rPr>
          <w:rFonts w:ascii="Times New Roman" w:hAnsi="Times New Roman" w:cs="Times New Roman"/>
          <w:b/>
          <w:sz w:val="24"/>
          <w:szCs w:val="24"/>
          <w:lang w:val="en-GB"/>
        </w:rPr>
        <w:t xml:space="preserve"> </w:t>
      </w:r>
    </w:p>
    <w:p w14:paraId="20CD8FCB" w14:textId="77777777" w:rsidR="00EE220B" w:rsidRPr="00CE47DE" w:rsidRDefault="00EE220B" w:rsidP="002542A4">
      <w:pPr>
        <w:spacing w:line="480" w:lineRule="auto"/>
      </w:pPr>
    </w:p>
    <w:p w14:paraId="6120C53E" w14:textId="01B635C1" w:rsidR="00B226D8" w:rsidRPr="00CE47DE" w:rsidRDefault="00B226D8" w:rsidP="003347A5">
      <w:pPr>
        <w:spacing w:line="480" w:lineRule="auto"/>
      </w:pPr>
      <w:r w:rsidRPr="00CE47DE">
        <w:t xml:space="preserve">Our study has several strengths. According to our knowledge, this is the first randomized controlled trial on </w:t>
      </w:r>
      <w:r w:rsidR="00024E50">
        <w:t>spinal stenosis surgery patients’</w:t>
      </w:r>
      <w:r w:rsidR="007430C5" w:rsidRPr="00CE47DE">
        <w:t xml:space="preserve"> </w:t>
      </w:r>
      <w:r w:rsidRPr="00CE47DE">
        <w:t xml:space="preserve">preoperative education </w:t>
      </w:r>
      <w:r w:rsidR="007430C5" w:rsidRPr="00CE47DE">
        <w:t xml:space="preserve">covering the </w:t>
      </w:r>
      <w:proofErr w:type="gramStart"/>
      <w:r w:rsidR="007430C5" w:rsidRPr="00CE47DE">
        <w:t>whole</w:t>
      </w:r>
      <w:proofErr w:type="gramEnd"/>
      <w:r w:rsidR="007430C5" w:rsidRPr="00CE47DE">
        <w:t xml:space="preserve"> surgical pathway from preoperative phase to postoperative </w:t>
      </w:r>
      <w:r w:rsidR="00024E50">
        <w:t>follow-up</w:t>
      </w:r>
      <w:r w:rsidR="0087125E" w:rsidRPr="00CE47DE">
        <w:t>.</w:t>
      </w:r>
      <w:r w:rsidR="002B7B55" w:rsidRPr="00CE47DE">
        <w:t xml:space="preserve"> </w:t>
      </w:r>
      <w:r w:rsidR="009831CF" w:rsidRPr="00CE47DE">
        <w:t xml:space="preserve">All eligible patients </w:t>
      </w:r>
      <w:proofErr w:type="gramStart"/>
      <w:r w:rsidR="009831CF" w:rsidRPr="00CE47DE">
        <w:t>were asked</w:t>
      </w:r>
      <w:proofErr w:type="gramEnd"/>
      <w:r w:rsidR="009831CF" w:rsidRPr="00CE47DE">
        <w:t xml:space="preserve"> to participate in the study, and the study groups were comparable </w:t>
      </w:r>
      <w:r w:rsidR="002D5541">
        <w:t>in</w:t>
      </w:r>
      <w:r w:rsidR="009831CF" w:rsidRPr="00CE47DE">
        <w:t xml:space="preserve"> baseline characteristics. </w:t>
      </w:r>
      <w:r w:rsidR="002B7B55" w:rsidRPr="00CE47DE">
        <w:t xml:space="preserve">The patients and caregivers </w:t>
      </w:r>
      <w:proofErr w:type="gramStart"/>
      <w:r w:rsidR="002B7B55" w:rsidRPr="00CE47DE">
        <w:t>were blinded</w:t>
      </w:r>
      <w:proofErr w:type="gramEnd"/>
      <w:r w:rsidR="00B23478" w:rsidRPr="00CE47DE">
        <w:t>,</w:t>
      </w:r>
      <w:r w:rsidR="002B7B55" w:rsidRPr="00CE47DE">
        <w:t xml:space="preserve"> and the dropout rate (13</w:t>
      </w:r>
      <w:r w:rsidR="003D369D">
        <w:t xml:space="preserve"> </w:t>
      </w:r>
      <w:r w:rsidR="002B7B55" w:rsidRPr="00CE47DE">
        <w:t xml:space="preserve">%) was lower than </w:t>
      </w:r>
      <w:r w:rsidR="00B23478" w:rsidRPr="00CE47DE">
        <w:t xml:space="preserve">the </w:t>
      </w:r>
      <w:r w:rsidR="002B7B55" w:rsidRPr="00CE47DE">
        <w:t>sample size calculation (15</w:t>
      </w:r>
      <w:r w:rsidR="003D369D">
        <w:t xml:space="preserve"> </w:t>
      </w:r>
      <w:r w:rsidR="002B7B55" w:rsidRPr="00CE47DE">
        <w:t>%) allowed.</w:t>
      </w:r>
    </w:p>
    <w:p w14:paraId="413BC240" w14:textId="77777777" w:rsidR="00B226D8" w:rsidRPr="00CE47DE" w:rsidRDefault="00B226D8" w:rsidP="003347A5">
      <w:pPr>
        <w:spacing w:line="480" w:lineRule="auto"/>
      </w:pPr>
    </w:p>
    <w:p w14:paraId="4FDE3973" w14:textId="36BF7A78" w:rsidR="003347A5" w:rsidRPr="00CE47DE" w:rsidRDefault="003347A5" w:rsidP="003347A5">
      <w:pPr>
        <w:spacing w:line="480" w:lineRule="auto"/>
      </w:pPr>
      <w:r w:rsidRPr="00CE47DE">
        <w:lastRenderedPageBreak/>
        <w:t xml:space="preserve">The content validity of the </w:t>
      </w:r>
      <w:r w:rsidR="00DD61DC" w:rsidRPr="00CE47DE">
        <w:t>KNOWBACK Test</w:t>
      </w:r>
      <w:r w:rsidRPr="00CE47DE">
        <w:t xml:space="preserve"> </w:t>
      </w:r>
      <w:proofErr w:type="gramStart"/>
      <w:r w:rsidRPr="00CE47DE">
        <w:t>was based</w:t>
      </w:r>
      <w:proofErr w:type="gramEnd"/>
      <w:r w:rsidRPr="00CE47DE">
        <w:t xml:space="preserve"> on </w:t>
      </w:r>
      <w:r w:rsidR="00724BD4" w:rsidRPr="00CE47DE">
        <w:t xml:space="preserve">previous </w:t>
      </w:r>
      <w:r w:rsidRPr="00CE47DE">
        <w:t xml:space="preserve">literature, </w:t>
      </w:r>
      <w:r w:rsidR="00724BD4" w:rsidRPr="00CE47DE">
        <w:t xml:space="preserve">an </w:t>
      </w:r>
      <w:r w:rsidRPr="00CE47DE">
        <w:t>expert</w:t>
      </w:r>
      <w:r w:rsidR="00AD3F0B" w:rsidRPr="00CE47DE">
        <w:t xml:space="preserve"> and patient</w:t>
      </w:r>
      <w:r w:rsidR="00B226D8" w:rsidRPr="00CE47DE">
        <w:t xml:space="preserve"> panel and it </w:t>
      </w:r>
      <w:r w:rsidR="00AD5EB0">
        <w:t>was piloted in a group of spine</w:t>
      </w:r>
      <w:r w:rsidR="00B226D8" w:rsidRPr="00CE47DE">
        <w:t xml:space="preserve"> surgery patients.</w:t>
      </w:r>
      <w:r w:rsidRPr="00CE47DE">
        <w:t xml:space="preserve"> </w:t>
      </w:r>
      <w:r w:rsidR="006A76F5" w:rsidRPr="00CE47DE">
        <w:t xml:space="preserve">A moderate to strong correlation between the </w:t>
      </w:r>
      <w:r w:rsidR="00DD61DC" w:rsidRPr="00CE47DE">
        <w:t>KNOWBACK Test</w:t>
      </w:r>
      <w:r w:rsidR="006A76F5" w:rsidRPr="00CE47DE">
        <w:t xml:space="preserve"> and the Back Pain Knowledge Test was established,  which strengthened the validity of the </w:t>
      </w:r>
      <w:r w:rsidR="00DD61DC" w:rsidRPr="00CE47DE">
        <w:t>KNOWBACK Test</w:t>
      </w:r>
      <w:r w:rsidR="00E35CDF" w:rsidRPr="00CE47DE">
        <w:t xml:space="preserve"> </w:t>
      </w:r>
      <w:r w:rsidR="00E35CDF" w:rsidRPr="00CE47DE">
        <w:fldChar w:fldCharType="begin" w:fldLock="1"/>
      </w:r>
      <w:r w:rsidR="0068258A">
        <w:instrText>ADDIN CSL_CITATION { "citationItems" : [ { "id" : "ITEM-1", "itemData" : { "author" : [ { "dropping-particle" : "", "family" : "Grove", "given" : "Susan K", "non-dropping-particle" : "", "parse-names" : false, "suffix" : "" }, { "dropping-particle" : "", "family" : "Burns", "given" : "Nancy", "non-dropping-particle" : "", "parse-names" : false, "suffix" : "" }, { "dropping-particle" : "", "family" : "Gray", "given" : "Jennifer R", "non-dropping-particle" : "", "parse-names" : false, "suffix" : "" } ], "edition" : "7th", "id" : "ITEM-1", "issued" : { "date-parts" : [ [ "2013" ] ] }, "publisher" : "Elsevier Saunders", "publisher-place" : "St Louis", "title" : "The practice of nursing research: appraisal, synthesis, and generation of evidence", "type" : "book" }, "uris" : [ "http://www.mendeley.com/documents/?uuid=35b34f9e-872c-49d7-8244-bd45af1631c4" ] } ], "mendeley" : { "formattedCitation" : "[52]", "plainTextFormattedCitation" : "[52]", "previouslyFormattedCitation" : "[52]" }, "properties" : { "noteIndex" : 0 }, "schema" : "https://github.com/citation-style-language/schema/raw/master/csl-citation.json" }</w:instrText>
      </w:r>
      <w:r w:rsidR="00E35CDF" w:rsidRPr="00CE47DE">
        <w:fldChar w:fldCharType="separate"/>
      </w:r>
      <w:r w:rsidR="004A0CB7" w:rsidRPr="004A0CB7">
        <w:rPr>
          <w:noProof/>
        </w:rPr>
        <w:t>[52]</w:t>
      </w:r>
      <w:r w:rsidR="00E35CDF" w:rsidRPr="00CE47DE">
        <w:fldChar w:fldCharType="end"/>
      </w:r>
      <w:r w:rsidR="006A76F5" w:rsidRPr="00CE47DE">
        <w:t>.</w:t>
      </w:r>
      <w:r w:rsidR="00073516" w:rsidRPr="00CE47DE">
        <w:t xml:space="preserve"> </w:t>
      </w:r>
      <w:r w:rsidRPr="00CE47DE">
        <w:t xml:space="preserve">The reliability of the </w:t>
      </w:r>
      <w:r w:rsidR="00DD61DC" w:rsidRPr="00CE47DE">
        <w:t>KNOWBACK Test</w:t>
      </w:r>
      <w:r w:rsidRPr="00CE47DE">
        <w:t xml:space="preserve"> </w:t>
      </w:r>
      <w:proofErr w:type="gramStart"/>
      <w:r w:rsidRPr="00CE47DE">
        <w:t>was assessed</w:t>
      </w:r>
      <w:proofErr w:type="gramEnd"/>
      <w:r w:rsidRPr="00CE47DE">
        <w:t xml:space="preserve"> using Cronbach’s alpha coefficient for</w:t>
      </w:r>
      <w:r w:rsidR="00724BD4" w:rsidRPr="00CE47DE">
        <w:t xml:space="preserve"> the</w:t>
      </w:r>
      <w:r w:rsidRPr="00CE47DE">
        <w:t xml:space="preserve"> total scale. The alpha was 0.6 in the T0 measure of </w:t>
      </w:r>
      <w:r w:rsidR="00BB1F38">
        <w:t xml:space="preserve">the </w:t>
      </w:r>
      <w:r w:rsidR="00903243" w:rsidRPr="00CE47DE">
        <w:t>IG</w:t>
      </w:r>
      <w:r w:rsidR="00724BD4" w:rsidRPr="00CE47DE">
        <w:t>,</w:t>
      </w:r>
      <w:r w:rsidRPr="00CE47DE">
        <w:t xml:space="preserve"> and in all other measure points the alpha ranged from 0.7 to 0.8 which can be considered acceptable for a newly developed instrument </w:t>
      </w:r>
      <w:r w:rsidRPr="00CE47DE">
        <w:fldChar w:fldCharType="begin" w:fldLock="1"/>
      </w:r>
      <w:r w:rsidR="0068258A">
        <w:instrText>ADDIN CSL_CITATION { "citationItems" : [ { "id" : "ITEM-1", "itemData" : { "author" : [ { "dropping-particle" : "", "family" : "Grove", "given" : "Susan K", "non-dropping-particle" : "", "parse-names" : false, "suffix" : "" }, { "dropping-particle" : "", "family" : "Burns", "given" : "Nancy", "non-dropping-particle" : "", "parse-names" : false, "suffix" : "" }, { "dropping-particle" : "", "family" : "Gray", "given" : "Jennifer R", "non-dropping-particle" : "", "parse-names" : false, "suffix" : "" } ], "edition" : "7th", "id" : "ITEM-1", "issued" : { "date-parts" : [ [ "2013" ] ] }, "publisher" : "Elsevier Saunders", "publisher-place" : "St Louis", "title" : "The practice of nursing research: appraisal, synthesis, and generation of evidence", "type" : "book" }, "uris" : [ "http://www.mendeley.com/documents/?uuid=35b34f9e-872c-49d7-8244-bd45af1631c4" ] } ], "mendeley" : { "formattedCitation" : "[52]", "plainTextFormattedCitation" : "[52]", "previouslyFormattedCitation" : "[52]" }, "properties" : { "noteIndex" : 0 }, "schema" : "https://github.com/citation-style-language/schema/raw/master/csl-citation.json" }</w:instrText>
      </w:r>
      <w:r w:rsidRPr="00CE47DE">
        <w:fldChar w:fldCharType="separate"/>
      </w:r>
      <w:r w:rsidR="004A0CB7" w:rsidRPr="004A0CB7">
        <w:rPr>
          <w:noProof/>
        </w:rPr>
        <w:t>[52]</w:t>
      </w:r>
      <w:r w:rsidRPr="00CE47DE">
        <w:fldChar w:fldCharType="end"/>
      </w:r>
      <w:r w:rsidRPr="00CE47DE">
        <w:t xml:space="preserve">. </w:t>
      </w:r>
      <w:r w:rsidR="00724BD4" w:rsidRPr="00CE47DE">
        <w:t>However, t</w:t>
      </w:r>
      <w:r w:rsidRPr="00CE47DE">
        <w:t xml:space="preserve">he </w:t>
      </w:r>
      <w:r w:rsidR="00DD61DC" w:rsidRPr="00CE47DE">
        <w:t>KNOWBACK Test</w:t>
      </w:r>
      <w:r w:rsidRPr="00CE47DE">
        <w:t xml:space="preserve"> needs </w:t>
      </w:r>
      <w:r w:rsidR="00E361AF" w:rsidRPr="00CE47DE">
        <w:t xml:space="preserve">further </w:t>
      </w:r>
      <w:r w:rsidR="00E361AF" w:rsidRPr="00CE47DE">
        <w:rPr>
          <w:rFonts w:eastAsia="Arial Unicode MS" w:cs="Arial Unicode MS"/>
        </w:rPr>
        <w:t xml:space="preserve">development especially regarding the experiential subscale. </w:t>
      </w:r>
    </w:p>
    <w:p w14:paraId="1B4EC406" w14:textId="77777777" w:rsidR="003347A5" w:rsidRPr="00CE47DE" w:rsidRDefault="003347A5" w:rsidP="003347A5">
      <w:pPr>
        <w:spacing w:line="480" w:lineRule="auto"/>
      </w:pPr>
    </w:p>
    <w:p w14:paraId="5A5A8A92" w14:textId="1CA651A8" w:rsidR="001C6CA9" w:rsidRPr="00CE47DE" w:rsidRDefault="00FA26B0" w:rsidP="00A4263F">
      <w:pPr>
        <w:spacing w:line="480" w:lineRule="auto"/>
      </w:pPr>
      <w:r w:rsidRPr="00CE47DE">
        <w:t xml:space="preserve">The usability of the KTFI </w:t>
      </w:r>
      <w:proofErr w:type="gramStart"/>
      <w:r w:rsidRPr="00CE47DE">
        <w:t>was based</w:t>
      </w:r>
      <w:proofErr w:type="gramEnd"/>
      <w:r w:rsidRPr="00CE47DE">
        <w:t xml:space="preserve"> on previous literature, an expert panel, and a pilot test with two patients. One nurse </w:t>
      </w:r>
      <w:r w:rsidR="002925CF">
        <w:t>train</w:t>
      </w:r>
      <w:r w:rsidRPr="00CE47DE">
        <w:t>ed in the KTFI conducted all the interventions to minimize the possibility of variation. Although the process itself seemed to work well there was variation in the time between the intervention and the operation</w:t>
      </w:r>
      <w:r w:rsidR="002925CF">
        <w:t xml:space="preserve"> </w:t>
      </w:r>
      <w:r w:rsidR="002925CF" w:rsidRPr="00DF36A8">
        <w:t>(range 3-35 days</w:t>
      </w:r>
      <w:r w:rsidR="002925CF">
        <w:t>)</w:t>
      </w:r>
      <w:r w:rsidR="009B1B63" w:rsidRPr="00CE47DE">
        <w:t>,</w:t>
      </w:r>
      <w:r w:rsidRPr="00CE47DE">
        <w:t xml:space="preserve"> mainly due to a short waiting list</w:t>
      </w:r>
      <w:r w:rsidR="00AD5EB0">
        <w:t xml:space="preserve"> </w:t>
      </w:r>
      <w:r w:rsidR="00AD5EB0" w:rsidRPr="00AD5EB0">
        <w:rPr>
          <w:b/>
        </w:rPr>
        <w:t>with frequent changes</w:t>
      </w:r>
      <w:r w:rsidRPr="00CE47DE">
        <w:t xml:space="preserve">. Thus, the results of the study </w:t>
      </w:r>
      <w:proofErr w:type="gramStart"/>
      <w:r w:rsidRPr="00CE47DE">
        <w:t>cannot be used</w:t>
      </w:r>
      <w:proofErr w:type="gramEnd"/>
      <w:r w:rsidRPr="00CE47DE">
        <w:t xml:space="preserve"> to determine the optimal timing for preoperative patient education</w:t>
      </w:r>
      <w:r w:rsidR="009A42C8" w:rsidRPr="00CE47DE">
        <w:t>.</w:t>
      </w:r>
    </w:p>
    <w:p w14:paraId="4B542494" w14:textId="77777777" w:rsidR="008024AF" w:rsidRPr="00CE47DE" w:rsidRDefault="008024AF" w:rsidP="00A4263F">
      <w:pPr>
        <w:spacing w:line="480" w:lineRule="auto"/>
      </w:pPr>
    </w:p>
    <w:p w14:paraId="3D281C79" w14:textId="2E06481F" w:rsidR="00AA5069" w:rsidRPr="00CE47DE" w:rsidRDefault="006C4502" w:rsidP="00AA5069">
      <w:pPr>
        <w:spacing w:line="480" w:lineRule="auto"/>
      </w:pPr>
      <w:r w:rsidRPr="00CE47DE">
        <w:t xml:space="preserve">Our study has some limitations. </w:t>
      </w:r>
      <w:r w:rsidR="002925CF" w:rsidRPr="002925CF">
        <w:rPr>
          <w:b/>
        </w:rPr>
        <w:t xml:space="preserve">The same test (KNOWBACK Test) </w:t>
      </w:r>
      <w:proofErr w:type="gramStart"/>
      <w:r w:rsidR="002925CF" w:rsidRPr="002925CF">
        <w:rPr>
          <w:b/>
        </w:rPr>
        <w:t>was used</w:t>
      </w:r>
      <w:proofErr w:type="gramEnd"/>
      <w:r w:rsidR="002925CF" w:rsidRPr="002925CF">
        <w:rPr>
          <w:b/>
        </w:rPr>
        <w:t xml:space="preserve"> first to measure the baseline knowledge level and then repeatedly as an outcome measure, which might have increased the risk of recall bias</w:t>
      </w:r>
      <w:r w:rsidRPr="002925CF">
        <w:rPr>
          <w:b/>
        </w:rPr>
        <w:t>.</w:t>
      </w:r>
      <w:r w:rsidRPr="00CE47DE">
        <w:t xml:space="preserve"> A minimum period of two weeks has been recommended between the retake of a test to avoid remembering the answers rather than understanding the issues </w:t>
      </w:r>
      <w:r w:rsidR="00AA5069" w:rsidRPr="00CE47DE">
        <w:fldChar w:fldCharType="begin" w:fldLock="1"/>
      </w:r>
      <w:r w:rsidR="0068258A">
        <w:instrText>ADDIN CSL_CITATION { "citationItems" : [ { "id" : "ITEM-1", "itemData" : { "author" : [ { "dropping-particle" : "", "family" : "Grove", "given" : "Susan K", "non-dropping-particle" : "", "parse-names" : false, "suffix" : "" }, { "dropping-particle" : "", "family" : "Burns", "given" : "Nancy", "non-dropping-particle" : "", "parse-names" : false, "suffix" : "" }, { "dropping-particle" : "", "family" : "Gray", "given" : "Jennifer R", "non-dropping-particle" : "", "parse-names" : false, "suffix" : "" } ], "edition" : "7th", "id" : "ITEM-1", "issued" : { "date-parts" : [ [ "2013" ] ] }, "publisher" : "Elsevier Saunders", "publisher-place" : "St Louis", "title" : "The practice of nursing research: appraisal, synthesis, and generation of evidence", "type" : "book" }, "uris" : [ "http://www.mendeley.com/documents/?uuid=35b34f9e-872c-49d7-8244-bd45af1631c4" ] } ], "mendeley" : { "formattedCitation" : "[52]", "plainTextFormattedCitation" : "[52]", "previouslyFormattedCitation" : "[52]" }, "properties" : { "noteIndex" : 0 }, "schema" : "https://github.com/citation-style-language/schema/raw/master/csl-citation.json" }</w:instrText>
      </w:r>
      <w:r w:rsidR="00AA5069" w:rsidRPr="00CE47DE">
        <w:fldChar w:fldCharType="separate"/>
      </w:r>
      <w:r w:rsidR="004A0CB7" w:rsidRPr="004A0CB7">
        <w:rPr>
          <w:noProof/>
        </w:rPr>
        <w:t>[52]</w:t>
      </w:r>
      <w:r w:rsidR="00AA5069" w:rsidRPr="00CE47DE">
        <w:fldChar w:fldCharType="end"/>
      </w:r>
      <w:r w:rsidR="00AA5069" w:rsidRPr="00CE47DE">
        <w:t xml:space="preserve">. </w:t>
      </w:r>
      <w:r w:rsidRPr="00CE47DE">
        <w:t xml:space="preserve">As our study </w:t>
      </w:r>
      <w:proofErr w:type="gramStart"/>
      <w:r w:rsidRPr="00CE47DE">
        <w:t>was conducted</w:t>
      </w:r>
      <w:proofErr w:type="gramEnd"/>
      <w:r w:rsidRPr="00CE47DE">
        <w:t xml:space="preserve"> in </w:t>
      </w:r>
      <w:r w:rsidR="007A6732" w:rsidRPr="00CE47DE">
        <w:t>a clinical setting</w:t>
      </w:r>
      <w:r w:rsidRPr="00CE47DE">
        <w:t xml:space="preserve">, we could not control </w:t>
      </w:r>
      <w:r w:rsidR="008A2A80" w:rsidRPr="00CE47DE">
        <w:t xml:space="preserve">the time interval between the test and </w:t>
      </w:r>
      <w:r w:rsidR="009B1B63" w:rsidRPr="00CE47DE">
        <w:t xml:space="preserve">the </w:t>
      </w:r>
      <w:r w:rsidR="008A2A80" w:rsidRPr="00CE47DE">
        <w:t>re-test (T0 and T1)</w:t>
      </w:r>
      <w:r w:rsidRPr="00CE47DE">
        <w:t xml:space="preserve">. </w:t>
      </w:r>
      <w:r w:rsidR="008A2A80" w:rsidRPr="00CE47DE">
        <w:t>Nevertheless</w:t>
      </w:r>
      <w:r w:rsidRPr="00CE47DE">
        <w:t xml:space="preserve">, the knowledge level remained stable in both study groups during follow-up, </w:t>
      </w:r>
      <w:r w:rsidR="002925CF">
        <w:t>which would suggest</w:t>
      </w:r>
      <w:r w:rsidRPr="00CE47DE">
        <w:t xml:space="preserve"> </w:t>
      </w:r>
      <w:r w:rsidR="002925CF">
        <w:t xml:space="preserve">that </w:t>
      </w:r>
      <w:r w:rsidRPr="00CE47DE">
        <w:t xml:space="preserve">the variation in the time interval between the intervention and T1 </w:t>
      </w:r>
      <w:proofErr w:type="gramStart"/>
      <w:r w:rsidRPr="00CE47DE">
        <w:t>may</w:t>
      </w:r>
      <w:proofErr w:type="gramEnd"/>
      <w:r w:rsidRPr="00CE47DE">
        <w:t xml:space="preserve"> not have affected the outcome</w:t>
      </w:r>
      <w:r w:rsidR="007A6732">
        <w:t>.</w:t>
      </w:r>
    </w:p>
    <w:p w14:paraId="0D9B946C" w14:textId="77777777" w:rsidR="00B06AAF" w:rsidRPr="00CE47DE" w:rsidRDefault="00B06AAF" w:rsidP="00AA5069">
      <w:pPr>
        <w:spacing w:line="480" w:lineRule="auto"/>
      </w:pPr>
    </w:p>
    <w:p w14:paraId="25731CD9" w14:textId="0FCE45B9" w:rsidR="00EE220B" w:rsidRPr="00CE47DE" w:rsidRDefault="005F4EBC" w:rsidP="00BC105E">
      <w:pPr>
        <w:pStyle w:val="Oletus"/>
        <w:spacing w:line="480" w:lineRule="auto"/>
        <w:rPr>
          <w:rFonts w:ascii="Times New Roman" w:hAnsi="Times New Roman" w:cs="Times New Roman"/>
          <w:sz w:val="24"/>
          <w:szCs w:val="24"/>
          <w:lang w:val="en-GB"/>
        </w:rPr>
      </w:pPr>
      <w:r w:rsidRPr="00CE47DE">
        <w:rPr>
          <w:rFonts w:ascii="Times New Roman" w:hAnsi="Times New Roman" w:cs="Times New Roman"/>
          <w:sz w:val="24"/>
          <w:szCs w:val="24"/>
          <w:lang w:val="en-GB"/>
        </w:rPr>
        <w:lastRenderedPageBreak/>
        <w:t xml:space="preserve">Patient contamination (information from sources outside the study </w:t>
      </w:r>
      <w:r w:rsidR="00AD5EB0">
        <w:rPr>
          <w:rFonts w:ascii="Times New Roman" w:hAnsi="Times New Roman" w:cs="Times New Roman"/>
          <w:sz w:val="24"/>
          <w:szCs w:val="24"/>
          <w:lang w:val="en-GB"/>
        </w:rPr>
        <w:t>framework</w:t>
      </w:r>
      <w:r w:rsidRPr="00CE47DE">
        <w:rPr>
          <w:rFonts w:ascii="Times New Roman" w:hAnsi="Times New Roman" w:cs="Times New Roman"/>
          <w:sz w:val="24"/>
          <w:szCs w:val="24"/>
          <w:lang w:val="en-GB"/>
        </w:rPr>
        <w:t xml:space="preserve">) </w:t>
      </w:r>
      <w:proofErr w:type="gramStart"/>
      <w:r w:rsidRPr="00CE47DE">
        <w:rPr>
          <w:rFonts w:ascii="Times New Roman" w:hAnsi="Times New Roman" w:cs="Times New Roman"/>
          <w:sz w:val="24"/>
          <w:szCs w:val="24"/>
          <w:lang w:val="en-GB"/>
        </w:rPr>
        <w:t>could not be controlled</w:t>
      </w:r>
      <w:proofErr w:type="gramEnd"/>
      <w:r w:rsidRPr="00CE47DE">
        <w:rPr>
          <w:rFonts w:ascii="Times New Roman" w:hAnsi="Times New Roman" w:cs="Times New Roman"/>
          <w:sz w:val="24"/>
          <w:szCs w:val="24"/>
          <w:lang w:val="en-GB"/>
        </w:rPr>
        <w:t xml:space="preserve"> as t</w:t>
      </w:r>
      <w:r w:rsidR="006C4502" w:rsidRPr="00CE47DE">
        <w:rPr>
          <w:rFonts w:ascii="Times New Roman" w:hAnsi="Times New Roman" w:cs="Times New Roman"/>
          <w:sz w:val="24"/>
          <w:szCs w:val="24"/>
          <w:lang w:val="en-GB"/>
        </w:rPr>
        <w:t>he</w:t>
      </w:r>
      <w:r w:rsidR="00F95C00" w:rsidRPr="00CE47DE">
        <w:rPr>
          <w:rFonts w:ascii="Times New Roman" w:hAnsi="Times New Roman" w:cs="Times New Roman"/>
          <w:sz w:val="24"/>
          <w:szCs w:val="24"/>
          <w:lang w:val="en-GB"/>
        </w:rPr>
        <w:t xml:space="preserve"> patients</w:t>
      </w:r>
      <w:r w:rsidR="006C4502" w:rsidRPr="00CE47DE">
        <w:rPr>
          <w:rFonts w:ascii="Times New Roman" w:hAnsi="Times New Roman" w:cs="Times New Roman"/>
          <w:sz w:val="24"/>
          <w:szCs w:val="24"/>
          <w:lang w:val="en-GB"/>
        </w:rPr>
        <w:t xml:space="preserve"> had the corrected </w:t>
      </w:r>
      <w:r w:rsidR="00DD61DC" w:rsidRPr="00CE47DE">
        <w:rPr>
          <w:rFonts w:ascii="Times New Roman" w:hAnsi="Times New Roman" w:cs="Times New Roman"/>
          <w:sz w:val="24"/>
          <w:szCs w:val="24"/>
          <w:lang w:val="en-GB"/>
        </w:rPr>
        <w:t>KNOWBACK Test</w:t>
      </w:r>
      <w:r w:rsidR="006C4502" w:rsidRPr="00CE47DE">
        <w:rPr>
          <w:rFonts w:ascii="Times New Roman" w:hAnsi="Times New Roman" w:cs="Times New Roman"/>
          <w:sz w:val="24"/>
          <w:szCs w:val="24"/>
          <w:lang w:val="en-GB"/>
        </w:rPr>
        <w:t xml:space="preserve"> at their disposal, and may have consulted </w:t>
      </w:r>
      <w:r w:rsidR="00BC105E" w:rsidRPr="00CE47DE">
        <w:rPr>
          <w:rFonts w:ascii="Times New Roman" w:eastAsia="Arial Unicode MS" w:hAnsi="Times New Roman" w:cs="Times New Roman"/>
          <w:sz w:val="24"/>
          <w:szCs w:val="24"/>
          <w:lang w:val="en-GB"/>
        </w:rPr>
        <w:t>other information sources for further learning.</w:t>
      </w:r>
      <w:r w:rsidRPr="00CE47DE">
        <w:rPr>
          <w:rFonts w:ascii="Times New Roman" w:hAnsi="Times New Roman" w:cs="Times New Roman"/>
          <w:lang w:val="en-GB"/>
        </w:rPr>
        <w:t xml:space="preserve"> </w:t>
      </w:r>
      <w:r w:rsidR="00BC105E" w:rsidRPr="00CE47DE">
        <w:rPr>
          <w:rFonts w:ascii="Times New Roman" w:eastAsia="Arial Unicode MS" w:hAnsi="Times New Roman" w:cs="Times New Roman"/>
          <w:sz w:val="24"/>
          <w:szCs w:val="24"/>
          <w:lang w:val="en-GB"/>
        </w:rPr>
        <w:t xml:space="preserve">However, this is the basic idea behind </w:t>
      </w:r>
      <w:r w:rsidR="002E6062">
        <w:rPr>
          <w:rFonts w:ascii="Times New Roman" w:eastAsia="Arial Unicode MS" w:hAnsi="Times New Roman" w:cs="Times New Roman"/>
          <w:sz w:val="24"/>
          <w:szCs w:val="24"/>
          <w:lang w:val="en-GB"/>
        </w:rPr>
        <w:t>EPE</w:t>
      </w:r>
      <w:r w:rsidR="00BC105E" w:rsidRPr="00CE47DE">
        <w:rPr>
          <w:rFonts w:ascii="Times New Roman" w:eastAsia="Arial Unicode MS" w:hAnsi="Times New Roman" w:cs="Times New Roman"/>
          <w:sz w:val="24"/>
          <w:szCs w:val="24"/>
          <w:lang w:val="en-GB"/>
        </w:rPr>
        <w:t>; individual information s</w:t>
      </w:r>
      <w:r w:rsidR="002447A5">
        <w:rPr>
          <w:rFonts w:ascii="Times New Roman" w:eastAsia="Arial Unicode MS" w:hAnsi="Times New Roman" w:cs="Times New Roman"/>
          <w:sz w:val="24"/>
          <w:szCs w:val="24"/>
          <w:lang w:val="en-GB"/>
        </w:rPr>
        <w:t>earching is encouraged, and</w:t>
      </w:r>
      <w:r w:rsidR="00BC105E" w:rsidRPr="00CE47DE">
        <w:rPr>
          <w:rFonts w:ascii="Times New Roman" w:eastAsia="Arial Unicode MS" w:hAnsi="Times New Roman" w:cs="Times New Roman"/>
          <w:sz w:val="24"/>
          <w:szCs w:val="24"/>
          <w:lang w:val="en-GB"/>
        </w:rPr>
        <w:t xml:space="preserve"> the KNOWBACK Test may have acted as an educational checklist.</w:t>
      </w:r>
      <w:r w:rsidRPr="00CE47DE">
        <w:rPr>
          <w:rFonts w:ascii="Times New Roman" w:eastAsia="Arial Unicode MS" w:hAnsi="Times New Roman" w:cs="Times New Roman"/>
          <w:sz w:val="24"/>
          <w:szCs w:val="24"/>
          <w:lang w:val="en-GB"/>
        </w:rPr>
        <w:t xml:space="preserve"> </w:t>
      </w:r>
    </w:p>
    <w:p w14:paraId="2AC737B7" w14:textId="77777777" w:rsidR="006C4502" w:rsidRPr="00CE47DE" w:rsidRDefault="006C4502" w:rsidP="00AA5069">
      <w:pPr>
        <w:spacing w:line="480" w:lineRule="auto"/>
      </w:pPr>
    </w:p>
    <w:p w14:paraId="014A3ABD" w14:textId="33D3101A" w:rsidR="005F4C84" w:rsidRPr="00CE47DE" w:rsidRDefault="006C4502" w:rsidP="00013A91">
      <w:pPr>
        <w:spacing w:line="480" w:lineRule="auto"/>
      </w:pPr>
      <w:r w:rsidRPr="00CE47DE">
        <w:t>Possible bias arise</w:t>
      </w:r>
      <w:r w:rsidR="00F95C00" w:rsidRPr="00CE47DE">
        <w:t>s</w:t>
      </w:r>
      <w:r w:rsidRPr="00CE47DE">
        <w:t xml:space="preserve"> from the fact that our patients were slightly younger than patients with lumbar spinal stenosis in previous studies</w:t>
      </w:r>
      <w:r w:rsidR="00B85F2C" w:rsidRPr="00CE47DE">
        <w:t xml:space="preserve"> </w:t>
      </w:r>
      <w:r w:rsidR="00DC3BD0" w:rsidRPr="00CE47DE">
        <w:fldChar w:fldCharType="begin" w:fldLock="1"/>
      </w:r>
      <w:r w:rsidR="0068258A">
        <w:instrText>ADDIN CSL_CITATION { "citationItems" : [ { "id" : "ITEM-1", "itemData" : { "DOI" : "10.1007/s00586-013-2758-9", "ISBN" : "9789198072235", "ISSN" : "09406719", "PMID" : "23575657", "abstract" : "INTRODUCTION: Swespine, the Swedish National Spine Register, has existed for 20 years and is in general use within the country since over 10 years regarding degenerative lumbar spine disorders. Today there are protocols for registering all disorders of the entire spinal column.\\n\\nMATERIALS AND METHODS: Patient-based pre- and postoperative questionnaires, completed before surgery and at 1, 2, 5 and 10 years postoperatively. Among patient-based data are VAS pain, ODI, SF-36 and EQ-5D. Postoperatively evaluation of leg and back pain as compared to preoperatively (\"global assessment\"), overall satisfaction with outcome and working conditions are registered in addition to the same parameters as preoperatively evaluation. A yearly report is produced including an analytic part of a certain topic, in this issue disc prosthesis surgery. More than 75,000 surgically treated patients are registered to date with an increasing number yearly. The present report includes 7,285 patients; 1-, 2- and 5-year follow-up data of previously operated patients are also included for lumbar disorders as well as for disc prosthesis surgery.\\n\\nRESULTS: For the degenerative lumbar spine disorders (disc herniation, spinal stenosis, spondylolisthesis and DDD) significant improvements are seen in all aspects as exemplified by pronounced improvement regarding EQ-5D and ODI. Results seem to be stable over time. Spinal stenosis is the most common indication for spine surgery. Disc prosthesis surgery yields results on a par with fusion surgery in disc degenerative pain. The utility of spine surgery is well documented by the results.\\n\\nCONCLUSION: Results of spine surgery as documented on a national basis can be utilized for quality assurance and quality improvement as well as for research purposes, documenting changes over time and bench marking when introducing new surgical techniques. A basis for international comparisons is also laid.", "author" : [ { "dropping-particle" : "", "family" : "Str\u00f6mqvist", "given" : "Bjorn", "non-dropping-particle" : "", "parse-names" : false, "suffix" : "" }, { "dropping-particle" : "", "family" : "Fritzell", "given" : "Peter", "non-dropping-particle" : "", "parse-names" : false, "suffix" : "" }, { "dropping-particle" : "", "family" : "H\u00e4gg", "given" : "Olle", "non-dropping-particle" : "", "parse-names" : false, "suffix" : "" }, { "dropping-particle" : "", "family" : "J\u00f6nsson", "given" : "Bo", "non-dropping-particle" : "", "parse-names" : false, "suffix" : "" }, { "dropping-particle" : "", "family" : "Sand\u00e9n", "given" : "Bengt", "non-dropping-particle" : "", "parse-names" : false, "suffix" : "" } ], "container-title" : "European Spine Journal", "id" : "ITEM-1", "issue" : "4", "issued" : { "date-parts" : [ [ "2013" ] ] }, "page" : "953-974", "title" : "Swespine: The Swedish spine register the 2012 report", "type" : "article-journal", "volume" : "22" }, "uris" : [ "http://www.mendeley.com/documents/?uuid=ec8184e6-2ff8-4db7-a536-4ec742f8202c" ] }, { "id" : "ITEM-2", "itemData" : { "DOI" : "10.1097/BRS.0b013e3182055c1e", "ISSN" : "1528-1159", "PMID" : "21358485", "abstract" : "STUDY DESIGN: Secondary analysis within a large clinical trial. OBJECTIVE: To evaluate the changes in treatment preference before and after watching a video decision aid as part of an informed consent process. SUMMARY OF BACKGROUND DATA: A randomized trial with a similar decision aid in herniated disc patients had shown decreased rate of surgery in the video group, but the effect of the video on expressed preferences is not known. METHODS: Subjects enrolling in the Spine Patient Outcomes Research Trial (SPORT) with intervertebral disc herniation, spinal stenosis, or degenerative spondylolisthesis at 13 multidisciplinary spine centers across the United States were given an evidence-based videotape decision aid viewed prior to enrollment as part of informed consent. RESULTS: Of the 2505 patients, 86% (n = 2151) watched the video and 14% (n = 354) did not. Watchers shifted their preference more often than nonwatchers (37.9% vs. 20.8%, P &lt; 0.0001) and more often demonstrated a strengthened preference (26.2% vs. 11.1%, P &lt; 0.0001). Among the 806 patients whose preference shifted after watching the video, 55% shifted toward surgery (P = 0.003). Among the 617 who started with no preference, after the video 27% preferred nonoperative care, 22% preferred surgery, and 51% remained uncertain. CONCLUSION: After watching the evidence-based patient decision aid (video) used in SPORT, patients with specific lumbar spine disorders formed and/or strengthened their treatment preferences in a balanced way that did not appear biased toward or away from surgery.", "author" : [ { "dropping-particle" : "", "family" : "Lurie", "given" : "Jon D", "non-dropping-particle" : "", "parse-names" : false, "suffix" : "" }, { "dropping-particle" : "", "family" : "Spratt", "given" : "Kevin F", "non-dropping-particle" : "", "parse-names" : false, "suffix" : "" }, { "dropping-particle" : "", "family" : "Blood", "given" : "Emily A", "non-dropping-particle" : "", "parse-names" : false, "suffix" : "" }, { "dropping-particle" : "", "family" : "Tosteson", "given" : "Tor D", "non-dropping-particle" : "", "parse-names" : false, "suffix" : "" }, { "dropping-particle" : "", "family" : "Tosteson", "given" : "Anna N A", "non-dropping-particle" : "", "parse-names" : false, "suffix" : "" }, { "dropping-particle" : "", "family" : "Weinstein", "given" : "James N", "non-dropping-particle" : "", "parse-names" : false, "suffix" : "" } ], "container-title" : "Spine", "id" : "ITEM-2", "issue" : "18", "issued" : { "date-parts" : [ [ "2011", "8", "15" ] ] }, "page" : "1501-1504", "title" : "Effects of viewing an evidence-based video decision aid on patients' treatment preferences for spine surgery", "type" : "article-journal", "volume" : "36" }, "uris" : [ "http://www.mendeley.com/documents/?uuid=4a28f4d4-403e-4ac3-b526-bd710019b77d" ] } ], "mendeley" : { "formattedCitation" : "[16,53]", "plainTextFormattedCitation" : "[16,53]", "previouslyFormattedCitation" : "[16,53]" }, "properties" : { "noteIndex" : 0 }, "schema" : "https://github.com/citation-style-language/schema/raw/master/csl-citation.json" }</w:instrText>
      </w:r>
      <w:r w:rsidR="00DC3BD0" w:rsidRPr="00CE47DE">
        <w:fldChar w:fldCharType="separate"/>
      </w:r>
      <w:r w:rsidR="004A0CB7" w:rsidRPr="004A0CB7">
        <w:rPr>
          <w:noProof/>
        </w:rPr>
        <w:t>[16,53]</w:t>
      </w:r>
      <w:r w:rsidR="00DC3BD0" w:rsidRPr="00CE47DE">
        <w:fldChar w:fldCharType="end"/>
      </w:r>
      <w:r w:rsidRPr="00CE47DE">
        <w:t xml:space="preserve">. In our patient group, female gender was overrepresented due to higher prevalence of lumbar spinal stenosis in females </w:t>
      </w:r>
      <w:r w:rsidR="00EA0FAE" w:rsidRPr="00CE47DE">
        <w:t>compared to</w:t>
      </w:r>
      <w:r w:rsidRPr="00CE47DE">
        <w:t xml:space="preserve"> males</w:t>
      </w:r>
      <w:r w:rsidR="00B25DF9" w:rsidRPr="00CE47DE">
        <w:t xml:space="preserve"> </w:t>
      </w:r>
      <w:r w:rsidR="00B25DF9" w:rsidRPr="00CE47DE">
        <w:fldChar w:fldCharType="begin" w:fldLock="1"/>
      </w:r>
      <w:r w:rsidR="0068258A">
        <w:instrText>ADDIN CSL_CITATION { "citationItems" : [ { "id" : "ITEM-1", "itemData" : { "DOI" : "10.1155/2013/590652", "ISSN" : "1537-744X", "PMID" : "24453878", "abstract" : "Lumbar spinal stenosis (LSS) is common in the elderly. However, there have been few reports on its impact on quality of life (QoL) in community-dwelling individuals. The purpose of this study was to clarify how symptomatic LSS affects QoL at the community level. A total of 1862 people (697 males and 1165 females, most subjects were between 40 and 85 y.o.) agreed to participate and were interviewed. The presence of symptomatic LSS was assessed by a specially designed questionnaire. The Medical Outcomes Study 36-Item Short Form Health Survey (SF-36) was also administered. In addition, the presence of comorbid conditions that affect QoL, such as osteoarthritis of the knee and hip, cardiovascular disease, cerebrovascular disease, or respiratory disease, was also analyzed. The prevalence of symptomatic LSS gradually increased with age. Furthermore, the presence of symptomatic LSS had a strong negative effect on all 8 physical and mental domains and the physical component summary (PCS) (OR: 1.547-2.544) but not the mental component summary (MCS). In comparison with comorbid conditions, LSS had a much stronger negative impact on health-related QoL (HR-QoL). The current study confirmed that the presence of symptomatic LSS might have a strong negative influence on HR-QoL in the community setting.", "author" : [ { "dropping-particle" : "", "family" : "Otani", "given" : "Koji", "non-dropping-particle" : "", "parse-names" : false, "suffix" : "" }, { "dropping-particle" : "", "family" : "Kikuchi", "given" : "Shinichi", "non-dropping-particle" : "", "parse-names" : false, "suffix" : "" }, { "dropping-particle" : "", "family" : "Yabuki", "given" : "Shoji", "non-dropping-particle" : "", "parse-names" : false, "suffix" : "" }, { "dropping-particle" : "", "family" : "Igarashi", "given" : "Tamaki", "non-dropping-particle" : "", "parse-names" : false, "suffix" : "" }, { "dropping-particle" : "", "family" : "Nikaido", "given" : "Takuya", "non-dropping-particle" : "", "parse-names" : false, "suffix" : "" }, { "dropping-particle" : "", "family" : "Watanabe", "given" : "Kazuyuki", "non-dropping-particle" : "", "parse-names" : false, "suffix" : "" }, { "dropping-particle" : "", "family" : "Konno", "given" : "Shinichi", "non-dropping-particle" : "", "parse-names" : false, "suffix" : "" } ], "container-title" : "TheScientificWorldJournal", "id" : "ITEM-1", "issued" : { "date-parts" : [ [ "2013", "1" ] ] }, "page" : "Article ID 590652", "title" : "Lumbar spinal stenosis has a negative impact on quality of life compared with other comorbidities: an epidemiological cross-sectional study of 1862 community-dwelling individuals", "type" : "article-journal", "volume" : "2013" }, "uris" : [ "http://www.mendeley.com/documents/?uuid=12f24101-f756-4729-a229-82443c827db4" ] } ], "mendeley" : { "formattedCitation" : "[3]", "plainTextFormattedCitation" : "[3]", "previouslyFormattedCitation" : "[3]" }, "properties" : { "noteIndex" : 0 }, "schema" : "https://github.com/citation-style-language/schema/raw/master/csl-citation.json" }</w:instrText>
      </w:r>
      <w:r w:rsidR="00B25DF9" w:rsidRPr="00CE47DE">
        <w:fldChar w:fldCharType="separate"/>
      </w:r>
      <w:r w:rsidR="004A0CB7" w:rsidRPr="004A0CB7">
        <w:rPr>
          <w:noProof/>
        </w:rPr>
        <w:t>[3]</w:t>
      </w:r>
      <w:r w:rsidR="00B25DF9" w:rsidRPr="00CE47DE">
        <w:fldChar w:fldCharType="end"/>
      </w:r>
      <w:r w:rsidRPr="00CE47DE">
        <w:t>.</w:t>
      </w:r>
      <w:r w:rsidR="00F20FF0" w:rsidRPr="00CE47DE">
        <w:t xml:space="preserve"> </w:t>
      </w:r>
      <w:r w:rsidR="005F4C84" w:rsidRPr="00CE47DE">
        <w:t xml:space="preserve">The education level of our </w:t>
      </w:r>
      <w:r w:rsidR="00816504">
        <w:t>patients</w:t>
      </w:r>
      <w:r w:rsidR="005F4C84" w:rsidRPr="00CE47DE">
        <w:t xml:space="preserve"> was similar to the average national population in the same age group</w:t>
      </w:r>
      <w:r w:rsidR="00291F36" w:rsidRPr="00CE47DE">
        <w:t xml:space="preserve"> </w:t>
      </w:r>
      <w:r w:rsidR="00291F36" w:rsidRPr="00CE47DE">
        <w:fldChar w:fldCharType="begin" w:fldLock="1"/>
      </w:r>
      <w:r w:rsidR="0068258A">
        <w:instrText>ADDIN CSL_CITATION { "citationItems" : [ { "id" : "ITEM-1", "itemData" : { "author" : [ { "dropping-particle" : "", "family" : "Kalenius", "given" : "Aleksi", "non-dropping-particle" : "", "parse-names" : false, "suffix" : "" } ], "container-title" : "Ministry of Education and Culture publications 2014:1", "id" : "ITEM-1", "issued" : { "date-parts" : [ [ "2014" ] ] }, "language" : "fi", "publisher" : "The Ministry of Education and Culture", "title" : "Suomalaisten koulutusrakenteen kehitys 1970\u20132030 [The development of Finnish education structure 1970-2030]", "type" : "report" }, "uris" : [ "http://www.mendeley.com/documents/?uuid=1d7643dc-5aa6-41c2-9f48-fda7d831006a" ] } ], "mendeley" : { "formattedCitation" : "[54]", "plainTextFormattedCitation" : "[54]", "previouslyFormattedCitation" : "[54]" }, "properties" : { "noteIndex" : 0 }, "schema" : "https://github.com/citation-style-language/schema/raw/master/csl-citation.json" }</w:instrText>
      </w:r>
      <w:r w:rsidR="00291F36" w:rsidRPr="00CE47DE">
        <w:fldChar w:fldCharType="separate"/>
      </w:r>
      <w:r w:rsidR="004A0CB7" w:rsidRPr="004A0CB7">
        <w:rPr>
          <w:noProof/>
        </w:rPr>
        <w:t>[54]</w:t>
      </w:r>
      <w:r w:rsidR="00291F36" w:rsidRPr="00CE47DE">
        <w:fldChar w:fldCharType="end"/>
      </w:r>
      <w:r w:rsidR="00F1591F" w:rsidRPr="00CE47DE">
        <w:t xml:space="preserve">. </w:t>
      </w:r>
      <w:r w:rsidR="005F4C84" w:rsidRPr="00CE47DE">
        <w:t xml:space="preserve">In conclusion, </w:t>
      </w:r>
      <w:r w:rsidR="00EA0FAE" w:rsidRPr="00CE47DE">
        <w:t>our patient group</w:t>
      </w:r>
      <w:r w:rsidR="005F4C84" w:rsidRPr="00CE47DE">
        <w:t xml:space="preserve"> </w:t>
      </w:r>
      <w:proofErr w:type="gramStart"/>
      <w:r w:rsidR="005F4C84" w:rsidRPr="00CE47DE">
        <w:t>can be regarded</w:t>
      </w:r>
      <w:proofErr w:type="gramEnd"/>
      <w:r w:rsidR="005F4C84" w:rsidRPr="00CE47DE">
        <w:t xml:space="preserve"> as representative, and thus the results can be generalized to surgical patients with </w:t>
      </w:r>
      <w:r w:rsidR="00D2773C" w:rsidRPr="00CE47DE">
        <w:t>LSS</w:t>
      </w:r>
      <w:r w:rsidR="005F4C84" w:rsidRPr="00CE47DE">
        <w:t>.</w:t>
      </w:r>
    </w:p>
    <w:p w14:paraId="62F1A921" w14:textId="77777777" w:rsidR="00BC21B2" w:rsidRDefault="00BC21B2" w:rsidP="00A4263F">
      <w:pPr>
        <w:spacing w:line="480" w:lineRule="auto"/>
        <w:rPr>
          <w:b/>
        </w:rPr>
      </w:pPr>
    </w:p>
    <w:p w14:paraId="25BF4E94" w14:textId="50DD104A" w:rsidR="001B45D7" w:rsidRPr="00CE47DE" w:rsidRDefault="00A920F4" w:rsidP="00A4263F">
      <w:pPr>
        <w:spacing w:line="480" w:lineRule="auto"/>
        <w:rPr>
          <w:b/>
        </w:rPr>
      </w:pPr>
      <w:r w:rsidRPr="00CE47DE">
        <w:rPr>
          <w:b/>
        </w:rPr>
        <w:t xml:space="preserve">4.2. </w:t>
      </w:r>
      <w:r w:rsidR="001B45D7" w:rsidRPr="00CE47DE">
        <w:rPr>
          <w:b/>
        </w:rPr>
        <w:t>Conclusion</w:t>
      </w:r>
    </w:p>
    <w:p w14:paraId="1E2B2000" w14:textId="392321FA" w:rsidR="00FB78F5" w:rsidRPr="00C92C17" w:rsidRDefault="00EA0FAE" w:rsidP="00A4263F">
      <w:pPr>
        <w:spacing w:line="480" w:lineRule="auto"/>
        <w:rPr>
          <w:b/>
          <w:color w:val="000000" w:themeColor="text1"/>
          <w:lang w:val="en-US"/>
        </w:rPr>
      </w:pPr>
      <w:r w:rsidRPr="00CE47DE">
        <w:t xml:space="preserve">In a group of spinal stenosis patients scheduled for </w:t>
      </w:r>
      <w:r w:rsidR="003C56C9">
        <w:t>surgery</w:t>
      </w:r>
      <w:r w:rsidRPr="00CE47DE">
        <w:t>, t</w:t>
      </w:r>
      <w:r w:rsidR="00A64D83" w:rsidRPr="00CE47DE">
        <w:t xml:space="preserve">he KTFI </w:t>
      </w:r>
      <w:r w:rsidR="00E275C6" w:rsidRPr="00CE47DE">
        <w:t xml:space="preserve">was effective </w:t>
      </w:r>
      <w:r w:rsidR="00593861">
        <w:t xml:space="preserve">and </w:t>
      </w:r>
      <w:r w:rsidR="00593861" w:rsidRPr="00593861">
        <w:rPr>
          <w:b/>
        </w:rPr>
        <w:t>feasible</w:t>
      </w:r>
      <w:r w:rsidR="00593861">
        <w:t xml:space="preserve"> </w:t>
      </w:r>
      <w:r w:rsidRPr="00CE47DE">
        <w:t>in increasing</w:t>
      </w:r>
      <w:r w:rsidR="00E96597" w:rsidRPr="00CE47DE">
        <w:t xml:space="preserve"> the bio-physiological, functional, social, ethical, and financial dimensions of empowering knowledge</w:t>
      </w:r>
      <w:r w:rsidR="00864D7B" w:rsidRPr="00CE47DE">
        <w:t>.</w:t>
      </w:r>
      <w:r w:rsidR="00D11A16">
        <w:t xml:space="preserve"> </w:t>
      </w:r>
    </w:p>
    <w:p w14:paraId="22EBDB37" w14:textId="77777777" w:rsidR="00C64BE1" w:rsidRPr="00C92C17" w:rsidRDefault="00C64BE1" w:rsidP="00A4263F">
      <w:pPr>
        <w:spacing w:line="480" w:lineRule="auto"/>
        <w:rPr>
          <w:lang w:val="en-US"/>
        </w:rPr>
      </w:pPr>
    </w:p>
    <w:p w14:paraId="0CF1A293" w14:textId="6024F596" w:rsidR="001B45D7" w:rsidRPr="00C92C17" w:rsidRDefault="00A920F4" w:rsidP="00A4263F">
      <w:pPr>
        <w:spacing w:line="480" w:lineRule="auto"/>
        <w:rPr>
          <w:b/>
          <w:lang w:val="en-US"/>
        </w:rPr>
      </w:pPr>
      <w:r w:rsidRPr="00C92C17">
        <w:rPr>
          <w:b/>
          <w:lang w:val="en-US"/>
        </w:rPr>
        <w:t xml:space="preserve">4.3. </w:t>
      </w:r>
      <w:r w:rsidR="001B45D7" w:rsidRPr="00C92C17">
        <w:rPr>
          <w:b/>
          <w:lang w:val="en-US"/>
        </w:rPr>
        <w:t>Practical implications</w:t>
      </w:r>
    </w:p>
    <w:p w14:paraId="6C6D5C12" w14:textId="67E2C974" w:rsidR="00785BB5" w:rsidRPr="00CE47DE" w:rsidRDefault="00EA0FAE" w:rsidP="00A4263F">
      <w:pPr>
        <w:spacing w:line="480" w:lineRule="auto"/>
      </w:pPr>
      <w:r w:rsidRPr="00900BA7">
        <w:rPr>
          <w:b/>
          <w:lang w:val="en-US"/>
        </w:rPr>
        <w:t xml:space="preserve">Our results </w:t>
      </w:r>
      <w:r w:rsidR="00A33EBD">
        <w:rPr>
          <w:b/>
          <w:lang w:val="en-US"/>
        </w:rPr>
        <w:t>suggest</w:t>
      </w:r>
      <w:r w:rsidRPr="00593861">
        <w:rPr>
          <w:b/>
        </w:rPr>
        <w:t xml:space="preserve"> that</w:t>
      </w:r>
      <w:r w:rsidR="00A5699B" w:rsidRPr="00593861">
        <w:rPr>
          <w:b/>
        </w:rPr>
        <w:t xml:space="preserve"> KTFI </w:t>
      </w:r>
      <w:r w:rsidR="00E77054" w:rsidRPr="00593861">
        <w:rPr>
          <w:b/>
        </w:rPr>
        <w:t>is a</w:t>
      </w:r>
      <w:r w:rsidR="00D11A16">
        <w:rPr>
          <w:b/>
        </w:rPr>
        <w:t>n</w:t>
      </w:r>
      <w:r w:rsidR="00E77054" w:rsidRPr="00593861">
        <w:rPr>
          <w:b/>
        </w:rPr>
        <w:t xml:space="preserve"> easily</w:t>
      </w:r>
      <w:r w:rsidR="00E96597" w:rsidRPr="00593861">
        <w:rPr>
          <w:b/>
        </w:rPr>
        <w:t xml:space="preserve"> implemented </w:t>
      </w:r>
      <w:r w:rsidR="00E77054" w:rsidRPr="00593861">
        <w:rPr>
          <w:b/>
        </w:rPr>
        <w:t xml:space="preserve">and </w:t>
      </w:r>
      <w:r w:rsidR="0021184C" w:rsidRPr="00593861">
        <w:rPr>
          <w:b/>
        </w:rPr>
        <w:t xml:space="preserve">feasible </w:t>
      </w:r>
      <w:r w:rsidRPr="00593861">
        <w:rPr>
          <w:b/>
        </w:rPr>
        <w:t xml:space="preserve">preoperative education </w:t>
      </w:r>
      <w:r w:rsidR="0021184C" w:rsidRPr="00593861">
        <w:rPr>
          <w:b/>
        </w:rPr>
        <w:t xml:space="preserve">intervention </w:t>
      </w:r>
      <w:r w:rsidR="003C56C9">
        <w:rPr>
          <w:b/>
        </w:rPr>
        <w:t>for</w:t>
      </w:r>
      <w:r w:rsidRPr="00593861">
        <w:rPr>
          <w:b/>
        </w:rPr>
        <w:t xml:space="preserve"> </w:t>
      </w:r>
      <w:r w:rsidR="00E96597" w:rsidRPr="00593861">
        <w:rPr>
          <w:b/>
        </w:rPr>
        <w:t xml:space="preserve">spinal </w:t>
      </w:r>
      <w:r w:rsidRPr="00593861">
        <w:rPr>
          <w:b/>
        </w:rPr>
        <w:t>stenosis patients</w:t>
      </w:r>
      <w:r w:rsidR="00E96597" w:rsidRPr="00CE47DE">
        <w:t>.</w:t>
      </w:r>
      <w:r w:rsidR="000F248E" w:rsidRPr="00CE47DE">
        <w:t xml:space="preserve"> </w:t>
      </w:r>
      <w:r w:rsidRPr="00CE47DE">
        <w:t xml:space="preserve">The </w:t>
      </w:r>
      <w:r w:rsidR="00DD61DC" w:rsidRPr="00CE47DE">
        <w:t>KNOWBACK Test</w:t>
      </w:r>
      <w:r w:rsidR="000F248E" w:rsidRPr="00CE47DE">
        <w:t xml:space="preserve"> may prove beneficial as a checklist in patient education. In nursing management, it </w:t>
      </w:r>
      <w:proofErr w:type="gramStart"/>
      <w:r w:rsidR="000F248E" w:rsidRPr="00CE47DE">
        <w:t>can be used</w:t>
      </w:r>
      <w:proofErr w:type="gramEnd"/>
      <w:r w:rsidR="000F248E" w:rsidRPr="00CE47DE">
        <w:t xml:space="preserve"> to measure the </w:t>
      </w:r>
      <w:r w:rsidR="00A02E94">
        <w:t>quality</w:t>
      </w:r>
      <w:r w:rsidR="000F248E" w:rsidRPr="00CE47DE">
        <w:t xml:space="preserve"> of </w:t>
      </w:r>
      <w:r w:rsidRPr="00CE47DE">
        <w:t xml:space="preserve">preoperative </w:t>
      </w:r>
      <w:r w:rsidR="000F248E" w:rsidRPr="00CE47DE">
        <w:t>patient education.</w:t>
      </w:r>
    </w:p>
    <w:p w14:paraId="5F1C8542" w14:textId="77777777" w:rsidR="00EE59DB" w:rsidRPr="00CE47DE" w:rsidRDefault="00EE59DB" w:rsidP="00A4263F">
      <w:pPr>
        <w:spacing w:line="480" w:lineRule="auto"/>
      </w:pPr>
    </w:p>
    <w:p w14:paraId="54DEB86A" w14:textId="628F925A" w:rsidR="00F34961" w:rsidRPr="00593861" w:rsidRDefault="00EE59DB" w:rsidP="00A4263F">
      <w:pPr>
        <w:spacing w:line="480" w:lineRule="auto"/>
        <w:rPr>
          <w:b/>
        </w:rPr>
      </w:pPr>
      <w:r w:rsidRPr="00CE47DE">
        <w:rPr>
          <w:b/>
        </w:rPr>
        <w:t>Authors’ contributions</w:t>
      </w:r>
    </w:p>
    <w:p w14:paraId="345D5186" w14:textId="756E08F7" w:rsidR="00F34961" w:rsidRPr="00CE47DE" w:rsidRDefault="00733293" w:rsidP="00733293">
      <w:pPr>
        <w:spacing w:before="100" w:beforeAutospacing="1" w:after="100" w:afterAutospacing="1" w:line="480" w:lineRule="auto"/>
        <w:rPr>
          <w:rFonts w:eastAsiaTheme="minorHAnsi"/>
        </w:rPr>
      </w:pPr>
      <w:proofErr w:type="gramStart"/>
      <w:r w:rsidRPr="00CE47DE">
        <w:rPr>
          <w:rFonts w:eastAsiaTheme="minorHAnsi"/>
        </w:rPr>
        <w:lastRenderedPageBreak/>
        <w:t xml:space="preserve">Authors </w:t>
      </w:r>
      <w:r w:rsidR="00F34961" w:rsidRPr="00CE47DE">
        <w:rPr>
          <w:rFonts w:eastAsiaTheme="minorHAnsi"/>
        </w:rPr>
        <w:t xml:space="preserve">contributions </w:t>
      </w:r>
      <w:r w:rsidRPr="00CE47DE">
        <w:rPr>
          <w:rFonts w:eastAsiaTheme="minorHAnsi"/>
        </w:rPr>
        <w:t>was</w:t>
      </w:r>
      <w:r w:rsidR="00F34961" w:rsidRPr="00CE47DE">
        <w:rPr>
          <w:rFonts w:eastAsiaTheme="minorHAnsi"/>
        </w:rPr>
        <w:t xml:space="preserve"> </w:t>
      </w:r>
      <w:r w:rsidRPr="00CE47DE">
        <w:rPr>
          <w:rFonts w:eastAsiaTheme="minorHAnsi"/>
        </w:rPr>
        <w:t>as follows</w:t>
      </w:r>
      <w:r w:rsidR="00F34961" w:rsidRPr="00CE47DE">
        <w:rPr>
          <w:rFonts w:eastAsiaTheme="minorHAnsi"/>
        </w:rPr>
        <w:t>: (1) the concep</w:t>
      </w:r>
      <w:r w:rsidRPr="00CE47DE">
        <w:rPr>
          <w:rFonts w:eastAsiaTheme="minorHAnsi"/>
        </w:rPr>
        <w:t>tion and design of the study (JK, HL-K, TL, LM, PP, KV)</w:t>
      </w:r>
      <w:r w:rsidR="00F34961" w:rsidRPr="00CE47DE">
        <w:rPr>
          <w:rFonts w:eastAsiaTheme="minorHAnsi"/>
        </w:rPr>
        <w:t xml:space="preserve"> acquisition of data</w:t>
      </w:r>
      <w:r w:rsidRPr="00CE47DE">
        <w:rPr>
          <w:rFonts w:eastAsiaTheme="minorHAnsi"/>
        </w:rPr>
        <w:t xml:space="preserve"> (JK),</w:t>
      </w:r>
      <w:r w:rsidR="00F34961" w:rsidRPr="00CE47DE">
        <w:rPr>
          <w:rFonts w:eastAsiaTheme="minorHAnsi"/>
        </w:rPr>
        <w:t xml:space="preserve"> analysis </w:t>
      </w:r>
      <w:r w:rsidRPr="00CE47DE">
        <w:rPr>
          <w:rFonts w:eastAsiaTheme="minorHAnsi"/>
        </w:rPr>
        <w:t xml:space="preserve">(PP) </w:t>
      </w:r>
      <w:r w:rsidR="00F34961" w:rsidRPr="00CE47DE">
        <w:rPr>
          <w:rFonts w:eastAsiaTheme="minorHAnsi"/>
        </w:rPr>
        <w:t>and interpretation of data</w:t>
      </w:r>
      <w:r w:rsidRPr="00CE47DE">
        <w:rPr>
          <w:rFonts w:eastAsiaTheme="minorHAnsi"/>
        </w:rPr>
        <w:t xml:space="preserve"> (JK, HL-K, TL, LM, PP, KV)</w:t>
      </w:r>
      <w:r w:rsidR="00F34961" w:rsidRPr="00CE47DE">
        <w:rPr>
          <w:rFonts w:eastAsiaTheme="minorHAnsi"/>
        </w:rPr>
        <w:t xml:space="preserve">, (2) drafting the article </w:t>
      </w:r>
      <w:r w:rsidRPr="00CE47DE">
        <w:rPr>
          <w:rFonts w:eastAsiaTheme="minorHAnsi"/>
        </w:rPr>
        <w:t>(JK, TL, PP) and</w:t>
      </w:r>
      <w:r w:rsidR="00F34961" w:rsidRPr="00CE47DE">
        <w:rPr>
          <w:rFonts w:eastAsiaTheme="minorHAnsi"/>
        </w:rPr>
        <w:t xml:space="preserve"> revising it critically for important intellectual content</w:t>
      </w:r>
      <w:r w:rsidRPr="00CE47DE">
        <w:rPr>
          <w:rFonts w:eastAsiaTheme="minorHAnsi"/>
        </w:rPr>
        <w:t xml:space="preserve"> (JK, HL-K, TL, LM, PP, KV)</w:t>
      </w:r>
      <w:r w:rsidR="00F34961" w:rsidRPr="00CE47DE">
        <w:rPr>
          <w:rFonts w:eastAsiaTheme="minorHAnsi"/>
        </w:rPr>
        <w:t>, (3) final approval of the version to be submitted</w:t>
      </w:r>
      <w:r w:rsidRPr="00CE47DE">
        <w:rPr>
          <w:rFonts w:eastAsiaTheme="minorHAnsi"/>
        </w:rPr>
        <w:t xml:space="preserve"> (JK, HL-K, TL, LM, PP, KV)</w:t>
      </w:r>
      <w:r w:rsidR="009A42C8" w:rsidRPr="00CE47DE">
        <w:rPr>
          <w:rFonts w:ascii="Verdana" w:eastAsiaTheme="minorHAnsi" w:hAnsi="Verdana"/>
          <w:sz w:val="20"/>
          <w:szCs w:val="20"/>
        </w:rPr>
        <w:t>.</w:t>
      </w:r>
      <w:proofErr w:type="gramEnd"/>
    </w:p>
    <w:p w14:paraId="12BF9B7C" w14:textId="77777777" w:rsidR="00BF3701" w:rsidRPr="00CE47DE" w:rsidRDefault="00BF3701" w:rsidP="00A4263F">
      <w:pPr>
        <w:spacing w:line="480" w:lineRule="auto"/>
      </w:pPr>
    </w:p>
    <w:p w14:paraId="04EE722F" w14:textId="6434047F" w:rsidR="000A3A36" w:rsidRPr="00CE47DE" w:rsidRDefault="00EE59DB" w:rsidP="00A4263F">
      <w:pPr>
        <w:spacing w:line="480" w:lineRule="auto"/>
      </w:pPr>
      <w:r w:rsidRPr="00CE47DE">
        <w:rPr>
          <w:b/>
        </w:rPr>
        <w:t>Funding</w:t>
      </w:r>
    </w:p>
    <w:p w14:paraId="441FE527" w14:textId="4A1F1F73" w:rsidR="00EE59DB" w:rsidRPr="00CE47DE" w:rsidRDefault="00EE59DB" w:rsidP="00A4263F">
      <w:pPr>
        <w:spacing w:line="480" w:lineRule="auto"/>
      </w:pPr>
      <w:proofErr w:type="gramStart"/>
      <w:r w:rsidRPr="00CE47DE">
        <w:t xml:space="preserve">This study was supported by the Finnish Nurses Association, The Finnish Association of Nursing Research, The Research Association of Nurses, and </w:t>
      </w:r>
      <w:r w:rsidR="00951601" w:rsidRPr="00CE47DE">
        <w:t>the state research funding</w:t>
      </w:r>
      <w:proofErr w:type="gramEnd"/>
      <w:r w:rsidRPr="00CE47DE">
        <w:t xml:space="preserve"> granted by the </w:t>
      </w:r>
      <w:r w:rsidR="00BF3701" w:rsidRPr="00CE47DE">
        <w:t>Invalid</w:t>
      </w:r>
      <w:r w:rsidRPr="00CE47DE">
        <w:t xml:space="preserve"> Foundation and the Hospital district of South-Western Finland. The funding sources </w:t>
      </w:r>
      <w:proofErr w:type="gramStart"/>
      <w:r w:rsidRPr="00CE47DE">
        <w:t>had no involv</w:t>
      </w:r>
      <w:r w:rsidR="009973BA" w:rsidRPr="00CE47DE">
        <w:t>ement</w:t>
      </w:r>
      <w:proofErr w:type="gramEnd"/>
      <w:r w:rsidR="009973BA" w:rsidRPr="00CE47DE">
        <w:t xml:space="preserve"> in the study design, </w:t>
      </w:r>
      <w:r w:rsidRPr="00CE47DE">
        <w:t>data collection,</w:t>
      </w:r>
      <w:r w:rsidR="009973BA" w:rsidRPr="00CE47DE">
        <w:t xml:space="preserve"> analysis and interpretation,</w:t>
      </w:r>
      <w:r w:rsidRPr="00CE47DE">
        <w:t xml:space="preserve"> writing the report, </w:t>
      </w:r>
      <w:r w:rsidR="009973BA" w:rsidRPr="00CE47DE">
        <w:t xml:space="preserve">or </w:t>
      </w:r>
      <w:r w:rsidR="009A42C8" w:rsidRPr="00CE47DE">
        <w:t>publication process.</w:t>
      </w:r>
    </w:p>
    <w:p w14:paraId="289FF76B" w14:textId="77777777" w:rsidR="00EE59DB" w:rsidRPr="00CE47DE" w:rsidRDefault="00EE59DB" w:rsidP="00A4263F">
      <w:pPr>
        <w:spacing w:line="480" w:lineRule="auto"/>
      </w:pPr>
    </w:p>
    <w:p w14:paraId="1BE39086" w14:textId="75605C77" w:rsidR="00EE59DB" w:rsidRPr="00CE47DE" w:rsidRDefault="00EE59DB" w:rsidP="00A4263F">
      <w:pPr>
        <w:spacing w:line="480" w:lineRule="auto"/>
        <w:rPr>
          <w:b/>
        </w:rPr>
      </w:pPr>
      <w:r w:rsidRPr="00CE47DE">
        <w:rPr>
          <w:b/>
        </w:rPr>
        <w:t>Conflict of interest statement</w:t>
      </w:r>
    </w:p>
    <w:p w14:paraId="0CC83958" w14:textId="383A4CF5" w:rsidR="00EE59DB" w:rsidRPr="00CE47DE" w:rsidRDefault="00EE59DB" w:rsidP="00A4263F">
      <w:pPr>
        <w:spacing w:line="480" w:lineRule="auto"/>
      </w:pPr>
      <w:r w:rsidRPr="00CE47DE">
        <w:t>The authors have no conflict of interest to declare</w:t>
      </w:r>
      <w:r w:rsidR="009A42C8" w:rsidRPr="00CE47DE">
        <w:t>.</w:t>
      </w:r>
    </w:p>
    <w:p w14:paraId="16A6DB71" w14:textId="77777777" w:rsidR="00EE59DB" w:rsidRPr="00CE47DE" w:rsidRDefault="00EE59DB" w:rsidP="00A4263F">
      <w:pPr>
        <w:spacing w:line="480" w:lineRule="auto"/>
      </w:pPr>
    </w:p>
    <w:p w14:paraId="7856A9B4" w14:textId="77777777" w:rsidR="0043274B" w:rsidRPr="00CE47DE" w:rsidRDefault="0043274B" w:rsidP="00A4263F">
      <w:pPr>
        <w:spacing w:line="480" w:lineRule="auto"/>
        <w:rPr>
          <w:b/>
        </w:rPr>
      </w:pPr>
      <w:r w:rsidRPr="00CE47DE">
        <w:rPr>
          <w:b/>
        </w:rPr>
        <w:t>Acknowledgements</w:t>
      </w:r>
    </w:p>
    <w:p w14:paraId="7F10C514" w14:textId="27AFE60F" w:rsidR="00A332E1" w:rsidRPr="00CE47DE" w:rsidRDefault="000F248E" w:rsidP="00A4263F">
      <w:pPr>
        <w:spacing w:line="480" w:lineRule="auto"/>
      </w:pPr>
      <w:r w:rsidRPr="00CE47DE">
        <w:t xml:space="preserve">We gratefully acknowledge the </w:t>
      </w:r>
      <w:r w:rsidR="00150463" w:rsidRPr="00CE47DE">
        <w:t>work</w:t>
      </w:r>
      <w:r w:rsidRPr="00CE47DE">
        <w:t xml:space="preserve"> of our research nurse </w:t>
      </w:r>
      <w:proofErr w:type="spellStart"/>
      <w:r w:rsidRPr="00CE47DE">
        <w:t>Riikka</w:t>
      </w:r>
      <w:proofErr w:type="spellEnd"/>
      <w:r w:rsidRPr="00CE47DE">
        <w:t xml:space="preserve"> </w:t>
      </w:r>
      <w:proofErr w:type="spellStart"/>
      <w:r w:rsidRPr="00CE47DE">
        <w:t>Ruuskanen</w:t>
      </w:r>
      <w:proofErr w:type="spellEnd"/>
      <w:r w:rsidRPr="00CE47DE">
        <w:t xml:space="preserve"> and research secretary Ella </w:t>
      </w:r>
      <w:proofErr w:type="spellStart"/>
      <w:r w:rsidRPr="00CE47DE">
        <w:t>Haaran</w:t>
      </w:r>
      <w:r w:rsidR="00150463" w:rsidRPr="00CE47DE">
        <w:t>en</w:t>
      </w:r>
      <w:proofErr w:type="spellEnd"/>
      <w:r w:rsidRPr="00CE47DE">
        <w:t>.</w:t>
      </w:r>
    </w:p>
    <w:p w14:paraId="74BFF2D0" w14:textId="2E3C5087" w:rsidR="00D76E08" w:rsidRPr="00CE47DE" w:rsidRDefault="00D76E08" w:rsidP="00A332E1">
      <w:pPr>
        <w:spacing w:line="480" w:lineRule="auto"/>
      </w:pPr>
      <w:r w:rsidRPr="00CE47DE">
        <w:br w:type="page"/>
      </w:r>
    </w:p>
    <w:p w14:paraId="7FAAB276" w14:textId="77777777" w:rsidR="00C92C17" w:rsidRDefault="00C27449" w:rsidP="0083341B">
      <w:pPr>
        <w:widowControl w:val="0"/>
        <w:autoSpaceDE w:val="0"/>
        <w:autoSpaceDN w:val="0"/>
        <w:adjustRightInd w:val="0"/>
        <w:spacing w:after="140" w:line="480" w:lineRule="auto"/>
        <w:ind w:left="640" w:hanging="640"/>
        <w:rPr>
          <w:b/>
        </w:rPr>
      </w:pPr>
      <w:r w:rsidRPr="00CE47DE">
        <w:rPr>
          <w:b/>
        </w:rPr>
        <w:lastRenderedPageBreak/>
        <w:t>Referen</w:t>
      </w:r>
      <w:r w:rsidR="001B45D7" w:rsidRPr="00CE47DE">
        <w:rPr>
          <w:b/>
        </w:rPr>
        <w:t>ces</w:t>
      </w:r>
    </w:p>
    <w:p w14:paraId="0C28C4E4" w14:textId="0483EEBD" w:rsidR="00CD1888" w:rsidRPr="00CD1888" w:rsidRDefault="009116AD" w:rsidP="00CD1888">
      <w:pPr>
        <w:widowControl w:val="0"/>
        <w:autoSpaceDE w:val="0"/>
        <w:autoSpaceDN w:val="0"/>
        <w:adjustRightInd w:val="0"/>
        <w:spacing w:after="140" w:line="480" w:lineRule="auto"/>
        <w:ind w:left="640" w:hanging="640"/>
        <w:rPr>
          <w:noProof/>
        </w:rPr>
      </w:pPr>
      <w:r w:rsidRPr="00CE47DE">
        <w:fldChar w:fldCharType="begin" w:fldLock="1"/>
      </w:r>
      <w:r w:rsidRPr="00CE47DE">
        <w:instrText xml:space="preserve">ADDIN Mendeley Bibliography CSL_BIBLIOGRAPHY </w:instrText>
      </w:r>
      <w:r w:rsidRPr="00CE47DE">
        <w:fldChar w:fldCharType="separate"/>
      </w:r>
      <w:r w:rsidR="00CD1888" w:rsidRPr="00CD1888">
        <w:rPr>
          <w:noProof/>
        </w:rPr>
        <w:t>[1]</w:t>
      </w:r>
      <w:r w:rsidR="00CD1888" w:rsidRPr="00CD1888">
        <w:rPr>
          <w:noProof/>
        </w:rPr>
        <w:tab/>
        <w:t>R.A. Deyo, Treatment of lumbar spinal stenosis: a balancing act, Spine J. 10 (2010) 625–627. doi:10.1016/j.spinee.2010.05.006.</w:t>
      </w:r>
    </w:p>
    <w:p w14:paraId="131614B4"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w:t>
      </w:r>
      <w:r w:rsidRPr="00CD1888">
        <w:rPr>
          <w:noProof/>
        </w:rPr>
        <w:tab/>
        <w:t>M.C. Battié, C.A. Jones, D.P. Schopflocher, R.W. Hu, Health-related quality of life and comorbidities associated with lumbar spinal stenosis, Spine J. 12 (2012) 189–195. doi:10.1016/j.spinee.2011.11.009.</w:t>
      </w:r>
    </w:p>
    <w:p w14:paraId="512507DE"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w:t>
      </w:r>
      <w:r w:rsidRPr="00CD1888">
        <w:rPr>
          <w:noProof/>
        </w:rPr>
        <w:tab/>
        <w:t>K. Otani, S. Kikuchi, S. Yabuki, T. Igarashi, T. Nikaido, K. Watanabe, et al., Lumbar spinal stenosis has a negative impact on quality of life compared with other comorbidities: an epidemiological cross-sectional study of 1862 community-dwelling individuals, ScientificWorldJournal. 2013 (2013) Article ID 590652. doi:10.1155/2013/590652.</w:t>
      </w:r>
    </w:p>
    <w:p w14:paraId="14ABBE9F"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w:t>
      </w:r>
      <w:r w:rsidRPr="00CD1888">
        <w:rPr>
          <w:noProof/>
        </w:rPr>
        <w:tab/>
        <w:t>M.F. Kurd, J.D. Lurie, W. Zhao, T. Tosteson, A.S. Hilibrand, J. Rihn, et al., Predictors of treatment choice in lumbar spinal stenosis: a spine patient outcomes research trial study, Spine (Phila. Pa. 1976). 37 (2012) 1702–1707. doi:10.1097/BRS.0b013e3182541955.</w:t>
      </w:r>
    </w:p>
    <w:p w14:paraId="1BBC8D9D"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[5]</w:t>
      </w:r>
      <w:r w:rsidRPr="00CD1888">
        <w:rPr>
          <w:noProof/>
        </w:rPr>
        <w:tab/>
        <w:t>S. Genevay, S.J. Atlas, Lumbar spinal stenosis, Best Pract. Res. Clin. Rheumatol. 24 (2010) 253–265. doi:10.1016/j.berh.2009.11.001.</w:t>
      </w:r>
    </w:p>
    <w:p w14:paraId="2B918E30"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[6]</w:t>
      </w:r>
      <w:r w:rsidRPr="00CD1888">
        <w:rPr>
          <w:noProof/>
        </w:rPr>
        <w:tab/>
        <w:t>K. Roszell, D. Sandella, A.J. Haig, K.S.J. Yamakawa, Spinal Stenosis: Factors That Influence Patients’ Decision to Undergo Surgery, J. Spinal Disord. Tech. in press (2013). doi:10.1097/BSD.0b013e31829e1514.</w:t>
      </w:r>
    </w:p>
    <w:p w14:paraId="0A088C3A"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[7]</w:t>
      </w:r>
      <w:r w:rsidRPr="00CD1888">
        <w:rPr>
          <w:noProof/>
        </w:rPr>
        <w:tab/>
        <w:t>J. Zieren, C. Menenakos, J.M. Mueller, Does an informative video before inguinal hernia surgical repair influence postoperative quality of life? Results of a prospective randomized study, Qual. Life Res. 16 (2007) 725–729. doi:10.1007/s11136-007-9171-y.</w:t>
      </w:r>
    </w:p>
    <w:p w14:paraId="04F836CF"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[8]</w:t>
      </w:r>
      <w:r w:rsidRPr="00CD1888">
        <w:rPr>
          <w:noProof/>
        </w:rPr>
        <w:tab/>
        <w:t xml:space="preserve">G.M. Ghobrial, A. Mehdi, M. Maltenfort, A.D. Sharan, J.S. Harrop, Variability of patient spine education by Internet search engine, Clin. Neurol. Neurosurg. 118 (2014) 59–64. </w:t>
      </w:r>
      <w:r w:rsidRPr="00CD1888">
        <w:rPr>
          <w:noProof/>
        </w:rPr>
        <w:lastRenderedPageBreak/>
        <w:t>doi:10.1016/j.clineuro.2013.12.013.</w:t>
      </w:r>
    </w:p>
    <w:p w14:paraId="415B5D58"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[9]</w:t>
      </w:r>
      <w:r w:rsidRPr="00CD1888">
        <w:rPr>
          <w:noProof/>
        </w:rPr>
        <w:tab/>
        <w:t>K. Valkeapää, S. Klemetti, E. Cabrera, S. Cano, A. Charalambous, P. Copanitsanou, et al., Knowledge expectations of surgical orthopaedic patients: A European survey, Int. J. Nurs. Pract. 20 (2014) 597–607. doi:10.1111/ijn.12189.</w:t>
      </w:r>
    </w:p>
    <w:p w14:paraId="6918D102"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[10]</w:t>
      </w:r>
      <w:r w:rsidRPr="00CD1888">
        <w:rPr>
          <w:noProof/>
        </w:rPr>
        <w:tab/>
        <w:t>Å. Johansson Stark, B. Ingadottir, S. Salanterä, A. Sigurdardottir, K. Valkeapää, M. Bachrach-Lindström, et al., Fulfilment of hip replacement patients’ knowledge expectations, and its relationship with emotional state: a survey in three Nordic countries, Int. J. Nurs. Stud. 51 (2014) 1491–1499. doi:10.1016/j.ijnurstu.2014.03.006.</w:t>
      </w:r>
    </w:p>
    <w:p w14:paraId="781723F9"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[11]</w:t>
      </w:r>
      <w:r w:rsidRPr="00CD1888">
        <w:rPr>
          <w:noProof/>
        </w:rPr>
        <w:tab/>
        <w:t>S. Rankinen, S. Salanterä, K. Heikkinen, K. Johansson, A. Kaljonen, H. Virtanen, et al., Expectations and received knowledge by surgical patients, Int. J. Qual. Heal. Care. 19 (2007) 113–119. doi:10.1093/intqhc/mzl075.</w:t>
      </w:r>
    </w:p>
    <w:p w14:paraId="2ACBF707"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[12]</w:t>
      </w:r>
      <w:r w:rsidRPr="00CD1888">
        <w:rPr>
          <w:noProof/>
        </w:rPr>
        <w:tab/>
        <w:t>S. Klemetti, H. Leino-Kilpi, E. Cabrera, P. Copanitsanou, B. Ingadottir, N. Istomina, et al., Difference between received and expected knowledge of patients undergoing knee or hip replacement in seven European countries, Clin. Nurs. Res. 24 (2015) 624–643. doi:10.1177/1054773814549992.</w:t>
      </w:r>
    </w:p>
    <w:p w14:paraId="6DD08CD9"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[13]</w:t>
      </w:r>
      <w:r w:rsidRPr="00CD1888">
        <w:rPr>
          <w:noProof/>
        </w:rPr>
        <w:tab/>
        <w:t>L. Montin, T. Suominen, E. Haaranen, J. Katajisto, J. Lepistö, H. Leino-Kilpi, The changes in health-related quality of life and related factors during the process of total hip arthroplasty, Int. J. Nurs. Pract. 17 (2011) 19–26. doi:10.1111/j.1440-172X.2010.01901.x.</w:t>
      </w:r>
    </w:p>
    <w:p w14:paraId="74B861B5"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[14]</w:t>
      </w:r>
      <w:r w:rsidRPr="00CD1888">
        <w:rPr>
          <w:noProof/>
        </w:rPr>
        <w:tab/>
        <w:t>E.A. Phelan, R.A. Deyo, D.C. Cherkin, J.N. Weinstein, M.A. Ciol, W. Kreuter, et al., Helping patients decide about back surgery: a randomized trial of an interactive video program, Spine (Phila. Pa. 1976). 26 (2001) 206–211. doi:10.1097/00007632-200101150-00016.</w:t>
      </w:r>
    </w:p>
    <w:p w14:paraId="608946C7"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[15]</w:t>
      </w:r>
      <w:r w:rsidRPr="00CD1888">
        <w:rPr>
          <w:noProof/>
        </w:rPr>
        <w:tab/>
        <w:t>C.Y. Ng, J.N.A. Gibson, An aid to the explanation of surgical risks and complications: the International Spinal Surgery Information Sheet, Spine (Phila. Pa. 1976). 36 (2011) 2333–</w:t>
      </w:r>
      <w:r w:rsidRPr="00CD1888">
        <w:rPr>
          <w:noProof/>
        </w:rPr>
        <w:lastRenderedPageBreak/>
        <w:t>2345. doi:10.1097/BRS.0b013e3182091bbc.</w:t>
      </w:r>
    </w:p>
    <w:p w14:paraId="0D6D1B09"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[16]</w:t>
      </w:r>
      <w:r w:rsidRPr="00CD1888">
        <w:rPr>
          <w:noProof/>
        </w:rPr>
        <w:tab/>
        <w:t>J.D. Lurie, K.F. Spratt, E.A. Blood, T.D. Tosteson, A.N.A. Tosteson, J.N. Weinstein, Effects of viewing an evidence-based video decision aid on patients’ treatment preferences for spine surgery, Spine (Phila. Pa. 1976). 36 (2011) 1501–1504. doi:10.1097/BRS.0b013e3182055c1e.</w:t>
      </w:r>
    </w:p>
    <w:p w14:paraId="2DB2DA79"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[17]</w:t>
      </w:r>
      <w:r w:rsidRPr="00CD1888">
        <w:rPr>
          <w:noProof/>
        </w:rPr>
        <w:tab/>
        <w:t>M.-R. Bong, H.-A. Park, The development and evaluation of a Web-site for patients undergoing spinal fusion, Stud. Health Technol. Inform. 122 (2006) 826.</w:t>
      </w:r>
    </w:p>
    <w:p w14:paraId="41742242"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[18]</w:t>
      </w:r>
      <w:r w:rsidRPr="00CD1888">
        <w:rPr>
          <w:noProof/>
        </w:rPr>
        <w:tab/>
        <w:t>A.H. McGregor, A. Henley, T.P. Morris, C.J. Doré, Patients’ views on an education booklet following spinal surgery, Eur. Spine J. 21 (2012) 1609–1615. doi:10.1007/s00586-012-2242-y.</w:t>
      </w:r>
    </w:p>
    <w:p w14:paraId="1F5310B3"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[19]</w:t>
      </w:r>
      <w:r w:rsidRPr="00CD1888">
        <w:rPr>
          <w:noProof/>
        </w:rPr>
        <w:tab/>
        <w:t>C. Feste, R.M. Anderson, Empowerment: from philosophy to practice, Patient Educ. Couns. 26 (1995) 139–144. doi:10.1016/0738-3991(95)00730-N.</w:t>
      </w:r>
    </w:p>
    <w:p w14:paraId="50B46AE2"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[20]</w:t>
      </w:r>
      <w:r w:rsidRPr="00CD1888">
        <w:rPr>
          <w:noProof/>
        </w:rPr>
        <w:tab/>
        <w:t>H. Leino-Kilpi, E. Luoto, J. Katajisto, Elements of empowerment and MS patients, J. Neurosci. Nurs. 30 (1998) 116–123. doi:10.1097/01376517-199804000-00005.</w:t>
      </w:r>
    </w:p>
    <w:p w14:paraId="3475415C"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[21]</w:t>
      </w:r>
      <w:r w:rsidRPr="00CD1888">
        <w:rPr>
          <w:noProof/>
        </w:rPr>
        <w:tab/>
        <w:t>K. Heikkinen, H. Leino-Kilpi, A. Hiltunen, K. Johansson, A. Kaljonen, S. Rankinen, et al., Ambulatory orthopaedic surgery patients’ knowledge expectations and perceptions of received knowledge, J. Adv. Nurs. 60 (2007) 270–278. doi:10.1111/j.1365-2648.2007.04408.x.</w:t>
      </w:r>
    </w:p>
    <w:p w14:paraId="1159376C"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[22]</w:t>
      </w:r>
      <w:r w:rsidRPr="00CD1888">
        <w:rPr>
          <w:noProof/>
        </w:rPr>
        <w:tab/>
        <w:t>A.R. Falk Rafael, Advocacy and empowerment: Dichotomous or synchronous concepts?, Adv. Nurs. Sci. 18 (1995) 25–32.</w:t>
      </w:r>
    </w:p>
    <w:p w14:paraId="26AFEB46"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[23]</w:t>
      </w:r>
      <w:r w:rsidRPr="00CD1888">
        <w:rPr>
          <w:noProof/>
        </w:rPr>
        <w:tab/>
        <w:t>A.R. Falk-Rafael, Empowerment as a Process of Evolving Consciousness: A Model of Empowered Caring, Adv. Nurs. Sci. 24 (2001) 1–16.</w:t>
      </w:r>
    </w:p>
    <w:p w14:paraId="45E1A962"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[24]</w:t>
      </w:r>
      <w:r w:rsidRPr="00CD1888">
        <w:rPr>
          <w:noProof/>
        </w:rPr>
        <w:tab/>
        <w:t xml:space="preserve">R.M. Anderson, M.M. Funnell, Patient empowerment: myths and misconceptions, Patient </w:t>
      </w:r>
      <w:r w:rsidRPr="00CD1888">
        <w:rPr>
          <w:noProof/>
        </w:rPr>
        <w:lastRenderedPageBreak/>
        <w:t>Educ. Couns. 79 (2010) 277–282. doi:10.1016/j.pec.2009.07.025.</w:t>
      </w:r>
    </w:p>
    <w:p w14:paraId="7D2BDCFB"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[25]</w:t>
      </w:r>
      <w:r w:rsidRPr="00CD1888">
        <w:rPr>
          <w:noProof/>
        </w:rPr>
        <w:tab/>
        <w:t>H. Leino-Kilpi, K. Johansson, K. Heikkinen, A. Kaljonen, H. Virtanen, S. Salanterä, Patient education and health-related quality of life: surgical hospital patients as a case in point, J. Nurs. Care Qual. 20 (2005) 307–316.</w:t>
      </w:r>
    </w:p>
    <w:p w14:paraId="16C974DC"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[26]</w:t>
      </w:r>
      <w:r w:rsidRPr="00CD1888">
        <w:rPr>
          <w:noProof/>
        </w:rPr>
        <w:tab/>
        <w:t>R. Suhonen, H. Leino-Kilpi, Adult surgical patients and the information provided to them by nurses: A literature review, Patient Educ. Couns. 61 (2006) 5–15. doi:10.1016/j.pec.2005.02.012.</w:t>
      </w:r>
    </w:p>
    <w:p w14:paraId="4994D026"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[27]</w:t>
      </w:r>
      <w:r w:rsidRPr="00CD1888">
        <w:rPr>
          <w:noProof/>
        </w:rPr>
        <w:tab/>
        <w:t>K. Johansson, L. Nuutila, H. Virtanen, J. Katajisto, S. Salanterä, Preoperative education for orthopaedic patients: systematic review., J. Adv. Nurs. 50 (2005) 212–23. doi:10.1111/j.1365-2648.2005.03381.x.</w:t>
      </w:r>
    </w:p>
    <w:p w14:paraId="6D020C6E"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[28]</w:t>
      </w:r>
      <w:r w:rsidRPr="00CD1888">
        <w:rPr>
          <w:noProof/>
        </w:rPr>
        <w:tab/>
        <w:t>M. Poskiparta, L. Liimatainen, T. Kettunen, P. Karhila, From nurse-centered health counseling to empowermental health counseling, Patient Educ. Couns. 45 (2001) 69–79.</w:t>
      </w:r>
    </w:p>
    <w:p w14:paraId="02A3D4DF"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[29]</w:t>
      </w:r>
      <w:r w:rsidRPr="00CD1888">
        <w:rPr>
          <w:noProof/>
        </w:rPr>
        <w:tab/>
        <w:t>R.M. Anderson, M.M. Funnell, R. Nwankwo, M. Lou Gillard, M. Oh, J.T. Fitzgerald, Evaluating a problem-based empowerment program for African Americans with diabetes: results of a randomized controlled trial, Ethn. Dis. 15 (2005) 671–8.</w:t>
      </w:r>
    </w:p>
    <w:p w14:paraId="622A1AB1"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[30]</w:t>
      </w:r>
      <w:r w:rsidRPr="00CD1888">
        <w:rPr>
          <w:noProof/>
        </w:rPr>
        <w:tab/>
        <w:t>K. Heikkinen, L.K. Helena, N. Taina, K. Anne, S. Sanna, A comparison of two educational interventions for the cognitive empowerment of ambulatory orthopaedic surgery patients, Patient Educ. Couns. 73 (2008) 272–279. doi:10.1016/j.pec.2008.06.015.</w:t>
      </w:r>
    </w:p>
    <w:p w14:paraId="044EF48A"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[31]</w:t>
      </w:r>
      <w:r w:rsidRPr="00CD1888">
        <w:rPr>
          <w:noProof/>
        </w:rPr>
        <w:tab/>
        <w:t>J.-S. Lee, Y.-M. Park, K.-Y. Ha, S.-W. Cho, G.-H. Bak, K.-W. Kim, Preoperative anxiety about spinal surgery under general anesthesia, Eur. Spine J. 25 (2016) 698–707. doi:10.1007/s00586-015-3788-2.</w:t>
      </w:r>
    </w:p>
    <w:p w14:paraId="6407FC64"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[32]</w:t>
      </w:r>
      <w:r w:rsidRPr="00CD1888">
        <w:rPr>
          <w:noProof/>
        </w:rPr>
        <w:tab/>
        <w:t xml:space="preserve">S.-Y. Lin, H.-A. Huang, S.-C. Lin, Y.-T. Huang, K.-Y. Wang, H.-Y. Shi, The effect of an anaesthetic patient information video on perioperative anxiety, Eur. J. Anaesthesiol. 33 </w:t>
      </w:r>
      <w:r w:rsidRPr="00CD1888">
        <w:rPr>
          <w:noProof/>
        </w:rPr>
        <w:lastRenderedPageBreak/>
        <w:t>(2016) 134–139. doi:10.1097/EJA.0000000000000307.</w:t>
      </w:r>
    </w:p>
    <w:p w14:paraId="216A7341"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[33]</w:t>
      </w:r>
      <w:r w:rsidRPr="00CD1888">
        <w:rPr>
          <w:noProof/>
        </w:rPr>
        <w:tab/>
        <w:t>M. Sjöling, G. Nordahl, N. Olofsson, K. Asplund, The impact of preoperative information on state anxiety, postoperative pain and satisfaction with pain management, Patient Educ. Couns. 51 (2003) 169–76.</w:t>
      </w:r>
    </w:p>
    <w:p w14:paraId="0BD43FCF"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[34]</w:t>
      </w:r>
      <w:r w:rsidRPr="00CD1888">
        <w:rPr>
          <w:noProof/>
        </w:rPr>
        <w:tab/>
        <w:t>U.F. Trummer, U.O. Mueller, P. Nowak, T. Stidl, J.M. Pelikan, Does physician-patient communication that aims at empowering patients improve clinical outcome? A case study, Patient Educ. Couns. 61 (2006) 299–306. doi:10.1016/j.pec.2005.04.009.</w:t>
      </w:r>
    </w:p>
    <w:p w14:paraId="68A0AEB4"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[35]</w:t>
      </w:r>
      <w:r w:rsidRPr="00CD1888">
        <w:rPr>
          <w:noProof/>
        </w:rPr>
        <w:tab/>
        <w:t>K. Johansson, S. Salanterä, J. Katajisto, Empowering orthopaedic patients through preadmission education: Results from a clinical study, Patient Educ. Couns. 66 (2007) 84–91. doi:10.1016/j.pec.2006.10.011.</w:t>
      </w:r>
    </w:p>
    <w:p w14:paraId="775B2CAB"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[36]</w:t>
      </w:r>
      <w:r w:rsidRPr="00CD1888">
        <w:rPr>
          <w:noProof/>
        </w:rPr>
        <w:tab/>
        <w:t>H. Leino-Kilpi, W. Gröndahl, A. Pekonen, J. Katajisto, R. Suhonen, K. Valkeapää, et al., Knowledge received by hospital patients-a factor connected with the patient-centred quality of nursing care, Int. J. Nurs. Pract. 21 (2015) 689–698. doi:10.1111/ijn.12277.</w:t>
      </w:r>
    </w:p>
    <w:p w14:paraId="7FCD90EE"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[37]</w:t>
      </w:r>
      <w:r w:rsidRPr="00CD1888">
        <w:rPr>
          <w:noProof/>
        </w:rPr>
        <w:tab/>
        <w:t>J. Hattie, H. Timperley, The Power of Feedback, Rev. Educ. Res. 77 (2007) 81–112.</w:t>
      </w:r>
    </w:p>
    <w:p w14:paraId="0C3E018F"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[38]</w:t>
      </w:r>
      <w:r w:rsidRPr="00CD1888">
        <w:rPr>
          <w:noProof/>
        </w:rPr>
        <w:tab/>
        <w:t>K.S. Khan, D.A. Davies, J.K. Gupta, Formative self-assessment using multiple true-false questions on the Internet: feedback according to confidence about correct knowledge, Med. Teach. 23 (2001) 158–163. doi:10.1080/01421590031075.</w:t>
      </w:r>
    </w:p>
    <w:p w14:paraId="41CE919B"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[39]</w:t>
      </w:r>
      <w:r w:rsidRPr="00CD1888">
        <w:rPr>
          <w:noProof/>
        </w:rPr>
        <w:tab/>
        <w:t>H. Virtanen, H. Leino-Kilpi, S. Salanterä, Empowering discourse in patient education, Patient Educ. Couns. 66 (2007) 140–146. doi:10.1016/j.pec.2006.12.010.</w:t>
      </w:r>
    </w:p>
    <w:p w14:paraId="2CB4CC2A"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[40]</w:t>
      </w:r>
      <w:r w:rsidRPr="00CD1888">
        <w:rPr>
          <w:noProof/>
        </w:rPr>
        <w:tab/>
        <w:t>H. Virtanen, H. Leino-Kilpi, K. Leinonen, P. Puukka, J. Wöntsö, S. Salanterä, Nursing student control over using a computer simulation program about empowering discourse, Comput. Inform. Nurs. 31 (2013) 512–522. doi:10.1097/01.NCN.0000432119.56581.24.</w:t>
      </w:r>
    </w:p>
    <w:p w14:paraId="2F092D78"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[41]</w:t>
      </w:r>
      <w:r w:rsidRPr="00CD1888">
        <w:rPr>
          <w:noProof/>
        </w:rPr>
        <w:tab/>
        <w:t xml:space="preserve">C.D. Spielberger, R.L. Gorsuch, R.E. Lushene, P.R. Vagg, G.A. Jacobs, Manual for the </w:t>
      </w:r>
      <w:r w:rsidRPr="00CD1888">
        <w:rPr>
          <w:noProof/>
        </w:rPr>
        <w:lastRenderedPageBreak/>
        <w:t>State-Trait Anxiety Inventory, Mind Garden Inc, Palo Alto, 1983.</w:t>
      </w:r>
    </w:p>
    <w:p w14:paraId="0E220FA4"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[42]</w:t>
      </w:r>
      <w:r w:rsidRPr="00CD1888">
        <w:rPr>
          <w:noProof/>
        </w:rPr>
        <w:tab/>
        <w:t>T. Treasure, K.D. MacRae, Minimisation is much better than the randomised block design in certain cases, BMJ. 318 (1999) 1420.</w:t>
      </w:r>
    </w:p>
    <w:p w14:paraId="4BBEBF26"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[43]</w:t>
      </w:r>
      <w:r w:rsidRPr="00CD1888">
        <w:rPr>
          <w:noProof/>
        </w:rPr>
        <w:tab/>
        <w:t>G.L. Moseley, M.K. Nicholas, P.W. Hodges, A randomized controlled trial of intensive neurophysiology education in chronic low back pain, Clin. J. Pain. 20 (2004) 324–330.</w:t>
      </w:r>
    </w:p>
    <w:p w14:paraId="6FB7F3F6"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[44]</w:t>
      </w:r>
      <w:r w:rsidRPr="00CD1888">
        <w:rPr>
          <w:noProof/>
        </w:rPr>
        <w:tab/>
        <w:t>T. Kettunen, M. Poskiparta, L. Liimatainen, Empowering counseling - a case study: nurse-patient encounter in a hospital, Health Educ. Res. 16 (2001) 227–238. doi:10.1093/her/16.2.227.</w:t>
      </w:r>
    </w:p>
    <w:p w14:paraId="7F17186D"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[45]</w:t>
      </w:r>
      <w:r w:rsidRPr="00CD1888">
        <w:rPr>
          <w:noProof/>
        </w:rPr>
        <w:tab/>
        <w:t>M.R. Lynn, Determination and quantification of content validity, Nurs. Res. 35 (1986) 382 –385.</w:t>
      </w:r>
    </w:p>
    <w:p w14:paraId="34111BBD"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[46]</w:t>
      </w:r>
      <w:r w:rsidRPr="00CD1888">
        <w:rPr>
          <w:noProof/>
        </w:rPr>
        <w:tab/>
        <w:t>S. Klemetti, I. Kinnunen, T. Suominen, H. Antila, T. Vahlberg, R. Grenman, et al., The effect of preoperative nutritional face-to-face counseling about child’s fasting on parental knowledge, preoperative need-for-information, and anxiety, in pediatric ambulatory tonsillectomy, Patient Educ. Couns. 80 (2010) 64–70. doi:10.1016/j.pec.2009.10.003.</w:t>
      </w:r>
    </w:p>
    <w:p w14:paraId="0F61EB2B"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[47]</w:t>
      </w:r>
      <w:r w:rsidRPr="00CD1888">
        <w:rPr>
          <w:noProof/>
        </w:rPr>
        <w:tab/>
        <w:t>K. Varantola, V. Launis, M. Helin, S.K. Spoof, S. Jäppinen, eds., Responsible conduct of research and procedures for handling allegations of misconduct in Finland, Finnish Advisory Board on Research Integrity, Helsinki, 2013.</w:t>
      </w:r>
    </w:p>
    <w:p w14:paraId="3A878B5E"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[48]</w:t>
      </w:r>
      <w:r w:rsidRPr="00CD1888">
        <w:rPr>
          <w:noProof/>
        </w:rPr>
        <w:tab/>
        <w:t>A. Pearson, R. Wiechula, A. Court, C. Lockwood, The JBI model of evidence-based healthcare, Int. J. Evid. Based. Healthc. 3 (2005) 207–215. doi:10.1111/j.1479-6988.2005.00026.x.</w:t>
      </w:r>
    </w:p>
    <w:p w14:paraId="7CFA5835"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[49]</w:t>
      </w:r>
      <w:r w:rsidRPr="00CD1888">
        <w:rPr>
          <w:noProof/>
        </w:rPr>
        <w:tab/>
        <w:t>C.B. Terwee, S.D.M. Bot, M.R. de Boer, D.A.W.M. van der Windt, D.L. Knol, J. Dekker, et al., Quality criteria were proposed for measurement properties of health status questionnaires, J. Clin. Epidemiol. 60 (2007) 34–42. doi:10.1016/j.jclinepi.2006.03.012.</w:t>
      </w:r>
    </w:p>
    <w:p w14:paraId="2B16D8E6"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lastRenderedPageBreak/>
        <w:t>[50]</w:t>
      </w:r>
      <w:r w:rsidRPr="00CD1888">
        <w:rPr>
          <w:noProof/>
        </w:rPr>
        <w:tab/>
        <w:t>M. Nordlund, L. Stenberg, H.-M. Lempola, Use of information technology, reasons for non-use, age group 75–89 – survey summary, KÄKÄTE Proj. LähiVerkko Proj. (2014). http://www.ikateknologia.fi/images/stories/English/Gallup-koosteEnkku_nettiin.pdf (accessed September 29, 2015).</w:t>
      </w:r>
    </w:p>
    <w:p w14:paraId="268BBBE9"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[51]</w:t>
      </w:r>
      <w:r w:rsidRPr="00CD1888">
        <w:rPr>
          <w:noProof/>
        </w:rPr>
        <w:tab/>
        <w:t>K. Lonka, S. Lindblom-Ylänne, Epistemologies, Conceptions of Learning, and Study Practices in Medicine and Psychology, High. Educ. 31 (1996) 5–24.</w:t>
      </w:r>
    </w:p>
    <w:p w14:paraId="59B490A4"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[52]</w:t>
      </w:r>
      <w:r w:rsidRPr="00CD1888">
        <w:rPr>
          <w:noProof/>
        </w:rPr>
        <w:tab/>
        <w:t>S.K. Grove, N. Burns, J.R. Gray, The practice of nursing research: appraisal, synthesis, and generation of evidence, 7th ed., Elsevier Saunders, St Louis, 2013.</w:t>
      </w:r>
    </w:p>
    <w:p w14:paraId="7F1DC9DA"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[53]</w:t>
      </w:r>
      <w:r w:rsidRPr="00CD1888">
        <w:rPr>
          <w:noProof/>
        </w:rPr>
        <w:tab/>
        <w:t>B. Strömqvist, P. Fritzell, O. Hägg, B. Jönsson, B. Sandén, Swespine: The Swedish spine register the 2012 report, Eur. Spine J. 22 (2013) 953–974. doi:10.1007/s00586-013-2758-9.</w:t>
      </w:r>
    </w:p>
    <w:p w14:paraId="34D5AE13" w14:textId="77777777" w:rsidR="00CD1888" w:rsidRPr="00CD1888" w:rsidRDefault="00CD1888" w:rsidP="00CD1888">
      <w:pPr>
        <w:widowControl w:val="0"/>
        <w:autoSpaceDE w:val="0"/>
        <w:autoSpaceDN w:val="0"/>
        <w:adjustRightInd w:val="0"/>
        <w:spacing w:after="140" w:line="480" w:lineRule="auto"/>
        <w:ind w:left="640" w:hanging="640"/>
        <w:rPr>
          <w:noProof/>
        </w:rPr>
      </w:pPr>
      <w:r w:rsidRPr="00CD1888">
        <w:rPr>
          <w:noProof/>
        </w:rPr>
        <w:t>[54]</w:t>
      </w:r>
      <w:r w:rsidRPr="00CD1888">
        <w:rPr>
          <w:noProof/>
        </w:rPr>
        <w:tab/>
        <w:t>A. Kalenius, Suomalaisten koulutusrakenteen kehitys 1970–2030 [The development of Finnish education structure 1970-2030], The Ministry of Education and Culture, 2014.</w:t>
      </w:r>
    </w:p>
    <w:p w14:paraId="6B34BB94" w14:textId="4E15D986" w:rsidR="0073238C" w:rsidRPr="00CE47DE" w:rsidRDefault="009116AD" w:rsidP="00A73D57">
      <w:pPr>
        <w:widowControl w:val="0"/>
        <w:autoSpaceDE w:val="0"/>
        <w:autoSpaceDN w:val="0"/>
        <w:adjustRightInd w:val="0"/>
        <w:spacing w:after="140" w:line="480" w:lineRule="auto"/>
        <w:ind w:left="640" w:hanging="640"/>
        <w:sectPr w:rsidR="0073238C" w:rsidRPr="00CE47DE" w:rsidSect="00134688">
          <w:footerReference w:type="even" r:id="rId10"/>
          <w:footerReference w:type="default" r:id="rId11"/>
          <w:pgSz w:w="11906" w:h="16838"/>
          <w:pgMar w:top="1417" w:right="1134" w:bottom="1417" w:left="1134" w:header="708" w:footer="708" w:gutter="0"/>
          <w:cols w:space="708"/>
          <w:docGrid w:linePitch="360"/>
        </w:sectPr>
      </w:pPr>
      <w:r w:rsidRPr="00CE47DE">
        <w:fldChar w:fldCharType="end"/>
      </w:r>
    </w:p>
    <w:p w14:paraId="0268C409" w14:textId="5152D427" w:rsidR="00F41A88" w:rsidRPr="00CE47DE" w:rsidRDefault="00266FC5" w:rsidP="00B25C7B">
      <w:pPr>
        <w:spacing w:line="360" w:lineRule="auto"/>
      </w:pPr>
      <w:r w:rsidRPr="00CE47DE">
        <w:rPr>
          <w:b/>
        </w:rPr>
        <w:lastRenderedPageBreak/>
        <w:t>Table 1</w:t>
      </w:r>
      <w:r w:rsidR="00F41A88" w:rsidRPr="00CE47DE">
        <w:rPr>
          <w:b/>
        </w:rPr>
        <w:t>.</w:t>
      </w:r>
      <w:r w:rsidR="00F41A88" w:rsidRPr="00CE47DE">
        <w:t xml:space="preserve"> </w:t>
      </w:r>
      <w:r w:rsidR="006B571F" w:rsidRPr="00CE47DE">
        <w:t>Three e</w:t>
      </w:r>
      <w:r w:rsidR="00F41A88" w:rsidRPr="00CE47DE">
        <w:t>xamples of the item</w:t>
      </w:r>
      <w:r w:rsidR="006B571F" w:rsidRPr="00CE47DE">
        <w:t>s</w:t>
      </w:r>
      <w:r w:rsidR="00166995" w:rsidRPr="00CE47DE">
        <w:t xml:space="preserve"> of the </w:t>
      </w:r>
      <w:r w:rsidR="00DD61DC" w:rsidRPr="00CE47DE">
        <w:t>KNOWBACK Test</w:t>
      </w:r>
    </w:p>
    <w:p w14:paraId="7FED3AF1" w14:textId="77777777" w:rsidR="00F41A88" w:rsidRPr="00CE47DE" w:rsidRDefault="00F41A88" w:rsidP="00B25C7B">
      <w:pPr>
        <w:spacing w:line="360" w:lineRule="auto"/>
      </w:pPr>
    </w:p>
    <w:tbl>
      <w:tblPr>
        <w:tblStyle w:val="TableGrid"/>
        <w:tblW w:w="0" w:type="auto"/>
        <w:tblLook w:val="04A0" w:firstRow="1" w:lastRow="0" w:firstColumn="1" w:lastColumn="0" w:noHBand="0" w:noVBand="1"/>
      </w:tblPr>
      <w:tblGrid>
        <w:gridCol w:w="6912"/>
        <w:gridCol w:w="709"/>
        <w:gridCol w:w="709"/>
        <w:gridCol w:w="1524"/>
      </w:tblGrid>
      <w:tr w:rsidR="00F41A88" w:rsidRPr="00CE47DE" w14:paraId="2F7F3DF3" w14:textId="77777777" w:rsidTr="0003059D">
        <w:tc>
          <w:tcPr>
            <w:tcW w:w="9854" w:type="dxa"/>
            <w:gridSpan w:val="4"/>
            <w:tcBorders>
              <w:left w:val="nil"/>
              <w:bottom w:val="single" w:sz="4" w:space="0" w:color="auto"/>
              <w:right w:val="nil"/>
            </w:tcBorders>
          </w:tcPr>
          <w:p w14:paraId="19A6CFD1" w14:textId="6B83B51B" w:rsidR="00F41A88" w:rsidRPr="00CE47DE" w:rsidRDefault="00DD61DC" w:rsidP="00DD61DC">
            <w:pPr>
              <w:spacing w:line="360" w:lineRule="auto"/>
              <w:rPr>
                <w:b/>
                <w:sz w:val="22"/>
                <w:szCs w:val="22"/>
              </w:rPr>
            </w:pPr>
            <w:r w:rsidRPr="00CE47DE">
              <w:rPr>
                <w:b/>
                <w:sz w:val="22"/>
                <w:szCs w:val="22"/>
              </w:rPr>
              <w:t>KNOWBACK Test</w:t>
            </w:r>
            <w:r w:rsidR="00F41A88" w:rsidRPr="00CE47DE">
              <w:rPr>
                <w:b/>
                <w:sz w:val="22"/>
                <w:szCs w:val="22"/>
              </w:rPr>
              <w:t xml:space="preserve"> </w:t>
            </w:r>
          </w:p>
        </w:tc>
      </w:tr>
      <w:tr w:rsidR="00F41A88" w:rsidRPr="00CE47DE" w14:paraId="2E202783" w14:textId="77777777" w:rsidTr="0003059D">
        <w:tc>
          <w:tcPr>
            <w:tcW w:w="6912" w:type="dxa"/>
            <w:tcBorders>
              <w:top w:val="single" w:sz="4" w:space="0" w:color="auto"/>
              <w:left w:val="nil"/>
              <w:bottom w:val="nil"/>
              <w:right w:val="nil"/>
            </w:tcBorders>
          </w:tcPr>
          <w:p w14:paraId="3F784F85" w14:textId="077EA861" w:rsidR="00F41A88" w:rsidRPr="00CE47DE" w:rsidRDefault="0040164A" w:rsidP="00B25C7B">
            <w:pPr>
              <w:spacing w:line="360" w:lineRule="auto"/>
              <w:rPr>
                <w:sz w:val="22"/>
                <w:szCs w:val="22"/>
              </w:rPr>
            </w:pPr>
            <w:r w:rsidRPr="00CE47DE">
              <w:rPr>
                <w:sz w:val="22"/>
                <w:szCs w:val="22"/>
              </w:rPr>
              <w:t>Bed rest after spinal surgery enhances the recovery</w:t>
            </w:r>
            <w:r w:rsidR="006B571F" w:rsidRPr="00CE47DE">
              <w:rPr>
                <w:sz w:val="22"/>
                <w:szCs w:val="22"/>
              </w:rPr>
              <w:t>.</w:t>
            </w:r>
          </w:p>
        </w:tc>
        <w:tc>
          <w:tcPr>
            <w:tcW w:w="709" w:type="dxa"/>
            <w:tcBorders>
              <w:top w:val="single" w:sz="4" w:space="0" w:color="auto"/>
              <w:left w:val="nil"/>
              <w:bottom w:val="nil"/>
              <w:right w:val="nil"/>
            </w:tcBorders>
          </w:tcPr>
          <w:p w14:paraId="058F7CA8" w14:textId="38A043F7" w:rsidR="00F41A88" w:rsidRPr="00CE47DE" w:rsidRDefault="00F41A88" w:rsidP="00B25C7B">
            <w:pPr>
              <w:spacing w:line="360" w:lineRule="auto"/>
              <w:rPr>
                <w:sz w:val="22"/>
                <w:szCs w:val="22"/>
              </w:rPr>
            </w:pPr>
            <w:r w:rsidRPr="00CE47DE">
              <w:rPr>
                <w:sz w:val="22"/>
                <w:szCs w:val="22"/>
              </w:rPr>
              <w:t>true</w:t>
            </w:r>
          </w:p>
        </w:tc>
        <w:tc>
          <w:tcPr>
            <w:tcW w:w="709" w:type="dxa"/>
            <w:tcBorders>
              <w:top w:val="single" w:sz="4" w:space="0" w:color="auto"/>
              <w:left w:val="nil"/>
              <w:bottom w:val="nil"/>
              <w:right w:val="nil"/>
            </w:tcBorders>
          </w:tcPr>
          <w:p w14:paraId="6CADFC9D" w14:textId="4678FAB9" w:rsidR="00F41A88" w:rsidRPr="00CE47DE" w:rsidRDefault="00F41A88" w:rsidP="00B25C7B">
            <w:pPr>
              <w:spacing w:line="360" w:lineRule="auto"/>
              <w:rPr>
                <w:sz w:val="22"/>
                <w:szCs w:val="22"/>
              </w:rPr>
            </w:pPr>
            <w:r w:rsidRPr="00CE47DE">
              <w:rPr>
                <w:sz w:val="22"/>
                <w:szCs w:val="22"/>
              </w:rPr>
              <w:t>false</w:t>
            </w:r>
          </w:p>
        </w:tc>
        <w:tc>
          <w:tcPr>
            <w:tcW w:w="1524" w:type="dxa"/>
            <w:tcBorders>
              <w:top w:val="single" w:sz="4" w:space="0" w:color="auto"/>
              <w:left w:val="nil"/>
              <w:bottom w:val="nil"/>
              <w:right w:val="nil"/>
            </w:tcBorders>
          </w:tcPr>
          <w:p w14:paraId="69C10D17" w14:textId="1C347F35" w:rsidR="00F41A88" w:rsidRPr="00CE47DE" w:rsidRDefault="00F41A88" w:rsidP="00B25C7B">
            <w:pPr>
              <w:spacing w:line="360" w:lineRule="auto"/>
              <w:rPr>
                <w:sz w:val="22"/>
                <w:szCs w:val="22"/>
              </w:rPr>
            </w:pPr>
            <w:r w:rsidRPr="00CE47DE">
              <w:rPr>
                <w:sz w:val="22"/>
                <w:szCs w:val="22"/>
              </w:rPr>
              <w:t>I don’t know</w:t>
            </w:r>
          </w:p>
        </w:tc>
      </w:tr>
      <w:tr w:rsidR="00F41A88" w:rsidRPr="00CE47DE" w14:paraId="55C12F71" w14:textId="77777777" w:rsidTr="0003059D">
        <w:tc>
          <w:tcPr>
            <w:tcW w:w="6912" w:type="dxa"/>
            <w:tcBorders>
              <w:top w:val="nil"/>
              <w:left w:val="nil"/>
              <w:bottom w:val="nil"/>
              <w:right w:val="nil"/>
            </w:tcBorders>
          </w:tcPr>
          <w:p w14:paraId="2298A59B" w14:textId="210E3B46" w:rsidR="00F41A88" w:rsidRPr="00CE47DE" w:rsidRDefault="0040164A" w:rsidP="00B25C7B">
            <w:pPr>
              <w:spacing w:line="360" w:lineRule="auto"/>
              <w:rPr>
                <w:sz w:val="22"/>
                <w:szCs w:val="22"/>
              </w:rPr>
            </w:pPr>
            <w:r w:rsidRPr="00CE47DE">
              <w:rPr>
                <w:sz w:val="22"/>
                <w:szCs w:val="22"/>
              </w:rPr>
              <w:t>Smoking enhances the healing of the operation wound</w:t>
            </w:r>
            <w:r w:rsidR="006B571F" w:rsidRPr="00CE47DE">
              <w:rPr>
                <w:sz w:val="22"/>
                <w:szCs w:val="22"/>
              </w:rPr>
              <w:t>.</w:t>
            </w:r>
            <w:r w:rsidRPr="00CE47DE">
              <w:rPr>
                <w:sz w:val="22"/>
                <w:szCs w:val="22"/>
              </w:rPr>
              <w:t xml:space="preserve"> </w:t>
            </w:r>
          </w:p>
        </w:tc>
        <w:tc>
          <w:tcPr>
            <w:tcW w:w="709" w:type="dxa"/>
            <w:tcBorders>
              <w:top w:val="nil"/>
              <w:left w:val="nil"/>
              <w:bottom w:val="nil"/>
              <w:right w:val="nil"/>
            </w:tcBorders>
          </w:tcPr>
          <w:p w14:paraId="5515FD0E" w14:textId="775C3C0F" w:rsidR="00F41A88" w:rsidRPr="00CE47DE" w:rsidRDefault="00F41A88" w:rsidP="00B25C7B">
            <w:pPr>
              <w:spacing w:line="360" w:lineRule="auto"/>
              <w:rPr>
                <w:sz w:val="22"/>
                <w:szCs w:val="22"/>
              </w:rPr>
            </w:pPr>
            <w:r w:rsidRPr="00CE47DE">
              <w:rPr>
                <w:sz w:val="22"/>
                <w:szCs w:val="22"/>
              </w:rPr>
              <w:t>true</w:t>
            </w:r>
          </w:p>
        </w:tc>
        <w:tc>
          <w:tcPr>
            <w:tcW w:w="709" w:type="dxa"/>
            <w:tcBorders>
              <w:top w:val="nil"/>
              <w:left w:val="nil"/>
              <w:bottom w:val="nil"/>
              <w:right w:val="nil"/>
            </w:tcBorders>
          </w:tcPr>
          <w:p w14:paraId="4799E272" w14:textId="301A9B38" w:rsidR="00F41A88" w:rsidRPr="00CE47DE" w:rsidRDefault="00F41A88" w:rsidP="00B25C7B">
            <w:pPr>
              <w:spacing w:line="360" w:lineRule="auto"/>
              <w:rPr>
                <w:sz w:val="22"/>
                <w:szCs w:val="22"/>
              </w:rPr>
            </w:pPr>
            <w:r w:rsidRPr="00CE47DE">
              <w:rPr>
                <w:sz w:val="22"/>
                <w:szCs w:val="22"/>
              </w:rPr>
              <w:t>false</w:t>
            </w:r>
          </w:p>
        </w:tc>
        <w:tc>
          <w:tcPr>
            <w:tcW w:w="1524" w:type="dxa"/>
            <w:tcBorders>
              <w:top w:val="nil"/>
              <w:left w:val="nil"/>
              <w:bottom w:val="nil"/>
              <w:right w:val="nil"/>
            </w:tcBorders>
          </w:tcPr>
          <w:p w14:paraId="7590F984" w14:textId="20081535" w:rsidR="00F41A88" w:rsidRPr="00CE47DE" w:rsidRDefault="00F41A88" w:rsidP="00B25C7B">
            <w:pPr>
              <w:spacing w:line="360" w:lineRule="auto"/>
              <w:rPr>
                <w:sz w:val="22"/>
                <w:szCs w:val="22"/>
              </w:rPr>
            </w:pPr>
            <w:r w:rsidRPr="00CE47DE">
              <w:rPr>
                <w:sz w:val="22"/>
                <w:szCs w:val="22"/>
              </w:rPr>
              <w:t>I don’t know</w:t>
            </w:r>
          </w:p>
        </w:tc>
      </w:tr>
      <w:tr w:rsidR="00F41A88" w:rsidRPr="00CE47DE" w14:paraId="7ECDF2EF" w14:textId="77777777" w:rsidTr="0003059D">
        <w:tc>
          <w:tcPr>
            <w:tcW w:w="6912" w:type="dxa"/>
            <w:tcBorders>
              <w:top w:val="nil"/>
              <w:left w:val="nil"/>
              <w:bottom w:val="single" w:sz="4" w:space="0" w:color="auto"/>
              <w:right w:val="nil"/>
            </w:tcBorders>
          </w:tcPr>
          <w:p w14:paraId="6F45F0DE" w14:textId="3A04C273" w:rsidR="00F41A88" w:rsidRPr="00CE47DE" w:rsidRDefault="006B571F" w:rsidP="006B571F">
            <w:pPr>
              <w:rPr>
                <w:sz w:val="22"/>
                <w:szCs w:val="22"/>
              </w:rPr>
            </w:pPr>
            <w:proofErr w:type="gramStart"/>
            <w:r w:rsidRPr="00CE47DE">
              <w:rPr>
                <w:sz w:val="22"/>
                <w:szCs w:val="22"/>
              </w:rPr>
              <w:t>Patient’s</w:t>
            </w:r>
            <w:proofErr w:type="gramEnd"/>
            <w:r w:rsidRPr="00CE47DE">
              <w:rPr>
                <w:sz w:val="22"/>
                <w:szCs w:val="22"/>
              </w:rPr>
              <w:t xml:space="preserve"> significant others can read the patient’s health history whenever they wish.</w:t>
            </w:r>
          </w:p>
        </w:tc>
        <w:tc>
          <w:tcPr>
            <w:tcW w:w="709" w:type="dxa"/>
            <w:tcBorders>
              <w:top w:val="nil"/>
              <w:left w:val="nil"/>
              <w:bottom w:val="single" w:sz="4" w:space="0" w:color="auto"/>
              <w:right w:val="nil"/>
            </w:tcBorders>
          </w:tcPr>
          <w:p w14:paraId="69366749" w14:textId="287909C8" w:rsidR="00F41A88" w:rsidRPr="00CE47DE" w:rsidRDefault="00F41A88" w:rsidP="00B25C7B">
            <w:pPr>
              <w:spacing w:line="360" w:lineRule="auto"/>
              <w:rPr>
                <w:sz w:val="22"/>
                <w:szCs w:val="22"/>
              </w:rPr>
            </w:pPr>
            <w:r w:rsidRPr="00CE47DE">
              <w:rPr>
                <w:sz w:val="22"/>
                <w:szCs w:val="22"/>
              </w:rPr>
              <w:t>true</w:t>
            </w:r>
          </w:p>
        </w:tc>
        <w:tc>
          <w:tcPr>
            <w:tcW w:w="709" w:type="dxa"/>
            <w:tcBorders>
              <w:top w:val="nil"/>
              <w:left w:val="nil"/>
              <w:bottom w:val="single" w:sz="4" w:space="0" w:color="auto"/>
              <w:right w:val="nil"/>
            </w:tcBorders>
          </w:tcPr>
          <w:p w14:paraId="6725586C" w14:textId="07C188B1" w:rsidR="00F41A88" w:rsidRPr="00CE47DE" w:rsidRDefault="00F41A88" w:rsidP="00B25C7B">
            <w:pPr>
              <w:spacing w:line="360" w:lineRule="auto"/>
              <w:rPr>
                <w:sz w:val="22"/>
                <w:szCs w:val="22"/>
              </w:rPr>
            </w:pPr>
            <w:r w:rsidRPr="00CE47DE">
              <w:rPr>
                <w:sz w:val="22"/>
                <w:szCs w:val="22"/>
              </w:rPr>
              <w:t>false</w:t>
            </w:r>
          </w:p>
        </w:tc>
        <w:tc>
          <w:tcPr>
            <w:tcW w:w="1524" w:type="dxa"/>
            <w:tcBorders>
              <w:top w:val="nil"/>
              <w:left w:val="nil"/>
              <w:bottom w:val="single" w:sz="4" w:space="0" w:color="auto"/>
              <w:right w:val="nil"/>
            </w:tcBorders>
          </w:tcPr>
          <w:p w14:paraId="1EBE1F92" w14:textId="712267AB" w:rsidR="00F41A88" w:rsidRPr="00CE47DE" w:rsidRDefault="00F41A88" w:rsidP="00B25C7B">
            <w:pPr>
              <w:spacing w:line="360" w:lineRule="auto"/>
              <w:rPr>
                <w:sz w:val="22"/>
                <w:szCs w:val="22"/>
              </w:rPr>
            </w:pPr>
            <w:r w:rsidRPr="00CE47DE">
              <w:rPr>
                <w:sz w:val="22"/>
                <w:szCs w:val="22"/>
              </w:rPr>
              <w:t>I don’t know</w:t>
            </w:r>
          </w:p>
        </w:tc>
      </w:tr>
    </w:tbl>
    <w:p w14:paraId="74ECA455" w14:textId="59BB45E9" w:rsidR="000A3A36" w:rsidRPr="00CE47DE" w:rsidRDefault="0003059D" w:rsidP="00B25C7B">
      <w:pPr>
        <w:spacing w:line="360" w:lineRule="auto"/>
        <w:sectPr w:rsidR="000A3A36" w:rsidRPr="00CE47DE" w:rsidSect="00134688">
          <w:pgSz w:w="11906" w:h="16838"/>
          <w:pgMar w:top="1417" w:right="1134" w:bottom="1417" w:left="1134" w:header="708" w:footer="708" w:gutter="0"/>
          <w:cols w:space="708"/>
          <w:docGrid w:linePitch="360"/>
        </w:sectPr>
      </w:pPr>
      <w:r w:rsidRPr="00CE47DE">
        <w:br w:type="page"/>
      </w:r>
    </w:p>
    <w:p w14:paraId="372C559D" w14:textId="3D20A168" w:rsidR="0076236A" w:rsidRPr="00CE47DE" w:rsidRDefault="00266FC5" w:rsidP="00DC0313">
      <w:r w:rsidRPr="00CE47DE">
        <w:rPr>
          <w:b/>
        </w:rPr>
        <w:lastRenderedPageBreak/>
        <w:t>Table 2</w:t>
      </w:r>
      <w:r w:rsidR="00552EEC" w:rsidRPr="00CE47DE">
        <w:rPr>
          <w:b/>
        </w:rPr>
        <w:t>.</w:t>
      </w:r>
      <w:r w:rsidR="00552EEC" w:rsidRPr="00CE47DE">
        <w:t xml:space="preserve"> </w:t>
      </w:r>
      <w:r w:rsidR="00C27449" w:rsidRPr="00CE47DE">
        <w:t>Participant</w:t>
      </w:r>
      <w:r w:rsidR="0076236A" w:rsidRPr="00CE47DE">
        <w:t xml:space="preserve"> characteristics </w:t>
      </w:r>
      <w:r w:rsidR="001527DC" w:rsidRPr="00CE47DE">
        <w:t>at baseline, p-values describe</w:t>
      </w:r>
      <w:r w:rsidR="00EB6BE7" w:rsidRPr="00CE47DE">
        <w:t xml:space="preserve"> the between</w:t>
      </w:r>
      <w:r w:rsidR="001527DC" w:rsidRPr="00CE47DE">
        <w:t xml:space="preserve"> </w:t>
      </w:r>
      <w:r w:rsidR="002265AC" w:rsidRPr="00CE47DE">
        <w:t xml:space="preserve">group </w:t>
      </w:r>
      <w:r w:rsidR="0007786D" w:rsidRPr="00CE47DE">
        <w:t>differe</w:t>
      </w:r>
      <w:r w:rsidR="00666769" w:rsidRPr="00CE47DE">
        <w:t>nces</w:t>
      </w:r>
    </w:p>
    <w:tbl>
      <w:tblPr>
        <w:tblStyle w:val="TableGrid"/>
        <w:tblW w:w="0" w:type="auto"/>
        <w:tblLook w:val="04A0" w:firstRow="1" w:lastRow="0" w:firstColumn="1" w:lastColumn="0" w:noHBand="0" w:noVBand="1"/>
      </w:tblPr>
      <w:tblGrid>
        <w:gridCol w:w="2918"/>
        <w:gridCol w:w="1301"/>
        <w:gridCol w:w="1276"/>
        <w:gridCol w:w="992"/>
      </w:tblGrid>
      <w:tr w:rsidR="002C55FB" w:rsidRPr="00CE47DE" w14:paraId="132ED992" w14:textId="1E0ACD81" w:rsidTr="00752B5F">
        <w:tc>
          <w:tcPr>
            <w:tcW w:w="2918" w:type="dxa"/>
            <w:tcBorders>
              <w:left w:val="nil"/>
              <w:bottom w:val="single" w:sz="4" w:space="0" w:color="auto"/>
              <w:right w:val="nil"/>
            </w:tcBorders>
          </w:tcPr>
          <w:p w14:paraId="03CC86C3" w14:textId="77777777" w:rsidR="002C55FB" w:rsidRPr="00CE47DE" w:rsidRDefault="002C55FB" w:rsidP="00655D8C"/>
        </w:tc>
        <w:tc>
          <w:tcPr>
            <w:tcW w:w="1301" w:type="dxa"/>
            <w:tcBorders>
              <w:left w:val="nil"/>
              <w:bottom w:val="single" w:sz="4" w:space="0" w:color="auto"/>
              <w:right w:val="nil"/>
            </w:tcBorders>
          </w:tcPr>
          <w:p w14:paraId="585A9E5C" w14:textId="3170096D" w:rsidR="002C55FB" w:rsidRPr="00CE47DE" w:rsidRDefault="0093222D" w:rsidP="00697779">
            <w:r w:rsidRPr="00CE47DE">
              <w:t xml:space="preserve">IG </w:t>
            </w:r>
            <w:r w:rsidR="00697779" w:rsidRPr="00CE47DE">
              <w:t>n</w:t>
            </w:r>
            <w:r w:rsidRPr="00CE47DE">
              <w:t xml:space="preserve"> (</w:t>
            </w:r>
            <w:r w:rsidR="00697779" w:rsidRPr="00CE47DE">
              <w:t>%</w:t>
            </w:r>
            <w:r w:rsidRPr="00CE47DE">
              <w:t>)</w:t>
            </w:r>
            <w:r w:rsidR="002C55FB" w:rsidRPr="00CE47DE">
              <w:t xml:space="preserve"> </w:t>
            </w:r>
          </w:p>
        </w:tc>
        <w:tc>
          <w:tcPr>
            <w:tcW w:w="1276" w:type="dxa"/>
            <w:tcBorders>
              <w:left w:val="nil"/>
              <w:bottom w:val="single" w:sz="4" w:space="0" w:color="auto"/>
              <w:right w:val="nil"/>
            </w:tcBorders>
          </w:tcPr>
          <w:p w14:paraId="277A201E" w14:textId="1239875C" w:rsidR="002C55FB" w:rsidRPr="00CE47DE" w:rsidRDefault="002E0A5D" w:rsidP="00697779">
            <w:r w:rsidRPr="00CE47DE">
              <w:t>CG</w:t>
            </w:r>
            <w:r w:rsidR="002C55FB" w:rsidRPr="00CE47DE">
              <w:t xml:space="preserve"> </w:t>
            </w:r>
            <w:r w:rsidR="00697779" w:rsidRPr="00CE47DE">
              <w:t>n</w:t>
            </w:r>
            <w:r w:rsidR="002265AC" w:rsidRPr="00CE47DE">
              <w:t xml:space="preserve"> </w:t>
            </w:r>
            <w:r w:rsidR="002C55FB" w:rsidRPr="00CE47DE">
              <w:t>(</w:t>
            </w:r>
            <w:r w:rsidR="00697779" w:rsidRPr="00CE47DE">
              <w:t>%</w:t>
            </w:r>
            <w:r w:rsidR="002C55FB" w:rsidRPr="00CE47DE">
              <w:t>)</w:t>
            </w:r>
          </w:p>
        </w:tc>
        <w:tc>
          <w:tcPr>
            <w:tcW w:w="992" w:type="dxa"/>
            <w:tcBorders>
              <w:left w:val="nil"/>
              <w:bottom w:val="single" w:sz="4" w:space="0" w:color="auto"/>
              <w:right w:val="nil"/>
            </w:tcBorders>
          </w:tcPr>
          <w:p w14:paraId="1F7A993E" w14:textId="4AA8D778" w:rsidR="002C55FB" w:rsidRPr="00CE47DE" w:rsidRDefault="00752B5F" w:rsidP="00655D8C">
            <w:r w:rsidRPr="00CE47DE">
              <w:t>p</w:t>
            </w:r>
            <w:r w:rsidR="00E83F2F" w:rsidRPr="00CE47DE">
              <w:t>-v</w:t>
            </w:r>
            <w:r w:rsidR="002C55FB" w:rsidRPr="00CE47DE">
              <w:t>alue</w:t>
            </w:r>
          </w:p>
        </w:tc>
      </w:tr>
      <w:tr w:rsidR="0093222D" w:rsidRPr="00CE47DE" w14:paraId="18837280" w14:textId="3D55AF06" w:rsidTr="00752B5F">
        <w:trPr>
          <w:trHeight w:val="156"/>
        </w:trPr>
        <w:tc>
          <w:tcPr>
            <w:tcW w:w="2918" w:type="dxa"/>
            <w:tcBorders>
              <w:left w:val="nil"/>
              <w:bottom w:val="nil"/>
              <w:right w:val="nil"/>
            </w:tcBorders>
          </w:tcPr>
          <w:p w14:paraId="075D7223" w14:textId="12E54BF1" w:rsidR="0093222D" w:rsidRPr="00CE47DE" w:rsidRDefault="0093222D" w:rsidP="00EF0FCB">
            <w:r w:rsidRPr="00CE47DE">
              <w:rPr>
                <w:b/>
              </w:rPr>
              <w:t>Gender</w:t>
            </w:r>
          </w:p>
        </w:tc>
        <w:tc>
          <w:tcPr>
            <w:tcW w:w="1301" w:type="dxa"/>
            <w:tcBorders>
              <w:left w:val="nil"/>
              <w:bottom w:val="nil"/>
              <w:right w:val="nil"/>
            </w:tcBorders>
          </w:tcPr>
          <w:p w14:paraId="26F04FC1" w14:textId="2EE49999" w:rsidR="0093222D" w:rsidRPr="00CE47DE" w:rsidRDefault="0093222D" w:rsidP="00655D8C"/>
        </w:tc>
        <w:tc>
          <w:tcPr>
            <w:tcW w:w="1276" w:type="dxa"/>
            <w:tcBorders>
              <w:left w:val="nil"/>
              <w:bottom w:val="nil"/>
              <w:right w:val="nil"/>
            </w:tcBorders>
          </w:tcPr>
          <w:p w14:paraId="6C306AF0" w14:textId="4CD3A46B" w:rsidR="0093222D" w:rsidRPr="00CE47DE" w:rsidRDefault="0093222D" w:rsidP="00655D8C"/>
        </w:tc>
        <w:tc>
          <w:tcPr>
            <w:tcW w:w="992" w:type="dxa"/>
            <w:vMerge w:val="restart"/>
            <w:tcBorders>
              <w:left w:val="nil"/>
              <w:bottom w:val="nil"/>
              <w:right w:val="nil"/>
            </w:tcBorders>
          </w:tcPr>
          <w:p w14:paraId="0B13570E" w14:textId="77777777" w:rsidR="0093222D" w:rsidRPr="00CE47DE" w:rsidRDefault="0093222D" w:rsidP="00655D8C"/>
          <w:p w14:paraId="1B28484E" w14:textId="7FFF7BDD" w:rsidR="0093222D" w:rsidRPr="00CE47DE" w:rsidRDefault="0093222D" w:rsidP="00655D8C">
            <w:r w:rsidRPr="00CE47DE">
              <w:t>0.677</w:t>
            </w:r>
          </w:p>
        </w:tc>
      </w:tr>
      <w:tr w:rsidR="0093222D" w:rsidRPr="00CE47DE" w14:paraId="0B84DC87" w14:textId="77777777" w:rsidTr="00752B5F">
        <w:trPr>
          <w:trHeight w:val="156"/>
        </w:trPr>
        <w:tc>
          <w:tcPr>
            <w:tcW w:w="2918" w:type="dxa"/>
            <w:tcBorders>
              <w:top w:val="nil"/>
              <w:left w:val="nil"/>
              <w:bottom w:val="nil"/>
              <w:right w:val="nil"/>
            </w:tcBorders>
          </w:tcPr>
          <w:p w14:paraId="6A92F73B" w14:textId="1E656CDA" w:rsidR="0093222D" w:rsidRPr="00CE47DE" w:rsidRDefault="0093222D" w:rsidP="00655D8C">
            <w:r w:rsidRPr="00CE47DE">
              <w:t>Male</w:t>
            </w:r>
          </w:p>
        </w:tc>
        <w:tc>
          <w:tcPr>
            <w:tcW w:w="1301" w:type="dxa"/>
            <w:tcBorders>
              <w:top w:val="nil"/>
              <w:left w:val="nil"/>
              <w:bottom w:val="nil"/>
              <w:right w:val="nil"/>
            </w:tcBorders>
          </w:tcPr>
          <w:p w14:paraId="23239111" w14:textId="2FABD0D9" w:rsidR="0093222D" w:rsidRPr="00CE47DE" w:rsidRDefault="00697779" w:rsidP="00697779">
            <w:r w:rsidRPr="00CE47DE">
              <w:t xml:space="preserve">17 </w:t>
            </w:r>
            <w:r w:rsidR="0093222D" w:rsidRPr="00CE47DE">
              <w:t>(</w:t>
            </w:r>
            <w:r w:rsidRPr="00CE47DE">
              <w:t>34</w:t>
            </w:r>
            <w:r w:rsidR="0093222D" w:rsidRPr="00CE47DE">
              <w:t>)</w:t>
            </w:r>
          </w:p>
        </w:tc>
        <w:tc>
          <w:tcPr>
            <w:tcW w:w="1276" w:type="dxa"/>
            <w:tcBorders>
              <w:top w:val="nil"/>
              <w:left w:val="nil"/>
              <w:bottom w:val="nil"/>
              <w:right w:val="nil"/>
            </w:tcBorders>
          </w:tcPr>
          <w:p w14:paraId="2680EB9B" w14:textId="3ED775F7" w:rsidR="0093222D" w:rsidRPr="00CE47DE" w:rsidRDefault="00697779" w:rsidP="00697779">
            <w:r w:rsidRPr="00CE47DE">
              <w:t>19</w:t>
            </w:r>
            <w:r w:rsidR="0093222D" w:rsidRPr="00CE47DE">
              <w:t xml:space="preserve"> (</w:t>
            </w:r>
            <w:r w:rsidRPr="00CE47DE">
              <w:t>38</w:t>
            </w:r>
            <w:r w:rsidR="0093222D" w:rsidRPr="00CE47DE">
              <w:t>)</w:t>
            </w:r>
          </w:p>
        </w:tc>
        <w:tc>
          <w:tcPr>
            <w:tcW w:w="992" w:type="dxa"/>
            <w:vMerge/>
            <w:tcBorders>
              <w:top w:val="nil"/>
              <w:left w:val="nil"/>
              <w:bottom w:val="nil"/>
              <w:right w:val="nil"/>
            </w:tcBorders>
          </w:tcPr>
          <w:p w14:paraId="3ADB5627" w14:textId="77777777" w:rsidR="0093222D" w:rsidRPr="00CE47DE" w:rsidRDefault="0093222D" w:rsidP="00655D8C"/>
        </w:tc>
      </w:tr>
      <w:tr w:rsidR="0093222D" w:rsidRPr="00CE47DE" w14:paraId="46A223A1" w14:textId="77777777" w:rsidTr="00752B5F">
        <w:trPr>
          <w:trHeight w:val="156"/>
        </w:trPr>
        <w:tc>
          <w:tcPr>
            <w:tcW w:w="2918" w:type="dxa"/>
            <w:tcBorders>
              <w:top w:val="nil"/>
              <w:left w:val="nil"/>
              <w:bottom w:val="single" w:sz="4" w:space="0" w:color="auto"/>
              <w:right w:val="nil"/>
            </w:tcBorders>
          </w:tcPr>
          <w:p w14:paraId="030CF007" w14:textId="7F1AA0CD" w:rsidR="0093222D" w:rsidRPr="00CE47DE" w:rsidRDefault="0093222D" w:rsidP="00655D8C">
            <w:r w:rsidRPr="00CE47DE">
              <w:t>Female</w:t>
            </w:r>
          </w:p>
        </w:tc>
        <w:tc>
          <w:tcPr>
            <w:tcW w:w="1301" w:type="dxa"/>
            <w:tcBorders>
              <w:top w:val="nil"/>
              <w:left w:val="nil"/>
              <w:bottom w:val="single" w:sz="4" w:space="0" w:color="auto"/>
              <w:right w:val="nil"/>
            </w:tcBorders>
          </w:tcPr>
          <w:p w14:paraId="2260ECE0" w14:textId="6A7D36BD" w:rsidR="0093222D" w:rsidRPr="00CE47DE" w:rsidRDefault="00697779" w:rsidP="00697779">
            <w:r w:rsidRPr="00CE47DE">
              <w:t>33</w:t>
            </w:r>
            <w:r w:rsidR="0093222D" w:rsidRPr="00CE47DE">
              <w:t xml:space="preserve"> (</w:t>
            </w:r>
            <w:r w:rsidRPr="00CE47DE">
              <w:t>66</w:t>
            </w:r>
            <w:r w:rsidR="0093222D" w:rsidRPr="00CE47DE">
              <w:t>)</w:t>
            </w:r>
          </w:p>
        </w:tc>
        <w:tc>
          <w:tcPr>
            <w:tcW w:w="1276" w:type="dxa"/>
            <w:tcBorders>
              <w:top w:val="nil"/>
              <w:left w:val="nil"/>
              <w:bottom w:val="single" w:sz="4" w:space="0" w:color="auto"/>
              <w:right w:val="nil"/>
            </w:tcBorders>
          </w:tcPr>
          <w:p w14:paraId="7B6C06EB" w14:textId="24BC188C" w:rsidR="0093222D" w:rsidRPr="00CE47DE" w:rsidRDefault="00697779" w:rsidP="00697779">
            <w:r w:rsidRPr="00CE47DE">
              <w:t>31</w:t>
            </w:r>
            <w:r w:rsidR="0093222D" w:rsidRPr="00CE47DE">
              <w:t xml:space="preserve"> (</w:t>
            </w:r>
            <w:r w:rsidRPr="00CE47DE">
              <w:t>62</w:t>
            </w:r>
            <w:r w:rsidR="0093222D" w:rsidRPr="00CE47DE">
              <w:t>)</w:t>
            </w:r>
          </w:p>
        </w:tc>
        <w:tc>
          <w:tcPr>
            <w:tcW w:w="992" w:type="dxa"/>
            <w:vMerge/>
            <w:tcBorders>
              <w:top w:val="nil"/>
              <w:left w:val="nil"/>
              <w:bottom w:val="single" w:sz="4" w:space="0" w:color="auto"/>
              <w:right w:val="nil"/>
            </w:tcBorders>
          </w:tcPr>
          <w:p w14:paraId="7A526964" w14:textId="77777777" w:rsidR="0093222D" w:rsidRPr="00CE47DE" w:rsidRDefault="0093222D" w:rsidP="00655D8C"/>
        </w:tc>
      </w:tr>
      <w:tr w:rsidR="0093222D" w:rsidRPr="00CE47DE" w14:paraId="5FE02292" w14:textId="77777777" w:rsidTr="00752B5F">
        <w:trPr>
          <w:trHeight w:val="156"/>
        </w:trPr>
        <w:tc>
          <w:tcPr>
            <w:tcW w:w="2918" w:type="dxa"/>
            <w:tcBorders>
              <w:left w:val="nil"/>
              <w:bottom w:val="nil"/>
              <w:right w:val="nil"/>
            </w:tcBorders>
          </w:tcPr>
          <w:p w14:paraId="4031AA2A" w14:textId="67E5C2A5" w:rsidR="0093222D" w:rsidRPr="00CE47DE" w:rsidRDefault="0093222D" w:rsidP="00655D8C">
            <w:pPr>
              <w:rPr>
                <w:b/>
              </w:rPr>
            </w:pPr>
            <w:r w:rsidRPr="00CE47DE">
              <w:rPr>
                <w:b/>
              </w:rPr>
              <w:t>Age</w:t>
            </w:r>
          </w:p>
        </w:tc>
        <w:tc>
          <w:tcPr>
            <w:tcW w:w="1301" w:type="dxa"/>
            <w:tcBorders>
              <w:left w:val="nil"/>
              <w:bottom w:val="nil"/>
              <w:right w:val="nil"/>
            </w:tcBorders>
          </w:tcPr>
          <w:p w14:paraId="4C59D3B1" w14:textId="77777777" w:rsidR="0093222D" w:rsidRPr="00CE47DE" w:rsidRDefault="0093222D" w:rsidP="00655D8C"/>
        </w:tc>
        <w:tc>
          <w:tcPr>
            <w:tcW w:w="1276" w:type="dxa"/>
            <w:tcBorders>
              <w:left w:val="nil"/>
              <w:bottom w:val="nil"/>
              <w:right w:val="nil"/>
            </w:tcBorders>
          </w:tcPr>
          <w:p w14:paraId="2D1AFD40" w14:textId="77777777" w:rsidR="0093222D" w:rsidRPr="00CE47DE" w:rsidRDefault="0093222D" w:rsidP="00655D8C"/>
        </w:tc>
        <w:tc>
          <w:tcPr>
            <w:tcW w:w="992" w:type="dxa"/>
            <w:tcBorders>
              <w:left w:val="nil"/>
              <w:bottom w:val="nil"/>
              <w:right w:val="nil"/>
            </w:tcBorders>
          </w:tcPr>
          <w:p w14:paraId="7F7252D1" w14:textId="77777777" w:rsidR="0093222D" w:rsidRPr="00CE47DE" w:rsidRDefault="0093222D" w:rsidP="00655D8C"/>
        </w:tc>
      </w:tr>
      <w:tr w:rsidR="0093222D" w:rsidRPr="00CE47DE" w14:paraId="5DEA8FC0" w14:textId="77777777" w:rsidTr="00752B5F">
        <w:trPr>
          <w:trHeight w:val="156"/>
        </w:trPr>
        <w:tc>
          <w:tcPr>
            <w:tcW w:w="2918" w:type="dxa"/>
            <w:tcBorders>
              <w:top w:val="nil"/>
              <w:left w:val="nil"/>
              <w:bottom w:val="nil"/>
              <w:right w:val="nil"/>
            </w:tcBorders>
          </w:tcPr>
          <w:p w14:paraId="0CE78CE2" w14:textId="046AF289" w:rsidR="0093222D" w:rsidRPr="00CE47DE" w:rsidRDefault="0093222D" w:rsidP="00A33FCB">
            <w:r w:rsidRPr="00CE47DE">
              <w:t xml:space="preserve">Mean age </w:t>
            </w:r>
            <w:r w:rsidR="00B174AE" w:rsidRPr="00CE47DE">
              <w:t xml:space="preserve">years </w:t>
            </w:r>
            <w:r w:rsidRPr="00CE47DE">
              <w:t>(</w:t>
            </w:r>
            <w:r w:rsidR="00A33FCB" w:rsidRPr="00CE47DE">
              <w:t>SD</w:t>
            </w:r>
            <w:r w:rsidRPr="00CE47DE">
              <w:t>)</w:t>
            </w:r>
          </w:p>
        </w:tc>
        <w:tc>
          <w:tcPr>
            <w:tcW w:w="1301" w:type="dxa"/>
            <w:tcBorders>
              <w:top w:val="nil"/>
              <w:left w:val="nil"/>
              <w:bottom w:val="nil"/>
              <w:right w:val="nil"/>
            </w:tcBorders>
          </w:tcPr>
          <w:p w14:paraId="2A1467BC" w14:textId="5627405B" w:rsidR="0093222D" w:rsidRPr="00CE47DE" w:rsidRDefault="0093222D" w:rsidP="00655D8C">
            <w:r w:rsidRPr="00CE47DE">
              <w:t>61.9</w:t>
            </w:r>
            <w:r w:rsidR="00A33FCB" w:rsidRPr="00CE47DE">
              <w:t xml:space="preserve"> (</w:t>
            </w:r>
            <w:r w:rsidR="00CF3FCB" w:rsidRPr="00CE47DE">
              <w:t>12.5)</w:t>
            </w:r>
          </w:p>
        </w:tc>
        <w:tc>
          <w:tcPr>
            <w:tcW w:w="1276" w:type="dxa"/>
            <w:tcBorders>
              <w:top w:val="nil"/>
              <w:left w:val="nil"/>
              <w:bottom w:val="nil"/>
              <w:right w:val="nil"/>
            </w:tcBorders>
          </w:tcPr>
          <w:p w14:paraId="6BDC6286" w14:textId="73DD554F" w:rsidR="0093222D" w:rsidRPr="00CE47DE" w:rsidRDefault="0093222D" w:rsidP="00655D8C">
            <w:r w:rsidRPr="00CE47DE">
              <w:t>63.0</w:t>
            </w:r>
            <w:r w:rsidR="00CF3FCB" w:rsidRPr="00CE47DE">
              <w:t xml:space="preserve"> (11.9)</w:t>
            </w:r>
          </w:p>
        </w:tc>
        <w:tc>
          <w:tcPr>
            <w:tcW w:w="992" w:type="dxa"/>
            <w:tcBorders>
              <w:top w:val="nil"/>
              <w:left w:val="nil"/>
              <w:bottom w:val="nil"/>
              <w:right w:val="nil"/>
            </w:tcBorders>
          </w:tcPr>
          <w:p w14:paraId="00BC969C" w14:textId="1DEEE9EC" w:rsidR="0093222D" w:rsidRPr="00CE47DE" w:rsidRDefault="0093222D" w:rsidP="00655D8C">
            <w:r w:rsidRPr="00CE47DE">
              <w:t>0.654</w:t>
            </w:r>
          </w:p>
        </w:tc>
      </w:tr>
      <w:tr w:rsidR="002C55FB" w:rsidRPr="00CE47DE" w14:paraId="69808F97" w14:textId="736AAAFB" w:rsidTr="00752B5F">
        <w:tc>
          <w:tcPr>
            <w:tcW w:w="2918" w:type="dxa"/>
            <w:tcBorders>
              <w:left w:val="nil"/>
              <w:bottom w:val="nil"/>
              <w:right w:val="nil"/>
            </w:tcBorders>
          </w:tcPr>
          <w:p w14:paraId="05CC4EFA" w14:textId="615CA3BB" w:rsidR="002C55FB" w:rsidRPr="00CE47DE" w:rsidRDefault="0093222D" w:rsidP="0093222D">
            <w:r w:rsidRPr="00CE47DE">
              <w:rPr>
                <w:b/>
              </w:rPr>
              <w:t>Civil Status</w:t>
            </w:r>
          </w:p>
        </w:tc>
        <w:tc>
          <w:tcPr>
            <w:tcW w:w="1301" w:type="dxa"/>
            <w:tcBorders>
              <w:left w:val="nil"/>
              <w:bottom w:val="nil"/>
              <w:right w:val="nil"/>
            </w:tcBorders>
          </w:tcPr>
          <w:p w14:paraId="09FE8253" w14:textId="578E4895" w:rsidR="002C55FB" w:rsidRPr="00CE47DE" w:rsidRDefault="002C55FB" w:rsidP="00655D8C"/>
        </w:tc>
        <w:tc>
          <w:tcPr>
            <w:tcW w:w="1276" w:type="dxa"/>
            <w:tcBorders>
              <w:left w:val="nil"/>
              <w:bottom w:val="nil"/>
              <w:right w:val="nil"/>
            </w:tcBorders>
          </w:tcPr>
          <w:p w14:paraId="03DA51CB" w14:textId="7190B575" w:rsidR="002C55FB" w:rsidRPr="00CE47DE" w:rsidRDefault="002C55FB" w:rsidP="00655D8C"/>
        </w:tc>
        <w:tc>
          <w:tcPr>
            <w:tcW w:w="992" w:type="dxa"/>
            <w:tcBorders>
              <w:left w:val="nil"/>
              <w:bottom w:val="nil"/>
              <w:right w:val="nil"/>
            </w:tcBorders>
          </w:tcPr>
          <w:p w14:paraId="5E2E466F" w14:textId="7436D900" w:rsidR="00FF1F6F" w:rsidRPr="00CE47DE" w:rsidRDefault="00FF1F6F" w:rsidP="00655D8C"/>
        </w:tc>
      </w:tr>
      <w:tr w:rsidR="002C55FB" w:rsidRPr="00CE47DE" w14:paraId="209793D7" w14:textId="3050F5DA" w:rsidTr="00752B5F">
        <w:tc>
          <w:tcPr>
            <w:tcW w:w="2918" w:type="dxa"/>
            <w:tcBorders>
              <w:top w:val="nil"/>
              <w:left w:val="nil"/>
              <w:bottom w:val="nil"/>
              <w:right w:val="nil"/>
            </w:tcBorders>
          </w:tcPr>
          <w:p w14:paraId="04119290" w14:textId="3FC1991A" w:rsidR="002C55FB" w:rsidRPr="00CE47DE" w:rsidRDefault="00EA2496" w:rsidP="00655D8C">
            <w:r w:rsidRPr="00CE47DE">
              <w:t>Living alone</w:t>
            </w:r>
          </w:p>
        </w:tc>
        <w:tc>
          <w:tcPr>
            <w:tcW w:w="1301" w:type="dxa"/>
            <w:tcBorders>
              <w:top w:val="nil"/>
              <w:left w:val="nil"/>
              <w:bottom w:val="nil"/>
              <w:right w:val="nil"/>
            </w:tcBorders>
          </w:tcPr>
          <w:p w14:paraId="313057B5" w14:textId="22A971C2" w:rsidR="00DE42CE" w:rsidRPr="00CE47DE" w:rsidRDefault="00697779" w:rsidP="00EA2496">
            <w:r w:rsidRPr="00CE47DE">
              <w:t xml:space="preserve">12 </w:t>
            </w:r>
            <w:r w:rsidR="00FC478B" w:rsidRPr="00CE47DE">
              <w:t>(</w:t>
            </w:r>
            <w:r w:rsidRPr="00CE47DE">
              <w:t>24</w:t>
            </w:r>
            <w:r w:rsidR="00FC478B" w:rsidRPr="00CE47DE">
              <w:t>)</w:t>
            </w:r>
          </w:p>
        </w:tc>
        <w:tc>
          <w:tcPr>
            <w:tcW w:w="1276" w:type="dxa"/>
            <w:tcBorders>
              <w:top w:val="nil"/>
              <w:left w:val="nil"/>
              <w:bottom w:val="nil"/>
              <w:right w:val="nil"/>
            </w:tcBorders>
          </w:tcPr>
          <w:p w14:paraId="26A199D7" w14:textId="1768245B" w:rsidR="00FC478B" w:rsidRPr="00CE47DE" w:rsidRDefault="00697779" w:rsidP="00EA2496">
            <w:r w:rsidRPr="00CE47DE">
              <w:t xml:space="preserve">15 </w:t>
            </w:r>
            <w:r w:rsidR="00FC478B" w:rsidRPr="00CE47DE">
              <w:t>(</w:t>
            </w:r>
            <w:r w:rsidRPr="00CE47DE">
              <w:t>30</w:t>
            </w:r>
            <w:r w:rsidR="00FC478B" w:rsidRPr="00CE47DE">
              <w:t>)</w:t>
            </w:r>
          </w:p>
        </w:tc>
        <w:tc>
          <w:tcPr>
            <w:tcW w:w="992" w:type="dxa"/>
            <w:tcBorders>
              <w:top w:val="nil"/>
              <w:left w:val="nil"/>
              <w:bottom w:val="nil"/>
              <w:right w:val="nil"/>
            </w:tcBorders>
          </w:tcPr>
          <w:p w14:paraId="2CF48AC2" w14:textId="35CC4562" w:rsidR="00FF1F6F" w:rsidRPr="00CE47DE" w:rsidRDefault="00FF1F6F" w:rsidP="00655D8C">
            <w:r w:rsidRPr="00CE47DE">
              <w:t>0.091</w:t>
            </w:r>
          </w:p>
        </w:tc>
      </w:tr>
      <w:tr w:rsidR="0093222D" w:rsidRPr="00CE47DE" w14:paraId="78171831" w14:textId="77777777" w:rsidTr="00752B5F">
        <w:tc>
          <w:tcPr>
            <w:tcW w:w="2918" w:type="dxa"/>
            <w:tcBorders>
              <w:top w:val="nil"/>
              <w:left w:val="nil"/>
              <w:bottom w:val="single" w:sz="4" w:space="0" w:color="auto"/>
              <w:right w:val="nil"/>
            </w:tcBorders>
          </w:tcPr>
          <w:p w14:paraId="3A3F31FA" w14:textId="6946BDCB" w:rsidR="0093222D" w:rsidRPr="00CE47DE" w:rsidRDefault="00EA2496" w:rsidP="00655D8C">
            <w:r w:rsidRPr="00CE47DE">
              <w:t>Living with someone</w:t>
            </w:r>
          </w:p>
        </w:tc>
        <w:tc>
          <w:tcPr>
            <w:tcW w:w="1301" w:type="dxa"/>
            <w:tcBorders>
              <w:top w:val="nil"/>
              <w:left w:val="nil"/>
              <w:bottom w:val="single" w:sz="4" w:space="0" w:color="auto"/>
              <w:right w:val="nil"/>
            </w:tcBorders>
          </w:tcPr>
          <w:p w14:paraId="256D089C" w14:textId="5DABA7D0" w:rsidR="0093222D" w:rsidRPr="00CE47DE" w:rsidRDefault="00697779" w:rsidP="00697779">
            <w:r w:rsidRPr="00CE47DE">
              <w:t xml:space="preserve">38 </w:t>
            </w:r>
            <w:r w:rsidR="00EA2496" w:rsidRPr="00CE47DE">
              <w:t>(</w:t>
            </w:r>
            <w:r w:rsidRPr="00CE47DE">
              <w:t>76</w:t>
            </w:r>
            <w:r w:rsidR="00EA2496" w:rsidRPr="00CE47DE">
              <w:t>)</w:t>
            </w:r>
          </w:p>
        </w:tc>
        <w:tc>
          <w:tcPr>
            <w:tcW w:w="1276" w:type="dxa"/>
            <w:tcBorders>
              <w:top w:val="nil"/>
              <w:left w:val="nil"/>
              <w:bottom w:val="single" w:sz="4" w:space="0" w:color="auto"/>
              <w:right w:val="nil"/>
            </w:tcBorders>
          </w:tcPr>
          <w:p w14:paraId="62EFFDDF" w14:textId="3430F9DA" w:rsidR="0093222D" w:rsidRPr="00CE47DE" w:rsidRDefault="00697779" w:rsidP="00697779">
            <w:r w:rsidRPr="00CE47DE">
              <w:t>35</w:t>
            </w:r>
            <w:r w:rsidR="00EA2496" w:rsidRPr="00CE47DE">
              <w:t xml:space="preserve"> (</w:t>
            </w:r>
            <w:r w:rsidRPr="00CE47DE">
              <w:t>70</w:t>
            </w:r>
            <w:r w:rsidR="00EA2496" w:rsidRPr="00CE47DE">
              <w:t>)</w:t>
            </w:r>
          </w:p>
        </w:tc>
        <w:tc>
          <w:tcPr>
            <w:tcW w:w="992" w:type="dxa"/>
            <w:tcBorders>
              <w:top w:val="nil"/>
              <w:left w:val="nil"/>
              <w:bottom w:val="single" w:sz="4" w:space="0" w:color="auto"/>
              <w:right w:val="nil"/>
            </w:tcBorders>
          </w:tcPr>
          <w:p w14:paraId="2BEB2C81" w14:textId="77777777" w:rsidR="0093222D" w:rsidRPr="00CE47DE" w:rsidRDefault="0093222D" w:rsidP="00655D8C"/>
        </w:tc>
      </w:tr>
      <w:tr w:rsidR="0093222D" w:rsidRPr="00CE47DE" w14:paraId="71246FF4" w14:textId="77777777" w:rsidTr="00752B5F">
        <w:tc>
          <w:tcPr>
            <w:tcW w:w="2918" w:type="dxa"/>
            <w:tcBorders>
              <w:top w:val="single" w:sz="4" w:space="0" w:color="auto"/>
              <w:left w:val="nil"/>
              <w:bottom w:val="nil"/>
              <w:right w:val="nil"/>
            </w:tcBorders>
          </w:tcPr>
          <w:p w14:paraId="29080D02" w14:textId="1000E901" w:rsidR="0093222D" w:rsidRPr="00CE47DE" w:rsidRDefault="00EA2496" w:rsidP="00655D8C">
            <w:pPr>
              <w:rPr>
                <w:b/>
              </w:rPr>
            </w:pPr>
            <w:r w:rsidRPr="00CE47DE">
              <w:rPr>
                <w:b/>
              </w:rPr>
              <w:t>Basic education</w:t>
            </w:r>
          </w:p>
        </w:tc>
        <w:tc>
          <w:tcPr>
            <w:tcW w:w="1301" w:type="dxa"/>
            <w:tcBorders>
              <w:top w:val="single" w:sz="4" w:space="0" w:color="auto"/>
              <w:left w:val="nil"/>
              <w:bottom w:val="nil"/>
              <w:right w:val="nil"/>
            </w:tcBorders>
          </w:tcPr>
          <w:p w14:paraId="34E7CD49" w14:textId="77777777" w:rsidR="0093222D" w:rsidRPr="00CE47DE" w:rsidRDefault="0093222D" w:rsidP="00655D8C"/>
        </w:tc>
        <w:tc>
          <w:tcPr>
            <w:tcW w:w="1276" w:type="dxa"/>
            <w:tcBorders>
              <w:top w:val="single" w:sz="4" w:space="0" w:color="auto"/>
              <w:left w:val="nil"/>
              <w:bottom w:val="nil"/>
              <w:right w:val="nil"/>
            </w:tcBorders>
          </w:tcPr>
          <w:p w14:paraId="3BBB2EE7" w14:textId="77777777" w:rsidR="0093222D" w:rsidRPr="00CE47DE" w:rsidRDefault="0093222D" w:rsidP="00655D8C"/>
        </w:tc>
        <w:tc>
          <w:tcPr>
            <w:tcW w:w="992" w:type="dxa"/>
            <w:tcBorders>
              <w:top w:val="single" w:sz="4" w:space="0" w:color="auto"/>
              <w:left w:val="nil"/>
              <w:bottom w:val="nil"/>
              <w:right w:val="nil"/>
            </w:tcBorders>
          </w:tcPr>
          <w:p w14:paraId="17033567" w14:textId="77777777" w:rsidR="0093222D" w:rsidRPr="00CE47DE" w:rsidRDefault="0093222D" w:rsidP="00655D8C"/>
        </w:tc>
      </w:tr>
      <w:tr w:rsidR="0093222D" w:rsidRPr="00CE47DE" w14:paraId="6BAB0025" w14:textId="77777777" w:rsidTr="00752B5F">
        <w:tc>
          <w:tcPr>
            <w:tcW w:w="2918" w:type="dxa"/>
            <w:tcBorders>
              <w:top w:val="nil"/>
              <w:left w:val="nil"/>
              <w:bottom w:val="nil"/>
              <w:right w:val="nil"/>
            </w:tcBorders>
          </w:tcPr>
          <w:p w14:paraId="1DE7E50B" w14:textId="1F92ECA2" w:rsidR="0093222D" w:rsidRPr="00CE47DE" w:rsidRDefault="00EA2496" w:rsidP="00E1641D">
            <w:r w:rsidRPr="00CE47DE">
              <w:t>Six years or less</w:t>
            </w:r>
          </w:p>
        </w:tc>
        <w:tc>
          <w:tcPr>
            <w:tcW w:w="1301" w:type="dxa"/>
            <w:tcBorders>
              <w:top w:val="nil"/>
              <w:left w:val="nil"/>
              <w:bottom w:val="nil"/>
              <w:right w:val="nil"/>
            </w:tcBorders>
          </w:tcPr>
          <w:p w14:paraId="644AA525" w14:textId="28064151" w:rsidR="0093222D" w:rsidRPr="00CE47DE" w:rsidRDefault="00697779" w:rsidP="00697779">
            <w:r w:rsidRPr="00CE47DE">
              <w:t>16</w:t>
            </w:r>
            <w:r w:rsidR="00EA2496" w:rsidRPr="00CE47DE">
              <w:t xml:space="preserve"> (</w:t>
            </w:r>
            <w:r w:rsidRPr="00CE47DE">
              <w:t>32</w:t>
            </w:r>
            <w:r w:rsidR="00EA2496" w:rsidRPr="00CE47DE">
              <w:t>)</w:t>
            </w:r>
          </w:p>
        </w:tc>
        <w:tc>
          <w:tcPr>
            <w:tcW w:w="1276" w:type="dxa"/>
            <w:tcBorders>
              <w:top w:val="nil"/>
              <w:left w:val="nil"/>
              <w:bottom w:val="nil"/>
              <w:right w:val="nil"/>
            </w:tcBorders>
          </w:tcPr>
          <w:p w14:paraId="1EAE6797" w14:textId="58C59AD6" w:rsidR="0093222D" w:rsidRPr="00CE47DE" w:rsidRDefault="00697779" w:rsidP="00697779">
            <w:r w:rsidRPr="00CE47DE">
              <w:t>16</w:t>
            </w:r>
            <w:r w:rsidR="00EA2496" w:rsidRPr="00CE47DE">
              <w:t xml:space="preserve"> (</w:t>
            </w:r>
            <w:r w:rsidRPr="00CE47DE">
              <w:t>32</w:t>
            </w:r>
            <w:r w:rsidR="00EA2496" w:rsidRPr="00CE47DE">
              <w:t>)</w:t>
            </w:r>
          </w:p>
        </w:tc>
        <w:tc>
          <w:tcPr>
            <w:tcW w:w="992" w:type="dxa"/>
            <w:tcBorders>
              <w:top w:val="nil"/>
              <w:left w:val="nil"/>
              <w:bottom w:val="nil"/>
              <w:right w:val="nil"/>
            </w:tcBorders>
          </w:tcPr>
          <w:p w14:paraId="23C8DBF5" w14:textId="77777777" w:rsidR="0093222D" w:rsidRPr="00CE47DE" w:rsidRDefault="0093222D" w:rsidP="00655D8C"/>
        </w:tc>
      </w:tr>
      <w:tr w:rsidR="0093222D" w:rsidRPr="00CE47DE" w14:paraId="1554927F" w14:textId="77777777" w:rsidTr="00752B5F">
        <w:tc>
          <w:tcPr>
            <w:tcW w:w="2918" w:type="dxa"/>
            <w:tcBorders>
              <w:top w:val="nil"/>
              <w:left w:val="nil"/>
              <w:bottom w:val="nil"/>
              <w:right w:val="nil"/>
            </w:tcBorders>
          </w:tcPr>
          <w:p w14:paraId="1A3189D9" w14:textId="19CE4DB7" w:rsidR="0093222D" w:rsidRPr="00CE47DE" w:rsidRDefault="00E1641D" w:rsidP="00E1641D">
            <w:r w:rsidRPr="00CE47DE">
              <w:t>Nine years</w:t>
            </w:r>
          </w:p>
        </w:tc>
        <w:tc>
          <w:tcPr>
            <w:tcW w:w="1301" w:type="dxa"/>
            <w:tcBorders>
              <w:top w:val="nil"/>
              <w:left w:val="nil"/>
              <w:bottom w:val="nil"/>
              <w:right w:val="nil"/>
            </w:tcBorders>
          </w:tcPr>
          <w:p w14:paraId="79820DCA" w14:textId="2A0594AC" w:rsidR="0093222D" w:rsidRPr="00CE47DE" w:rsidRDefault="00697779" w:rsidP="00697779">
            <w:r w:rsidRPr="00CE47DE">
              <w:t>21</w:t>
            </w:r>
            <w:r w:rsidR="00EA2496" w:rsidRPr="00CE47DE">
              <w:t xml:space="preserve"> (</w:t>
            </w:r>
            <w:r w:rsidRPr="00CE47DE">
              <w:t>42</w:t>
            </w:r>
            <w:r w:rsidR="00EA2496" w:rsidRPr="00CE47DE">
              <w:t>)</w:t>
            </w:r>
          </w:p>
        </w:tc>
        <w:tc>
          <w:tcPr>
            <w:tcW w:w="1276" w:type="dxa"/>
            <w:tcBorders>
              <w:top w:val="nil"/>
              <w:left w:val="nil"/>
              <w:bottom w:val="nil"/>
              <w:right w:val="nil"/>
            </w:tcBorders>
          </w:tcPr>
          <w:p w14:paraId="0D57F4EC" w14:textId="162CE0B5" w:rsidR="0093222D" w:rsidRPr="00CE47DE" w:rsidRDefault="00697779" w:rsidP="00697779">
            <w:r w:rsidRPr="00CE47DE">
              <w:t>23</w:t>
            </w:r>
            <w:r w:rsidR="00EA2496" w:rsidRPr="00CE47DE">
              <w:t xml:space="preserve"> (</w:t>
            </w:r>
            <w:r w:rsidRPr="00CE47DE">
              <w:t>46</w:t>
            </w:r>
            <w:r w:rsidR="00EA2496" w:rsidRPr="00CE47DE">
              <w:t>)</w:t>
            </w:r>
          </w:p>
        </w:tc>
        <w:tc>
          <w:tcPr>
            <w:tcW w:w="992" w:type="dxa"/>
            <w:tcBorders>
              <w:top w:val="nil"/>
              <w:left w:val="nil"/>
              <w:bottom w:val="nil"/>
              <w:right w:val="nil"/>
            </w:tcBorders>
          </w:tcPr>
          <w:p w14:paraId="025BC300" w14:textId="6E5DE5DB" w:rsidR="0093222D" w:rsidRPr="00CE47DE" w:rsidRDefault="00EA2496" w:rsidP="00655D8C">
            <w:r w:rsidRPr="00CE47DE">
              <w:t>0.879</w:t>
            </w:r>
          </w:p>
        </w:tc>
      </w:tr>
      <w:tr w:rsidR="002C55FB" w:rsidRPr="00CE47DE" w14:paraId="2D5E30EB" w14:textId="3C7BF0CB" w:rsidTr="00752B5F">
        <w:tc>
          <w:tcPr>
            <w:tcW w:w="2918" w:type="dxa"/>
            <w:tcBorders>
              <w:top w:val="nil"/>
              <w:left w:val="nil"/>
              <w:bottom w:val="single" w:sz="4" w:space="0" w:color="auto"/>
              <w:right w:val="nil"/>
            </w:tcBorders>
          </w:tcPr>
          <w:p w14:paraId="720F6490" w14:textId="72E198C9" w:rsidR="002C55FB" w:rsidRPr="00CE47DE" w:rsidRDefault="00E1641D" w:rsidP="00655D8C">
            <w:r w:rsidRPr="00CE47DE">
              <w:t>Twelve years</w:t>
            </w:r>
          </w:p>
        </w:tc>
        <w:tc>
          <w:tcPr>
            <w:tcW w:w="1301" w:type="dxa"/>
            <w:tcBorders>
              <w:top w:val="nil"/>
              <w:left w:val="nil"/>
              <w:bottom w:val="single" w:sz="4" w:space="0" w:color="auto"/>
              <w:right w:val="nil"/>
            </w:tcBorders>
          </w:tcPr>
          <w:p w14:paraId="5391D0C3" w14:textId="407D46DA" w:rsidR="002C55FB" w:rsidRPr="00CE47DE" w:rsidRDefault="00697779" w:rsidP="00697779">
            <w:r w:rsidRPr="00CE47DE">
              <w:t>13</w:t>
            </w:r>
            <w:r w:rsidR="002C55FB" w:rsidRPr="00CE47DE">
              <w:t xml:space="preserve"> (</w:t>
            </w:r>
            <w:r w:rsidRPr="00CE47DE">
              <w:t>26</w:t>
            </w:r>
            <w:r w:rsidR="002C55FB" w:rsidRPr="00CE47DE">
              <w:t>)</w:t>
            </w:r>
          </w:p>
        </w:tc>
        <w:tc>
          <w:tcPr>
            <w:tcW w:w="1276" w:type="dxa"/>
            <w:tcBorders>
              <w:top w:val="nil"/>
              <w:left w:val="nil"/>
              <w:bottom w:val="single" w:sz="4" w:space="0" w:color="auto"/>
              <w:right w:val="nil"/>
            </w:tcBorders>
          </w:tcPr>
          <w:p w14:paraId="1C02AAC6" w14:textId="018ACEDF" w:rsidR="002C55FB" w:rsidRPr="00CE47DE" w:rsidRDefault="00697779" w:rsidP="00697779">
            <w:r w:rsidRPr="00CE47DE">
              <w:t>11</w:t>
            </w:r>
            <w:r w:rsidR="002C55FB" w:rsidRPr="00CE47DE">
              <w:t xml:space="preserve"> (</w:t>
            </w:r>
            <w:r w:rsidRPr="00CE47DE">
              <w:t>22</w:t>
            </w:r>
            <w:r w:rsidR="002C55FB" w:rsidRPr="00CE47DE">
              <w:t>)</w:t>
            </w:r>
          </w:p>
        </w:tc>
        <w:tc>
          <w:tcPr>
            <w:tcW w:w="992" w:type="dxa"/>
            <w:tcBorders>
              <w:top w:val="nil"/>
              <w:left w:val="nil"/>
              <w:bottom w:val="single" w:sz="4" w:space="0" w:color="auto"/>
              <w:right w:val="nil"/>
            </w:tcBorders>
          </w:tcPr>
          <w:p w14:paraId="79D17E0C" w14:textId="2CEB543D" w:rsidR="00FC478B" w:rsidRPr="00CE47DE" w:rsidRDefault="00FC478B" w:rsidP="00655D8C"/>
        </w:tc>
      </w:tr>
      <w:tr w:rsidR="00EA2496" w:rsidRPr="00CE47DE" w14:paraId="7EB22A29" w14:textId="77777777" w:rsidTr="00752B5F">
        <w:tc>
          <w:tcPr>
            <w:tcW w:w="2918" w:type="dxa"/>
            <w:tcBorders>
              <w:top w:val="single" w:sz="4" w:space="0" w:color="auto"/>
              <w:left w:val="nil"/>
              <w:bottom w:val="nil"/>
              <w:right w:val="nil"/>
            </w:tcBorders>
          </w:tcPr>
          <w:p w14:paraId="7D780E23" w14:textId="652AC551" w:rsidR="00EA2496" w:rsidRPr="00CE47DE" w:rsidRDefault="00EA2496" w:rsidP="00655D8C">
            <w:pPr>
              <w:rPr>
                <w:b/>
              </w:rPr>
            </w:pPr>
            <w:r w:rsidRPr="00CE47DE">
              <w:rPr>
                <w:b/>
              </w:rPr>
              <w:t>Employment status</w:t>
            </w:r>
          </w:p>
        </w:tc>
        <w:tc>
          <w:tcPr>
            <w:tcW w:w="1301" w:type="dxa"/>
            <w:tcBorders>
              <w:top w:val="single" w:sz="4" w:space="0" w:color="auto"/>
              <w:left w:val="nil"/>
              <w:bottom w:val="nil"/>
              <w:right w:val="nil"/>
            </w:tcBorders>
          </w:tcPr>
          <w:p w14:paraId="01C3445D" w14:textId="77777777" w:rsidR="00EA2496" w:rsidRPr="00CE47DE" w:rsidRDefault="00EA2496" w:rsidP="00655D8C"/>
        </w:tc>
        <w:tc>
          <w:tcPr>
            <w:tcW w:w="1276" w:type="dxa"/>
            <w:tcBorders>
              <w:top w:val="single" w:sz="4" w:space="0" w:color="auto"/>
              <w:left w:val="nil"/>
              <w:bottom w:val="nil"/>
              <w:right w:val="nil"/>
            </w:tcBorders>
          </w:tcPr>
          <w:p w14:paraId="3B2249C6" w14:textId="77777777" w:rsidR="00EA2496" w:rsidRPr="00CE47DE" w:rsidRDefault="00EA2496" w:rsidP="00655D8C"/>
        </w:tc>
        <w:tc>
          <w:tcPr>
            <w:tcW w:w="992" w:type="dxa"/>
            <w:tcBorders>
              <w:top w:val="single" w:sz="4" w:space="0" w:color="auto"/>
              <w:left w:val="nil"/>
              <w:bottom w:val="nil"/>
              <w:right w:val="nil"/>
            </w:tcBorders>
          </w:tcPr>
          <w:p w14:paraId="2D750E4B" w14:textId="77777777" w:rsidR="00EA2496" w:rsidRPr="00CE47DE" w:rsidRDefault="00EA2496" w:rsidP="00655D8C"/>
        </w:tc>
      </w:tr>
      <w:tr w:rsidR="00EA2496" w:rsidRPr="00CE47DE" w14:paraId="3817F939" w14:textId="77777777" w:rsidTr="00752B5F">
        <w:tc>
          <w:tcPr>
            <w:tcW w:w="2918" w:type="dxa"/>
            <w:tcBorders>
              <w:top w:val="nil"/>
              <w:left w:val="nil"/>
              <w:bottom w:val="nil"/>
              <w:right w:val="nil"/>
            </w:tcBorders>
          </w:tcPr>
          <w:p w14:paraId="14085BB6" w14:textId="1021BE89" w:rsidR="00EA2496" w:rsidRPr="00CE47DE" w:rsidRDefault="00EA2496" w:rsidP="00655D8C">
            <w:r w:rsidRPr="00CE47DE">
              <w:t>Employed</w:t>
            </w:r>
          </w:p>
        </w:tc>
        <w:tc>
          <w:tcPr>
            <w:tcW w:w="1301" w:type="dxa"/>
            <w:tcBorders>
              <w:top w:val="nil"/>
              <w:left w:val="nil"/>
              <w:bottom w:val="nil"/>
              <w:right w:val="nil"/>
            </w:tcBorders>
          </w:tcPr>
          <w:p w14:paraId="1FB30F7D" w14:textId="201DC40C" w:rsidR="00EA2496" w:rsidRPr="00CE47DE" w:rsidRDefault="00697779" w:rsidP="00697779">
            <w:r w:rsidRPr="00CE47DE">
              <w:t>15</w:t>
            </w:r>
            <w:r w:rsidR="00EA2496" w:rsidRPr="00CE47DE">
              <w:t xml:space="preserve"> (</w:t>
            </w:r>
            <w:r w:rsidRPr="00CE47DE">
              <w:t>30</w:t>
            </w:r>
            <w:r w:rsidR="00EA2496" w:rsidRPr="00CE47DE">
              <w:t>)</w:t>
            </w:r>
          </w:p>
        </w:tc>
        <w:tc>
          <w:tcPr>
            <w:tcW w:w="1276" w:type="dxa"/>
            <w:tcBorders>
              <w:top w:val="nil"/>
              <w:left w:val="nil"/>
              <w:bottom w:val="nil"/>
              <w:right w:val="nil"/>
            </w:tcBorders>
          </w:tcPr>
          <w:p w14:paraId="3365F4FE" w14:textId="1B7E63BB" w:rsidR="00EA2496" w:rsidRPr="00CE47DE" w:rsidRDefault="00697779" w:rsidP="00697779">
            <w:r w:rsidRPr="00CE47DE">
              <w:t>13</w:t>
            </w:r>
            <w:r w:rsidR="00EA2496" w:rsidRPr="00CE47DE">
              <w:t xml:space="preserve"> (</w:t>
            </w:r>
            <w:r w:rsidRPr="00CE47DE">
              <w:t>26</w:t>
            </w:r>
            <w:r w:rsidR="00EA2496" w:rsidRPr="00CE47DE">
              <w:t>)</w:t>
            </w:r>
          </w:p>
        </w:tc>
        <w:tc>
          <w:tcPr>
            <w:tcW w:w="992" w:type="dxa"/>
            <w:tcBorders>
              <w:top w:val="nil"/>
              <w:left w:val="nil"/>
              <w:bottom w:val="nil"/>
              <w:right w:val="nil"/>
            </w:tcBorders>
          </w:tcPr>
          <w:p w14:paraId="69749228" w14:textId="77777777" w:rsidR="00EA2496" w:rsidRPr="00CE47DE" w:rsidRDefault="00EA2496" w:rsidP="00655D8C"/>
        </w:tc>
      </w:tr>
      <w:tr w:rsidR="00EA2496" w:rsidRPr="00CE47DE" w14:paraId="131E016C" w14:textId="77777777" w:rsidTr="00752B5F">
        <w:tc>
          <w:tcPr>
            <w:tcW w:w="2918" w:type="dxa"/>
            <w:tcBorders>
              <w:top w:val="nil"/>
              <w:left w:val="nil"/>
              <w:bottom w:val="nil"/>
              <w:right w:val="nil"/>
            </w:tcBorders>
          </w:tcPr>
          <w:p w14:paraId="0AC0E0BE" w14:textId="0D14ACD7" w:rsidR="00EA2496" w:rsidRPr="00CE47DE" w:rsidRDefault="00EA2496" w:rsidP="00655D8C">
            <w:r w:rsidRPr="00CE47DE">
              <w:t>Retired</w:t>
            </w:r>
          </w:p>
        </w:tc>
        <w:tc>
          <w:tcPr>
            <w:tcW w:w="1301" w:type="dxa"/>
            <w:tcBorders>
              <w:top w:val="nil"/>
              <w:left w:val="nil"/>
              <w:bottom w:val="nil"/>
              <w:right w:val="nil"/>
            </w:tcBorders>
          </w:tcPr>
          <w:p w14:paraId="247A951E" w14:textId="00510A53" w:rsidR="00EA2496" w:rsidRPr="00CE47DE" w:rsidRDefault="00697779" w:rsidP="00697779">
            <w:r w:rsidRPr="00CE47DE">
              <w:t>29</w:t>
            </w:r>
            <w:r w:rsidR="00EA2496" w:rsidRPr="00CE47DE">
              <w:t xml:space="preserve"> (</w:t>
            </w:r>
            <w:r w:rsidRPr="00CE47DE">
              <w:t>58</w:t>
            </w:r>
            <w:r w:rsidR="00EA2496" w:rsidRPr="00CE47DE">
              <w:t>)</w:t>
            </w:r>
          </w:p>
        </w:tc>
        <w:tc>
          <w:tcPr>
            <w:tcW w:w="1276" w:type="dxa"/>
            <w:tcBorders>
              <w:top w:val="nil"/>
              <w:left w:val="nil"/>
              <w:bottom w:val="nil"/>
              <w:right w:val="nil"/>
            </w:tcBorders>
          </w:tcPr>
          <w:p w14:paraId="0DB76D4E" w14:textId="1212DBD4" w:rsidR="00EA2496" w:rsidRPr="00CE47DE" w:rsidRDefault="00697779" w:rsidP="00697779">
            <w:r w:rsidRPr="00CE47DE">
              <w:t>35</w:t>
            </w:r>
            <w:r w:rsidR="00EA2496" w:rsidRPr="00CE47DE">
              <w:t xml:space="preserve"> (</w:t>
            </w:r>
            <w:r w:rsidRPr="00CE47DE">
              <w:t>70</w:t>
            </w:r>
            <w:r w:rsidR="00EA2496" w:rsidRPr="00CE47DE">
              <w:t>)</w:t>
            </w:r>
          </w:p>
        </w:tc>
        <w:tc>
          <w:tcPr>
            <w:tcW w:w="992" w:type="dxa"/>
            <w:tcBorders>
              <w:top w:val="nil"/>
              <w:left w:val="nil"/>
              <w:bottom w:val="nil"/>
              <w:right w:val="nil"/>
            </w:tcBorders>
          </w:tcPr>
          <w:p w14:paraId="50E8EECD" w14:textId="32A357E2" w:rsidR="00EA2496" w:rsidRPr="00CE47DE" w:rsidRDefault="00EA2496" w:rsidP="00655D8C">
            <w:r w:rsidRPr="00CE47DE">
              <w:t>0.259</w:t>
            </w:r>
          </w:p>
        </w:tc>
      </w:tr>
      <w:tr w:rsidR="00EA2496" w:rsidRPr="00CE47DE" w14:paraId="119D97D4" w14:textId="77777777" w:rsidTr="00752B5F">
        <w:tc>
          <w:tcPr>
            <w:tcW w:w="2918" w:type="dxa"/>
            <w:tcBorders>
              <w:top w:val="nil"/>
              <w:left w:val="nil"/>
              <w:bottom w:val="single" w:sz="4" w:space="0" w:color="auto"/>
              <w:right w:val="nil"/>
            </w:tcBorders>
          </w:tcPr>
          <w:p w14:paraId="012942A3" w14:textId="48FDE9D8" w:rsidR="00EA2496" w:rsidRPr="00CE47DE" w:rsidRDefault="00EA2496" w:rsidP="00655D8C">
            <w:r w:rsidRPr="00CE47DE">
              <w:t>Other</w:t>
            </w:r>
          </w:p>
        </w:tc>
        <w:tc>
          <w:tcPr>
            <w:tcW w:w="1301" w:type="dxa"/>
            <w:tcBorders>
              <w:top w:val="nil"/>
              <w:left w:val="nil"/>
              <w:bottom w:val="single" w:sz="4" w:space="0" w:color="auto"/>
              <w:right w:val="nil"/>
            </w:tcBorders>
          </w:tcPr>
          <w:p w14:paraId="26EE15BF" w14:textId="33FF3112" w:rsidR="00EA2496" w:rsidRPr="00CE47DE" w:rsidRDefault="00697779" w:rsidP="00697779">
            <w:r w:rsidRPr="00CE47DE">
              <w:t>6</w:t>
            </w:r>
            <w:r w:rsidR="00EA2496" w:rsidRPr="00CE47DE">
              <w:t xml:space="preserve"> (</w:t>
            </w:r>
            <w:r w:rsidRPr="00CE47DE">
              <w:t>12</w:t>
            </w:r>
            <w:r w:rsidR="00EA2496" w:rsidRPr="00CE47DE">
              <w:t>)</w:t>
            </w:r>
          </w:p>
        </w:tc>
        <w:tc>
          <w:tcPr>
            <w:tcW w:w="1276" w:type="dxa"/>
            <w:tcBorders>
              <w:top w:val="nil"/>
              <w:left w:val="nil"/>
              <w:bottom w:val="single" w:sz="4" w:space="0" w:color="auto"/>
              <w:right w:val="nil"/>
            </w:tcBorders>
          </w:tcPr>
          <w:p w14:paraId="16C51283" w14:textId="210C0136" w:rsidR="00EA2496" w:rsidRPr="00CE47DE" w:rsidRDefault="00697779" w:rsidP="00697779">
            <w:r w:rsidRPr="00CE47DE">
              <w:t>2</w:t>
            </w:r>
            <w:r w:rsidR="00EA2496" w:rsidRPr="00CE47DE">
              <w:t xml:space="preserve"> (</w:t>
            </w:r>
            <w:r w:rsidRPr="00CE47DE">
              <w:t>4</w:t>
            </w:r>
            <w:r w:rsidR="00EA2496" w:rsidRPr="00CE47DE">
              <w:t>)</w:t>
            </w:r>
          </w:p>
        </w:tc>
        <w:tc>
          <w:tcPr>
            <w:tcW w:w="992" w:type="dxa"/>
            <w:tcBorders>
              <w:top w:val="nil"/>
              <w:left w:val="nil"/>
              <w:bottom w:val="single" w:sz="4" w:space="0" w:color="auto"/>
              <w:right w:val="nil"/>
            </w:tcBorders>
          </w:tcPr>
          <w:p w14:paraId="2163ED91" w14:textId="77777777" w:rsidR="00EA2496" w:rsidRPr="00CE47DE" w:rsidRDefault="00EA2496" w:rsidP="00655D8C"/>
        </w:tc>
      </w:tr>
      <w:tr w:rsidR="002C55FB" w:rsidRPr="00CE47DE" w14:paraId="4AB356FB" w14:textId="4275FE63" w:rsidTr="00752B5F">
        <w:tc>
          <w:tcPr>
            <w:tcW w:w="2918" w:type="dxa"/>
            <w:tcBorders>
              <w:top w:val="single" w:sz="4" w:space="0" w:color="auto"/>
              <w:left w:val="nil"/>
              <w:bottom w:val="nil"/>
              <w:right w:val="nil"/>
            </w:tcBorders>
          </w:tcPr>
          <w:p w14:paraId="25695BEC" w14:textId="0B202811" w:rsidR="002C55FB" w:rsidRPr="00CE47DE" w:rsidRDefault="002E0A5D" w:rsidP="00655D8C">
            <w:pPr>
              <w:rPr>
                <w:b/>
              </w:rPr>
            </w:pPr>
            <w:r w:rsidRPr="00CE47DE">
              <w:rPr>
                <w:b/>
              </w:rPr>
              <w:t>Work in health care</w:t>
            </w:r>
          </w:p>
        </w:tc>
        <w:tc>
          <w:tcPr>
            <w:tcW w:w="1301" w:type="dxa"/>
            <w:tcBorders>
              <w:top w:val="single" w:sz="4" w:space="0" w:color="auto"/>
              <w:left w:val="nil"/>
              <w:bottom w:val="nil"/>
              <w:right w:val="nil"/>
            </w:tcBorders>
          </w:tcPr>
          <w:p w14:paraId="55F82B60" w14:textId="2BF902CB" w:rsidR="002C55FB" w:rsidRPr="00CE47DE" w:rsidRDefault="002C55FB" w:rsidP="00655D8C"/>
        </w:tc>
        <w:tc>
          <w:tcPr>
            <w:tcW w:w="1276" w:type="dxa"/>
            <w:tcBorders>
              <w:top w:val="single" w:sz="4" w:space="0" w:color="auto"/>
              <w:left w:val="nil"/>
              <w:bottom w:val="nil"/>
              <w:right w:val="nil"/>
            </w:tcBorders>
          </w:tcPr>
          <w:p w14:paraId="2CA4D605" w14:textId="3F6F4D65" w:rsidR="002C55FB" w:rsidRPr="00CE47DE" w:rsidRDefault="002C55FB" w:rsidP="00655D8C"/>
        </w:tc>
        <w:tc>
          <w:tcPr>
            <w:tcW w:w="992" w:type="dxa"/>
            <w:tcBorders>
              <w:top w:val="single" w:sz="4" w:space="0" w:color="auto"/>
              <w:left w:val="nil"/>
              <w:bottom w:val="nil"/>
              <w:right w:val="nil"/>
            </w:tcBorders>
          </w:tcPr>
          <w:p w14:paraId="43AD02B1" w14:textId="7764798A" w:rsidR="001D5597" w:rsidRPr="00CE47DE" w:rsidRDefault="001D5597" w:rsidP="00655D8C"/>
        </w:tc>
      </w:tr>
      <w:tr w:rsidR="002C55FB" w:rsidRPr="00CE47DE" w14:paraId="125BE489" w14:textId="5F4D1B43" w:rsidTr="00752B5F">
        <w:tc>
          <w:tcPr>
            <w:tcW w:w="2918" w:type="dxa"/>
            <w:tcBorders>
              <w:top w:val="nil"/>
              <w:left w:val="nil"/>
              <w:bottom w:val="nil"/>
              <w:right w:val="nil"/>
            </w:tcBorders>
          </w:tcPr>
          <w:p w14:paraId="5D1CBADE" w14:textId="534D1D84" w:rsidR="002C55FB" w:rsidRPr="00CE47DE" w:rsidRDefault="002E0A5D" w:rsidP="00655D8C">
            <w:r w:rsidRPr="00CE47DE">
              <w:t>Yes</w:t>
            </w:r>
          </w:p>
        </w:tc>
        <w:tc>
          <w:tcPr>
            <w:tcW w:w="1301" w:type="dxa"/>
            <w:tcBorders>
              <w:top w:val="nil"/>
              <w:left w:val="nil"/>
              <w:bottom w:val="nil"/>
              <w:right w:val="nil"/>
            </w:tcBorders>
          </w:tcPr>
          <w:p w14:paraId="3239AEC4" w14:textId="14077B48" w:rsidR="002C55FB" w:rsidRPr="00CE47DE" w:rsidRDefault="00697779" w:rsidP="00697779">
            <w:r w:rsidRPr="00CE47DE">
              <w:t>10</w:t>
            </w:r>
            <w:r w:rsidR="002E0A5D" w:rsidRPr="00CE47DE">
              <w:t xml:space="preserve"> (</w:t>
            </w:r>
            <w:r w:rsidRPr="00CE47DE">
              <w:t>20</w:t>
            </w:r>
            <w:r w:rsidR="002E0A5D" w:rsidRPr="00CE47DE">
              <w:t>)</w:t>
            </w:r>
          </w:p>
        </w:tc>
        <w:tc>
          <w:tcPr>
            <w:tcW w:w="1276" w:type="dxa"/>
            <w:tcBorders>
              <w:top w:val="nil"/>
              <w:left w:val="nil"/>
              <w:bottom w:val="nil"/>
              <w:right w:val="nil"/>
            </w:tcBorders>
          </w:tcPr>
          <w:p w14:paraId="69F2600E" w14:textId="5E9F3E57" w:rsidR="002C55FB" w:rsidRPr="00CE47DE" w:rsidRDefault="00697779" w:rsidP="00697779">
            <w:r w:rsidRPr="00CE47DE">
              <w:t>13</w:t>
            </w:r>
            <w:r w:rsidR="002E0A5D" w:rsidRPr="00CE47DE">
              <w:t xml:space="preserve"> (</w:t>
            </w:r>
            <w:r w:rsidRPr="00CE47DE">
              <w:t>26</w:t>
            </w:r>
            <w:r w:rsidR="002E0A5D" w:rsidRPr="00CE47DE">
              <w:t>)</w:t>
            </w:r>
          </w:p>
        </w:tc>
        <w:tc>
          <w:tcPr>
            <w:tcW w:w="992" w:type="dxa"/>
            <w:tcBorders>
              <w:top w:val="nil"/>
              <w:left w:val="nil"/>
              <w:bottom w:val="nil"/>
              <w:right w:val="nil"/>
            </w:tcBorders>
          </w:tcPr>
          <w:p w14:paraId="2C1BC6D0" w14:textId="0EC58E71" w:rsidR="001D5597" w:rsidRPr="00CE47DE" w:rsidRDefault="001D5597" w:rsidP="00655D8C">
            <w:r w:rsidRPr="00CE47DE">
              <w:t>0.476</w:t>
            </w:r>
          </w:p>
        </w:tc>
      </w:tr>
      <w:tr w:rsidR="002E0A5D" w:rsidRPr="00CE47DE" w14:paraId="3F3210C9" w14:textId="77777777" w:rsidTr="00752B5F">
        <w:tc>
          <w:tcPr>
            <w:tcW w:w="2918" w:type="dxa"/>
            <w:tcBorders>
              <w:top w:val="nil"/>
              <w:left w:val="nil"/>
              <w:bottom w:val="single" w:sz="4" w:space="0" w:color="auto"/>
              <w:right w:val="nil"/>
            </w:tcBorders>
          </w:tcPr>
          <w:p w14:paraId="0ED67B41" w14:textId="19679A14" w:rsidR="002E0A5D" w:rsidRPr="00CE47DE" w:rsidRDefault="002E0A5D" w:rsidP="00655D8C">
            <w:r w:rsidRPr="00CE47DE">
              <w:t>No</w:t>
            </w:r>
          </w:p>
        </w:tc>
        <w:tc>
          <w:tcPr>
            <w:tcW w:w="1301" w:type="dxa"/>
            <w:tcBorders>
              <w:top w:val="nil"/>
              <w:left w:val="nil"/>
              <w:bottom w:val="single" w:sz="4" w:space="0" w:color="auto"/>
              <w:right w:val="nil"/>
            </w:tcBorders>
          </w:tcPr>
          <w:p w14:paraId="554318F8" w14:textId="414D3E88" w:rsidR="002E0A5D" w:rsidRPr="00CE47DE" w:rsidRDefault="00697779" w:rsidP="00697779">
            <w:r w:rsidRPr="00CE47DE">
              <w:t>4</w:t>
            </w:r>
            <w:r w:rsidR="002E0A5D" w:rsidRPr="00CE47DE">
              <w:t>0 (</w:t>
            </w:r>
            <w:r w:rsidRPr="00CE47DE">
              <w:t>8</w:t>
            </w:r>
            <w:r w:rsidR="002E0A5D" w:rsidRPr="00CE47DE">
              <w:t>0)</w:t>
            </w:r>
          </w:p>
        </w:tc>
        <w:tc>
          <w:tcPr>
            <w:tcW w:w="1276" w:type="dxa"/>
            <w:tcBorders>
              <w:top w:val="nil"/>
              <w:left w:val="nil"/>
              <w:bottom w:val="single" w:sz="4" w:space="0" w:color="auto"/>
              <w:right w:val="nil"/>
            </w:tcBorders>
          </w:tcPr>
          <w:p w14:paraId="0A21D051" w14:textId="3C534126" w:rsidR="002E0A5D" w:rsidRPr="00CE47DE" w:rsidRDefault="00697779" w:rsidP="00697779">
            <w:r w:rsidRPr="00CE47DE">
              <w:t>37</w:t>
            </w:r>
            <w:r w:rsidR="002E0A5D" w:rsidRPr="00CE47DE">
              <w:t xml:space="preserve"> (</w:t>
            </w:r>
            <w:r w:rsidRPr="00CE47DE">
              <w:t>74</w:t>
            </w:r>
            <w:r w:rsidR="002E0A5D" w:rsidRPr="00CE47DE">
              <w:t>)</w:t>
            </w:r>
          </w:p>
        </w:tc>
        <w:tc>
          <w:tcPr>
            <w:tcW w:w="992" w:type="dxa"/>
            <w:tcBorders>
              <w:top w:val="nil"/>
              <w:left w:val="nil"/>
              <w:bottom w:val="single" w:sz="4" w:space="0" w:color="auto"/>
              <w:right w:val="nil"/>
            </w:tcBorders>
          </w:tcPr>
          <w:p w14:paraId="4E416E52" w14:textId="77777777" w:rsidR="002E0A5D" w:rsidRPr="00CE47DE" w:rsidRDefault="002E0A5D" w:rsidP="00655D8C"/>
        </w:tc>
      </w:tr>
      <w:tr w:rsidR="002E0A5D" w:rsidRPr="00CE47DE" w14:paraId="758F13A2" w14:textId="77777777" w:rsidTr="00752B5F">
        <w:tc>
          <w:tcPr>
            <w:tcW w:w="2918" w:type="dxa"/>
            <w:tcBorders>
              <w:left w:val="nil"/>
              <w:bottom w:val="nil"/>
              <w:right w:val="nil"/>
            </w:tcBorders>
          </w:tcPr>
          <w:p w14:paraId="00941D7D" w14:textId="752B1A80" w:rsidR="002E0A5D" w:rsidRPr="00CE47DE" w:rsidRDefault="004A745B" w:rsidP="00655D8C">
            <w:pPr>
              <w:rPr>
                <w:b/>
              </w:rPr>
            </w:pPr>
            <w:r w:rsidRPr="00CE47DE">
              <w:rPr>
                <w:b/>
              </w:rPr>
              <w:t>Hospital stay</w:t>
            </w:r>
          </w:p>
        </w:tc>
        <w:tc>
          <w:tcPr>
            <w:tcW w:w="1301" w:type="dxa"/>
            <w:tcBorders>
              <w:left w:val="nil"/>
              <w:bottom w:val="nil"/>
              <w:right w:val="nil"/>
            </w:tcBorders>
          </w:tcPr>
          <w:p w14:paraId="4D3C0260" w14:textId="77777777" w:rsidR="002E0A5D" w:rsidRPr="00CE47DE" w:rsidRDefault="002E0A5D" w:rsidP="00655D8C"/>
        </w:tc>
        <w:tc>
          <w:tcPr>
            <w:tcW w:w="1276" w:type="dxa"/>
            <w:tcBorders>
              <w:left w:val="nil"/>
              <w:bottom w:val="nil"/>
              <w:right w:val="nil"/>
            </w:tcBorders>
          </w:tcPr>
          <w:p w14:paraId="1233FF09" w14:textId="77777777" w:rsidR="002E0A5D" w:rsidRPr="00CE47DE" w:rsidRDefault="002E0A5D" w:rsidP="00655D8C"/>
        </w:tc>
        <w:tc>
          <w:tcPr>
            <w:tcW w:w="992" w:type="dxa"/>
            <w:tcBorders>
              <w:left w:val="nil"/>
              <w:bottom w:val="nil"/>
              <w:right w:val="nil"/>
            </w:tcBorders>
          </w:tcPr>
          <w:p w14:paraId="6FCBB942" w14:textId="77777777" w:rsidR="002E0A5D" w:rsidRPr="00CE47DE" w:rsidRDefault="002E0A5D" w:rsidP="00655D8C"/>
        </w:tc>
      </w:tr>
      <w:tr w:rsidR="002C55FB" w:rsidRPr="00CE47DE" w14:paraId="30EE90E7" w14:textId="40A6DB80" w:rsidTr="00752B5F">
        <w:tc>
          <w:tcPr>
            <w:tcW w:w="2918" w:type="dxa"/>
            <w:tcBorders>
              <w:top w:val="nil"/>
              <w:left w:val="nil"/>
              <w:bottom w:val="nil"/>
              <w:right w:val="nil"/>
            </w:tcBorders>
          </w:tcPr>
          <w:p w14:paraId="6A5B2160" w14:textId="5B9EC32B" w:rsidR="002C55FB" w:rsidRPr="00CE47DE" w:rsidRDefault="0030111A" w:rsidP="00800E0B">
            <w:r w:rsidRPr="00CE47DE">
              <w:t xml:space="preserve">Mean </w:t>
            </w:r>
            <w:r w:rsidR="00800E0B" w:rsidRPr="00CE47DE">
              <w:t>d</w:t>
            </w:r>
            <w:r w:rsidR="002C55FB" w:rsidRPr="00CE47DE">
              <w:t>ays</w:t>
            </w:r>
            <w:r w:rsidRPr="00CE47DE">
              <w:t xml:space="preserve"> (SD)</w:t>
            </w:r>
          </w:p>
        </w:tc>
        <w:tc>
          <w:tcPr>
            <w:tcW w:w="1301" w:type="dxa"/>
            <w:tcBorders>
              <w:top w:val="nil"/>
              <w:left w:val="nil"/>
              <w:bottom w:val="nil"/>
              <w:right w:val="nil"/>
            </w:tcBorders>
          </w:tcPr>
          <w:p w14:paraId="451C5643" w14:textId="42EDE1B4" w:rsidR="002C55FB" w:rsidRPr="00CE47DE" w:rsidRDefault="00800E0B" w:rsidP="00BB2DA1">
            <w:r w:rsidRPr="00CE47DE">
              <w:t xml:space="preserve">7.1 </w:t>
            </w:r>
            <w:r w:rsidR="0030111A" w:rsidRPr="00CE47DE">
              <w:t>(</w:t>
            </w:r>
            <w:r w:rsidR="00B174AE" w:rsidRPr="00CE47DE">
              <w:t>2.4)</w:t>
            </w:r>
          </w:p>
        </w:tc>
        <w:tc>
          <w:tcPr>
            <w:tcW w:w="1276" w:type="dxa"/>
            <w:tcBorders>
              <w:top w:val="nil"/>
              <w:left w:val="nil"/>
              <w:bottom w:val="nil"/>
              <w:right w:val="nil"/>
            </w:tcBorders>
          </w:tcPr>
          <w:p w14:paraId="6B2621E0" w14:textId="6AB110E6" w:rsidR="002C55FB" w:rsidRPr="00CE47DE" w:rsidRDefault="00800E0B" w:rsidP="00B174AE">
            <w:r w:rsidRPr="00CE47DE">
              <w:t xml:space="preserve">7.5 </w:t>
            </w:r>
            <w:r w:rsidR="00B174AE" w:rsidRPr="00CE47DE">
              <w:t>(2.6)</w:t>
            </w:r>
          </w:p>
        </w:tc>
        <w:tc>
          <w:tcPr>
            <w:tcW w:w="992" w:type="dxa"/>
            <w:tcBorders>
              <w:top w:val="nil"/>
              <w:left w:val="nil"/>
              <w:bottom w:val="nil"/>
              <w:right w:val="nil"/>
            </w:tcBorders>
          </w:tcPr>
          <w:p w14:paraId="5C3F9158" w14:textId="5A03D5B0" w:rsidR="009D36B3" w:rsidRPr="00CE47DE" w:rsidRDefault="009D36B3" w:rsidP="00655D8C">
            <w:r w:rsidRPr="00CE47DE">
              <w:t>0.446</w:t>
            </w:r>
          </w:p>
        </w:tc>
      </w:tr>
      <w:tr w:rsidR="008C672F" w:rsidRPr="00CE47DE" w14:paraId="75680E5D" w14:textId="77777777" w:rsidTr="00752B5F">
        <w:tc>
          <w:tcPr>
            <w:tcW w:w="2918" w:type="dxa"/>
            <w:tcBorders>
              <w:top w:val="nil"/>
              <w:left w:val="nil"/>
              <w:bottom w:val="single" w:sz="4" w:space="0" w:color="auto"/>
              <w:right w:val="nil"/>
            </w:tcBorders>
          </w:tcPr>
          <w:p w14:paraId="23BAA337" w14:textId="308EFFF9" w:rsidR="008C672F" w:rsidRPr="00CE47DE" w:rsidRDefault="008C672F" w:rsidP="00B174AE">
            <w:r w:rsidRPr="00CE47DE">
              <w:t>Range</w:t>
            </w:r>
            <w:r w:rsidR="00B174AE" w:rsidRPr="00CE47DE">
              <w:t xml:space="preserve"> days</w:t>
            </w:r>
          </w:p>
        </w:tc>
        <w:tc>
          <w:tcPr>
            <w:tcW w:w="1301" w:type="dxa"/>
            <w:tcBorders>
              <w:top w:val="nil"/>
              <w:left w:val="nil"/>
              <w:bottom w:val="single" w:sz="4" w:space="0" w:color="auto"/>
              <w:right w:val="nil"/>
            </w:tcBorders>
          </w:tcPr>
          <w:p w14:paraId="4A144048" w14:textId="6FA31DF5" w:rsidR="008C672F" w:rsidRPr="00CE47DE" w:rsidRDefault="008C672F" w:rsidP="008C672F">
            <w:r w:rsidRPr="00CE47DE">
              <w:t>3–</w:t>
            </w:r>
            <w:r w:rsidR="00B174AE" w:rsidRPr="00CE47DE">
              <w:t>16</w:t>
            </w:r>
          </w:p>
        </w:tc>
        <w:tc>
          <w:tcPr>
            <w:tcW w:w="1276" w:type="dxa"/>
            <w:tcBorders>
              <w:top w:val="nil"/>
              <w:left w:val="nil"/>
              <w:bottom w:val="single" w:sz="4" w:space="0" w:color="auto"/>
              <w:right w:val="nil"/>
            </w:tcBorders>
          </w:tcPr>
          <w:p w14:paraId="05F2F90E" w14:textId="64178D3B" w:rsidR="008C672F" w:rsidRPr="00CE47DE" w:rsidRDefault="00671154" w:rsidP="008C672F">
            <w:r>
              <w:t>3</w:t>
            </w:r>
            <w:r w:rsidR="008C672F" w:rsidRPr="00CE47DE">
              <w:t>–15</w:t>
            </w:r>
          </w:p>
        </w:tc>
        <w:tc>
          <w:tcPr>
            <w:tcW w:w="992" w:type="dxa"/>
            <w:tcBorders>
              <w:top w:val="nil"/>
              <w:left w:val="nil"/>
              <w:bottom w:val="single" w:sz="4" w:space="0" w:color="auto"/>
              <w:right w:val="nil"/>
            </w:tcBorders>
          </w:tcPr>
          <w:p w14:paraId="55493AF8" w14:textId="77777777" w:rsidR="008C672F" w:rsidRPr="00CE47DE" w:rsidRDefault="008C672F" w:rsidP="00655D8C"/>
        </w:tc>
      </w:tr>
      <w:tr w:rsidR="00B75DCD" w:rsidRPr="00CE47DE" w14:paraId="007694F9" w14:textId="77777777" w:rsidTr="00752B5F">
        <w:tc>
          <w:tcPr>
            <w:tcW w:w="2918" w:type="dxa"/>
            <w:tcBorders>
              <w:left w:val="nil"/>
              <w:bottom w:val="nil"/>
              <w:right w:val="nil"/>
            </w:tcBorders>
          </w:tcPr>
          <w:p w14:paraId="65C1C993" w14:textId="7C03BED0" w:rsidR="00B75DCD" w:rsidRPr="00CE47DE" w:rsidRDefault="00B75DCD" w:rsidP="00B048C2">
            <w:pPr>
              <w:rPr>
                <w:b/>
              </w:rPr>
            </w:pPr>
            <w:r w:rsidRPr="00CE47DE">
              <w:rPr>
                <w:b/>
              </w:rPr>
              <w:t>Previous spinal operation(s)</w:t>
            </w:r>
          </w:p>
        </w:tc>
        <w:tc>
          <w:tcPr>
            <w:tcW w:w="1301" w:type="dxa"/>
            <w:tcBorders>
              <w:left w:val="nil"/>
              <w:bottom w:val="nil"/>
              <w:right w:val="nil"/>
            </w:tcBorders>
          </w:tcPr>
          <w:p w14:paraId="565EEFE8" w14:textId="77777777" w:rsidR="00B75DCD" w:rsidRPr="00CE47DE" w:rsidRDefault="00B75DCD" w:rsidP="00655D8C"/>
        </w:tc>
        <w:tc>
          <w:tcPr>
            <w:tcW w:w="1276" w:type="dxa"/>
            <w:tcBorders>
              <w:left w:val="nil"/>
              <w:bottom w:val="nil"/>
              <w:right w:val="nil"/>
            </w:tcBorders>
          </w:tcPr>
          <w:p w14:paraId="13267984" w14:textId="77777777" w:rsidR="00B75DCD" w:rsidRPr="00CE47DE" w:rsidRDefault="00B75DCD" w:rsidP="00B048C2"/>
        </w:tc>
        <w:tc>
          <w:tcPr>
            <w:tcW w:w="992" w:type="dxa"/>
            <w:tcBorders>
              <w:left w:val="nil"/>
              <w:bottom w:val="nil"/>
              <w:right w:val="nil"/>
            </w:tcBorders>
          </w:tcPr>
          <w:p w14:paraId="46107573" w14:textId="77777777" w:rsidR="00B75DCD" w:rsidRPr="00CE47DE" w:rsidRDefault="00B75DCD" w:rsidP="00655D8C"/>
        </w:tc>
      </w:tr>
      <w:tr w:rsidR="00B75DCD" w:rsidRPr="00CE47DE" w14:paraId="2221B723" w14:textId="2753FC20" w:rsidTr="00752B5F">
        <w:tc>
          <w:tcPr>
            <w:tcW w:w="2918" w:type="dxa"/>
            <w:tcBorders>
              <w:top w:val="nil"/>
              <w:left w:val="nil"/>
              <w:bottom w:val="single" w:sz="4" w:space="0" w:color="auto"/>
              <w:right w:val="nil"/>
            </w:tcBorders>
          </w:tcPr>
          <w:p w14:paraId="515C4249" w14:textId="263B469F" w:rsidR="00B75DCD" w:rsidRPr="00CE47DE" w:rsidRDefault="00B75DCD" w:rsidP="00655D8C">
            <w:r w:rsidRPr="00CE47DE">
              <w:t>Yes</w:t>
            </w:r>
          </w:p>
        </w:tc>
        <w:tc>
          <w:tcPr>
            <w:tcW w:w="1301" w:type="dxa"/>
            <w:tcBorders>
              <w:top w:val="nil"/>
              <w:left w:val="nil"/>
              <w:bottom w:val="single" w:sz="4" w:space="0" w:color="auto"/>
              <w:right w:val="nil"/>
            </w:tcBorders>
          </w:tcPr>
          <w:p w14:paraId="5B67C5DB" w14:textId="0F6126BC" w:rsidR="00B75DCD" w:rsidRPr="00CE47DE" w:rsidRDefault="00697779" w:rsidP="00697779">
            <w:r w:rsidRPr="00CE47DE">
              <w:t>17</w:t>
            </w:r>
            <w:r w:rsidR="00B75DCD" w:rsidRPr="00CE47DE">
              <w:t xml:space="preserve"> (</w:t>
            </w:r>
            <w:r w:rsidRPr="00CE47DE">
              <w:t>34</w:t>
            </w:r>
            <w:r w:rsidR="00B75DCD" w:rsidRPr="00CE47DE">
              <w:t>)</w:t>
            </w:r>
          </w:p>
        </w:tc>
        <w:tc>
          <w:tcPr>
            <w:tcW w:w="1276" w:type="dxa"/>
            <w:tcBorders>
              <w:top w:val="nil"/>
              <w:left w:val="nil"/>
              <w:bottom w:val="single" w:sz="4" w:space="0" w:color="auto"/>
              <w:right w:val="nil"/>
            </w:tcBorders>
          </w:tcPr>
          <w:p w14:paraId="371E57F9" w14:textId="42A4C5F1" w:rsidR="00B75DCD" w:rsidRPr="00CE47DE" w:rsidRDefault="00697779" w:rsidP="00697779">
            <w:r w:rsidRPr="00CE47DE">
              <w:t>16</w:t>
            </w:r>
            <w:r w:rsidR="00B75DCD" w:rsidRPr="00CE47DE">
              <w:t xml:space="preserve"> (</w:t>
            </w:r>
            <w:r w:rsidRPr="00CE47DE">
              <w:t>33</w:t>
            </w:r>
            <w:r w:rsidR="00B75DCD" w:rsidRPr="00CE47DE">
              <w:t>)</w:t>
            </w:r>
          </w:p>
        </w:tc>
        <w:tc>
          <w:tcPr>
            <w:tcW w:w="992" w:type="dxa"/>
            <w:tcBorders>
              <w:top w:val="nil"/>
              <w:left w:val="nil"/>
              <w:bottom w:val="single" w:sz="4" w:space="0" w:color="auto"/>
              <w:right w:val="nil"/>
            </w:tcBorders>
          </w:tcPr>
          <w:p w14:paraId="5BFC2207" w14:textId="628DEE57" w:rsidR="00B75DCD" w:rsidRPr="00CE47DE" w:rsidRDefault="00B75DCD" w:rsidP="00655D8C">
            <w:r w:rsidRPr="00CE47DE">
              <w:t>0.986</w:t>
            </w:r>
          </w:p>
        </w:tc>
      </w:tr>
      <w:tr w:rsidR="00B75DCD" w:rsidRPr="00CE47DE" w14:paraId="755F4D43" w14:textId="77777777" w:rsidTr="00752B5F">
        <w:tc>
          <w:tcPr>
            <w:tcW w:w="2918" w:type="dxa"/>
            <w:tcBorders>
              <w:left w:val="nil"/>
              <w:bottom w:val="nil"/>
              <w:right w:val="nil"/>
            </w:tcBorders>
          </w:tcPr>
          <w:p w14:paraId="03414676" w14:textId="235CA19F" w:rsidR="00B75DCD" w:rsidRPr="00CE47DE" w:rsidRDefault="00B75DCD" w:rsidP="00655D8C">
            <w:pPr>
              <w:rPr>
                <w:b/>
              </w:rPr>
            </w:pPr>
            <w:r w:rsidRPr="00CE47DE">
              <w:rPr>
                <w:b/>
              </w:rPr>
              <w:t>Other previous operations</w:t>
            </w:r>
          </w:p>
        </w:tc>
        <w:tc>
          <w:tcPr>
            <w:tcW w:w="1301" w:type="dxa"/>
            <w:tcBorders>
              <w:left w:val="nil"/>
              <w:bottom w:val="nil"/>
              <w:right w:val="nil"/>
            </w:tcBorders>
          </w:tcPr>
          <w:p w14:paraId="7A38D330" w14:textId="77777777" w:rsidR="00B75DCD" w:rsidRPr="00CE47DE" w:rsidRDefault="00B75DCD" w:rsidP="00B048C2"/>
        </w:tc>
        <w:tc>
          <w:tcPr>
            <w:tcW w:w="1276" w:type="dxa"/>
            <w:tcBorders>
              <w:left w:val="nil"/>
              <w:bottom w:val="nil"/>
              <w:right w:val="nil"/>
            </w:tcBorders>
          </w:tcPr>
          <w:p w14:paraId="710ACCBA" w14:textId="77777777" w:rsidR="00B75DCD" w:rsidRPr="00CE47DE" w:rsidRDefault="00B75DCD" w:rsidP="00B048C2"/>
        </w:tc>
        <w:tc>
          <w:tcPr>
            <w:tcW w:w="992" w:type="dxa"/>
            <w:tcBorders>
              <w:left w:val="nil"/>
              <w:bottom w:val="nil"/>
              <w:right w:val="nil"/>
            </w:tcBorders>
          </w:tcPr>
          <w:p w14:paraId="465CE8E4" w14:textId="77777777" w:rsidR="00B75DCD" w:rsidRPr="00CE47DE" w:rsidRDefault="00B75DCD" w:rsidP="00655D8C"/>
        </w:tc>
      </w:tr>
      <w:tr w:rsidR="00B75DCD" w:rsidRPr="00CE47DE" w14:paraId="1F090C03" w14:textId="72B24E8A" w:rsidTr="00752B5F">
        <w:tc>
          <w:tcPr>
            <w:tcW w:w="2918" w:type="dxa"/>
            <w:tcBorders>
              <w:top w:val="nil"/>
              <w:left w:val="nil"/>
              <w:right w:val="nil"/>
            </w:tcBorders>
          </w:tcPr>
          <w:p w14:paraId="027B7EBA" w14:textId="560A4D69" w:rsidR="00B75DCD" w:rsidRPr="00CE47DE" w:rsidRDefault="00B75DCD" w:rsidP="009D25B6">
            <w:r w:rsidRPr="00CE47DE">
              <w:t>Yes</w:t>
            </w:r>
          </w:p>
        </w:tc>
        <w:tc>
          <w:tcPr>
            <w:tcW w:w="1301" w:type="dxa"/>
            <w:tcBorders>
              <w:top w:val="nil"/>
              <w:left w:val="nil"/>
              <w:right w:val="nil"/>
            </w:tcBorders>
          </w:tcPr>
          <w:p w14:paraId="56B96436" w14:textId="00EA5F15" w:rsidR="00B75DCD" w:rsidRPr="00CE47DE" w:rsidRDefault="00697779" w:rsidP="00697779">
            <w:r w:rsidRPr="00CE47DE">
              <w:t>39</w:t>
            </w:r>
            <w:r w:rsidR="00B75DCD" w:rsidRPr="00CE47DE">
              <w:t xml:space="preserve"> (</w:t>
            </w:r>
            <w:r w:rsidRPr="00CE47DE">
              <w:t>80</w:t>
            </w:r>
            <w:r w:rsidR="00B75DCD" w:rsidRPr="00CE47DE">
              <w:t>)</w:t>
            </w:r>
          </w:p>
        </w:tc>
        <w:tc>
          <w:tcPr>
            <w:tcW w:w="1276" w:type="dxa"/>
            <w:tcBorders>
              <w:top w:val="nil"/>
              <w:left w:val="nil"/>
              <w:right w:val="nil"/>
            </w:tcBorders>
          </w:tcPr>
          <w:p w14:paraId="21463FC4" w14:textId="55B21B58" w:rsidR="00B75DCD" w:rsidRPr="00CE47DE" w:rsidRDefault="00697779" w:rsidP="00697779">
            <w:r w:rsidRPr="00CE47DE">
              <w:t>45</w:t>
            </w:r>
            <w:r w:rsidR="00B75DCD" w:rsidRPr="00CE47DE">
              <w:t xml:space="preserve"> (</w:t>
            </w:r>
            <w:r w:rsidRPr="00CE47DE">
              <w:t>92</w:t>
            </w:r>
            <w:r w:rsidR="00B75DCD" w:rsidRPr="00CE47DE">
              <w:t>)</w:t>
            </w:r>
          </w:p>
        </w:tc>
        <w:tc>
          <w:tcPr>
            <w:tcW w:w="992" w:type="dxa"/>
            <w:tcBorders>
              <w:top w:val="nil"/>
              <w:left w:val="nil"/>
              <w:right w:val="nil"/>
            </w:tcBorders>
          </w:tcPr>
          <w:p w14:paraId="3D7C08D5" w14:textId="0999425B" w:rsidR="00B75DCD" w:rsidRPr="00CE47DE" w:rsidRDefault="00B75DCD" w:rsidP="00655D8C">
            <w:r w:rsidRPr="00CE47DE">
              <w:t>0.100</w:t>
            </w:r>
          </w:p>
        </w:tc>
      </w:tr>
    </w:tbl>
    <w:p w14:paraId="535CAA48" w14:textId="514E7651" w:rsidR="00B86398" w:rsidRPr="00CE47DE" w:rsidRDefault="00A33FCB" w:rsidP="00DC0313">
      <w:r w:rsidRPr="00CE47DE">
        <w:t xml:space="preserve">IG = </w:t>
      </w:r>
      <w:r w:rsidR="00B86398" w:rsidRPr="00CE47DE">
        <w:t>Intervention Group</w:t>
      </w:r>
      <w:r w:rsidR="00C13E4E" w:rsidRPr="00CE47DE">
        <w:t>,</w:t>
      </w:r>
    </w:p>
    <w:p w14:paraId="033B30E9" w14:textId="2105AD1A" w:rsidR="00A33FCB" w:rsidRPr="00CE47DE" w:rsidRDefault="00A33FCB" w:rsidP="00DC0313">
      <w:r w:rsidRPr="00CE47DE">
        <w:t xml:space="preserve">CG = </w:t>
      </w:r>
      <w:r w:rsidR="00903243" w:rsidRPr="00CE47DE">
        <w:t>C</w:t>
      </w:r>
      <w:r w:rsidR="00B86398" w:rsidRPr="00CE47DE">
        <w:t xml:space="preserve">ontrol </w:t>
      </w:r>
      <w:r w:rsidR="00903243" w:rsidRPr="00CE47DE">
        <w:t>G</w:t>
      </w:r>
      <w:r w:rsidR="00B86398" w:rsidRPr="00CE47DE">
        <w:t>roup</w:t>
      </w:r>
    </w:p>
    <w:p w14:paraId="7DA8CE8F" w14:textId="608E6F9C" w:rsidR="00375060" w:rsidRPr="00CE47DE" w:rsidRDefault="00B86398" w:rsidP="00DC0313">
      <w:r w:rsidRPr="00CE47DE">
        <w:t>Significant p &lt;</w:t>
      </w:r>
      <w:r w:rsidR="006F1CAF" w:rsidRPr="00CE47DE">
        <w:t xml:space="preserve"> 0.0</w:t>
      </w:r>
      <w:r w:rsidR="00E832EB" w:rsidRPr="00CE47DE">
        <w:t>5</w:t>
      </w:r>
    </w:p>
    <w:p w14:paraId="095FA8D9" w14:textId="77777777" w:rsidR="00A33FCB" w:rsidRPr="00CE47DE" w:rsidRDefault="00A33FCB" w:rsidP="00B25C7B">
      <w:pPr>
        <w:spacing w:line="360" w:lineRule="auto"/>
        <w:sectPr w:rsidR="00A33FCB" w:rsidRPr="00CE47DE">
          <w:pgSz w:w="11906" w:h="16838"/>
          <w:pgMar w:top="1417" w:right="1134" w:bottom="1417" w:left="1134" w:header="708" w:footer="708" w:gutter="0"/>
          <w:cols w:space="708"/>
          <w:docGrid w:linePitch="360"/>
        </w:sectPr>
      </w:pPr>
    </w:p>
    <w:p w14:paraId="46F64BBA" w14:textId="19F61CE9" w:rsidR="003B4AF3" w:rsidRPr="00CE47DE" w:rsidRDefault="00266FC5" w:rsidP="00B25C7B">
      <w:pPr>
        <w:spacing w:line="360" w:lineRule="auto"/>
      </w:pPr>
      <w:r w:rsidRPr="00CE47DE">
        <w:rPr>
          <w:b/>
        </w:rPr>
        <w:lastRenderedPageBreak/>
        <w:t>Table 3</w:t>
      </w:r>
      <w:r w:rsidR="00552EEC" w:rsidRPr="00CE47DE">
        <w:rPr>
          <w:b/>
        </w:rPr>
        <w:t>.</w:t>
      </w:r>
      <w:r w:rsidR="00552EEC" w:rsidRPr="00CE47DE">
        <w:t xml:space="preserve"> Knowledge level on the </w:t>
      </w:r>
      <w:r w:rsidR="00E1641D" w:rsidRPr="00CE47DE">
        <w:t>total scale and</w:t>
      </w:r>
      <w:r w:rsidR="00C20543" w:rsidRPr="00CE47DE">
        <w:t xml:space="preserve"> the</w:t>
      </w:r>
      <w:r w:rsidR="00E1641D" w:rsidRPr="00CE47DE">
        <w:t xml:space="preserve"> </w:t>
      </w:r>
      <w:r w:rsidR="00552EEC" w:rsidRPr="00CE47DE">
        <w:t>subscale</w:t>
      </w:r>
      <w:r w:rsidR="00E1641D" w:rsidRPr="00CE47DE">
        <w:t>s</w:t>
      </w:r>
      <w:r w:rsidR="00552EEC" w:rsidRPr="00CE47DE">
        <w:t xml:space="preserve"> of</w:t>
      </w:r>
      <w:r w:rsidR="00E1641D" w:rsidRPr="00CE47DE">
        <w:t xml:space="preserve"> the</w:t>
      </w:r>
      <w:r w:rsidR="00552EEC" w:rsidRPr="00CE47DE">
        <w:t xml:space="preserve"> </w:t>
      </w:r>
      <w:r w:rsidR="00DD61DC" w:rsidRPr="00CE47DE">
        <w:t>KNOWBACK Test</w:t>
      </w:r>
      <w:r w:rsidR="00406E8D" w:rsidRPr="00CE47DE">
        <w:t xml:space="preserve"> (number of correct answers)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89"/>
        <w:gridCol w:w="1276"/>
        <w:gridCol w:w="567"/>
        <w:gridCol w:w="1276"/>
        <w:gridCol w:w="567"/>
        <w:gridCol w:w="1275"/>
        <w:gridCol w:w="567"/>
        <w:gridCol w:w="1418"/>
        <w:gridCol w:w="567"/>
        <w:gridCol w:w="1276"/>
        <w:gridCol w:w="567"/>
        <w:gridCol w:w="1235"/>
      </w:tblGrid>
      <w:tr w:rsidR="009E5C5E" w:rsidRPr="00CE47DE" w14:paraId="24316967" w14:textId="77777777" w:rsidTr="00BF1153">
        <w:tc>
          <w:tcPr>
            <w:tcW w:w="1809" w:type="dxa"/>
            <w:tcBorders>
              <w:left w:val="nil"/>
              <w:bottom w:val="nil"/>
              <w:right w:val="nil"/>
            </w:tcBorders>
            <w:shd w:val="clear" w:color="auto" w:fill="auto"/>
          </w:tcPr>
          <w:p w14:paraId="1A98262F" w14:textId="77777777" w:rsidR="009E5C5E" w:rsidRPr="00CE47DE" w:rsidRDefault="009E5C5E" w:rsidP="009E5C5E">
            <w:pPr>
              <w:rPr>
                <w:rFonts w:eastAsia="Calibri"/>
                <w:lang w:eastAsia="en-US"/>
              </w:rPr>
            </w:pPr>
          </w:p>
        </w:tc>
        <w:tc>
          <w:tcPr>
            <w:tcW w:w="1328" w:type="dxa"/>
            <w:tcBorders>
              <w:left w:val="nil"/>
              <w:bottom w:val="nil"/>
              <w:right w:val="nil"/>
            </w:tcBorders>
            <w:shd w:val="clear" w:color="auto" w:fill="auto"/>
          </w:tcPr>
          <w:p w14:paraId="59FD923E" w14:textId="77777777" w:rsidR="009E5C5E" w:rsidRPr="00CE47DE" w:rsidRDefault="009E5C5E" w:rsidP="009E5C5E">
            <w:pPr>
              <w:rPr>
                <w:rFonts w:eastAsia="Calibri"/>
                <w:lang w:eastAsia="en-US"/>
              </w:rPr>
            </w:pPr>
          </w:p>
        </w:tc>
        <w:tc>
          <w:tcPr>
            <w:tcW w:w="1276" w:type="dxa"/>
            <w:tcBorders>
              <w:left w:val="nil"/>
              <w:bottom w:val="nil"/>
              <w:right w:val="nil"/>
            </w:tcBorders>
            <w:shd w:val="clear" w:color="auto" w:fill="auto"/>
          </w:tcPr>
          <w:p w14:paraId="6FE04510" w14:textId="77777777" w:rsidR="009E5C5E" w:rsidRPr="00CE47DE" w:rsidRDefault="009E5C5E" w:rsidP="009E5C5E">
            <w:pPr>
              <w:rPr>
                <w:rFonts w:eastAsia="Calibri"/>
                <w:lang w:eastAsia="en-US"/>
              </w:rPr>
            </w:pPr>
            <w:r w:rsidRPr="00CE47DE">
              <w:rPr>
                <w:rFonts w:eastAsia="Calibri"/>
                <w:lang w:eastAsia="en-US"/>
              </w:rPr>
              <w:t>T0</w:t>
            </w:r>
          </w:p>
        </w:tc>
        <w:tc>
          <w:tcPr>
            <w:tcW w:w="567" w:type="dxa"/>
            <w:tcBorders>
              <w:left w:val="nil"/>
              <w:bottom w:val="nil"/>
              <w:right w:val="nil"/>
            </w:tcBorders>
            <w:shd w:val="clear" w:color="auto" w:fill="auto"/>
          </w:tcPr>
          <w:p w14:paraId="09C67046" w14:textId="77777777" w:rsidR="009E5C5E" w:rsidRPr="00CE47DE" w:rsidRDefault="009E5C5E" w:rsidP="009E5C5E">
            <w:pPr>
              <w:rPr>
                <w:rFonts w:eastAsia="Calibri"/>
                <w:lang w:eastAsia="en-US"/>
              </w:rPr>
            </w:pPr>
          </w:p>
        </w:tc>
        <w:tc>
          <w:tcPr>
            <w:tcW w:w="1276" w:type="dxa"/>
            <w:tcBorders>
              <w:left w:val="nil"/>
              <w:bottom w:val="nil"/>
              <w:right w:val="nil"/>
            </w:tcBorders>
            <w:shd w:val="clear" w:color="auto" w:fill="auto"/>
          </w:tcPr>
          <w:p w14:paraId="1CCDF1D7" w14:textId="77777777" w:rsidR="009E5C5E" w:rsidRPr="00CE47DE" w:rsidRDefault="009E5C5E" w:rsidP="009E5C5E">
            <w:pPr>
              <w:rPr>
                <w:rFonts w:eastAsia="Calibri"/>
                <w:lang w:eastAsia="en-US"/>
              </w:rPr>
            </w:pPr>
            <w:r w:rsidRPr="00CE47DE">
              <w:rPr>
                <w:rFonts w:eastAsia="Calibri"/>
                <w:lang w:eastAsia="en-US"/>
              </w:rPr>
              <w:t>T1</w:t>
            </w:r>
          </w:p>
        </w:tc>
        <w:tc>
          <w:tcPr>
            <w:tcW w:w="567" w:type="dxa"/>
            <w:tcBorders>
              <w:left w:val="nil"/>
              <w:bottom w:val="nil"/>
              <w:right w:val="nil"/>
            </w:tcBorders>
            <w:shd w:val="clear" w:color="auto" w:fill="auto"/>
          </w:tcPr>
          <w:p w14:paraId="23C398BA" w14:textId="77777777" w:rsidR="009E5C5E" w:rsidRPr="00CE47DE" w:rsidRDefault="009E5C5E" w:rsidP="009E5C5E">
            <w:pPr>
              <w:rPr>
                <w:rFonts w:eastAsia="Calibri"/>
                <w:lang w:eastAsia="en-US"/>
              </w:rPr>
            </w:pPr>
          </w:p>
        </w:tc>
        <w:tc>
          <w:tcPr>
            <w:tcW w:w="1275" w:type="dxa"/>
            <w:tcBorders>
              <w:left w:val="nil"/>
              <w:bottom w:val="nil"/>
              <w:right w:val="nil"/>
            </w:tcBorders>
            <w:shd w:val="clear" w:color="auto" w:fill="auto"/>
          </w:tcPr>
          <w:p w14:paraId="21C6E652" w14:textId="77777777" w:rsidR="009E5C5E" w:rsidRPr="00CE47DE" w:rsidRDefault="009E5C5E" w:rsidP="009E5C5E">
            <w:pPr>
              <w:rPr>
                <w:rFonts w:eastAsia="Calibri"/>
                <w:lang w:eastAsia="en-US"/>
              </w:rPr>
            </w:pPr>
            <w:r w:rsidRPr="00CE47DE">
              <w:rPr>
                <w:rFonts w:eastAsia="Calibri"/>
                <w:lang w:eastAsia="en-US"/>
              </w:rPr>
              <w:t>T2</w:t>
            </w:r>
          </w:p>
        </w:tc>
        <w:tc>
          <w:tcPr>
            <w:tcW w:w="567" w:type="dxa"/>
            <w:tcBorders>
              <w:left w:val="nil"/>
              <w:bottom w:val="nil"/>
              <w:right w:val="nil"/>
            </w:tcBorders>
            <w:shd w:val="clear" w:color="auto" w:fill="auto"/>
          </w:tcPr>
          <w:p w14:paraId="667EADF4" w14:textId="77777777" w:rsidR="009E5C5E" w:rsidRPr="00CE47DE" w:rsidRDefault="009E5C5E" w:rsidP="009E5C5E">
            <w:pPr>
              <w:rPr>
                <w:rFonts w:eastAsia="Calibri"/>
                <w:lang w:eastAsia="en-US"/>
              </w:rPr>
            </w:pPr>
          </w:p>
        </w:tc>
        <w:tc>
          <w:tcPr>
            <w:tcW w:w="1418" w:type="dxa"/>
            <w:tcBorders>
              <w:left w:val="nil"/>
              <w:bottom w:val="nil"/>
              <w:right w:val="nil"/>
            </w:tcBorders>
            <w:shd w:val="clear" w:color="auto" w:fill="auto"/>
          </w:tcPr>
          <w:p w14:paraId="24E46580" w14:textId="77777777" w:rsidR="009E5C5E" w:rsidRPr="00CE47DE" w:rsidRDefault="009E5C5E" w:rsidP="009E5C5E">
            <w:pPr>
              <w:rPr>
                <w:rFonts w:eastAsia="Calibri"/>
                <w:lang w:eastAsia="en-US"/>
              </w:rPr>
            </w:pPr>
            <w:r w:rsidRPr="00CE47DE">
              <w:rPr>
                <w:rFonts w:eastAsia="Calibri"/>
                <w:lang w:eastAsia="en-US"/>
              </w:rPr>
              <w:t>T3</w:t>
            </w:r>
          </w:p>
        </w:tc>
        <w:tc>
          <w:tcPr>
            <w:tcW w:w="567" w:type="dxa"/>
            <w:tcBorders>
              <w:left w:val="nil"/>
              <w:bottom w:val="nil"/>
              <w:right w:val="nil"/>
            </w:tcBorders>
            <w:shd w:val="clear" w:color="auto" w:fill="auto"/>
          </w:tcPr>
          <w:p w14:paraId="69169CA4" w14:textId="77777777" w:rsidR="009E5C5E" w:rsidRPr="00CE47DE" w:rsidRDefault="009E5C5E" w:rsidP="009E5C5E">
            <w:pPr>
              <w:rPr>
                <w:rFonts w:eastAsia="Calibri"/>
                <w:lang w:eastAsia="en-US"/>
              </w:rPr>
            </w:pPr>
          </w:p>
        </w:tc>
        <w:tc>
          <w:tcPr>
            <w:tcW w:w="1276" w:type="dxa"/>
            <w:tcBorders>
              <w:left w:val="nil"/>
              <w:bottom w:val="nil"/>
              <w:right w:val="nil"/>
            </w:tcBorders>
            <w:shd w:val="clear" w:color="auto" w:fill="auto"/>
          </w:tcPr>
          <w:p w14:paraId="238421D0" w14:textId="77777777" w:rsidR="009E5C5E" w:rsidRPr="00CE47DE" w:rsidRDefault="009E5C5E" w:rsidP="009E5C5E">
            <w:pPr>
              <w:rPr>
                <w:rFonts w:eastAsia="Calibri"/>
                <w:lang w:eastAsia="en-US"/>
              </w:rPr>
            </w:pPr>
            <w:r w:rsidRPr="00CE47DE">
              <w:rPr>
                <w:rFonts w:eastAsia="Calibri"/>
                <w:lang w:eastAsia="en-US"/>
              </w:rPr>
              <w:t>T4</w:t>
            </w:r>
          </w:p>
        </w:tc>
        <w:tc>
          <w:tcPr>
            <w:tcW w:w="567" w:type="dxa"/>
            <w:tcBorders>
              <w:left w:val="nil"/>
              <w:bottom w:val="nil"/>
              <w:right w:val="nil"/>
            </w:tcBorders>
            <w:shd w:val="clear" w:color="auto" w:fill="auto"/>
          </w:tcPr>
          <w:p w14:paraId="1F11E110" w14:textId="77777777" w:rsidR="009E5C5E" w:rsidRPr="00CE47DE" w:rsidRDefault="009E5C5E" w:rsidP="009E5C5E">
            <w:pPr>
              <w:rPr>
                <w:rFonts w:eastAsia="Calibri"/>
                <w:lang w:eastAsia="en-US"/>
              </w:rPr>
            </w:pPr>
          </w:p>
        </w:tc>
        <w:tc>
          <w:tcPr>
            <w:tcW w:w="1235" w:type="dxa"/>
            <w:tcBorders>
              <w:left w:val="nil"/>
              <w:bottom w:val="nil"/>
              <w:right w:val="nil"/>
            </w:tcBorders>
            <w:shd w:val="clear" w:color="auto" w:fill="auto"/>
          </w:tcPr>
          <w:p w14:paraId="0BF3D4A5" w14:textId="77777777" w:rsidR="009E5C5E" w:rsidRPr="00CE47DE" w:rsidRDefault="009E5C5E" w:rsidP="009E5C5E">
            <w:pPr>
              <w:rPr>
                <w:rFonts w:eastAsia="Calibri"/>
                <w:lang w:eastAsia="en-US"/>
              </w:rPr>
            </w:pPr>
          </w:p>
        </w:tc>
      </w:tr>
      <w:tr w:rsidR="009E5C5E" w:rsidRPr="00CE47DE" w14:paraId="67874E4F" w14:textId="77777777" w:rsidTr="00BF1153">
        <w:tc>
          <w:tcPr>
            <w:tcW w:w="1809" w:type="dxa"/>
            <w:tcBorders>
              <w:top w:val="nil"/>
              <w:left w:val="nil"/>
              <w:bottom w:val="nil"/>
              <w:right w:val="nil"/>
            </w:tcBorders>
            <w:shd w:val="clear" w:color="auto" w:fill="auto"/>
          </w:tcPr>
          <w:p w14:paraId="16A55562" w14:textId="77777777" w:rsidR="009E5C5E" w:rsidRPr="00CE47DE" w:rsidRDefault="009E5C5E" w:rsidP="009E5C5E">
            <w:pPr>
              <w:rPr>
                <w:rFonts w:eastAsia="Calibri"/>
                <w:lang w:eastAsia="en-US"/>
              </w:rPr>
            </w:pPr>
            <w:r w:rsidRPr="00CE47DE">
              <w:rPr>
                <w:rFonts w:eastAsia="Calibri"/>
                <w:lang w:eastAsia="en-US"/>
              </w:rPr>
              <w:t>Scales</w:t>
            </w:r>
          </w:p>
        </w:tc>
        <w:tc>
          <w:tcPr>
            <w:tcW w:w="1328" w:type="dxa"/>
            <w:tcBorders>
              <w:top w:val="nil"/>
              <w:left w:val="nil"/>
              <w:bottom w:val="nil"/>
              <w:right w:val="nil"/>
            </w:tcBorders>
            <w:shd w:val="clear" w:color="auto" w:fill="auto"/>
          </w:tcPr>
          <w:p w14:paraId="5FC95695" w14:textId="77777777" w:rsidR="009E5C5E" w:rsidRPr="00CE47DE" w:rsidRDefault="009E5C5E" w:rsidP="009E5C5E">
            <w:pPr>
              <w:rPr>
                <w:rFonts w:eastAsia="Calibri"/>
                <w:lang w:eastAsia="en-US"/>
              </w:rPr>
            </w:pPr>
            <w:r w:rsidRPr="00CE47DE">
              <w:rPr>
                <w:rFonts w:eastAsia="Calibri"/>
                <w:lang w:eastAsia="en-US"/>
              </w:rPr>
              <w:t>Group</w:t>
            </w:r>
          </w:p>
        </w:tc>
        <w:tc>
          <w:tcPr>
            <w:tcW w:w="1276" w:type="dxa"/>
            <w:tcBorders>
              <w:top w:val="nil"/>
              <w:left w:val="nil"/>
              <w:bottom w:val="nil"/>
              <w:right w:val="nil"/>
            </w:tcBorders>
            <w:shd w:val="clear" w:color="auto" w:fill="auto"/>
          </w:tcPr>
          <w:p w14:paraId="4A0B84FE" w14:textId="7F808FB7" w:rsidR="009E5C5E" w:rsidRPr="00CE47DE" w:rsidRDefault="009E5C5E" w:rsidP="009E5C5E">
            <w:pPr>
              <w:jc w:val="center"/>
              <w:rPr>
                <w:rFonts w:eastAsia="Calibri"/>
                <w:lang w:eastAsia="en-US"/>
              </w:rPr>
            </w:pPr>
            <w:r w:rsidRPr="00CE47DE">
              <w:rPr>
                <w:rFonts w:eastAsia="Calibri"/>
                <w:lang w:eastAsia="en-US"/>
              </w:rPr>
              <w:t>mean</w:t>
            </w:r>
            <w:r w:rsidR="00EA43B0">
              <w:rPr>
                <w:rFonts w:eastAsia="Calibri"/>
                <w:lang w:eastAsia="en-US"/>
              </w:rPr>
              <w:t xml:space="preserve"> </w:t>
            </w:r>
            <w:r w:rsidRPr="00CE47DE">
              <w:rPr>
                <w:rFonts w:eastAsia="Calibri"/>
                <w:lang w:eastAsia="en-US"/>
              </w:rPr>
              <w:t>(SD)</w:t>
            </w:r>
          </w:p>
        </w:tc>
        <w:tc>
          <w:tcPr>
            <w:tcW w:w="567" w:type="dxa"/>
            <w:tcBorders>
              <w:top w:val="nil"/>
              <w:left w:val="nil"/>
              <w:bottom w:val="nil"/>
              <w:right w:val="nil"/>
            </w:tcBorders>
            <w:shd w:val="clear" w:color="auto" w:fill="auto"/>
          </w:tcPr>
          <w:p w14:paraId="36F9EF92" w14:textId="77777777" w:rsidR="009E5C5E" w:rsidRPr="00CE47DE" w:rsidRDefault="009E5C5E" w:rsidP="009E5C5E">
            <w:pPr>
              <w:jc w:val="center"/>
              <w:rPr>
                <w:rFonts w:eastAsia="Calibri"/>
                <w:lang w:eastAsia="en-US"/>
              </w:rPr>
            </w:pPr>
            <w:r w:rsidRPr="00CE47DE">
              <w:rPr>
                <w:rFonts w:eastAsia="Calibri"/>
                <w:lang w:eastAsia="en-US"/>
              </w:rPr>
              <w:t>n</w:t>
            </w:r>
          </w:p>
        </w:tc>
        <w:tc>
          <w:tcPr>
            <w:tcW w:w="1276" w:type="dxa"/>
            <w:tcBorders>
              <w:top w:val="nil"/>
              <w:left w:val="nil"/>
              <w:bottom w:val="nil"/>
              <w:right w:val="nil"/>
            </w:tcBorders>
            <w:shd w:val="clear" w:color="auto" w:fill="auto"/>
          </w:tcPr>
          <w:p w14:paraId="2D689213" w14:textId="02165293" w:rsidR="009E5C5E" w:rsidRPr="00CE47DE" w:rsidRDefault="009E5C5E" w:rsidP="009E5C5E">
            <w:pPr>
              <w:jc w:val="center"/>
              <w:rPr>
                <w:rFonts w:eastAsia="Calibri"/>
                <w:lang w:eastAsia="en-US"/>
              </w:rPr>
            </w:pPr>
            <w:r w:rsidRPr="00CE47DE">
              <w:rPr>
                <w:rFonts w:eastAsia="Calibri"/>
                <w:lang w:eastAsia="en-US"/>
              </w:rPr>
              <w:t>mean</w:t>
            </w:r>
            <w:r w:rsidR="00EA43B0">
              <w:rPr>
                <w:rFonts w:eastAsia="Calibri"/>
                <w:lang w:eastAsia="en-US"/>
              </w:rPr>
              <w:t xml:space="preserve"> </w:t>
            </w:r>
            <w:r w:rsidRPr="00CE47DE">
              <w:rPr>
                <w:rFonts w:eastAsia="Calibri"/>
                <w:lang w:eastAsia="en-US"/>
              </w:rPr>
              <w:t>(SD)</w:t>
            </w:r>
          </w:p>
        </w:tc>
        <w:tc>
          <w:tcPr>
            <w:tcW w:w="567" w:type="dxa"/>
            <w:tcBorders>
              <w:top w:val="nil"/>
              <w:left w:val="nil"/>
              <w:bottom w:val="nil"/>
              <w:right w:val="nil"/>
            </w:tcBorders>
            <w:shd w:val="clear" w:color="auto" w:fill="auto"/>
          </w:tcPr>
          <w:p w14:paraId="1FB8BB2C" w14:textId="77777777" w:rsidR="009E5C5E" w:rsidRPr="00CE47DE" w:rsidRDefault="009E5C5E" w:rsidP="009E5C5E">
            <w:pPr>
              <w:jc w:val="center"/>
              <w:rPr>
                <w:rFonts w:eastAsia="Calibri"/>
                <w:lang w:eastAsia="en-US"/>
              </w:rPr>
            </w:pPr>
            <w:r w:rsidRPr="00CE47DE">
              <w:rPr>
                <w:rFonts w:eastAsia="Calibri"/>
                <w:lang w:eastAsia="en-US"/>
              </w:rPr>
              <w:t>n</w:t>
            </w:r>
          </w:p>
        </w:tc>
        <w:tc>
          <w:tcPr>
            <w:tcW w:w="1275" w:type="dxa"/>
            <w:tcBorders>
              <w:top w:val="nil"/>
              <w:left w:val="nil"/>
              <w:bottom w:val="nil"/>
              <w:right w:val="nil"/>
            </w:tcBorders>
            <w:shd w:val="clear" w:color="auto" w:fill="auto"/>
          </w:tcPr>
          <w:p w14:paraId="0CF1396A" w14:textId="2D6A84E1" w:rsidR="009E5C5E" w:rsidRPr="00CE47DE" w:rsidRDefault="009E5C5E" w:rsidP="009E5C5E">
            <w:pPr>
              <w:jc w:val="center"/>
              <w:rPr>
                <w:rFonts w:eastAsia="Calibri"/>
                <w:lang w:eastAsia="en-US"/>
              </w:rPr>
            </w:pPr>
            <w:r w:rsidRPr="00CE47DE">
              <w:rPr>
                <w:rFonts w:eastAsia="Calibri"/>
                <w:lang w:eastAsia="en-US"/>
              </w:rPr>
              <w:t>mean</w:t>
            </w:r>
            <w:r w:rsidR="00EA43B0">
              <w:rPr>
                <w:rFonts w:eastAsia="Calibri"/>
                <w:lang w:eastAsia="en-US"/>
              </w:rPr>
              <w:t xml:space="preserve"> </w:t>
            </w:r>
            <w:r w:rsidRPr="00CE47DE">
              <w:rPr>
                <w:rFonts w:eastAsia="Calibri"/>
                <w:lang w:eastAsia="en-US"/>
              </w:rPr>
              <w:t>(SD)</w:t>
            </w:r>
          </w:p>
        </w:tc>
        <w:tc>
          <w:tcPr>
            <w:tcW w:w="567" w:type="dxa"/>
            <w:tcBorders>
              <w:top w:val="nil"/>
              <w:left w:val="nil"/>
              <w:bottom w:val="nil"/>
              <w:right w:val="nil"/>
            </w:tcBorders>
            <w:shd w:val="clear" w:color="auto" w:fill="auto"/>
          </w:tcPr>
          <w:p w14:paraId="1D34545A" w14:textId="77777777" w:rsidR="009E5C5E" w:rsidRPr="00CE47DE" w:rsidRDefault="009E5C5E" w:rsidP="009E5C5E">
            <w:pPr>
              <w:jc w:val="center"/>
              <w:rPr>
                <w:rFonts w:eastAsia="Calibri"/>
                <w:lang w:eastAsia="en-US"/>
              </w:rPr>
            </w:pPr>
            <w:r w:rsidRPr="00CE47DE">
              <w:rPr>
                <w:rFonts w:eastAsia="Calibri"/>
                <w:lang w:eastAsia="en-US"/>
              </w:rPr>
              <w:t>n</w:t>
            </w:r>
          </w:p>
        </w:tc>
        <w:tc>
          <w:tcPr>
            <w:tcW w:w="1418" w:type="dxa"/>
            <w:tcBorders>
              <w:top w:val="nil"/>
              <w:left w:val="nil"/>
              <w:bottom w:val="nil"/>
              <w:right w:val="nil"/>
            </w:tcBorders>
            <w:shd w:val="clear" w:color="auto" w:fill="auto"/>
          </w:tcPr>
          <w:p w14:paraId="7B94C70D" w14:textId="6A787D69" w:rsidR="009E5C5E" w:rsidRPr="00CE47DE" w:rsidRDefault="009E5C5E" w:rsidP="009E5C5E">
            <w:pPr>
              <w:jc w:val="center"/>
              <w:rPr>
                <w:rFonts w:eastAsia="Calibri"/>
                <w:lang w:eastAsia="en-US"/>
              </w:rPr>
            </w:pPr>
            <w:r w:rsidRPr="00CE47DE">
              <w:rPr>
                <w:rFonts w:eastAsia="Calibri"/>
                <w:lang w:eastAsia="en-US"/>
              </w:rPr>
              <w:t>mean</w:t>
            </w:r>
            <w:r w:rsidR="00EA43B0">
              <w:rPr>
                <w:rFonts w:eastAsia="Calibri"/>
                <w:lang w:eastAsia="en-US"/>
              </w:rPr>
              <w:t xml:space="preserve"> </w:t>
            </w:r>
            <w:r w:rsidRPr="00CE47DE">
              <w:rPr>
                <w:rFonts w:eastAsia="Calibri"/>
                <w:lang w:eastAsia="en-US"/>
              </w:rPr>
              <w:t>(SD)</w:t>
            </w:r>
          </w:p>
        </w:tc>
        <w:tc>
          <w:tcPr>
            <w:tcW w:w="567" w:type="dxa"/>
            <w:tcBorders>
              <w:top w:val="nil"/>
              <w:left w:val="nil"/>
              <w:bottom w:val="nil"/>
              <w:right w:val="nil"/>
            </w:tcBorders>
            <w:shd w:val="clear" w:color="auto" w:fill="auto"/>
          </w:tcPr>
          <w:p w14:paraId="15A52D12" w14:textId="77777777" w:rsidR="009E5C5E" w:rsidRPr="00CE47DE" w:rsidRDefault="009E5C5E" w:rsidP="009E5C5E">
            <w:pPr>
              <w:jc w:val="center"/>
              <w:rPr>
                <w:rFonts w:eastAsia="Calibri"/>
                <w:lang w:eastAsia="en-US"/>
              </w:rPr>
            </w:pPr>
            <w:r w:rsidRPr="00CE47DE">
              <w:rPr>
                <w:rFonts w:eastAsia="Calibri"/>
                <w:lang w:eastAsia="en-US"/>
              </w:rPr>
              <w:t>n</w:t>
            </w:r>
          </w:p>
        </w:tc>
        <w:tc>
          <w:tcPr>
            <w:tcW w:w="1276" w:type="dxa"/>
            <w:tcBorders>
              <w:top w:val="nil"/>
              <w:left w:val="nil"/>
              <w:bottom w:val="nil"/>
              <w:right w:val="nil"/>
            </w:tcBorders>
            <w:shd w:val="clear" w:color="auto" w:fill="auto"/>
          </w:tcPr>
          <w:p w14:paraId="7CBEBC04" w14:textId="2B70158A" w:rsidR="009E5C5E" w:rsidRPr="00CE47DE" w:rsidRDefault="009E5C5E" w:rsidP="009E5C5E">
            <w:pPr>
              <w:jc w:val="center"/>
              <w:rPr>
                <w:rFonts w:eastAsia="Calibri"/>
                <w:lang w:eastAsia="en-US"/>
              </w:rPr>
            </w:pPr>
            <w:r w:rsidRPr="00CE47DE">
              <w:rPr>
                <w:rFonts w:eastAsia="Calibri"/>
                <w:lang w:eastAsia="en-US"/>
              </w:rPr>
              <w:t>mean</w:t>
            </w:r>
            <w:r w:rsidR="00EA43B0">
              <w:rPr>
                <w:rFonts w:eastAsia="Calibri"/>
                <w:lang w:eastAsia="en-US"/>
              </w:rPr>
              <w:t xml:space="preserve"> </w:t>
            </w:r>
            <w:r w:rsidRPr="00CE47DE">
              <w:rPr>
                <w:rFonts w:eastAsia="Calibri"/>
                <w:lang w:eastAsia="en-US"/>
              </w:rPr>
              <w:t>(SD)</w:t>
            </w:r>
          </w:p>
        </w:tc>
        <w:tc>
          <w:tcPr>
            <w:tcW w:w="567" w:type="dxa"/>
            <w:tcBorders>
              <w:top w:val="nil"/>
              <w:left w:val="nil"/>
              <w:bottom w:val="nil"/>
              <w:right w:val="nil"/>
            </w:tcBorders>
            <w:shd w:val="clear" w:color="auto" w:fill="auto"/>
          </w:tcPr>
          <w:p w14:paraId="3C3FD34C" w14:textId="77777777" w:rsidR="009E5C5E" w:rsidRPr="00CE47DE" w:rsidRDefault="009E5C5E" w:rsidP="009E5C5E">
            <w:pPr>
              <w:jc w:val="center"/>
              <w:rPr>
                <w:rFonts w:eastAsia="Calibri"/>
                <w:lang w:eastAsia="en-US"/>
              </w:rPr>
            </w:pPr>
            <w:r w:rsidRPr="00CE47DE">
              <w:rPr>
                <w:rFonts w:eastAsia="Calibri"/>
                <w:lang w:eastAsia="en-US"/>
              </w:rPr>
              <w:t>n</w:t>
            </w:r>
          </w:p>
        </w:tc>
        <w:tc>
          <w:tcPr>
            <w:tcW w:w="1235" w:type="dxa"/>
            <w:tcBorders>
              <w:top w:val="nil"/>
              <w:left w:val="nil"/>
              <w:bottom w:val="nil"/>
              <w:right w:val="nil"/>
            </w:tcBorders>
            <w:shd w:val="clear" w:color="auto" w:fill="auto"/>
          </w:tcPr>
          <w:p w14:paraId="7799EF89" w14:textId="77777777" w:rsidR="009E5C5E" w:rsidRPr="00CE47DE" w:rsidRDefault="009E5C5E" w:rsidP="009E5C5E">
            <w:pPr>
              <w:jc w:val="center"/>
              <w:rPr>
                <w:rFonts w:eastAsia="Calibri"/>
                <w:lang w:eastAsia="en-US"/>
              </w:rPr>
            </w:pPr>
            <w:proofErr w:type="spellStart"/>
            <w:r w:rsidRPr="00CE47DE">
              <w:rPr>
                <w:rFonts w:eastAsia="Calibri"/>
                <w:lang w:eastAsia="en-US"/>
              </w:rPr>
              <w:t>p</w:t>
            </w:r>
            <w:r w:rsidRPr="00CE47DE">
              <w:rPr>
                <w:rFonts w:eastAsia="Calibri"/>
                <w:vertAlign w:val="subscript"/>
                <w:lang w:eastAsia="en-US"/>
              </w:rPr>
              <w:t>time</w:t>
            </w:r>
            <w:proofErr w:type="spellEnd"/>
          </w:p>
        </w:tc>
      </w:tr>
      <w:tr w:rsidR="009E5C5E" w:rsidRPr="00CE47DE" w14:paraId="5ECBAF73" w14:textId="77777777" w:rsidTr="00BF1153">
        <w:tc>
          <w:tcPr>
            <w:tcW w:w="1809" w:type="dxa"/>
            <w:tcBorders>
              <w:top w:val="nil"/>
              <w:left w:val="nil"/>
              <w:bottom w:val="single" w:sz="4" w:space="0" w:color="auto"/>
              <w:right w:val="nil"/>
            </w:tcBorders>
            <w:shd w:val="clear" w:color="auto" w:fill="auto"/>
          </w:tcPr>
          <w:p w14:paraId="4CD40A22" w14:textId="340A1B03" w:rsidR="009E5C5E" w:rsidRPr="00CE47DE" w:rsidRDefault="00B2471F" w:rsidP="009E5C5E">
            <w:pPr>
              <w:rPr>
                <w:rFonts w:eastAsia="Calibri"/>
                <w:lang w:eastAsia="en-US"/>
              </w:rPr>
            </w:pPr>
            <w:r w:rsidRPr="00CE47DE">
              <w:rPr>
                <w:rFonts w:eastAsia="Calibri"/>
                <w:lang w:eastAsia="en-US"/>
              </w:rPr>
              <w:t>(score)</w:t>
            </w:r>
          </w:p>
        </w:tc>
        <w:tc>
          <w:tcPr>
            <w:tcW w:w="1328" w:type="dxa"/>
            <w:tcBorders>
              <w:top w:val="nil"/>
              <w:left w:val="nil"/>
              <w:bottom w:val="single" w:sz="4" w:space="0" w:color="auto"/>
              <w:right w:val="nil"/>
            </w:tcBorders>
            <w:shd w:val="clear" w:color="auto" w:fill="auto"/>
          </w:tcPr>
          <w:p w14:paraId="7D95A798" w14:textId="77777777" w:rsidR="009E5C5E" w:rsidRPr="00CE47DE" w:rsidRDefault="009E5C5E" w:rsidP="009E5C5E">
            <w:pPr>
              <w:rPr>
                <w:rFonts w:eastAsia="Calibri"/>
                <w:lang w:eastAsia="en-US"/>
              </w:rPr>
            </w:pPr>
          </w:p>
        </w:tc>
        <w:tc>
          <w:tcPr>
            <w:tcW w:w="1276" w:type="dxa"/>
            <w:tcBorders>
              <w:top w:val="nil"/>
              <w:left w:val="nil"/>
              <w:bottom w:val="single" w:sz="4" w:space="0" w:color="auto"/>
              <w:right w:val="nil"/>
            </w:tcBorders>
            <w:shd w:val="clear" w:color="auto" w:fill="auto"/>
          </w:tcPr>
          <w:p w14:paraId="714B6BF9"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757A361A"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6C7A6D04"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2FB5301C"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55036D2D"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7F802A5D"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72E63BE0"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0593F797"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188E0F09"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1CE38212"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5F01B00C" w14:textId="77777777" w:rsidR="009E5C5E" w:rsidRPr="00CE47DE" w:rsidRDefault="009E5C5E" w:rsidP="009E5C5E">
            <w:pPr>
              <w:jc w:val="center"/>
              <w:rPr>
                <w:rFonts w:eastAsia="Calibri"/>
                <w:lang w:eastAsia="en-US"/>
              </w:rPr>
            </w:pPr>
          </w:p>
        </w:tc>
      </w:tr>
      <w:tr w:rsidR="009E5C5E" w:rsidRPr="00CE47DE" w14:paraId="4147C950" w14:textId="77777777" w:rsidTr="00BF1153">
        <w:tc>
          <w:tcPr>
            <w:tcW w:w="1809" w:type="dxa"/>
            <w:tcBorders>
              <w:top w:val="single" w:sz="4" w:space="0" w:color="auto"/>
              <w:left w:val="nil"/>
              <w:bottom w:val="nil"/>
              <w:right w:val="nil"/>
            </w:tcBorders>
            <w:shd w:val="clear" w:color="auto" w:fill="auto"/>
          </w:tcPr>
          <w:p w14:paraId="4716A89E" w14:textId="77777777" w:rsidR="009E5C5E" w:rsidRPr="00CE47DE" w:rsidRDefault="009E5C5E" w:rsidP="009E5C5E">
            <w:pPr>
              <w:rPr>
                <w:rFonts w:eastAsia="Calibri"/>
                <w:lang w:eastAsia="en-US"/>
              </w:rPr>
            </w:pPr>
            <w:r w:rsidRPr="00CE47DE">
              <w:rPr>
                <w:rFonts w:eastAsia="Calibri"/>
                <w:lang w:eastAsia="en-US"/>
              </w:rPr>
              <w:t>Total scale</w:t>
            </w:r>
          </w:p>
        </w:tc>
        <w:tc>
          <w:tcPr>
            <w:tcW w:w="1328" w:type="dxa"/>
            <w:tcBorders>
              <w:top w:val="single" w:sz="4" w:space="0" w:color="auto"/>
              <w:left w:val="nil"/>
              <w:bottom w:val="nil"/>
              <w:right w:val="nil"/>
            </w:tcBorders>
            <w:shd w:val="clear" w:color="auto" w:fill="auto"/>
          </w:tcPr>
          <w:p w14:paraId="4B4F8712" w14:textId="77777777" w:rsidR="009E5C5E" w:rsidRPr="00CE47DE" w:rsidRDefault="009E5C5E" w:rsidP="009E5C5E">
            <w:pPr>
              <w:rPr>
                <w:rFonts w:eastAsia="Calibri"/>
                <w:lang w:eastAsia="en-US"/>
              </w:rPr>
            </w:pPr>
            <w:r w:rsidRPr="00CE47DE">
              <w:rPr>
                <w:rFonts w:eastAsia="Calibri"/>
                <w:lang w:eastAsia="en-US"/>
              </w:rPr>
              <w:t>Intervention</w:t>
            </w:r>
          </w:p>
        </w:tc>
        <w:tc>
          <w:tcPr>
            <w:tcW w:w="1276" w:type="dxa"/>
            <w:tcBorders>
              <w:top w:val="single" w:sz="4" w:space="0" w:color="auto"/>
              <w:left w:val="nil"/>
              <w:bottom w:val="nil"/>
              <w:right w:val="nil"/>
            </w:tcBorders>
            <w:shd w:val="clear" w:color="auto" w:fill="auto"/>
          </w:tcPr>
          <w:p w14:paraId="44FD96EE" w14:textId="77777777" w:rsidR="009E5C5E" w:rsidRPr="00CE47DE" w:rsidRDefault="009E5C5E" w:rsidP="009E5C5E">
            <w:pPr>
              <w:jc w:val="center"/>
              <w:rPr>
                <w:rFonts w:eastAsia="Calibri"/>
                <w:lang w:eastAsia="en-US"/>
              </w:rPr>
            </w:pPr>
            <w:r w:rsidRPr="00CE47DE">
              <w:rPr>
                <w:rFonts w:eastAsia="Calibri"/>
                <w:lang w:eastAsia="en-US"/>
              </w:rPr>
              <w:t>13.4 (3.9)</w:t>
            </w:r>
          </w:p>
        </w:tc>
        <w:tc>
          <w:tcPr>
            <w:tcW w:w="567" w:type="dxa"/>
            <w:tcBorders>
              <w:top w:val="single" w:sz="4" w:space="0" w:color="auto"/>
              <w:left w:val="nil"/>
              <w:bottom w:val="nil"/>
              <w:right w:val="nil"/>
            </w:tcBorders>
            <w:shd w:val="clear" w:color="auto" w:fill="auto"/>
          </w:tcPr>
          <w:p w14:paraId="4F93F6AF"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single" w:sz="4" w:space="0" w:color="auto"/>
              <w:left w:val="nil"/>
              <w:bottom w:val="nil"/>
              <w:right w:val="nil"/>
            </w:tcBorders>
            <w:shd w:val="clear" w:color="auto" w:fill="auto"/>
          </w:tcPr>
          <w:p w14:paraId="7A6B89B0" w14:textId="77777777" w:rsidR="009E5C5E" w:rsidRPr="00CE47DE" w:rsidRDefault="009E5C5E" w:rsidP="009E5C5E">
            <w:pPr>
              <w:jc w:val="center"/>
              <w:rPr>
                <w:rFonts w:eastAsia="Calibri"/>
                <w:lang w:eastAsia="en-US"/>
              </w:rPr>
            </w:pPr>
            <w:r w:rsidRPr="00CE47DE">
              <w:rPr>
                <w:rFonts w:eastAsia="Calibri"/>
                <w:lang w:eastAsia="en-US"/>
              </w:rPr>
              <w:t>21.6 (3.5)</w:t>
            </w:r>
          </w:p>
        </w:tc>
        <w:tc>
          <w:tcPr>
            <w:tcW w:w="567" w:type="dxa"/>
            <w:tcBorders>
              <w:top w:val="single" w:sz="4" w:space="0" w:color="auto"/>
              <w:left w:val="nil"/>
              <w:bottom w:val="nil"/>
              <w:right w:val="nil"/>
            </w:tcBorders>
            <w:shd w:val="clear" w:color="auto" w:fill="auto"/>
          </w:tcPr>
          <w:p w14:paraId="0A8E1748"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single" w:sz="4" w:space="0" w:color="auto"/>
              <w:left w:val="nil"/>
              <w:bottom w:val="nil"/>
              <w:right w:val="nil"/>
            </w:tcBorders>
            <w:shd w:val="clear" w:color="auto" w:fill="auto"/>
          </w:tcPr>
          <w:p w14:paraId="081FDFD4" w14:textId="77777777" w:rsidR="009E5C5E" w:rsidRPr="00CE47DE" w:rsidRDefault="009E5C5E" w:rsidP="009E5C5E">
            <w:pPr>
              <w:jc w:val="center"/>
              <w:rPr>
                <w:rFonts w:eastAsia="Calibri"/>
                <w:lang w:eastAsia="en-US"/>
              </w:rPr>
            </w:pPr>
            <w:r w:rsidRPr="00CE47DE">
              <w:rPr>
                <w:rFonts w:eastAsia="Calibri"/>
                <w:lang w:eastAsia="en-US"/>
              </w:rPr>
              <w:t>21.4 (3.4)</w:t>
            </w:r>
          </w:p>
        </w:tc>
        <w:tc>
          <w:tcPr>
            <w:tcW w:w="567" w:type="dxa"/>
            <w:tcBorders>
              <w:top w:val="single" w:sz="4" w:space="0" w:color="auto"/>
              <w:left w:val="nil"/>
              <w:bottom w:val="nil"/>
              <w:right w:val="nil"/>
            </w:tcBorders>
            <w:shd w:val="clear" w:color="auto" w:fill="auto"/>
          </w:tcPr>
          <w:p w14:paraId="49DA841C" w14:textId="77777777" w:rsidR="009E5C5E" w:rsidRPr="00CE47DE" w:rsidRDefault="009E5C5E" w:rsidP="009E5C5E">
            <w:pPr>
              <w:jc w:val="center"/>
              <w:rPr>
                <w:rFonts w:eastAsia="Calibri"/>
                <w:lang w:eastAsia="en-US"/>
              </w:rPr>
            </w:pPr>
            <w:r w:rsidRPr="00CE47DE">
              <w:rPr>
                <w:rFonts w:eastAsia="Calibri"/>
                <w:lang w:eastAsia="en-US"/>
              </w:rPr>
              <w:t>49</w:t>
            </w:r>
          </w:p>
        </w:tc>
        <w:tc>
          <w:tcPr>
            <w:tcW w:w="1418" w:type="dxa"/>
            <w:tcBorders>
              <w:top w:val="single" w:sz="4" w:space="0" w:color="auto"/>
              <w:left w:val="nil"/>
              <w:bottom w:val="nil"/>
              <w:right w:val="nil"/>
            </w:tcBorders>
            <w:shd w:val="clear" w:color="auto" w:fill="auto"/>
          </w:tcPr>
          <w:p w14:paraId="5F0AF392" w14:textId="77777777" w:rsidR="009E5C5E" w:rsidRPr="00CE47DE" w:rsidRDefault="009E5C5E" w:rsidP="009E5C5E">
            <w:pPr>
              <w:jc w:val="center"/>
              <w:rPr>
                <w:rFonts w:eastAsia="Calibri"/>
                <w:lang w:eastAsia="en-US"/>
              </w:rPr>
            </w:pPr>
            <w:r w:rsidRPr="00CE47DE">
              <w:rPr>
                <w:rFonts w:eastAsia="Calibri"/>
                <w:lang w:eastAsia="en-US"/>
              </w:rPr>
              <w:t>21.2 (4.6)</w:t>
            </w:r>
          </w:p>
        </w:tc>
        <w:tc>
          <w:tcPr>
            <w:tcW w:w="567" w:type="dxa"/>
            <w:tcBorders>
              <w:top w:val="single" w:sz="4" w:space="0" w:color="auto"/>
              <w:left w:val="nil"/>
              <w:bottom w:val="nil"/>
              <w:right w:val="nil"/>
            </w:tcBorders>
            <w:shd w:val="clear" w:color="auto" w:fill="auto"/>
          </w:tcPr>
          <w:p w14:paraId="422F1A3B" w14:textId="77777777" w:rsidR="009E5C5E" w:rsidRPr="00CE47DE" w:rsidRDefault="009E5C5E" w:rsidP="009E5C5E">
            <w:pPr>
              <w:jc w:val="center"/>
              <w:rPr>
                <w:rFonts w:eastAsia="Calibri"/>
                <w:lang w:eastAsia="en-US"/>
              </w:rPr>
            </w:pPr>
            <w:r w:rsidRPr="00CE47DE">
              <w:rPr>
                <w:rFonts w:eastAsia="Calibri"/>
                <w:lang w:eastAsia="en-US"/>
              </w:rPr>
              <w:t>45</w:t>
            </w:r>
          </w:p>
        </w:tc>
        <w:tc>
          <w:tcPr>
            <w:tcW w:w="1276" w:type="dxa"/>
            <w:tcBorders>
              <w:top w:val="single" w:sz="4" w:space="0" w:color="auto"/>
              <w:left w:val="nil"/>
              <w:bottom w:val="nil"/>
              <w:right w:val="nil"/>
            </w:tcBorders>
            <w:shd w:val="clear" w:color="auto" w:fill="auto"/>
          </w:tcPr>
          <w:p w14:paraId="240E1C62" w14:textId="77777777" w:rsidR="009E5C5E" w:rsidRPr="00CE47DE" w:rsidRDefault="009E5C5E" w:rsidP="009E5C5E">
            <w:pPr>
              <w:jc w:val="center"/>
              <w:rPr>
                <w:rFonts w:eastAsia="Calibri"/>
                <w:lang w:eastAsia="en-US"/>
              </w:rPr>
            </w:pPr>
            <w:r w:rsidRPr="00CE47DE">
              <w:rPr>
                <w:rFonts w:eastAsia="Calibri"/>
                <w:lang w:eastAsia="en-US"/>
              </w:rPr>
              <w:t>20.3 (4.5)</w:t>
            </w:r>
          </w:p>
        </w:tc>
        <w:tc>
          <w:tcPr>
            <w:tcW w:w="567" w:type="dxa"/>
            <w:tcBorders>
              <w:top w:val="single" w:sz="4" w:space="0" w:color="auto"/>
              <w:left w:val="nil"/>
              <w:bottom w:val="nil"/>
              <w:right w:val="nil"/>
            </w:tcBorders>
            <w:shd w:val="clear" w:color="auto" w:fill="auto"/>
          </w:tcPr>
          <w:p w14:paraId="4C639200" w14:textId="77777777" w:rsidR="009E5C5E" w:rsidRPr="00CE47DE" w:rsidRDefault="009E5C5E" w:rsidP="009E5C5E">
            <w:pPr>
              <w:jc w:val="center"/>
              <w:rPr>
                <w:rFonts w:eastAsia="Calibri"/>
                <w:lang w:eastAsia="en-US"/>
              </w:rPr>
            </w:pPr>
            <w:r w:rsidRPr="00CE47DE">
              <w:rPr>
                <w:rFonts w:eastAsia="Calibri"/>
                <w:lang w:eastAsia="en-US"/>
              </w:rPr>
              <w:t>44</w:t>
            </w:r>
          </w:p>
        </w:tc>
        <w:tc>
          <w:tcPr>
            <w:tcW w:w="1235" w:type="dxa"/>
            <w:tcBorders>
              <w:top w:val="single" w:sz="4" w:space="0" w:color="auto"/>
              <w:left w:val="nil"/>
              <w:bottom w:val="nil"/>
              <w:right w:val="nil"/>
            </w:tcBorders>
            <w:shd w:val="clear" w:color="auto" w:fill="auto"/>
          </w:tcPr>
          <w:p w14:paraId="22E4DEE5" w14:textId="77777777" w:rsidR="009E5C5E" w:rsidRPr="00CE47DE" w:rsidRDefault="009E5C5E" w:rsidP="009E5C5E">
            <w:pPr>
              <w:jc w:val="center"/>
              <w:rPr>
                <w:rFonts w:eastAsia="Calibri"/>
                <w:lang w:eastAsia="en-US"/>
              </w:rPr>
            </w:pPr>
            <w:r w:rsidRPr="00CE47DE">
              <w:rPr>
                <w:rFonts w:eastAsia="Calibri"/>
                <w:lang w:eastAsia="en-US"/>
              </w:rPr>
              <w:t>&lt; .0001</w:t>
            </w:r>
          </w:p>
        </w:tc>
      </w:tr>
      <w:tr w:rsidR="009E5C5E" w:rsidRPr="00CE47DE" w14:paraId="4054EC88" w14:textId="77777777" w:rsidTr="00BF1153">
        <w:tc>
          <w:tcPr>
            <w:tcW w:w="1809" w:type="dxa"/>
            <w:tcBorders>
              <w:top w:val="nil"/>
              <w:left w:val="nil"/>
              <w:bottom w:val="nil"/>
              <w:right w:val="nil"/>
            </w:tcBorders>
            <w:shd w:val="clear" w:color="auto" w:fill="auto"/>
          </w:tcPr>
          <w:p w14:paraId="7A02DEE5" w14:textId="34FE05C0" w:rsidR="009E5C5E" w:rsidRPr="00CE47DE" w:rsidRDefault="009E5C5E" w:rsidP="00B2471F">
            <w:pPr>
              <w:rPr>
                <w:rFonts w:eastAsia="Calibri"/>
                <w:lang w:eastAsia="en-US"/>
              </w:rPr>
            </w:pPr>
            <w:r w:rsidRPr="00CE47DE">
              <w:rPr>
                <w:rFonts w:eastAsia="Calibri"/>
                <w:lang w:eastAsia="en-US"/>
              </w:rPr>
              <w:t>(</w:t>
            </w:r>
            <w:r w:rsidR="00B2471F" w:rsidRPr="00CE47DE">
              <w:rPr>
                <w:rFonts w:eastAsia="Calibri"/>
                <w:lang w:eastAsia="en-US"/>
              </w:rPr>
              <w:t>0–27</w:t>
            </w:r>
            <w:r w:rsidRPr="00CE47DE">
              <w:rPr>
                <w:rFonts w:eastAsia="Calibri"/>
                <w:lang w:eastAsia="en-US"/>
              </w:rPr>
              <w:t>)</w:t>
            </w:r>
          </w:p>
        </w:tc>
        <w:tc>
          <w:tcPr>
            <w:tcW w:w="1328" w:type="dxa"/>
            <w:tcBorders>
              <w:top w:val="nil"/>
              <w:left w:val="nil"/>
              <w:bottom w:val="nil"/>
              <w:right w:val="nil"/>
            </w:tcBorders>
            <w:shd w:val="clear" w:color="auto" w:fill="auto"/>
          </w:tcPr>
          <w:p w14:paraId="5B2DF96A" w14:textId="77777777" w:rsidR="009E5C5E" w:rsidRPr="00CE47DE" w:rsidRDefault="009E5C5E" w:rsidP="009E5C5E">
            <w:pPr>
              <w:rPr>
                <w:rFonts w:eastAsia="Calibri"/>
                <w:lang w:eastAsia="en-US"/>
              </w:rPr>
            </w:pPr>
            <w:r w:rsidRPr="00CE47DE">
              <w:rPr>
                <w:rFonts w:eastAsia="Calibri"/>
                <w:lang w:eastAsia="en-US"/>
              </w:rPr>
              <w:t>Control</w:t>
            </w:r>
          </w:p>
        </w:tc>
        <w:tc>
          <w:tcPr>
            <w:tcW w:w="1276" w:type="dxa"/>
            <w:tcBorders>
              <w:top w:val="nil"/>
              <w:left w:val="nil"/>
              <w:bottom w:val="nil"/>
              <w:right w:val="nil"/>
            </w:tcBorders>
            <w:shd w:val="clear" w:color="auto" w:fill="auto"/>
          </w:tcPr>
          <w:p w14:paraId="0DC64C06" w14:textId="77777777" w:rsidR="009E5C5E" w:rsidRPr="00CE47DE" w:rsidRDefault="009E5C5E" w:rsidP="009E5C5E">
            <w:pPr>
              <w:jc w:val="center"/>
              <w:rPr>
                <w:rFonts w:eastAsia="Calibri"/>
                <w:lang w:eastAsia="en-US"/>
              </w:rPr>
            </w:pPr>
            <w:r w:rsidRPr="00CE47DE">
              <w:rPr>
                <w:rFonts w:eastAsia="Calibri"/>
                <w:lang w:eastAsia="en-US"/>
              </w:rPr>
              <w:t>13.9 (4.5)</w:t>
            </w:r>
          </w:p>
        </w:tc>
        <w:tc>
          <w:tcPr>
            <w:tcW w:w="567" w:type="dxa"/>
            <w:tcBorders>
              <w:top w:val="nil"/>
              <w:left w:val="nil"/>
              <w:bottom w:val="nil"/>
              <w:right w:val="nil"/>
            </w:tcBorders>
            <w:shd w:val="clear" w:color="auto" w:fill="auto"/>
          </w:tcPr>
          <w:p w14:paraId="0B5F46F8"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nil"/>
              <w:left w:val="nil"/>
              <w:bottom w:val="nil"/>
              <w:right w:val="nil"/>
            </w:tcBorders>
            <w:shd w:val="clear" w:color="auto" w:fill="auto"/>
          </w:tcPr>
          <w:p w14:paraId="613241D4" w14:textId="77777777" w:rsidR="009E5C5E" w:rsidRPr="00CE47DE" w:rsidRDefault="009E5C5E" w:rsidP="009E5C5E">
            <w:pPr>
              <w:jc w:val="center"/>
              <w:rPr>
                <w:rFonts w:eastAsia="Calibri"/>
                <w:lang w:eastAsia="en-US"/>
              </w:rPr>
            </w:pPr>
            <w:r w:rsidRPr="00CE47DE">
              <w:rPr>
                <w:rFonts w:eastAsia="Calibri"/>
                <w:lang w:eastAsia="en-US"/>
              </w:rPr>
              <w:t>13.9 (4.1)</w:t>
            </w:r>
          </w:p>
        </w:tc>
        <w:tc>
          <w:tcPr>
            <w:tcW w:w="567" w:type="dxa"/>
            <w:tcBorders>
              <w:top w:val="nil"/>
              <w:left w:val="nil"/>
              <w:bottom w:val="nil"/>
              <w:right w:val="nil"/>
            </w:tcBorders>
            <w:shd w:val="clear" w:color="auto" w:fill="auto"/>
          </w:tcPr>
          <w:p w14:paraId="60144286"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nil"/>
              <w:left w:val="nil"/>
              <w:bottom w:val="nil"/>
              <w:right w:val="nil"/>
            </w:tcBorders>
            <w:shd w:val="clear" w:color="auto" w:fill="auto"/>
          </w:tcPr>
          <w:p w14:paraId="0448E6B9" w14:textId="77777777" w:rsidR="009E5C5E" w:rsidRPr="00CE47DE" w:rsidRDefault="009E5C5E" w:rsidP="009E5C5E">
            <w:pPr>
              <w:jc w:val="center"/>
              <w:rPr>
                <w:rFonts w:eastAsia="Calibri"/>
                <w:lang w:eastAsia="en-US"/>
              </w:rPr>
            </w:pPr>
            <w:r w:rsidRPr="00CE47DE">
              <w:rPr>
                <w:rFonts w:eastAsia="Calibri"/>
                <w:lang w:eastAsia="en-US"/>
              </w:rPr>
              <w:t>15.4 (4.1)</w:t>
            </w:r>
          </w:p>
        </w:tc>
        <w:tc>
          <w:tcPr>
            <w:tcW w:w="567" w:type="dxa"/>
            <w:tcBorders>
              <w:top w:val="nil"/>
              <w:left w:val="nil"/>
              <w:bottom w:val="nil"/>
              <w:right w:val="nil"/>
            </w:tcBorders>
            <w:shd w:val="clear" w:color="auto" w:fill="auto"/>
          </w:tcPr>
          <w:p w14:paraId="7BC80B17" w14:textId="77777777" w:rsidR="009E5C5E" w:rsidRPr="00CE47DE" w:rsidRDefault="009E5C5E" w:rsidP="009E5C5E">
            <w:pPr>
              <w:jc w:val="center"/>
              <w:rPr>
                <w:rFonts w:eastAsia="Calibri"/>
                <w:lang w:eastAsia="en-US"/>
              </w:rPr>
            </w:pPr>
            <w:r w:rsidRPr="00CE47DE">
              <w:rPr>
                <w:rFonts w:eastAsia="Calibri"/>
                <w:lang w:eastAsia="en-US"/>
              </w:rPr>
              <w:t>46</w:t>
            </w:r>
          </w:p>
        </w:tc>
        <w:tc>
          <w:tcPr>
            <w:tcW w:w="1418" w:type="dxa"/>
            <w:tcBorders>
              <w:top w:val="nil"/>
              <w:left w:val="nil"/>
              <w:bottom w:val="nil"/>
              <w:right w:val="nil"/>
            </w:tcBorders>
            <w:shd w:val="clear" w:color="auto" w:fill="auto"/>
          </w:tcPr>
          <w:p w14:paraId="445E60EC" w14:textId="77777777" w:rsidR="009E5C5E" w:rsidRPr="00CE47DE" w:rsidRDefault="009E5C5E" w:rsidP="009E5C5E">
            <w:pPr>
              <w:jc w:val="center"/>
              <w:rPr>
                <w:rFonts w:eastAsia="Calibri"/>
                <w:lang w:eastAsia="en-US"/>
              </w:rPr>
            </w:pPr>
            <w:r w:rsidRPr="00CE47DE">
              <w:rPr>
                <w:rFonts w:eastAsia="Calibri"/>
                <w:lang w:eastAsia="en-US"/>
              </w:rPr>
              <w:t>15.2 (4.2)</w:t>
            </w:r>
          </w:p>
        </w:tc>
        <w:tc>
          <w:tcPr>
            <w:tcW w:w="567" w:type="dxa"/>
            <w:tcBorders>
              <w:top w:val="nil"/>
              <w:left w:val="nil"/>
              <w:bottom w:val="nil"/>
              <w:right w:val="nil"/>
            </w:tcBorders>
            <w:shd w:val="clear" w:color="auto" w:fill="auto"/>
          </w:tcPr>
          <w:p w14:paraId="73B92967" w14:textId="77777777" w:rsidR="009E5C5E" w:rsidRPr="00CE47DE" w:rsidRDefault="009E5C5E" w:rsidP="009E5C5E">
            <w:pPr>
              <w:jc w:val="center"/>
              <w:rPr>
                <w:rFonts w:eastAsia="Calibri"/>
                <w:lang w:eastAsia="en-US"/>
              </w:rPr>
            </w:pPr>
            <w:r w:rsidRPr="00CE47DE">
              <w:rPr>
                <w:rFonts w:eastAsia="Calibri"/>
                <w:lang w:eastAsia="en-US"/>
              </w:rPr>
              <w:t>40</w:t>
            </w:r>
          </w:p>
        </w:tc>
        <w:tc>
          <w:tcPr>
            <w:tcW w:w="1276" w:type="dxa"/>
            <w:tcBorders>
              <w:top w:val="nil"/>
              <w:left w:val="nil"/>
              <w:bottom w:val="nil"/>
              <w:right w:val="nil"/>
            </w:tcBorders>
            <w:shd w:val="clear" w:color="auto" w:fill="auto"/>
          </w:tcPr>
          <w:p w14:paraId="2176554C" w14:textId="77777777" w:rsidR="009E5C5E" w:rsidRPr="00CE47DE" w:rsidRDefault="009E5C5E" w:rsidP="009E5C5E">
            <w:pPr>
              <w:jc w:val="center"/>
              <w:rPr>
                <w:rFonts w:eastAsia="Calibri"/>
                <w:lang w:eastAsia="en-US"/>
              </w:rPr>
            </w:pPr>
            <w:r w:rsidRPr="00CE47DE">
              <w:rPr>
                <w:rFonts w:eastAsia="Calibri"/>
                <w:lang w:eastAsia="en-US"/>
              </w:rPr>
              <w:t>14.6 (3.9)</w:t>
            </w:r>
          </w:p>
        </w:tc>
        <w:tc>
          <w:tcPr>
            <w:tcW w:w="567" w:type="dxa"/>
            <w:tcBorders>
              <w:top w:val="nil"/>
              <w:left w:val="nil"/>
              <w:bottom w:val="nil"/>
              <w:right w:val="nil"/>
            </w:tcBorders>
            <w:shd w:val="clear" w:color="auto" w:fill="auto"/>
          </w:tcPr>
          <w:p w14:paraId="53B30845" w14:textId="77777777" w:rsidR="009E5C5E" w:rsidRPr="00CE47DE" w:rsidRDefault="009E5C5E" w:rsidP="009E5C5E">
            <w:pPr>
              <w:jc w:val="center"/>
              <w:rPr>
                <w:rFonts w:eastAsia="Calibri"/>
                <w:lang w:eastAsia="en-US"/>
              </w:rPr>
            </w:pPr>
            <w:r w:rsidRPr="00CE47DE">
              <w:rPr>
                <w:rFonts w:eastAsia="Calibri"/>
                <w:lang w:eastAsia="en-US"/>
              </w:rPr>
              <w:t>37</w:t>
            </w:r>
          </w:p>
        </w:tc>
        <w:tc>
          <w:tcPr>
            <w:tcW w:w="1235" w:type="dxa"/>
            <w:tcBorders>
              <w:top w:val="nil"/>
              <w:left w:val="nil"/>
              <w:bottom w:val="nil"/>
              <w:right w:val="nil"/>
            </w:tcBorders>
            <w:shd w:val="clear" w:color="auto" w:fill="auto"/>
          </w:tcPr>
          <w:p w14:paraId="165119BC" w14:textId="77777777" w:rsidR="009E5C5E" w:rsidRPr="00CE47DE" w:rsidRDefault="009E5C5E" w:rsidP="009E5C5E">
            <w:pPr>
              <w:jc w:val="center"/>
              <w:rPr>
                <w:rFonts w:eastAsia="Calibri"/>
                <w:lang w:eastAsia="en-US"/>
              </w:rPr>
            </w:pPr>
            <w:r w:rsidRPr="00CE47DE">
              <w:rPr>
                <w:rFonts w:eastAsia="Calibri"/>
                <w:lang w:eastAsia="en-US"/>
              </w:rPr>
              <w:t>0.0005</w:t>
            </w:r>
          </w:p>
        </w:tc>
      </w:tr>
      <w:tr w:rsidR="009E5C5E" w:rsidRPr="00CE47DE" w14:paraId="6785C6E5" w14:textId="77777777" w:rsidTr="00BF1153">
        <w:tc>
          <w:tcPr>
            <w:tcW w:w="1809" w:type="dxa"/>
            <w:tcBorders>
              <w:top w:val="nil"/>
              <w:left w:val="nil"/>
              <w:bottom w:val="nil"/>
              <w:right w:val="nil"/>
            </w:tcBorders>
            <w:shd w:val="clear" w:color="auto" w:fill="auto"/>
          </w:tcPr>
          <w:p w14:paraId="1502EFD5" w14:textId="77777777" w:rsidR="009E5C5E" w:rsidRPr="00CE47DE" w:rsidRDefault="009E5C5E" w:rsidP="009E5C5E">
            <w:pPr>
              <w:rPr>
                <w:rFonts w:eastAsia="Calibri"/>
                <w:lang w:eastAsia="en-US"/>
              </w:rPr>
            </w:pPr>
          </w:p>
        </w:tc>
        <w:tc>
          <w:tcPr>
            <w:tcW w:w="1328" w:type="dxa"/>
            <w:tcBorders>
              <w:top w:val="nil"/>
              <w:left w:val="nil"/>
              <w:bottom w:val="nil"/>
              <w:right w:val="nil"/>
            </w:tcBorders>
            <w:shd w:val="clear" w:color="auto" w:fill="auto"/>
          </w:tcPr>
          <w:p w14:paraId="2CB76A5D" w14:textId="77777777" w:rsidR="009E5C5E" w:rsidRPr="00CE47DE" w:rsidRDefault="009E5C5E" w:rsidP="009E5C5E">
            <w:pPr>
              <w:rPr>
                <w:rFonts w:eastAsia="Calibri"/>
                <w:lang w:eastAsia="en-US"/>
              </w:rPr>
            </w:pPr>
            <w:proofErr w:type="spellStart"/>
            <w:r w:rsidRPr="00CE47DE">
              <w:rPr>
                <w:rFonts w:eastAsia="Calibri"/>
                <w:lang w:eastAsia="en-US"/>
              </w:rPr>
              <w:t>p</w:t>
            </w:r>
            <w:r w:rsidRPr="00CE47DE">
              <w:rPr>
                <w:rFonts w:eastAsia="Calibri"/>
                <w:vertAlign w:val="subscript"/>
                <w:lang w:eastAsia="en-US"/>
              </w:rPr>
              <w:t>group</w:t>
            </w:r>
            <w:proofErr w:type="spellEnd"/>
          </w:p>
        </w:tc>
        <w:tc>
          <w:tcPr>
            <w:tcW w:w="1276" w:type="dxa"/>
            <w:tcBorders>
              <w:top w:val="nil"/>
              <w:left w:val="nil"/>
              <w:bottom w:val="nil"/>
              <w:right w:val="nil"/>
            </w:tcBorders>
            <w:shd w:val="clear" w:color="auto" w:fill="auto"/>
          </w:tcPr>
          <w:p w14:paraId="13783D2B" w14:textId="77777777" w:rsidR="009E5C5E" w:rsidRPr="00CE47DE" w:rsidRDefault="009E5C5E" w:rsidP="009E5C5E">
            <w:pPr>
              <w:jc w:val="center"/>
              <w:rPr>
                <w:rFonts w:eastAsia="Calibri"/>
                <w:lang w:eastAsia="en-US"/>
              </w:rPr>
            </w:pPr>
            <w:r w:rsidRPr="00CE47DE">
              <w:rPr>
                <w:rFonts w:eastAsia="Calibri"/>
                <w:lang w:eastAsia="en-US"/>
              </w:rPr>
              <w:t>0.5363</w:t>
            </w:r>
          </w:p>
        </w:tc>
        <w:tc>
          <w:tcPr>
            <w:tcW w:w="567" w:type="dxa"/>
            <w:tcBorders>
              <w:top w:val="nil"/>
              <w:left w:val="nil"/>
              <w:bottom w:val="nil"/>
              <w:right w:val="nil"/>
            </w:tcBorders>
            <w:shd w:val="clear" w:color="auto" w:fill="auto"/>
          </w:tcPr>
          <w:p w14:paraId="06CF43C3"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5867389A" w14:textId="77777777" w:rsidR="009E5C5E" w:rsidRPr="00CE47DE" w:rsidRDefault="009E5C5E" w:rsidP="009E5C5E">
            <w:pPr>
              <w:jc w:val="center"/>
              <w:rPr>
                <w:rFonts w:eastAsia="Calibri"/>
                <w:lang w:eastAsia="en-US"/>
              </w:rPr>
            </w:pPr>
            <w:r w:rsidRPr="00CE47DE">
              <w:rPr>
                <w:rFonts w:eastAsia="Calibri"/>
                <w:lang w:eastAsia="en-US"/>
              </w:rPr>
              <w:t>&lt; .0001</w:t>
            </w:r>
          </w:p>
        </w:tc>
        <w:tc>
          <w:tcPr>
            <w:tcW w:w="567" w:type="dxa"/>
            <w:tcBorders>
              <w:top w:val="nil"/>
              <w:left w:val="nil"/>
              <w:bottom w:val="nil"/>
              <w:right w:val="nil"/>
            </w:tcBorders>
            <w:shd w:val="clear" w:color="auto" w:fill="auto"/>
          </w:tcPr>
          <w:p w14:paraId="0AF33E98" w14:textId="77777777" w:rsidR="009E5C5E" w:rsidRPr="00CE47DE" w:rsidRDefault="009E5C5E" w:rsidP="009E5C5E">
            <w:pPr>
              <w:jc w:val="center"/>
              <w:rPr>
                <w:rFonts w:eastAsia="Calibri"/>
                <w:lang w:eastAsia="en-US"/>
              </w:rPr>
            </w:pPr>
          </w:p>
        </w:tc>
        <w:tc>
          <w:tcPr>
            <w:tcW w:w="1275" w:type="dxa"/>
            <w:tcBorders>
              <w:top w:val="nil"/>
              <w:left w:val="nil"/>
              <w:bottom w:val="nil"/>
              <w:right w:val="nil"/>
            </w:tcBorders>
            <w:shd w:val="clear" w:color="auto" w:fill="auto"/>
          </w:tcPr>
          <w:p w14:paraId="30B50E1C" w14:textId="77777777" w:rsidR="009E5C5E" w:rsidRPr="00CE47DE" w:rsidRDefault="009E5C5E" w:rsidP="009E5C5E">
            <w:pPr>
              <w:jc w:val="center"/>
              <w:rPr>
                <w:rFonts w:eastAsia="Calibri"/>
                <w:lang w:eastAsia="en-US"/>
              </w:rPr>
            </w:pPr>
            <w:r w:rsidRPr="00CE47DE">
              <w:rPr>
                <w:rFonts w:eastAsia="Calibri"/>
                <w:lang w:eastAsia="en-US"/>
              </w:rPr>
              <w:t>&lt; .0001</w:t>
            </w:r>
          </w:p>
        </w:tc>
        <w:tc>
          <w:tcPr>
            <w:tcW w:w="567" w:type="dxa"/>
            <w:tcBorders>
              <w:top w:val="nil"/>
              <w:left w:val="nil"/>
              <w:bottom w:val="nil"/>
              <w:right w:val="nil"/>
            </w:tcBorders>
            <w:shd w:val="clear" w:color="auto" w:fill="auto"/>
          </w:tcPr>
          <w:p w14:paraId="2CEB0730" w14:textId="77777777" w:rsidR="009E5C5E" w:rsidRPr="00CE47DE" w:rsidRDefault="009E5C5E" w:rsidP="009E5C5E">
            <w:pPr>
              <w:jc w:val="center"/>
              <w:rPr>
                <w:rFonts w:eastAsia="Calibri"/>
                <w:lang w:eastAsia="en-US"/>
              </w:rPr>
            </w:pPr>
          </w:p>
        </w:tc>
        <w:tc>
          <w:tcPr>
            <w:tcW w:w="1418" w:type="dxa"/>
            <w:tcBorders>
              <w:top w:val="nil"/>
              <w:left w:val="nil"/>
              <w:bottom w:val="nil"/>
              <w:right w:val="nil"/>
            </w:tcBorders>
            <w:shd w:val="clear" w:color="auto" w:fill="auto"/>
          </w:tcPr>
          <w:p w14:paraId="4F7F8D0F" w14:textId="77777777" w:rsidR="009E5C5E" w:rsidRPr="00CE47DE" w:rsidRDefault="009E5C5E" w:rsidP="009E5C5E">
            <w:pPr>
              <w:jc w:val="center"/>
              <w:rPr>
                <w:rFonts w:eastAsia="Calibri"/>
                <w:lang w:eastAsia="en-US"/>
              </w:rPr>
            </w:pPr>
            <w:r w:rsidRPr="00CE47DE">
              <w:rPr>
                <w:rFonts w:eastAsia="Calibri"/>
                <w:lang w:eastAsia="en-US"/>
              </w:rPr>
              <w:t>&lt; .0001</w:t>
            </w:r>
          </w:p>
        </w:tc>
        <w:tc>
          <w:tcPr>
            <w:tcW w:w="567" w:type="dxa"/>
            <w:tcBorders>
              <w:top w:val="nil"/>
              <w:left w:val="nil"/>
              <w:bottom w:val="nil"/>
              <w:right w:val="nil"/>
            </w:tcBorders>
            <w:shd w:val="clear" w:color="auto" w:fill="auto"/>
          </w:tcPr>
          <w:p w14:paraId="6B53635F"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79181511" w14:textId="77777777" w:rsidR="009E5C5E" w:rsidRPr="00CE47DE" w:rsidRDefault="009E5C5E" w:rsidP="009E5C5E">
            <w:pPr>
              <w:jc w:val="center"/>
              <w:rPr>
                <w:rFonts w:eastAsia="Calibri"/>
                <w:lang w:eastAsia="en-US"/>
              </w:rPr>
            </w:pPr>
            <w:r w:rsidRPr="00CE47DE">
              <w:rPr>
                <w:rFonts w:eastAsia="Calibri"/>
                <w:lang w:eastAsia="en-US"/>
              </w:rPr>
              <w:t>&lt; .0001</w:t>
            </w:r>
          </w:p>
        </w:tc>
        <w:tc>
          <w:tcPr>
            <w:tcW w:w="567" w:type="dxa"/>
            <w:tcBorders>
              <w:top w:val="nil"/>
              <w:left w:val="nil"/>
              <w:bottom w:val="nil"/>
              <w:right w:val="nil"/>
            </w:tcBorders>
            <w:shd w:val="clear" w:color="auto" w:fill="auto"/>
          </w:tcPr>
          <w:p w14:paraId="2BED1A33" w14:textId="77777777" w:rsidR="009E5C5E" w:rsidRPr="00CE47DE" w:rsidRDefault="009E5C5E" w:rsidP="009E5C5E">
            <w:pPr>
              <w:jc w:val="center"/>
              <w:rPr>
                <w:rFonts w:eastAsia="Calibri"/>
                <w:lang w:eastAsia="en-US"/>
              </w:rPr>
            </w:pPr>
          </w:p>
        </w:tc>
        <w:tc>
          <w:tcPr>
            <w:tcW w:w="1235" w:type="dxa"/>
            <w:tcBorders>
              <w:top w:val="nil"/>
              <w:left w:val="nil"/>
              <w:bottom w:val="nil"/>
              <w:right w:val="nil"/>
            </w:tcBorders>
            <w:shd w:val="clear" w:color="auto" w:fill="auto"/>
          </w:tcPr>
          <w:p w14:paraId="4212D518" w14:textId="77777777" w:rsidR="009E5C5E" w:rsidRPr="00CE47DE" w:rsidRDefault="009E5C5E" w:rsidP="009E5C5E">
            <w:pPr>
              <w:jc w:val="center"/>
              <w:rPr>
                <w:rFonts w:eastAsia="Calibri"/>
                <w:lang w:eastAsia="en-US"/>
              </w:rPr>
            </w:pPr>
          </w:p>
        </w:tc>
      </w:tr>
      <w:tr w:rsidR="009E5C5E" w:rsidRPr="00CE47DE" w14:paraId="5D97402E" w14:textId="77777777" w:rsidTr="00BF1153">
        <w:tc>
          <w:tcPr>
            <w:tcW w:w="1809" w:type="dxa"/>
            <w:tcBorders>
              <w:top w:val="nil"/>
              <w:left w:val="nil"/>
              <w:bottom w:val="single" w:sz="4" w:space="0" w:color="auto"/>
              <w:right w:val="nil"/>
            </w:tcBorders>
            <w:shd w:val="clear" w:color="auto" w:fill="auto"/>
          </w:tcPr>
          <w:p w14:paraId="122C1C7B" w14:textId="77777777" w:rsidR="009E5C5E" w:rsidRPr="00CE47DE" w:rsidRDefault="009E5C5E" w:rsidP="009E5C5E">
            <w:pPr>
              <w:rPr>
                <w:rFonts w:eastAsia="Calibri"/>
                <w:lang w:eastAsia="en-US"/>
              </w:rPr>
            </w:pPr>
          </w:p>
        </w:tc>
        <w:tc>
          <w:tcPr>
            <w:tcW w:w="1328" w:type="dxa"/>
            <w:tcBorders>
              <w:top w:val="nil"/>
              <w:left w:val="nil"/>
              <w:bottom w:val="single" w:sz="4" w:space="0" w:color="auto"/>
              <w:right w:val="nil"/>
            </w:tcBorders>
            <w:shd w:val="clear" w:color="auto" w:fill="auto"/>
          </w:tcPr>
          <w:p w14:paraId="414D53A1" w14:textId="77777777" w:rsidR="009E5C5E" w:rsidRPr="00CE47DE" w:rsidRDefault="009E5C5E" w:rsidP="009E5C5E">
            <w:pPr>
              <w:rPr>
                <w:rFonts w:eastAsia="Calibri"/>
                <w:lang w:eastAsia="en-US"/>
              </w:rPr>
            </w:pPr>
            <w:r w:rsidRPr="00CE47DE">
              <w:rPr>
                <w:rFonts w:eastAsia="Calibri"/>
                <w:lang w:eastAsia="en-US"/>
              </w:rPr>
              <w:t>CI 95%</w:t>
            </w:r>
          </w:p>
        </w:tc>
        <w:tc>
          <w:tcPr>
            <w:tcW w:w="1276" w:type="dxa"/>
            <w:tcBorders>
              <w:top w:val="nil"/>
              <w:left w:val="nil"/>
              <w:bottom w:val="single" w:sz="4" w:space="0" w:color="auto"/>
              <w:right w:val="nil"/>
            </w:tcBorders>
            <w:shd w:val="clear" w:color="auto" w:fill="auto"/>
          </w:tcPr>
          <w:p w14:paraId="4E8E2320" w14:textId="77777777" w:rsidR="009E5C5E" w:rsidRPr="00CE47DE" w:rsidRDefault="009E5C5E" w:rsidP="009E5C5E">
            <w:pPr>
              <w:jc w:val="center"/>
              <w:rPr>
                <w:rFonts w:eastAsia="Calibri"/>
                <w:lang w:eastAsia="en-US"/>
              </w:rPr>
            </w:pPr>
            <w:r w:rsidRPr="00CE47DE">
              <w:rPr>
                <w:rFonts w:eastAsia="Calibri"/>
                <w:lang w:eastAsia="en-US"/>
              </w:rPr>
              <w:t>–2.2–1.1</w:t>
            </w:r>
          </w:p>
        </w:tc>
        <w:tc>
          <w:tcPr>
            <w:tcW w:w="567" w:type="dxa"/>
            <w:tcBorders>
              <w:top w:val="nil"/>
              <w:left w:val="nil"/>
              <w:bottom w:val="single" w:sz="4" w:space="0" w:color="auto"/>
              <w:right w:val="nil"/>
            </w:tcBorders>
            <w:shd w:val="clear" w:color="auto" w:fill="auto"/>
          </w:tcPr>
          <w:p w14:paraId="3DE66216"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4A4DA934" w14:textId="77777777" w:rsidR="009E5C5E" w:rsidRPr="00CE47DE" w:rsidRDefault="009E5C5E" w:rsidP="009E5C5E">
            <w:pPr>
              <w:jc w:val="center"/>
              <w:rPr>
                <w:rFonts w:eastAsia="Calibri"/>
                <w:lang w:eastAsia="en-US"/>
              </w:rPr>
            </w:pPr>
            <w:r w:rsidRPr="00CE47DE">
              <w:rPr>
                <w:rFonts w:eastAsia="Calibri"/>
                <w:lang w:eastAsia="en-US"/>
              </w:rPr>
              <w:t>6.2–9.2</w:t>
            </w:r>
          </w:p>
        </w:tc>
        <w:tc>
          <w:tcPr>
            <w:tcW w:w="567" w:type="dxa"/>
            <w:tcBorders>
              <w:top w:val="nil"/>
              <w:left w:val="nil"/>
              <w:bottom w:val="single" w:sz="4" w:space="0" w:color="auto"/>
              <w:right w:val="nil"/>
            </w:tcBorders>
            <w:shd w:val="clear" w:color="auto" w:fill="auto"/>
          </w:tcPr>
          <w:p w14:paraId="2061071C"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455A8122" w14:textId="77777777" w:rsidR="009E5C5E" w:rsidRPr="00CE47DE" w:rsidRDefault="009E5C5E" w:rsidP="009E5C5E">
            <w:pPr>
              <w:jc w:val="center"/>
              <w:rPr>
                <w:rFonts w:eastAsia="Calibri"/>
                <w:lang w:eastAsia="en-US"/>
              </w:rPr>
            </w:pPr>
            <w:r w:rsidRPr="00CE47DE">
              <w:rPr>
                <w:rFonts w:eastAsia="Calibri"/>
                <w:lang w:eastAsia="en-US"/>
              </w:rPr>
              <w:t>4.5–7.5</w:t>
            </w:r>
          </w:p>
        </w:tc>
        <w:tc>
          <w:tcPr>
            <w:tcW w:w="567" w:type="dxa"/>
            <w:tcBorders>
              <w:top w:val="nil"/>
              <w:left w:val="nil"/>
              <w:bottom w:val="single" w:sz="4" w:space="0" w:color="auto"/>
              <w:right w:val="nil"/>
            </w:tcBorders>
            <w:shd w:val="clear" w:color="auto" w:fill="auto"/>
          </w:tcPr>
          <w:p w14:paraId="3C18C587"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1D5E8D28" w14:textId="77777777" w:rsidR="009E5C5E" w:rsidRPr="00CE47DE" w:rsidRDefault="009E5C5E" w:rsidP="009E5C5E">
            <w:pPr>
              <w:jc w:val="center"/>
              <w:rPr>
                <w:rFonts w:eastAsia="Calibri"/>
                <w:lang w:eastAsia="en-US"/>
              </w:rPr>
            </w:pPr>
            <w:r w:rsidRPr="00CE47DE">
              <w:rPr>
                <w:rFonts w:eastAsia="Calibri"/>
                <w:lang w:eastAsia="en-US"/>
              </w:rPr>
              <w:t>4.1–7.9</w:t>
            </w:r>
          </w:p>
        </w:tc>
        <w:tc>
          <w:tcPr>
            <w:tcW w:w="567" w:type="dxa"/>
            <w:tcBorders>
              <w:top w:val="nil"/>
              <w:left w:val="nil"/>
              <w:bottom w:val="single" w:sz="4" w:space="0" w:color="auto"/>
              <w:right w:val="nil"/>
            </w:tcBorders>
            <w:shd w:val="clear" w:color="auto" w:fill="auto"/>
          </w:tcPr>
          <w:p w14:paraId="4F5A0B73"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4C762566" w14:textId="77777777" w:rsidR="009E5C5E" w:rsidRPr="00CE47DE" w:rsidRDefault="009E5C5E" w:rsidP="009E5C5E">
            <w:pPr>
              <w:jc w:val="center"/>
              <w:rPr>
                <w:rFonts w:eastAsia="Calibri"/>
                <w:lang w:eastAsia="en-US"/>
              </w:rPr>
            </w:pPr>
            <w:r w:rsidRPr="00CE47DE">
              <w:rPr>
                <w:rFonts w:eastAsia="Calibri"/>
                <w:lang w:eastAsia="en-US"/>
              </w:rPr>
              <w:t>3.8–7.5</w:t>
            </w:r>
          </w:p>
        </w:tc>
        <w:tc>
          <w:tcPr>
            <w:tcW w:w="567" w:type="dxa"/>
            <w:tcBorders>
              <w:top w:val="nil"/>
              <w:left w:val="nil"/>
              <w:bottom w:val="single" w:sz="4" w:space="0" w:color="auto"/>
              <w:right w:val="nil"/>
            </w:tcBorders>
            <w:shd w:val="clear" w:color="auto" w:fill="auto"/>
          </w:tcPr>
          <w:p w14:paraId="6B85A619"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01420A71" w14:textId="77777777" w:rsidR="009E5C5E" w:rsidRPr="00CE47DE" w:rsidRDefault="009E5C5E" w:rsidP="009E5C5E">
            <w:pPr>
              <w:jc w:val="center"/>
              <w:rPr>
                <w:rFonts w:eastAsia="Calibri"/>
                <w:lang w:eastAsia="en-US"/>
              </w:rPr>
            </w:pPr>
          </w:p>
        </w:tc>
      </w:tr>
      <w:tr w:rsidR="009E5C5E" w:rsidRPr="00CE47DE" w14:paraId="2FE40941" w14:textId="77777777" w:rsidTr="00BF1153">
        <w:tc>
          <w:tcPr>
            <w:tcW w:w="1809" w:type="dxa"/>
            <w:tcBorders>
              <w:top w:val="nil"/>
              <w:left w:val="nil"/>
              <w:bottom w:val="single" w:sz="4" w:space="0" w:color="auto"/>
              <w:right w:val="nil"/>
            </w:tcBorders>
            <w:shd w:val="clear" w:color="auto" w:fill="auto"/>
          </w:tcPr>
          <w:p w14:paraId="0E860838" w14:textId="77777777" w:rsidR="009E5C5E" w:rsidRPr="00CE47DE" w:rsidRDefault="009E5C5E" w:rsidP="009E5C5E">
            <w:pPr>
              <w:rPr>
                <w:rFonts w:eastAsia="Calibri"/>
                <w:lang w:eastAsia="en-US"/>
              </w:rPr>
            </w:pPr>
            <w:r w:rsidRPr="00CE47DE">
              <w:rPr>
                <w:rFonts w:eastAsia="Calibri"/>
                <w:lang w:eastAsia="en-US"/>
              </w:rPr>
              <w:t>Subscales</w:t>
            </w:r>
          </w:p>
        </w:tc>
        <w:tc>
          <w:tcPr>
            <w:tcW w:w="1328" w:type="dxa"/>
            <w:tcBorders>
              <w:top w:val="nil"/>
              <w:left w:val="nil"/>
              <w:bottom w:val="single" w:sz="4" w:space="0" w:color="auto"/>
              <w:right w:val="nil"/>
            </w:tcBorders>
            <w:shd w:val="clear" w:color="auto" w:fill="auto"/>
          </w:tcPr>
          <w:p w14:paraId="46F613AD" w14:textId="77777777" w:rsidR="009E5C5E" w:rsidRPr="00CE47DE" w:rsidRDefault="009E5C5E" w:rsidP="009E5C5E">
            <w:pPr>
              <w:rPr>
                <w:rFonts w:eastAsia="Calibri"/>
                <w:lang w:eastAsia="en-US"/>
              </w:rPr>
            </w:pPr>
          </w:p>
        </w:tc>
        <w:tc>
          <w:tcPr>
            <w:tcW w:w="1276" w:type="dxa"/>
            <w:tcBorders>
              <w:top w:val="nil"/>
              <w:left w:val="nil"/>
              <w:bottom w:val="single" w:sz="4" w:space="0" w:color="auto"/>
              <w:right w:val="nil"/>
            </w:tcBorders>
            <w:shd w:val="clear" w:color="auto" w:fill="auto"/>
          </w:tcPr>
          <w:p w14:paraId="695DAAB0"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496A0FC8"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04EC5070"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78D697ED"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5B8F44A0"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22488CC3"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544CD820"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230C21D0"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2379E867" w14:textId="77777777" w:rsidR="009E5C5E" w:rsidRPr="00CE47DE" w:rsidRDefault="009E5C5E" w:rsidP="009E5C5E">
            <w:pPr>
              <w:jc w:val="center"/>
              <w:rPr>
                <w:rFonts w:eastAsia="Calibri"/>
                <w:lang w:eastAsia="en-US"/>
              </w:rPr>
            </w:pPr>
          </w:p>
        </w:tc>
        <w:tc>
          <w:tcPr>
            <w:tcW w:w="567" w:type="dxa"/>
            <w:tcBorders>
              <w:top w:val="nil"/>
              <w:left w:val="nil"/>
              <w:bottom w:val="single" w:sz="4" w:space="0" w:color="auto"/>
              <w:right w:val="nil"/>
            </w:tcBorders>
            <w:shd w:val="clear" w:color="auto" w:fill="auto"/>
          </w:tcPr>
          <w:p w14:paraId="16D587F8"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18CDF2B0" w14:textId="77777777" w:rsidR="009E5C5E" w:rsidRPr="00CE47DE" w:rsidRDefault="009E5C5E" w:rsidP="009E5C5E">
            <w:pPr>
              <w:jc w:val="center"/>
              <w:rPr>
                <w:rFonts w:eastAsia="Calibri"/>
                <w:lang w:eastAsia="en-US"/>
              </w:rPr>
            </w:pPr>
          </w:p>
        </w:tc>
      </w:tr>
      <w:tr w:rsidR="009E5C5E" w:rsidRPr="00CE47DE" w14:paraId="0FD630C4" w14:textId="77777777" w:rsidTr="00BF1153">
        <w:tc>
          <w:tcPr>
            <w:tcW w:w="1809" w:type="dxa"/>
            <w:tcBorders>
              <w:left w:val="nil"/>
              <w:bottom w:val="nil"/>
              <w:right w:val="nil"/>
            </w:tcBorders>
            <w:shd w:val="clear" w:color="auto" w:fill="auto"/>
          </w:tcPr>
          <w:p w14:paraId="5A43C8BF" w14:textId="77777777" w:rsidR="009E5C5E" w:rsidRPr="00CE47DE" w:rsidRDefault="009E5C5E" w:rsidP="009E5C5E">
            <w:pPr>
              <w:rPr>
                <w:rFonts w:eastAsia="Calibri"/>
                <w:lang w:eastAsia="en-US"/>
              </w:rPr>
            </w:pPr>
            <w:r w:rsidRPr="00CE47DE">
              <w:rPr>
                <w:rFonts w:eastAsia="Calibri"/>
                <w:lang w:eastAsia="en-US"/>
              </w:rPr>
              <w:t>Bio-</w:t>
            </w:r>
            <w:proofErr w:type="spellStart"/>
            <w:r w:rsidRPr="00CE47DE">
              <w:rPr>
                <w:rFonts w:eastAsia="Calibri"/>
                <w:lang w:eastAsia="en-US"/>
              </w:rPr>
              <w:t>physiogical</w:t>
            </w:r>
            <w:proofErr w:type="spellEnd"/>
          </w:p>
        </w:tc>
        <w:tc>
          <w:tcPr>
            <w:tcW w:w="1328" w:type="dxa"/>
            <w:tcBorders>
              <w:left w:val="nil"/>
              <w:bottom w:val="nil"/>
              <w:right w:val="nil"/>
            </w:tcBorders>
            <w:shd w:val="clear" w:color="auto" w:fill="auto"/>
          </w:tcPr>
          <w:p w14:paraId="757921D2" w14:textId="77777777" w:rsidR="009E5C5E" w:rsidRPr="00CE47DE" w:rsidRDefault="009E5C5E" w:rsidP="009E5C5E">
            <w:pPr>
              <w:rPr>
                <w:rFonts w:eastAsia="Calibri"/>
                <w:lang w:eastAsia="en-US"/>
              </w:rPr>
            </w:pPr>
            <w:r w:rsidRPr="00CE47DE">
              <w:rPr>
                <w:rFonts w:eastAsia="Calibri"/>
                <w:lang w:eastAsia="en-US"/>
              </w:rPr>
              <w:t>Intervention</w:t>
            </w:r>
          </w:p>
        </w:tc>
        <w:tc>
          <w:tcPr>
            <w:tcW w:w="1276" w:type="dxa"/>
            <w:tcBorders>
              <w:left w:val="nil"/>
              <w:bottom w:val="nil"/>
              <w:right w:val="nil"/>
            </w:tcBorders>
            <w:shd w:val="clear" w:color="auto" w:fill="auto"/>
          </w:tcPr>
          <w:p w14:paraId="43137EB5" w14:textId="77777777" w:rsidR="009E5C5E" w:rsidRPr="00CE47DE" w:rsidRDefault="009E5C5E" w:rsidP="009E5C5E">
            <w:pPr>
              <w:jc w:val="center"/>
              <w:rPr>
                <w:rFonts w:eastAsia="Calibri"/>
                <w:lang w:eastAsia="en-US"/>
              </w:rPr>
            </w:pPr>
            <w:r w:rsidRPr="00CE47DE">
              <w:rPr>
                <w:rFonts w:eastAsia="Calibri"/>
                <w:lang w:eastAsia="en-US"/>
              </w:rPr>
              <w:t>3.9 (1.6)</w:t>
            </w:r>
          </w:p>
        </w:tc>
        <w:tc>
          <w:tcPr>
            <w:tcW w:w="567" w:type="dxa"/>
            <w:tcBorders>
              <w:left w:val="nil"/>
              <w:bottom w:val="nil"/>
              <w:right w:val="nil"/>
            </w:tcBorders>
            <w:shd w:val="clear" w:color="auto" w:fill="auto"/>
          </w:tcPr>
          <w:p w14:paraId="5DF0C4B0"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left w:val="nil"/>
              <w:bottom w:val="nil"/>
              <w:right w:val="nil"/>
            </w:tcBorders>
            <w:shd w:val="clear" w:color="auto" w:fill="auto"/>
          </w:tcPr>
          <w:p w14:paraId="78B67318" w14:textId="77777777" w:rsidR="009E5C5E" w:rsidRPr="00CE47DE" w:rsidRDefault="009E5C5E" w:rsidP="009E5C5E">
            <w:pPr>
              <w:jc w:val="center"/>
              <w:rPr>
                <w:rFonts w:eastAsia="Calibri"/>
                <w:lang w:eastAsia="en-US"/>
              </w:rPr>
            </w:pPr>
            <w:r w:rsidRPr="00CE47DE">
              <w:rPr>
                <w:rFonts w:eastAsia="Calibri"/>
                <w:lang w:eastAsia="en-US"/>
              </w:rPr>
              <w:t>7.2 (2.0)</w:t>
            </w:r>
          </w:p>
        </w:tc>
        <w:tc>
          <w:tcPr>
            <w:tcW w:w="567" w:type="dxa"/>
            <w:tcBorders>
              <w:left w:val="nil"/>
              <w:bottom w:val="nil"/>
              <w:right w:val="nil"/>
            </w:tcBorders>
            <w:shd w:val="clear" w:color="auto" w:fill="auto"/>
          </w:tcPr>
          <w:p w14:paraId="0A6A53C9"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left w:val="nil"/>
              <w:bottom w:val="nil"/>
              <w:right w:val="nil"/>
            </w:tcBorders>
            <w:shd w:val="clear" w:color="auto" w:fill="auto"/>
          </w:tcPr>
          <w:p w14:paraId="2C1D076F" w14:textId="77777777" w:rsidR="009E5C5E" w:rsidRPr="00CE47DE" w:rsidRDefault="009E5C5E" w:rsidP="009E5C5E">
            <w:pPr>
              <w:jc w:val="center"/>
              <w:rPr>
                <w:rFonts w:eastAsia="Calibri"/>
                <w:lang w:eastAsia="en-US"/>
              </w:rPr>
            </w:pPr>
            <w:r w:rsidRPr="00CE47DE">
              <w:rPr>
                <w:rFonts w:eastAsia="Calibri"/>
                <w:lang w:eastAsia="en-US"/>
              </w:rPr>
              <w:t>7.1 (1.8)</w:t>
            </w:r>
          </w:p>
        </w:tc>
        <w:tc>
          <w:tcPr>
            <w:tcW w:w="567" w:type="dxa"/>
            <w:tcBorders>
              <w:left w:val="nil"/>
              <w:bottom w:val="nil"/>
              <w:right w:val="nil"/>
            </w:tcBorders>
            <w:shd w:val="clear" w:color="auto" w:fill="auto"/>
          </w:tcPr>
          <w:p w14:paraId="70B2F6C0" w14:textId="77777777" w:rsidR="009E5C5E" w:rsidRPr="00CE47DE" w:rsidRDefault="009E5C5E" w:rsidP="009E5C5E">
            <w:pPr>
              <w:jc w:val="center"/>
              <w:rPr>
                <w:rFonts w:eastAsia="Calibri"/>
                <w:lang w:eastAsia="en-US"/>
              </w:rPr>
            </w:pPr>
            <w:r w:rsidRPr="00CE47DE">
              <w:rPr>
                <w:rFonts w:eastAsia="Calibri"/>
                <w:lang w:eastAsia="en-US"/>
              </w:rPr>
              <w:t>49</w:t>
            </w:r>
          </w:p>
        </w:tc>
        <w:tc>
          <w:tcPr>
            <w:tcW w:w="1418" w:type="dxa"/>
            <w:tcBorders>
              <w:left w:val="nil"/>
              <w:bottom w:val="nil"/>
              <w:right w:val="nil"/>
            </w:tcBorders>
            <w:shd w:val="clear" w:color="auto" w:fill="auto"/>
          </w:tcPr>
          <w:p w14:paraId="1CB12441" w14:textId="77777777" w:rsidR="009E5C5E" w:rsidRPr="00CE47DE" w:rsidRDefault="009E5C5E" w:rsidP="009E5C5E">
            <w:pPr>
              <w:jc w:val="center"/>
              <w:rPr>
                <w:rFonts w:eastAsia="Calibri"/>
                <w:lang w:eastAsia="en-US"/>
              </w:rPr>
            </w:pPr>
            <w:r w:rsidRPr="00CE47DE">
              <w:rPr>
                <w:rFonts w:eastAsia="Calibri"/>
                <w:lang w:eastAsia="en-US"/>
              </w:rPr>
              <w:t>6.6 (1.9)</w:t>
            </w:r>
          </w:p>
        </w:tc>
        <w:tc>
          <w:tcPr>
            <w:tcW w:w="567" w:type="dxa"/>
            <w:tcBorders>
              <w:left w:val="nil"/>
              <w:bottom w:val="nil"/>
              <w:right w:val="nil"/>
            </w:tcBorders>
            <w:shd w:val="clear" w:color="auto" w:fill="auto"/>
          </w:tcPr>
          <w:p w14:paraId="52C898DF" w14:textId="77777777" w:rsidR="009E5C5E" w:rsidRPr="00CE47DE" w:rsidRDefault="009E5C5E" w:rsidP="009E5C5E">
            <w:pPr>
              <w:jc w:val="center"/>
              <w:rPr>
                <w:rFonts w:eastAsia="Calibri"/>
                <w:lang w:eastAsia="en-US"/>
              </w:rPr>
            </w:pPr>
            <w:r w:rsidRPr="00CE47DE">
              <w:rPr>
                <w:rFonts w:eastAsia="Calibri"/>
                <w:lang w:eastAsia="en-US"/>
              </w:rPr>
              <w:t>45</w:t>
            </w:r>
          </w:p>
        </w:tc>
        <w:tc>
          <w:tcPr>
            <w:tcW w:w="1276" w:type="dxa"/>
            <w:tcBorders>
              <w:left w:val="nil"/>
              <w:bottom w:val="nil"/>
              <w:right w:val="nil"/>
            </w:tcBorders>
            <w:shd w:val="clear" w:color="auto" w:fill="auto"/>
          </w:tcPr>
          <w:p w14:paraId="749D72E2" w14:textId="77777777" w:rsidR="009E5C5E" w:rsidRPr="00CE47DE" w:rsidRDefault="009E5C5E" w:rsidP="009E5C5E">
            <w:pPr>
              <w:jc w:val="center"/>
              <w:rPr>
                <w:rFonts w:eastAsia="Calibri"/>
                <w:lang w:eastAsia="en-US"/>
              </w:rPr>
            </w:pPr>
            <w:r w:rsidRPr="00CE47DE">
              <w:rPr>
                <w:rFonts w:eastAsia="Calibri"/>
                <w:lang w:eastAsia="en-US"/>
              </w:rPr>
              <w:t>5.8 (1.8)</w:t>
            </w:r>
          </w:p>
        </w:tc>
        <w:tc>
          <w:tcPr>
            <w:tcW w:w="567" w:type="dxa"/>
            <w:tcBorders>
              <w:left w:val="nil"/>
              <w:bottom w:val="nil"/>
              <w:right w:val="nil"/>
            </w:tcBorders>
            <w:shd w:val="clear" w:color="auto" w:fill="auto"/>
          </w:tcPr>
          <w:p w14:paraId="574D3A11" w14:textId="77777777" w:rsidR="009E5C5E" w:rsidRPr="00CE47DE" w:rsidRDefault="009E5C5E" w:rsidP="009E5C5E">
            <w:pPr>
              <w:jc w:val="center"/>
              <w:rPr>
                <w:rFonts w:eastAsia="Calibri"/>
                <w:lang w:eastAsia="en-US"/>
              </w:rPr>
            </w:pPr>
            <w:r w:rsidRPr="00CE47DE">
              <w:rPr>
                <w:rFonts w:eastAsia="Calibri"/>
                <w:lang w:eastAsia="en-US"/>
              </w:rPr>
              <w:t>44</w:t>
            </w:r>
          </w:p>
        </w:tc>
        <w:tc>
          <w:tcPr>
            <w:tcW w:w="1235" w:type="dxa"/>
            <w:tcBorders>
              <w:left w:val="nil"/>
              <w:bottom w:val="nil"/>
              <w:right w:val="nil"/>
            </w:tcBorders>
            <w:shd w:val="clear" w:color="auto" w:fill="auto"/>
          </w:tcPr>
          <w:p w14:paraId="48B982A8" w14:textId="77777777" w:rsidR="009E5C5E" w:rsidRPr="00CE47DE" w:rsidRDefault="009E5C5E" w:rsidP="009E5C5E">
            <w:pPr>
              <w:jc w:val="center"/>
              <w:rPr>
                <w:rFonts w:eastAsia="Calibri"/>
                <w:lang w:eastAsia="en-US"/>
              </w:rPr>
            </w:pPr>
            <w:r w:rsidRPr="00CE47DE">
              <w:rPr>
                <w:rFonts w:eastAsia="Calibri"/>
                <w:lang w:eastAsia="en-US"/>
              </w:rPr>
              <w:t>&lt;.0001</w:t>
            </w:r>
          </w:p>
        </w:tc>
      </w:tr>
      <w:tr w:rsidR="009E5C5E" w:rsidRPr="00CE47DE" w14:paraId="041ADC7B" w14:textId="77777777" w:rsidTr="00BF1153">
        <w:tc>
          <w:tcPr>
            <w:tcW w:w="1809" w:type="dxa"/>
            <w:tcBorders>
              <w:top w:val="nil"/>
              <w:left w:val="nil"/>
              <w:bottom w:val="nil"/>
              <w:right w:val="nil"/>
            </w:tcBorders>
            <w:shd w:val="clear" w:color="auto" w:fill="auto"/>
          </w:tcPr>
          <w:p w14:paraId="2719787E" w14:textId="06558A29" w:rsidR="009E5C5E" w:rsidRPr="00CE47DE" w:rsidRDefault="009E5C5E" w:rsidP="00B2471F">
            <w:pPr>
              <w:rPr>
                <w:rFonts w:eastAsia="Calibri"/>
                <w:lang w:eastAsia="en-US"/>
              </w:rPr>
            </w:pPr>
            <w:r w:rsidRPr="00CE47DE">
              <w:rPr>
                <w:rFonts w:eastAsia="Calibri"/>
                <w:lang w:eastAsia="en-US"/>
              </w:rPr>
              <w:t>(</w:t>
            </w:r>
            <w:r w:rsidR="00B2471F" w:rsidRPr="00CE47DE">
              <w:rPr>
                <w:rFonts w:eastAsia="Calibri"/>
                <w:lang w:eastAsia="en-US"/>
              </w:rPr>
              <w:t>0–</w:t>
            </w:r>
            <w:r w:rsidRPr="00CE47DE">
              <w:rPr>
                <w:rFonts w:eastAsia="Calibri"/>
                <w:lang w:eastAsia="en-US"/>
              </w:rPr>
              <w:t>9)</w:t>
            </w:r>
          </w:p>
        </w:tc>
        <w:tc>
          <w:tcPr>
            <w:tcW w:w="1328" w:type="dxa"/>
            <w:tcBorders>
              <w:top w:val="nil"/>
              <w:left w:val="nil"/>
              <w:bottom w:val="nil"/>
              <w:right w:val="nil"/>
            </w:tcBorders>
            <w:shd w:val="clear" w:color="auto" w:fill="auto"/>
          </w:tcPr>
          <w:p w14:paraId="17303079" w14:textId="77777777" w:rsidR="009E5C5E" w:rsidRPr="00CE47DE" w:rsidRDefault="009E5C5E" w:rsidP="009E5C5E">
            <w:pPr>
              <w:rPr>
                <w:rFonts w:eastAsia="Calibri"/>
                <w:lang w:eastAsia="en-US"/>
              </w:rPr>
            </w:pPr>
            <w:r w:rsidRPr="00CE47DE">
              <w:rPr>
                <w:rFonts w:eastAsia="Calibri"/>
                <w:lang w:eastAsia="en-US"/>
              </w:rPr>
              <w:t>Control</w:t>
            </w:r>
          </w:p>
        </w:tc>
        <w:tc>
          <w:tcPr>
            <w:tcW w:w="1276" w:type="dxa"/>
            <w:tcBorders>
              <w:top w:val="nil"/>
              <w:left w:val="nil"/>
              <w:bottom w:val="nil"/>
              <w:right w:val="nil"/>
            </w:tcBorders>
            <w:shd w:val="clear" w:color="auto" w:fill="auto"/>
          </w:tcPr>
          <w:p w14:paraId="2EC05C5D" w14:textId="77777777" w:rsidR="009E5C5E" w:rsidRPr="00CE47DE" w:rsidRDefault="009E5C5E" w:rsidP="009E5C5E">
            <w:pPr>
              <w:jc w:val="center"/>
              <w:rPr>
                <w:rFonts w:eastAsia="Calibri"/>
                <w:lang w:eastAsia="en-US"/>
              </w:rPr>
            </w:pPr>
            <w:r w:rsidRPr="00CE47DE">
              <w:rPr>
                <w:rFonts w:eastAsia="Calibri"/>
                <w:lang w:eastAsia="en-US"/>
              </w:rPr>
              <w:t>4.0 (1.8)</w:t>
            </w:r>
          </w:p>
        </w:tc>
        <w:tc>
          <w:tcPr>
            <w:tcW w:w="567" w:type="dxa"/>
            <w:tcBorders>
              <w:top w:val="nil"/>
              <w:left w:val="nil"/>
              <w:bottom w:val="nil"/>
              <w:right w:val="nil"/>
            </w:tcBorders>
            <w:shd w:val="clear" w:color="auto" w:fill="auto"/>
          </w:tcPr>
          <w:p w14:paraId="24A41D6D"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nil"/>
              <w:left w:val="nil"/>
              <w:bottom w:val="nil"/>
              <w:right w:val="nil"/>
            </w:tcBorders>
            <w:shd w:val="clear" w:color="auto" w:fill="auto"/>
          </w:tcPr>
          <w:p w14:paraId="47099692" w14:textId="77777777" w:rsidR="009E5C5E" w:rsidRPr="00CE47DE" w:rsidRDefault="009E5C5E" w:rsidP="009E5C5E">
            <w:pPr>
              <w:jc w:val="center"/>
              <w:rPr>
                <w:rFonts w:eastAsia="Calibri"/>
                <w:lang w:eastAsia="en-US"/>
              </w:rPr>
            </w:pPr>
            <w:r w:rsidRPr="00CE47DE">
              <w:rPr>
                <w:rFonts w:eastAsia="Calibri"/>
                <w:lang w:eastAsia="en-US"/>
              </w:rPr>
              <w:t>4.1 (1.8)</w:t>
            </w:r>
          </w:p>
        </w:tc>
        <w:tc>
          <w:tcPr>
            <w:tcW w:w="567" w:type="dxa"/>
            <w:tcBorders>
              <w:top w:val="nil"/>
              <w:left w:val="nil"/>
              <w:bottom w:val="nil"/>
              <w:right w:val="nil"/>
            </w:tcBorders>
            <w:shd w:val="clear" w:color="auto" w:fill="auto"/>
          </w:tcPr>
          <w:p w14:paraId="55E22CD0"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nil"/>
              <w:left w:val="nil"/>
              <w:bottom w:val="nil"/>
              <w:right w:val="nil"/>
            </w:tcBorders>
            <w:shd w:val="clear" w:color="auto" w:fill="auto"/>
          </w:tcPr>
          <w:p w14:paraId="60DE163B" w14:textId="77777777" w:rsidR="009E5C5E" w:rsidRPr="00CE47DE" w:rsidRDefault="009E5C5E" w:rsidP="009E5C5E">
            <w:pPr>
              <w:jc w:val="center"/>
              <w:rPr>
                <w:rFonts w:eastAsia="Calibri"/>
                <w:lang w:eastAsia="en-US"/>
              </w:rPr>
            </w:pPr>
            <w:r w:rsidRPr="00CE47DE">
              <w:rPr>
                <w:rFonts w:eastAsia="Calibri"/>
                <w:lang w:eastAsia="en-US"/>
              </w:rPr>
              <w:t>4.6 (1.6)</w:t>
            </w:r>
          </w:p>
        </w:tc>
        <w:tc>
          <w:tcPr>
            <w:tcW w:w="567" w:type="dxa"/>
            <w:tcBorders>
              <w:top w:val="nil"/>
              <w:left w:val="nil"/>
              <w:bottom w:val="nil"/>
              <w:right w:val="nil"/>
            </w:tcBorders>
            <w:shd w:val="clear" w:color="auto" w:fill="auto"/>
          </w:tcPr>
          <w:p w14:paraId="4307BA23" w14:textId="77777777" w:rsidR="009E5C5E" w:rsidRPr="00CE47DE" w:rsidRDefault="009E5C5E" w:rsidP="009E5C5E">
            <w:pPr>
              <w:jc w:val="center"/>
              <w:rPr>
                <w:rFonts w:eastAsia="Calibri"/>
                <w:lang w:eastAsia="en-US"/>
              </w:rPr>
            </w:pPr>
            <w:r w:rsidRPr="00CE47DE">
              <w:rPr>
                <w:rFonts w:eastAsia="Calibri"/>
                <w:lang w:eastAsia="en-US"/>
              </w:rPr>
              <w:t>46</w:t>
            </w:r>
          </w:p>
        </w:tc>
        <w:tc>
          <w:tcPr>
            <w:tcW w:w="1418" w:type="dxa"/>
            <w:tcBorders>
              <w:top w:val="nil"/>
              <w:left w:val="nil"/>
              <w:bottom w:val="nil"/>
              <w:right w:val="nil"/>
            </w:tcBorders>
            <w:shd w:val="clear" w:color="auto" w:fill="auto"/>
          </w:tcPr>
          <w:p w14:paraId="1A7CAF5A" w14:textId="77777777" w:rsidR="009E5C5E" w:rsidRPr="00CE47DE" w:rsidRDefault="009E5C5E" w:rsidP="009E5C5E">
            <w:pPr>
              <w:jc w:val="center"/>
              <w:rPr>
                <w:rFonts w:eastAsia="Calibri"/>
                <w:lang w:eastAsia="en-US"/>
              </w:rPr>
            </w:pPr>
            <w:r w:rsidRPr="00CE47DE">
              <w:rPr>
                <w:rFonts w:eastAsia="Calibri"/>
                <w:lang w:eastAsia="en-US"/>
              </w:rPr>
              <w:t>4.6 (1.8)</w:t>
            </w:r>
          </w:p>
        </w:tc>
        <w:tc>
          <w:tcPr>
            <w:tcW w:w="567" w:type="dxa"/>
            <w:tcBorders>
              <w:top w:val="nil"/>
              <w:left w:val="nil"/>
              <w:bottom w:val="nil"/>
              <w:right w:val="nil"/>
            </w:tcBorders>
            <w:shd w:val="clear" w:color="auto" w:fill="auto"/>
          </w:tcPr>
          <w:p w14:paraId="3C5FD2FB" w14:textId="77777777" w:rsidR="009E5C5E" w:rsidRPr="00CE47DE" w:rsidRDefault="009E5C5E" w:rsidP="009E5C5E">
            <w:pPr>
              <w:jc w:val="center"/>
              <w:rPr>
                <w:rFonts w:eastAsia="Calibri"/>
                <w:lang w:eastAsia="en-US"/>
              </w:rPr>
            </w:pPr>
            <w:r w:rsidRPr="00CE47DE">
              <w:rPr>
                <w:rFonts w:eastAsia="Calibri"/>
                <w:lang w:eastAsia="en-US"/>
              </w:rPr>
              <w:t>40</w:t>
            </w:r>
          </w:p>
        </w:tc>
        <w:tc>
          <w:tcPr>
            <w:tcW w:w="1276" w:type="dxa"/>
            <w:tcBorders>
              <w:top w:val="nil"/>
              <w:left w:val="nil"/>
              <w:bottom w:val="nil"/>
              <w:right w:val="nil"/>
            </w:tcBorders>
            <w:shd w:val="clear" w:color="auto" w:fill="auto"/>
          </w:tcPr>
          <w:p w14:paraId="432DC55E" w14:textId="77777777" w:rsidR="009E5C5E" w:rsidRPr="00CE47DE" w:rsidRDefault="009E5C5E" w:rsidP="009E5C5E">
            <w:pPr>
              <w:jc w:val="center"/>
              <w:rPr>
                <w:rFonts w:eastAsia="Calibri"/>
                <w:lang w:eastAsia="en-US"/>
              </w:rPr>
            </w:pPr>
            <w:r w:rsidRPr="00CE47DE">
              <w:rPr>
                <w:rFonts w:eastAsia="Calibri"/>
                <w:lang w:eastAsia="en-US"/>
              </w:rPr>
              <w:t>4.0 (1.6)</w:t>
            </w:r>
          </w:p>
        </w:tc>
        <w:tc>
          <w:tcPr>
            <w:tcW w:w="567" w:type="dxa"/>
            <w:tcBorders>
              <w:top w:val="nil"/>
              <w:left w:val="nil"/>
              <w:bottom w:val="nil"/>
              <w:right w:val="nil"/>
            </w:tcBorders>
            <w:shd w:val="clear" w:color="auto" w:fill="auto"/>
          </w:tcPr>
          <w:p w14:paraId="4DF98D5A" w14:textId="77777777" w:rsidR="009E5C5E" w:rsidRPr="00CE47DE" w:rsidRDefault="009E5C5E" w:rsidP="009E5C5E">
            <w:pPr>
              <w:jc w:val="center"/>
              <w:rPr>
                <w:rFonts w:eastAsia="Calibri"/>
                <w:lang w:eastAsia="en-US"/>
              </w:rPr>
            </w:pPr>
            <w:r w:rsidRPr="00CE47DE">
              <w:rPr>
                <w:rFonts w:eastAsia="Calibri"/>
                <w:lang w:eastAsia="en-US"/>
              </w:rPr>
              <w:t>37</w:t>
            </w:r>
          </w:p>
        </w:tc>
        <w:tc>
          <w:tcPr>
            <w:tcW w:w="1235" w:type="dxa"/>
            <w:tcBorders>
              <w:top w:val="nil"/>
              <w:left w:val="nil"/>
              <w:bottom w:val="nil"/>
              <w:right w:val="nil"/>
            </w:tcBorders>
            <w:shd w:val="clear" w:color="auto" w:fill="auto"/>
          </w:tcPr>
          <w:p w14:paraId="79B0863D" w14:textId="77777777" w:rsidR="009E5C5E" w:rsidRPr="00CE47DE" w:rsidRDefault="009E5C5E" w:rsidP="009E5C5E">
            <w:pPr>
              <w:jc w:val="center"/>
              <w:rPr>
                <w:rFonts w:eastAsia="Calibri"/>
                <w:lang w:eastAsia="en-US"/>
              </w:rPr>
            </w:pPr>
            <w:r w:rsidRPr="00CE47DE">
              <w:rPr>
                <w:rFonts w:eastAsia="Calibri"/>
                <w:lang w:eastAsia="en-US"/>
              </w:rPr>
              <w:t>0.0003</w:t>
            </w:r>
          </w:p>
        </w:tc>
      </w:tr>
      <w:tr w:rsidR="009E5C5E" w:rsidRPr="00CE47DE" w14:paraId="137BFDBD" w14:textId="77777777" w:rsidTr="00BF1153">
        <w:tc>
          <w:tcPr>
            <w:tcW w:w="1809" w:type="dxa"/>
            <w:tcBorders>
              <w:top w:val="nil"/>
              <w:left w:val="nil"/>
              <w:bottom w:val="nil"/>
              <w:right w:val="nil"/>
            </w:tcBorders>
            <w:shd w:val="clear" w:color="auto" w:fill="auto"/>
          </w:tcPr>
          <w:p w14:paraId="15891A27" w14:textId="77777777" w:rsidR="009E5C5E" w:rsidRPr="00CE47DE" w:rsidRDefault="009E5C5E" w:rsidP="009E5C5E">
            <w:pPr>
              <w:rPr>
                <w:rFonts w:eastAsia="Calibri"/>
                <w:lang w:eastAsia="en-US"/>
              </w:rPr>
            </w:pPr>
          </w:p>
        </w:tc>
        <w:tc>
          <w:tcPr>
            <w:tcW w:w="1328" w:type="dxa"/>
            <w:tcBorders>
              <w:top w:val="nil"/>
              <w:left w:val="nil"/>
              <w:bottom w:val="nil"/>
              <w:right w:val="nil"/>
            </w:tcBorders>
            <w:shd w:val="clear" w:color="auto" w:fill="auto"/>
          </w:tcPr>
          <w:p w14:paraId="47BCF7E0" w14:textId="77777777" w:rsidR="009E5C5E" w:rsidRPr="00CE47DE" w:rsidRDefault="009E5C5E" w:rsidP="009E5C5E">
            <w:pPr>
              <w:rPr>
                <w:rFonts w:eastAsia="Calibri"/>
                <w:lang w:eastAsia="en-US"/>
              </w:rPr>
            </w:pPr>
            <w:proofErr w:type="spellStart"/>
            <w:r w:rsidRPr="00CE47DE">
              <w:rPr>
                <w:rFonts w:eastAsia="Calibri"/>
                <w:lang w:eastAsia="en-US"/>
              </w:rPr>
              <w:t>p</w:t>
            </w:r>
            <w:r w:rsidRPr="00CE47DE">
              <w:rPr>
                <w:rFonts w:eastAsia="Calibri"/>
                <w:vertAlign w:val="subscript"/>
                <w:lang w:eastAsia="en-US"/>
              </w:rPr>
              <w:t>group</w:t>
            </w:r>
            <w:proofErr w:type="spellEnd"/>
          </w:p>
        </w:tc>
        <w:tc>
          <w:tcPr>
            <w:tcW w:w="1276" w:type="dxa"/>
            <w:tcBorders>
              <w:top w:val="nil"/>
              <w:left w:val="nil"/>
              <w:bottom w:val="nil"/>
              <w:right w:val="nil"/>
            </w:tcBorders>
            <w:shd w:val="clear" w:color="auto" w:fill="auto"/>
          </w:tcPr>
          <w:p w14:paraId="377E1E92" w14:textId="77777777" w:rsidR="009E5C5E" w:rsidRPr="00CE47DE" w:rsidRDefault="009E5C5E" w:rsidP="009E5C5E">
            <w:pPr>
              <w:jc w:val="center"/>
              <w:rPr>
                <w:rFonts w:eastAsia="Calibri"/>
                <w:lang w:eastAsia="en-US"/>
              </w:rPr>
            </w:pPr>
            <w:r w:rsidRPr="00CE47DE">
              <w:rPr>
                <w:rFonts w:eastAsia="Calibri"/>
                <w:lang w:eastAsia="en-US"/>
              </w:rPr>
              <w:t>1.0</w:t>
            </w:r>
          </w:p>
        </w:tc>
        <w:tc>
          <w:tcPr>
            <w:tcW w:w="567" w:type="dxa"/>
            <w:tcBorders>
              <w:top w:val="nil"/>
              <w:left w:val="nil"/>
              <w:bottom w:val="nil"/>
              <w:right w:val="nil"/>
            </w:tcBorders>
            <w:shd w:val="clear" w:color="auto" w:fill="auto"/>
          </w:tcPr>
          <w:p w14:paraId="7C67AAD7"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3011F836"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3C6BFE11" w14:textId="77777777" w:rsidR="009E5C5E" w:rsidRPr="00CE47DE" w:rsidRDefault="009E5C5E" w:rsidP="009E5C5E">
            <w:pPr>
              <w:jc w:val="center"/>
              <w:rPr>
                <w:rFonts w:eastAsia="Calibri"/>
                <w:lang w:eastAsia="en-US"/>
              </w:rPr>
            </w:pPr>
          </w:p>
        </w:tc>
        <w:tc>
          <w:tcPr>
            <w:tcW w:w="1275" w:type="dxa"/>
            <w:tcBorders>
              <w:top w:val="nil"/>
              <w:left w:val="nil"/>
              <w:bottom w:val="nil"/>
              <w:right w:val="nil"/>
            </w:tcBorders>
            <w:shd w:val="clear" w:color="auto" w:fill="auto"/>
          </w:tcPr>
          <w:p w14:paraId="15FEB2D6"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671F7B5B" w14:textId="77777777" w:rsidR="009E5C5E" w:rsidRPr="00CE47DE" w:rsidRDefault="009E5C5E" w:rsidP="009E5C5E">
            <w:pPr>
              <w:jc w:val="center"/>
              <w:rPr>
                <w:rFonts w:eastAsia="Calibri"/>
                <w:lang w:eastAsia="en-US"/>
              </w:rPr>
            </w:pPr>
          </w:p>
        </w:tc>
        <w:tc>
          <w:tcPr>
            <w:tcW w:w="1418" w:type="dxa"/>
            <w:tcBorders>
              <w:top w:val="nil"/>
              <w:left w:val="nil"/>
              <w:bottom w:val="nil"/>
              <w:right w:val="nil"/>
            </w:tcBorders>
            <w:shd w:val="clear" w:color="auto" w:fill="auto"/>
          </w:tcPr>
          <w:p w14:paraId="3DCC3411"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5DF63A21"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4A20E88B"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6B85ED31" w14:textId="77777777" w:rsidR="009E5C5E" w:rsidRPr="00CE47DE" w:rsidRDefault="009E5C5E" w:rsidP="009E5C5E">
            <w:pPr>
              <w:jc w:val="center"/>
              <w:rPr>
                <w:rFonts w:eastAsia="Calibri"/>
                <w:lang w:eastAsia="en-US"/>
              </w:rPr>
            </w:pPr>
          </w:p>
        </w:tc>
        <w:tc>
          <w:tcPr>
            <w:tcW w:w="1235" w:type="dxa"/>
            <w:tcBorders>
              <w:top w:val="nil"/>
              <w:left w:val="nil"/>
              <w:bottom w:val="nil"/>
              <w:right w:val="nil"/>
            </w:tcBorders>
            <w:shd w:val="clear" w:color="auto" w:fill="auto"/>
          </w:tcPr>
          <w:p w14:paraId="0BE962B2" w14:textId="77777777" w:rsidR="009E5C5E" w:rsidRPr="00CE47DE" w:rsidRDefault="009E5C5E" w:rsidP="009E5C5E">
            <w:pPr>
              <w:jc w:val="center"/>
              <w:rPr>
                <w:rFonts w:eastAsia="Calibri"/>
                <w:lang w:eastAsia="en-US"/>
              </w:rPr>
            </w:pPr>
          </w:p>
        </w:tc>
      </w:tr>
      <w:tr w:rsidR="009E5C5E" w:rsidRPr="00CE47DE" w14:paraId="01C371E8" w14:textId="77777777" w:rsidTr="00BF1153">
        <w:tc>
          <w:tcPr>
            <w:tcW w:w="1809" w:type="dxa"/>
            <w:tcBorders>
              <w:top w:val="nil"/>
              <w:left w:val="nil"/>
              <w:bottom w:val="single" w:sz="4" w:space="0" w:color="auto"/>
              <w:right w:val="nil"/>
            </w:tcBorders>
            <w:shd w:val="clear" w:color="auto" w:fill="auto"/>
          </w:tcPr>
          <w:p w14:paraId="16C2028C" w14:textId="77777777" w:rsidR="009E5C5E" w:rsidRPr="00CE47DE" w:rsidRDefault="009E5C5E" w:rsidP="009E5C5E">
            <w:pPr>
              <w:rPr>
                <w:rFonts w:eastAsia="Calibri"/>
                <w:lang w:eastAsia="en-US"/>
              </w:rPr>
            </w:pPr>
          </w:p>
        </w:tc>
        <w:tc>
          <w:tcPr>
            <w:tcW w:w="1328" w:type="dxa"/>
            <w:tcBorders>
              <w:top w:val="nil"/>
              <w:left w:val="nil"/>
              <w:bottom w:val="single" w:sz="4" w:space="0" w:color="auto"/>
              <w:right w:val="nil"/>
            </w:tcBorders>
            <w:shd w:val="clear" w:color="auto" w:fill="auto"/>
          </w:tcPr>
          <w:p w14:paraId="2BE861E5" w14:textId="77777777" w:rsidR="009E5C5E" w:rsidRPr="00CE47DE" w:rsidRDefault="009E5C5E" w:rsidP="009E5C5E">
            <w:pPr>
              <w:rPr>
                <w:rFonts w:eastAsia="Calibri"/>
                <w:lang w:eastAsia="en-US"/>
              </w:rPr>
            </w:pPr>
            <w:r w:rsidRPr="00CE47DE">
              <w:rPr>
                <w:rFonts w:eastAsia="Calibri"/>
                <w:lang w:eastAsia="en-US"/>
              </w:rPr>
              <w:t>CI 95%</w:t>
            </w:r>
          </w:p>
        </w:tc>
        <w:tc>
          <w:tcPr>
            <w:tcW w:w="1276" w:type="dxa"/>
            <w:tcBorders>
              <w:top w:val="nil"/>
              <w:left w:val="nil"/>
              <w:bottom w:val="single" w:sz="4" w:space="0" w:color="auto"/>
              <w:right w:val="nil"/>
            </w:tcBorders>
            <w:shd w:val="clear" w:color="auto" w:fill="auto"/>
          </w:tcPr>
          <w:p w14:paraId="0D00480A" w14:textId="77777777" w:rsidR="009E5C5E" w:rsidRPr="00CE47DE" w:rsidRDefault="009E5C5E" w:rsidP="009E5C5E">
            <w:pPr>
              <w:jc w:val="center"/>
              <w:rPr>
                <w:rFonts w:eastAsia="Calibri"/>
                <w:lang w:eastAsia="en-US"/>
              </w:rPr>
            </w:pPr>
            <w:r w:rsidRPr="00CE47DE">
              <w:rPr>
                <w:rFonts w:eastAsia="Calibri"/>
                <w:lang w:eastAsia="en-US"/>
              </w:rPr>
              <w:t>–1.2–1.0</w:t>
            </w:r>
          </w:p>
        </w:tc>
        <w:tc>
          <w:tcPr>
            <w:tcW w:w="567" w:type="dxa"/>
            <w:tcBorders>
              <w:top w:val="nil"/>
              <w:left w:val="nil"/>
              <w:bottom w:val="single" w:sz="4" w:space="0" w:color="auto"/>
              <w:right w:val="nil"/>
            </w:tcBorders>
            <w:shd w:val="clear" w:color="auto" w:fill="auto"/>
          </w:tcPr>
          <w:p w14:paraId="5ED863CC"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2E7983D8" w14:textId="77777777" w:rsidR="009E5C5E" w:rsidRPr="00CE47DE" w:rsidRDefault="009E5C5E" w:rsidP="009E5C5E">
            <w:pPr>
              <w:jc w:val="center"/>
              <w:rPr>
                <w:rFonts w:eastAsia="Calibri"/>
                <w:lang w:eastAsia="en-US"/>
              </w:rPr>
            </w:pPr>
            <w:r w:rsidRPr="00CE47DE">
              <w:rPr>
                <w:rFonts w:eastAsia="Calibri"/>
                <w:lang w:eastAsia="en-US"/>
              </w:rPr>
              <w:t>2.0–4.2</w:t>
            </w:r>
          </w:p>
        </w:tc>
        <w:tc>
          <w:tcPr>
            <w:tcW w:w="567" w:type="dxa"/>
            <w:tcBorders>
              <w:top w:val="nil"/>
              <w:left w:val="nil"/>
              <w:bottom w:val="single" w:sz="4" w:space="0" w:color="auto"/>
              <w:right w:val="nil"/>
            </w:tcBorders>
            <w:shd w:val="clear" w:color="auto" w:fill="auto"/>
          </w:tcPr>
          <w:p w14:paraId="06C3BD2E"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1E3D3AAC" w14:textId="77777777" w:rsidR="009E5C5E" w:rsidRPr="00CE47DE" w:rsidRDefault="009E5C5E" w:rsidP="009E5C5E">
            <w:pPr>
              <w:jc w:val="center"/>
              <w:rPr>
                <w:rFonts w:eastAsia="Calibri"/>
                <w:lang w:eastAsia="en-US"/>
              </w:rPr>
            </w:pPr>
            <w:r w:rsidRPr="00CE47DE">
              <w:rPr>
                <w:rFonts w:eastAsia="Calibri"/>
                <w:lang w:eastAsia="en-US"/>
              </w:rPr>
              <w:t>1.3–3.6</w:t>
            </w:r>
          </w:p>
        </w:tc>
        <w:tc>
          <w:tcPr>
            <w:tcW w:w="567" w:type="dxa"/>
            <w:tcBorders>
              <w:top w:val="nil"/>
              <w:left w:val="nil"/>
              <w:bottom w:val="single" w:sz="4" w:space="0" w:color="auto"/>
              <w:right w:val="nil"/>
            </w:tcBorders>
            <w:shd w:val="clear" w:color="auto" w:fill="auto"/>
          </w:tcPr>
          <w:p w14:paraId="2E008B5D"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65EF2F12" w14:textId="77777777" w:rsidR="009E5C5E" w:rsidRPr="00CE47DE" w:rsidRDefault="009E5C5E" w:rsidP="009E5C5E">
            <w:pPr>
              <w:jc w:val="center"/>
              <w:rPr>
                <w:rFonts w:eastAsia="Calibri"/>
                <w:lang w:eastAsia="en-US"/>
              </w:rPr>
            </w:pPr>
            <w:r w:rsidRPr="00CE47DE">
              <w:rPr>
                <w:rFonts w:eastAsia="Calibri"/>
                <w:lang w:eastAsia="en-US"/>
              </w:rPr>
              <w:t>0.9–3.2</w:t>
            </w:r>
          </w:p>
        </w:tc>
        <w:tc>
          <w:tcPr>
            <w:tcW w:w="567" w:type="dxa"/>
            <w:tcBorders>
              <w:top w:val="nil"/>
              <w:left w:val="nil"/>
              <w:bottom w:val="single" w:sz="4" w:space="0" w:color="auto"/>
              <w:right w:val="nil"/>
            </w:tcBorders>
            <w:shd w:val="clear" w:color="auto" w:fill="auto"/>
          </w:tcPr>
          <w:p w14:paraId="23EDBFE6"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72E7A5C8" w14:textId="77777777" w:rsidR="009E5C5E" w:rsidRPr="00CE47DE" w:rsidRDefault="009E5C5E" w:rsidP="009E5C5E">
            <w:pPr>
              <w:jc w:val="center"/>
              <w:rPr>
                <w:rFonts w:eastAsia="Calibri"/>
                <w:lang w:eastAsia="en-US"/>
              </w:rPr>
            </w:pPr>
            <w:r w:rsidRPr="00CE47DE">
              <w:rPr>
                <w:rFonts w:eastAsia="Calibri"/>
                <w:lang w:eastAsia="en-US"/>
              </w:rPr>
              <w:t>0.7–3.1</w:t>
            </w:r>
          </w:p>
        </w:tc>
        <w:tc>
          <w:tcPr>
            <w:tcW w:w="567" w:type="dxa"/>
            <w:tcBorders>
              <w:top w:val="nil"/>
              <w:left w:val="nil"/>
              <w:bottom w:val="single" w:sz="4" w:space="0" w:color="auto"/>
              <w:right w:val="nil"/>
            </w:tcBorders>
            <w:shd w:val="clear" w:color="auto" w:fill="auto"/>
          </w:tcPr>
          <w:p w14:paraId="3BCFD195"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2EA81892" w14:textId="77777777" w:rsidR="009E5C5E" w:rsidRPr="00CE47DE" w:rsidRDefault="009E5C5E" w:rsidP="009E5C5E">
            <w:pPr>
              <w:jc w:val="center"/>
              <w:rPr>
                <w:rFonts w:eastAsia="Calibri"/>
                <w:lang w:eastAsia="en-US"/>
              </w:rPr>
            </w:pPr>
          </w:p>
        </w:tc>
      </w:tr>
      <w:tr w:rsidR="009E5C5E" w:rsidRPr="00CE47DE" w14:paraId="0FE0FAD3" w14:textId="77777777" w:rsidTr="00BF1153">
        <w:tc>
          <w:tcPr>
            <w:tcW w:w="1809" w:type="dxa"/>
            <w:tcBorders>
              <w:left w:val="nil"/>
              <w:bottom w:val="nil"/>
              <w:right w:val="nil"/>
            </w:tcBorders>
            <w:shd w:val="clear" w:color="auto" w:fill="auto"/>
          </w:tcPr>
          <w:p w14:paraId="41F59517" w14:textId="77777777" w:rsidR="009E5C5E" w:rsidRPr="00CE47DE" w:rsidRDefault="009E5C5E" w:rsidP="009E5C5E">
            <w:pPr>
              <w:rPr>
                <w:rFonts w:eastAsia="Calibri"/>
                <w:lang w:eastAsia="en-US"/>
              </w:rPr>
            </w:pPr>
            <w:r w:rsidRPr="00CE47DE">
              <w:rPr>
                <w:rFonts w:eastAsia="Calibri"/>
                <w:lang w:eastAsia="en-US"/>
              </w:rPr>
              <w:t>Functional</w:t>
            </w:r>
          </w:p>
        </w:tc>
        <w:tc>
          <w:tcPr>
            <w:tcW w:w="1328" w:type="dxa"/>
            <w:tcBorders>
              <w:left w:val="nil"/>
              <w:bottom w:val="nil"/>
              <w:right w:val="nil"/>
            </w:tcBorders>
            <w:shd w:val="clear" w:color="auto" w:fill="auto"/>
          </w:tcPr>
          <w:p w14:paraId="05657BF6" w14:textId="77777777" w:rsidR="009E5C5E" w:rsidRPr="00CE47DE" w:rsidRDefault="009E5C5E" w:rsidP="009E5C5E">
            <w:pPr>
              <w:rPr>
                <w:rFonts w:eastAsia="Calibri"/>
                <w:lang w:eastAsia="en-US"/>
              </w:rPr>
            </w:pPr>
            <w:r w:rsidRPr="00CE47DE">
              <w:rPr>
                <w:rFonts w:eastAsia="Calibri"/>
                <w:lang w:eastAsia="en-US"/>
              </w:rPr>
              <w:t>Intervention</w:t>
            </w:r>
          </w:p>
        </w:tc>
        <w:tc>
          <w:tcPr>
            <w:tcW w:w="1276" w:type="dxa"/>
            <w:tcBorders>
              <w:left w:val="nil"/>
              <w:bottom w:val="nil"/>
              <w:right w:val="nil"/>
            </w:tcBorders>
            <w:shd w:val="clear" w:color="auto" w:fill="auto"/>
          </w:tcPr>
          <w:p w14:paraId="2151465D" w14:textId="77777777" w:rsidR="009E5C5E" w:rsidRPr="00CE47DE" w:rsidRDefault="009E5C5E" w:rsidP="009E5C5E">
            <w:pPr>
              <w:jc w:val="center"/>
              <w:rPr>
                <w:rFonts w:eastAsia="Calibri"/>
                <w:lang w:eastAsia="en-US"/>
              </w:rPr>
            </w:pPr>
            <w:r w:rsidRPr="00CE47DE">
              <w:rPr>
                <w:rFonts w:eastAsia="Calibri"/>
                <w:lang w:eastAsia="en-US"/>
              </w:rPr>
              <w:t>3.3 (1.2)</w:t>
            </w:r>
          </w:p>
        </w:tc>
        <w:tc>
          <w:tcPr>
            <w:tcW w:w="567" w:type="dxa"/>
            <w:tcBorders>
              <w:left w:val="nil"/>
              <w:bottom w:val="nil"/>
              <w:right w:val="nil"/>
            </w:tcBorders>
            <w:shd w:val="clear" w:color="auto" w:fill="auto"/>
          </w:tcPr>
          <w:p w14:paraId="460527E4"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left w:val="nil"/>
              <w:bottom w:val="nil"/>
              <w:right w:val="nil"/>
            </w:tcBorders>
            <w:shd w:val="clear" w:color="auto" w:fill="auto"/>
          </w:tcPr>
          <w:p w14:paraId="4ED821F4" w14:textId="77777777" w:rsidR="009E5C5E" w:rsidRPr="00CE47DE" w:rsidRDefault="009E5C5E" w:rsidP="009E5C5E">
            <w:pPr>
              <w:jc w:val="center"/>
              <w:rPr>
                <w:rFonts w:eastAsia="Calibri"/>
                <w:lang w:eastAsia="en-US"/>
              </w:rPr>
            </w:pPr>
            <w:r w:rsidRPr="00CE47DE">
              <w:rPr>
                <w:rFonts w:eastAsia="Calibri"/>
                <w:lang w:eastAsia="en-US"/>
              </w:rPr>
              <w:t>5.2 (0.9)</w:t>
            </w:r>
          </w:p>
        </w:tc>
        <w:tc>
          <w:tcPr>
            <w:tcW w:w="567" w:type="dxa"/>
            <w:tcBorders>
              <w:left w:val="nil"/>
              <w:bottom w:val="nil"/>
              <w:right w:val="nil"/>
            </w:tcBorders>
            <w:shd w:val="clear" w:color="auto" w:fill="auto"/>
          </w:tcPr>
          <w:p w14:paraId="549B7C75"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left w:val="nil"/>
              <w:bottom w:val="nil"/>
              <w:right w:val="nil"/>
            </w:tcBorders>
            <w:shd w:val="clear" w:color="auto" w:fill="auto"/>
          </w:tcPr>
          <w:p w14:paraId="6C028724" w14:textId="77777777" w:rsidR="009E5C5E" w:rsidRPr="00CE47DE" w:rsidRDefault="009E5C5E" w:rsidP="009E5C5E">
            <w:pPr>
              <w:jc w:val="center"/>
              <w:rPr>
                <w:rFonts w:eastAsia="Calibri"/>
                <w:lang w:eastAsia="en-US"/>
              </w:rPr>
            </w:pPr>
            <w:r w:rsidRPr="00CE47DE">
              <w:rPr>
                <w:rFonts w:eastAsia="Calibri"/>
                <w:lang w:eastAsia="en-US"/>
              </w:rPr>
              <w:t>5.0 (1.2)</w:t>
            </w:r>
          </w:p>
        </w:tc>
        <w:tc>
          <w:tcPr>
            <w:tcW w:w="567" w:type="dxa"/>
            <w:tcBorders>
              <w:left w:val="nil"/>
              <w:bottom w:val="nil"/>
              <w:right w:val="nil"/>
            </w:tcBorders>
            <w:shd w:val="clear" w:color="auto" w:fill="auto"/>
          </w:tcPr>
          <w:p w14:paraId="38076CD6" w14:textId="77777777" w:rsidR="009E5C5E" w:rsidRPr="00CE47DE" w:rsidRDefault="009E5C5E" w:rsidP="009E5C5E">
            <w:pPr>
              <w:jc w:val="center"/>
              <w:rPr>
                <w:rFonts w:eastAsia="Calibri"/>
                <w:lang w:eastAsia="en-US"/>
              </w:rPr>
            </w:pPr>
            <w:r w:rsidRPr="00CE47DE">
              <w:rPr>
                <w:rFonts w:eastAsia="Calibri"/>
                <w:lang w:eastAsia="en-US"/>
              </w:rPr>
              <w:t>49</w:t>
            </w:r>
          </w:p>
        </w:tc>
        <w:tc>
          <w:tcPr>
            <w:tcW w:w="1418" w:type="dxa"/>
            <w:tcBorders>
              <w:left w:val="nil"/>
              <w:bottom w:val="nil"/>
              <w:right w:val="nil"/>
            </w:tcBorders>
            <w:shd w:val="clear" w:color="auto" w:fill="auto"/>
          </w:tcPr>
          <w:p w14:paraId="0FE711DB" w14:textId="77777777" w:rsidR="009E5C5E" w:rsidRPr="00CE47DE" w:rsidRDefault="009E5C5E" w:rsidP="009E5C5E">
            <w:pPr>
              <w:jc w:val="center"/>
              <w:rPr>
                <w:rFonts w:eastAsia="Calibri"/>
                <w:lang w:eastAsia="en-US"/>
              </w:rPr>
            </w:pPr>
            <w:r w:rsidRPr="00CE47DE">
              <w:rPr>
                <w:rFonts w:eastAsia="Calibri"/>
                <w:lang w:eastAsia="en-US"/>
              </w:rPr>
              <w:t>5.0 (1.1)</w:t>
            </w:r>
          </w:p>
        </w:tc>
        <w:tc>
          <w:tcPr>
            <w:tcW w:w="567" w:type="dxa"/>
            <w:tcBorders>
              <w:left w:val="nil"/>
              <w:bottom w:val="nil"/>
              <w:right w:val="nil"/>
            </w:tcBorders>
            <w:shd w:val="clear" w:color="auto" w:fill="auto"/>
          </w:tcPr>
          <w:p w14:paraId="2EA4B64E" w14:textId="77777777" w:rsidR="009E5C5E" w:rsidRPr="00CE47DE" w:rsidRDefault="009E5C5E" w:rsidP="009E5C5E">
            <w:pPr>
              <w:jc w:val="center"/>
              <w:rPr>
                <w:rFonts w:eastAsia="Calibri"/>
                <w:lang w:eastAsia="en-US"/>
              </w:rPr>
            </w:pPr>
            <w:r w:rsidRPr="00CE47DE">
              <w:rPr>
                <w:rFonts w:eastAsia="Calibri"/>
                <w:lang w:eastAsia="en-US"/>
              </w:rPr>
              <w:t>45</w:t>
            </w:r>
          </w:p>
        </w:tc>
        <w:tc>
          <w:tcPr>
            <w:tcW w:w="1276" w:type="dxa"/>
            <w:tcBorders>
              <w:left w:val="nil"/>
              <w:bottom w:val="nil"/>
              <w:right w:val="nil"/>
            </w:tcBorders>
            <w:shd w:val="clear" w:color="auto" w:fill="auto"/>
          </w:tcPr>
          <w:p w14:paraId="7FF2AD91" w14:textId="77777777" w:rsidR="009E5C5E" w:rsidRPr="00CE47DE" w:rsidRDefault="009E5C5E" w:rsidP="009E5C5E">
            <w:pPr>
              <w:jc w:val="center"/>
              <w:rPr>
                <w:rFonts w:eastAsia="Calibri"/>
                <w:lang w:eastAsia="en-US"/>
              </w:rPr>
            </w:pPr>
            <w:r w:rsidRPr="00CE47DE">
              <w:rPr>
                <w:rFonts w:eastAsia="Calibri"/>
                <w:lang w:eastAsia="en-US"/>
              </w:rPr>
              <w:t>5.1 (1.1)</w:t>
            </w:r>
          </w:p>
        </w:tc>
        <w:tc>
          <w:tcPr>
            <w:tcW w:w="567" w:type="dxa"/>
            <w:tcBorders>
              <w:left w:val="nil"/>
              <w:bottom w:val="nil"/>
              <w:right w:val="nil"/>
            </w:tcBorders>
            <w:shd w:val="clear" w:color="auto" w:fill="auto"/>
          </w:tcPr>
          <w:p w14:paraId="1BF98EB6" w14:textId="77777777" w:rsidR="009E5C5E" w:rsidRPr="00CE47DE" w:rsidRDefault="009E5C5E" w:rsidP="009E5C5E">
            <w:pPr>
              <w:jc w:val="center"/>
              <w:rPr>
                <w:rFonts w:eastAsia="Calibri"/>
                <w:lang w:eastAsia="en-US"/>
              </w:rPr>
            </w:pPr>
            <w:r w:rsidRPr="00CE47DE">
              <w:rPr>
                <w:rFonts w:eastAsia="Calibri"/>
                <w:lang w:eastAsia="en-US"/>
              </w:rPr>
              <w:t>44</w:t>
            </w:r>
          </w:p>
        </w:tc>
        <w:tc>
          <w:tcPr>
            <w:tcW w:w="1235" w:type="dxa"/>
            <w:tcBorders>
              <w:left w:val="nil"/>
              <w:bottom w:val="nil"/>
              <w:right w:val="nil"/>
            </w:tcBorders>
            <w:shd w:val="clear" w:color="auto" w:fill="auto"/>
          </w:tcPr>
          <w:p w14:paraId="4FE4997C" w14:textId="77777777" w:rsidR="009E5C5E" w:rsidRPr="00CE47DE" w:rsidRDefault="009E5C5E" w:rsidP="009E5C5E">
            <w:pPr>
              <w:jc w:val="center"/>
              <w:rPr>
                <w:rFonts w:eastAsia="Calibri"/>
                <w:lang w:eastAsia="en-US"/>
              </w:rPr>
            </w:pPr>
            <w:r w:rsidRPr="00CE47DE">
              <w:rPr>
                <w:rFonts w:eastAsia="Calibri"/>
                <w:lang w:eastAsia="en-US"/>
              </w:rPr>
              <w:t>&lt;.0001</w:t>
            </w:r>
          </w:p>
        </w:tc>
      </w:tr>
      <w:tr w:rsidR="009E5C5E" w:rsidRPr="00CE47DE" w14:paraId="07DDFC01" w14:textId="77777777" w:rsidTr="00BF1153">
        <w:tc>
          <w:tcPr>
            <w:tcW w:w="1809" w:type="dxa"/>
            <w:tcBorders>
              <w:top w:val="nil"/>
              <w:left w:val="nil"/>
              <w:bottom w:val="nil"/>
              <w:right w:val="nil"/>
            </w:tcBorders>
            <w:shd w:val="clear" w:color="auto" w:fill="auto"/>
          </w:tcPr>
          <w:p w14:paraId="45031CC9" w14:textId="6CAA5834" w:rsidR="009E5C5E" w:rsidRPr="00CE47DE" w:rsidRDefault="009E5C5E" w:rsidP="00B2471F">
            <w:pPr>
              <w:rPr>
                <w:rFonts w:eastAsia="Calibri"/>
                <w:lang w:eastAsia="en-US"/>
              </w:rPr>
            </w:pPr>
            <w:r w:rsidRPr="00CE47DE">
              <w:rPr>
                <w:rFonts w:eastAsia="Calibri"/>
                <w:lang w:eastAsia="en-US"/>
              </w:rPr>
              <w:t>(</w:t>
            </w:r>
            <w:r w:rsidR="00B2471F" w:rsidRPr="00CE47DE">
              <w:rPr>
                <w:rFonts w:eastAsia="Calibri"/>
                <w:lang w:eastAsia="en-US"/>
              </w:rPr>
              <w:t>0–6</w:t>
            </w:r>
            <w:r w:rsidRPr="00CE47DE">
              <w:rPr>
                <w:rFonts w:eastAsia="Calibri"/>
                <w:lang w:eastAsia="en-US"/>
              </w:rPr>
              <w:t>)</w:t>
            </w:r>
          </w:p>
        </w:tc>
        <w:tc>
          <w:tcPr>
            <w:tcW w:w="1328" w:type="dxa"/>
            <w:tcBorders>
              <w:top w:val="nil"/>
              <w:left w:val="nil"/>
              <w:bottom w:val="nil"/>
              <w:right w:val="nil"/>
            </w:tcBorders>
            <w:shd w:val="clear" w:color="auto" w:fill="auto"/>
          </w:tcPr>
          <w:p w14:paraId="23742456" w14:textId="77777777" w:rsidR="009E5C5E" w:rsidRPr="00CE47DE" w:rsidRDefault="009E5C5E" w:rsidP="009E5C5E">
            <w:pPr>
              <w:rPr>
                <w:rFonts w:eastAsia="Calibri"/>
                <w:lang w:eastAsia="en-US"/>
              </w:rPr>
            </w:pPr>
            <w:r w:rsidRPr="00CE47DE">
              <w:rPr>
                <w:rFonts w:eastAsia="Calibri"/>
                <w:lang w:eastAsia="en-US"/>
              </w:rPr>
              <w:t>Control</w:t>
            </w:r>
          </w:p>
        </w:tc>
        <w:tc>
          <w:tcPr>
            <w:tcW w:w="1276" w:type="dxa"/>
            <w:tcBorders>
              <w:top w:val="nil"/>
              <w:left w:val="nil"/>
              <w:bottom w:val="nil"/>
              <w:right w:val="nil"/>
            </w:tcBorders>
            <w:shd w:val="clear" w:color="auto" w:fill="auto"/>
          </w:tcPr>
          <w:p w14:paraId="39A2BE80" w14:textId="77777777" w:rsidR="009E5C5E" w:rsidRPr="00CE47DE" w:rsidRDefault="009E5C5E" w:rsidP="009E5C5E">
            <w:pPr>
              <w:jc w:val="center"/>
              <w:rPr>
                <w:rFonts w:eastAsia="Calibri"/>
                <w:lang w:eastAsia="en-US"/>
              </w:rPr>
            </w:pPr>
            <w:r w:rsidRPr="00CE47DE">
              <w:rPr>
                <w:rFonts w:eastAsia="Calibri"/>
                <w:lang w:eastAsia="en-US"/>
              </w:rPr>
              <w:t>3.0 (1.4)</w:t>
            </w:r>
          </w:p>
        </w:tc>
        <w:tc>
          <w:tcPr>
            <w:tcW w:w="567" w:type="dxa"/>
            <w:tcBorders>
              <w:top w:val="nil"/>
              <w:left w:val="nil"/>
              <w:bottom w:val="nil"/>
              <w:right w:val="nil"/>
            </w:tcBorders>
            <w:shd w:val="clear" w:color="auto" w:fill="auto"/>
          </w:tcPr>
          <w:p w14:paraId="33730460"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nil"/>
              <w:left w:val="nil"/>
              <w:bottom w:val="nil"/>
              <w:right w:val="nil"/>
            </w:tcBorders>
            <w:shd w:val="clear" w:color="auto" w:fill="auto"/>
          </w:tcPr>
          <w:p w14:paraId="5E7BA27A" w14:textId="77777777" w:rsidR="009E5C5E" w:rsidRPr="00CE47DE" w:rsidRDefault="009E5C5E" w:rsidP="009E5C5E">
            <w:pPr>
              <w:jc w:val="center"/>
              <w:rPr>
                <w:rFonts w:eastAsia="Calibri"/>
                <w:lang w:eastAsia="en-US"/>
              </w:rPr>
            </w:pPr>
            <w:r w:rsidRPr="00CE47DE">
              <w:rPr>
                <w:rFonts w:eastAsia="Calibri"/>
                <w:lang w:eastAsia="en-US"/>
              </w:rPr>
              <w:t>3.2 (1.5)</w:t>
            </w:r>
          </w:p>
        </w:tc>
        <w:tc>
          <w:tcPr>
            <w:tcW w:w="567" w:type="dxa"/>
            <w:tcBorders>
              <w:top w:val="nil"/>
              <w:left w:val="nil"/>
              <w:bottom w:val="nil"/>
              <w:right w:val="nil"/>
            </w:tcBorders>
            <w:shd w:val="clear" w:color="auto" w:fill="auto"/>
          </w:tcPr>
          <w:p w14:paraId="481506B9"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nil"/>
              <w:left w:val="nil"/>
              <w:bottom w:val="nil"/>
              <w:right w:val="nil"/>
            </w:tcBorders>
            <w:shd w:val="clear" w:color="auto" w:fill="auto"/>
          </w:tcPr>
          <w:p w14:paraId="69AFD054" w14:textId="77777777" w:rsidR="009E5C5E" w:rsidRPr="00CE47DE" w:rsidRDefault="009E5C5E" w:rsidP="009E5C5E">
            <w:pPr>
              <w:jc w:val="center"/>
              <w:rPr>
                <w:rFonts w:eastAsia="Calibri"/>
                <w:lang w:eastAsia="en-US"/>
              </w:rPr>
            </w:pPr>
            <w:r w:rsidRPr="00CE47DE">
              <w:rPr>
                <w:rFonts w:eastAsia="Calibri"/>
                <w:lang w:eastAsia="en-US"/>
              </w:rPr>
              <w:t>4.0 (1.5)</w:t>
            </w:r>
          </w:p>
        </w:tc>
        <w:tc>
          <w:tcPr>
            <w:tcW w:w="567" w:type="dxa"/>
            <w:tcBorders>
              <w:top w:val="nil"/>
              <w:left w:val="nil"/>
              <w:bottom w:val="nil"/>
              <w:right w:val="nil"/>
            </w:tcBorders>
            <w:shd w:val="clear" w:color="auto" w:fill="auto"/>
          </w:tcPr>
          <w:p w14:paraId="18D820A7" w14:textId="77777777" w:rsidR="009E5C5E" w:rsidRPr="00CE47DE" w:rsidRDefault="009E5C5E" w:rsidP="009E5C5E">
            <w:pPr>
              <w:jc w:val="center"/>
              <w:rPr>
                <w:rFonts w:eastAsia="Calibri"/>
                <w:lang w:eastAsia="en-US"/>
              </w:rPr>
            </w:pPr>
            <w:r w:rsidRPr="00CE47DE">
              <w:rPr>
                <w:rFonts w:eastAsia="Calibri"/>
                <w:lang w:eastAsia="en-US"/>
              </w:rPr>
              <w:t>46</w:t>
            </w:r>
          </w:p>
        </w:tc>
        <w:tc>
          <w:tcPr>
            <w:tcW w:w="1418" w:type="dxa"/>
            <w:tcBorders>
              <w:top w:val="nil"/>
              <w:left w:val="nil"/>
              <w:bottom w:val="nil"/>
              <w:right w:val="nil"/>
            </w:tcBorders>
            <w:shd w:val="clear" w:color="auto" w:fill="auto"/>
          </w:tcPr>
          <w:p w14:paraId="36695CFE" w14:textId="77777777" w:rsidR="009E5C5E" w:rsidRPr="00CE47DE" w:rsidRDefault="009E5C5E" w:rsidP="009E5C5E">
            <w:pPr>
              <w:jc w:val="center"/>
              <w:rPr>
                <w:rFonts w:eastAsia="Calibri"/>
                <w:lang w:eastAsia="en-US"/>
              </w:rPr>
            </w:pPr>
            <w:r w:rsidRPr="00CE47DE">
              <w:rPr>
                <w:rFonts w:eastAsia="Calibri"/>
                <w:lang w:eastAsia="en-US"/>
              </w:rPr>
              <w:t>4.2 (1.4)</w:t>
            </w:r>
          </w:p>
        </w:tc>
        <w:tc>
          <w:tcPr>
            <w:tcW w:w="567" w:type="dxa"/>
            <w:tcBorders>
              <w:top w:val="nil"/>
              <w:left w:val="nil"/>
              <w:bottom w:val="nil"/>
              <w:right w:val="nil"/>
            </w:tcBorders>
            <w:shd w:val="clear" w:color="auto" w:fill="auto"/>
          </w:tcPr>
          <w:p w14:paraId="03214A34" w14:textId="77777777" w:rsidR="009E5C5E" w:rsidRPr="00CE47DE" w:rsidRDefault="009E5C5E" w:rsidP="009E5C5E">
            <w:pPr>
              <w:jc w:val="center"/>
              <w:rPr>
                <w:rFonts w:eastAsia="Calibri"/>
                <w:lang w:eastAsia="en-US"/>
              </w:rPr>
            </w:pPr>
            <w:r w:rsidRPr="00CE47DE">
              <w:rPr>
                <w:rFonts w:eastAsia="Calibri"/>
                <w:lang w:eastAsia="en-US"/>
              </w:rPr>
              <w:t>40</w:t>
            </w:r>
          </w:p>
        </w:tc>
        <w:tc>
          <w:tcPr>
            <w:tcW w:w="1276" w:type="dxa"/>
            <w:tcBorders>
              <w:top w:val="nil"/>
              <w:left w:val="nil"/>
              <w:bottom w:val="nil"/>
              <w:right w:val="nil"/>
            </w:tcBorders>
            <w:shd w:val="clear" w:color="auto" w:fill="auto"/>
          </w:tcPr>
          <w:p w14:paraId="2F285CC5" w14:textId="77777777" w:rsidR="009E5C5E" w:rsidRPr="00CE47DE" w:rsidRDefault="009E5C5E" w:rsidP="009E5C5E">
            <w:pPr>
              <w:jc w:val="center"/>
              <w:rPr>
                <w:rFonts w:eastAsia="Calibri"/>
                <w:lang w:eastAsia="en-US"/>
              </w:rPr>
            </w:pPr>
            <w:r w:rsidRPr="00CE47DE">
              <w:rPr>
                <w:rFonts w:eastAsia="Calibri"/>
                <w:lang w:eastAsia="en-US"/>
              </w:rPr>
              <w:t>4.2 (1.4)</w:t>
            </w:r>
          </w:p>
        </w:tc>
        <w:tc>
          <w:tcPr>
            <w:tcW w:w="567" w:type="dxa"/>
            <w:tcBorders>
              <w:top w:val="nil"/>
              <w:left w:val="nil"/>
              <w:bottom w:val="nil"/>
              <w:right w:val="nil"/>
            </w:tcBorders>
            <w:shd w:val="clear" w:color="auto" w:fill="auto"/>
          </w:tcPr>
          <w:p w14:paraId="3A7BCE08" w14:textId="77777777" w:rsidR="009E5C5E" w:rsidRPr="00CE47DE" w:rsidRDefault="009E5C5E" w:rsidP="009E5C5E">
            <w:pPr>
              <w:jc w:val="center"/>
              <w:rPr>
                <w:rFonts w:eastAsia="Calibri"/>
                <w:lang w:eastAsia="en-US"/>
              </w:rPr>
            </w:pPr>
            <w:r w:rsidRPr="00CE47DE">
              <w:rPr>
                <w:rFonts w:eastAsia="Calibri"/>
                <w:lang w:eastAsia="en-US"/>
              </w:rPr>
              <w:t>37</w:t>
            </w:r>
          </w:p>
        </w:tc>
        <w:tc>
          <w:tcPr>
            <w:tcW w:w="1235" w:type="dxa"/>
            <w:tcBorders>
              <w:top w:val="nil"/>
              <w:left w:val="nil"/>
              <w:bottom w:val="nil"/>
              <w:right w:val="nil"/>
            </w:tcBorders>
            <w:shd w:val="clear" w:color="auto" w:fill="auto"/>
          </w:tcPr>
          <w:p w14:paraId="3A9BD8EE" w14:textId="77777777" w:rsidR="009E5C5E" w:rsidRPr="00CE47DE" w:rsidRDefault="009E5C5E" w:rsidP="009E5C5E">
            <w:pPr>
              <w:jc w:val="center"/>
              <w:rPr>
                <w:rFonts w:eastAsia="Calibri"/>
                <w:lang w:eastAsia="en-US"/>
              </w:rPr>
            </w:pPr>
            <w:r w:rsidRPr="00CE47DE">
              <w:rPr>
                <w:rFonts w:eastAsia="Calibri"/>
                <w:lang w:eastAsia="en-US"/>
              </w:rPr>
              <w:t>&lt;.0001</w:t>
            </w:r>
          </w:p>
        </w:tc>
      </w:tr>
      <w:tr w:rsidR="009E5C5E" w:rsidRPr="00CE47DE" w14:paraId="5EBB0A9B" w14:textId="77777777" w:rsidTr="00BF1153">
        <w:tc>
          <w:tcPr>
            <w:tcW w:w="1809" w:type="dxa"/>
            <w:tcBorders>
              <w:top w:val="nil"/>
              <w:left w:val="nil"/>
              <w:bottom w:val="nil"/>
              <w:right w:val="nil"/>
            </w:tcBorders>
            <w:shd w:val="clear" w:color="auto" w:fill="auto"/>
          </w:tcPr>
          <w:p w14:paraId="6A196829" w14:textId="77777777" w:rsidR="009E5C5E" w:rsidRPr="00CE47DE" w:rsidRDefault="009E5C5E" w:rsidP="009E5C5E">
            <w:pPr>
              <w:rPr>
                <w:rFonts w:eastAsia="Calibri"/>
                <w:lang w:eastAsia="en-US"/>
              </w:rPr>
            </w:pPr>
          </w:p>
        </w:tc>
        <w:tc>
          <w:tcPr>
            <w:tcW w:w="1328" w:type="dxa"/>
            <w:tcBorders>
              <w:top w:val="nil"/>
              <w:left w:val="nil"/>
              <w:bottom w:val="nil"/>
              <w:right w:val="nil"/>
            </w:tcBorders>
            <w:shd w:val="clear" w:color="auto" w:fill="auto"/>
          </w:tcPr>
          <w:p w14:paraId="6BBDD6C4" w14:textId="77777777" w:rsidR="009E5C5E" w:rsidRPr="00CE47DE" w:rsidRDefault="009E5C5E" w:rsidP="009E5C5E">
            <w:pPr>
              <w:rPr>
                <w:rFonts w:eastAsia="Calibri"/>
                <w:lang w:eastAsia="en-US"/>
              </w:rPr>
            </w:pPr>
            <w:proofErr w:type="spellStart"/>
            <w:r w:rsidRPr="00CE47DE">
              <w:rPr>
                <w:rFonts w:eastAsia="Calibri"/>
                <w:lang w:eastAsia="en-US"/>
              </w:rPr>
              <w:t>p</w:t>
            </w:r>
            <w:r w:rsidRPr="00CE47DE">
              <w:rPr>
                <w:rFonts w:eastAsia="Calibri"/>
                <w:vertAlign w:val="subscript"/>
                <w:lang w:eastAsia="en-US"/>
              </w:rPr>
              <w:t>group</w:t>
            </w:r>
            <w:proofErr w:type="spellEnd"/>
          </w:p>
        </w:tc>
        <w:tc>
          <w:tcPr>
            <w:tcW w:w="1276" w:type="dxa"/>
            <w:tcBorders>
              <w:top w:val="nil"/>
              <w:left w:val="nil"/>
              <w:bottom w:val="nil"/>
              <w:right w:val="nil"/>
            </w:tcBorders>
            <w:shd w:val="clear" w:color="auto" w:fill="auto"/>
          </w:tcPr>
          <w:p w14:paraId="6CE5104A" w14:textId="77777777" w:rsidR="009E5C5E" w:rsidRPr="00CE47DE" w:rsidRDefault="009E5C5E" w:rsidP="009E5C5E">
            <w:pPr>
              <w:jc w:val="center"/>
              <w:rPr>
                <w:rFonts w:eastAsia="Calibri"/>
                <w:lang w:eastAsia="en-US"/>
              </w:rPr>
            </w:pPr>
            <w:r w:rsidRPr="00CE47DE">
              <w:rPr>
                <w:rFonts w:eastAsia="Calibri"/>
                <w:lang w:eastAsia="en-US"/>
              </w:rPr>
              <w:t>0.9976</w:t>
            </w:r>
          </w:p>
        </w:tc>
        <w:tc>
          <w:tcPr>
            <w:tcW w:w="567" w:type="dxa"/>
            <w:tcBorders>
              <w:top w:val="nil"/>
              <w:left w:val="nil"/>
              <w:bottom w:val="nil"/>
              <w:right w:val="nil"/>
            </w:tcBorders>
            <w:shd w:val="clear" w:color="auto" w:fill="auto"/>
          </w:tcPr>
          <w:p w14:paraId="2AAEE716"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12E408BE"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51301B04" w14:textId="77777777" w:rsidR="009E5C5E" w:rsidRPr="00CE47DE" w:rsidRDefault="009E5C5E" w:rsidP="009E5C5E">
            <w:pPr>
              <w:jc w:val="center"/>
              <w:rPr>
                <w:rFonts w:eastAsia="Calibri"/>
                <w:lang w:eastAsia="en-US"/>
              </w:rPr>
            </w:pPr>
          </w:p>
        </w:tc>
        <w:tc>
          <w:tcPr>
            <w:tcW w:w="1275" w:type="dxa"/>
            <w:tcBorders>
              <w:top w:val="nil"/>
              <w:left w:val="nil"/>
              <w:bottom w:val="nil"/>
              <w:right w:val="nil"/>
            </w:tcBorders>
            <w:shd w:val="clear" w:color="auto" w:fill="auto"/>
          </w:tcPr>
          <w:p w14:paraId="3D8958EC" w14:textId="77777777" w:rsidR="009E5C5E" w:rsidRPr="00CE47DE" w:rsidRDefault="009E5C5E" w:rsidP="009E5C5E">
            <w:pPr>
              <w:jc w:val="center"/>
              <w:rPr>
                <w:rFonts w:eastAsia="Calibri"/>
                <w:lang w:eastAsia="en-US"/>
              </w:rPr>
            </w:pPr>
            <w:r w:rsidRPr="00CE47DE">
              <w:rPr>
                <w:rFonts w:eastAsia="Calibri"/>
                <w:lang w:eastAsia="en-US"/>
              </w:rPr>
              <w:t>0.0060</w:t>
            </w:r>
          </w:p>
        </w:tc>
        <w:tc>
          <w:tcPr>
            <w:tcW w:w="567" w:type="dxa"/>
            <w:tcBorders>
              <w:top w:val="nil"/>
              <w:left w:val="nil"/>
              <w:bottom w:val="nil"/>
              <w:right w:val="nil"/>
            </w:tcBorders>
            <w:shd w:val="clear" w:color="auto" w:fill="auto"/>
          </w:tcPr>
          <w:p w14:paraId="592521DC" w14:textId="77777777" w:rsidR="009E5C5E" w:rsidRPr="00CE47DE" w:rsidRDefault="009E5C5E" w:rsidP="009E5C5E">
            <w:pPr>
              <w:jc w:val="center"/>
              <w:rPr>
                <w:rFonts w:eastAsia="Calibri"/>
                <w:lang w:eastAsia="en-US"/>
              </w:rPr>
            </w:pPr>
          </w:p>
        </w:tc>
        <w:tc>
          <w:tcPr>
            <w:tcW w:w="1418" w:type="dxa"/>
            <w:tcBorders>
              <w:top w:val="nil"/>
              <w:left w:val="nil"/>
              <w:bottom w:val="nil"/>
              <w:right w:val="nil"/>
            </w:tcBorders>
            <w:shd w:val="clear" w:color="auto" w:fill="auto"/>
          </w:tcPr>
          <w:p w14:paraId="0090E3BF" w14:textId="77777777" w:rsidR="009E5C5E" w:rsidRPr="00CE47DE" w:rsidRDefault="009E5C5E" w:rsidP="009E5C5E">
            <w:pPr>
              <w:jc w:val="center"/>
              <w:rPr>
                <w:rFonts w:eastAsia="Calibri"/>
                <w:lang w:eastAsia="en-US"/>
              </w:rPr>
            </w:pPr>
            <w:r w:rsidRPr="00CE47DE">
              <w:rPr>
                <w:rFonts w:eastAsia="Calibri"/>
                <w:lang w:eastAsia="en-US"/>
              </w:rPr>
              <w:t>0.0380</w:t>
            </w:r>
          </w:p>
        </w:tc>
        <w:tc>
          <w:tcPr>
            <w:tcW w:w="567" w:type="dxa"/>
            <w:tcBorders>
              <w:top w:val="nil"/>
              <w:left w:val="nil"/>
              <w:bottom w:val="nil"/>
              <w:right w:val="nil"/>
            </w:tcBorders>
            <w:shd w:val="clear" w:color="auto" w:fill="auto"/>
          </w:tcPr>
          <w:p w14:paraId="517DBC4D"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5FADAC5D" w14:textId="77777777" w:rsidR="009E5C5E" w:rsidRPr="00CE47DE" w:rsidRDefault="009E5C5E" w:rsidP="009E5C5E">
            <w:pPr>
              <w:jc w:val="center"/>
              <w:rPr>
                <w:rFonts w:eastAsia="Calibri"/>
                <w:lang w:eastAsia="en-US"/>
              </w:rPr>
            </w:pPr>
            <w:r w:rsidRPr="00CE47DE">
              <w:rPr>
                <w:rFonts w:eastAsia="Calibri"/>
                <w:lang w:eastAsia="en-US"/>
              </w:rPr>
              <w:t>0.0166</w:t>
            </w:r>
          </w:p>
        </w:tc>
        <w:tc>
          <w:tcPr>
            <w:tcW w:w="567" w:type="dxa"/>
            <w:tcBorders>
              <w:top w:val="nil"/>
              <w:left w:val="nil"/>
              <w:bottom w:val="nil"/>
              <w:right w:val="nil"/>
            </w:tcBorders>
            <w:shd w:val="clear" w:color="auto" w:fill="auto"/>
          </w:tcPr>
          <w:p w14:paraId="24BA61A6" w14:textId="77777777" w:rsidR="009E5C5E" w:rsidRPr="00CE47DE" w:rsidRDefault="009E5C5E" w:rsidP="009E5C5E">
            <w:pPr>
              <w:jc w:val="center"/>
              <w:rPr>
                <w:rFonts w:eastAsia="Calibri"/>
                <w:lang w:eastAsia="en-US"/>
              </w:rPr>
            </w:pPr>
          </w:p>
        </w:tc>
        <w:tc>
          <w:tcPr>
            <w:tcW w:w="1235" w:type="dxa"/>
            <w:tcBorders>
              <w:top w:val="nil"/>
              <w:left w:val="nil"/>
              <w:bottom w:val="nil"/>
              <w:right w:val="nil"/>
            </w:tcBorders>
            <w:shd w:val="clear" w:color="auto" w:fill="auto"/>
          </w:tcPr>
          <w:p w14:paraId="1D40EC6E" w14:textId="77777777" w:rsidR="009E5C5E" w:rsidRPr="00CE47DE" w:rsidRDefault="009E5C5E" w:rsidP="009E5C5E">
            <w:pPr>
              <w:jc w:val="center"/>
              <w:rPr>
                <w:rFonts w:eastAsia="Calibri"/>
                <w:lang w:eastAsia="en-US"/>
              </w:rPr>
            </w:pPr>
          </w:p>
        </w:tc>
      </w:tr>
      <w:tr w:rsidR="009E5C5E" w:rsidRPr="00CE47DE" w14:paraId="3A958667" w14:textId="77777777" w:rsidTr="00BF1153">
        <w:tc>
          <w:tcPr>
            <w:tcW w:w="1809" w:type="dxa"/>
            <w:tcBorders>
              <w:top w:val="nil"/>
              <w:left w:val="nil"/>
              <w:bottom w:val="single" w:sz="4" w:space="0" w:color="auto"/>
              <w:right w:val="nil"/>
            </w:tcBorders>
            <w:shd w:val="clear" w:color="auto" w:fill="auto"/>
          </w:tcPr>
          <w:p w14:paraId="4892C38F" w14:textId="77777777" w:rsidR="009E5C5E" w:rsidRPr="00CE47DE" w:rsidRDefault="009E5C5E" w:rsidP="009E5C5E">
            <w:pPr>
              <w:rPr>
                <w:rFonts w:eastAsia="Calibri"/>
                <w:lang w:eastAsia="en-US"/>
              </w:rPr>
            </w:pPr>
          </w:p>
        </w:tc>
        <w:tc>
          <w:tcPr>
            <w:tcW w:w="1328" w:type="dxa"/>
            <w:tcBorders>
              <w:top w:val="nil"/>
              <w:left w:val="nil"/>
              <w:bottom w:val="single" w:sz="4" w:space="0" w:color="auto"/>
              <w:right w:val="nil"/>
            </w:tcBorders>
            <w:shd w:val="clear" w:color="auto" w:fill="auto"/>
          </w:tcPr>
          <w:p w14:paraId="41652A54" w14:textId="77777777" w:rsidR="009E5C5E" w:rsidRPr="00CE47DE" w:rsidRDefault="009E5C5E" w:rsidP="009E5C5E">
            <w:pPr>
              <w:rPr>
                <w:rFonts w:eastAsia="Calibri"/>
                <w:lang w:eastAsia="en-US"/>
              </w:rPr>
            </w:pPr>
            <w:r w:rsidRPr="00CE47DE">
              <w:rPr>
                <w:rFonts w:eastAsia="Calibri"/>
                <w:lang w:eastAsia="en-US"/>
              </w:rPr>
              <w:t>CI 95%</w:t>
            </w:r>
          </w:p>
        </w:tc>
        <w:tc>
          <w:tcPr>
            <w:tcW w:w="1276" w:type="dxa"/>
            <w:tcBorders>
              <w:top w:val="nil"/>
              <w:left w:val="nil"/>
              <w:bottom w:val="single" w:sz="4" w:space="0" w:color="auto"/>
              <w:right w:val="nil"/>
            </w:tcBorders>
            <w:shd w:val="clear" w:color="auto" w:fill="auto"/>
          </w:tcPr>
          <w:p w14:paraId="6115A923" w14:textId="77777777" w:rsidR="009E5C5E" w:rsidRPr="00CE47DE" w:rsidRDefault="009E5C5E" w:rsidP="009E5C5E">
            <w:pPr>
              <w:jc w:val="center"/>
              <w:rPr>
                <w:rFonts w:eastAsia="Calibri"/>
                <w:lang w:eastAsia="en-US"/>
              </w:rPr>
            </w:pPr>
            <w:r w:rsidRPr="00CE47DE">
              <w:rPr>
                <w:rFonts w:eastAsia="Calibri"/>
                <w:lang w:eastAsia="en-US"/>
              </w:rPr>
              <w:t>–0.6–1.0</w:t>
            </w:r>
          </w:p>
        </w:tc>
        <w:tc>
          <w:tcPr>
            <w:tcW w:w="567" w:type="dxa"/>
            <w:tcBorders>
              <w:top w:val="nil"/>
              <w:left w:val="nil"/>
              <w:bottom w:val="single" w:sz="4" w:space="0" w:color="auto"/>
              <w:right w:val="nil"/>
            </w:tcBorders>
            <w:shd w:val="clear" w:color="auto" w:fill="auto"/>
          </w:tcPr>
          <w:p w14:paraId="17068EA4"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719AE4C5" w14:textId="77777777" w:rsidR="009E5C5E" w:rsidRPr="00CE47DE" w:rsidRDefault="009E5C5E" w:rsidP="009E5C5E">
            <w:pPr>
              <w:jc w:val="center"/>
              <w:rPr>
                <w:rFonts w:eastAsia="Calibri"/>
                <w:lang w:eastAsia="en-US"/>
              </w:rPr>
            </w:pPr>
            <w:r w:rsidRPr="00CE47DE">
              <w:rPr>
                <w:rFonts w:eastAsia="Calibri"/>
                <w:lang w:eastAsia="en-US"/>
              </w:rPr>
              <w:t>1.3–2.9</w:t>
            </w:r>
          </w:p>
        </w:tc>
        <w:tc>
          <w:tcPr>
            <w:tcW w:w="567" w:type="dxa"/>
            <w:tcBorders>
              <w:top w:val="nil"/>
              <w:left w:val="nil"/>
              <w:bottom w:val="single" w:sz="4" w:space="0" w:color="auto"/>
              <w:right w:val="nil"/>
            </w:tcBorders>
            <w:shd w:val="clear" w:color="auto" w:fill="auto"/>
          </w:tcPr>
          <w:p w14:paraId="5E474670"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6F660DAD" w14:textId="77777777" w:rsidR="009E5C5E" w:rsidRPr="00CE47DE" w:rsidRDefault="009E5C5E" w:rsidP="009E5C5E">
            <w:pPr>
              <w:jc w:val="center"/>
              <w:rPr>
                <w:rFonts w:eastAsia="Calibri"/>
                <w:lang w:eastAsia="en-US"/>
              </w:rPr>
            </w:pPr>
            <w:r w:rsidRPr="00CE47DE">
              <w:rPr>
                <w:rFonts w:eastAsia="Calibri"/>
                <w:lang w:eastAsia="en-US"/>
              </w:rPr>
              <w:t>0.2–1.8</w:t>
            </w:r>
          </w:p>
        </w:tc>
        <w:tc>
          <w:tcPr>
            <w:tcW w:w="567" w:type="dxa"/>
            <w:tcBorders>
              <w:top w:val="nil"/>
              <w:left w:val="nil"/>
              <w:bottom w:val="single" w:sz="4" w:space="0" w:color="auto"/>
              <w:right w:val="nil"/>
            </w:tcBorders>
            <w:shd w:val="clear" w:color="auto" w:fill="auto"/>
          </w:tcPr>
          <w:p w14:paraId="3927A1A1"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40707A06" w14:textId="77777777" w:rsidR="009E5C5E" w:rsidRPr="00CE47DE" w:rsidRDefault="009E5C5E" w:rsidP="009E5C5E">
            <w:pPr>
              <w:jc w:val="center"/>
              <w:rPr>
                <w:rFonts w:eastAsia="Calibri"/>
                <w:lang w:eastAsia="en-US"/>
              </w:rPr>
            </w:pPr>
            <w:r w:rsidRPr="00CE47DE">
              <w:rPr>
                <w:rFonts w:eastAsia="Calibri"/>
                <w:lang w:eastAsia="en-US"/>
              </w:rPr>
              <w:t>0.0–1.7</w:t>
            </w:r>
          </w:p>
        </w:tc>
        <w:tc>
          <w:tcPr>
            <w:tcW w:w="567" w:type="dxa"/>
            <w:tcBorders>
              <w:top w:val="nil"/>
              <w:left w:val="nil"/>
              <w:bottom w:val="single" w:sz="4" w:space="0" w:color="auto"/>
              <w:right w:val="nil"/>
            </w:tcBorders>
            <w:shd w:val="clear" w:color="auto" w:fill="auto"/>
          </w:tcPr>
          <w:p w14:paraId="36061E88"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23CE25E5" w14:textId="77777777" w:rsidR="009E5C5E" w:rsidRPr="00CE47DE" w:rsidRDefault="009E5C5E" w:rsidP="009E5C5E">
            <w:pPr>
              <w:jc w:val="center"/>
              <w:rPr>
                <w:rFonts w:eastAsia="Calibri"/>
                <w:lang w:eastAsia="en-US"/>
              </w:rPr>
            </w:pPr>
            <w:r w:rsidRPr="00CE47DE">
              <w:rPr>
                <w:rFonts w:eastAsia="Calibri"/>
                <w:lang w:eastAsia="en-US"/>
              </w:rPr>
              <w:t>0.1–1.8</w:t>
            </w:r>
          </w:p>
        </w:tc>
        <w:tc>
          <w:tcPr>
            <w:tcW w:w="567" w:type="dxa"/>
            <w:tcBorders>
              <w:top w:val="nil"/>
              <w:left w:val="nil"/>
              <w:bottom w:val="single" w:sz="4" w:space="0" w:color="auto"/>
              <w:right w:val="nil"/>
            </w:tcBorders>
            <w:shd w:val="clear" w:color="auto" w:fill="auto"/>
          </w:tcPr>
          <w:p w14:paraId="3690778B"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5F46CF8F" w14:textId="77777777" w:rsidR="009E5C5E" w:rsidRPr="00CE47DE" w:rsidRDefault="009E5C5E" w:rsidP="009E5C5E">
            <w:pPr>
              <w:jc w:val="center"/>
              <w:rPr>
                <w:rFonts w:eastAsia="Calibri"/>
                <w:lang w:eastAsia="en-US"/>
              </w:rPr>
            </w:pPr>
          </w:p>
        </w:tc>
      </w:tr>
      <w:tr w:rsidR="009E5C5E" w:rsidRPr="00CE47DE" w14:paraId="0E06AF84" w14:textId="77777777" w:rsidTr="00BF1153">
        <w:tc>
          <w:tcPr>
            <w:tcW w:w="1809" w:type="dxa"/>
            <w:tcBorders>
              <w:left w:val="nil"/>
              <w:bottom w:val="nil"/>
              <w:right w:val="nil"/>
            </w:tcBorders>
            <w:shd w:val="clear" w:color="auto" w:fill="auto"/>
          </w:tcPr>
          <w:p w14:paraId="1551F503" w14:textId="77777777" w:rsidR="009E5C5E" w:rsidRPr="00CE47DE" w:rsidRDefault="009E5C5E" w:rsidP="009E5C5E">
            <w:pPr>
              <w:rPr>
                <w:rFonts w:eastAsia="Calibri"/>
                <w:lang w:eastAsia="en-US"/>
              </w:rPr>
            </w:pPr>
            <w:r w:rsidRPr="00CE47DE">
              <w:rPr>
                <w:rFonts w:eastAsia="Calibri"/>
                <w:lang w:eastAsia="en-US"/>
              </w:rPr>
              <w:t>Social</w:t>
            </w:r>
          </w:p>
        </w:tc>
        <w:tc>
          <w:tcPr>
            <w:tcW w:w="1328" w:type="dxa"/>
            <w:tcBorders>
              <w:left w:val="nil"/>
              <w:bottom w:val="nil"/>
              <w:right w:val="nil"/>
            </w:tcBorders>
            <w:shd w:val="clear" w:color="auto" w:fill="auto"/>
          </w:tcPr>
          <w:p w14:paraId="04313488" w14:textId="77777777" w:rsidR="009E5C5E" w:rsidRPr="00CE47DE" w:rsidRDefault="009E5C5E" w:rsidP="009E5C5E">
            <w:pPr>
              <w:rPr>
                <w:rFonts w:eastAsia="Calibri"/>
                <w:lang w:eastAsia="en-US"/>
              </w:rPr>
            </w:pPr>
            <w:r w:rsidRPr="00CE47DE">
              <w:rPr>
                <w:rFonts w:eastAsia="Calibri"/>
                <w:lang w:eastAsia="en-US"/>
              </w:rPr>
              <w:t>Intervention</w:t>
            </w:r>
          </w:p>
        </w:tc>
        <w:tc>
          <w:tcPr>
            <w:tcW w:w="1276" w:type="dxa"/>
            <w:tcBorders>
              <w:left w:val="nil"/>
              <w:bottom w:val="nil"/>
              <w:right w:val="nil"/>
            </w:tcBorders>
            <w:shd w:val="clear" w:color="auto" w:fill="auto"/>
          </w:tcPr>
          <w:p w14:paraId="6EB900F9" w14:textId="77777777" w:rsidR="009E5C5E" w:rsidRPr="00CE47DE" w:rsidRDefault="009E5C5E" w:rsidP="009E5C5E">
            <w:pPr>
              <w:jc w:val="center"/>
              <w:rPr>
                <w:rFonts w:eastAsia="Calibri"/>
                <w:lang w:eastAsia="en-US"/>
              </w:rPr>
            </w:pPr>
            <w:r w:rsidRPr="00CE47DE">
              <w:rPr>
                <w:rFonts w:eastAsia="Calibri"/>
                <w:lang w:eastAsia="en-US"/>
              </w:rPr>
              <w:t>1.2 (1.0)</w:t>
            </w:r>
          </w:p>
        </w:tc>
        <w:tc>
          <w:tcPr>
            <w:tcW w:w="567" w:type="dxa"/>
            <w:tcBorders>
              <w:left w:val="nil"/>
              <w:bottom w:val="nil"/>
              <w:right w:val="nil"/>
            </w:tcBorders>
            <w:shd w:val="clear" w:color="auto" w:fill="auto"/>
          </w:tcPr>
          <w:p w14:paraId="4A6739CE"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left w:val="nil"/>
              <w:bottom w:val="nil"/>
              <w:right w:val="nil"/>
            </w:tcBorders>
            <w:shd w:val="clear" w:color="auto" w:fill="auto"/>
          </w:tcPr>
          <w:p w14:paraId="75217CA8" w14:textId="77777777" w:rsidR="009E5C5E" w:rsidRPr="00CE47DE" w:rsidRDefault="009E5C5E" w:rsidP="009E5C5E">
            <w:pPr>
              <w:jc w:val="center"/>
              <w:rPr>
                <w:rFonts w:eastAsia="Calibri"/>
                <w:lang w:eastAsia="en-US"/>
              </w:rPr>
            </w:pPr>
            <w:r w:rsidRPr="00CE47DE">
              <w:rPr>
                <w:rFonts w:eastAsia="Calibri"/>
                <w:lang w:eastAsia="en-US"/>
              </w:rPr>
              <w:t>2.4 (0.8)</w:t>
            </w:r>
          </w:p>
        </w:tc>
        <w:tc>
          <w:tcPr>
            <w:tcW w:w="567" w:type="dxa"/>
            <w:tcBorders>
              <w:left w:val="nil"/>
              <w:bottom w:val="nil"/>
              <w:right w:val="nil"/>
            </w:tcBorders>
            <w:shd w:val="clear" w:color="auto" w:fill="auto"/>
          </w:tcPr>
          <w:p w14:paraId="20B83DA8"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left w:val="nil"/>
              <w:bottom w:val="nil"/>
              <w:right w:val="nil"/>
            </w:tcBorders>
            <w:shd w:val="clear" w:color="auto" w:fill="auto"/>
          </w:tcPr>
          <w:p w14:paraId="57221CFD" w14:textId="77777777" w:rsidR="009E5C5E" w:rsidRPr="00CE47DE" w:rsidRDefault="009E5C5E" w:rsidP="009E5C5E">
            <w:pPr>
              <w:jc w:val="center"/>
              <w:rPr>
                <w:rFonts w:eastAsia="Calibri"/>
                <w:lang w:eastAsia="en-US"/>
              </w:rPr>
            </w:pPr>
            <w:r w:rsidRPr="00CE47DE">
              <w:rPr>
                <w:rFonts w:eastAsia="Calibri"/>
                <w:lang w:eastAsia="en-US"/>
              </w:rPr>
              <w:t>2.6 (0.7)</w:t>
            </w:r>
          </w:p>
        </w:tc>
        <w:tc>
          <w:tcPr>
            <w:tcW w:w="567" w:type="dxa"/>
            <w:tcBorders>
              <w:left w:val="nil"/>
              <w:bottom w:val="nil"/>
              <w:right w:val="nil"/>
            </w:tcBorders>
            <w:shd w:val="clear" w:color="auto" w:fill="auto"/>
          </w:tcPr>
          <w:p w14:paraId="52BEF046" w14:textId="77777777" w:rsidR="009E5C5E" w:rsidRPr="00CE47DE" w:rsidRDefault="009E5C5E" w:rsidP="009E5C5E">
            <w:pPr>
              <w:jc w:val="center"/>
              <w:rPr>
                <w:rFonts w:eastAsia="Calibri"/>
                <w:lang w:eastAsia="en-US"/>
              </w:rPr>
            </w:pPr>
            <w:r w:rsidRPr="00CE47DE">
              <w:rPr>
                <w:rFonts w:eastAsia="Calibri"/>
                <w:lang w:eastAsia="en-US"/>
              </w:rPr>
              <w:t>49</w:t>
            </w:r>
          </w:p>
        </w:tc>
        <w:tc>
          <w:tcPr>
            <w:tcW w:w="1418" w:type="dxa"/>
            <w:tcBorders>
              <w:left w:val="nil"/>
              <w:bottom w:val="nil"/>
              <w:right w:val="nil"/>
            </w:tcBorders>
            <w:shd w:val="clear" w:color="auto" w:fill="auto"/>
          </w:tcPr>
          <w:p w14:paraId="02148985" w14:textId="77777777" w:rsidR="009E5C5E" w:rsidRPr="00CE47DE" w:rsidRDefault="009E5C5E" w:rsidP="009E5C5E">
            <w:pPr>
              <w:jc w:val="center"/>
              <w:rPr>
                <w:rFonts w:eastAsia="Calibri"/>
                <w:lang w:eastAsia="en-US"/>
              </w:rPr>
            </w:pPr>
            <w:r w:rsidRPr="00CE47DE">
              <w:rPr>
                <w:rFonts w:eastAsia="Calibri"/>
                <w:lang w:eastAsia="en-US"/>
              </w:rPr>
              <w:t>2.5 (0.8)</w:t>
            </w:r>
          </w:p>
        </w:tc>
        <w:tc>
          <w:tcPr>
            <w:tcW w:w="567" w:type="dxa"/>
            <w:tcBorders>
              <w:left w:val="nil"/>
              <w:bottom w:val="nil"/>
              <w:right w:val="nil"/>
            </w:tcBorders>
            <w:shd w:val="clear" w:color="auto" w:fill="auto"/>
          </w:tcPr>
          <w:p w14:paraId="68EC6FDB" w14:textId="77777777" w:rsidR="009E5C5E" w:rsidRPr="00CE47DE" w:rsidRDefault="009E5C5E" w:rsidP="009E5C5E">
            <w:pPr>
              <w:jc w:val="center"/>
              <w:rPr>
                <w:rFonts w:eastAsia="Calibri"/>
                <w:lang w:eastAsia="en-US"/>
              </w:rPr>
            </w:pPr>
            <w:r w:rsidRPr="00CE47DE">
              <w:rPr>
                <w:rFonts w:eastAsia="Calibri"/>
                <w:lang w:eastAsia="en-US"/>
              </w:rPr>
              <w:t>45</w:t>
            </w:r>
          </w:p>
        </w:tc>
        <w:tc>
          <w:tcPr>
            <w:tcW w:w="1276" w:type="dxa"/>
            <w:tcBorders>
              <w:left w:val="nil"/>
              <w:bottom w:val="nil"/>
              <w:right w:val="nil"/>
            </w:tcBorders>
            <w:shd w:val="clear" w:color="auto" w:fill="auto"/>
          </w:tcPr>
          <w:p w14:paraId="518C1BC5" w14:textId="77777777" w:rsidR="009E5C5E" w:rsidRPr="00CE47DE" w:rsidRDefault="009E5C5E" w:rsidP="009E5C5E">
            <w:pPr>
              <w:jc w:val="center"/>
              <w:rPr>
                <w:rFonts w:eastAsia="Calibri"/>
                <w:lang w:eastAsia="en-US"/>
              </w:rPr>
            </w:pPr>
            <w:r w:rsidRPr="00CE47DE">
              <w:rPr>
                <w:rFonts w:eastAsia="Calibri"/>
                <w:lang w:eastAsia="en-US"/>
              </w:rPr>
              <w:t>2.2 (0.9)</w:t>
            </w:r>
          </w:p>
        </w:tc>
        <w:tc>
          <w:tcPr>
            <w:tcW w:w="567" w:type="dxa"/>
            <w:tcBorders>
              <w:left w:val="nil"/>
              <w:bottom w:val="nil"/>
              <w:right w:val="nil"/>
            </w:tcBorders>
            <w:shd w:val="clear" w:color="auto" w:fill="auto"/>
          </w:tcPr>
          <w:p w14:paraId="0712450A" w14:textId="77777777" w:rsidR="009E5C5E" w:rsidRPr="00CE47DE" w:rsidRDefault="009E5C5E" w:rsidP="009E5C5E">
            <w:pPr>
              <w:jc w:val="center"/>
              <w:rPr>
                <w:rFonts w:eastAsia="Calibri"/>
                <w:lang w:eastAsia="en-US"/>
              </w:rPr>
            </w:pPr>
            <w:r w:rsidRPr="00CE47DE">
              <w:rPr>
                <w:rFonts w:eastAsia="Calibri"/>
                <w:lang w:eastAsia="en-US"/>
              </w:rPr>
              <w:t>44</w:t>
            </w:r>
          </w:p>
        </w:tc>
        <w:tc>
          <w:tcPr>
            <w:tcW w:w="1235" w:type="dxa"/>
            <w:tcBorders>
              <w:left w:val="nil"/>
              <w:bottom w:val="nil"/>
              <w:right w:val="nil"/>
            </w:tcBorders>
            <w:shd w:val="clear" w:color="auto" w:fill="auto"/>
          </w:tcPr>
          <w:p w14:paraId="62EF3665" w14:textId="77777777" w:rsidR="009E5C5E" w:rsidRPr="00CE47DE" w:rsidRDefault="009E5C5E" w:rsidP="009E5C5E">
            <w:pPr>
              <w:jc w:val="center"/>
              <w:rPr>
                <w:rFonts w:eastAsia="Calibri"/>
                <w:lang w:eastAsia="en-US"/>
              </w:rPr>
            </w:pPr>
            <w:r w:rsidRPr="00CE47DE">
              <w:rPr>
                <w:rFonts w:eastAsia="Calibri"/>
                <w:lang w:eastAsia="en-US"/>
              </w:rPr>
              <w:t>&lt;.0001</w:t>
            </w:r>
          </w:p>
        </w:tc>
      </w:tr>
      <w:tr w:rsidR="009E5C5E" w:rsidRPr="00CE47DE" w14:paraId="0B02D84A" w14:textId="77777777" w:rsidTr="00BF1153">
        <w:tc>
          <w:tcPr>
            <w:tcW w:w="1809" w:type="dxa"/>
            <w:tcBorders>
              <w:top w:val="nil"/>
              <w:left w:val="nil"/>
              <w:bottom w:val="nil"/>
              <w:right w:val="nil"/>
            </w:tcBorders>
            <w:shd w:val="clear" w:color="auto" w:fill="auto"/>
          </w:tcPr>
          <w:p w14:paraId="318800DE" w14:textId="27420D41" w:rsidR="009E5C5E" w:rsidRPr="00CE47DE" w:rsidRDefault="009E5C5E" w:rsidP="00B2471F">
            <w:pPr>
              <w:rPr>
                <w:rFonts w:eastAsia="Calibri"/>
                <w:lang w:eastAsia="en-US"/>
              </w:rPr>
            </w:pPr>
            <w:r w:rsidRPr="00CE47DE">
              <w:rPr>
                <w:rFonts w:eastAsia="Calibri"/>
                <w:lang w:eastAsia="en-US"/>
              </w:rPr>
              <w:t>(</w:t>
            </w:r>
            <w:r w:rsidR="00B2471F" w:rsidRPr="00CE47DE">
              <w:rPr>
                <w:rFonts w:eastAsia="Calibri"/>
                <w:lang w:eastAsia="en-US"/>
              </w:rPr>
              <w:t>0–</w:t>
            </w:r>
            <w:r w:rsidRPr="00CE47DE">
              <w:rPr>
                <w:rFonts w:eastAsia="Calibri"/>
                <w:lang w:eastAsia="en-US"/>
              </w:rPr>
              <w:t>3)</w:t>
            </w:r>
          </w:p>
        </w:tc>
        <w:tc>
          <w:tcPr>
            <w:tcW w:w="1328" w:type="dxa"/>
            <w:tcBorders>
              <w:top w:val="nil"/>
              <w:left w:val="nil"/>
              <w:bottom w:val="nil"/>
              <w:right w:val="nil"/>
            </w:tcBorders>
            <w:shd w:val="clear" w:color="auto" w:fill="auto"/>
          </w:tcPr>
          <w:p w14:paraId="49961B0A" w14:textId="77777777" w:rsidR="009E5C5E" w:rsidRPr="00CE47DE" w:rsidRDefault="009E5C5E" w:rsidP="009E5C5E">
            <w:pPr>
              <w:rPr>
                <w:rFonts w:eastAsia="Calibri"/>
                <w:lang w:eastAsia="en-US"/>
              </w:rPr>
            </w:pPr>
            <w:r w:rsidRPr="00CE47DE">
              <w:rPr>
                <w:rFonts w:eastAsia="Calibri"/>
                <w:lang w:eastAsia="en-US"/>
              </w:rPr>
              <w:t>Control</w:t>
            </w:r>
          </w:p>
        </w:tc>
        <w:tc>
          <w:tcPr>
            <w:tcW w:w="1276" w:type="dxa"/>
            <w:tcBorders>
              <w:top w:val="nil"/>
              <w:left w:val="nil"/>
              <w:bottom w:val="nil"/>
              <w:right w:val="nil"/>
            </w:tcBorders>
            <w:shd w:val="clear" w:color="auto" w:fill="auto"/>
          </w:tcPr>
          <w:p w14:paraId="1E983909" w14:textId="77777777" w:rsidR="009E5C5E" w:rsidRPr="00CE47DE" w:rsidRDefault="009E5C5E" w:rsidP="009E5C5E">
            <w:pPr>
              <w:jc w:val="center"/>
              <w:rPr>
                <w:rFonts w:eastAsia="Calibri"/>
                <w:lang w:eastAsia="en-US"/>
              </w:rPr>
            </w:pPr>
            <w:r w:rsidRPr="00CE47DE">
              <w:rPr>
                <w:rFonts w:eastAsia="Calibri"/>
                <w:lang w:eastAsia="en-US"/>
              </w:rPr>
              <w:t>1.3 (0.7)</w:t>
            </w:r>
          </w:p>
        </w:tc>
        <w:tc>
          <w:tcPr>
            <w:tcW w:w="567" w:type="dxa"/>
            <w:tcBorders>
              <w:top w:val="nil"/>
              <w:left w:val="nil"/>
              <w:bottom w:val="nil"/>
              <w:right w:val="nil"/>
            </w:tcBorders>
            <w:shd w:val="clear" w:color="auto" w:fill="auto"/>
          </w:tcPr>
          <w:p w14:paraId="50D0BF0C"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nil"/>
              <w:left w:val="nil"/>
              <w:bottom w:val="nil"/>
              <w:right w:val="nil"/>
            </w:tcBorders>
            <w:shd w:val="clear" w:color="auto" w:fill="auto"/>
          </w:tcPr>
          <w:p w14:paraId="733E12B6" w14:textId="77777777" w:rsidR="009E5C5E" w:rsidRPr="00CE47DE" w:rsidRDefault="009E5C5E" w:rsidP="009E5C5E">
            <w:pPr>
              <w:jc w:val="center"/>
              <w:rPr>
                <w:rFonts w:eastAsia="Calibri"/>
                <w:lang w:eastAsia="en-US"/>
              </w:rPr>
            </w:pPr>
            <w:r w:rsidRPr="00CE47DE">
              <w:rPr>
                <w:rFonts w:eastAsia="Calibri"/>
                <w:lang w:eastAsia="en-US"/>
              </w:rPr>
              <w:t>1.1 (1.0)</w:t>
            </w:r>
          </w:p>
        </w:tc>
        <w:tc>
          <w:tcPr>
            <w:tcW w:w="567" w:type="dxa"/>
            <w:tcBorders>
              <w:top w:val="nil"/>
              <w:left w:val="nil"/>
              <w:bottom w:val="nil"/>
              <w:right w:val="nil"/>
            </w:tcBorders>
            <w:shd w:val="clear" w:color="auto" w:fill="auto"/>
          </w:tcPr>
          <w:p w14:paraId="2F60CAC7"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nil"/>
              <w:left w:val="nil"/>
              <w:bottom w:val="nil"/>
              <w:right w:val="nil"/>
            </w:tcBorders>
            <w:shd w:val="clear" w:color="auto" w:fill="auto"/>
          </w:tcPr>
          <w:p w14:paraId="2F4FF51B" w14:textId="77777777" w:rsidR="009E5C5E" w:rsidRPr="00CE47DE" w:rsidRDefault="009E5C5E" w:rsidP="009E5C5E">
            <w:pPr>
              <w:jc w:val="center"/>
              <w:rPr>
                <w:rFonts w:eastAsia="Calibri"/>
                <w:lang w:eastAsia="en-US"/>
              </w:rPr>
            </w:pPr>
            <w:r w:rsidRPr="00CE47DE">
              <w:rPr>
                <w:rFonts w:eastAsia="Calibri"/>
                <w:lang w:eastAsia="en-US"/>
              </w:rPr>
              <w:t>1.2 (0.8)</w:t>
            </w:r>
          </w:p>
        </w:tc>
        <w:tc>
          <w:tcPr>
            <w:tcW w:w="567" w:type="dxa"/>
            <w:tcBorders>
              <w:top w:val="nil"/>
              <w:left w:val="nil"/>
              <w:bottom w:val="nil"/>
              <w:right w:val="nil"/>
            </w:tcBorders>
            <w:shd w:val="clear" w:color="auto" w:fill="auto"/>
          </w:tcPr>
          <w:p w14:paraId="297AEB38" w14:textId="77777777" w:rsidR="009E5C5E" w:rsidRPr="00CE47DE" w:rsidRDefault="009E5C5E" w:rsidP="009E5C5E">
            <w:pPr>
              <w:jc w:val="center"/>
              <w:rPr>
                <w:rFonts w:eastAsia="Calibri"/>
                <w:lang w:eastAsia="en-US"/>
              </w:rPr>
            </w:pPr>
            <w:r w:rsidRPr="00CE47DE">
              <w:rPr>
                <w:rFonts w:eastAsia="Calibri"/>
                <w:lang w:eastAsia="en-US"/>
              </w:rPr>
              <w:t>46</w:t>
            </w:r>
          </w:p>
        </w:tc>
        <w:tc>
          <w:tcPr>
            <w:tcW w:w="1418" w:type="dxa"/>
            <w:tcBorders>
              <w:top w:val="nil"/>
              <w:left w:val="nil"/>
              <w:bottom w:val="nil"/>
              <w:right w:val="nil"/>
            </w:tcBorders>
            <w:shd w:val="clear" w:color="auto" w:fill="auto"/>
          </w:tcPr>
          <w:p w14:paraId="6B9E9816" w14:textId="77777777" w:rsidR="009E5C5E" w:rsidRPr="00CE47DE" w:rsidRDefault="009E5C5E" w:rsidP="009E5C5E">
            <w:pPr>
              <w:jc w:val="center"/>
              <w:rPr>
                <w:rFonts w:eastAsia="Calibri"/>
                <w:lang w:eastAsia="en-US"/>
              </w:rPr>
            </w:pPr>
            <w:r w:rsidRPr="00CE47DE">
              <w:rPr>
                <w:rFonts w:eastAsia="Calibri"/>
                <w:lang w:eastAsia="en-US"/>
              </w:rPr>
              <w:t>1.4 (1.0)</w:t>
            </w:r>
          </w:p>
        </w:tc>
        <w:tc>
          <w:tcPr>
            <w:tcW w:w="567" w:type="dxa"/>
            <w:tcBorders>
              <w:top w:val="nil"/>
              <w:left w:val="nil"/>
              <w:bottom w:val="nil"/>
              <w:right w:val="nil"/>
            </w:tcBorders>
            <w:shd w:val="clear" w:color="auto" w:fill="auto"/>
          </w:tcPr>
          <w:p w14:paraId="3E3D6E8A" w14:textId="77777777" w:rsidR="009E5C5E" w:rsidRPr="00CE47DE" w:rsidRDefault="009E5C5E" w:rsidP="009E5C5E">
            <w:pPr>
              <w:jc w:val="center"/>
              <w:rPr>
                <w:rFonts w:eastAsia="Calibri"/>
                <w:lang w:eastAsia="en-US"/>
              </w:rPr>
            </w:pPr>
            <w:r w:rsidRPr="00CE47DE">
              <w:rPr>
                <w:rFonts w:eastAsia="Calibri"/>
                <w:lang w:eastAsia="en-US"/>
              </w:rPr>
              <w:t>40</w:t>
            </w:r>
          </w:p>
        </w:tc>
        <w:tc>
          <w:tcPr>
            <w:tcW w:w="1276" w:type="dxa"/>
            <w:tcBorders>
              <w:top w:val="nil"/>
              <w:left w:val="nil"/>
              <w:bottom w:val="nil"/>
              <w:right w:val="nil"/>
            </w:tcBorders>
            <w:shd w:val="clear" w:color="auto" w:fill="auto"/>
          </w:tcPr>
          <w:p w14:paraId="55C6895C" w14:textId="77777777" w:rsidR="009E5C5E" w:rsidRPr="00CE47DE" w:rsidRDefault="009E5C5E" w:rsidP="009E5C5E">
            <w:pPr>
              <w:jc w:val="center"/>
              <w:rPr>
                <w:rFonts w:eastAsia="Calibri"/>
                <w:lang w:eastAsia="en-US"/>
              </w:rPr>
            </w:pPr>
            <w:r w:rsidRPr="00CE47DE">
              <w:rPr>
                <w:rFonts w:eastAsia="Calibri"/>
                <w:lang w:eastAsia="en-US"/>
              </w:rPr>
              <w:t>1.3 (0.9)</w:t>
            </w:r>
          </w:p>
        </w:tc>
        <w:tc>
          <w:tcPr>
            <w:tcW w:w="567" w:type="dxa"/>
            <w:tcBorders>
              <w:top w:val="nil"/>
              <w:left w:val="nil"/>
              <w:bottom w:val="nil"/>
              <w:right w:val="nil"/>
            </w:tcBorders>
            <w:shd w:val="clear" w:color="auto" w:fill="auto"/>
          </w:tcPr>
          <w:p w14:paraId="3C907779" w14:textId="77777777" w:rsidR="009E5C5E" w:rsidRPr="00CE47DE" w:rsidRDefault="009E5C5E" w:rsidP="009E5C5E">
            <w:pPr>
              <w:jc w:val="center"/>
              <w:rPr>
                <w:rFonts w:eastAsia="Calibri"/>
                <w:lang w:eastAsia="en-US"/>
              </w:rPr>
            </w:pPr>
            <w:r w:rsidRPr="00CE47DE">
              <w:rPr>
                <w:rFonts w:eastAsia="Calibri"/>
                <w:lang w:eastAsia="en-US"/>
              </w:rPr>
              <w:t>37</w:t>
            </w:r>
          </w:p>
        </w:tc>
        <w:tc>
          <w:tcPr>
            <w:tcW w:w="1235" w:type="dxa"/>
            <w:tcBorders>
              <w:top w:val="nil"/>
              <w:left w:val="nil"/>
              <w:bottom w:val="nil"/>
              <w:right w:val="nil"/>
            </w:tcBorders>
            <w:shd w:val="clear" w:color="auto" w:fill="auto"/>
          </w:tcPr>
          <w:p w14:paraId="0D4429C3" w14:textId="77777777" w:rsidR="009E5C5E" w:rsidRPr="00CE47DE" w:rsidRDefault="009E5C5E" w:rsidP="009E5C5E">
            <w:pPr>
              <w:jc w:val="center"/>
              <w:rPr>
                <w:rFonts w:eastAsia="Calibri"/>
                <w:lang w:eastAsia="en-US"/>
              </w:rPr>
            </w:pPr>
            <w:r w:rsidRPr="00CE47DE">
              <w:rPr>
                <w:rFonts w:eastAsia="Calibri"/>
                <w:lang w:eastAsia="en-US"/>
              </w:rPr>
              <w:t>0.2082</w:t>
            </w:r>
          </w:p>
        </w:tc>
      </w:tr>
      <w:tr w:rsidR="009E5C5E" w:rsidRPr="00CE47DE" w14:paraId="4AAE9CA8" w14:textId="77777777" w:rsidTr="00BF1153">
        <w:tc>
          <w:tcPr>
            <w:tcW w:w="1809" w:type="dxa"/>
            <w:tcBorders>
              <w:top w:val="nil"/>
              <w:left w:val="nil"/>
              <w:bottom w:val="nil"/>
              <w:right w:val="nil"/>
            </w:tcBorders>
            <w:shd w:val="clear" w:color="auto" w:fill="auto"/>
          </w:tcPr>
          <w:p w14:paraId="07303613" w14:textId="77777777" w:rsidR="009E5C5E" w:rsidRPr="00CE47DE" w:rsidRDefault="009E5C5E" w:rsidP="009E5C5E">
            <w:pPr>
              <w:rPr>
                <w:rFonts w:eastAsia="Calibri"/>
                <w:lang w:eastAsia="en-US"/>
              </w:rPr>
            </w:pPr>
          </w:p>
        </w:tc>
        <w:tc>
          <w:tcPr>
            <w:tcW w:w="1328" w:type="dxa"/>
            <w:tcBorders>
              <w:top w:val="nil"/>
              <w:left w:val="nil"/>
              <w:bottom w:val="nil"/>
              <w:right w:val="nil"/>
            </w:tcBorders>
            <w:shd w:val="clear" w:color="auto" w:fill="auto"/>
          </w:tcPr>
          <w:p w14:paraId="5F972A4D" w14:textId="77777777" w:rsidR="009E5C5E" w:rsidRPr="00CE47DE" w:rsidRDefault="009E5C5E" w:rsidP="009E5C5E">
            <w:pPr>
              <w:rPr>
                <w:rFonts w:eastAsia="Calibri"/>
                <w:lang w:eastAsia="en-US"/>
              </w:rPr>
            </w:pPr>
            <w:proofErr w:type="spellStart"/>
            <w:r w:rsidRPr="00CE47DE">
              <w:rPr>
                <w:rFonts w:eastAsia="Calibri"/>
                <w:lang w:eastAsia="en-US"/>
              </w:rPr>
              <w:t>p</w:t>
            </w:r>
            <w:r w:rsidRPr="00CE47DE">
              <w:rPr>
                <w:rFonts w:eastAsia="Calibri"/>
                <w:vertAlign w:val="subscript"/>
                <w:lang w:eastAsia="en-US"/>
              </w:rPr>
              <w:t>group</w:t>
            </w:r>
            <w:proofErr w:type="spellEnd"/>
          </w:p>
        </w:tc>
        <w:tc>
          <w:tcPr>
            <w:tcW w:w="1276" w:type="dxa"/>
            <w:tcBorders>
              <w:top w:val="nil"/>
              <w:left w:val="nil"/>
              <w:bottom w:val="nil"/>
              <w:right w:val="nil"/>
            </w:tcBorders>
            <w:shd w:val="clear" w:color="auto" w:fill="auto"/>
          </w:tcPr>
          <w:p w14:paraId="453EBD0A" w14:textId="77777777" w:rsidR="009E5C5E" w:rsidRPr="00CE47DE" w:rsidRDefault="009E5C5E" w:rsidP="009E5C5E">
            <w:pPr>
              <w:jc w:val="center"/>
              <w:rPr>
                <w:rFonts w:eastAsia="Calibri"/>
                <w:lang w:eastAsia="en-US"/>
              </w:rPr>
            </w:pPr>
            <w:r w:rsidRPr="00CE47DE">
              <w:rPr>
                <w:rFonts w:eastAsia="Calibri"/>
                <w:lang w:eastAsia="en-US"/>
              </w:rPr>
              <w:t>1.0</w:t>
            </w:r>
          </w:p>
        </w:tc>
        <w:tc>
          <w:tcPr>
            <w:tcW w:w="567" w:type="dxa"/>
            <w:tcBorders>
              <w:top w:val="nil"/>
              <w:left w:val="nil"/>
              <w:bottom w:val="nil"/>
              <w:right w:val="nil"/>
            </w:tcBorders>
            <w:shd w:val="clear" w:color="auto" w:fill="auto"/>
          </w:tcPr>
          <w:p w14:paraId="12E70625"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43E3874B"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0ACA1786" w14:textId="77777777" w:rsidR="009E5C5E" w:rsidRPr="00CE47DE" w:rsidRDefault="009E5C5E" w:rsidP="009E5C5E">
            <w:pPr>
              <w:jc w:val="center"/>
              <w:rPr>
                <w:rFonts w:eastAsia="Calibri"/>
                <w:lang w:eastAsia="en-US"/>
              </w:rPr>
            </w:pPr>
          </w:p>
        </w:tc>
        <w:tc>
          <w:tcPr>
            <w:tcW w:w="1275" w:type="dxa"/>
            <w:tcBorders>
              <w:top w:val="nil"/>
              <w:left w:val="nil"/>
              <w:bottom w:val="nil"/>
              <w:right w:val="nil"/>
            </w:tcBorders>
            <w:shd w:val="clear" w:color="auto" w:fill="auto"/>
          </w:tcPr>
          <w:p w14:paraId="05F529E7"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29553B91" w14:textId="77777777" w:rsidR="009E5C5E" w:rsidRPr="00CE47DE" w:rsidRDefault="009E5C5E" w:rsidP="009E5C5E">
            <w:pPr>
              <w:jc w:val="center"/>
              <w:rPr>
                <w:rFonts w:eastAsia="Calibri"/>
                <w:lang w:eastAsia="en-US"/>
              </w:rPr>
            </w:pPr>
          </w:p>
        </w:tc>
        <w:tc>
          <w:tcPr>
            <w:tcW w:w="1418" w:type="dxa"/>
            <w:tcBorders>
              <w:top w:val="nil"/>
              <w:left w:val="nil"/>
              <w:bottom w:val="nil"/>
              <w:right w:val="nil"/>
            </w:tcBorders>
            <w:shd w:val="clear" w:color="auto" w:fill="auto"/>
          </w:tcPr>
          <w:p w14:paraId="45DAE971"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7A3A5DA1"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2C26D191"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684266B0" w14:textId="77777777" w:rsidR="009E5C5E" w:rsidRPr="00CE47DE" w:rsidRDefault="009E5C5E" w:rsidP="009E5C5E">
            <w:pPr>
              <w:jc w:val="center"/>
              <w:rPr>
                <w:rFonts w:eastAsia="Calibri"/>
                <w:lang w:eastAsia="en-US"/>
              </w:rPr>
            </w:pPr>
          </w:p>
        </w:tc>
        <w:tc>
          <w:tcPr>
            <w:tcW w:w="1235" w:type="dxa"/>
            <w:tcBorders>
              <w:top w:val="nil"/>
              <w:left w:val="nil"/>
              <w:bottom w:val="nil"/>
              <w:right w:val="nil"/>
            </w:tcBorders>
            <w:shd w:val="clear" w:color="auto" w:fill="auto"/>
          </w:tcPr>
          <w:p w14:paraId="566A64EC" w14:textId="77777777" w:rsidR="009E5C5E" w:rsidRPr="00CE47DE" w:rsidRDefault="009E5C5E" w:rsidP="009E5C5E">
            <w:pPr>
              <w:jc w:val="center"/>
              <w:rPr>
                <w:rFonts w:eastAsia="Calibri"/>
                <w:lang w:eastAsia="en-US"/>
              </w:rPr>
            </w:pPr>
          </w:p>
        </w:tc>
      </w:tr>
      <w:tr w:rsidR="009E5C5E" w:rsidRPr="00CE47DE" w14:paraId="62A39D1A" w14:textId="77777777" w:rsidTr="00BF1153">
        <w:tc>
          <w:tcPr>
            <w:tcW w:w="1809" w:type="dxa"/>
            <w:tcBorders>
              <w:top w:val="nil"/>
              <w:left w:val="nil"/>
              <w:bottom w:val="single" w:sz="4" w:space="0" w:color="auto"/>
              <w:right w:val="nil"/>
            </w:tcBorders>
            <w:shd w:val="clear" w:color="auto" w:fill="auto"/>
          </w:tcPr>
          <w:p w14:paraId="27BCBA97" w14:textId="77777777" w:rsidR="009E5C5E" w:rsidRPr="00CE47DE" w:rsidRDefault="009E5C5E" w:rsidP="009E5C5E">
            <w:pPr>
              <w:rPr>
                <w:rFonts w:eastAsia="Calibri"/>
                <w:lang w:eastAsia="en-US"/>
              </w:rPr>
            </w:pPr>
          </w:p>
        </w:tc>
        <w:tc>
          <w:tcPr>
            <w:tcW w:w="1328" w:type="dxa"/>
            <w:tcBorders>
              <w:top w:val="nil"/>
              <w:left w:val="nil"/>
              <w:bottom w:val="single" w:sz="4" w:space="0" w:color="auto"/>
              <w:right w:val="nil"/>
            </w:tcBorders>
            <w:shd w:val="clear" w:color="auto" w:fill="auto"/>
          </w:tcPr>
          <w:p w14:paraId="0E4EF95E" w14:textId="77777777" w:rsidR="009E5C5E" w:rsidRPr="00CE47DE" w:rsidRDefault="009E5C5E" w:rsidP="009E5C5E">
            <w:pPr>
              <w:rPr>
                <w:rFonts w:eastAsia="Calibri"/>
                <w:lang w:eastAsia="en-US"/>
              </w:rPr>
            </w:pPr>
            <w:r w:rsidRPr="00CE47DE">
              <w:rPr>
                <w:rFonts w:eastAsia="Calibri"/>
                <w:lang w:eastAsia="en-US"/>
              </w:rPr>
              <w:t>CI95%</w:t>
            </w:r>
          </w:p>
        </w:tc>
        <w:tc>
          <w:tcPr>
            <w:tcW w:w="1276" w:type="dxa"/>
            <w:tcBorders>
              <w:top w:val="nil"/>
              <w:left w:val="nil"/>
              <w:bottom w:val="single" w:sz="4" w:space="0" w:color="auto"/>
              <w:right w:val="nil"/>
            </w:tcBorders>
            <w:shd w:val="clear" w:color="auto" w:fill="auto"/>
          </w:tcPr>
          <w:p w14:paraId="06C13BB5" w14:textId="77777777" w:rsidR="009E5C5E" w:rsidRPr="00CE47DE" w:rsidRDefault="009E5C5E" w:rsidP="009E5C5E">
            <w:pPr>
              <w:jc w:val="center"/>
              <w:rPr>
                <w:rFonts w:eastAsia="Calibri"/>
                <w:lang w:eastAsia="en-US"/>
              </w:rPr>
            </w:pPr>
            <w:r w:rsidRPr="00CE47DE">
              <w:rPr>
                <w:rFonts w:eastAsia="Calibri"/>
                <w:lang w:eastAsia="en-US"/>
              </w:rPr>
              <w:t>–0.5–0.5</w:t>
            </w:r>
          </w:p>
        </w:tc>
        <w:tc>
          <w:tcPr>
            <w:tcW w:w="567" w:type="dxa"/>
            <w:tcBorders>
              <w:top w:val="nil"/>
              <w:left w:val="nil"/>
              <w:bottom w:val="single" w:sz="4" w:space="0" w:color="auto"/>
              <w:right w:val="nil"/>
            </w:tcBorders>
            <w:shd w:val="clear" w:color="auto" w:fill="auto"/>
          </w:tcPr>
          <w:p w14:paraId="3E1C36D7"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5B70B6C3" w14:textId="77777777" w:rsidR="009E5C5E" w:rsidRPr="00CE47DE" w:rsidRDefault="009E5C5E" w:rsidP="009E5C5E">
            <w:pPr>
              <w:jc w:val="center"/>
              <w:rPr>
                <w:rFonts w:eastAsia="Calibri"/>
                <w:lang w:eastAsia="en-US"/>
              </w:rPr>
            </w:pPr>
            <w:r w:rsidRPr="00CE47DE">
              <w:rPr>
                <w:rFonts w:eastAsia="Calibri"/>
                <w:lang w:eastAsia="en-US"/>
              </w:rPr>
              <w:t>0.8–1.9</w:t>
            </w:r>
          </w:p>
        </w:tc>
        <w:tc>
          <w:tcPr>
            <w:tcW w:w="567" w:type="dxa"/>
            <w:tcBorders>
              <w:top w:val="nil"/>
              <w:left w:val="nil"/>
              <w:bottom w:val="single" w:sz="4" w:space="0" w:color="auto"/>
              <w:right w:val="nil"/>
            </w:tcBorders>
            <w:shd w:val="clear" w:color="auto" w:fill="auto"/>
          </w:tcPr>
          <w:p w14:paraId="0E203CD2"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05C9FFF0" w14:textId="77777777" w:rsidR="009E5C5E" w:rsidRPr="00CE47DE" w:rsidRDefault="009E5C5E" w:rsidP="009E5C5E">
            <w:pPr>
              <w:jc w:val="center"/>
              <w:rPr>
                <w:rFonts w:eastAsia="Calibri"/>
                <w:lang w:eastAsia="en-US"/>
              </w:rPr>
            </w:pPr>
            <w:r w:rsidRPr="00CE47DE">
              <w:rPr>
                <w:rFonts w:eastAsia="Calibri"/>
                <w:lang w:eastAsia="en-US"/>
              </w:rPr>
              <w:t>0.9–2.0</w:t>
            </w:r>
          </w:p>
        </w:tc>
        <w:tc>
          <w:tcPr>
            <w:tcW w:w="567" w:type="dxa"/>
            <w:tcBorders>
              <w:top w:val="nil"/>
              <w:left w:val="nil"/>
              <w:bottom w:val="single" w:sz="4" w:space="0" w:color="auto"/>
              <w:right w:val="nil"/>
            </w:tcBorders>
            <w:shd w:val="clear" w:color="auto" w:fill="auto"/>
          </w:tcPr>
          <w:p w14:paraId="316C3DC8"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208ADFD9" w14:textId="77777777" w:rsidR="009E5C5E" w:rsidRPr="00CE47DE" w:rsidRDefault="009E5C5E" w:rsidP="009E5C5E">
            <w:pPr>
              <w:jc w:val="center"/>
              <w:rPr>
                <w:rFonts w:eastAsia="Calibri"/>
                <w:lang w:eastAsia="en-US"/>
              </w:rPr>
            </w:pPr>
            <w:r w:rsidRPr="00CE47DE">
              <w:rPr>
                <w:rFonts w:eastAsia="Calibri"/>
                <w:lang w:eastAsia="en-US"/>
              </w:rPr>
              <w:t>0.5–1.6</w:t>
            </w:r>
          </w:p>
        </w:tc>
        <w:tc>
          <w:tcPr>
            <w:tcW w:w="567" w:type="dxa"/>
            <w:tcBorders>
              <w:top w:val="nil"/>
              <w:left w:val="nil"/>
              <w:bottom w:val="single" w:sz="4" w:space="0" w:color="auto"/>
              <w:right w:val="nil"/>
            </w:tcBorders>
            <w:shd w:val="clear" w:color="auto" w:fill="auto"/>
          </w:tcPr>
          <w:p w14:paraId="0ABA5889"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29E324F0" w14:textId="77777777" w:rsidR="009E5C5E" w:rsidRPr="00CE47DE" w:rsidRDefault="009E5C5E" w:rsidP="009E5C5E">
            <w:pPr>
              <w:jc w:val="center"/>
              <w:rPr>
                <w:rFonts w:eastAsia="Calibri"/>
                <w:lang w:eastAsia="en-US"/>
              </w:rPr>
            </w:pPr>
            <w:r w:rsidRPr="00CE47DE">
              <w:rPr>
                <w:rFonts w:eastAsia="Calibri"/>
                <w:lang w:eastAsia="en-US"/>
              </w:rPr>
              <w:t>0.3–1.5</w:t>
            </w:r>
          </w:p>
        </w:tc>
        <w:tc>
          <w:tcPr>
            <w:tcW w:w="567" w:type="dxa"/>
            <w:tcBorders>
              <w:top w:val="nil"/>
              <w:left w:val="nil"/>
              <w:bottom w:val="single" w:sz="4" w:space="0" w:color="auto"/>
              <w:right w:val="nil"/>
            </w:tcBorders>
            <w:shd w:val="clear" w:color="auto" w:fill="auto"/>
          </w:tcPr>
          <w:p w14:paraId="0A0CC243"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26854B39" w14:textId="77777777" w:rsidR="009E5C5E" w:rsidRPr="00CE47DE" w:rsidRDefault="009E5C5E" w:rsidP="009E5C5E">
            <w:pPr>
              <w:jc w:val="center"/>
              <w:rPr>
                <w:rFonts w:eastAsia="Calibri"/>
                <w:lang w:eastAsia="en-US"/>
              </w:rPr>
            </w:pPr>
          </w:p>
        </w:tc>
      </w:tr>
      <w:tr w:rsidR="009E5C5E" w:rsidRPr="00CE47DE" w14:paraId="6415D2FD" w14:textId="77777777" w:rsidTr="00BF1153">
        <w:tc>
          <w:tcPr>
            <w:tcW w:w="1809" w:type="dxa"/>
            <w:tcBorders>
              <w:left w:val="nil"/>
              <w:bottom w:val="nil"/>
              <w:right w:val="nil"/>
            </w:tcBorders>
            <w:shd w:val="clear" w:color="auto" w:fill="auto"/>
          </w:tcPr>
          <w:p w14:paraId="39CECEA7" w14:textId="77777777" w:rsidR="009E5C5E" w:rsidRPr="00CE47DE" w:rsidRDefault="009E5C5E" w:rsidP="009E5C5E">
            <w:pPr>
              <w:rPr>
                <w:rFonts w:eastAsia="Calibri"/>
                <w:lang w:eastAsia="en-US"/>
              </w:rPr>
            </w:pPr>
            <w:r w:rsidRPr="00CE47DE">
              <w:rPr>
                <w:rFonts w:eastAsia="Calibri"/>
                <w:lang w:eastAsia="en-US"/>
              </w:rPr>
              <w:t>Experiential</w:t>
            </w:r>
          </w:p>
        </w:tc>
        <w:tc>
          <w:tcPr>
            <w:tcW w:w="1328" w:type="dxa"/>
            <w:tcBorders>
              <w:left w:val="nil"/>
              <w:bottom w:val="nil"/>
              <w:right w:val="nil"/>
            </w:tcBorders>
            <w:shd w:val="clear" w:color="auto" w:fill="auto"/>
          </w:tcPr>
          <w:p w14:paraId="4DDABF33" w14:textId="77777777" w:rsidR="009E5C5E" w:rsidRPr="00CE47DE" w:rsidRDefault="009E5C5E" w:rsidP="009E5C5E">
            <w:pPr>
              <w:rPr>
                <w:rFonts w:eastAsia="Calibri"/>
                <w:lang w:eastAsia="en-US"/>
              </w:rPr>
            </w:pPr>
            <w:r w:rsidRPr="00CE47DE">
              <w:rPr>
                <w:rFonts w:eastAsia="Calibri"/>
                <w:lang w:eastAsia="en-US"/>
              </w:rPr>
              <w:t>Intervention</w:t>
            </w:r>
          </w:p>
        </w:tc>
        <w:tc>
          <w:tcPr>
            <w:tcW w:w="1276" w:type="dxa"/>
            <w:tcBorders>
              <w:left w:val="nil"/>
              <w:bottom w:val="nil"/>
              <w:right w:val="nil"/>
            </w:tcBorders>
            <w:shd w:val="clear" w:color="auto" w:fill="auto"/>
          </w:tcPr>
          <w:p w14:paraId="5BE5DBE5" w14:textId="77777777" w:rsidR="009E5C5E" w:rsidRPr="00CE47DE" w:rsidRDefault="009E5C5E" w:rsidP="009E5C5E">
            <w:pPr>
              <w:jc w:val="center"/>
              <w:rPr>
                <w:rFonts w:eastAsia="Calibri"/>
                <w:lang w:eastAsia="en-US"/>
              </w:rPr>
            </w:pPr>
            <w:r w:rsidRPr="00CE47DE">
              <w:rPr>
                <w:rFonts w:eastAsia="Calibri"/>
                <w:lang w:eastAsia="en-US"/>
              </w:rPr>
              <w:t>2.5 (0.7)</w:t>
            </w:r>
          </w:p>
        </w:tc>
        <w:tc>
          <w:tcPr>
            <w:tcW w:w="567" w:type="dxa"/>
            <w:tcBorders>
              <w:left w:val="nil"/>
              <w:bottom w:val="nil"/>
              <w:right w:val="nil"/>
            </w:tcBorders>
            <w:shd w:val="clear" w:color="auto" w:fill="auto"/>
          </w:tcPr>
          <w:p w14:paraId="1C31CE43"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left w:val="nil"/>
              <w:bottom w:val="nil"/>
              <w:right w:val="nil"/>
            </w:tcBorders>
            <w:shd w:val="clear" w:color="auto" w:fill="auto"/>
          </w:tcPr>
          <w:p w14:paraId="3DC2B3A9" w14:textId="77777777" w:rsidR="009E5C5E" w:rsidRPr="00CE47DE" w:rsidRDefault="009E5C5E" w:rsidP="009E5C5E">
            <w:pPr>
              <w:jc w:val="center"/>
              <w:rPr>
                <w:rFonts w:eastAsia="Calibri"/>
                <w:lang w:eastAsia="en-US"/>
              </w:rPr>
            </w:pPr>
            <w:r w:rsidRPr="00CE47DE">
              <w:rPr>
                <w:rFonts w:eastAsia="Calibri"/>
                <w:lang w:eastAsia="en-US"/>
              </w:rPr>
              <w:t>2.3 (0.5)</w:t>
            </w:r>
          </w:p>
        </w:tc>
        <w:tc>
          <w:tcPr>
            <w:tcW w:w="567" w:type="dxa"/>
            <w:tcBorders>
              <w:left w:val="nil"/>
              <w:bottom w:val="nil"/>
              <w:right w:val="nil"/>
            </w:tcBorders>
            <w:shd w:val="clear" w:color="auto" w:fill="auto"/>
          </w:tcPr>
          <w:p w14:paraId="717333A2"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left w:val="nil"/>
              <w:bottom w:val="nil"/>
              <w:right w:val="nil"/>
            </w:tcBorders>
            <w:shd w:val="clear" w:color="auto" w:fill="auto"/>
          </w:tcPr>
          <w:p w14:paraId="6B90B480" w14:textId="77777777" w:rsidR="009E5C5E" w:rsidRPr="00CE47DE" w:rsidRDefault="009E5C5E" w:rsidP="009E5C5E">
            <w:pPr>
              <w:jc w:val="center"/>
              <w:rPr>
                <w:rFonts w:eastAsia="Calibri"/>
                <w:lang w:eastAsia="en-US"/>
              </w:rPr>
            </w:pPr>
            <w:r w:rsidRPr="00CE47DE">
              <w:rPr>
                <w:rFonts w:eastAsia="Calibri"/>
                <w:lang w:eastAsia="en-US"/>
              </w:rPr>
              <w:t>2.4 (0.6)</w:t>
            </w:r>
          </w:p>
        </w:tc>
        <w:tc>
          <w:tcPr>
            <w:tcW w:w="567" w:type="dxa"/>
            <w:tcBorders>
              <w:left w:val="nil"/>
              <w:bottom w:val="nil"/>
              <w:right w:val="nil"/>
            </w:tcBorders>
            <w:shd w:val="clear" w:color="auto" w:fill="auto"/>
          </w:tcPr>
          <w:p w14:paraId="29698D02" w14:textId="77777777" w:rsidR="009E5C5E" w:rsidRPr="00CE47DE" w:rsidRDefault="009E5C5E" w:rsidP="009E5C5E">
            <w:pPr>
              <w:jc w:val="center"/>
              <w:rPr>
                <w:rFonts w:eastAsia="Calibri"/>
                <w:lang w:eastAsia="en-US"/>
              </w:rPr>
            </w:pPr>
            <w:r w:rsidRPr="00CE47DE">
              <w:rPr>
                <w:rFonts w:eastAsia="Calibri"/>
                <w:lang w:eastAsia="en-US"/>
              </w:rPr>
              <w:t>49</w:t>
            </w:r>
          </w:p>
        </w:tc>
        <w:tc>
          <w:tcPr>
            <w:tcW w:w="1418" w:type="dxa"/>
            <w:tcBorders>
              <w:left w:val="nil"/>
              <w:bottom w:val="nil"/>
              <w:right w:val="nil"/>
            </w:tcBorders>
            <w:shd w:val="clear" w:color="auto" w:fill="auto"/>
          </w:tcPr>
          <w:p w14:paraId="51535EF7" w14:textId="77777777" w:rsidR="009E5C5E" w:rsidRPr="00CE47DE" w:rsidRDefault="009E5C5E" w:rsidP="009E5C5E">
            <w:pPr>
              <w:jc w:val="center"/>
              <w:rPr>
                <w:rFonts w:eastAsia="Calibri"/>
                <w:lang w:eastAsia="en-US"/>
              </w:rPr>
            </w:pPr>
            <w:r w:rsidRPr="00CE47DE">
              <w:rPr>
                <w:rFonts w:eastAsia="Calibri"/>
                <w:lang w:eastAsia="en-US"/>
              </w:rPr>
              <w:t>2.5 (0.5)</w:t>
            </w:r>
          </w:p>
        </w:tc>
        <w:tc>
          <w:tcPr>
            <w:tcW w:w="567" w:type="dxa"/>
            <w:tcBorders>
              <w:left w:val="nil"/>
              <w:bottom w:val="nil"/>
              <w:right w:val="nil"/>
            </w:tcBorders>
            <w:shd w:val="clear" w:color="auto" w:fill="auto"/>
          </w:tcPr>
          <w:p w14:paraId="066F1063" w14:textId="77777777" w:rsidR="009E5C5E" w:rsidRPr="00CE47DE" w:rsidRDefault="009E5C5E" w:rsidP="009E5C5E">
            <w:pPr>
              <w:jc w:val="center"/>
              <w:rPr>
                <w:rFonts w:eastAsia="Calibri"/>
                <w:lang w:eastAsia="en-US"/>
              </w:rPr>
            </w:pPr>
            <w:r w:rsidRPr="00CE47DE">
              <w:rPr>
                <w:rFonts w:eastAsia="Calibri"/>
                <w:lang w:eastAsia="en-US"/>
              </w:rPr>
              <w:t>45</w:t>
            </w:r>
          </w:p>
        </w:tc>
        <w:tc>
          <w:tcPr>
            <w:tcW w:w="1276" w:type="dxa"/>
            <w:tcBorders>
              <w:left w:val="nil"/>
              <w:bottom w:val="nil"/>
              <w:right w:val="nil"/>
            </w:tcBorders>
            <w:shd w:val="clear" w:color="auto" w:fill="auto"/>
          </w:tcPr>
          <w:p w14:paraId="6DD45398" w14:textId="77777777" w:rsidR="009E5C5E" w:rsidRPr="00CE47DE" w:rsidRDefault="009E5C5E" w:rsidP="009E5C5E">
            <w:pPr>
              <w:jc w:val="center"/>
              <w:rPr>
                <w:rFonts w:eastAsia="Calibri"/>
                <w:lang w:eastAsia="en-US"/>
              </w:rPr>
            </w:pPr>
            <w:r w:rsidRPr="00CE47DE">
              <w:rPr>
                <w:rFonts w:eastAsia="Calibri"/>
                <w:lang w:eastAsia="en-US"/>
              </w:rPr>
              <w:t>2.5 (0.6)</w:t>
            </w:r>
          </w:p>
        </w:tc>
        <w:tc>
          <w:tcPr>
            <w:tcW w:w="567" w:type="dxa"/>
            <w:tcBorders>
              <w:left w:val="nil"/>
              <w:bottom w:val="nil"/>
              <w:right w:val="nil"/>
            </w:tcBorders>
            <w:shd w:val="clear" w:color="auto" w:fill="auto"/>
          </w:tcPr>
          <w:p w14:paraId="0597DFD0" w14:textId="77777777" w:rsidR="009E5C5E" w:rsidRPr="00CE47DE" w:rsidRDefault="009E5C5E" w:rsidP="009E5C5E">
            <w:pPr>
              <w:jc w:val="center"/>
              <w:rPr>
                <w:rFonts w:eastAsia="Calibri"/>
                <w:lang w:eastAsia="en-US"/>
              </w:rPr>
            </w:pPr>
            <w:r w:rsidRPr="00CE47DE">
              <w:rPr>
                <w:rFonts w:eastAsia="Calibri"/>
                <w:lang w:eastAsia="en-US"/>
              </w:rPr>
              <w:t>44</w:t>
            </w:r>
          </w:p>
        </w:tc>
        <w:tc>
          <w:tcPr>
            <w:tcW w:w="1235" w:type="dxa"/>
            <w:tcBorders>
              <w:left w:val="nil"/>
              <w:bottom w:val="nil"/>
              <w:right w:val="nil"/>
            </w:tcBorders>
            <w:shd w:val="clear" w:color="auto" w:fill="auto"/>
          </w:tcPr>
          <w:p w14:paraId="2E71F020" w14:textId="77777777" w:rsidR="009E5C5E" w:rsidRPr="00CE47DE" w:rsidRDefault="009E5C5E" w:rsidP="009E5C5E">
            <w:pPr>
              <w:jc w:val="center"/>
              <w:rPr>
                <w:rFonts w:eastAsia="Calibri"/>
                <w:lang w:eastAsia="en-US"/>
              </w:rPr>
            </w:pPr>
            <w:r w:rsidRPr="00CE47DE">
              <w:rPr>
                <w:rFonts w:eastAsia="Calibri"/>
                <w:lang w:eastAsia="en-US"/>
              </w:rPr>
              <w:t>0.2968</w:t>
            </w:r>
          </w:p>
        </w:tc>
      </w:tr>
      <w:tr w:rsidR="009E5C5E" w:rsidRPr="00CE47DE" w14:paraId="504A7A78" w14:textId="77777777" w:rsidTr="00BF1153">
        <w:tc>
          <w:tcPr>
            <w:tcW w:w="1809" w:type="dxa"/>
            <w:tcBorders>
              <w:top w:val="nil"/>
              <w:left w:val="nil"/>
              <w:bottom w:val="nil"/>
              <w:right w:val="nil"/>
            </w:tcBorders>
            <w:shd w:val="clear" w:color="auto" w:fill="auto"/>
          </w:tcPr>
          <w:p w14:paraId="344C2C2C" w14:textId="31232AFD" w:rsidR="009E5C5E" w:rsidRPr="00CE47DE" w:rsidRDefault="009E5C5E" w:rsidP="00B2471F">
            <w:pPr>
              <w:rPr>
                <w:rFonts w:eastAsia="Calibri"/>
                <w:lang w:eastAsia="en-US"/>
              </w:rPr>
            </w:pPr>
            <w:r w:rsidRPr="00CE47DE">
              <w:rPr>
                <w:rFonts w:eastAsia="Calibri"/>
                <w:lang w:eastAsia="en-US"/>
              </w:rPr>
              <w:t>(</w:t>
            </w:r>
            <w:r w:rsidR="00B2471F" w:rsidRPr="00CE47DE">
              <w:rPr>
                <w:rFonts w:eastAsia="Calibri"/>
                <w:lang w:eastAsia="en-US"/>
              </w:rPr>
              <w:t>0–</w:t>
            </w:r>
            <w:r w:rsidRPr="00CE47DE">
              <w:rPr>
                <w:rFonts w:eastAsia="Calibri"/>
                <w:lang w:eastAsia="en-US"/>
              </w:rPr>
              <w:t>3</w:t>
            </w:r>
            <w:r w:rsidR="00B2471F" w:rsidRPr="00CE47DE">
              <w:rPr>
                <w:rFonts w:eastAsia="Calibri"/>
                <w:lang w:eastAsia="en-US"/>
              </w:rPr>
              <w:t>)</w:t>
            </w:r>
          </w:p>
        </w:tc>
        <w:tc>
          <w:tcPr>
            <w:tcW w:w="1328" w:type="dxa"/>
            <w:tcBorders>
              <w:top w:val="nil"/>
              <w:left w:val="nil"/>
              <w:bottom w:val="nil"/>
              <w:right w:val="nil"/>
            </w:tcBorders>
            <w:shd w:val="clear" w:color="auto" w:fill="auto"/>
          </w:tcPr>
          <w:p w14:paraId="69475BEA" w14:textId="77777777" w:rsidR="009E5C5E" w:rsidRPr="00CE47DE" w:rsidRDefault="009E5C5E" w:rsidP="009E5C5E">
            <w:pPr>
              <w:rPr>
                <w:rFonts w:eastAsia="Calibri"/>
                <w:lang w:eastAsia="en-US"/>
              </w:rPr>
            </w:pPr>
            <w:r w:rsidRPr="00CE47DE">
              <w:rPr>
                <w:rFonts w:eastAsia="Calibri"/>
                <w:lang w:eastAsia="en-US"/>
              </w:rPr>
              <w:t>Control</w:t>
            </w:r>
          </w:p>
        </w:tc>
        <w:tc>
          <w:tcPr>
            <w:tcW w:w="1276" w:type="dxa"/>
            <w:tcBorders>
              <w:top w:val="nil"/>
              <w:left w:val="nil"/>
              <w:bottom w:val="nil"/>
              <w:right w:val="nil"/>
            </w:tcBorders>
            <w:shd w:val="clear" w:color="auto" w:fill="auto"/>
          </w:tcPr>
          <w:p w14:paraId="719E083B" w14:textId="77777777" w:rsidR="009E5C5E" w:rsidRPr="00CE47DE" w:rsidRDefault="009E5C5E" w:rsidP="009E5C5E">
            <w:pPr>
              <w:jc w:val="center"/>
              <w:rPr>
                <w:rFonts w:eastAsia="Calibri"/>
                <w:lang w:eastAsia="en-US"/>
              </w:rPr>
            </w:pPr>
            <w:r w:rsidRPr="00CE47DE">
              <w:rPr>
                <w:rFonts w:eastAsia="Calibri"/>
                <w:lang w:eastAsia="en-US"/>
              </w:rPr>
              <w:t>2.5 (0.7)</w:t>
            </w:r>
          </w:p>
        </w:tc>
        <w:tc>
          <w:tcPr>
            <w:tcW w:w="567" w:type="dxa"/>
            <w:tcBorders>
              <w:top w:val="nil"/>
              <w:left w:val="nil"/>
              <w:bottom w:val="nil"/>
              <w:right w:val="nil"/>
            </w:tcBorders>
            <w:shd w:val="clear" w:color="auto" w:fill="auto"/>
          </w:tcPr>
          <w:p w14:paraId="56AEB2AC"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nil"/>
              <w:left w:val="nil"/>
              <w:bottom w:val="nil"/>
              <w:right w:val="nil"/>
            </w:tcBorders>
            <w:shd w:val="clear" w:color="auto" w:fill="auto"/>
          </w:tcPr>
          <w:p w14:paraId="0709586A" w14:textId="77777777" w:rsidR="009E5C5E" w:rsidRPr="00CE47DE" w:rsidRDefault="009E5C5E" w:rsidP="009E5C5E">
            <w:pPr>
              <w:jc w:val="center"/>
              <w:rPr>
                <w:rFonts w:eastAsia="Calibri"/>
                <w:lang w:eastAsia="en-US"/>
              </w:rPr>
            </w:pPr>
            <w:r w:rsidRPr="00CE47DE">
              <w:rPr>
                <w:rFonts w:eastAsia="Calibri"/>
                <w:lang w:eastAsia="en-US"/>
              </w:rPr>
              <w:t>2.7 (0.5)</w:t>
            </w:r>
          </w:p>
        </w:tc>
        <w:tc>
          <w:tcPr>
            <w:tcW w:w="567" w:type="dxa"/>
            <w:tcBorders>
              <w:top w:val="nil"/>
              <w:left w:val="nil"/>
              <w:bottom w:val="nil"/>
              <w:right w:val="nil"/>
            </w:tcBorders>
            <w:shd w:val="clear" w:color="auto" w:fill="auto"/>
          </w:tcPr>
          <w:p w14:paraId="0C918B84"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nil"/>
              <w:left w:val="nil"/>
              <w:bottom w:val="nil"/>
              <w:right w:val="nil"/>
            </w:tcBorders>
            <w:shd w:val="clear" w:color="auto" w:fill="auto"/>
          </w:tcPr>
          <w:p w14:paraId="46A1F27D" w14:textId="77777777" w:rsidR="009E5C5E" w:rsidRPr="00CE47DE" w:rsidRDefault="009E5C5E" w:rsidP="009E5C5E">
            <w:pPr>
              <w:jc w:val="center"/>
              <w:rPr>
                <w:rFonts w:eastAsia="Calibri"/>
                <w:lang w:eastAsia="en-US"/>
              </w:rPr>
            </w:pPr>
            <w:r w:rsidRPr="00CE47DE">
              <w:rPr>
                <w:rFonts w:eastAsia="Calibri"/>
                <w:lang w:eastAsia="en-US"/>
              </w:rPr>
              <w:t>2.7 (0.4)</w:t>
            </w:r>
          </w:p>
        </w:tc>
        <w:tc>
          <w:tcPr>
            <w:tcW w:w="567" w:type="dxa"/>
            <w:tcBorders>
              <w:top w:val="nil"/>
              <w:left w:val="nil"/>
              <w:bottom w:val="nil"/>
              <w:right w:val="nil"/>
            </w:tcBorders>
            <w:shd w:val="clear" w:color="auto" w:fill="auto"/>
          </w:tcPr>
          <w:p w14:paraId="4DE06D57" w14:textId="77777777" w:rsidR="009E5C5E" w:rsidRPr="00CE47DE" w:rsidRDefault="009E5C5E" w:rsidP="009E5C5E">
            <w:pPr>
              <w:jc w:val="center"/>
              <w:rPr>
                <w:rFonts w:eastAsia="Calibri"/>
                <w:lang w:eastAsia="en-US"/>
              </w:rPr>
            </w:pPr>
            <w:r w:rsidRPr="00CE47DE">
              <w:rPr>
                <w:rFonts w:eastAsia="Calibri"/>
                <w:lang w:eastAsia="en-US"/>
              </w:rPr>
              <w:t>46</w:t>
            </w:r>
          </w:p>
        </w:tc>
        <w:tc>
          <w:tcPr>
            <w:tcW w:w="1418" w:type="dxa"/>
            <w:tcBorders>
              <w:top w:val="nil"/>
              <w:left w:val="nil"/>
              <w:bottom w:val="nil"/>
              <w:right w:val="nil"/>
            </w:tcBorders>
            <w:shd w:val="clear" w:color="auto" w:fill="auto"/>
          </w:tcPr>
          <w:p w14:paraId="35CF8AD5" w14:textId="77777777" w:rsidR="009E5C5E" w:rsidRPr="00CE47DE" w:rsidRDefault="009E5C5E" w:rsidP="009E5C5E">
            <w:pPr>
              <w:jc w:val="center"/>
              <w:rPr>
                <w:rFonts w:eastAsia="Calibri"/>
                <w:lang w:eastAsia="en-US"/>
              </w:rPr>
            </w:pPr>
            <w:r w:rsidRPr="00CE47DE">
              <w:rPr>
                <w:rFonts w:eastAsia="Calibri"/>
                <w:lang w:eastAsia="en-US"/>
              </w:rPr>
              <w:t>2.0 (0.4)</w:t>
            </w:r>
          </w:p>
        </w:tc>
        <w:tc>
          <w:tcPr>
            <w:tcW w:w="567" w:type="dxa"/>
            <w:tcBorders>
              <w:top w:val="nil"/>
              <w:left w:val="nil"/>
              <w:bottom w:val="nil"/>
              <w:right w:val="nil"/>
            </w:tcBorders>
            <w:shd w:val="clear" w:color="auto" w:fill="auto"/>
          </w:tcPr>
          <w:p w14:paraId="760DDA41" w14:textId="77777777" w:rsidR="009E5C5E" w:rsidRPr="00CE47DE" w:rsidRDefault="009E5C5E" w:rsidP="009E5C5E">
            <w:pPr>
              <w:jc w:val="center"/>
              <w:rPr>
                <w:rFonts w:eastAsia="Calibri"/>
                <w:lang w:eastAsia="en-US"/>
              </w:rPr>
            </w:pPr>
            <w:r w:rsidRPr="00CE47DE">
              <w:rPr>
                <w:rFonts w:eastAsia="Calibri"/>
                <w:lang w:eastAsia="en-US"/>
              </w:rPr>
              <w:t>40</w:t>
            </w:r>
          </w:p>
        </w:tc>
        <w:tc>
          <w:tcPr>
            <w:tcW w:w="1276" w:type="dxa"/>
            <w:tcBorders>
              <w:top w:val="nil"/>
              <w:left w:val="nil"/>
              <w:bottom w:val="nil"/>
              <w:right w:val="nil"/>
            </w:tcBorders>
            <w:shd w:val="clear" w:color="auto" w:fill="auto"/>
          </w:tcPr>
          <w:p w14:paraId="0C7AD764" w14:textId="77777777" w:rsidR="009E5C5E" w:rsidRPr="00CE47DE" w:rsidRDefault="009E5C5E" w:rsidP="009E5C5E">
            <w:pPr>
              <w:jc w:val="center"/>
              <w:rPr>
                <w:rFonts w:eastAsia="Calibri"/>
                <w:lang w:eastAsia="en-US"/>
              </w:rPr>
            </w:pPr>
            <w:r w:rsidRPr="00CE47DE">
              <w:rPr>
                <w:rFonts w:eastAsia="Calibri"/>
                <w:lang w:eastAsia="en-US"/>
              </w:rPr>
              <w:t>2.1 (0.4)</w:t>
            </w:r>
          </w:p>
        </w:tc>
        <w:tc>
          <w:tcPr>
            <w:tcW w:w="567" w:type="dxa"/>
            <w:tcBorders>
              <w:top w:val="nil"/>
              <w:left w:val="nil"/>
              <w:bottom w:val="nil"/>
              <w:right w:val="nil"/>
            </w:tcBorders>
            <w:shd w:val="clear" w:color="auto" w:fill="auto"/>
          </w:tcPr>
          <w:p w14:paraId="5FA5E0D5" w14:textId="77777777" w:rsidR="009E5C5E" w:rsidRPr="00CE47DE" w:rsidRDefault="009E5C5E" w:rsidP="009E5C5E">
            <w:pPr>
              <w:jc w:val="center"/>
              <w:rPr>
                <w:rFonts w:eastAsia="Calibri"/>
                <w:lang w:eastAsia="en-US"/>
              </w:rPr>
            </w:pPr>
            <w:r w:rsidRPr="00CE47DE">
              <w:rPr>
                <w:rFonts w:eastAsia="Calibri"/>
                <w:lang w:eastAsia="en-US"/>
              </w:rPr>
              <w:t>37</w:t>
            </w:r>
          </w:p>
        </w:tc>
        <w:tc>
          <w:tcPr>
            <w:tcW w:w="1235" w:type="dxa"/>
            <w:tcBorders>
              <w:top w:val="nil"/>
              <w:left w:val="nil"/>
              <w:bottom w:val="nil"/>
              <w:right w:val="nil"/>
            </w:tcBorders>
            <w:shd w:val="clear" w:color="auto" w:fill="auto"/>
          </w:tcPr>
          <w:p w14:paraId="79AF2C7C" w14:textId="77777777" w:rsidR="009E5C5E" w:rsidRPr="00CE47DE" w:rsidRDefault="009E5C5E" w:rsidP="009E5C5E">
            <w:pPr>
              <w:jc w:val="center"/>
              <w:rPr>
                <w:rFonts w:eastAsia="Calibri"/>
                <w:lang w:eastAsia="en-US"/>
              </w:rPr>
            </w:pPr>
            <w:r w:rsidRPr="00CE47DE">
              <w:rPr>
                <w:rFonts w:eastAsia="Calibri"/>
                <w:lang w:eastAsia="en-US"/>
              </w:rPr>
              <w:t>&lt;.0001</w:t>
            </w:r>
          </w:p>
        </w:tc>
      </w:tr>
      <w:tr w:rsidR="009E5C5E" w:rsidRPr="00CE47DE" w14:paraId="0BD531C8" w14:textId="77777777" w:rsidTr="00BF1153">
        <w:tc>
          <w:tcPr>
            <w:tcW w:w="1809" w:type="dxa"/>
            <w:tcBorders>
              <w:top w:val="nil"/>
              <w:left w:val="nil"/>
              <w:bottom w:val="nil"/>
              <w:right w:val="nil"/>
            </w:tcBorders>
            <w:shd w:val="clear" w:color="auto" w:fill="auto"/>
          </w:tcPr>
          <w:p w14:paraId="54493D50" w14:textId="77777777" w:rsidR="009E5C5E" w:rsidRPr="00CE47DE" w:rsidRDefault="009E5C5E" w:rsidP="009E5C5E">
            <w:pPr>
              <w:rPr>
                <w:rFonts w:eastAsia="Calibri"/>
                <w:lang w:eastAsia="en-US"/>
              </w:rPr>
            </w:pPr>
          </w:p>
        </w:tc>
        <w:tc>
          <w:tcPr>
            <w:tcW w:w="1328" w:type="dxa"/>
            <w:tcBorders>
              <w:top w:val="nil"/>
              <w:left w:val="nil"/>
              <w:bottom w:val="nil"/>
              <w:right w:val="nil"/>
            </w:tcBorders>
            <w:shd w:val="clear" w:color="auto" w:fill="auto"/>
          </w:tcPr>
          <w:p w14:paraId="18C1F93C" w14:textId="77777777" w:rsidR="009E5C5E" w:rsidRPr="00CE47DE" w:rsidRDefault="009E5C5E" w:rsidP="009E5C5E">
            <w:pPr>
              <w:rPr>
                <w:rFonts w:eastAsia="Calibri"/>
                <w:lang w:eastAsia="en-US"/>
              </w:rPr>
            </w:pPr>
            <w:proofErr w:type="spellStart"/>
            <w:r w:rsidRPr="00CE47DE">
              <w:rPr>
                <w:rFonts w:eastAsia="Calibri"/>
                <w:lang w:eastAsia="en-US"/>
              </w:rPr>
              <w:t>p</w:t>
            </w:r>
            <w:r w:rsidRPr="00CE47DE">
              <w:rPr>
                <w:rFonts w:eastAsia="Calibri"/>
                <w:vertAlign w:val="subscript"/>
                <w:lang w:eastAsia="en-US"/>
              </w:rPr>
              <w:t>group</w:t>
            </w:r>
            <w:proofErr w:type="spellEnd"/>
          </w:p>
        </w:tc>
        <w:tc>
          <w:tcPr>
            <w:tcW w:w="1276" w:type="dxa"/>
            <w:tcBorders>
              <w:top w:val="nil"/>
              <w:left w:val="nil"/>
              <w:bottom w:val="nil"/>
              <w:right w:val="nil"/>
            </w:tcBorders>
            <w:shd w:val="clear" w:color="auto" w:fill="auto"/>
          </w:tcPr>
          <w:p w14:paraId="64833E19" w14:textId="77777777" w:rsidR="009E5C5E" w:rsidRPr="00CE47DE" w:rsidRDefault="009E5C5E" w:rsidP="009E5C5E">
            <w:pPr>
              <w:jc w:val="center"/>
              <w:rPr>
                <w:rFonts w:eastAsia="Calibri"/>
                <w:lang w:eastAsia="en-US"/>
              </w:rPr>
            </w:pPr>
            <w:r w:rsidRPr="00CE47DE">
              <w:rPr>
                <w:rFonts w:eastAsia="Calibri"/>
                <w:lang w:eastAsia="en-US"/>
              </w:rPr>
              <w:t>1.0</w:t>
            </w:r>
          </w:p>
        </w:tc>
        <w:tc>
          <w:tcPr>
            <w:tcW w:w="567" w:type="dxa"/>
            <w:tcBorders>
              <w:top w:val="nil"/>
              <w:left w:val="nil"/>
              <w:bottom w:val="nil"/>
              <w:right w:val="nil"/>
            </w:tcBorders>
            <w:shd w:val="clear" w:color="auto" w:fill="auto"/>
          </w:tcPr>
          <w:p w14:paraId="19F233FB"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7BC0D110" w14:textId="77777777" w:rsidR="009E5C5E" w:rsidRPr="00CE47DE" w:rsidRDefault="009E5C5E" w:rsidP="009E5C5E">
            <w:pPr>
              <w:jc w:val="center"/>
              <w:rPr>
                <w:rFonts w:eastAsia="Calibri"/>
                <w:lang w:eastAsia="en-US"/>
              </w:rPr>
            </w:pPr>
            <w:r w:rsidRPr="00CE47DE">
              <w:rPr>
                <w:rFonts w:eastAsia="Calibri"/>
                <w:lang w:eastAsia="en-US"/>
              </w:rPr>
              <w:t>0.0094</w:t>
            </w:r>
          </w:p>
        </w:tc>
        <w:tc>
          <w:tcPr>
            <w:tcW w:w="567" w:type="dxa"/>
            <w:tcBorders>
              <w:top w:val="nil"/>
              <w:left w:val="nil"/>
              <w:bottom w:val="nil"/>
              <w:right w:val="nil"/>
            </w:tcBorders>
            <w:shd w:val="clear" w:color="auto" w:fill="auto"/>
          </w:tcPr>
          <w:p w14:paraId="2F214B73" w14:textId="77777777" w:rsidR="009E5C5E" w:rsidRPr="00CE47DE" w:rsidRDefault="009E5C5E" w:rsidP="009E5C5E">
            <w:pPr>
              <w:jc w:val="center"/>
              <w:rPr>
                <w:rFonts w:eastAsia="Calibri"/>
                <w:lang w:eastAsia="en-US"/>
              </w:rPr>
            </w:pPr>
          </w:p>
        </w:tc>
        <w:tc>
          <w:tcPr>
            <w:tcW w:w="1275" w:type="dxa"/>
            <w:tcBorders>
              <w:top w:val="nil"/>
              <w:left w:val="nil"/>
              <w:bottom w:val="nil"/>
              <w:right w:val="nil"/>
            </w:tcBorders>
            <w:shd w:val="clear" w:color="auto" w:fill="auto"/>
          </w:tcPr>
          <w:p w14:paraId="2B583F57" w14:textId="77777777" w:rsidR="009E5C5E" w:rsidRPr="00CE47DE" w:rsidRDefault="009E5C5E" w:rsidP="009E5C5E">
            <w:pPr>
              <w:jc w:val="center"/>
              <w:rPr>
                <w:rFonts w:eastAsia="Calibri"/>
                <w:lang w:eastAsia="en-US"/>
              </w:rPr>
            </w:pPr>
            <w:r w:rsidRPr="00CE47DE">
              <w:rPr>
                <w:rFonts w:eastAsia="Calibri"/>
                <w:lang w:eastAsia="en-US"/>
              </w:rPr>
              <w:t>0.0325</w:t>
            </w:r>
          </w:p>
        </w:tc>
        <w:tc>
          <w:tcPr>
            <w:tcW w:w="567" w:type="dxa"/>
            <w:tcBorders>
              <w:top w:val="nil"/>
              <w:left w:val="nil"/>
              <w:bottom w:val="nil"/>
              <w:right w:val="nil"/>
            </w:tcBorders>
            <w:shd w:val="clear" w:color="auto" w:fill="auto"/>
          </w:tcPr>
          <w:p w14:paraId="7382A7CC" w14:textId="77777777" w:rsidR="009E5C5E" w:rsidRPr="00CE47DE" w:rsidRDefault="009E5C5E" w:rsidP="009E5C5E">
            <w:pPr>
              <w:jc w:val="center"/>
              <w:rPr>
                <w:rFonts w:eastAsia="Calibri"/>
                <w:lang w:eastAsia="en-US"/>
              </w:rPr>
            </w:pPr>
          </w:p>
        </w:tc>
        <w:tc>
          <w:tcPr>
            <w:tcW w:w="1418" w:type="dxa"/>
            <w:tcBorders>
              <w:top w:val="nil"/>
              <w:left w:val="nil"/>
              <w:bottom w:val="nil"/>
              <w:right w:val="nil"/>
            </w:tcBorders>
            <w:shd w:val="clear" w:color="auto" w:fill="auto"/>
          </w:tcPr>
          <w:p w14:paraId="766C29FA" w14:textId="77777777" w:rsidR="009E5C5E" w:rsidRPr="00CE47DE" w:rsidRDefault="009E5C5E" w:rsidP="009E5C5E">
            <w:pPr>
              <w:jc w:val="center"/>
              <w:rPr>
                <w:rFonts w:eastAsia="Calibri"/>
                <w:lang w:eastAsia="en-US"/>
              </w:rPr>
            </w:pPr>
            <w:r w:rsidRPr="00CE47DE">
              <w:rPr>
                <w:rFonts w:eastAsia="Calibri"/>
                <w:lang w:eastAsia="en-US"/>
              </w:rPr>
              <w:t>0.0017</w:t>
            </w:r>
          </w:p>
        </w:tc>
        <w:tc>
          <w:tcPr>
            <w:tcW w:w="567" w:type="dxa"/>
            <w:tcBorders>
              <w:top w:val="nil"/>
              <w:left w:val="nil"/>
              <w:bottom w:val="nil"/>
              <w:right w:val="nil"/>
            </w:tcBorders>
            <w:shd w:val="clear" w:color="auto" w:fill="auto"/>
          </w:tcPr>
          <w:p w14:paraId="2E93592D"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65D0E8D7" w14:textId="77777777" w:rsidR="009E5C5E" w:rsidRPr="00CE47DE" w:rsidRDefault="009E5C5E" w:rsidP="009E5C5E">
            <w:pPr>
              <w:jc w:val="center"/>
              <w:rPr>
                <w:rFonts w:eastAsia="Calibri"/>
                <w:lang w:eastAsia="en-US"/>
              </w:rPr>
            </w:pPr>
            <w:r w:rsidRPr="00CE47DE">
              <w:rPr>
                <w:rFonts w:eastAsia="Calibri"/>
                <w:lang w:eastAsia="en-US"/>
              </w:rPr>
              <w:t>0.0658</w:t>
            </w:r>
          </w:p>
        </w:tc>
        <w:tc>
          <w:tcPr>
            <w:tcW w:w="567" w:type="dxa"/>
            <w:tcBorders>
              <w:top w:val="nil"/>
              <w:left w:val="nil"/>
              <w:bottom w:val="nil"/>
              <w:right w:val="nil"/>
            </w:tcBorders>
            <w:shd w:val="clear" w:color="auto" w:fill="auto"/>
          </w:tcPr>
          <w:p w14:paraId="1A81639D" w14:textId="77777777" w:rsidR="009E5C5E" w:rsidRPr="00CE47DE" w:rsidRDefault="009E5C5E" w:rsidP="009E5C5E">
            <w:pPr>
              <w:jc w:val="center"/>
              <w:rPr>
                <w:rFonts w:eastAsia="Calibri"/>
                <w:lang w:eastAsia="en-US"/>
              </w:rPr>
            </w:pPr>
          </w:p>
        </w:tc>
        <w:tc>
          <w:tcPr>
            <w:tcW w:w="1235" w:type="dxa"/>
            <w:tcBorders>
              <w:top w:val="nil"/>
              <w:left w:val="nil"/>
              <w:bottom w:val="nil"/>
              <w:right w:val="nil"/>
            </w:tcBorders>
            <w:shd w:val="clear" w:color="auto" w:fill="auto"/>
          </w:tcPr>
          <w:p w14:paraId="70D739E6" w14:textId="77777777" w:rsidR="009E5C5E" w:rsidRPr="00CE47DE" w:rsidRDefault="009E5C5E" w:rsidP="009E5C5E">
            <w:pPr>
              <w:jc w:val="center"/>
              <w:rPr>
                <w:rFonts w:eastAsia="Calibri"/>
                <w:lang w:eastAsia="en-US"/>
              </w:rPr>
            </w:pPr>
          </w:p>
        </w:tc>
      </w:tr>
      <w:tr w:rsidR="009E5C5E" w:rsidRPr="00CE47DE" w14:paraId="46DD444A" w14:textId="77777777" w:rsidTr="00BF1153">
        <w:tc>
          <w:tcPr>
            <w:tcW w:w="1809" w:type="dxa"/>
            <w:tcBorders>
              <w:top w:val="nil"/>
              <w:left w:val="nil"/>
              <w:bottom w:val="single" w:sz="4" w:space="0" w:color="auto"/>
              <w:right w:val="nil"/>
            </w:tcBorders>
            <w:shd w:val="clear" w:color="auto" w:fill="auto"/>
          </w:tcPr>
          <w:p w14:paraId="0CE377A3" w14:textId="77777777" w:rsidR="009E5C5E" w:rsidRPr="00CE47DE" w:rsidRDefault="009E5C5E" w:rsidP="009E5C5E">
            <w:pPr>
              <w:rPr>
                <w:rFonts w:eastAsia="Calibri"/>
                <w:lang w:eastAsia="en-US"/>
              </w:rPr>
            </w:pPr>
          </w:p>
        </w:tc>
        <w:tc>
          <w:tcPr>
            <w:tcW w:w="1328" w:type="dxa"/>
            <w:tcBorders>
              <w:top w:val="nil"/>
              <w:left w:val="nil"/>
              <w:bottom w:val="single" w:sz="4" w:space="0" w:color="auto"/>
              <w:right w:val="nil"/>
            </w:tcBorders>
            <w:shd w:val="clear" w:color="auto" w:fill="auto"/>
          </w:tcPr>
          <w:p w14:paraId="0D71619D" w14:textId="77777777" w:rsidR="009E5C5E" w:rsidRPr="00CE47DE" w:rsidRDefault="009E5C5E" w:rsidP="009E5C5E">
            <w:pPr>
              <w:rPr>
                <w:rFonts w:eastAsia="Calibri"/>
                <w:lang w:eastAsia="en-US"/>
              </w:rPr>
            </w:pPr>
            <w:r w:rsidRPr="00CE47DE">
              <w:rPr>
                <w:rFonts w:eastAsia="Calibri"/>
                <w:lang w:eastAsia="en-US"/>
              </w:rPr>
              <w:t>CI 95%</w:t>
            </w:r>
          </w:p>
        </w:tc>
        <w:tc>
          <w:tcPr>
            <w:tcW w:w="1276" w:type="dxa"/>
            <w:tcBorders>
              <w:top w:val="nil"/>
              <w:left w:val="nil"/>
              <w:bottom w:val="single" w:sz="4" w:space="0" w:color="auto"/>
              <w:right w:val="nil"/>
            </w:tcBorders>
            <w:shd w:val="clear" w:color="auto" w:fill="auto"/>
          </w:tcPr>
          <w:p w14:paraId="51BA7CC1" w14:textId="77777777" w:rsidR="009E5C5E" w:rsidRPr="00CE47DE" w:rsidRDefault="009E5C5E" w:rsidP="009E5C5E">
            <w:pPr>
              <w:jc w:val="center"/>
              <w:rPr>
                <w:rFonts w:eastAsia="Calibri"/>
                <w:lang w:eastAsia="en-US"/>
              </w:rPr>
            </w:pPr>
            <w:r w:rsidRPr="00CE47DE">
              <w:rPr>
                <w:rFonts w:eastAsia="Calibri"/>
                <w:lang w:eastAsia="en-US"/>
              </w:rPr>
              <w:t>–0.4–0.3</w:t>
            </w:r>
          </w:p>
        </w:tc>
        <w:tc>
          <w:tcPr>
            <w:tcW w:w="567" w:type="dxa"/>
            <w:tcBorders>
              <w:top w:val="nil"/>
              <w:left w:val="nil"/>
              <w:bottom w:val="single" w:sz="4" w:space="0" w:color="auto"/>
              <w:right w:val="nil"/>
            </w:tcBorders>
            <w:shd w:val="clear" w:color="auto" w:fill="auto"/>
          </w:tcPr>
          <w:p w14:paraId="7A50E535"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0C760E14" w14:textId="77777777" w:rsidR="009E5C5E" w:rsidRPr="00CE47DE" w:rsidRDefault="009E5C5E" w:rsidP="009E5C5E">
            <w:pPr>
              <w:jc w:val="center"/>
              <w:rPr>
                <w:rFonts w:eastAsia="Calibri"/>
                <w:lang w:eastAsia="en-US"/>
              </w:rPr>
            </w:pPr>
            <w:r w:rsidRPr="00CE47DE">
              <w:rPr>
                <w:rFonts w:eastAsia="Calibri"/>
                <w:lang w:eastAsia="en-US"/>
              </w:rPr>
              <w:t>–0.7– –0.1</w:t>
            </w:r>
          </w:p>
        </w:tc>
        <w:tc>
          <w:tcPr>
            <w:tcW w:w="567" w:type="dxa"/>
            <w:tcBorders>
              <w:top w:val="nil"/>
              <w:left w:val="nil"/>
              <w:bottom w:val="single" w:sz="4" w:space="0" w:color="auto"/>
              <w:right w:val="nil"/>
            </w:tcBorders>
            <w:shd w:val="clear" w:color="auto" w:fill="auto"/>
          </w:tcPr>
          <w:p w14:paraId="2806D76E"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29835959" w14:textId="77777777" w:rsidR="009E5C5E" w:rsidRPr="00CE47DE" w:rsidRDefault="009E5C5E" w:rsidP="009E5C5E">
            <w:pPr>
              <w:jc w:val="center"/>
              <w:rPr>
                <w:rFonts w:eastAsia="Calibri"/>
                <w:lang w:eastAsia="en-US"/>
              </w:rPr>
            </w:pPr>
            <w:r w:rsidRPr="00CE47DE">
              <w:rPr>
                <w:rFonts w:eastAsia="Calibri"/>
                <w:lang w:eastAsia="en-US"/>
              </w:rPr>
              <w:t>–0.7– –0.0</w:t>
            </w:r>
          </w:p>
        </w:tc>
        <w:tc>
          <w:tcPr>
            <w:tcW w:w="567" w:type="dxa"/>
            <w:tcBorders>
              <w:top w:val="nil"/>
              <w:left w:val="nil"/>
              <w:bottom w:val="single" w:sz="4" w:space="0" w:color="auto"/>
              <w:right w:val="nil"/>
            </w:tcBorders>
            <w:shd w:val="clear" w:color="auto" w:fill="auto"/>
          </w:tcPr>
          <w:p w14:paraId="2F0782A0"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4E2AFF0E" w14:textId="77777777" w:rsidR="009E5C5E" w:rsidRPr="00CE47DE" w:rsidRDefault="009E5C5E" w:rsidP="009E5C5E">
            <w:pPr>
              <w:jc w:val="center"/>
              <w:rPr>
                <w:rFonts w:eastAsia="Calibri"/>
                <w:lang w:eastAsia="en-US"/>
              </w:rPr>
            </w:pPr>
            <w:r w:rsidRPr="00CE47DE">
              <w:rPr>
                <w:rFonts w:eastAsia="Calibri"/>
                <w:lang w:eastAsia="en-US"/>
              </w:rPr>
              <w:t>0.1–0.9</w:t>
            </w:r>
          </w:p>
        </w:tc>
        <w:tc>
          <w:tcPr>
            <w:tcW w:w="567" w:type="dxa"/>
            <w:tcBorders>
              <w:top w:val="nil"/>
              <w:left w:val="nil"/>
              <w:bottom w:val="single" w:sz="4" w:space="0" w:color="auto"/>
              <w:right w:val="nil"/>
            </w:tcBorders>
            <w:shd w:val="clear" w:color="auto" w:fill="auto"/>
          </w:tcPr>
          <w:p w14:paraId="62878823"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047E8E92" w14:textId="77777777" w:rsidR="009E5C5E" w:rsidRPr="00CE47DE" w:rsidRDefault="009E5C5E" w:rsidP="009E5C5E">
            <w:pPr>
              <w:jc w:val="center"/>
              <w:rPr>
                <w:rFonts w:eastAsia="Calibri"/>
                <w:lang w:eastAsia="en-US"/>
              </w:rPr>
            </w:pPr>
            <w:r w:rsidRPr="00CE47DE">
              <w:rPr>
                <w:rFonts w:eastAsia="Calibri"/>
                <w:lang w:eastAsia="en-US"/>
              </w:rPr>
              <w:t>–0.0–0.8</w:t>
            </w:r>
          </w:p>
        </w:tc>
        <w:tc>
          <w:tcPr>
            <w:tcW w:w="567" w:type="dxa"/>
            <w:tcBorders>
              <w:top w:val="nil"/>
              <w:left w:val="nil"/>
              <w:bottom w:val="single" w:sz="4" w:space="0" w:color="auto"/>
              <w:right w:val="nil"/>
            </w:tcBorders>
            <w:shd w:val="clear" w:color="auto" w:fill="auto"/>
          </w:tcPr>
          <w:p w14:paraId="06302114"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7F71ABEB" w14:textId="77777777" w:rsidR="009E5C5E" w:rsidRPr="00CE47DE" w:rsidRDefault="009E5C5E" w:rsidP="009E5C5E">
            <w:pPr>
              <w:jc w:val="center"/>
              <w:rPr>
                <w:rFonts w:eastAsia="Calibri"/>
                <w:lang w:eastAsia="en-US"/>
              </w:rPr>
            </w:pPr>
          </w:p>
        </w:tc>
      </w:tr>
      <w:tr w:rsidR="009E5C5E" w:rsidRPr="00CE47DE" w14:paraId="118E4410" w14:textId="77777777" w:rsidTr="00BF1153">
        <w:tc>
          <w:tcPr>
            <w:tcW w:w="1809" w:type="dxa"/>
            <w:tcBorders>
              <w:left w:val="nil"/>
              <w:bottom w:val="nil"/>
              <w:right w:val="nil"/>
            </w:tcBorders>
            <w:shd w:val="clear" w:color="auto" w:fill="auto"/>
          </w:tcPr>
          <w:p w14:paraId="3191B6B5" w14:textId="77777777" w:rsidR="009E5C5E" w:rsidRPr="00CE47DE" w:rsidRDefault="009E5C5E" w:rsidP="009E5C5E">
            <w:pPr>
              <w:rPr>
                <w:rFonts w:eastAsia="Calibri"/>
                <w:lang w:eastAsia="en-US"/>
              </w:rPr>
            </w:pPr>
            <w:r w:rsidRPr="00CE47DE">
              <w:rPr>
                <w:rFonts w:eastAsia="Calibri"/>
                <w:lang w:eastAsia="en-US"/>
              </w:rPr>
              <w:t>Ethical</w:t>
            </w:r>
          </w:p>
        </w:tc>
        <w:tc>
          <w:tcPr>
            <w:tcW w:w="1328" w:type="dxa"/>
            <w:tcBorders>
              <w:left w:val="nil"/>
              <w:bottom w:val="nil"/>
              <w:right w:val="nil"/>
            </w:tcBorders>
            <w:shd w:val="clear" w:color="auto" w:fill="auto"/>
          </w:tcPr>
          <w:p w14:paraId="3E1AFFD7" w14:textId="77777777" w:rsidR="009E5C5E" w:rsidRPr="00CE47DE" w:rsidRDefault="009E5C5E" w:rsidP="009E5C5E">
            <w:pPr>
              <w:rPr>
                <w:rFonts w:eastAsia="Calibri"/>
                <w:lang w:eastAsia="en-US"/>
              </w:rPr>
            </w:pPr>
            <w:r w:rsidRPr="00CE47DE">
              <w:rPr>
                <w:rFonts w:eastAsia="Calibri"/>
                <w:lang w:eastAsia="en-US"/>
              </w:rPr>
              <w:t>Intervention</w:t>
            </w:r>
          </w:p>
        </w:tc>
        <w:tc>
          <w:tcPr>
            <w:tcW w:w="1276" w:type="dxa"/>
            <w:tcBorders>
              <w:left w:val="nil"/>
              <w:bottom w:val="nil"/>
              <w:right w:val="nil"/>
            </w:tcBorders>
            <w:shd w:val="clear" w:color="auto" w:fill="auto"/>
          </w:tcPr>
          <w:p w14:paraId="2CD5BCE3" w14:textId="4A0F8E80" w:rsidR="009E5C5E" w:rsidRPr="00CE47DE" w:rsidRDefault="009E5C5E" w:rsidP="009E5C5E">
            <w:pPr>
              <w:jc w:val="center"/>
              <w:rPr>
                <w:rFonts w:eastAsia="Calibri"/>
                <w:lang w:eastAsia="en-US"/>
              </w:rPr>
            </w:pPr>
            <w:r w:rsidRPr="00CE47DE">
              <w:rPr>
                <w:rFonts w:eastAsia="Calibri"/>
                <w:lang w:eastAsia="en-US"/>
              </w:rPr>
              <w:t>0.9 (0.9)</w:t>
            </w:r>
          </w:p>
        </w:tc>
        <w:tc>
          <w:tcPr>
            <w:tcW w:w="567" w:type="dxa"/>
            <w:tcBorders>
              <w:left w:val="nil"/>
              <w:bottom w:val="nil"/>
              <w:right w:val="nil"/>
            </w:tcBorders>
            <w:shd w:val="clear" w:color="auto" w:fill="auto"/>
          </w:tcPr>
          <w:p w14:paraId="1EBC2BE1"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left w:val="nil"/>
              <w:bottom w:val="nil"/>
              <w:right w:val="nil"/>
            </w:tcBorders>
            <w:shd w:val="clear" w:color="auto" w:fill="auto"/>
          </w:tcPr>
          <w:p w14:paraId="33EC214B" w14:textId="77777777" w:rsidR="009E5C5E" w:rsidRPr="00CE47DE" w:rsidRDefault="009E5C5E" w:rsidP="009E5C5E">
            <w:pPr>
              <w:jc w:val="center"/>
              <w:rPr>
                <w:rFonts w:eastAsia="Calibri"/>
                <w:lang w:eastAsia="en-US"/>
              </w:rPr>
            </w:pPr>
            <w:r w:rsidRPr="00CE47DE">
              <w:rPr>
                <w:rFonts w:eastAsia="Calibri"/>
                <w:lang w:eastAsia="en-US"/>
              </w:rPr>
              <w:t>2.6 (0.8)</w:t>
            </w:r>
          </w:p>
        </w:tc>
        <w:tc>
          <w:tcPr>
            <w:tcW w:w="567" w:type="dxa"/>
            <w:tcBorders>
              <w:left w:val="nil"/>
              <w:bottom w:val="nil"/>
              <w:right w:val="nil"/>
            </w:tcBorders>
            <w:shd w:val="clear" w:color="auto" w:fill="auto"/>
          </w:tcPr>
          <w:p w14:paraId="04C609D3"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left w:val="nil"/>
              <w:bottom w:val="nil"/>
              <w:right w:val="nil"/>
            </w:tcBorders>
            <w:shd w:val="clear" w:color="auto" w:fill="auto"/>
          </w:tcPr>
          <w:p w14:paraId="3C739362" w14:textId="77777777" w:rsidR="009E5C5E" w:rsidRPr="00CE47DE" w:rsidRDefault="009E5C5E" w:rsidP="009E5C5E">
            <w:pPr>
              <w:jc w:val="center"/>
              <w:rPr>
                <w:rFonts w:eastAsia="Calibri"/>
                <w:lang w:eastAsia="en-US"/>
              </w:rPr>
            </w:pPr>
            <w:r w:rsidRPr="00CE47DE">
              <w:rPr>
                <w:rFonts w:eastAsia="Calibri"/>
                <w:lang w:eastAsia="en-US"/>
              </w:rPr>
              <w:t>2.5 (0.8)</w:t>
            </w:r>
          </w:p>
        </w:tc>
        <w:tc>
          <w:tcPr>
            <w:tcW w:w="567" w:type="dxa"/>
            <w:tcBorders>
              <w:left w:val="nil"/>
              <w:bottom w:val="nil"/>
              <w:right w:val="nil"/>
            </w:tcBorders>
            <w:shd w:val="clear" w:color="auto" w:fill="auto"/>
          </w:tcPr>
          <w:p w14:paraId="38E9E521" w14:textId="77777777" w:rsidR="009E5C5E" w:rsidRPr="00CE47DE" w:rsidRDefault="009E5C5E" w:rsidP="009E5C5E">
            <w:pPr>
              <w:jc w:val="center"/>
              <w:rPr>
                <w:rFonts w:eastAsia="Calibri"/>
                <w:lang w:eastAsia="en-US"/>
              </w:rPr>
            </w:pPr>
            <w:r w:rsidRPr="00CE47DE">
              <w:rPr>
                <w:rFonts w:eastAsia="Calibri"/>
                <w:lang w:eastAsia="en-US"/>
              </w:rPr>
              <w:t>49</w:t>
            </w:r>
          </w:p>
        </w:tc>
        <w:tc>
          <w:tcPr>
            <w:tcW w:w="1418" w:type="dxa"/>
            <w:tcBorders>
              <w:left w:val="nil"/>
              <w:bottom w:val="nil"/>
              <w:right w:val="nil"/>
            </w:tcBorders>
            <w:shd w:val="clear" w:color="auto" w:fill="auto"/>
          </w:tcPr>
          <w:p w14:paraId="0007E441" w14:textId="77777777" w:rsidR="009E5C5E" w:rsidRPr="00CE47DE" w:rsidRDefault="009E5C5E" w:rsidP="009E5C5E">
            <w:pPr>
              <w:jc w:val="center"/>
              <w:rPr>
                <w:rFonts w:eastAsia="Calibri"/>
                <w:lang w:eastAsia="en-US"/>
              </w:rPr>
            </w:pPr>
            <w:r w:rsidRPr="00CE47DE">
              <w:rPr>
                <w:rFonts w:eastAsia="Calibri"/>
                <w:lang w:eastAsia="en-US"/>
              </w:rPr>
              <w:t>2.3 (0.9)</w:t>
            </w:r>
          </w:p>
        </w:tc>
        <w:tc>
          <w:tcPr>
            <w:tcW w:w="567" w:type="dxa"/>
            <w:tcBorders>
              <w:left w:val="nil"/>
              <w:bottom w:val="nil"/>
              <w:right w:val="nil"/>
            </w:tcBorders>
            <w:shd w:val="clear" w:color="auto" w:fill="auto"/>
          </w:tcPr>
          <w:p w14:paraId="49CC4D1B" w14:textId="77777777" w:rsidR="009E5C5E" w:rsidRPr="00CE47DE" w:rsidRDefault="009E5C5E" w:rsidP="009E5C5E">
            <w:pPr>
              <w:jc w:val="center"/>
              <w:rPr>
                <w:rFonts w:eastAsia="Calibri"/>
                <w:lang w:eastAsia="en-US"/>
              </w:rPr>
            </w:pPr>
            <w:r w:rsidRPr="00CE47DE">
              <w:rPr>
                <w:rFonts w:eastAsia="Calibri"/>
                <w:lang w:eastAsia="en-US"/>
              </w:rPr>
              <w:t>45</w:t>
            </w:r>
          </w:p>
        </w:tc>
        <w:tc>
          <w:tcPr>
            <w:tcW w:w="1276" w:type="dxa"/>
            <w:tcBorders>
              <w:left w:val="nil"/>
              <w:bottom w:val="nil"/>
              <w:right w:val="nil"/>
            </w:tcBorders>
            <w:shd w:val="clear" w:color="auto" w:fill="auto"/>
          </w:tcPr>
          <w:p w14:paraId="3DB6E731" w14:textId="77777777" w:rsidR="009E5C5E" w:rsidRPr="00CE47DE" w:rsidRDefault="009E5C5E" w:rsidP="009E5C5E">
            <w:pPr>
              <w:jc w:val="center"/>
              <w:rPr>
                <w:rFonts w:eastAsia="Calibri"/>
                <w:lang w:eastAsia="en-US"/>
              </w:rPr>
            </w:pPr>
            <w:r w:rsidRPr="00CE47DE">
              <w:rPr>
                <w:rFonts w:eastAsia="Calibri"/>
                <w:lang w:eastAsia="en-US"/>
              </w:rPr>
              <w:t>2.3 (0.9)</w:t>
            </w:r>
          </w:p>
        </w:tc>
        <w:tc>
          <w:tcPr>
            <w:tcW w:w="567" w:type="dxa"/>
            <w:tcBorders>
              <w:left w:val="nil"/>
              <w:bottom w:val="nil"/>
              <w:right w:val="nil"/>
            </w:tcBorders>
            <w:shd w:val="clear" w:color="auto" w:fill="auto"/>
          </w:tcPr>
          <w:p w14:paraId="2CD016DF" w14:textId="77777777" w:rsidR="009E5C5E" w:rsidRPr="00CE47DE" w:rsidRDefault="009E5C5E" w:rsidP="009E5C5E">
            <w:pPr>
              <w:jc w:val="center"/>
              <w:rPr>
                <w:rFonts w:eastAsia="Calibri"/>
                <w:lang w:eastAsia="en-US"/>
              </w:rPr>
            </w:pPr>
            <w:r w:rsidRPr="00CE47DE">
              <w:rPr>
                <w:rFonts w:eastAsia="Calibri"/>
                <w:lang w:eastAsia="en-US"/>
              </w:rPr>
              <w:t>44</w:t>
            </w:r>
          </w:p>
        </w:tc>
        <w:tc>
          <w:tcPr>
            <w:tcW w:w="1235" w:type="dxa"/>
            <w:tcBorders>
              <w:left w:val="nil"/>
              <w:bottom w:val="nil"/>
              <w:right w:val="nil"/>
            </w:tcBorders>
            <w:shd w:val="clear" w:color="auto" w:fill="auto"/>
          </w:tcPr>
          <w:p w14:paraId="460A3B35" w14:textId="77777777" w:rsidR="009E5C5E" w:rsidRPr="00CE47DE" w:rsidRDefault="009E5C5E" w:rsidP="009E5C5E">
            <w:pPr>
              <w:jc w:val="center"/>
              <w:rPr>
                <w:rFonts w:eastAsia="Calibri"/>
                <w:lang w:eastAsia="en-US"/>
              </w:rPr>
            </w:pPr>
            <w:r w:rsidRPr="00CE47DE">
              <w:rPr>
                <w:rFonts w:eastAsia="Calibri"/>
                <w:lang w:eastAsia="en-US"/>
              </w:rPr>
              <w:t>&lt;.0001</w:t>
            </w:r>
          </w:p>
        </w:tc>
      </w:tr>
      <w:tr w:rsidR="009E5C5E" w:rsidRPr="00CE47DE" w14:paraId="22EC54A8" w14:textId="77777777" w:rsidTr="00BF1153">
        <w:tc>
          <w:tcPr>
            <w:tcW w:w="1809" w:type="dxa"/>
            <w:tcBorders>
              <w:top w:val="nil"/>
              <w:left w:val="nil"/>
              <w:bottom w:val="nil"/>
              <w:right w:val="nil"/>
            </w:tcBorders>
            <w:shd w:val="clear" w:color="auto" w:fill="auto"/>
          </w:tcPr>
          <w:p w14:paraId="19D5CB31" w14:textId="1FF32D41" w:rsidR="009E5C5E" w:rsidRPr="00CE47DE" w:rsidRDefault="009E5C5E" w:rsidP="00B2471F">
            <w:pPr>
              <w:rPr>
                <w:rFonts w:eastAsia="Calibri"/>
                <w:lang w:eastAsia="en-US"/>
              </w:rPr>
            </w:pPr>
            <w:r w:rsidRPr="00CE47DE">
              <w:rPr>
                <w:rFonts w:eastAsia="Calibri"/>
                <w:lang w:eastAsia="en-US"/>
              </w:rPr>
              <w:t>(</w:t>
            </w:r>
            <w:r w:rsidR="00B2471F" w:rsidRPr="00CE47DE">
              <w:rPr>
                <w:rFonts w:eastAsia="Calibri"/>
                <w:lang w:eastAsia="en-US"/>
              </w:rPr>
              <w:t>0–</w:t>
            </w:r>
            <w:r w:rsidRPr="00CE47DE">
              <w:rPr>
                <w:rFonts w:eastAsia="Calibri"/>
                <w:lang w:eastAsia="en-US"/>
              </w:rPr>
              <w:t>3</w:t>
            </w:r>
            <w:r w:rsidR="00B2471F" w:rsidRPr="00CE47DE">
              <w:rPr>
                <w:rFonts w:eastAsia="Calibri"/>
                <w:lang w:eastAsia="en-US"/>
              </w:rPr>
              <w:t>)</w:t>
            </w:r>
          </w:p>
        </w:tc>
        <w:tc>
          <w:tcPr>
            <w:tcW w:w="1328" w:type="dxa"/>
            <w:tcBorders>
              <w:top w:val="nil"/>
              <w:left w:val="nil"/>
              <w:bottom w:val="nil"/>
              <w:right w:val="nil"/>
            </w:tcBorders>
            <w:shd w:val="clear" w:color="auto" w:fill="auto"/>
          </w:tcPr>
          <w:p w14:paraId="39E0E52D" w14:textId="77777777" w:rsidR="009E5C5E" w:rsidRPr="00CE47DE" w:rsidRDefault="009E5C5E" w:rsidP="009E5C5E">
            <w:pPr>
              <w:rPr>
                <w:rFonts w:eastAsia="Calibri"/>
                <w:lang w:eastAsia="en-US"/>
              </w:rPr>
            </w:pPr>
            <w:r w:rsidRPr="00CE47DE">
              <w:rPr>
                <w:rFonts w:eastAsia="Calibri"/>
                <w:lang w:eastAsia="en-US"/>
              </w:rPr>
              <w:t>Control</w:t>
            </w:r>
          </w:p>
        </w:tc>
        <w:tc>
          <w:tcPr>
            <w:tcW w:w="1276" w:type="dxa"/>
            <w:tcBorders>
              <w:top w:val="nil"/>
              <w:left w:val="nil"/>
              <w:bottom w:val="nil"/>
              <w:right w:val="nil"/>
            </w:tcBorders>
            <w:shd w:val="clear" w:color="auto" w:fill="auto"/>
          </w:tcPr>
          <w:p w14:paraId="03C4C90A" w14:textId="77777777" w:rsidR="009E5C5E" w:rsidRPr="00CE47DE" w:rsidRDefault="009E5C5E" w:rsidP="009E5C5E">
            <w:pPr>
              <w:jc w:val="center"/>
              <w:rPr>
                <w:rFonts w:eastAsia="Calibri"/>
                <w:lang w:eastAsia="en-US"/>
              </w:rPr>
            </w:pPr>
            <w:r w:rsidRPr="00CE47DE">
              <w:rPr>
                <w:rFonts w:eastAsia="Calibri"/>
                <w:lang w:eastAsia="en-US"/>
              </w:rPr>
              <w:t>1.2 (1.1)</w:t>
            </w:r>
          </w:p>
        </w:tc>
        <w:tc>
          <w:tcPr>
            <w:tcW w:w="567" w:type="dxa"/>
            <w:tcBorders>
              <w:top w:val="nil"/>
              <w:left w:val="nil"/>
              <w:bottom w:val="nil"/>
              <w:right w:val="nil"/>
            </w:tcBorders>
            <w:shd w:val="clear" w:color="auto" w:fill="auto"/>
          </w:tcPr>
          <w:p w14:paraId="2F61485F"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nil"/>
              <w:left w:val="nil"/>
              <w:bottom w:val="nil"/>
              <w:right w:val="nil"/>
            </w:tcBorders>
            <w:shd w:val="clear" w:color="auto" w:fill="auto"/>
          </w:tcPr>
          <w:p w14:paraId="42221FC8" w14:textId="77777777" w:rsidR="009E5C5E" w:rsidRPr="00CE47DE" w:rsidRDefault="009E5C5E" w:rsidP="009E5C5E">
            <w:pPr>
              <w:jc w:val="center"/>
              <w:rPr>
                <w:rFonts w:eastAsia="Calibri"/>
                <w:lang w:eastAsia="en-US"/>
              </w:rPr>
            </w:pPr>
            <w:r w:rsidRPr="00CE47DE">
              <w:rPr>
                <w:rFonts w:eastAsia="Calibri"/>
                <w:lang w:eastAsia="en-US"/>
              </w:rPr>
              <w:t>1.2 (1.0)</w:t>
            </w:r>
          </w:p>
        </w:tc>
        <w:tc>
          <w:tcPr>
            <w:tcW w:w="567" w:type="dxa"/>
            <w:tcBorders>
              <w:top w:val="nil"/>
              <w:left w:val="nil"/>
              <w:bottom w:val="nil"/>
              <w:right w:val="nil"/>
            </w:tcBorders>
            <w:shd w:val="clear" w:color="auto" w:fill="auto"/>
          </w:tcPr>
          <w:p w14:paraId="322A0922"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nil"/>
              <w:left w:val="nil"/>
              <w:bottom w:val="nil"/>
              <w:right w:val="nil"/>
            </w:tcBorders>
            <w:shd w:val="clear" w:color="auto" w:fill="auto"/>
          </w:tcPr>
          <w:p w14:paraId="11AD3027" w14:textId="77777777" w:rsidR="009E5C5E" w:rsidRPr="00CE47DE" w:rsidRDefault="009E5C5E" w:rsidP="009E5C5E">
            <w:pPr>
              <w:jc w:val="center"/>
              <w:rPr>
                <w:rFonts w:eastAsia="Calibri"/>
                <w:lang w:eastAsia="en-US"/>
              </w:rPr>
            </w:pPr>
            <w:r w:rsidRPr="00CE47DE">
              <w:rPr>
                <w:rFonts w:eastAsia="Calibri"/>
                <w:lang w:eastAsia="en-US"/>
              </w:rPr>
              <w:t>1.2 (1.0)</w:t>
            </w:r>
          </w:p>
        </w:tc>
        <w:tc>
          <w:tcPr>
            <w:tcW w:w="567" w:type="dxa"/>
            <w:tcBorders>
              <w:top w:val="nil"/>
              <w:left w:val="nil"/>
              <w:bottom w:val="nil"/>
              <w:right w:val="nil"/>
            </w:tcBorders>
            <w:shd w:val="clear" w:color="auto" w:fill="auto"/>
          </w:tcPr>
          <w:p w14:paraId="3C1CF0A1" w14:textId="77777777" w:rsidR="009E5C5E" w:rsidRPr="00CE47DE" w:rsidRDefault="009E5C5E" w:rsidP="009E5C5E">
            <w:pPr>
              <w:jc w:val="center"/>
              <w:rPr>
                <w:rFonts w:eastAsia="Calibri"/>
                <w:lang w:eastAsia="en-US"/>
              </w:rPr>
            </w:pPr>
            <w:r w:rsidRPr="00CE47DE">
              <w:rPr>
                <w:rFonts w:eastAsia="Calibri"/>
                <w:lang w:eastAsia="en-US"/>
              </w:rPr>
              <w:t>46</w:t>
            </w:r>
          </w:p>
        </w:tc>
        <w:tc>
          <w:tcPr>
            <w:tcW w:w="1418" w:type="dxa"/>
            <w:tcBorders>
              <w:top w:val="nil"/>
              <w:left w:val="nil"/>
              <w:bottom w:val="nil"/>
              <w:right w:val="nil"/>
            </w:tcBorders>
            <w:shd w:val="clear" w:color="auto" w:fill="auto"/>
          </w:tcPr>
          <w:p w14:paraId="3D482DA0" w14:textId="77777777" w:rsidR="009E5C5E" w:rsidRPr="00CE47DE" w:rsidRDefault="009E5C5E" w:rsidP="009E5C5E">
            <w:pPr>
              <w:jc w:val="center"/>
              <w:rPr>
                <w:rFonts w:eastAsia="Calibri"/>
                <w:lang w:eastAsia="en-US"/>
              </w:rPr>
            </w:pPr>
            <w:r w:rsidRPr="00CE47DE">
              <w:rPr>
                <w:rFonts w:eastAsia="Calibri"/>
                <w:lang w:eastAsia="en-US"/>
              </w:rPr>
              <w:t>1.4 (0.9)</w:t>
            </w:r>
          </w:p>
        </w:tc>
        <w:tc>
          <w:tcPr>
            <w:tcW w:w="567" w:type="dxa"/>
            <w:tcBorders>
              <w:top w:val="nil"/>
              <w:left w:val="nil"/>
              <w:bottom w:val="nil"/>
              <w:right w:val="nil"/>
            </w:tcBorders>
            <w:shd w:val="clear" w:color="auto" w:fill="auto"/>
          </w:tcPr>
          <w:p w14:paraId="150B2480" w14:textId="77777777" w:rsidR="009E5C5E" w:rsidRPr="00CE47DE" w:rsidRDefault="009E5C5E" w:rsidP="009E5C5E">
            <w:pPr>
              <w:jc w:val="center"/>
              <w:rPr>
                <w:rFonts w:eastAsia="Calibri"/>
                <w:lang w:eastAsia="en-US"/>
              </w:rPr>
            </w:pPr>
            <w:r w:rsidRPr="00CE47DE">
              <w:rPr>
                <w:rFonts w:eastAsia="Calibri"/>
                <w:lang w:eastAsia="en-US"/>
              </w:rPr>
              <w:t>40</w:t>
            </w:r>
          </w:p>
        </w:tc>
        <w:tc>
          <w:tcPr>
            <w:tcW w:w="1276" w:type="dxa"/>
            <w:tcBorders>
              <w:top w:val="nil"/>
              <w:left w:val="nil"/>
              <w:bottom w:val="nil"/>
              <w:right w:val="nil"/>
            </w:tcBorders>
            <w:shd w:val="clear" w:color="auto" w:fill="auto"/>
          </w:tcPr>
          <w:p w14:paraId="67840004" w14:textId="77777777" w:rsidR="009E5C5E" w:rsidRPr="00CE47DE" w:rsidRDefault="009E5C5E" w:rsidP="009E5C5E">
            <w:pPr>
              <w:jc w:val="center"/>
              <w:rPr>
                <w:rFonts w:eastAsia="Calibri"/>
                <w:lang w:eastAsia="en-US"/>
              </w:rPr>
            </w:pPr>
            <w:r w:rsidRPr="00CE47DE">
              <w:rPr>
                <w:rFonts w:eastAsia="Calibri"/>
                <w:lang w:eastAsia="en-US"/>
              </w:rPr>
              <w:t>1.4 (0.9)</w:t>
            </w:r>
          </w:p>
        </w:tc>
        <w:tc>
          <w:tcPr>
            <w:tcW w:w="567" w:type="dxa"/>
            <w:tcBorders>
              <w:top w:val="nil"/>
              <w:left w:val="nil"/>
              <w:bottom w:val="nil"/>
              <w:right w:val="nil"/>
            </w:tcBorders>
            <w:shd w:val="clear" w:color="auto" w:fill="auto"/>
          </w:tcPr>
          <w:p w14:paraId="4E017829" w14:textId="77777777" w:rsidR="009E5C5E" w:rsidRPr="00CE47DE" w:rsidRDefault="009E5C5E" w:rsidP="009E5C5E">
            <w:pPr>
              <w:jc w:val="center"/>
              <w:rPr>
                <w:rFonts w:eastAsia="Calibri"/>
                <w:lang w:eastAsia="en-US"/>
              </w:rPr>
            </w:pPr>
            <w:r w:rsidRPr="00CE47DE">
              <w:rPr>
                <w:rFonts w:eastAsia="Calibri"/>
                <w:lang w:eastAsia="en-US"/>
              </w:rPr>
              <w:t>37</w:t>
            </w:r>
          </w:p>
        </w:tc>
        <w:tc>
          <w:tcPr>
            <w:tcW w:w="1235" w:type="dxa"/>
            <w:tcBorders>
              <w:top w:val="nil"/>
              <w:left w:val="nil"/>
              <w:bottom w:val="nil"/>
              <w:right w:val="nil"/>
            </w:tcBorders>
            <w:shd w:val="clear" w:color="auto" w:fill="auto"/>
          </w:tcPr>
          <w:p w14:paraId="296BAD83" w14:textId="77777777" w:rsidR="009E5C5E" w:rsidRPr="00CE47DE" w:rsidRDefault="009E5C5E" w:rsidP="009E5C5E">
            <w:pPr>
              <w:jc w:val="center"/>
              <w:rPr>
                <w:rFonts w:eastAsia="Calibri"/>
                <w:lang w:eastAsia="en-US"/>
              </w:rPr>
            </w:pPr>
            <w:r w:rsidRPr="00CE47DE">
              <w:rPr>
                <w:rFonts w:eastAsia="Calibri"/>
                <w:lang w:eastAsia="en-US"/>
              </w:rPr>
              <w:t>0.0267</w:t>
            </w:r>
          </w:p>
        </w:tc>
      </w:tr>
      <w:tr w:rsidR="009E5C5E" w:rsidRPr="00CE47DE" w14:paraId="6F70BAA6" w14:textId="77777777" w:rsidTr="00BF1153">
        <w:tc>
          <w:tcPr>
            <w:tcW w:w="1809" w:type="dxa"/>
            <w:tcBorders>
              <w:top w:val="nil"/>
              <w:left w:val="nil"/>
              <w:bottom w:val="nil"/>
              <w:right w:val="nil"/>
            </w:tcBorders>
            <w:shd w:val="clear" w:color="auto" w:fill="auto"/>
          </w:tcPr>
          <w:p w14:paraId="5F78713E" w14:textId="77777777" w:rsidR="009E5C5E" w:rsidRPr="00CE47DE" w:rsidRDefault="009E5C5E" w:rsidP="009E5C5E">
            <w:pPr>
              <w:rPr>
                <w:rFonts w:eastAsia="Calibri"/>
                <w:lang w:eastAsia="en-US"/>
              </w:rPr>
            </w:pPr>
          </w:p>
        </w:tc>
        <w:tc>
          <w:tcPr>
            <w:tcW w:w="1328" w:type="dxa"/>
            <w:tcBorders>
              <w:top w:val="nil"/>
              <w:left w:val="nil"/>
              <w:bottom w:val="nil"/>
              <w:right w:val="nil"/>
            </w:tcBorders>
            <w:shd w:val="clear" w:color="auto" w:fill="auto"/>
          </w:tcPr>
          <w:p w14:paraId="2A9D4AEA" w14:textId="77777777" w:rsidR="009E5C5E" w:rsidRPr="00CE47DE" w:rsidRDefault="009E5C5E" w:rsidP="009E5C5E">
            <w:pPr>
              <w:rPr>
                <w:rFonts w:eastAsia="Calibri"/>
                <w:lang w:eastAsia="en-US"/>
              </w:rPr>
            </w:pPr>
            <w:proofErr w:type="spellStart"/>
            <w:r w:rsidRPr="00CE47DE">
              <w:rPr>
                <w:rFonts w:eastAsia="Calibri"/>
                <w:lang w:eastAsia="en-US"/>
              </w:rPr>
              <w:t>p</w:t>
            </w:r>
            <w:r w:rsidRPr="00CE47DE">
              <w:rPr>
                <w:rFonts w:eastAsia="Calibri"/>
                <w:vertAlign w:val="subscript"/>
                <w:lang w:eastAsia="en-US"/>
              </w:rPr>
              <w:t>group</w:t>
            </w:r>
            <w:proofErr w:type="spellEnd"/>
          </w:p>
        </w:tc>
        <w:tc>
          <w:tcPr>
            <w:tcW w:w="1276" w:type="dxa"/>
            <w:tcBorders>
              <w:top w:val="nil"/>
              <w:left w:val="nil"/>
              <w:bottom w:val="nil"/>
              <w:right w:val="nil"/>
            </w:tcBorders>
            <w:shd w:val="clear" w:color="auto" w:fill="auto"/>
          </w:tcPr>
          <w:p w14:paraId="6F4FC25B" w14:textId="77777777" w:rsidR="009E5C5E" w:rsidRPr="00CE47DE" w:rsidRDefault="009E5C5E" w:rsidP="009E5C5E">
            <w:pPr>
              <w:jc w:val="center"/>
              <w:rPr>
                <w:rFonts w:eastAsia="Calibri"/>
                <w:lang w:eastAsia="en-US"/>
              </w:rPr>
            </w:pPr>
            <w:r w:rsidRPr="00CE47DE">
              <w:rPr>
                <w:rFonts w:eastAsia="Calibri"/>
                <w:lang w:eastAsia="en-US"/>
              </w:rPr>
              <w:t>0.9524</w:t>
            </w:r>
          </w:p>
        </w:tc>
        <w:tc>
          <w:tcPr>
            <w:tcW w:w="567" w:type="dxa"/>
            <w:tcBorders>
              <w:top w:val="nil"/>
              <w:left w:val="nil"/>
              <w:bottom w:val="nil"/>
              <w:right w:val="nil"/>
            </w:tcBorders>
            <w:shd w:val="clear" w:color="auto" w:fill="auto"/>
          </w:tcPr>
          <w:p w14:paraId="61E0049C"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6A1DAFB5"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0FEAA732" w14:textId="77777777" w:rsidR="009E5C5E" w:rsidRPr="00CE47DE" w:rsidRDefault="009E5C5E" w:rsidP="009E5C5E">
            <w:pPr>
              <w:jc w:val="center"/>
              <w:rPr>
                <w:rFonts w:eastAsia="Calibri"/>
                <w:lang w:eastAsia="en-US"/>
              </w:rPr>
            </w:pPr>
          </w:p>
        </w:tc>
        <w:tc>
          <w:tcPr>
            <w:tcW w:w="1275" w:type="dxa"/>
            <w:tcBorders>
              <w:top w:val="nil"/>
              <w:left w:val="nil"/>
              <w:bottom w:val="nil"/>
              <w:right w:val="nil"/>
            </w:tcBorders>
            <w:shd w:val="clear" w:color="auto" w:fill="auto"/>
          </w:tcPr>
          <w:p w14:paraId="381CE6FB"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47D5FF67" w14:textId="77777777" w:rsidR="009E5C5E" w:rsidRPr="00CE47DE" w:rsidRDefault="009E5C5E" w:rsidP="009E5C5E">
            <w:pPr>
              <w:jc w:val="center"/>
              <w:rPr>
                <w:rFonts w:eastAsia="Calibri"/>
                <w:lang w:eastAsia="en-US"/>
              </w:rPr>
            </w:pPr>
          </w:p>
        </w:tc>
        <w:tc>
          <w:tcPr>
            <w:tcW w:w="1418" w:type="dxa"/>
            <w:tcBorders>
              <w:top w:val="nil"/>
              <w:left w:val="nil"/>
              <w:bottom w:val="nil"/>
              <w:right w:val="nil"/>
            </w:tcBorders>
            <w:shd w:val="clear" w:color="auto" w:fill="auto"/>
          </w:tcPr>
          <w:p w14:paraId="77B3F28C"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4D6CE6C9"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65DE85A8" w14:textId="77777777" w:rsidR="009E5C5E" w:rsidRPr="00CE47DE" w:rsidRDefault="009E5C5E" w:rsidP="009E5C5E">
            <w:pPr>
              <w:jc w:val="center"/>
              <w:rPr>
                <w:rFonts w:eastAsia="Calibri"/>
                <w:lang w:eastAsia="en-US"/>
              </w:rPr>
            </w:pPr>
            <w:r w:rsidRPr="00CE47DE">
              <w:rPr>
                <w:rFonts w:eastAsia="Calibri"/>
                <w:lang w:eastAsia="en-US"/>
              </w:rPr>
              <w:t>0.0030</w:t>
            </w:r>
          </w:p>
        </w:tc>
        <w:tc>
          <w:tcPr>
            <w:tcW w:w="567" w:type="dxa"/>
            <w:tcBorders>
              <w:top w:val="nil"/>
              <w:left w:val="nil"/>
              <w:bottom w:val="nil"/>
              <w:right w:val="nil"/>
            </w:tcBorders>
            <w:shd w:val="clear" w:color="auto" w:fill="auto"/>
          </w:tcPr>
          <w:p w14:paraId="24BA79AA" w14:textId="77777777" w:rsidR="009E5C5E" w:rsidRPr="00CE47DE" w:rsidRDefault="009E5C5E" w:rsidP="009E5C5E">
            <w:pPr>
              <w:jc w:val="center"/>
              <w:rPr>
                <w:rFonts w:eastAsia="Calibri"/>
                <w:lang w:eastAsia="en-US"/>
              </w:rPr>
            </w:pPr>
          </w:p>
        </w:tc>
        <w:tc>
          <w:tcPr>
            <w:tcW w:w="1235" w:type="dxa"/>
            <w:tcBorders>
              <w:top w:val="nil"/>
              <w:left w:val="nil"/>
              <w:bottom w:val="nil"/>
              <w:right w:val="nil"/>
            </w:tcBorders>
            <w:shd w:val="clear" w:color="auto" w:fill="auto"/>
          </w:tcPr>
          <w:p w14:paraId="20DA3D5C" w14:textId="77777777" w:rsidR="009E5C5E" w:rsidRPr="00CE47DE" w:rsidRDefault="009E5C5E" w:rsidP="009E5C5E">
            <w:pPr>
              <w:jc w:val="center"/>
              <w:rPr>
                <w:rFonts w:eastAsia="Calibri"/>
                <w:lang w:eastAsia="en-US"/>
              </w:rPr>
            </w:pPr>
          </w:p>
        </w:tc>
      </w:tr>
      <w:tr w:rsidR="009E5C5E" w:rsidRPr="00CE47DE" w14:paraId="1B7E8BE2" w14:textId="77777777" w:rsidTr="00BF1153">
        <w:tc>
          <w:tcPr>
            <w:tcW w:w="1809" w:type="dxa"/>
            <w:tcBorders>
              <w:top w:val="nil"/>
              <w:left w:val="nil"/>
              <w:bottom w:val="single" w:sz="4" w:space="0" w:color="auto"/>
              <w:right w:val="nil"/>
            </w:tcBorders>
            <w:shd w:val="clear" w:color="auto" w:fill="auto"/>
          </w:tcPr>
          <w:p w14:paraId="52B57667" w14:textId="77777777" w:rsidR="009E5C5E" w:rsidRPr="00CE47DE" w:rsidRDefault="009E5C5E" w:rsidP="009E5C5E">
            <w:pPr>
              <w:rPr>
                <w:rFonts w:eastAsia="Calibri"/>
                <w:lang w:eastAsia="en-US"/>
              </w:rPr>
            </w:pPr>
          </w:p>
        </w:tc>
        <w:tc>
          <w:tcPr>
            <w:tcW w:w="1328" w:type="dxa"/>
            <w:tcBorders>
              <w:top w:val="nil"/>
              <w:left w:val="nil"/>
              <w:bottom w:val="single" w:sz="4" w:space="0" w:color="auto"/>
              <w:right w:val="nil"/>
            </w:tcBorders>
            <w:shd w:val="clear" w:color="auto" w:fill="auto"/>
          </w:tcPr>
          <w:p w14:paraId="168C3040" w14:textId="218A6579" w:rsidR="009E5C5E" w:rsidRPr="00CE47DE" w:rsidRDefault="009E5C5E" w:rsidP="009E5C5E">
            <w:pPr>
              <w:rPr>
                <w:rFonts w:eastAsia="Calibri"/>
                <w:lang w:eastAsia="en-US"/>
              </w:rPr>
            </w:pPr>
            <w:r w:rsidRPr="00CE47DE">
              <w:rPr>
                <w:rFonts w:eastAsia="Calibri"/>
                <w:lang w:eastAsia="en-US"/>
              </w:rPr>
              <w:t>CI</w:t>
            </w:r>
            <w:r w:rsidR="00AD47B6" w:rsidRPr="00CE47DE">
              <w:rPr>
                <w:rFonts w:eastAsia="Calibri"/>
                <w:lang w:eastAsia="en-US"/>
              </w:rPr>
              <w:t xml:space="preserve"> </w:t>
            </w:r>
            <w:r w:rsidRPr="00CE47DE">
              <w:rPr>
                <w:rFonts w:eastAsia="Calibri"/>
                <w:lang w:eastAsia="en-US"/>
              </w:rPr>
              <w:t>95%</w:t>
            </w:r>
          </w:p>
        </w:tc>
        <w:tc>
          <w:tcPr>
            <w:tcW w:w="1276" w:type="dxa"/>
            <w:tcBorders>
              <w:top w:val="nil"/>
              <w:left w:val="nil"/>
              <w:bottom w:val="single" w:sz="4" w:space="0" w:color="auto"/>
              <w:right w:val="nil"/>
            </w:tcBorders>
            <w:shd w:val="clear" w:color="auto" w:fill="auto"/>
          </w:tcPr>
          <w:p w14:paraId="1B23D122" w14:textId="77777777" w:rsidR="009E5C5E" w:rsidRPr="00CE47DE" w:rsidRDefault="009E5C5E" w:rsidP="009E5C5E">
            <w:pPr>
              <w:jc w:val="center"/>
              <w:rPr>
                <w:rFonts w:eastAsia="Calibri"/>
                <w:lang w:eastAsia="en-US"/>
              </w:rPr>
            </w:pPr>
            <w:r w:rsidRPr="00CE47DE">
              <w:rPr>
                <w:rFonts w:eastAsia="Calibri"/>
                <w:lang w:eastAsia="en-US"/>
              </w:rPr>
              <w:t>–0.8–0.3</w:t>
            </w:r>
          </w:p>
        </w:tc>
        <w:tc>
          <w:tcPr>
            <w:tcW w:w="567" w:type="dxa"/>
            <w:tcBorders>
              <w:top w:val="nil"/>
              <w:left w:val="nil"/>
              <w:bottom w:val="single" w:sz="4" w:space="0" w:color="auto"/>
              <w:right w:val="nil"/>
            </w:tcBorders>
            <w:shd w:val="clear" w:color="auto" w:fill="auto"/>
          </w:tcPr>
          <w:p w14:paraId="481ABC93"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44C12839" w14:textId="77777777" w:rsidR="009E5C5E" w:rsidRPr="00CE47DE" w:rsidRDefault="009E5C5E" w:rsidP="009E5C5E">
            <w:pPr>
              <w:jc w:val="center"/>
              <w:rPr>
                <w:rFonts w:eastAsia="Calibri"/>
                <w:lang w:eastAsia="en-US"/>
              </w:rPr>
            </w:pPr>
            <w:r w:rsidRPr="00CE47DE">
              <w:rPr>
                <w:rFonts w:eastAsia="Calibri"/>
                <w:lang w:eastAsia="en-US"/>
              </w:rPr>
              <w:t>0.8–2.0</w:t>
            </w:r>
          </w:p>
        </w:tc>
        <w:tc>
          <w:tcPr>
            <w:tcW w:w="567" w:type="dxa"/>
            <w:tcBorders>
              <w:top w:val="nil"/>
              <w:left w:val="nil"/>
              <w:bottom w:val="single" w:sz="4" w:space="0" w:color="auto"/>
              <w:right w:val="nil"/>
            </w:tcBorders>
            <w:shd w:val="clear" w:color="auto" w:fill="auto"/>
          </w:tcPr>
          <w:p w14:paraId="4130DDDC" w14:textId="77777777" w:rsidR="009E5C5E" w:rsidRPr="00CE47DE" w:rsidRDefault="009E5C5E" w:rsidP="009E5C5E">
            <w:pPr>
              <w:jc w:val="center"/>
              <w:rPr>
                <w:rFonts w:eastAsia="Calibri"/>
                <w:lang w:eastAsia="en-US"/>
              </w:rPr>
            </w:pPr>
          </w:p>
        </w:tc>
        <w:tc>
          <w:tcPr>
            <w:tcW w:w="1275" w:type="dxa"/>
            <w:tcBorders>
              <w:top w:val="nil"/>
              <w:left w:val="nil"/>
              <w:bottom w:val="single" w:sz="4" w:space="0" w:color="auto"/>
              <w:right w:val="nil"/>
            </w:tcBorders>
            <w:shd w:val="clear" w:color="auto" w:fill="auto"/>
          </w:tcPr>
          <w:p w14:paraId="0ABC21E2" w14:textId="77777777" w:rsidR="009E5C5E" w:rsidRPr="00CE47DE" w:rsidRDefault="009E5C5E" w:rsidP="009E5C5E">
            <w:pPr>
              <w:jc w:val="center"/>
              <w:rPr>
                <w:rFonts w:eastAsia="Calibri"/>
                <w:lang w:eastAsia="en-US"/>
              </w:rPr>
            </w:pPr>
            <w:r w:rsidRPr="00CE47DE">
              <w:rPr>
                <w:rFonts w:eastAsia="Calibri"/>
                <w:lang w:eastAsia="en-US"/>
              </w:rPr>
              <w:t>0.7–1.9</w:t>
            </w:r>
          </w:p>
        </w:tc>
        <w:tc>
          <w:tcPr>
            <w:tcW w:w="567" w:type="dxa"/>
            <w:tcBorders>
              <w:top w:val="nil"/>
              <w:left w:val="nil"/>
              <w:bottom w:val="single" w:sz="4" w:space="0" w:color="auto"/>
              <w:right w:val="nil"/>
            </w:tcBorders>
            <w:shd w:val="clear" w:color="auto" w:fill="auto"/>
          </w:tcPr>
          <w:p w14:paraId="6E6C9039" w14:textId="77777777" w:rsidR="009E5C5E" w:rsidRPr="00CE47DE" w:rsidRDefault="009E5C5E" w:rsidP="009E5C5E">
            <w:pPr>
              <w:jc w:val="center"/>
              <w:rPr>
                <w:rFonts w:eastAsia="Calibri"/>
                <w:lang w:eastAsia="en-US"/>
              </w:rPr>
            </w:pPr>
          </w:p>
        </w:tc>
        <w:tc>
          <w:tcPr>
            <w:tcW w:w="1418" w:type="dxa"/>
            <w:tcBorders>
              <w:top w:val="nil"/>
              <w:left w:val="nil"/>
              <w:bottom w:val="single" w:sz="4" w:space="0" w:color="auto"/>
              <w:right w:val="nil"/>
            </w:tcBorders>
            <w:shd w:val="clear" w:color="auto" w:fill="auto"/>
          </w:tcPr>
          <w:p w14:paraId="55E5D297" w14:textId="77777777" w:rsidR="009E5C5E" w:rsidRPr="00CE47DE" w:rsidRDefault="009E5C5E" w:rsidP="009E5C5E">
            <w:pPr>
              <w:jc w:val="center"/>
              <w:rPr>
                <w:rFonts w:eastAsia="Calibri"/>
                <w:lang w:eastAsia="en-US"/>
              </w:rPr>
            </w:pPr>
            <w:r w:rsidRPr="00CE47DE">
              <w:rPr>
                <w:rFonts w:eastAsia="Calibri"/>
                <w:lang w:eastAsia="en-US"/>
              </w:rPr>
              <w:t>0.3–1.6</w:t>
            </w:r>
          </w:p>
        </w:tc>
        <w:tc>
          <w:tcPr>
            <w:tcW w:w="567" w:type="dxa"/>
            <w:tcBorders>
              <w:top w:val="nil"/>
              <w:left w:val="nil"/>
              <w:bottom w:val="single" w:sz="4" w:space="0" w:color="auto"/>
              <w:right w:val="nil"/>
            </w:tcBorders>
            <w:shd w:val="clear" w:color="auto" w:fill="auto"/>
          </w:tcPr>
          <w:p w14:paraId="6CCCDCAB" w14:textId="77777777" w:rsidR="009E5C5E" w:rsidRPr="00CE47DE" w:rsidRDefault="009E5C5E" w:rsidP="009E5C5E">
            <w:pPr>
              <w:jc w:val="center"/>
              <w:rPr>
                <w:rFonts w:eastAsia="Calibri"/>
                <w:lang w:eastAsia="en-US"/>
              </w:rPr>
            </w:pPr>
          </w:p>
        </w:tc>
        <w:tc>
          <w:tcPr>
            <w:tcW w:w="1276" w:type="dxa"/>
            <w:tcBorders>
              <w:top w:val="nil"/>
              <w:left w:val="nil"/>
              <w:bottom w:val="single" w:sz="4" w:space="0" w:color="auto"/>
              <w:right w:val="nil"/>
            </w:tcBorders>
            <w:shd w:val="clear" w:color="auto" w:fill="auto"/>
          </w:tcPr>
          <w:p w14:paraId="0A3A88F5" w14:textId="77777777" w:rsidR="009E5C5E" w:rsidRPr="00CE47DE" w:rsidRDefault="009E5C5E" w:rsidP="009E5C5E">
            <w:pPr>
              <w:jc w:val="center"/>
              <w:rPr>
                <w:rFonts w:eastAsia="Calibri"/>
                <w:lang w:eastAsia="en-US"/>
              </w:rPr>
            </w:pPr>
            <w:r w:rsidRPr="00CE47DE">
              <w:rPr>
                <w:rFonts w:eastAsia="Calibri"/>
                <w:lang w:eastAsia="en-US"/>
              </w:rPr>
              <w:t>0.2–1.4</w:t>
            </w:r>
          </w:p>
        </w:tc>
        <w:tc>
          <w:tcPr>
            <w:tcW w:w="567" w:type="dxa"/>
            <w:tcBorders>
              <w:top w:val="nil"/>
              <w:left w:val="nil"/>
              <w:bottom w:val="single" w:sz="4" w:space="0" w:color="auto"/>
              <w:right w:val="nil"/>
            </w:tcBorders>
            <w:shd w:val="clear" w:color="auto" w:fill="auto"/>
          </w:tcPr>
          <w:p w14:paraId="02A4C3CC" w14:textId="77777777" w:rsidR="009E5C5E" w:rsidRPr="00CE47DE" w:rsidRDefault="009E5C5E" w:rsidP="009E5C5E">
            <w:pPr>
              <w:jc w:val="center"/>
              <w:rPr>
                <w:rFonts w:eastAsia="Calibri"/>
                <w:lang w:eastAsia="en-US"/>
              </w:rPr>
            </w:pPr>
          </w:p>
        </w:tc>
        <w:tc>
          <w:tcPr>
            <w:tcW w:w="1235" w:type="dxa"/>
            <w:tcBorders>
              <w:top w:val="nil"/>
              <w:left w:val="nil"/>
              <w:bottom w:val="single" w:sz="4" w:space="0" w:color="auto"/>
              <w:right w:val="nil"/>
            </w:tcBorders>
            <w:shd w:val="clear" w:color="auto" w:fill="auto"/>
          </w:tcPr>
          <w:p w14:paraId="05F823B5" w14:textId="77777777" w:rsidR="009E5C5E" w:rsidRPr="00CE47DE" w:rsidRDefault="009E5C5E" w:rsidP="009E5C5E">
            <w:pPr>
              <w:jc w:val="center"/>
              <w:rPr>
                <w:rFonts w:eastAsia="Calibri"/>
                <w:lang w:eastAsia="en-US"/>
              </w:rPr>
            </w:pPr>
          </w:p>
        </w:tc>
      </w:tr>
      <w:tr w:rsidR="009E5C5E" w:rsidRPr="00CE47DE" w14:paraId="705F1A51" w14:textId="77777777" w:rsidTr="00BF1153">
        <w:tc>
          <w:tcPr>
            <w:tcW w:w="1809" w:type="dxa"/>
            <w:tcBorders>
              <w:left w:val="nil"/>
              <w:bottom w:val="nil"/>
              <w:right w:val="nil"/>
            </w:tcBorders>
            <w:shd w:val="clear" w:color="auto" w:fill="auto"/>
          </w:tcPr>
          <w:p w14:paraId="60C91F41" w14:textId="77777777" w:rsidR="009E5C5E" w:rsidRPr="00CE47DE" w:rsidRDefault="009E5C5E" w:rsidP="009E5C5E">
            <w:pPr>
              <w:rPr>
                <w:rFonts w:eastAsia="Calibri"/>
                <w:lang w:eastAsia="en-US"/>
              </w:rPr>
            </w:pPr>
            <w:r w:rsidRPr="00CE47DE">
              <w:rPr>
                <w:rFonts w:eastAsia="Calibri"/>
                <w:lang w:eastAsia="en-US"/>
              </w:rPr>
              <w:t>Financial</w:t>
            </w:r>
          </w:p>
        </w:tc>
        <w:tc>
          <w:tcPr>
            <w:tcW w:w="1328" w:type="dxa"/>
            <w:tcBorders>
              <w:left w:val="nil"/>
              <w:bottom w:val="nil"/>
              <w:right w:val="nil"/>
            </w:tcBorders>
            <w:shd w:val="clear" w:color="auto" w:fill="auto"/>
          </w:tcPr>
          <w:p w14:paraId="1EC0DA1E" w14:textId="77777777" w:rsidR="009E5C5E" w:rsidRPr="00CE47DE" w:rsidRDefault="009E5C5E" w:rsidP="009E5C5E">
            <w:pPr>
              <w:rPr>
                <w:rFonts w:eastAsia="Calibri"/>
                <w:lang w:eastAsia="en-US"/>
              </w:rPr>
            </w:pPr>
            <w:r w:rsidRPr="00CE47DE">
              <w:rPr>
                <w:rFonts w:eastAsia="Calibri"/>
                <w:lang w:eastAsia="en-US"/>
              </w:rPr>
              <w:t>Intervention</w:t>
            </w:r>
          </w:p>
        </w:tc>
        <w:tc>
          <w:tcPr>
            <w:tcW w:w="1276" w:type="dxa"/>
            <w:tcBorders>
              <w:left w:val="nil"/>
              <w:bottom w:val="nil"/>
              <w:right w:val="nil"/>
            </w:tcBorders>
            <w:shd w:val="clear" w:color="auto" w:fill="auto"/>
          </w:tcPr>
          <w:p w14:paraId="677C766E" w14:textId="77777777" w:rsidR="009E5C5E" w:rsidRPr="00CE47DE" w:rsidRDefault="009E5C5E" w:rsidP="009E5C5E">
            <w:pPr>
              <w:jc w:val="center"/>
              <w:rPr>
                <w:rFonts w:eastAsia="Calibri"/>
                <w:lang w:eastAsia="en-US"/>
              </w:rPr>
            </w:pPr>
            <w:r w:rsidRPr="00CE47DE">
              <w:rPr>
                <w:rFonts w:eastAsia="Calibri"/>
                <w:lang w:eastAsia="en-US"/>
              </w:rPr>
              <w:t>1.5 (0.9)</w:t>
            </w:r>
          </w:p>
        </w:tc>
        <w:tc>
          <w:tcPr>
            <w:tcW w:w="567" w:type="dxa"/>
            <w:tcBorders>
              <w:left w:val="nil"/>
              <w:bottom w:val="nil"/>
              <w:right w:val="nil"/>
            </w:tcBorders>
            <w:shd w:val="clear" w:color="auto" w:fill="auto"/>
          </w:tcPr>
          <w:p w14:paraId="2CD84961"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left w:val="nil"/>
              <w:bottom w:val="nil"/>
              <w:right w:val="nil"/>
            </w:tcBorders>
            <w:shd w:val="clear" w:color="auto" w:fill="auto"/>
          </w:tcPr>
          <w:p w14:paraId="0083EBE7" w14:textId="77777777" w:rsidR="009E5C5E" w:rsidRPr="00CE47DE" w:rsidRDefault="009E5C5E" w:rsidP="009E5C5E">
            <w:pPr>
              <w:jc w:val="center"/>
              <w:rPr>
                <w:rFonts w:eastAsia="Calibri"/>
                <w:lang w:eastAsia="en-US"/>
              </w:rPr>
            </w:pPr>
            <w:r w:rsidRPr="00CE47DE">
              <w:rPr>
                <w:rFonts w:eastAsia="Calibri"/>
                <w:lang w:eastAsia="en-US"/>
              </w:rPr>
              <w:t>1.9 (0.5)</w:t>
            </w:r>
          </w:p>
        </w:tc>
        <w:tc>
          <w:tcPr>
            <w:tcW w:w="567" w:type="dxa"/>
            <w:tcBorders>
              <w:left w:val="nil"/>
              <w:bottom w:val="nil"/>
              <w:right w:val="nil"/>
            </w:tcBorders>
            <w:shd w:val="clear" w:color="auto" w:fill="auto"/>
          </w:tcPr>
          <w:p w14:paraId="5FFDB257"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left w:val="nil"/>
              <w:bottom w:val="nil"/>
              <w:right w:val="nil"/>
            </w:tcBorders>
            <w:shd w:val="clear" w:color="auto" w:fill="auto"/>
          </w:tcPr>
          <w:p w14:paraId="22AFA101" w14:textId="77777777" w:rsidR="009E5C5E" w:rsidRPr="00CE47DE" w:rsidRDefault="009E5C5E" w:rsidP="009E5C5E">
            <w:pPr>
              <w:jc w:val="center"/>
              <w:rPr>
                <w:rFonts w:eastAsia="Calibri"/>
                <w:lang w:eastAsia="en-US"/>
              </w:rPr>
            </w:pPr>
            <w:r w:rsidRPr="00CE47DE">
              <w:rPr>
                <w:rFonts w:eastAsia="Calibri"/>
                <w:lang w:eastAsia="en-US"/>
              </w:rPr>
              <w:t>1.9 (0.6)</w:t>
            </w:r>
          </w:p>
        </w:tc>
        <w:tc>
          <w:tcPr>
            <w:tcW w:w="567" w:type="dxa"/>
            <w:tcBorders>
              <w:left w:val="nil"/>
              <w:bottom w:val="nil"/>
              <w:right w:val="nil"/>
            </w:tcBorders>
            <w:shd w:val="clear" w:color="auto" w:fill="auto"/>
          </w:tcPr>
          <w:p w14:paraId="46C069CC" w14:textId="77777777" w:rsidR="009E5C5E" w:rsidRPr="00CE47DE" w:rsidRDefault="009E5C5E" w:rsidP="009E5C5E">
            <w:pPr>
              <w:jc w:val="center"/>
              <w:rPr>
                <w:rFonts w:eastAsia="Calibri"/>
                <w:lang w:eastAsia="en-US"/>
              </w:rPr>
            </w:pPr>
            <w:r w:rsidRPr="00CE47DE">
              <w:rPr>
                <w:rFonts w:eastAsia="Calibri"/>
                <w:lang w:eastAsia="en-US"/>
              </w:rPr>
              <w:t>49</w:t>
            </w:r>
          </w:p>
        </w:tc>
        <w:tc>
          <w:tcPr>
            <w:tcW w:w="1418" w:type="dxa"/>
            <w:tcBorders>
              <w:left w:val="nil"/>
              <w:bottom w:val="nil"/>
              <w:right w:val="nil"/>
            </w:tcBorders>
            <w:shd w:val="clear" w:color="auto" w:fill="auto"/>
          </w:tcPr>
          <w:p w14:paraId="5EA7870E" w14:textId="77777777" w:rsidR="009E5C5E" w:rsidRPr="00CE47DE" w:rsidRDefault="009E5C5E" w:rsidP="009E5C5E">
            <w:pPr>
              <w:jc w:val="center"/>
              <w:rPr>
                <w:rFonts w:eastAsia="Calibri"/>
                <w:lang w:eastAsia="en-US"/>
              </w:rPr>
            </w:pPr>
            <w:r w:rsidRPr="00CE47DE">
              <w:rPr>
                <w:rFonts w:eastAsia="Calibri"/>
                <w:lang w:eastAsia="en-US"/>
              </w:rPr>
              <w:t>2.4 (0.8)</w:t>
            </w:r>
          </w:p>
        </w:tc>
        <w:tc>
          <w:tcPr>
            <w:tcW w:w="567" w:type="dxa"/>
            <w:tcBorders>
              <w:left w:val="nil"/>
              <w:bottom w:val="nil"/>
              <w:right w:val="nil"/>
            </w:tcBorders>
            <w:shd w:val="clear" w:color="auto" w:fill="auto"/>
          </w:tcPr>
          <w:p w14:paraId="5BF51D05" w14:textId="77777777" w:rsidR="009E5C5E" w:rsidRPr="00CE47DE" w:rsidRDefault="009E5C5E" w:rsidP="009E5C5E">
            <w:pPr>
              <w:jc w:val="center"/>
              <w:rPr>
                <w:rFonts w:eastAsia="Calibri"/>
                <w:lang w:eastAsia="en-US"/>
              </w:rPr>
            </w:pPr>
            <w:r w:rsidRPr="00CE47DE">
              <w:rPr>
                <w:rFonts w:eastAsia="Calibri"/>
                <w:lang w:eastAsia="en-US"/>
              </w:rPr>
              <w:t>45</w:t>
            </w:r>
          </w:p>
        </w:tc>
        <w:tc>
          <w:tcPr>
            <w:tcW w:w="1276" w:type="dxa"/>
            <w:tcBorders>
              <w:left w:val="nil"/>
              <w:bottom w:val="nil"/>
              <w:right w:val="nil"/>
            </w:tcBorders>
            <w:shd w:val="clear" w:color="auto" w:fill="auto"/>
          </w:tcPr>
          <w:p w14:paraId="65672919" w14:textId="77777777" w:rsidR="009E5C5E" w:rsidRPr="00CE47DE" w:rsidRDefault="009E5C5E" w:rsidP="009E5C5E">
            <w:pPr>
              <w:jc w:val="center"/>
              <w:rPr>
                <w:rFonts w:eastAsia="Calibri"/>
                <w:lang w:eastAsia="en-US"/>
              </w:rPr>
            </w:pPr>
            <w:r w:rsidRPr="00CE47DE">
              <w:rPr>
                <w:rFonts w:eastAsia="Calibri"/>
                <w:lang w:eastAsia="en-US"/>
              </w:rPr>
              <w:t>2.5 (0.7)</w:t>
            </w:r>
          </w:p>
        </w:tc>
        <w:tc>
          <w:tcPr>
            <w:tcW w:w="567" w:type="dxa"/>
            <w:tcBorders>
              <w:left w:val="nil"/>
              <w:bottom w:val="nil"/>
              <w:right w:val="nil"/>
            </w:tcBorders>
            <w:shd w:val="clear" w:color="auto" w:fill="auto"/>
          </w:tcPr>
          <w:p w14:paraId="41A08D95" w14:textId="77777777" w:rsidR="009E5C5E" w:rsidRPr="00CE47DE" w:rsidRDefault="009E5C5E" w:rsidP="009E5C5E">
            <w:pPr>
              <w:jc w:val="center"/>
              <w:rPr>
                <w:rFonts w:eastAsia="Calibri"/>
                <w:lang w:eastAsia="en-US"/>
              </w:rPr>
            </w:pPr>
            <w:r w:rsidRPr="00CE47DE">
              <w:rPr>
                <w:rFonts w:eastAsia="Calibri"/>
                <w:lang w:eastAsia="en-US"/>
              </w:rPr>
              <w:t>44</w:t>
            </w:r>
          </w:p>
        </w:tc>
        <w:tc>
          <w:tcPr>
            <w:tcW w:w="1235" w:type="dxa"/>
            <w:tcBorders>
              <w:left w:val="nil"/>
              <w:bottom w:val="nil"/>
              <w:right w:val="nil"/>
            </w:tcBorders>
            <w:shd w:val="clear" w:color="auto" w:fill="auto"/>
          </w:tcPr>
          <w:p w14:paraId="47645D61" w14:textId="77777777" w:rsidR="009E5C5E" w:rsidRPr="00CE47DE" w:rsidRDefault="009E5C5E" w:rsidP="009E5C5E">
            <w:pPr>
              <w:jc w:val="center"/>
              <w:rPr>
                <w:rFonts w:eastAsia="Calibri"/>
                <w:lang w:eastAsia="en-US"/>
              </w:rPr>
            </w:pPr>
            <w:r w:rsidRPr="00CE47DE">
              <w:rPr>
                <w:rFonts w:eastAsia="Calibri"/>
                <w:lang w:eastAsia="en-US"/>
              </w:rPr>
              <w:t>&lt;.0001</w:t>
            </w:r>
          </w:p>
        </w:tc>
      </w:tr>
      <w:tr w:rsidR="009E5C5E" w:rsidRPr="00CE47DE" w14:paraId="43A527A9" w14:textId="77777777" w:rsidTr="00BF1153">
        <w:tc>
          <w:tcPr>
            <w:tcW w:w="1809" w:type="dxa"/>
            <w:tcBorders>
              <w:top w:val="nil"/>
              <w:left w:val="nil"/>
              <w:bottom w:val="nil"/>
              <w:right w:val="nil"/>
            </w:tcBorders>
            <w:shd w:val="clear" w:color="auto" w:fill="auto"/>
          </w:tcPr>
          <w:p w14:paraId="0B818B97" w14:textId="742DA285" w:rsidR="009E5C5E" w:rsidRPr="00CE47DE" w:rsidRDefault="009E5C5E" w:rsidP="00B2471F">
            <w:pPr>
              <w:rPr>
                <w:rFonts w:eastAsia="Calibri"/>
                <w:lang w:eastAsia="en-US"/>
              </w:rPr>
            </w:pPr>
            <w:r w:rsidRPr="00CE47DE">
              <w:rPr>
                <w:rFonts w:eastAsia="Calibri"/>
                <w:lang w:eastAsia="en-US"/>
              </w:rPr>
              <w:t>(</w:t>
            </w:r>
            <w:r w:rsidR="00B2471F" w:rsidRPr="00CE47DE">
              <w:rPr>
                <w:rFonts w:eastAsia="Calibri"/>
                <w:lang w:eastAsia="en-US"/>
              </w:rPr>
              <w:t>0–</w:t>
            </w:r>
            <w:r w:rsidRPr="00CE47DE">
              <w:rPr>
                <w:rFonts w:eastAsia="Calibri"/>
                <w:lang w:eastAsia="en-US"/>
              </w:rPr>
              <w:t>3)</w:t>
            </w:r>
          </w:p>
        </w:tc>
        <w:tc>
          <w:tcPr>
            <w:tcW w:w="1328" w:type="dxa"/>
            <w:tcBorders>
              <w:top w:val="nil"/>
              <w:left w:val="nil"/>
              <w:bottom w:val="nil"/>
              <w:right w:val="nil"/>
            </w:tcBorders>
            <w:shd w:val="clear" w:color="auto" w:fill="auto"/>
          </w:tcPr>
          <w:p w14:paraId="03D4E492" w14:textId="77777777" w:rsidR="009E5C5E" w:rsidRPr="00CE47DE" w:rsidRDefault="009E5C5E" w:rsidP="009E5C5E">
            <w:pPr>
              <w:rPr>
                <w:rFonts w:eastAsia="Calibri"/>
                <w:lang w:eastAsia="en-US"/>
              </w:rPr>
            </w:pPr>
            <w:r w:rsidRPr="00CE47DE">
              <w:rPr>
                <w:rFonts w:eastAsia="Calibri"/>
                <w:lang w:eastAsia="en-US"/>
              </w:rPr>
              <w:t>Control</w:t>
            </w:r>
          </w:p>
        </w:tc>
        <w:tc>
          <w:tcPr>
            <w:tcW w:w="1276" w:type="dxa"/>
            <w:tcBorders>
              <w:top w:val="nil"/>
              <w:left w:val="nil"/>
              <w:bottom w:val="nil"/>
              <w:right w:val="nil"/>
            </w:tcBorders>
            <w:shd w:val="clear" w:color="auto" w:fill="auto"/>
          </w:tcPr>
          <w:p w14:paraId="195157CF" w14:textId="77777777" w:rsidR="009E5C5E" w:rsidRPr="00CE47DE" w:rsidRDefault="009E5C5E" w:rsidP="009E5C5E">
            <w:pPr>
              <w:jc w:val="center"/>
              <w:rPr>
                <w:rFonts w:eastAsia="Calibri"/>
                <w:lang w:eastAsia="en-US"/>
              </w:rPr>
            </w:pPr>
            <w:r w:rsidRPr="00CE47DE">
              <w:rPr>
                <w:rFonts w:eastAsia="Calibri"/>
                <w:lang w:eastAsia="en-US"/>
              </w:rPr>
              <w:t>1.9 (1.2)</w:t>
            </w:r>
          </w:p>
        </w:tc>
        <w:tc>
          <w:tcPr>
            <w:tcW w:w="567" w:type="dxa"/>
            <w:tcBorders>
              <w:top w:val="nil"/>
              <w:left w:val="nil"/>
              <w:bottom w:val="nil"/>
              <w:right w:val="nil"/>
            </w:tcBorders>
            <w:shd w:val="clear" w:color="auto" w:fill="auto"/>
          </w:tcPr>
          <w:p w14:paraId="60A25E77"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6" w:type="dxa"/>
            <w:tcBorders>
              <w:top w:val="nil"/>
              <w:left w:val="nil"/>
              <w:bottom w:val="nil"/>
              <w:right w:val="nil"/>
            </w:tcBorders>
            <w:shd w:val="clear" w:color="auto" w:fill="auto"/>
          </w:tcPr>
          <w:p w14:paraId="500ED2E5" w14:textId="77777777" w:rsidR="009E5C5E" w:rsidRPr="00CE47DE" w:rsidRDefault="009E5C5E" w:rsidP="009E5C5E">
            <w:pPr>
              <w:jc w:val="center"/>
              <w:rPr>
                <w:rFonts w:eastAsia="Calibri"/>
                <w:lang w:eastAsia="en-US"/>
              </w:rPr>
            </w:pPr>
            <w:r w:rsidRPr="00CE47DE">
              <w:rPr>
                <w:rFonts w:eastAsia="Calibri"/>
                <w:lang w:eastAsia="en-US"/>
              </w:rPr>
              <w:t>1.7 (0.9)</w:t>
            </w:r>
          </w:p>
        </w:tc>
        <w:tc>
          <w:tcPr>
            <w:tcW w:w="567" w:type="dxa"/>
            <w:tcBorders>
              <w:top w:val="nil"/>
              <w:left w:val="nil"/>
              <w:bottom w:val="nil"/>
              <w:right w:val="nil"/>
            </w:tcBorders>
            <w:shd w:val="clear" w:color="auto" w:fill="auto"/>
          </w:tcPr>
          <w:p w14:paraId="63BD88F6" w14:textId="77777777" w:rsidR="009E5C5E" w:rsidRPr="00CE47DE" w:rsidRDefault="009E5C5E" w:rsidP="009E5C5E">
            <w:pPr>
              <w:jc w:val="center"/>
              <w:rPr>
                <w:rFonts w:eastAsia="Calibri"/>
                <w:lang w:eastAsia="en-US"/>
              </w:rPr>
            </w:pPr>
            <w:r w:rsidRPr="00CE47DE">
              <w:rPr>
                <w:rFonts w:eastAsia="Calibri"/>
                <w:lang w:eastAsia="en-US"/>
              </w:rPr>
              <w:t>50</w:t>
            </w:r>
          </w:p>
        </w:tc>
        <w:tc>
          <w:tcPr>
            <w:tcW w:w="1275" w:type="dxa"/>
            <w:tcBorders>
              <w:top w:val="nil"/>
              <w:left w:val="nil"/>
              <w:bottom w:val="nil"/>
              <w:right w:val="nil"/>
            </w:tcBorders>
            <w:shd w:val="clear" w:color="auto" w:fill="auto"/>
          </w:tcPr>
          <w:p w14:paraId="793C232D" w14:textId="77777777" w:rsidR="009E5C5E" w:rsidRPr="00CE47DE" w:rsidRDefault="009E5C5E" w:rsidP="009E5C5E">
            <w:pPr>
              <w:jc w:val="center"/>
              <w:rPr>
                <w:rFonts w:eastAsia="Calibri"/>
                <w:lang w:eastAsia="en-US"/>
              </w:rPr>
            </w:pPr>
            <w:r w:rsidRPr="00CE47DE">
              <w:rPr>
                <w:rFonts w:eastAsia="Calibri"/>
                <w:lang w:eastAsia="en-US"/>
              </w:rPr>
              <w:t>1.8 (1.0)</w:t>
            </w:r>
          </w:p>
        </w:tc>
        <w:tc>
          <w:tcPr>
            <w:tcW w:w="567" w:type="dxa"/>
            <w:tcBorders>
              <w:top w:val="nil"/>
              <w:left w:val="nil"/>
              <w:bottom w:val="nil"/>
              <w:right w:val="nil"/>
            </w:tcBorders>
            <w:shd w:val="clear" w:color="auto" w:fill="auto"/>
          </w:tcPr>
          <w:p w14:paraId="131E5F13" w14:textId="77777777" w:rsidR="009E5C5E" w:rsidRPr="00CE47DE" w:rsidRDefault="009E5C5E" w:rsidP="009E5C5E">
            <w:pPr>
              <w:jc w:val="center"/>
              <w:rPr>
                <w:rFonts w:eastAsia="Calibri"/>
                <w:lang w:eastAsia="en-US"/>
              </w:rPr>
            </w:pPr>
            <w:r w:rsidRPr="00CE47DE">
              <w:rPr>
                <w:rFonts w:eastAsia="Calibri"/>
                <w:lang w:eastAsia="en-US"/>
              </w:rPr>
              <w:t>46</w:t>
            </w:r>
          </w:p>
        </w:tc>
        <w:tc>
          <w:tcPr>
            <w:tcW w:w="1418" w:type="dxa"/>
            <w:tcBorders>
              <w:top w:val="nil"/>
              <w:left w:val="nil"/>
              <w:bottom w:val="nil"/>
              <w:right w:val="nil"/>
            </w:tcBorders>
            <w:shd w:val="clear" w:color="auto" w:fill="auto"/>
          </w:tcPr>
          <w:p w14:paraId="0F321AC5" w14:textId="77777777" w:rsidR="009E5C5E" w:rsidRPr="00CE47DE" w:rsidRDefault="009E5C5E" w:rsidP="009E5C5E">
            <w:pPr>
              <w:jc w:val="center"/>
              <w:rPr>
                <w:rFonts w:eastAsia="Calibri"/>
                <w:lang w:eastAsia="en-US"/>
              </w:rPr>
            </w:pPr>
            <w:r w:rsidRPr="00CE47DE">
              <w:rPr>
                <w:rFonts w:eastAsia="Calibri"/>
                <w:lang w:eastAsia="en-US"/>
              </w:rPr>
              <w:t>1.7 (0.9)</w:t>
            </w:r>
          </w:p>
        </w:tc>
        <w:tc>
          <w:tcPr>
            <w:tcW w:w="567" w:type="dxa"/>
            <w:tcBorders>
              <w:top w:val="nil"/>
              <w:left w:val="nil"/>
              <w:bottom w:val="nil"/>
              <w:right w:val="nil"/>
            </w:tcBorders>
            <w:shd w:val="clear" w:color="auto" w:fill="auto"/>
          </w:tcPr>
          <w:p w14:paraId="1039BA41" w14:textId="77777777" w:rsidR="009E5C5E" w:rsidRPr="00CE47DE" w:rsidRDefault="009E5C5E" w:rsidP="009E5C5E">
            <w:pPr>
              <w:jc w:val="center"/>
              <w:rPr>
                <w:rFonts w:eastAsia="Calibri"/>
                <w:lang w:eastAsia="en-US"/>
              </w:rPr>
            </w:pPr>
            <w:r w:rsidRPr="00CE47DE">
              <w:rPr>
                <w:rFonts w:eastAsia="Calibri"/>
                <w:lang w:eastAsia="en-US"/>
              </w:rPr>
              <w:t>40</w:t>
            </w:r>
          </w:p>
        </w:tc>
        <w:tc>
          <w:tcPr>
            <w:tcW w:w="1276" w:type="dxa"/>
            <w:tcBorders>
              <w:top w:val="nil"/>
              <w:left w:val="nil"/>
              <w:bottom w:val="nil"/>
              <w:right w:val="nil"/>
            </w:tcBorders>
            <w:shd w:val="clear" w:color="auto" w:fill="auto"/>
          </w:tcPr>
          <w:p w14:paraId="11AB1C6B" w14:textId="77777777" w:rsidR="009E5C5E" w:rsidRPr="00CE47DE" w:rsidRDefault="009E5C5E" w:rsidP="009E5C5E">
            <w:pPr>
              <w:jc w:val="center"/>
              <w:rPr>
                <w:rFonts w:eastAsia="Calibri"/>
                <w:lang w:eastAsia="en-US"/>
              </w:rPr>
            </w:pPr>
            <w:r w:rsidRPr="00CE47DE">
              <w:rPr>
                <w:rFonts w:eastAsia="Calibri"/>
                <w:lang w:eastAsia="en-US"/>
              </w:rPr>
              <w:t>1.5 (0.8)</w:t>
            </w:r>
          </w:p>
        </w:tc>
        <w:tc>
          <w:tcPr>
            <w:tcW w:w="567" w:type="dxa"/>
            <w:tcBorders>
              <w:top w:val="nil"/>
              <w:left w:val="nil"/>
              <w:bottom w:val="nil"/>
              <w:right w:val="nil"/>
            </w:tcBorders>
            <w:shd w:val="clear" w:color="auto" w:fill="auto"/>
          </w:tcPr>
          <w:p w14:paraId="6C6DEF50" w14:textId="77777777" w:rsidR="009E5C5E" w:rsidRPr="00CE47DE" w:rsidRDefault="009E5C5E" w:rsidP="009E5C5E">
            <w:pPr>
              <w:jc w:val="center"/>
              <w:rPr>
                <w:rFonts w:eastAsia="Calibri"/>
                <w:lang w:eastAsia="en-US"/>
              </w:rPr>
            </w:pPr>
            <w:r w:rsidRPr="00CE47DE">
              <w:rPr>
                <w:rFonts w:eastAsia="Calibri"/>
                <w:lang w:eastAsia="en-US"/>
              </w:rPr>
              <w:t>37</w:t>
            </w:r>
          </w:p>
        </w:tc>
        <w:tc>
          <w:tcPr>
            <w:tcW w:w="1235" w:type="dxa"/>
            <w:tcBorders>
              <w:top w:val="nil"/>
              <w:left w:val="nil"/>
              <w:bottom w:val="nil"/>
              <w:right w:val="nil"/>
            </w:tcBorders>
            <w:shd w:val="clear" w:color="auto" w:fill="auto"/>
          </w:tcPr>
          <w:p w14:paraId="5082C3FA" w14:textId="77777777" w:rsidR="009E5C5E" w:rsidRPr="00CE47DE" w:rsidRDefault="009E5C5E" w:rsidP="009E5C5E">
            <w:pPr>
              <w:jc w:val="center"/>
              <w:rPr>
                <w:rFonts w:eastAsia="Calibri"/>
                <w:lang w:eastAsia="en-US"/>
              </w:rPr>
            </w:pPr>
            <w:r w:rsidRPr="00CE47DE">
              <w:rPr>
                <w:rFonts w:eastAsia="Calibri"/>
                <w:lang w:eastAsia="en-US"/>
              </w:rPr>
              <w:t>0.2251</w:t>
            </w:r>
          </w:p>
        </w:tc>
      </w:tr>
      <w:tr w:rsidR="009E5C5E" w:rsidRPr="00CE47DE" w14:paraId="7E3F4AD8" w14:textId="77777777" w:rsidTr="00BF1153">
        <w:tc>
          <w:tcPr>
            <w:tcW w:w="1809" w:type="dxa"/>
            <w:tcBorders>
              <w:top w:val="nil"/>
              <w:left w:val="nil"/>
              <w:bottom w:val="nil"/>
              <w:right w:val="nil"/>
            </w:tcBorders>
            <w:shd w:val="clear" w:color="auto" w:fill="auto"/>
          </w:tcPr>
          <w:p w14:paraId="31EF5011" w14:textId="77777777" w:rsidR="009E5C5E" w:rsidRPr="00CE47DE" w:rsidRDefault="009E5C5E" w:rsidP="009E5C5E">
            <w:pPr>
              <w:rPr>
                <w:rFonts w:eastAsia="Calibri"/>
                <w:lang w:eastAsia="en-US"/>
              </w:rPr>
            </w:pPr>
          </w:p>
        </w:tc>
        <w:tc>
          <w:tcPr>
            <w:tcW w:w="1328" w:type="dxa"/>
            <w:tcBorders>
              <w:top w:val="nil"/>
              <w:left w:val="nil"/>
              <w:bottom w:val="nil"/>
              <w:right w:val="nil"/>
            </w:tcBorders>
            <w:shd w:val="clear" w:color="auto" w:fill="auto"/>
          </w:tcPr>
          <w:p w14:paraId="44DF7591" w14:textId="77777777" w:rsidR="009E5C5E" w:rsidRPr="00CE47DE" w:rsidRDefault="009E5C5E" w:rsidP="009E5C5E">
            <w:pPr>
              <w:rPr>
                <w:rFonts w:eastAsia="Calibri"/>
                <w:lang w:eastAsia="en-US"/>
              </w:rPr>
            </w:pPr>
            <w:proofErr w:type="spellStart"/>
            <w:r w:rsidRPr="00CE47DE">
              <w:rPr>
                <w:rFonts w:eastAsia="Calibri"/>
                <w:lang w:eastAsia="en-US"/>
              </w:rPr>
              <w:t>p</w:t>
            </w:r>
            <w:r w:rsidRPr="00CE47DE">
              <w:rPr>
                <w:rFonts w:eastAsia="Calibri"/>
                <w:vertAlign w:val="subscript"/>
                <w:lang w:eastAsia="en-US"/>
              </w:rPr>
              <w:t>group</w:t>
            </w:r>
            <w:proofErr w:type="spellEnd"/>
          </w:p>
        </w:tc>
        <w:tc>
          <w:tcPr>
            <w:tcW w:w="1276" w:type="dxa"/>
            <w:tcBorders>
              <w:top w:val="nil"/>
              <w:left w:val="nil"/>
              <w:bottom w:val="nil"/>
              <w:right w:val="nil"/>
            </w:tcBorders>
            <w:shd w:val="clear" w:color="auto" w:fill="auto"/>
          </w:tcPr>
          <w:p w14:paraId="4BAE09E7" w14:textId="77777777" w:rsidR="009E5C5E" w:rsidRPr="00CE47DE" w:rsidRDefault="009E5C5E" w:rsidP="009E5C5E">
            <w:pPr>
              <w:jc w:val="center"/>
              <w:rPr>
                <w:rFonts w:eastAsia="Calibri"/>
                <w:lang w:eastAsia="en-US"/>
              </w:rPr>
            </w:pPr>
            <w:r w:rsidRPr="00CE47DE">
              <w:rPr>
                <w:rFonts w:eastAsia="Calibri"/>
                <w:lang w:eastAsia="en-US"/>
              </w:rPr>
              <w:t>0.5840</w:t>
            </w:r>
          </w:p>
        </w:tc>
        <w:tc>
          <w:tcPr>
            <w:tcW w:w="567" w:type="dxa"/>
            <w:tcBorders>
              <w:top w:val="nil"/>
              <w:left w:val="nil"/>
              <w:bottom w:val="nil"/>
              <w:right w:val="nil"/>
            </w:tcBorders>
            <w:shd w:val="clear" w:color="auto" w:fill="auto"/>
          </w:tcPr>
          <w:p w14:paraId="6EBEAEAB"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243FC877" w14:textId="77777777" w:rsidR="009E5C5E" w:rsidRPr="00CE47DE" w:rsidRDefault="009E5C5E" w:rsidP="009E5C5E">
            <w:pPr>
              <w:jc w:val="center"/>
              <w:rPr>
                <w:rFonts w:eastAsia="Calibri"/>
                <w:lang w:eastAsia="en-US"/>
              </w:rPr>
            </w:pPr>
            <w:r w:rsidRPr="00CE47DE">
              <w:rPr>
                <w:rFonts w:eastAsia="Calibri"/>
                <w:lang w:eastAsia="en-US"/>
              </w:rPr>
              <w:t>0.9180</w:t>
            </w:r>
          </w:p>
        </w:tc>
        <w:tc>
          <w:tcPr>
            <w:tcW w:w="567" w:type="dxa"/>
            <w:tcBorders>
              <w:top w:val="nil"/>
              <w:left w:val="nil"/>
              <w:bottom w:val="nil"/>
              <w:right w:val="nil"/>
            </w:tcBorders>
            <w:shd w:val="clear" w:color="auto" w:fill="auto"/>
          </w:tcPr>
          <w:p w14:paraId="3DFA37E6" w14:textId="77777777" w:rsidR="009E5C5E" w:rsidRPr="00CE47DE" w:rsidRDefault="009E5C5E" w:rsidP="009E5C5E">
            <w:pPr>
              <w:jc w:val="center"/>
              <w:rPr>
                <w:rFonts w:eastAsia="Calibri"/>
                <w:lang w:eastAsia="en-US"/>
              </w:rPr>
            </w:pPr>
          </w:p>
        </w:tc>
        <w:tc>
          <w:tcPr>
            <w:tcW w:w="1275" w:type="dxa"/>
            <w:tcBorders>
              <w:top w:val="nil"/>
              <w:left w:val="nil"/>
              <w:bottom w:val="nil"/>
              <w:right w:val="nil"/>
            </w:tcBorders>
            <w:shd w:val="clear" w:color="auto" w:fill="auto"/>
          </w:tcPr>
          <w:p w14:paraId="433F5503" w14:textId="77777777" w:rsidR="009E5C5E" w:rsidRPr="00CE47DE" w:rsidRDefault="009E5C5E" w:rsidP="009E5C5E">
            <w:pPr>
              <w:jc w:val="center"/>
              <w:rPr>
                <w:rFonts w:eastAsia="Calibri"/>
                <w:lang w:eastAsia="en-US"/>
              </w:rPr>
            </w:pPr>
            <w:r w:rsidRPr="00CE47DE">
              <w:rPr>
                <w:rFonts w:eastAsia="Calibri"/>
                <w:lang w:eastAsia="en-US"/>
              </w:rPr>
              <w:t>0.9975</w:t>
            </w:r>
          </w:p>
        </w:tc>
        <w:tc>
          <w:tcPr>
            <w:tcW w:w="567" w:type="dxa"/>
            <w:tcBorders>
              <w:top w:val="nil"/>
              <w:left w:val="nil"/>
              <w:bottom w:val="nil"/>
              <w:right w:val="nil"/>
            </w:tcBorders>
            <w:shd w:val="clear" w:color="auto" w:fill="auto"/>
          </w:tcPr>
          <w:p w14:paraId="6FAD217D" w14:textId="77777777" w:rsidR="009E5C5E" w:rsidRPr="00CE47DE" w:rsidRDefault="009E5C5E" w:rsidP="009E5C5E">
            <w:pPr>
              <w:jc w:val="center"/>
              <w:rPr>
                <w:rFonts w:eastAsia="Calibri"/>
                <w:lang w:eastAsia="en-US"/>
              </w:rPr>
            </w:pPr>
          </w:p>
        </w:tc>
        <w:tc>
          <w:tcPr>
            <w:tcW w:w="1418" w:type="dxa"/>
            <w:tcBorders>
              <w:top w:val="nil"/>
              <w:left w:val="nil"/>
              <w:bottom w:val="nil"/>
              <w:right w:val="nil"/>
            </w:tcBorders>
            <w:shd w:val="clear" w:color="auto" w:fill="auto"/>
          </w:tcPr>
          <w:p w14:paraId="5FEAAA99" w14:textId="77777777" w:rsidR="009E5C5E" w:rsidRPr="00CE47DE" w:rsidRDefault="009E5C5E" w:rsidP="009E5C5E">
            <w:pPr>
              <w:jc w:val="center"/>
              <w:rPr>
                <w:rFonts w:eastAsia="Calibri"/>
                <w:lang w:eastAsia="en-US"/>
              </w:rPr>
            </w:pPr>
            <w:r w:rsidRPr="00CE47DE">
              <w:rPr>
                <w:rFonts w:eastAsia="Calibri"/>
                <w:lang w:eastAsia="en-US"/>
              </w:rPr>
              <w:t>0.0018</w:t>
            </w:r>
          </w:p>
        </w:tc>
        <w:tc>
          <w:tcPr>
            <w:tcW w:w="567" w:type="dxa"/>
            <w:tcBorders>
              <w:top w:val="nil"/>
              <w:left w:val="nil"/>
              <w:bottom w:val="nil"/>
              <w:right w:val="nil"/>
            </w:tcBorders>
            <w:shd w:val="clear" w:color="auto" w:fill="auto"/>
          </w:tcPr>
          <w:p w14:paraId="489FA8E4" w14:textId="77777777" w:rsidR="009E5C5E" w:rsidRPr="00CE47DE" w:rsidRDefault="009E5C5E" w:rsidP="009E5C5E">
            <w:pPr>
              <w:jc w:val="center"/>
              <w:rPr>
                <w:rFonts w:eastAsia="Calibri"/>
                <w:lang w:eastAsia="en-US"/>
              </w:rPr>
            </w:pPr>
          </w:p>
        </w:tc>
        <w:tc>
          <w:tcPr>
            <w:tcW w:w="1276" w:type="dxa"/>
            <w:tcBorders>
              <w:top w:val="nil"/>
              <w:left w:val="nil"/>
              <w:bottom w:val="nil"/>
              <w:right w:val="nil"/>
            </w:tcBorders>
            <w:shd w:val="clear" w:color="auto" w:fill="auto"/>
          </w:tcPr>
          <w:p w14:paraId="301F0F97" w14:textId="77777777" w:rsidR="009E5C5E" w:rsidRPr="00CE47DE" w:rsidRDefault="009E5C5E" w:rsidP="009E5C5E">
            <w:pPr>
              <w:jc w:val="center"/>
              <w:rPr>
                <w:rFonts w:eastAsia="Calibri"/>
                <w:lang w:eastAsia="en-US"/>
              </w:rPr>
            </w:pPr>
            <w:r w:rsidRPr="00CE47DE">
              <w:rPr>
                <w:rFonts w:eastAsia="Calibri"/>
                <w:lang w:eastAsia="en-US"/>
              </w:rPr>
              <w:t>&lt;.0001</w:t>
            </w:r>
          </w:p>
        </w:tc>
        <w:tc>
          <w:tcPr>
            <w:tcW w:w="567" w:type="dxa"/>
            <w:tcBorders>
              <w:top w:val="nil"/>
              <w:left w:val="nil"/>
              <w:bottom w:val="nil"/>
              <w:right w:val="nil"/>
            </w:tcBorders>
            <w:shd w:val="clear" w:color="auto" w:fill="auto"/>
          </w:tcPr>
          <w:p w14:paraId="32A5E8C0" w14:textId="77777777" w:rsidR="009E5C5E" w:rsidRPr="00CE47DE" w:rsidRDefault="009E5C5E" w:rsidP="009E5C5E">
            <w:pPr>
              <w:jc w:val="center"/>
              <w:rPr>
                <w:rFonts w:eastAsia="Calibri"/>
                <w:lang w:eastAsia="en-US"/>
              </w:rPr>
            </w:pPr>
          </w:p>
        </w:tc>
        <w:tc>
          <w:tcPr>
            <w:tcW w:w="1235" w:type="dxa"/>
            <w:tcBorders>
              <w:top w:val="nil"/>
              <w:left w:val="nil"/>
              <w:bottom w:val="nil"/>
              <w:right w:val="nil"/>
            </w:tcBorders>
            <w:shd w:val="clear" w:color="auto" w:fill="auto"/>
          </w:tcPr>
          <w:p w14:paraId="21DEDFE0" w14:textId="77777777" w:rsidR="009E5C5E" w:rsidRPr="00CE47DE" w:rsidRDefault="009E5C5E" w:rsidP="009E5C5E">
            <w:pPr>
              <w:jc w:val="center"/>
              <w:rPr>
                <w:rFonts w:eastAsia="Calibri"/>
                <w:lang w:eastAsia="en-US"/>
              </w:rPr>
            </w:pPr>
          </w:p>
        </w:tc>
      </w:tr>
      <w:tr w:rsidR="009E5C5E" w:rsidRPr="00CE47DE" w14:paraId="63E52486" w14:textId="77777777" w:rsidTr="00BF1153">
        <w:tc>
          <w:tcPr>
            <w:tcW w:w="1809" w:type="dxa"/>
            <w:tcBorders>
              <w:top w:val="nil"/>
              <w:left w:val="nil"/>
              <w:right w:val="nil"/>
            </w:tcBorders>
            <w:shd w:val="clear" w:color="auto" w:fill="auto"/>
          </w:tcPr>
          <w:p w14:paraId="5D2742B1" w14:textId="77777777" w:rsidR="009E5C5E" w:rsidRPr="00CE47DE" w:rsidRDefault="009E5C5E" w:rsidP="009E5C5E">
            <w:pPr>
              <w:rPr>
                <w:rFonts w:eastAsia="Calibri"/>
                <w:lang w:eastAsia="en-US"/>
              </w:rPr>
            </w:pPr>
          </w:p>
        </w:tc>
        <w:tc>
          <w:tcPr>
            <w:tcW w:w="1328" w:type="dxa"/>
            <w:tcBorders>
              <w:top w:val="nil"/>
              <w:left w:val="nil"/>
              <w:right w:val="nil"/>
            </w:tcBorders>
            <w:shd w:val="clear" w:color="auto" w:fill="auto"/>
          </w:tcPr>
          <w:p w14:paraId="463674D0" w14:textId="77777777" w:rsidR="009E5C5E" w:rsidRPr="00CE47DE" w:rsidRDefault="009E5C5E" w:rsidP="009E5C5E">
            <w:pPr>
              <w:rPr>
                <w:rFonts w:eastAsia="Calibri"/>
                <w:lang w:eastAsia="en-US"/>
              </w:rPr>
            </w:pPr>
            <w:r w:rsidRPr="00CE47DE">
              <w:rPr>
                <w:rFonts w:eastAsia="Calibri"/>
                <w:lang w:eastAsia="en-US"/>
              </w:rPr>
              <w:t>CI 95%</w:t>
            </w:r>
          </w:p>
        </w:tc>
        <w:tc>
          <w:tcPr>
            <w:tcW w:w="1276" w:type="dxa"/>
            <w:tcBorders>
              <w:top w:val="nil"/>
              <w:left w:val="nil"/>
              <w:right w:val="nil"/>
            </w:tcBorders>
            <w:shd w:val="clear" w:color="auto" w:fill="auto"/>
          </w:tcPr>
          <w:p w14:paraId="322C3AB6" w14:textId="77777777" w:rsidR="009E5C5E" w:rsidRPr="00CE47DE" w:rsidRDefault="009E5C5E" w:rsidP="009E5C5E">
            <w:pPr>
              <w:jc w:val="center"/>
              <w:rPr>
                <w:rFonts w:eastAsia="Calibri"/>
                <w:lang w:eastAsia="en-US"/>
              </w:rPr>
            </w:pPr>
            <w:r w:rsidRPr="00CE47DE">
              <w:rPr>
                <w:rFonts w:eastAsia="Calibri"/>
                <w:lang w:eastAsia="en-US"/>
              </w:rPr>
              <w:t>–0.9–0.2</w:t>
            </w:r>
          </w:p>
        </w:tc>
        <w:tc>
          <w:tcPr>
            <w:tcW w:w="567" w:type="dxa"/>
            <w:tcBorders>
              <w:top w:val="nil"/>
              <w:left w:val="nil"/>
              <w:right w:val="nil"/>
            </w:tcBorders>
            <w:shd w:val="clear" w:color="auto" w:fill="auto"/>
          </w:tcPr>
          <w:p w14:paraId="65D52837" w14:textId="77777777" w:rsidR="009E5C5E" w:rsidRPr="00CE47DE" w:rsidRDefault="009E5C5E" w:rsidP="009E5C5E">
            <w:pPr>
              <w:jc w:val="center"/>
              <w:rPr>
                <w:rFonts w:eastAsia="Calibri"/>
                <w:lang w:eastAsia="en-US"/>
              </w:rPr>
            </w:pPr>
          </w:p>
        </w:tc>
        <w:tc>
          <w:tcPr>
            <w:tcW w:w="1276" w:type="dxa"/>
            <w:tcBorders>
              <w:top w:val="nil"/>
              <w:left w:val="nil"/>
              <w:right w:val="nil"/>
            </w:tcBorders>
            <w:shd w:val="clear" w:color="auto" w:fill="auto"/>
          </w:tcPr>
          <w:p w14:paraId="3D74A67D" w14:textId="77777777" w:rsidR="009E5C5E" w:rsidRPr="00CE47DE" w:rsidRDefault="009E5C5E" w:rsidP="009E5C5E">
            <w:pPr>
              <w:jc w:val="center"/>
              <w:rPr>
                <w:rFonts w:eastAsia="Calibri"/>
                <w:lang w:eastAsia="en-US"/>
              </w:rPr>
            </w:pPr>
            <w:r w:rsidRPr="00CE47DE">
              <w:rPr>
                <w:rFonts w:eastAsia="Calibri"/>
                <w:lang w:eastAsia="en-US"/>
              </w:rPr>
              <w:t>–0.3–0.8</w:t>
            </w:r>
          </w:p>
        </w:tc>
        <w:tc>
          <w:tcPr>
            <w:tcW w:w="567" w:type="dxa"/>
            <w:tcBorders>
              <w:top w:val="nil"/>
              <w:left w:val="nil"/>
              <w:right w:val="nil"/>
            </w:tcBorders>
            <w:shd w:val="clear" w:color="auto" w:fill="auto"/>
          </w:tcPr>
          <w:p w14:paraId="3F23E174" w14:textId="77777777" w:rsidR="009E5C5E" w:rsidRPr="00CE47DE" w:rsidRDefault="009E5C5E" w:rsidP="009E5C5E">
            <w:pPr>
              <w:jc w:val="center"/>
              <w:rPr>
                <w:rFonts w:eastAsia="Calibri"/>
                <w:lang w:eastAsia="en-US"/>
              </w:rPr>
            </w:pPr>
          </w:p>
        </w:tc>
        <w:tc>
          <w:tcPr>
            <w:tcW w:w="1275" w:type="dxa"/>
            <w:tcBorders>
              <w:top w:val="nil"/>
              <w:left w:val="nil"/>
              <w:right w:val="nil"/>
            </w:tcBorders>
            <w:shd w:val="clear" w:color="auto" w:fill="auto"/>
          </w:tcPr>
          <w:p w14:paraId="5E8CE306" w14:textId="77777777" w:rsidR="009E5C5E" w:rsidRPr="00CE47DE" w:rsidRDefault="009E5C5E" w:rsidP="009E5C5E">
            <w:pPr>
              <w:jc w:val="center"/>
              <w:rPr>
                <w:rFonts w:eastAsia="Calibri"/>
                <w:lang w:eastAsia="en-US"/>
              </w:rPr>
            </w:pPr>
            <w:r w:rsidRPr="00CE47DE">
              <w:rPr>
                <w:rFonts w:eastAsia="Calibri"/>
                <w:lang w:eastAsia="en-US"/>
              </w:rPr>
              <w:t>–0.3–0.7</w:t>
            </w:r>
          </w:p>
        </w:tc>
        <w:tc>
          <w:tcPr>
            <w:tcW w:w="567" w:type="dxa"/>
            <w:tcBorders>
              <w:top w:val="nil"/>
              <w:left w:val="nil"/>
              <w:right w:val="nil"/>
            </w:tcBorders>
            <w:shd w:val="clear" w:color="auto" w:fill="auto"/>
          </w:tcPr>
          <w:p w14:paraId="5DEE4CBF" w14:textId="77777777" w:rsidR="009E5C5E" w:rsidRPr="00CE47DE" w:rsidRDefault="009E5C5E" w:rsidP="009E5C5E">
            <w:pPr>
              <w:jc w:val="center"/>
              <w:rPr>
                <w:rFonts w:eastAsia="Calibri"/>
                <w:lang w:eastAsia="en-US"/>
              </w:rPr>
            </w:pPr>
          </w:p>
        </w:tc>
        <w:tc>
          <w:tcPr>
            <w:tcW w:w="1418" w:type="dxa"/>
            <w:tcBorders>
              <w:top w:val="nil"/>
              <w:left w:val="nil"/>
              <w:right w:val="nil"/>
            </w:tcBorders>
            <w:shd w:val="clear" w:color="auto" w:fill="auto"/>
          </w:tcPr>
          <w:p w14:paraId="1A0326FD" w14:textId="77777777" w:rsidR="009E5C5E" w:rsidRPr="00CE47DE" w:rsidRDefault="009E5C5E" w:rsidP="009E5C5E">
            <w:pPr>
              <w:jc w:val="center"/>
              <w:rPr>
                <w:rFonts w:eastAsia="Calibri"/>
                <w:lang w:eastAsia="en-US"/>
              </w:rPr>
            </w:pPr>
            <w:r w:rsidRPr="00CE47DE">
              <w:rPr>
                <w:rFonts w:eastAsia="Calibri"/>
                <w:lang w:eastAsia="en-US"/>
              </w:rPr>
              <w:t>0.2–1.3</w:t>
            </w:r>
          </w:p>
        </w:tc>
        <w:tc>
          <w:tcPr>
            <w:tcW w:w="567" w:type="dxa"/>
            <w:tcBorders>
              <w:top w:val="nil"/>
              <w:left w:val="nil"/>
              <w:right w:val="nil"/>
            </w:tcBorders>
            <w:shd w:val="clear" w:color="auto" w:fill="auto"/>
          </w:tcPr>
          <w:p w14:paraId="05FB6519" w14:textId="77777777" w:rsidR="009E5C5E" w:rsidRPr="00CE47DE" w:rsidRDefault="009E5C5E" w:rsidP="009E5C5E">
            <w:pPr>
              <w:jc w:val="center"/>
              <w:rPr>
                <w:rFonts w:eastAsia="Calibri"/>
                <w:lang w:eastAsia="en-US"/>
              </w:rPr>
            </w:pPr>
          </w:p>
        </w:tc>
        <w:tc>
          <w:tcPr>
            <w:tcW w:w="1276" w:type="dxa"/>
            <w:tcBorders>
              <w:top w:val="nil"/>
              <w:left w:val="nil"/>
              <w:right w:val="nil"/>
            </w:tcBorders>
            <w:shd w:val="clear" w:color="auto" w:fill="auto"/>
          </w:tcPr>
          <w:p w14:paraId="18621181" w14:textId="77777777" w:rsidR="009E5C5E" w:rsidRPr="00CE47DE" w:rsidRDefault="009E5C5E" w:rsidP="009E5C5E">
            <w:pPr>
              <w:jc w:val="center"/>
              <w:rPr>
                <w:rFonts w:eastAsia="Calibri"/>
                <w:lang w:eastAsia="en-US"/>
              </w:rPr>
            </w:pPr>
            <w:r w:rsidRPr="00CE47DE">
              <w:rPr>
                <w:rFonts w:eastAsia="Calibri"/>
                <w:lang w:eastAsia="en-US"/>
              </w:rPr>
              <w:t>0.3–1.5</w:t>
            </w:r>
          </w:p>
        </w:tc>
        <w:tc>
          <w:tcPr>
            <w:tcW w:w="567" w:type="dxa"/>
            <w:tcBorders>
              <w:top w:val="nil"/>
              <w:left w:val="nil"/>
              <w:right w:val="nil"/>
            </w:tcBorders>
            <w:shd w:val="clear" w:color="auto" w:fill="auto"/>
          </w:tcPr>
          <w:p w14:paraId="054635CB" w14:textId="77777777" w:rsidR="009E5C5E" w:rsidRPr="00CE47DE" w:rsidRDefault="009E5C5E" w:rsidP="009E5C5E">
            <w:pPr>
              <w:jc w:val="center"/>
              <w:rPr>
                <w:rFonts w:eastAsia="Calibri"/>
                <w:lang w:eastAsia="en-US"/>
              </w:rPr>
            </w:pPr>
          </w:p>
        </w:tc>
        <w:tc>
          <w:tcPr>
            <w:tcW w:w="1235" w:type="dxa"/>
            <w:tcBorders>
              <w:top w:val="nil"/>
              <w:left w:val="nil"/>
              <w:right w:val="nil"/>
            </w:tcBorders>
            <w:shd w:val="clear" w:color="auto" w:fill="auto"/>
          </w:tcPr>
          <w:p w14:paraId="718A5B80" w14:textId="77777777" w:rsidR="009E5C5E" w:rsidRPr="00CE47DE" w:rsidRDefault="009E5C5E" w:rsidP="009E5C5E">
            <w:pPr>
              <w:jc w:val="center"/>
              <w:rPr>
                <w:rFonts w:eastAsia="Calibri"/>
                <w:lang w:eastAsia="en-US"/>
              </w:rPr>
            </w:pPr>
          </w:p>
        </w:tc>
      </w:tr>
    </w:tbl>
    <w:p w14:paraId="63787146" w14:textId="3175AC68" w:rsidR="005104C5" w:rsidRPr="00CE47DE" w:rsidRDefault="00C75C8C" w:rsidP="0085788E">
      <w:pPr>
        <w:spacing w:line="360" w:lineRule="auto"/>
      </w:pPr>
      <w:r w:rsidRPr="00CE47DE">
        <w:t xml:space="preserve">All interactions between </w:t>
      </w:r>
      <w:r w:rsidR="00433708" w:rsidRPr="00CE47DE">
        <w:t xml:space="preserve">the </w:t>
      </w:r>
      <w:r w:rsidRPr="00CE47DE">
        <w:t>group</w:t>
      </w:r>
      <w:r w:rsidR="00433708" w:rsidRPr="00CE47DE">
        <w:t>s</w:t>
      </w:r>
      <w:r w:rsidRPr="00CE47DE">
        <w:t xml:space="preserve"> and time were significant (p &lt; </w:t>
      </w:r>
      <w:r w:rsidR="00387975" w:rsidRPr="00CE47DE">
        <w:t>.0001). S</w:t>
      </w:r>
      <w:r w:rsidR="00375060" w:rsidRPr="00CE47DE">
        <w:t xml:space="preserve">ignificant p </w:t>
      </w:r>
      <w:r w:rsidR="00387975" w:rsidRPr="00CE47DE">
        <w:t xml:space="preserve">&lt; </w:t>
      </w:r>
      <w:r w:rsidR="00375060" w:rsidRPr="00CE47DE">
        <w:t>0.05</w:t>
      </w:r>
    </w:p>
    <w:sectPr w:rsidR="005104C5" w:rsidRPr="00CE47DE" w:rsidSect="00E15204">
      <w:pgSz w:w="16838" w:h="11906" w:orient="landscape"/>
      <w:pgMar w:top="1134" w:right="1417" w:bottom="1134" w:left="1417" w:header="708" w:footer="708" w:gutter="0"/>
      <w:cols w:space="708"/>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E38AD6" w14:textId="77777777" w:rsidR="00F0099A" w:rsidRDefault="00F0099A" w:rsidP="00F77211">
      <w:r>
        <w:separator/>
      </w:r>
    </w:p>
  </w:endnote>
  <w:endnote w:type="continuationSeparator" w:id="0">
    <w:p w14:paraId="2F356CE2" w14:textId="77777777" w:rsidR="00F0099A" w:rsidRDefault="00F0099A" w:rsidP="00F77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Lucida Grande">
    <w:charset w:val="00"/>
    <w:family w:val="auto"/>
    <w:pitch w:val="variable"/>
    <w:sig w:usb0="E1000AEF" w:usb1="5000A1FF" w:usb2="00000000" w:usb3="00000000" w:csb0="000001BF" w:csb1="00000000"/>
  </w:font>
  <w:font w:name="TimesNewRomanPS">
    <w:altName w:val="Cambria"/>
    <w:panose1 w:val="00000000000000000000"/>
    <w:charset w:val="4D"/>
    <w:family w:val="roman"/>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ヒラギノ角ゴ Pro W3">
    <w:charset w:val="80"/>
    <w:family w:val="auto"/>
    <w:pitch w:val="variable"/>
    <w:sig w:usb0="E00002FF" w:usb1="7AC7FFFF" w:usb2="00000012" w:usb3="00000000" w:csb0="0002000D" w:csb1="00000000"/>
  </w:font>
  <w:font w:name="MS Mincho">
    <w:altName w:val="ＭＳ 明朝"/>
    <w:panose1 w:val="02020609040205080304"/>
    <w:charset w:val="80"/>
    <w:family w:val="modern"/>
    <w:pitch w:val="fixed"/>
    <w:sig w:usb0="E00002FF" w:usb1="6AC7FDFB" w:usb2="00000012" w:usb3="00000000" w:csb0="0002009F" w:csb1="00000000"/>
  </w:font>
  <w:font w:name="AdvP4DF60E">
    <w:altName w:val="MS Mincho"/>
    <w:panose1 w:val="00000000000000000000"/>
    <w:charset w:val="80"/>
    <w:family w:val="auto"/>
    <w:notTrueType/>
    <w:pitch w:val="default"/>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C6E0BF" w14:textId="77777777" w:rsidR="00A651C7" w:rsidRDefault="00A651C7" w:rsidP="0007092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908202B" w14:textId="77777777" w:rsidR="00A651C7" w:rsidRDefault="00A651C7" w:rsidP="003F4B0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A537E9" w14:textId="77777777" w:rsidR="00A651C7" w:rsidRDefault="00A651C7" w:rsidP="0007092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56483">
      <w:rPr>
        <w:rStyle w:val="PageNumber"/>
        <w:noProof/>
      </w:rPr>
      <w:t>1</w:t>
    </w:r>
    <w:r>
      <w:rPr>
        <w:rStyle w:val="PageNumber"/>
      </w:rPr>
      <w:fldChar w:fldCharType="end"/>
    </w:r>
  </w:p>
  <w:p w14:paraId="7E8E6427" w14:textId="77777777" w:rsidR="00A651C7" w:rsidRDefault="00A651C7" w:rsidP="003F4B0E">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7BC8C0" w14:textId="77777777" w:rsidR="00F0099A" w:rsidRDefault="00F0099A" w:rsidP="00F77211">
      <w:r>
        <w:separator/>
      </w:r>
    </w:p>
  </w:footnote>
  <w:footnote w:type="continuationSeparator" w:id="0">
    <w:p w14:paraId="1B92C424" w14:textId="77777777" w:rsidR="00F0099A" w:rsidRDefault="00F0099A" w:rsidP="00F7721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450FE"/>
    <w:multiLevelType w:val="hybridMultilevel"/>
    <w:tmpl w:val="51103F2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049E5852"/>
    <w:multiLevelType w:val="hybridMultilevel"/>
    <w:tmpl w:val="97B4633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457E08"/>
    <w:multiLevelType w:val="hybridMultilevel"/>
    <w:tmpl w:val="D0E0DF7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0D4E2926"/>
    <w:multiLevelType w:val="hybridMultilevel"/>
    <w:tmpl w:val="7E3C20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D37BE5"/>
    <w:multiLevelType w:val="hybridMultilevel"/>
    <w:tmpl w:val="7C6A4D10"/>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nsid w:val="1D5A3296"/>
    <w:multiLevelType w:val="hybridMultilevel"/>
    <w:tmpl w:val="B510A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6D44C3E"/>
    <w:multiLevelType w:val="hybridMultilevel"/>
    <w:tmpl w:val="E27EA10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C177EB"/>
    <w:multiLevelType w:val="multilevel"/>
    <w:tmpl w:val="995037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C9E59DF"/>
    <w:multiLevelType w:val="hybridMultilevel"/>
    <w:tmpl w:val="B63A5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7C6345"/>
    <w:multiLevelType w:val="hybridMultilevel"/>
    <w:tmpl w:val="68F8480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start w:val="1"/>
      <w:numFmt w:val="decimal"/>
      <w:lvlText w:val="%7."/>
      <w:lvlJc w:val="left"/>
      <w:pPr>
        <w:ind w:left="5040" w:hanging="360"/>
      </w:pPr>
    </w:lvl>
    <w:lvl w:ilvl="7" w:tplc="040B0019">
      <w:start w:val="1"/>
      <w:numFmt w:val="lowerLetter"/>
      <w:lvlText w:val="%8."/>
      <w:lvlJc w:val="left"/>
      <w:pPr>
        <w:ind w:left="5760" w:hanging="360"/>
      </w:pPr>
    </w:lvl>
    <w:lvl w:ilvl="8" w:tplc="040B001B">
      <w:start w:val="1"/>
      <w:numFmt w:val="lowerRoman"/>
      <w:lvlText w:val="%9."/>
      <w:lvlJc w:val="right"/>
      <w:pPr>
        <w:ind w:left="6480" w:hanging="180"/>
      </w:pPr>
    </w:lvl>
  </w:abstractNum>
  <w:abstractNum w:abstractNumId="10">
    <w:nsid w:val="3F6539A1"/>
    <w:multiLevelType w:val="hybridMultilevel"/>
    <w:tmpl w:val="2410B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FF60A6A"/>
    <w:multiLevelType w:val="hybridMultilevel"/>
    <w:tmpl w:val="7C6A4D10"/>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nsid w:val="412F58EB"/>
    <w:multiLevelType w:val="hybridMultilevel"/>
    <w:tmpl w:val="5EA086C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737525"/>
    <w:multiLevelType w:val="hybridMultilevel"/>
    <w:tmpl w:val="4FAAA724"/>
    <w:lvl w:ilvl="0" w:tplc="A29A60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4E30BE"/>
    <w:multiLevelType w:val="hybridMultilevel"/>
    <w:tmpl w:val="9FB42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6FD26D3"/>
    <w:multiLevelType w:val="hybridMultilevel"/>
    <w:tmpl w:val="5FAE10C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nsid w:val="4DD40694"/>
    <w:multiLevelType w:val="hybridMultilevel"/>
    <w:tmpl w:val="94588228"/>
    <w:lvl w:ilvl="0" w:tplc="7DC8C02A">
      <w:start w:val="1"/>
      <w:numFmt w:val="decimal"/>
      <w:lvlText w:val="%1."/>
      <w:lvlJc w:val="left"/>
      <w:pPr>
        <w:ind w:left="1080" w:hanging="360"/>
      </w:pPr>
    </w:lvl>
    <w:lvl w:ilvl="1" w:tplc="040B0019">
      <w:start w:val="1"/>
      <w:numFmt w:val="lowerLetter"/>
      <w:lvlText w:val="%2."/>
      <w:lvlJc w:val="left"/>
      <w:pPr>
        <w:ind w:left="1800" w:hanging="360"/>
      </w:pPr>
    </w:lvl>
    <w:lvl w:ilvl="2" w:tplc="040B001B">
      <w:start w:val="1"/>
      <w:numFmt w:val="lowerRoman"/>
      <w:lvlText w:val="%3."/>
      <w:lvlJc w:val="right"/>
      <w:pPr>
        <w:ind w:left="2520" w:hanging="180"/>
      </w:pPr>
    </w:lvl>
    <w:lvl w:ilvl="3" w:tplc="040B000F">
      <w:start w:val="1"/>
      <w:numFmt w:val="decimal"/>
      <w:lvlText w:val="%4."/>
      <w:lvlJc w:val="left"/>
      <w:pPr>
        <w:ind w:left="3240" w:hanging="360"/>
      </w:pPr>
    </w:lvl>
    <w:lvl w:ilvl="4" w:tplc="040B0019">
      <w:start w:val="1"/>
      <w:numFmt w:val="lowerLetter"/>
      <w:lvlText w:val="%5."/>
      <w:lvlJc w:val="left"/>
      <w:pPr>
        <w:ind w:left="3960" w:hanging="360"/>
      </w:pPr>
    </w:lvl>
    <w:lvl w:ilvl="5" w:tplc="040B001B">
      <w:start w:val="1"/>
      <w:numFmt w:val="lowerRoman"/>
      <w:lvlText w:val="%6."/>
      <w:lvlJc w:val="right"/>
      <w:pPr>
        <w:ind w:left="4680" w:hanging="180"/>
      </w:pPr>
    </w:lvl>
    <w:lvl w:ilvl="6" w:tplc="040B000F">
      <w:start w:val="1"/>
      <w:numFmt w:val="decimal"/>
      <w:lvlText w:val="%7."/>
      <w:lvlJc w:val="left"/>
      <w:pPr>
        <w:ind w:left="5400" w:hanging="360"/>
      </w:pPr>
    </w:lvl>
    <w:lvl w:ilvl="7" w:tplc="040B0019">
      <w:start w:val="1"/>
      <w:numFmt w:val="lowerLetter"/>
      <w:lvlText w:val="%8."/>
      <w:lvlJc w:val="left"/>
      <w:pPr>
        <w:ind w:left="6120" w:hanging="360"/>
      </w:pPr>
    </w:lvl>
    <w:lvl w:ilvl="8" w:tplc="040B001B">
      <w:start w:val="1"/>
      <w:numFmt w:val="lowerRoman"/>
      <w:lvlText w:val="%9."/>
      <w:lvlJc w:val="right"/>
      <w:pPr>
        <w:ind w:left="6840" w:hanging="180"/>
      </w:pPr>
    </w:lvl>
  </w:abstractNum>
  <w:abstractNum w:abstractNumId="17">
    <w:nsid w:val="532B5FE0"/>
    <w:multiLevelType w:val="hybridMultilevel"/>
    <w:tmpl w:val="D0AE348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nsid w:val="6D1223E1"/>
    <w:multiLevelType w:val="multilevel"/>
    <w:tmpl w:val="52445DA8"/>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1"/>
  </w:num>
  <w:num w:numId="5">
    <w:abstractNumId w:val="18"/>
  </w:num>
  <w:num w:numId="6">
    <w:abstractNumId w:val="0"/>
  </w:num>
  <w:num w:numId="7">
    <w:abstractNumId w:val="17"/>
  </w:num>
  <w:num w:numId="8">
    <w:abstractNumId w:val="15"/>
  </w:num>
  <w:num w:numId="9">
    <w:abstractNumId w:val="8"/>
  </w:num>
  <w:num w:numId="10">
    <w:abstractNumId w:val="2"/>
  </w:num>
  <w:num w:numId="11">
    <w:abstractNumId w:val="14"/>
  </w:num>
  <w:num w:numId="12">
    <w:abstractNumId w:val="5"/>
  </w:num>
  <w:num w:numId="13">
    <w:abstractNumId w:val="7"/>
  </w:num>
  <w:num w:numId="14">
    <w:abstractNumId w:val="13"/>
  </w:num>
  <w:num w:numId="15">
    <w:abstractNumId w:val="1"/>
  </w:num>
  <w:num w:numId="16">
    <w:abstractNumId w:val="3"/>
  </w:num>
  <w:num w:numId="17">
    <w:abstractNumId w:val="12"/>
  </w:num>
  <w:num w:numId="18">
    <w:abstractNumId w:val="6"/>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0"/>
  <w:activeWritingStyle w:appName="MSWord" w:lang="fi-FI" w:vendorID="64" w:dllVersion="131078" w:nlCheck="1" w:checkStyle="0"/>
  <w:activeWritingStyle w:appName="MSWord" w:lang="en-GB" w:vendorID="64" w:dllVersion="131078" w:nlCheck="1" w:checkStyle="0"/>
  <w:proofState w:spelling="clean" w:grammar="clean"/>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6CBA"/>
    <w:rsid w:val="000036AA"/>
    <w:rsid w:val="000048F5"/>
    <w:rsid w:val="00007759"/>
    <w:rsid w:val="0001079D"/>
    <w:rsid w:val="0001252E"/>
    <w:rsid w:val="00012A21"/>
    <w:rsid w:val="00012F4C"/>
    <w:rsid w:val="0001335F"/>
    <w:rsid w:val="00013A91"/>
    <w:rsid w:val="00014168"/>
    <w:rsid w:val="00014971"/>
    <w:rsid w:val="00015159"/>
    <w:rsid w:val="00016160"/>
    <w:rsid w:val="0001697E"/>
    <w:rsid w:val="00016C5D"/>
    <w:rsid w:val="00017BFC"/>
    <w:rsid w:val="00021D78"/>
    <w:rsid w:val="00022918"/>
    <w:rsid w:val="00022C38"/>
    <w:rsid w:val="00023317"/>
    <w:rsid w:val="00024B64"/>
    <w:rsid w:val="00024E50"/>
    <w:rsid w:val="00025498"/>
    <w:rsid w:val="000257E2"/>
    <w:rsid w:val="00026BC9"/>
    <w:rsid w:val="00030390"/>
    <w:rsid w:val="0003059D"/>
    <w:rsid w:val="00030907"/>
    <w:rsid w:val="00031EC3"/>
    <w:rsid w:val="000345FF"/>
    <w:rsid w:val="000349A3"/>
    <w:rsid w:val="00037681"/>
    <w:rsid w:val="000376EF"/>
    <w:rsid w:val="00037AD4"/>
    <w:rsid w:val="0004066D"/>
    <w:rsid w:val="00044B15"/>
    <w:rsid w:val="00046377"/>
    <w:rsid w:val="00047CA0"/>
    <w:rsid w:val="00051E9E"/>
    <w:rsid w:val="00052387"/>
    <w:rsid w:val="00052B03"/>
    <w:rsid w:val="00054C77"/>
    <w:rsid w:val="00056656"/>
    <w:rsid w:val="00060A49"/>
    <w:rsid w:val="00060EF6"/>
    <w:rsid w:val="00062A9B"/>
    <w:rsid w:val="00062D8E"/>
    <w:rsid w:val="00065ED8"/>
    <w:rsid w:val="00067897"/>
    <w:rsid w:val="00070924"/>
    <w:rsid w:val="00070EC8"/>
    <w:rsid w:val="00071BF5"/>
    <w:rsid w:val="0007212B"/>
    <w:rsid w:val="0007228F"/>
    <w:rsid w:val="00073516"/>
    <w:rsid w:val="00073789"/>
    <w:rsid w:val="00074793"/>
    <w:rsid w:val="000757EF"/>
    <w:rsid w:val="00075C84"/>
    <w:rsid w:val="00076CA9"/>
    <w:rsid w:val="0007753E"/>
    <w:rsid w:val="0007786D"/>
    <w:rsid w:val="00077AEC"/>
    <w:rsid w:val="00081733"/>
    <w:rsid w:val="000821E5"/>
    <w:rsid w:val="00084510"/>
    <w:rsid w:val="00084E45"/>
    <w:rsid w:val="0008569E"/>
    <w:rsid w:val="00085B37"/>
    <w:rsid w:val="000860C7"/>
    <w:rsid w:val="00086451"/>
    <w:rsid w:val="000916E9"/>
    <w:rsid w:val="00091B1F"/>
    <w:rsid w:val="00091B77"/>
    <w:rsid w:val="0009340E"/>
    <w:rsid w:val="00093498"/>
    <w:rsid w:val="00096BAA"/>
    <w:rsid w:val="00096F2E"/>
    <w:rsid w:val="00097391"/>
    <w:rsid w:val="000974FC"/>
    <w:rsid w:val="000A1D48"/>
    <w:rsid w:val="000A22BF"/>
    <w:rsid w:val="000A3242"/>
    <w:rsid w:val="000A3A36"/>
    <w:rsid w:val="000A3B4A"/>
    <w:rsid w:val="000A447A"/>
    <w:rsid w:val="000A4780"/>
    <w:rsid w:val="000A5139"/>
    <w:rsid w:val="000A794F"/>
    <w:rsid w:val="000A7A95"/>
    <w:rsid w:val="000B0B7E"/>
    <w:rsid w:val="000B11AF"/>
    <w:rsid w:val="000B26E3"/>
    <w:rsid w:val="000B2D4C"/>
    <w:rsid w:val="000B3AED"/>
    <w:rsid w:val="000B6289"/>
    <w:rsid w:val="000B6ECE"/>
    <w:rsid w:val="000C085D"/>
    <w:rsid w:val="000C0979"/>
    <w:rsid w:val="000C1861"/>
    <w:rsid w:val="000C1BFD"/>
    <w:rsid w:val="000C2742"/>
    <w:rsid w:val="000C35D8"/>
    <w:rsid w:val="000C3D87"/>
    <w:rsid w:val="000C602B"/>
    <w:rsid w:val="000C6972"/>
    <w:rsid w:val="000C7AC1"/>
    <w:rsid w:val="000D5B52"/>
    <w:rsid w:val="000D6969"/>
    <w:rsid w:val="000D696B"/>
    <w:rsid w:val="000D6A91"/>
    <w:rsid w:val="000D72F0"/>
    <w:rsid w:val="000D745D"/>
    <w:rsid w:val="000D7E62"/>
    <w:rsid w:val="000E2ECB"/>
    <w:rsid w:val="000E65FD"/>
    <w:rsid w:val="000E7139"/>
    <w:rsid w:val="000E7B30"/>
    <w:rsid w:val="000F086C"/>
    <w:rsid w:val="000F248E"/>
    <w:rsid w:val="000F3EAD"/>
    <w:rsid w:val="000F484B"/>
    <w:rsid w:val="000F5DA8"/>
    <w:rsid w:val="000F662F"/>
    <w:rsid w:val="000F6A14"/>
    <w:rsid w:val="00100322"/>
    <w:rsid w:val="0010108D"/>
    <w:rsid w:val="0010132B"/>
    <w:rsid w:val="00101895"/>
    <w:rsid w:val="00101B13"/>
    <w:rsid w:val="00102C7F"/>
    <w:rsid w:val="00103CBE"/>
    <w:rsid w:val="00103F20"/>
    <w:rsid w:val="00103FDC"/>
    <w:rsid w:val="00107382"/>
    <w:rsid w:val="00107D15"/>
    <w:rsid w:val="0011095F"/>
    <w:rsid w:val="00110CAA"/>
    <w:rsid w:val="001129F9"/>
    <w:rsid w:val="00112EA8"/>
    <w:rsid w:val="00112F3E"/>
    <w:rsid w:val="001132EC"/>
    <w:rsid w:val="00115A77"/>
    <w:rsid w:val="001202A1"/>
    <w:rsid w:val="00123287"/>
    <w:rsid w:val="001237B2"/>
    <w:rsid w:val="00126051"/>
    <w:rsid w:val="00126E8F"/>
    <w:rsid w:val="00127134"/>
    <w:rsid w:val="001278C5"/>
    <w:rsid w:val="00127DE6"/>
    <w:rsid w:val="00130994"/>
    <w:rsid w:val="00131358"/>
    <w:rsid w:val="00134688"/>
    <w:rsid w:val="001353F1"/>
    <w:rsid w:val="00137FF3"/>
    <w:rsid w:val="001419B4"/>
    <w:rsid w:val="00141F3F"/>
    <w:rsid w:val="00142FE5"/>
    <w:rsid w:val="00144F46"/>
    <w:rsid w:val="00150463"/>
    <w:rsid w:val="00151799"/>
    <w:rsid w:val="001527DC"/>
    <w:rsid w:val="00154034"/>
    <w:rsid w:val="00154C3C"/>
    <w:rsid w:val="00154D95"/>
    <w:rsid w:val="001571D2"/>
    <w:rsid w:val="00157E34"/>
    <w:rsid w:val="00161389"/>
    <w:rsid w:val="00161586"/>
    <w:rsid w:val="001628DD"/>
    <w:rsid w:val="00164756"/>
    <w:rsid w:val="00165D24"/>
    <w:rsid w:val="00166995"/>
    <w:rsid w:val="00176C8D"/>
    <w:rsid w:val="0018098D"/>
    <w:rsid w:val="00181280"/>
    <w:rsid w:val="0018165D"/>
    <w:rsid w:val="00182B3F"/>
    <w:rsid w:val="0018497C"/>
    <w:rsid w:val="00184ED6"/>
    <w:rsid w:val="00185F65"/>
    <w:rsid w:val="00187836"/>
    <w:rsid w:val="00190326"/>
    <w:rsid w:val="001912C1"/>
    <w:rsid w:val="001919FF"/>
    <w:rsid w:val="00191AA1"/>
    <w:rsid w:val="0019324C"/>
    <w:rsid w:val="00193280"/>
    <w:rsid w:val="00193B8C"/>
    <w:rsid w:val="00194DE0"/>
    <w:rsid w:val="001955EC"/>
    <w:rsid w:val="00196EF3"/>
    <w:rsid w:val="00197E65"/>
    <w:rsid w:val="001A0634"/>
    <w:rsid w:val="001A12AB"/>
    <w:rsid w:val="001A1354"/>
    <w:rsid w:val="001A153C"/>
    <w:rsid w:val="001A3EEF"/>
    <w:rsid w:val="001A410E"/>
    <w:rsid w:val="001A4E5E"/>
    <w:rsid w:val="001A4EB9"/>
    <w:rsid w:val="001A5211"/>
    <w:rsid w:val="001A79E9"/>
    <w:rsid w:val="001B09B5"/>
    <w:rsid w:val="001B0AC1"/>
    <w:rsid w:val="001B1066"/>
    <w:rsid w:val="001B1DDC"/>
    <w:rsid w:val="001B2B9D"/>
    <w:rsid w:val="001B3C79"/>
    <w:rsid w:val="001B4590"/>
    <w:rsid w:val="001B45D7"/>
    <w:rsid w:val="001B593C"/>
    <w:rsid w:val="001B6BB2"/>
    <w:rsid w:val="001B79EC"/>
    <w:rsid w:val="001C0209"/>
    <w:rsid w:val="001C138F"/>
    <w:rsid w:val="001C1AC5"/>
    <w:rsid w:val="001C2632"/>
    <w:rsid w:val="001C62F9"/>
    <w:rsid w:val="001C6405"/>
    <w:rsid w:val="001C6CA9"/>
    <w:rsid w:val="001C76F7"/>
    <w:rsid w:val="001D0D62"/>
    <w:rsid w:val="001D0F99"/>
    <w:rsid w:val="001D195B"/>
    <w:rsid w:val="001D4F77"/>
    <w:rsid w:val="001D5400"/>
    <w:rsid w:val="001D5597"/>
    <w:rsid w:val="001E1B3C"/>
    <w:rsid w:val="001E2389"/>
    <w:rsid w:val="001E61B6"/>
    <w:rsid w:val="001E62A8"/>
    <w:rsid w:val="001E7439"/>
    <w:rsid w:val="001E78AD"/>
    <w:rsid w:val="001E7BC5"/>
    <w:rsid w:val="001F02E9"/>
    <w:rsid w:val="001F0AD8"/>
    <w:rsid w:val="001F13E9"/>
    <w:rsid w:val="001F5B4C"/>
    <w:rsid w:val="001F6D0F"/>
    <w:rsid w:val="00203590"/>
    <w:rsid w:val="00205BAE"/>
    <w:rsid w:val="00210548"/>
    <w:rsid w:val="00210D33"/>
    <w:rsid w:val="0021184C"/>
    <w:rsid w:val="0021184F"/>
    <w:rsid w:val="00213726"/>
    <w:rsid w:val="00213E70"/>
    <w:rsid w:val="002160E9"/>
    <w:rsid w:val="002161C8"/>
    <w:rsid w:val="00217D49"/>
    <w:rsid w:val="00223D68"/>
    <w:rsid w:val="0022603D"/>
    <w:rsid w:val="002265AC"/>
    <w:rsid w:val="00226884"/>
    <w:rsid w:val="0022776F"/>
    <w:rsid w:val="002300C0"/>
    <w:rsid w:val="00230DBF"/>
    <w:rsid w:val="0023362D"/>
    <w:rsid w:val="00233CAA"/>
    <w:rsid w:val="00235144"/>
    <w:rsid w:val="0023594F"/>
    <w:rsid w:val="002401A6"/>
    <w:rsid w:val="002447A5"/>
    <w:rsid w:val="00246B62"/>
    <w:rsid w:val="00247865"/>
    <w:rsid w:val="002542A4"/>
    <w:rsid w:val="00254C3B"/>
    <w:rsid w:val="00255260"/>
    <w:rsid w:val="0025706E"/>
    <w:rsid w:val="00261902"/>
    <w:rsid w:val="0026325C"/>
    <w:rsid w:val="00263D63"/>
    <w:rsid w:val="002641C5"/>
    <w:rsid w:val="002652ED"/>
    <w:rsid w:val="00265EF0"/>
    <w:rsid w:val="00266FC5"/>
    <w:rsid w:val="002679C2"/>
    <w:rsid w:val="002712ED"/>
    <w:rsid w:val="00271D65"/>
    <w:rsid w:val="00271D94"/>
    <w:rsid w:val="002723A0"/>
    <w:rsid w:val="00277A70"/>
    <w:rsid w:val="00277AA3"/>
    <w:rsid w:val="00282898"/>
    <w:rsid w:val="00282B61"/>
    <w:rsid w:val="00283C40"/>
    <w:rsid w:val="00284E11"/>
    <w:rsid w:val="002863E6"/>
    <w:rsid w:val="00291F36"/>
    <w:rsid w:val="0029232A"/>
    <w:rsid w:val="002925CF"/>
    <w:rsid w:val="002928C1"/>
    <w:rsid w:val="00293050"/>
    <w:rsid w:val="00293840"/>
    <w:rsid w:val="00293D37"/>
    <w:rsid w:val="00294DC6"/>
    <w:rsid w:val="002A0616"/>
    <w:rsid w:val="002A10A4"/>
    <w:rsid w:val="002A1209"/>
    <w:rsid w:val="002A2817"/>
    <w:rsid w:val="002A286F"/>
    <w:rsid w:val="002A3589"/>
    <w:rsid w:val="002A5052"/>
    <w:rsid w:val="002A5120"/>
    <w:rsid w:val="002A59EF"/>
    <w:rsid w:val="002A7368"/>
    <w:rsid w:val="002B242D"/>
    <w:rsid w:val="002B5D30"/>
    <w:rsid w:val="002B62C2"/>
    <w:rsid w:val="002B71F4"/>
    <w:rsid w:val="002B7B55"/>
    <w:rsid w:val="002C31A1"/>
    <w:rsid w:val="002C3A32"/>
    <w:rsid w:val="002C430B"/>
    <w:rsid w:val="002C453B"/>
    <w:rsid w:val="002C4A1D"/>
    <w:rsid w:val="002C55FB"/>
    <w:rsid w:val="002C5D17"/>
    <w:rsid w:val="002C6491"/>
    <w:rsid w:val="002C68FE"/>
    <w:rsid w:val="002C7961"/>
    <w:rsid w:val="002D09AF"/>
    <w:rsid w:val="002D114F"/>
    <w:rsid w:val="002D13C9"/>
    <w:rsid w:val="002D2AEE"/>
    <w:rsid w:val="002D2B4F"/>
    <w:rsid w:val="002D4298"/>
    <w:rsid w:val="002D47AC"/>
    <w:rsid w:val="002D4FD6"/>
    <w:rsid w:val="002D5541"/>
    <w:rsid w:val="002D747A"/>
    <w:rsid w:val="002E0A5D"/>
    <w:rsid w:val="002E0E33"/>
    <w:rsid w:val="002E3510"/>
    <w:rsid w:val="002E3B5F"/>
    <w:rsid w:val="002E3B79"/>
    <w:rsid w:val="002E6062"/>
    <w:rsid w:val="002E7BCB"/>
    <w:rsid w:val="002F0910"/>
    <w:rsid w:val="002F1B2D"/>
    <w:rsid w:val="002F69A1"/>
    <w:rsid w:val="0030111A"/>
    <w:rsid w:val="00302FCA"/>
    <w:rsid w:val="00303E3A"/>
    <w:rsid w:val="00305763"/>
    <w:rsid w:val="003067D0"/>
    <w:rsid w:val="00307907"/>
    <w:rsid w:val="00310678"/>
    <w:rsid w:val="00310EBE"/>
    <w:rsid w:val="003145AC"/>
    <w:rsid w:val="003176E7"/>
    <w:rsid w:val="00322C62"/>
    <w:rsid w:val="003322D8"/>
    <w:rsid w:val="003323F9"/>
    <w:rsid w:val="0033364E"/>
    <w:rsid w:val="003347A5"/>
    <w:rsid w:val="00336A18"/>
    <w:rsid w:val="00337579"/>
    <w:rsid w:val="00337D75"/>
    <w:rsid w:val="00341A0D"/>
    <w:rsid w:val="00342E09"/>
    <w:rsid w:val="003457DD"/>
    <w:rsid w:val="0035072F"/>
    <w:rsid w:val="003519D3"/>
    <w:rsid w:val="00352618"/>
    <w:rsid w:val="00352726"/>
    <w:rsid w:val="003540EE"/>
    <w:rsid w:val="00355752"/>
    <w:rsid w:val="00356622"/>
    <w:rsid w:val="00360246"/>
    <w:rsid w:val="003602F4"/>
    <w:rsid w:val="00361C00"/>
    <w:rsid w:val="00365583"/>
    <w:rsid w:val="003657F1"/>
    <w:rsid w:val="003668DB"/>
    <w:rsid w:val="00372235"/>
    <w:rsid w:val="0037312B"/>
    <w:rsid w:val="00373236"/>
    <w:rsid w:val="003744E1"/>
    <w:rsid w:val="00375060"/>
    <w:rsid w:val="00377B1B"/>
    <w:rsid w:val="0038004C"/>
    <w:rsid w:val="00381DE2"/>
    <w:rsid w:val="00382884"/>
    <w:rsid w:val="00382892"/>
    <w:rsid w:val="00385C29"/>
    <w:rsid w:val="003862EE"/>
    <w:rsid w:val="00386904"/>
    <w:rsid w:val="00387975"/>
    <w:rsid w:val="0039029B"/>
    <w:rsid w:val="003919AD"/>
    <w:rsid w:val="003979E6"/>
    <w:rsid w:val="003979F6"/>
    <w:rsid w:val="003A00F3"/>
    <w:rsid w:val="003A06FF"/>
    <w:rsid w:val="003A0B6A"/>
    <w:rsid w:val="003A3AF1"/>
    <w:rsid w:val="003A405D"/>
    <w:rsid w:val="003A5C9B"/>
    <w:rsid w:val="003A6137"/>
    <w:rsid w:val="003A6A5E"/>
    <w:rsid w:val="003A6CFF"/>
    <w:rsid w:val="003A7F8A"/>
    <w:rsid w:val="003B117B"/>
    <w:rsid w:val="003B26FF"/>
    <w:rsid w:val="003B4AF3"/>
    <w:rsid w:val="003B6BA0"/>
    <w:rsid w:val="003B72FF"/>
    <w:rsid w:val="003C1BD5"/>
    <w:rsid w:val="003C3890"/>
    <w:rsid w:val="003C3F7F"/>
    <w:rsid w:val="003C56C9"/>
    <w:rsid w:val="003C56FA"/>
    <w:rsid w:val="003C58E0"/>
    <w:rsid w:val="003C77B5"/>
    <w:rsid w:val="003D09F9"/>
    <w:rsid w:val="003D283A"/>
    <w:rsid w:val="003D369D"/>
    <w:rsid w:val="003D4E13"/>
    <w:rsid w:val="003D5F5C"/>
    <w:rsid w:val="003D79C4"/>
    <w:rsid w:val="003D7CAC"/>
    <w:rsid w:val="003E05CB"/>
    <w:rsid w:val="003E2223"/>
    <w:rsid w:val="003E3431"/>
    <w:rsid w:val="003E3E50"/>
    <w:rsid w:val="003E5A56"/>
    <w:rsid w:val="003E6A60"/>
    <w:rsid w:val="003E6B78"/>
    <w:rsid w:val="003E6EA9"/>
    <w:rsid w:val="003F0DD5"/>
    <w:rsid w:val="003F0F19"/>
    <w:rsid w:val="003F1B33"/>
    <w:rsid w:val="003F1DF0"/>
    <w:rsid w:val="003F3918"/>
    <w:rsid w:val="003F4B0E"/>
    <w:rsid w:val="003F7175"/>
    <w:rsid w:val="003F7649"/>
    <w:rsid w:val="0040073B"/>
    <w:rsid w:val="0040164A"/>
    <w:rsid w:val="00401844"/>
    <w:rsid w:val="00401D63"/>
    <w:rsid w:val="00401EDC"/>
    <w:rsid w:val="004067E7"/>
    <w:rsid w:val="00406E8D"/>
    <w:rsid w:val="00407639"/>
    <w:rsid w:val="00411025"/>
    <w:rsid w:val="00411FE5"/>
    <w:rsid w:val="0041248B"/>
    <w:rsid w:val="00412976"/>
    <w:rsid w:val="00412E13"/>
    <w:rsid w:val="00413AAD"/>
    <w:rsid w:val="00413D9D"/>
    <w:rsid w:val="00414980"/>
    <w:rsid w:val="00415452"/>
    <w:rsid w:val="00415565"/>
    <w:rsid w:val="00416BC7"/>
    <w:rsid w:val="00417556"/>
    <w:rsid w:val="00421B10"/>
    <w:rsid w:val="00422553"/>
    <w:rsid w:val="004231C7"/>
    <w:rsid w:val="00423B6B"/>
    <w:rsid w:val="0042536D"/>
    <w:rsid w:val="004307B6"/>
    <w:rsid w:val="0043139F"/>
    <w:rsid w:val="004320D7"/>
    <w:rsid w:val="00432712"/>
    <w:rsid w:val="0043274B"/>
    <w:rsid w:val="00433708"/>
    <w:rsid w:val="004347FF"/>
    <w:rsid w:val="004349AB"/>
    <w:rsid w:val="004352BD"/>
    <w:rsid w:val="00435E8A"/>
    <w:rsid w:val="004376E8"/>
    <w:rsid w:val="00437908"/>
    <w:rsid w:val="00440F5C"/>
    <w:rsid w:val="004411A7"/>
    <w:rsid w:val="004435DB"/>
    <w:rsid w:val="00444668"/>
    <w:rsid w:val="00444C9F"/>
    <w:rsid w:val="00446817"/>
    <w:rsid w:val="00451FAE"/>
    <w:rsid w:val="00452233"/>
    <w:rsid w:val="004530AC"/>
    <w:rsid w:val="004530CB"/>
    <w:rsid w:val="00455CDA"/>
    <w:rsid w:val="0045663D"/>
    <w:rsid w:val="00457ACF"/>
    <w:rsid w:val="00464022"/>
    <w:rsid w:val="004644B1"/>
    <w:rsid w:val="00465BEB"/>
    <w:rsid w:val="004711F7"/>
    <w:rsid w:val="004713F6"/>
    <w:rsid w:val="0047169C"/>
    <w:rsid w:val="00474F21"/>
    <w:rsid w:val="00474FE9"/>
    <w:rsid w:val="0047565D"/>
    <w:rsid w:val="004756DC"/>
    <w:rsid w:val="004774D0"/>
    <w:rsid w:val="004779A7"/>
    <w:rsid w:val="00477F9D"/>
    <w:rsid w:val="004801CD"/>
    <w:rsid w:val="004801F2"/>
    <w:rsid w:val="004827BE"/>
    <w:rsid w:val="00482F85"/>
    <w:rsid w:val="0048317E"/>
    <w:rsid w:val="0048545A"/>
    <w:rsid w:val="00487BAC"/>
    <w:rsid w:val="004903F5"/>
    <w:rsid w:val="00491313"/>
    <w:rsid w:val="00491ABE"/>
    <w:rsid w:val="00491E77"/>
    <w:rsid w:val="004930C2"/>
    <w:rsid w:val="004939C7"/>
    <w:rsid w:val="0049442C"/>
    <w:rsid w:val="004A0CB7"/>
    <w:rsid w:val="004A19A2"/>
    <w:rsid w:val="004A1E5E"/>
    <w:rsid w:val="004A40BA"/>
    <w:rsid w:val="004A48A0"/>
    <w:rsid w:val="004A5664"/>
    <w:rsid w:val="004A745B"/>
    <w:rsid w:val="004B0021"/>
    <w:rsid w:val="004B1732"/>
    <w:rsid w:val="004B1841"/>
    <w:rsid w:val="004B2246"/>
    <w:rsid w:val="004B35A2"/>
    <w:rsid w:val="004B38F7"/>
    <w:rsid w:val="004B5D9E"/>
    <w:rsid w:val="004B6489"/>
    <w:rsid w:val="004B77F9"/>
    <w:rsid w:val="004C28AB"/>
    <w:rsid w:val="004C3938"/>
    <w:rsid w:val="004C3CE3"/>
    <w:rsid w:val="004C43B6"/>
    <w:rsid w:val="004C4553"/>
    <w:rsid w:val="004C501B"/>
    <w:rsid w:val="004C59BE"/>
    <w:rsid w:val="004D0487"/>
    <w:rsid w:val="004D1DB9"/>
    <w:rsid w:val="004D1E77"/>
    <w:rsid w:val="004D543A"/>
    <w:rsid w:val="004D5A05"/>
    <w:rsid w:val="004D6468"/>
    <w:rsid w:val="004E0703"/>
    <w:rsid w:val="004E0948"/>
    <w:rsid w:val="004E153E"/>
    <w:rsid w:val="004E19DC"/>
    <w:rsid w:val="004E5853"/>
    <w:rsid w:val="004E5C6D"/>
    <w:rsid w:val="004E7BFD"/>
    <w:rsid w:val="004F1390"/>
    <w:rsid w:val="004F4336"/>
    <w:rsid w:val="004F4687"/>
    <w:rsid w:val="004F4ACE"/>
    <w:rsid w:val="004F5209"/>
    <w:rsid w:val="004F6195"/>
    <w:rsid w:val="004F6911"/>
    <w:rsid w:val="004F7B31"/>
    <w:rsid w:val="005009C9"/>
    <w:rsid w:val="00501A2E"/>
    <w:rsid w:val="00504644"/>
    <w:rsid w:val="005055D3"/>
    <w:rsid w:val="005063F5"/>
    <w:rsid w:val="00507A1B"/>
    <w:rsid w:val="005104C5"/>
    <w:rsid w:val="00510EBB"/>
    <w:rsid w:val="005114EB"/>
    <w:rsid w:val="005118F7"/>
    <w:rsid w:val="005142CA"/>
    <w:rsid w:val="005143F2"/>
    <w:rsid w:val="005177B6"/>
    <w:rsid w:val="005208FD"/>
    <w:rsid w:val="00520F24"/>
    <w:rsid w:val="00523E7F"/>
    <w:rsid w:val="00525040"/>
    <w:rsid w:val="00525049"/>
    <w:rsid w:val="00525E8C"/>
    <w:rsid w:val="0052683C"/>
    <w:rsid w:val="00527037"/>
    <w:rsid w:val="00531A3D"/>
    <w:rsid w:val="005325AC"/>
    <w:rsid w:val="00534272"/>
    <w:rsid w:val="0053444F"/>
    <w:rsid w:val="00535A56"/>
    <w:rsid w:val="00536456"/>
    <w:rsid w:val="0053730D"/>
    <w:rsid w:val="00537F06"/>
    <w:rsid w:val="005404D5"/>
    <w:rsid w:val="00540C34"/>
    <w:rsid w:val="005414EA"/>
    <w:rsid w:val="00541F15"/>
    <w:rsid w:val="005425F3"/>
    <w:rsid w:val="0054336A"/>
    <w:rsid w:val="005441EF"/>
    <w:rsid w:val="00546EE7"/>
    <w:rsid w:val="005474A6"/>
    <w:rsid w:val="00552EEC"/>
    <w:rsid w:val="0055707C"/>
    <w:rsid w:val="00557FCC"/>
    <w:rsid w:val="005617E9"/>
    <w:rsid w:val="00561E3F"/>
    <w:rsid w:val="005625FC"/>
    <w:rsid w:val="00563405"/>
    <w:rsid w:val="00564773"/>
    <w:rsid w:val="00565BEF"/>
    <w:rsid w:val="00570CD6"/>
    <w:rsid w:val="005771FD"/>
    <w:rsid w:val="00577A9B"/>
    <w:rsid w:val="00577D7F"/>
    <w:rsid w:val="00581D4C"/>
    <w:rsid w:val="00581DD9"/>
    <w:rsid w:val="00582AEC"/>
    <w:rsid w:val="00584323"/>
    <w:rsid w:val="00584404"/>
    <w:rsid w:val="005855F4"/>
    <w:rsid w:val="00592895"/>
    <w:rsid w:val="00592DF9"/>
    <w:rsid w:val="00593861"/>
    <w:rsid w:val="0059430C"/>
    <w:rsid w:val="00594A9B"/>
    <w:rsid w:val="00594B0E"/>
    <w:rsid w:val="00594B7F"/>
    <w:rsid w:val="005950AB"/>
    <w:rsid w:val="00595DB8"/>
    <w:rsid w:val="00596B7E"/>
    <w:rsid w:val="00597945"/>
    <w:rsid w:val="005A0E90"/>
    <w:rsid w:val="005A2B42"/>
    <w:rsid w:val="005A54D7"/>
    <w:rsid w:val="005A569B"/>
    <w:rsid w:val="005A58B7"/>
    <w:rsid w:val="005A5A21"/>
    <w:rsid w:val="005A602D"/>
    <w:rsid w:val="005B0ACE"/>
    <w:rsid w:val="005B6070"/>
    <w:rsid w:val="005B65D9"/>
    <w:rsid w:val="005C212F"/>
    <w:rsid w:val="005C28FF"/>
    <w:rsid w:val="005C2E84"/>
    <w:rsid w:val="005C37C6"/>
    <w:rsid w:val="005C3D3A"/>
    <w:rsid w:val="005C3D4C"/>
    <w:rsid w:val="005C6CE9"/>
    <w:rsid w:val="005D4CED"/>
    <w:rsid w:val="005D5385"/>
    <w:rsid w:val="005D7635"/>
    <w:rsid w:val="005E01A6"/>
    <w:rsid w:val="005E1273"/>
    <w:rsid w:val="005E1659"/>
    <w:rsid w:val="005E479D"/>
    <w:rsid w:val="005E56FC"/>
    <w:rsid w:val="005E5B92"/>
    <w:rsid w:val="005E6FE4"/>
    <w:rsid w:val="005E7205"/>
    <w:rsid w:val="005E771A"/>
    <w:rsid w:val="005F2DDA"/>
    <w:rsid w:val="005F397C"/>
    <w:rsid w:val="005F3A7F"/>
    <w:rsid w:val="005F3F03"/>
    <w:rsid w:val="005F474D"/>
    <w:rsid w:val="005F4C84"/>
    <w:rsid w:val="005F4EBC"/>
    <w:rsid w:val="005F5070"/>
    <w:rsid w:val="005F5260"/>
    <w:rsid w:val="005F62F6"/>
    <w:rsid w:val="005F6B68"/>
    <w:rsid w:val="005F7E2D"/>
    <w:rsid w:val="00602912"/>
    <w:rsid w:val="006045DE"/>
    <w:rsid w:val="00606547"/>
    <w:rsid w:val="00606630"/>
    <w:rsid w:val="00607149"/>
    <w:rsid w:val="006103CF"/>
    <w:rsid w:val="00610B57"/>
    <w:rsid w:val="00611663"/>
    <w:rsid w:val="00613137"/>
    <w:rsid w:val="0061385C"/>
    <w:rsid w:val="00613E0A"/>
    <w:rsid w:val="00616CAB"/>
    <w:rsid w:val="00616CB6"/>
    <w:rsid w:val="00617435"/>
    <w:rsid w:val="00621978"/>
    <w:rsid w:val="00621CCF"/>
    <w:rsid w:val="0062200B"/>
    <w:rsid w:val="00623CF8"/>
    <w:rsid w:val="00623E33"/>
    <w:rsid w:val="00624B65"/>
    <w:rsid w:val="006263CC"/>
    <w:rsid w:val="00627CF0"/>
    <w:rsid w:val="00630140"/>
    <w:rsid w:val="00631060"/>
    <w:rsid w:val="00632662"/>
    <w:rsid w:val="00632C09"/>
    <w:rsid w:val="00633304"/>
    <w:rsid w:val="00637381"/>
    <w:rsid w:val="00637809"/>
    <w:rsid w:val="00641BF3"/>
    <w:rsid w:val="00641C21"/>
    <w:rsid w:val="00642B88"/>
    <w:rsid w:val="00644504"/>
    <w:rsid w:val="006454C3"/>
    <w:rsid w:val="00645B5D"/>
    <w:rsid w:val="00647762"/>
    <w:rsid w:val="00651773"/>
    <w:rsid w:val="00651951"/>
    <w:rsid w:val="00652F47"/>
    <w:rsid w:val="00653963"/>
    <w:rsid w:val="00654F0F"/>
    <w:rsid w:val="00655CDB"/>
    <w:rsid w:val="00655D8C"/>
    <w:rsid w:val="00665C39"/>
    <w:rsid w:val="00666769"/>
    <w:rsid w:val="00667E29"/>
    <w:rsid w:val="00671154"/>
    <w:rsid w:val="00673449"/>
    <w:rsid w:val="0067422D"/>
    <w:rsid w:val="00674378"/>
    <w:rsid w:val="00674B3F"/>
    <w:rsid w:val="006772D5"/>
    <w:rsid w:val="00680F90"/>
    <w:rsid w:val="006823C2"/>
    <w:rsid w:val="0068258A"/>
    <w:rsid w:val="00682658"/>
    <w:rsid w:val="00682C1E"/>
    <w:rsid w:val="00683A54"/>
    <w:rsid w:val="0068573B"/>
    <w:rsid w:val="00685AF4"/>
    <w:rsid w:val="0068717B"/>
    <w:rsid w:val="0069105E"/>
    <w:rsid w:val="00694278"/>
    <w:rsid w:val="0069522A"/>
    <w:rsid w:val="00695BB1"/>
    <w:rsid w:val="00695FC5"/>
    <w:rsid w:val="00697556"/>
    <w:rsid w:val="00697758"/>
    <w:rsid w:val="00697779"/>
    <w:rsid w:val="00697B08"/>
    <w:rsid w:val="006A040C"/>
    <w:rsid w:val="006A0B00"/>
    <w:rsid w:val="006A1CA7"/>
    <w:rsid w:val="006A375D"/>
    <w:rsid w:val="006A3BAA"/>
    <w:rsid w:val="006A55F5"/>
    <w:rsid w:val="006A6FEC"/>
    <w:rsid w:val="006A76F5"/>
    <w:rsid w:val="006B3E4C"/>
    <w:rsid w:val="006B4297"/>
    <w:rsid w:val="006B4298"/>
    <w:rsid w:val="006B571F"/>
    <w:rsid w:val="006C045F"/>
    <w:rsid w:val="006C075F"/>
    <w:rsid w:val="006C1273"/>
    <w:rsid w:val="006C158C"/>
    <w:rsid w:val="006C4502"/>
    <w:rsid w:val="006C5E16"/>
    <w:rsid w:val="006C68A2"/>
    <w:rsid w:val="006C7775"/>
    <w:rsid w:val="006D06D7"/>
    <w:rsid w:val="006D09A9"/>
    <w:rsid w:val="006D0C27"/>
    <w:rsid w:val="006D13A7"/>
    <w:rsid w:val="006D32EA"/>
    <w:rsid w:val="006D6B2F"/>
    <w:rsid w:val="006D7A91"/>
    <w:rsid w:val="006E1DB4"/>
    <w:rsid w:val="006E43A0"/>
    <w:rsid w:val="006E6780"/>
    <w:rsid w:val="006F0E22"/>
    <w:rsid w:val="006F1182"/>
    <w:rsid w:val="006F1359"/>
    <w:rsid w:val="006F160D"/>
    <w:rsid w:val="006F1B52"/>
    <w:rsid w:val="006F1CAF"/>
    <w:rsid w:val="006F27A5"/>
    <w:rsid w:val="006F2C4E"/>
    <w:rsid w:val="006F3409"/>
    <w:rsid w:val="006F55CE"/>
    <w:rsid w:val="006F6F94"/>
    <w:rsid w:val="00701187"/>
    <w:rsid w:val="007024FC"/>
    <w:rsid w:val="007041EF"/>
    <w:rsid w:val="0070638B"/>
    <w:rsid w:val="007113D3"/>
    <w:rsid w:val="0071185A"/>
    <w:rsid w:val="00711B36"/>
    <w:rsid w:val="0071273C"/>
    <w:rsid w:val="00712DC1"/>
    <w:rsid w:val="007137F3"/>
    <w:rsid w:val="00714B0B"/>
    <w:rsid w:val="00715226"/>
    <w:rsid w:val="007161FF"/>
    <w:rsid w:val="00716523"/>
    <w:rsid w:val="007165F6"/>
    <w:rsid w:val="00717570"/>
    <w:rsid w:val="0072148B"/>
    <w:rsid w:val="00724BD4"/>
    <w:rsid w:val="00727E65"/>
    <w:rsid w:val="007322BC"/>
    <w:rsid w:val="0073238C"/>
    <w:rsid w:val="00733293"/>
    <w:rsid w:val="007363E2"/>
    <w:rsid w:val="0073646A"/>
    <w:rsid w:val="00736EB2"/>
    <w:rsid w:val="007408BC"/>
    <w:rsid w:val="0074227D"/>
    <w:rsid w:val="007430C5"/>
    <w:rsid w:val="00744D1C"/>
    <w:rsid w:val="007455D6"/>
    <w:rsid w:val="00745A98"/>
    <w:rsid w:val="007473EA"/>
    <w:rsid w:val="007509D7"/>
    <w:rsid w:val="0075108D"/>
    <w:rsid w:val="007513D1"/>
    <w:rsid w:val="00752AC3"/>
    <w:rsid w:val="00752B5F"/>
    <w:rsid w:val="00752C92"/>
    <w:rsid w:val="00753239"/>
    <w:rsid w:val="00754394"/>
    <w:rsid w:val="00754EE0"/>
    <w:rsid w:val="00755949"/>
    <w:rsid w:val="00755C0B"/>
    <w:rsid w:val="00756C62"/>
    <w:rsid w:val="00760DD6"/>
    <w:rsid w:val="0076152A"/>
    <w:rsid w:val="0076236A"/>
    <w:rsid w:val="007649C4"/>
    <w:rsid w:val="00764FCB"/>
    <w:rsid w:val="0076725E"/>
    <w:rsid w:val="007705D6"/>
    <w:rsid w:val="00771BF0"/>
    <w:rsid w:val="00773092"/>
    <w:rsid w:val="00775B8F"/>
    <w:rsid w:val="00780599"/>
    <w:rsid w:val="00780DC3"/>
    <w:rsid w:val="007812C5"/>
    <w:rsid w:val="00781654"/>
    <w:rsid w:val="00781D92"/>
    <w:rsid w:val="00783F43"/>
    <w:rsid w:val="00784069"/>
    <w:rsid w:val="007840E1"/>
    <w:rsid w:val="007847D2"/>
    <w:rsid w:val="00785BB5"/>
    <w:rsid w:val="00787E6E"/>
    <w:rsid w:val="007906A6"/>
    <w:rsid w:val="0079145A"/>
    <w:rsid w:val="007923BA"/>
    <w:rsid w:val="00793ED3"/>
    <w:rsid w:val="0079512A"/>
    <w:rsid w:val="007956CA"/>
    <w:rsid w:val="007962CD"/>
    <w:rsid w:val="007968FF"/>
    <w:rsid w:val="007973EE"/>
    <w:rsid w:val="007A256C"/>
    <w:rsid w:val="007A550D"/>
    <w:rsid w:val="007A5694"/>
    <w:rsid w:val="007A6732"/>
    <w:rsid w:val="007A67A8"/>
    <w:rsid w:val="007A7100"/>
    <w:rsid w:val="007B1D9C"/>
    <w:rsid w:val="007B2290"/>
    <w:rsid w:val="007B23BB"/>
    <w:rsid w:val="007B5690"/>
    <w:rsid w:val="007C029D"/>
    <w:rsid w:val="007C0B09"/>
    <w:rsid w:val="007C117D"/>
    <w:rsid w:val="007C239C"/>
    <w:rsid w:val="007C4841"/>
    <w:rsid w:val="007C5050"/>
    <w:rsid w:val="007C5843"/>
    <w:rsid w:val="007C7A7D"/>
    <w:rsid w:val="007C7FE8"/>
    <w:rsid w:val="007D0D8C"/>
    <w:rsid w:val="007D2AE8"/>
    <w:rsid w:val="007D3179"/>
    <w:rsid w:val="007D3B83"/>
    <w:rsid w:val="007D478E"/>
    <w:rsid w:val="007D59ED"/>
    <w:rsid w:val="007D6E41"/>
    <w:rsid w:val="007E0B43"/>
    <w:rsid w:val="007E17CD"/>
    <w:rsid w:val="007E18A4"/>
    <w:rsid w:val="007E1C27"/>
    <w:rsid w:val="007E21F7"/>
    <w:rsid w:val="007E2C3D"/>
    <w:rsid w:val="007E33A1"/>
    <w:rsid w:val="007E6D28"/>
    <w:rsid w:val="007E709E"/>
    <w:rsid w:val="007F07D4"/>
    <w:rsid w:val="007F1A09"/>
    <w:rsid w:val="007F1E69"/>
    <w:rsid w:val="007F2702"/>
    <w:rsid w:val="007F38C4"/>
    <w:rsid w:val="007F44B0"/>
    <w:rsid w:val="007F66B3"/>
    <w:rsid w:val="007F76CB"/>
    <w:rsid w:val="00800E0B"/>
    <w:rsid w:val="0080173A"/>
    <w:rsid w:val="00801B55"/>
    <w:rsid w:val="008024AF"/>
    <w:rsid w:val="0080387F"/>
    <w:rsid w:val="008076FF"/>
    <w:rsid w:val="008105F9"/>
    <w:rsid w:val="008122D3"/>
    <w:rsid w:val="00813318"/>
    <w:rsid w:val="00814E24"/>
    <w:rsid w:val="00815BAC"/>
    <w:rsid w:val="00816504"/>
    <w:rsid w:val="00816962"/>
    <w:rsid w:val="00820253"/>
    <w:rsid w:val="008239BF"/>
    <w:rsid w:val="00823B86"/>
    <w:rsid w:val="00824253"/>
    <w:rsid w:val="00824551"/>
    <w:rsid w:val="00824FF1"/>
    <w:rsid w:val="0083032D"/>
    <w:rsid w:val="0083341B"/>
    <w:rsid w:val="00834BEB"/>
    <w:rsid w:val="00835E08"/>
    <w:rsid w:val="00837100"/>
    <w:rsid w:val="00837685"/>
    <w:rsid w:val="008419A3"/>
    <w:rsid w:val="00842BE6"/>
    <w:rsid w:val="00843093"/>
    <w:rsid w:val="008430C1"/>
    <w:rsid w:val="00855D4B"/>
    <w:rsid w:val="00857736"/>
    <w:rsid w:val="0085788E"/>
    <w:rsid w:val="00860DEC"/>
    <w:rsid w:val="008622EA"/>
    <w:rsid w:val="0086318C"/>
    <w:rsid w:val="00864D39"/>
    <w:rsid w:val="00864D7B"/>
    <w:rsid w:val="00864D86"/>
    <w:rsid w:val="00865964"/>
    <w:rsid w:val="008705B3"/>
    <w:rsid w:val="00870E62"/>
    <w:rsid w:val="0087125E"/>
    <w:rsid w:val="00873A66"/>
    <w:rsid w:val="008749D7"/>
    <w:rsid w:val="00876023"/>
    <w:rsid w:val="00881519"/>
    <w:rsid w:val="00881AFD"/>
    <w:rsid w:val="008821B1"/>
    <w:rsid w:val="00882A3B"/>
    <w:rsid w:val="00883C7A"/>
    <w:rsid w:val="00883FED"/>
    <w:rsid w:val="008864D0"/>
    <w:rsid w:val="008902A6"/>
    <w:rsid w:val="0089254F"/>
    <w:rsid w:val="00892BD1"/>
    <w:rsid w:val="00895913"/>
    <w:rsid w:val="00895934"/>
    <w:rsid w:val="00897200"/>
    <w:rsid w:val="008974B8"/>
    <w:rsid w:val="008A1BE6"/>
    <w:rsid w:val="008A2024"/>
    <w:rsid w:val="008A2A80"/>
    <w:rsid w:val="008A441D"/>
    <w:rsid w:val="008A4A22"/>
    <w:rsid w:val="008A736E"/>
    <w:rsid w:val="008B0DEE"/>
    <w:rsid w:val="008B10B0"/>
    <w:rsid w:val="008B2DD5"/>
    <w:rsid w:val="008B3877"/>
    <w:rsid w:val="008B43C2"/>
    <w:rsid w:val="008B4903"/>
    <w:rsid w:val="008B5A40"/>
    <w:rsid w:val="008B5B53"/>
    <w:rsid w:val="008B5CD3"/>
    <w:rsid w:val="008C0210"/>
    <w:rsid w:val="008C262A"/>
    <w:rsid w:val="008C672F"/>
    <w:rsid w:val="008D1397"/>
    <w:rsid w:val="008E09BE"/>
    <w:rsid w:val="008E46FC"/>
    <w:rsid w:val="008E4E74"/>
    <w:rsid w:val="008E68E8"/>
    <w:rsid w:val="008E6A2F"/>
    <w:rsid w:val="008F1F22"/>
    <w:rsid w:val="008F2832"/>
    <w:rsid w:val="008F3C0B"/>
    <w:rsid w:val="008F4403"/>
    <w:rsid w:val="008F6BA4"/>
    <w:rsid w:val="008F6E67"/>
    <w:rsid w:val="00900BA7"/>
    <w:rsid w:val="00903243"/>
    <w:rsid w:val="00903A9E"/>
    <w:rsid w:val="00905D92"/>
    <w:rsid w:val="009116AD"/>
    <w:rsid w:val="00912E3C"/>
    <w:rsid w:val="009162CB"/>
    <w:rsid w:val="0091749E"/>
    <w:rsid w:val="009200C9"/>
    <w:rsid w:val="00920680"/>
    <w:rsid w:val="00920914"/>
    <w:rsid w:val="00921602"/>
    <w:rsid w:val="00921BAC"/>
    <w:rsid w:val="00921E9B"/>
    <w:rsid w:val="00924849"/>
    <w:rsid w:val="00926134"/>
    <w:rsid w:val="00930562"/>
    <w:rsid w:val="0093222D"/>
    <w:rsid w:val="00933634"/>
    <w:rsid w:val="00933F07"/>
    <w:rsid w:val="00935964"/>
    <w:rsid w:val="0093665F"/>
    <w:rsid w:val="009375AF"/>
    <w:rsid w:val="00937DD7"/>
    <w:rsid w:val="009428AE"/>
    <w:rsid w:val="00945963"/>
    <w:rsid w:val="00945F75"/>
    <w:rsid w:val="00946211"/>
    <w:rsid w:val="009466C0"/>
    <w:rsid w:val="00951165"/>
    <w:rsid w:val="00951601"/>
    <w:rsid w:val="00951B81"/>
    <w:rsid w:val="00954F7A"/>
    <w:rsid w:val="00955A77"/>
    <w:rsid w:val="009579B8"/>
    <w:rsid w:val="00962615"/>
    <w:rsid w:val="0096284B"/>
    <w:rsid w:val="00963734"/>
    <w:rsid w:val="00964ECE"/>
    <w:rsid w:val="00965F15"/>
    <w:rsid w:val="00966E3A"/>
    <w:rsid w:val="00967454"/>
    <w:rsid w:val="00967B32"/>
    <w:rsid w:val="009715B8"/>
    <w:rsid w:val="00971BA4"/>
    <w:rsid w:val="00973076"/>
    <w:rsid w:val="00973313"/>
    <w:rsid w:val="009812DB"/>
    <w:rsid w:val="009816C2"/>
    <w:rsid w:val="00981C45"/>
    <w:rsid w:val="0098219E"/>
    <w:rsid w:val="0098303C"/>
    <w:rsid w:val="009831CF"/>
    <w:rsid w:val="009841A2"/>
    <w:rsid w:val="009847E3"/>
    <w:rsid w:val="009850BA"/>
    <w:rsid w:val="00986293"/>
    <w:rsid w:val="009870B4"/>
    <w:rsid w:val="0098781A"/>
    <w:rsid w:val="009908C2"/>
    <w:rsid w:val="00990A4A"/>
    <w:rsid w:val="00994B1B"/>
    <w:rsid w:val="00995481"/>
    <w:rsid w:val="009963A6"/>
    <w:rsid w:val="00996E68"/>
    <w:rsid w:val="009973BA"/>
    <w:rsid w:val="009A0187"/>
    <w:rsid w:val="009A0293"/>
    <w:rsid w:val="009A06D4"/>
    <w:rsid w:val="009A42C8"/>
    <w:rsid w:val="009A7261"/>
    <w:rsid w:val="009B13E1"/>
    <w:rsid w:val="009B161F"/>
    <w:rsid w:val="009B17C0"/>
    <w:rsid w:val="009B1B63"/>
    <w:rsid w:val="009B27BE"/>
    <w:rsid w:val="009B2958"/>
    <w:rsid w:val="009B335E"/>
    <w:rsid w:val="009B3C29"/>
    <w:rsid w:val="009B3C5A"/>
    <w:rsid w:val="009B4E01"/>
    <w:rsid w:val="009B5BFE"/>
    <w:rsid w:val="009B5EC2"/>
    <w:rsid w:val="009B7F22"/>
    <w:rsid w:val="009B7F86"/>
    <w:rsid w:val="009C3A85"/>
    <w:rsid w:val="009C6465"/>
    <w:rsid w:val="009C6604"/>
    <w:rsid w:val="009C783B"/>
    <w:rsid w:val="009D06F1"/>
    <w:rsid w:val="009D0A1D"/>
    <w:rsid w:val="009D1B35"/>
    <w:rsid w:val="009D1C99"/>
    <w:rsid w:val="009D25B6"/>
    <w:rsid w:val="009D36B3"/>
    <w:rsid w:val="009D4927"/>
    <w:rsid w:val="009D4CC4"/>
    <w:rsid w:val="009D5533"/>
    <w:rsid w:val="009D7D67"/>
    <w:rsid w:val="009E0403"/>
    <w:rsid w:val="009E1F6C"/>
    <w:rsid w:val="009E54D8"/>
    <w:rsid w:val="009E5C5E"/>
    <w:rsid w:val="009F20D0"/>
    <w:rsid w:val="009F3C0D"/>
    <w:rsid w:val="009F481C"/>
    <w:rsid w:val="009F5A9C"/>
    <w:rsid w:val="009F5BA4"/>
    <w:rsid w:val="009F5D78"/>
    <w:rsid w:val="009F5FCC"/>
    <w:rsid w:val="00A0152A"/>
    <w:rsid w:val="00A02E94"/>
    <w:rsid w:val="00A1035F"/>
    <w:rsid w:val="00A10610"/>
    <w:rsid w:val="00A10805"/>
    <w:rsid w:val="00A1166D"/>
    <w:rsid w:val="00A137D2"/>
    <w:rsid w:val="00A14EDC"/>
    <w:rsid w:val="00A171C8"/>
    <w:rsid w:val="00A17398"/>
    <w:rsid w:val="00A21B97"/>
    <w:rsid w:val="00A2430C"/>
    <w:rsid w:val="00A24A3E"/>
    <w:rsid w:val="00A2589F"/>
    <w:rsid w:val="00A2653E"/>
    <w:rsid w:val="00A26D31"/>
    <w:rsid w:val="00A30CC6"/>
    <w:rsid w:val="00A3169B"/>
    <w:rsid w:val="00A332E1"/>
    <w:rsid w:val="00A33EBD"/>
    <w:rsid w:val="00A33FCB"/>
    <w:rsid w:val="00A3428D"/>
    <w:rsid w:val="00A34E4F"/>
    <w:rsid w:val="00A3744F"/>
    <w:rsid w:val="00A4263F"/>
    <w:rsid w:val="00A44D69"/>
    <w:rsid w:val="00A501EA"/>
    <w:rsid w:val="00A52637"/>
    <w:rsid w:val="00A5273F"/>
    <w:rsid w:val="00A538C5"/>
    <w:rsid w:val="00A56352"/>
    <w:rsid w:val="00A564B8"/>
    <w:rsid w:val="00A5699B"/>
    <w:rsid w:val="00A56BE9"/>
    <w:rsid w:val="00A57453"/>
    <w:rsid w:val="00A6149C"/>
    <w:rsid w:val="00A63C0A"/>
    <w:rsid w:val="00A64D83"/>
    <w:rsid w:val="00A651C7"/>
    <w:rsid w:val="00A6553B"/>
    <w:rsid w:val="00A7060B"/>
    <w:rsid w:val="00A71251"/>
    <w:rsid w:val="00A71AE1"/>
    <w:rsid w:val="00A735E4"/>
    <w:rsid w:val="00A73729"/>
    <w:rsid w:val="00A73D57"/>
    <w:rsid w:val="00A75234"/>
    <w:rsid w:val="00A753C3"/>
    <w:rsid w:val="00A75B2C"/>
    <w:rsid w:val="00A76B47"/>
    <w:rsid w:val="00A802F0"/>
    <w:rsid w:val="00A815EE"/>
    <w:rsid w:val="00A82EDF"/>
    <w:rsid w:val="00A90838"/>
    <w:rsid w:val="00A91F3B"/>
    <w:rsid w:val="00A920F4"/>
    <w:rsid w:val="00A93A61"/>
    <w:rsid w:val="00A93D04"/>
    <w:rsid w:val="00A94D41"/>
    <w:rsid w:val="00A956A7"/>
    <w:rsid w:val="00A95D9A"/>
    <w:rsid w:val="00A95EE0"/>
    <w:rsid w:val="00AA14DA"/>
    <w:rsid w:val="00AA28B6"/>
    <w:rsid w:val="00AA5069"/>
    <w:rsid w:val="00AA57DD"/>
    <w:rsid w:val="00AA730B"/>
    <w:rsid w:val="00AB09AC"/>
    <w:rsid w:val="00AB20BE"/>
    <w:rsid w:val="00AB2B62"/>
    <w:rsid w:val="00AB3187"/>
    <w:rsid w:val="00AB42A5"/>
    <w:rsid w:val="00AB4669"/>
    <w:rsid w:val="00AB4F69"/>
    <w:rsid w:val="00AB7EE5"/>
    <w:rsid w:val="00AC0A34"/>
    <w:rsid w:val="00AC0DD7"/>
    <w:rsid w:val="00AC1A66"/>
    <w:rsid w:val="00AC2D86"/>
    <w:rsid w:val="00AC3546"/>
    <w:rsid w:val="00AC54DB"/>
    <w:rsid w:val="00AC5BC9"/>
    <w:rsid w:val="00AC66A0"/>
    <w:rsid w:val="00AC702E"/>
    <w:rsid w:val="00AC755E"/>
    <w:rsid w:val="00AD033D"/>
    <w:rsid w:val="00AD3F0B"/>
    <w:rsid w:val="00AD47B6"/>
    <w:rsid w:val="00AD4CB5"/>
    <w:rsid w:val="00AD4E45"/>
    <w:rsid w:val="00AD5EB0"/>
    <w:rsid w:val="00AD7363"/>
    <w:rsid w:val="00AD7AA6"/>
    <w:rsid w:val="00AE0E03"/>
    <w:rsid w:val="00AE237B"/>
    <w:rsid w:val="00AE28AC"/>
    <w:rsid w:val="00AE2958"/>
    <w:rsid w:val="00AE44A2"/>
    <w:rsid w:val="00AE49BF"/>
    <w:rsid w:val="00AE5448"/>
    <w:rsid w:val="00AE6BE1"/>
    <w:rsid w:val="00AE7C4A"/>
    <w:rsid w:val="00AF03D0"/>
    <w:rsid w:val="00AF168F"/>
    <w:rsid w:val="00AF24CE"/>
    <w:rsid w:val="00AF32B8"/>
    <w:rsid w:val="00AF48B0"/>
    <w:rsid w:val="00AF6713"/>
    <w:rsid w:val="00AF6A24"/>
    <w:rsid w:val="00AF725E"/>
    <w:rsid w:val="00AF7917"/>
    <w:rsid w:val="00B03BE6"/>
    <w:rsid w:val="00B03FC6"/>
    <w:rsid w:val="00B048C2"/>
    <w:rsid w:val="00B057DA"/>
    <w:rsid w:val="00B05FD6"/>
    <w:rsid w:val="00B066BB"/>
    <w:rsid w:val="00B06AAF"/>
    <w:rsid w:val="00B06CCF"/>
    <w:rsid w:val="00B13599"/>
    <w:rsid w:val="00B14E97"/>
    <w:rsid w:val="00B167D8"/>
    <w:rsid w:val="00B174AE"/>
    <w:rsid w:val="00B17694"/>
    <w:rsid w:val="00B21633"/>
    <w:rsid w:val="00B220F0"/>
    <w:rsid w:val="00B224B1"/>
    <w:rsid w:val="00B226D8"/>
    <w:rsid w:val="00B23478"/>
    <w:rsid w:val="00B239FB"/>
    <w:rsid w:val="00B2471F"/>
    <w:rsid w:val="00B25C7B"/>
    <w:rsid w:val="00B25DF9"/>
    <w:rsid w:val="00B262ED"/>
    <w:rsid w:val="00B26D0F"/>
    <w:rsid w:val="00B306BF"/>
    <w:rsid w:val="00B30723"/>
    <w:rsid w:val="00B31524"/>
    <w:rsid w:val="00B35A13"/>
    <w:rsid w:val="00B35CAC"/>
    <w:rsid w:val="00B407CA"/>
    <w:rsid w:val="00B4250B"/>
    <w:rsid w:val="00B42862"/>
    <w:rsid w:val="00B44219"/>
    <w:rsid w:val="00B44412"/>
    <w:rsid w:val="00B51BAC"/>
    <w:rsid w:val="00B52208"/>
    <w:rsid w:val="00B52544"/>
    <w:rsid w:val="00B5319C"/>
    <w:rsid w:val="00B53547"/>
    <w:rsid w:val="00B53762"/>
    <w:rsid w:val="00B53E63"/>
    <w:rsid w:val="00B5579D"/>
    <w:rsid w:val="00B56B67"/>
    <w:rsid w:val="00B61E3C"/>
    <w:rsid w:val="00B65B5D"/>
    <w:rsid w:val="00B65F31"/>
    <w:rsid w:val="00B662DD"/>
    <w:rsid w:val="00B667B6"/>
    <w:rsid w:val="00B66A86"/>
    <w:rsid w:val="00B7149B"/>
    <w:rsid w:val="00B7268A"/>
    <w:rsid w:val="00B73BB0"/>
    <w:rsid w:val="00B74585"/>
    <w:rsid w:val="00B752D8"/>
    <w:rsid w:val="00B75421"/>
    <w:rsid w:val="00B75511"/>
    <w:rsid w:val="00B75DCD"/>
    <w:rsid w:val="00B75FB1"/>
    <w:rsid w:val="00B80AE9"/>
    <w:rsid w:val="00B80FD6"/>
    <w:rsid w:val="00B81701"/>
    <w:rsid w:val="00B81FA4"/>
    <w:rsid w:val="00B8245A"/>
    <w:rsid w:val="00B82E5A"/>
    <w:rsid w:val="00B83F12"/>
    <w:rsid w:val="00B84E78"/>
    <w:rsid w:val="00B850F2"/>
    <w:rsid w:val="00B85841"/>
    <w:rsid w:val="00B85F2C"/>
    <w:rsid w:val="00B86398"/>
    <w:rsid w:val="00B90220"/>
    <w:rsid w:val="00B90266"/>
    <w:rsid w:val="00B906C2"/>
    <w:rsid w:val="00B912D6"/>
    <w:rsid w:val="00B91BDA"/>
    <w:rsid w:val="00B928D3"/>
    <w:rsid w:val="00B9386C"/>
    <w:rsid w:val="00B94A39"/>
    <w:rsid w:val="00B97944"/>
    <w:rsid w:val="00BA07DB"/>
    <w:rsid w:val="00BA153E"/>
    <w:rsid w:val="00BA3E47"/>
    <w:rsid w:val="00BA3FF1"/>
    <w:rsid w:val="00BA452B"/>
    <w:rsid w:val="00BA63AE"/>
    <w:rsid w:val="00BA6F3F"/>
    <w:rsid w:val="00BA7227"/>
    <w:rsid w:val="00BA7815"/>
    <w:rsid w:val="00BB0B60"/>
    <w:rsid w:val="00BB1A5E"/>
    <w:rsid w:val="00BB1F38"/>
    <w:rsid w:val="00BB2DA1"/>
    <w:rsid w:val="00BB3D09"/>
    <w:rsid w:val="00BB5CA6"/>
    <w:rsid w:val="00BB68BB"/>
    <w:rsid w:val="00BB6F44"/>
    <w:rsid w:val="00BB752B"/>
    <w:rsid w:val="00BB7CF4"/>
    <w:rsid w:val="00BC0135"/>
    <w:rsid w:val="00BC105E"/>
    <w:rsid w:val="00BC21B2"/>
    <w:rsid w:val="00BC2B67"/>
    <w:rsid w:val="00BC42BD"/>
    <w:rsid w:val="00BC5248"/>
    <w:rsid w:val="00BC57A6"/>
    <w:rsid w:val="00BC5B38"/>
    <w:rsid w:val="00BC6936"/>
    <w:rsid w:val="00BC6A61"/>
    <w:rsid w:val="00BD0F02"/>
    <w:rsid w:val="00BD1D2D"/>
    <w:rsid w:val="00BD3FFF"/>
    <w:rsid w:val="00BD4C7E"/>
    <w:rsid w:val="00BD70D1"/>
    <w:rsid w:val="00BD7971"/>
    <w:rsid w:val="00BE0B49"/>
    <w:rsid w:val="00BE108A"/>
    <w:rsid w:val="00BE1CF4"/>
    <w:rsid w:val="00BE23B2"/>
    <w:rsid w:val="00BE44BF"/>
    <w:rsid w:val="00BE5BA7"/>
    <w:rsid w:val="00BE72CC"/>
    <w:rsid w:val="00BE7C42"/>
    <w:rsid w:val="00BF028C"/>
    <w:rsid w:val="00BF0707"/>
    <w:rsid w:val="00BF1153"/>
    <w:rsid w:val="00BF1F1F"/>
    <w:rsid w:val="00BF3701"/>
    <w:rsid w:val="00BF3D38"/>
    <w:rsid w:val="00BF7F74"/>
    <w:rsid w:val="00C00135"/>
    <w:rsid w:val="00C01BE5"/>
    <w:rsid w:val="00C01D07"/>
    <w:rsid w:val="00C025B4"/>
    <w:rsid w:val="00C033A1"/>
    <w:rsid w:val="00C04757"/>
    <w:rsid w:val="00C04D80"/>
    <w:rsid w:val="00C05072"/>
    <w:rsid w:val="00C10A47"/>
    <w:rsid w:val="00C1150F"/>
    <w:rsid w:val="00C11756"/>
    <w:rsid w:val="00C13E4E"/>
    <w:rsid w:val="00C15C1C"/>
    <w:rsid w:val="00C165EC"/>
    <w:rsid w:val="00C203F5"/>
    <w:rsid w:val="00C20543"/>
    <w:rsid w:val="00C21AE8"/>
    <w:rsid w:val="00C23C88"/>
    <w:rsid w:val="00C27012"/>
    <w:rsid w:val="00C27449"/>
    <w:rsid w:val="00C31D2C"/>
    <w:rsid w:val="00C320A9"/>
    <w:rsid w:val="00C33983"/>
    <w:rsid w:val="00C352E1"/>
    <w:rsid w:val="00C356F9"/>
    <w:rsid w:val="00C35EC8"/>
    <w:rsid w:val="00C3667E"/>
    <w:rsid w:val="00C366FC"/>
    <w:rsid w:val="00C43A54"/>
    <w:rsid w:val="00C44192"/>
    <w:rsid w:val="00C444A3"/>
    <w:rsid w:val="00C44BF2"/>
    <w:rsid w:val="00C44CE5"/>
    <w:rsid w:val="00C45024"/>
    <w:rsid w:val="00C45E49"/>
    <w:rsid w:val="00C467DA"/>
    <w:rsid w:val="00C47742"/>
    <w:rsid w:val="00C47978"/>
    <w:rsid w:val="00C507D4"/>
    <w:rsid w:val="00C50C3B"/>
    <w:rsid w:val="00C51719"/>
    <w:rsid w:val="00C548BB"/>
    <w:rsid w:val="00C55FF1"/>
    <w:rsid w:val="00C57A1D"/>
    <w:rsid w:val="00C6199F"/>
    <w:rsid w:val="00C62533"/>
    <w:rsid w:val="00C63A82"/>
    <w:rsid w:val="00C63F4E"/>
    <w:rsid w:val="00C64BE1"/>
    <w:rsid w:val="00C65316"/>
    <w:rsid w:val="00C6617C"/>
    <w:rsid w:val="00C66DF4"/>
    <w:rsid w:val="00C7014B"/>
    <w:rsid w:val="00C7036C"/>
    <w:rsid w:val="00C70A24"/>
    <w:rsid w:val="00C72791"/>
    <w:rsid w:val="00C733E6"/>
    <w:rsid w:val="00C7470A"/>
    <w:rsid w:val="00C755FD"/>
    <w:rsid w:val="00C75C8C"/>
    <w:rsid w:val="00C76DC2"/>
    <w:rsid w:val="00C778A2"/>
    <w:rsid w:val="00C802E7"/>
    <w:rsid w:val="00C80424"/>
    <w:rsid w:val="00C80ED6"/>
    <w:rsid w:val="00C8111E"/>
    <w:rsid w:val="00C82C67"/>
    <w:rsid w:val="00C8444B"/>
    <w:rsid w:val="00C85AF5"/>
    <w:rsid w:val="00C86394"/>
    <w:rsid w:val="00C864AF"/>
    <w:rsid w:val="00C9112B"/>
    <w:rsid w:val="00C91A92"/>
    <w:rsid w:val="00C92C17"/>
    <w:rsid w:val="00C94F56"/>
    <w:rsid w:val="00C9550A"/>
    <w:rsid w:val="00C95C16"/>
    <w:rsid w:val="00C966B7"/>
    <w:rsid w:val="00CA0759"/>
    <w:rsid w:val="00CA1D26"/>
    <w:rsid w:val="00CA31FB"/>
    <w:rsid w:val="00CA3327"/>
    <w:rsid w:val="00CA382C"/>
    <w:rsid w:val="00CA3E3F"/>
    <w:rsid w:val="00CA4EAD"/>
    <w:rsid w:val="00CA5183"/>
    <w:rsid w:val="00CA6566"/>
    <w:rsid w:val="00CA685E"/>
    <w:rsid w:val="00CA7A64"/>
    <w:rsid w:val="00CA7CCF"/>
    <w:rsid w:val="00CB028B"/>
    <w:rsid w:val="00CB09E3"/>
    <w:rsid w:val="00CB0C2C"/>
    <w:rsid w:val="00CC0D8A"/>
    <w:rsid w:val="00CC4428"/>
    <w:rsid w:val="00CC6216"/>
    <w:rsid w:val="00CC6559"/>
    <w:rsid w:val="00CC75D1"/>
    <w:rsid w:val="00CC761D"/>
    <w:rsid w:val="00CC7700"/>
    <w:rsid w:val="00CD1475"/>
    <w:rsid w:val="00CD1888"/>
    <w:rsid w:val="00CD333A"/>
    <w:rsid w:val="00CD4C29"/>
    <w:rsid w:val="00CD5251"/>
    <w:rsid w:val="00CD55E5"/>
    <w:rsid w:val="00CD56A3"/>
    <w:rsid w:val="00CD62CB"/>
    <w:rsid w:val="00CD69FF"/>
    <w:rsid w:val="00CD730C"/>
    <w:rsid w:val="00CD7E28"/>
    <w:rsid w:val="00CE1970"/>
    <w:rsid w:val="00CE3AD5"/>
    <w:rsid w:val="00CE47DE"/>
    <w:rsid w:val="00CE5914"/>
    <w:rsid w:val="00CE5BD8"/>
    <w:rsid w:val="00CE64BF"/>
    <w:rsid w:val="00CE6EA3"/>
    <w:rsid w:val="00CE72B4"/>
    <w:rsid w:val="00CE7C0B"/>
    <w:rsid w:val="00CF3B68"/>
    <w:rsid w:val="00CF3FCB"/>
    <w:rsid w:val="00CF44E2"/>
    <w:rsid w:val="00CF54EA"/>
    <w:rsid w:val="00CF598D"/>
    <w:rsid w:val="00CF6DBE"/>
    <w:rsid w:val="00CF7252"/>
    <w:rsid w:val="00D008BD"/>
    <w:rsid w:val="00D01242"/>
    <w:rsid w:val="00D0436F"/>
    <w:rsid w:val="00D04ACB"/>
    <w:rsid w:val="00D050EC"/>
    <w:rsid w:val="00D11A16"/>
    <w:rsid w:val="00D11F9F"/>
    <w:rsid w:val="00D13FDB"/>
    <w:rsid w:val="00D143B2"/>
    <w:rsid w:val="00D15506"/>
    <w:rsid w:val="00D15B67"/>
    <w:rsid w:val="00D17005"/>
    <w:rsid w:val="00D178D3"/>
    <w:rsid w:val="00D20733"/>
    <w:rsid w:val="00D216B7"/>
    <w:rsid w:val="00D22925"/>
    <w:rsid w:val="00D2395A"/>
    <w:rsid w:val="00D23B58"/>
    <w:rsid w:val="00D24398"/>
    <w:rsid w:val="00D2726B"/>
    <w:rsid w:val="00D2773C"/>
    <w:rsid w:val="00D30874"/>
    <w:rsid w:val="00D3105F"/>
    <w:rsid w:val="00D31B5C"/>
    <w:rsid w:val="00D35D92"/>
    <w:rsid w:val="00D3727F"/>
    <w:rsid w:val="00D40230"/>
    <w:rsid w:val="00D40DAB"/>
    <w:rsid w:val="00D41EE8"/>
    <w:rsid w:val="00D432EA"/>
    <w:rsid w:val="00D47325"/>
    <w:rsid w:val="00D47D83"/>
    <w:rsid w:val="00D50D5D"/>
    <w:rsid w:val="00D51544"/>
    <w:rsid w:val="00D53A3B"/>
    <w:rsid w:val="00D54654"/>
    <w:rsid w:val="00D5573C"/>
    <w:rsid w:val="00D55F75"/>
    <w:rsid w:val="00D5722B"/>
    <w:rsid w:val="00D57D70"/>
    <w:rsid w:val="00D57F38"/>
    <w:rsid w:val="00D60E92"/>
    <w:rsid w:val="00D61595"/>
    <w:rsid w:val="00D6263A"/>
    <w:rsid w:val="00D63494"/>
    <w:rsid w:val="00D63873"/>
    <w:rsid w:val="00D64452"/>
    <w:rsid w:val="00D64714"/>
    <w:rsid w:val="00D64BA6"/>
    <w:rsid w:val="00D64E50"/>
    <w:rsid w:val="00D66248"/>
    <w:rsid w:val="00D702B5"/>
    <w:rsid w:val="00D710CB"/>
    <w:rsid w:val="00D71506"/>
    <w:rsid w:val="00D7193C"/>
    <w:rsid w:val="00D71980"/>
    <w:rsid w:val="00D726A5"/>
    <w:rsid w:val="00D7339A"/>
    <w:rsid w:val="00D76E08"/>
    <w:rsid w:val="00D776A4"/>
    <w:rsid w:val="00D77C13"/>
    <w:rsid w:val="00D800DE"/>
    <w:rsid w:val="00D800FD"/>
    <w:rsid w:val="00D80142"/>
    <w:rsid w:val="00D8076F"/>
    <w:rsid w:val="00D8109C"/>
    <w:rsid w:val="00D81543"/>
    <w:rsid w:val="00D826E3"/>
    <w:rsid w:val="00D829A0"/>
    <w:rsid w:val="00D83368"/>
    <w:rsid w:val="00D83AD0"/>
    <w:rsid w:val="00D83B10"/>
    <w:rsid w:val="00D8446C"/>
    <w:rsid w:val="00D86B9F"/>
    <w:rsid w:val="00D86F7C"/>
    <w:rsid w:val="00D91A1C"/>
    <w:rsid w:val="00D94399"/>
    <w:rsid w:val="00D94F5C"/>
    <w:rsid w:val="00D95B9F"/>
    <w:rsid w:val="00D9692D"/>
    <w:rsid w:val="00D96E44"/>
    <w:rsid w:val="00D97249"/>
    <w:rsid w:val="00DA2CDE"/>
    <w:rsid w:val="00DA6CF9"/>
    <w:rsid w:val="00DB29CB"/>
    <w:rsid w:val="00DB56BE"/>
    <w:rsid w:val="00DB6E12"/>
    <w:rsid w:val="00DB74AD"/>
    <w:rsid w:val="00DB7D15"/>
    <w:rsid w:val="00DB7F9E"/>
    <w:rsid w:val="00DC0313"/>
    <w:rsid w:val="00DC2598"/>
    <w:rsid w:val="00DC3BD0"/>
    <w:rsid w:val="00DC6024"/>
    <w:rsid w:val="00DC7E86"/>
    <w:rsid w:val="00DD24F3"/>
    <w:rsid w:val="00DD2978"/>
    <w:rsid w:val="00DD39C9"/>
    <w:rsid w:val="00DD3E4B"/>
    <w:rsid w:val="00DD4E45"/>
    <w:rsid w:val="00DD58FC"/>
    <w:rsid w:val="00DD61DC"/>
    <w:rsid w:val="00DD68C9"/>
    <w:rsid w:val="00DE13E9"/>
    <w:rsid w:val="00DE254F"/>
    <w:rsid w:val="00DE40A4"/>
    <w:rsid w:val="00DE42CE"/>
    <w:rsid w:val="00DE460C"/>
    <w:rsid w:val="00DE63AA"/>
    <w:rsid w:val="00DE7D39"/>
    <w:rsid w:val="00DF02BE"/>
    <w:rsid w:val="00DF0D81"/>
    <w:rsid w:val="00DF3C52"/>
    <w:rsid w:val="00DF5FB7"/>
    <w:rsid w:val="00DF7A1A"/>
    <w:rsid w:val="00DF7C34"/>
    <w:rsid w:val="00E001EC"/>
    <w:rsid w:val="00E013B4"/>
    <w:rsid w:val="00E016C7"/>
    <w:rsid w:val="00E0597F"/>
    <w:rsid w:val="00E06C64"/>
    <w:rsid w:val="00E07D12"/>
    <w:rsid w:val="00E07F29"/>
    <w:rsid w:val="00E1074B"/>
    <w:rsid w:val="00E11C27"/>
    <w:rsid w:val="00E11E13"/>
    <w:rsid w:val="00E134AE"/>
    <w:rsid w:val="00E15204"/>
    <w:rsid w:val="00E15AA2"/>
    <w:rsid w:val="00E1641D"/>
    <w:rsid w:val="00E171C5"/>
    <w:rsid w:val="00E17967"/>
    <w:rsid w:val="00E22951"/>
    <w:rsid w:val="00E25ADC"/>
    <w:rsid w:val="00E274E1"/>
    <w:rsid w:val="00E275C6"/>
    <w:rsid w:val="00E27EBA"/>
    <w:rsid w:val="00E321BD"/>
    <w:rsid w:val="00E33168"/>
    <w:rsid w:val="00E338CE"/>
    <w:rsid w:val="00E342B5"/>
    <w:rsid w:val="00E35CDF"/>
    <w:rsid w:val="00E361AF"/>
    <w:rsid w:val="00E37A57"/>
    <w:rsid w:val="00E40EC3"/>
    <w:rsid w:val="00E41458"/>
    <w:rsid w:val="00E432CF"/>
    <w:rsid w:val="00E43605"/>
    <w:rsid w:val="00E441CF"/>
    <w:rsid w:val="00E45156"/>
    <w:rsid w:val="00E51024"/>
    <w:rsid w:val="00E648B3"/>
    <w:rsid w:val="00E65E48"/>
    <w:rsid w:val="00E660AE"/>
    <w:rsid w:val="00E7147A"/>
    <w:rsid w:val="00E719D9"/>
    <w:rsid w:val="00E722CF"/>
    <w:rsid w:val="00E72E0C"/>
    <w:rsid w:val="00E7580D"/>
    <w:rsid w:val="00E75C1D"/>
    <w:rsid w:val="00E7658E"/>
    <w:rsid w:val="00E77054"/>
    <w:rsid w:val="00E80D1C"/>
    <w:rsid w:val="00E82091"/>
    <w:rsid w:val="00E828E4"/>
    <w:rsid w:val="00E832EB"/>
    <w:rsid w:val="00E83F2F"/>
    <w:rsid w:val="00E84192"/>
    <w:rsid w:val="00E85E88"/>
    <w:rsid w:val="00E870D4"/>
    <w:rsid w:val="00E90EEA"/>
    <w:rsid w:val="00E91419"/>
    <w:rsid w:val="00E91918"/>
    <w:rsid w:val="00E939E8"/>
    <w:rsid w:val="00E9432C"/>
    <w:rsid w:val="00E96597"/>
    <w:rsid w:val="00E96D48"/>
    <w:rsid w:val="00EA022C"/>
    <w:rsid w:val="00EA0BCC"/>
    <w:rsid w:val="00EA0FAE"/>
    <w:rsid w:val="00EA115E"/>
    <w:rsid w:val="00EA2496"/>
    <w:rsid w:val="00EA2826"/>
    <w:rsid w:val="00EA2BB7"/>
    <w:rsid w:val="00EA43B0"/>
    <w:rsid w:val="00EA51E4"/>
    <w:rsid w:val="00EA5D83"/>
    <w:rsid w:val="00EA6CBA"/>
    <w:rsid w:val="00EB33CC"/>
    <w:rsid w:val="00EB4E18"/>
    <w:rsid w:val="00EB6BE7"/>
    <w:rsid w:val="00EC0294"/>
    <w:rsid w:val="00EC0354"/>
    <w:rsid w:val="00EC1814"/>
    <w:rsid w:val="00EC3B70"/>
    <w:rsid w:val="00EC444A"/>
    <w:rsid w:val="00EC5D41"/>
    <w:rsid w:val="00EC76A7"/>
    <w:rsid w:val="00ED1BD5"/>
    <w:rsid w:val="00ED2C38"/>
    <w:rsid w:val="00ED347B"/>
    <w:rsid w:val="00ED6D5E"/>
    <w:rsid w:val="00EE08FA"/>
    <w:rsid w:val="00EE220B"/>
    <w:rsid w:val="00EE2A92"/>
    <w:rsid w:val="00EE52C8"/>
    <w:rsid w:val="00EE59DB"/>
    <w:rsid w:val="00EE7C55"/>
    <w:rsid w:val="00EF0FCB"/>
    <w:rsid w:val="00EF38D2"/>
    <w:rsid w:val="00EF4FDC"/>
    <w:rsid w:val="00EF52FE"/>
    <w:rsid w:val="00EF5460"/>
    <w:rsid w:val="00EF637B"/>
    <w:rsid w:val="00EF6F05"/>
    <w:rsid w:val="00EF7A26"/>
    <w:rsid w:val="00EF7C44"/>
    <w:rsid w:val="00F0099A"/>
    <w:rsid w:val="00F00FF4"/>
    <w:rsid w:val="00F02173"/>
    <w:rsid w:val="00F02451"/>
    <w:rsid w:val="00F02C0D"/>
    <w:rsid w:val="00F02F56"/>
    <w:rsid w:val="00F04713"/>
    <w:rsid w:val="00F053C0"/>
    <w:rsid w:val="00F062B8"/>
    <w:rsid w:val="00F079BE"/>
    <w:rsid w:val="00F07F1C"/>
    <w:rsid w:val="00F125B4"/>
    <w:rsid w:val="00F1337A"/>
    <w:rsid w:val="00F13811"/>
    <w:rsid w:val="00F13D3C"/>
    <w:rsid w:val="00F1591F"/>
    <w:rsid w:val="00F15EBF"/>
    <w:rsid w:val="00F203A8"/>
    <w:rsid w:val="00F20FF0"/>
    <w:rsid w:val="00F2166A"/>
    <w:rsid w:val="00F22A59"/>
    <w:rsid w:val="00F22DB1"/>
    <w:rsid w:val="00F23EA2"/>
    <w:rsid w:val="00F244AC"/>
    <w:rsid w:val="00F2473D"/>
    <w:rsid w:val="00F254EF"/>
    <w:rsid w:val="00F2652E"/>
    <w:rsid w:val="00F26D0E"/>
    <w:rsid w:val="00F308F2"/>
    <w:rsid w:val="00F34959"/>
    <w:rsid w:val="00F34961"/>
    <w:rsid w:val="00F3718C"/>
    <w:rsid w:val="00F37AB5"/>
    <w:rsid w:val="00F40664"/>
    <w:rsid w:val="00F406D9"/>
    <w:rsid w:val="00F41A88"/>
    <w:rsid w:val="00F41CCA"/>
    <w:rsid w:val="00F41FD9"/>
    <w:rsid w:val="00F4234B"/>
    <w:rsid w:val="00F42868"/>
    <w:rsid w:val="00F44A21"/>
    <w:rsid w:val="00F52795"/>
    <w:rsid w:val="00F546C5"/>
    <w:rsid w:val="00F56483"/>
    <w:rsid w:val="00F573DC"/>
    <w:rsid w:val="00F615CB"/>
    <w:rsid w:val="00F627B1"/>
    <w:rsid w:val="00F63009"/>
    <w:rsid w:val="00F63101"/>
    <w:rsid w:val="00F6354E"/>
    <w:rsid w:val="00F640D4"/>
    <w:rsid w:val="00F64F3C"/>
    <w:rsid w:val="00F65107"/>
    <w:rsid w:val="00F665DF"/>
    <w:rsid w:val="00F669EB"/>
    <w:rsid w:val="00F66BC0"/>
    <w:rsid w:val="00F6787E"/>
    <w:rsid w:val="00F72148"/>
    <w:rsid w:val="00F740D1"/>
    <w:rsid w:val="00F7418C"/>
    <w:rsid w:val="00F745FF"/>
    <w:rsid w:val="00F74962"/>
    <w:rsid w:val="00F755CB"/>
    <w:rsid w:val="00F75759"/>
    <w:rsid w:val="00F76E29"/>
    <w:rsid w:val="00F77013"/>
    <w:rsid w:val="00F77211"/>
    <w:rsid w:val="00F81347"/>
    <w:rsid w:val="00F832E7"/>
    <w:rsid w:val="00F833CD"/>
    <w:rsid w:val="00F85BFB"/>
    <w:rsid w:val="00F85F6B"/>
    <w:rsid w:val="00F85FA3"/>
    <w:rsid w:val="00F878B3"/>
    <w:rsid w:val="00F92144"/>
    <w:rsid w:val="00F93E19"/>
    <w:rsid w:val="00F9563F"/>
    <w:rsid w:val="00F95C00"/>
    <w:rsid w:val="00FA0042"/>
    <w:rsid w:val="00FA0819"/>
    <w:rsid w:val="00FA100B"/>
    <w:rsid w:val="00FA20DD"/>
    <w:rsid w:val="00FA26B0"/>
    <w:rsid w:val="00FA618A"/>
    <w:rsid w:val="00FA7256"/>
    <w:rsid w:val="00FB02F3"/>
    <w:rsid w:val="00FB178D"/>
    <w:rsid w:val="00FB3218"/>
    <w:rsid w:val="00FB3F74"/>
    <w:rsid w:val="00FB48F4"/>
    <w:rsid w:val="00FB6F60"/>
    <w:rsid w:val="00FB78F5"/>
    <w:rsid w:val="00FC0710"/>
    <w:rsid w:val="00FC0DB7"/>
    <w:rsid w:val="00FC1457"/>
    <w:rsid w:val="00FC478B"/>
    <w:rsid w:val="00FC48E9"/>
    <w:rsid w:val="00FC5D87"/>
    <w:rsid w:val="00FC7756"/>
    <w:rsid w:val="00FD07D1"/>
    <w:rsid w:val="00FD0C8E"/>
    <w:rsid w:val="00FD2013"/>
    <w:rsid w:val="00FD3A9D"/>
    <w:rsid w:val="00FD3E43"/>
    <w:rsid w:val="00FD4A5D"/>
    <w:rsid w:val="00FD5F6F"/>
    <w:rsid w:val="00FD6292"/>
    <w:rsid w:val="00FD6508"/>
    <w:rsid w:val="00FE0B4E"/>
    <w:rsid w:val="00FE0FD8"/>
    <w:rsid w:val="00FE41DC"/>
    <w:rsid w:val="00FE45C0"/>
    <w:rsid w:val="00FE47A1"/>
    <w:rsid w:val="00FE6A5B"/>
    <w:rsid w:val="00FE706B"/>
    <w:rsid w:val="00FE7A0C"/>
    <w:rsid w:val="00FE7B50"/>
    <w:rsid w:val="00FF0C66"/>
    <w:rsid w:val="00FF1D4B"/>
    <w:rsid w:val="00FF1F6F"/>
    <w:rsid w:val="00FF3612"/>
    <w:rsid w:val="00FF5532"/>
    <w:rsid w:val="00FF5C5E"/>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08FC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ahoma" w:eastAsiaTheme="minorHAnsi" w:hAnsi="Tahoma" w:cstheme="minorBidi"/>
        <w:sz w:val="24"/>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CBA"/>
    <w:pPr>
      <w:spacing w:after="0" w:line="240" w:lineRule="auto"/>
    </w:pPr>
    <w:rPr>
      <w:rFonts w:ascii="Times New Roman" w:eastAsia="Times New Roman" w:hAnsi="Times New Roman" w:cs="Times New Roman"/>
      <w:szCs w:val="24"/>
      <w:lang w:val="en-GB" w:eastAsia="fi-FI"/>
    </w:rPr>
  </w:style>
  <w:style w:type="paragraph" w:styleId="Heading1">
    <w:name w:val="heading 1"/>
    <w:basedOn w:val="Normal"/>
    <w:next w:val="Normal"/>
    <w:link w:val="Heading1Char"/>
    <w:qFormat/>
    <w:rsid w:val="00F77211"/>
    <w:pPr>
      <w:keepNext/>
      <w:jc w:val="center"/>
      <w:outlineLvl w:val="0"/>
    </w:pPr>
    <w:rPr>
      <w:rFonts w:ascii="Arial" w:hAnsi="Arial" w:cs="Arial"/>
      <w:i/>
      <w:iCs/>
      <w:sz w:val="20"/>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77211"/>
    <w:rPr>
      <w:rFonts w:ascii="Arial" w:eastAsia="Times New Roman" w:hAnsi="Arial" w:cs="Arial"/>
      <w:i/>
      <w:iCs/>
      <w:sz w:val="20"/>
      <w:szCs w:val="20"/>
      <w:lang w:val="en-US"/>
    </w:rPr>
  </w:style>
  <w:style w:type="character" w:styleId="Hyperlink">
    <w:name w:val="Hyperlink"/>
    <w:basedOn w:val="DefaultParagraphFont"/>
    <w:rsid w:val="00F77211"/>
    <w:rPr>
      <w:color w:val="CC0000"/>
      <w:u w:val="single"/>
    </w:rPr>
  </w:style>
  <w:style w:type="paragraph" w:styleId="NormalWeb">
    <w:name w:val="Normal (Web)"/>
    <w:basedOn w:val="Normal"/>
    <w:uiPriority w:val="99"/>
    <w:rsid w:val="00F77211"/>
    <w:pPr>
      <w:spacing w:before="100" w:beforeAutospacing="1" w:after="100" w:afterAutospacing="1"/>
    </w:pPr>
    <w:rPr>
      <w:rFonts w:ascii="Arial Unicode MS" w:eastAsia="Arial Unicode MS" w:hAnsi="Arial Unicode MS" w:cs="Arial Unicode MS"/>
      <w:color w:val="000000"/>
      <w:lang w:val="en-US" w:eastAsia="en-US"/>
    </w:rPr>
  </w:style>
  <w:style w:type="paragraph" w:styleId="FootnoteText">
    <w:name w:val="footnote text"/>
    <w:basedOn w:val="Normal"/>
    <w:link w:val="FootnoteTextChar"/>
    <w:semiHidden/>
    <w:rsid w:val="00F77211"/>
    <w:rPr>
      <w:sz w:val="20"/>
      <w:szCs w:val="20"/>
      <w:lang w:val="en-US" w:eastAsia="en-US"/>
    </w:rPr>
  </w:style>
  <w:style w:type="character" w:customStyle="1" w:styleId="FootnoteTextChar">
    <w:name w:val="Footnote Text Char"/>
    <w:basedOn w:val="DefaultParagraphFont"/>
    <w:link w:val="FootnoteText"/>
    <w:semiHidden/>
    <w:rsid w:val="00F77211"/>
    <w:rPr>
      <w:rFonts w:ascii="Times New Roman" w:eastAsia="Times New Roman" w:hAnsi="Times New Roman" w:cs="Times New Roman"/>
      <w:sz w:val="20"/>
      <w:szCs w:val="20"/>
      <w:lang w:val="en-US"/>
    </w:rPr>
  </w:style>
  <w:style w:type="character" w:styleId="FootnoteReference">
    <w:name w:val="footnote reference"/>
    <w:basedOn w:val="DefaultParagraphFont"/>
    <w:semiHidden/>
    <w:rsid w:val="00F77211"/>
    <w:rPr>
      <w:vertAlign w:val="superscript"/>
    </w:rPr>
  </w:style>
  <w:style w:type="character" w:customStyle="1" w:styleId="untertitel">
    <w:name w:val="untertitel"/>
    <w:basedOn w:val="DefaultParagraphFont"/>
    <w:rsid w:val="00F77211"/>
  </w:style>
  <w:style w:type="paragraph" w:styleId="ListParagraph">
    <w:name w:val="List Paragraph"/>
    <w:basedOn w:val="Normal"/>
    <w:uiPriority w:val="34"/>
    <w:qFormat/>
    <w:rsid w:val="005208FD"/>
    <w:pPr>
      <w:ind w:left="720"/>
      <w:contextualSpacing/>
    </w:pPr>
  </w:style>
  <w:style w:type="table" w:styleId="TableGrid">
    <w:name w:val="Table Grid"/>
    <w:basedOn w:val="TableNormal"/>
    <w:uiPriority w:val="59"/>
    <w:rsid w:val="004C28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145AC"/>
    <w:pPr>
      <w:tabs>
        <w:tab w:val="center" w:pos="4819"/>
        <w:tab w:val="right" w:pos="9638"/>
      </w:tabs>
    </w:pPr>
  </w:style>
  <w:style w:type="character" w:customStyle="1" w:styleId="HeaderChar">
    <w:name w:val="Header Char"/>
    <w:basedOn w:val="DefaultParagraphFont"/>
    <w:link w:val="Header"/>
    <w:uiPriority w:val="99"/>
    <w:rsid w:val="003145AC"/>
    <w:rPr>
      <w:rFonts w:ascii="Times New Roman" w:eastAsia="Times New Roman" w:hAnsi="Times New Roman" w:cs="Times New Roman"/>
      <w:szCs w:val="24"/>
      <w:lang w:eastAsia="fi-FI"/>
    </w:rPr>
  </w:style>
  <w:style w:type="paragraph" w:styleId="Footer">
    <w:name w:val="footer"/>
    <w:basedOn w:val="Normal"/>
    <w:link w:val="FooterChar"/>
    <w:uiPriority w:val="99"/>
    <w:unhideWhenUsed/>
    <w:rsid w:val="003145AC"/>
    <w:pPr>
      <w:tabs>
        <w:tab w:val="center" w:pos="4819"/>
        <w:tab w:val="right" w:pos="9638"/>
      </w:tabs>
    </w:pPr>
  </w:style>
  <w:style w:type="character" w:customStyle="1" w:styleId="FooterChar">
    <w:name w:val="Footer Char"/>
    <w:basedOn w:val="DefaultParagraphFont"/>
    <w:link w:val="Footer"/>
    <w:uiPriority w:val="99"/>
    <w:rsid w:val="003145AC"/>
    <w:rPr>
      <w:rFonts w:ascii="Times New Roman" w:eastAsia="Times New Roman" w:hAnsi="Times New Roman" w:cs="Times New Roman"/>
      <w:szCs w:val="24"/>
      <w:lang w:eastAsia="fi-FI"/>
    </w:rPr>
  </w:style>
  <w:style w:type="paragraph" w:styleId="Bibliography">
    <w:name w:val="Bibliography"/>
    <w:basedOn w:val="Normal"/>
    <w:next w:val="Normal"/>
    <w:uiPriority w:val="37"/>
    <w:semiHidden/>
    <w:unhideWhenUsed/>
    <w:rsid w:val="00091B1F"/>
  </w:style>
  <w:style w:type="paragraph" w:styleId="PlainText">
    <w:name w:val="Plain Text"/>
    <w:basedOn w:val="Normal"/>
    <w:link w:val="PlainTextChar"/>
    <w:uiPriority w:val="99"/>
    <w:unhideWhenUsed/>
    <w:rsid w:val="00A30CC6"/>
    <w:rPr>
      <w:rFonts w:ascii="Consolas" w:eastAsia="Calibri" w:hAnsi="Consolas" w:cs="Consolas"/>
      <w:sz w:val="21"/>
      <w:szCs w:val="21"/>
      <w:lang w:eastAsia="en-US"/>
    </w:rPr>
  </w:style>
  <w:style w:type="character" w:customStyle="1" w:styleId="PlainTextChar">
    <w:name w:val="Plain Text Char"/>
    <w:basedOn w:val="DefaultParagraphFont"/>
    <w:link w:val="PlainText"/>
    <w:uiPriority w:val="99"/>
    <w:rsid w:val="00A30CC6"/>
    <w:rPr>
      <w:rFonts w:ascii="Consolas" w:eastAsia="Calibri" w:hAnsi="Consolas" w:cs="Consolas"/>
      <w:sz w:val="21"/>
      <w:szCs w:val="21"/>
    </w:rPr>
  </w:style>
  <w:style w:type="paragraph" w:styleId="BalloonText">
    <w:name w:val="Balloon Text"/>
    <w:basedOn w:val="Normal"/>
    <w:link w:val="BalloonTextChar"/>
    <w:uiPriority w:val="99"/>
    <w:semiHidden/>
    <w:unhideWhenUsed/>
    <w:rsid w:val="002D429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D4298"/>
    <w:rPr>
      <w:rFonts w:ascii="Lucida Grande" w:eastAsia="Times New Roman" w:hAnsi="Lucida Grande" w:cs="Lucida Grande"/>
      <w:sz w:val="18"/>
      <w:szCs w:val="18"/>
      <w:lang w:eastAsia="fi-FI"/>
    </w:rPr>
  </w:style>
  <w:style w:type="paragraph" w:customStyle="1" w:styleId="Default">
    <w:name w:val="Default"/>
    <w:rsid w:val="00C50C3B"/>
    <w:pPr>
      <w:widowControl w:val="0"/>
      <w:autoSpaceDE w:val="0"/>
      <w:autoSpaceDN w:val="0"/>
      <w:adjustRightInd w:val="0"/>
      <w:spacing w:after="0" w:line="240" w:lineRule="auto"/>
    </w:pPr>
    <w:rPr>
      <w:rFonts w:ascii="TimesNewRomanPS" w:hAnsi="TimesNewRomanPS" w:cs="TimesNewRomanPS"/>
      <w:color w:val="000000"/>
      <w:szCs w:val="24"/>
      <w:lang w:val="en-US"/>
    </w:rPr>
  </w:style>
  <w:style w:type="character" w:styleId="PageNumber">
    <w:name w:val="page number"/>
    <w:basedOn w:val="DefaultParagraphFont"/>
    <w:uiPriority w:val="99"/>
    <w:semiHidden/>
    <w:unhideWhenUsed/>
    <w:rsid w:val="003F4B0E"/>
  </w:style>
  <w:style w:type="paragraph" w:styleId="DocumentMap">
    <w:name w:val="Document Map"/>
    <w:basedOn w:val="Normal"/>
    <w:link w:val="DocumentMapChar"/>
    <w:uiPriority w:val="99"/>
    <w:semiHidden/>
    <w:unhideWhenUsed/>
    <w:rsid w:val="0052683C"/>
    <w:rPr>
      <w:rFonts w:ascii="Lucida Grande" w:hAnsi="Lucida Grande" w:cs="Lucida Grande"/>
    </w:rPr>
  </w:style>
  <w:style w:type="character" w:customStyle="1" w:styleId="DocumentMapChar">
    <w:name w:val="Document Map Char"/>
    <w:basedOn w:val="DefaultParagraphFont"/>
    <w:link w:val="DocumentMap"/>
    <w:uiPriority w:val="99"/>
    <w:semiHidden/>
    <w:rsid w:val="0052683C"/>
    <w:rPr>
      <w:rFonts w:ascii="Lucida Grande" w:eastAsia="Times New Roman" w:hAnsi="Lucida Grande" w:cs="Lucida Grande"/>
      <w:szCs w:val="24"/>
      <w:lang w:eastAsia="fi-FI"/>
    </w:rPr>
  </w:style>
  <w:style w:type="character" w:styleId="Strong">
    <w:name w:val="Strong"/>
    <w:basedOn w:val="DefaultParagraphFont"/>
    <w:uiPriority w:val="22"/>
    <w:qFormat/>
    <w:rsid w:val="006A040C"/>
    <w:rPr>
      <w:b/>
      <w:bCs/>
    </w:rPr>
  </w:style>
  <w:style w:type="paragraph" w:customStyle="1" w:styleId="Oletus">
    <w:name w:val="Oletus"/>
    <w:rsid w:val="002D114F"/>
    <w:pPr>
      <w:pBdr>
        <w:top w:val="nil"/>
        <w:left w:val="nil"/>
        <w:bottom w:val="nil"/>
        <w:right w:val="nil"/>
        <w:between w:val="nil"/>
        <w:bar w:val="nil"/>
      </w:pBdr>
      <w:spacing w:after="0" w:line="240" w:lineRule="auto"/>
    </w:pPr>
    <w:rPr>
      <w:rFonts w:ascii="Helvetica" w:eastAsia="Helvetica" w:hAnsi="Helvetica" w:cs="Helvetica"/>
      <w:color w:val="000000"/>
      <w:sz w:val="22"/>
      <w:bdr w:val="nil"/>
      <w:lang w:eastAsia="fi-FI"/>
    </w:rPr>
  </w:style>
  <w:style w:type="paragraph" w:customStyle="1" w:styleId="Leipteksti1">
    <w:name w:val="Leipäteksti1"/>
    <w:rsid w:val="005A5A21"/>
    <w:pPr>
      <w:spacing w:after="0" w:line="240" w:lineRule="auto"/>
    </w:pPr>
    <w:rPr>
      <w:rFonts w:ascii="Helvetica" w:eastAsia="ヒラギノ角ゴ Pro W3" w:hAnsi="Helvetica" w:cs="Times New Roman"/>
      <w:color w:val="000000"/>
      <w:szCs w:val="20"/>
      <w:lang w:eastAsia="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heme="minorHAnsi" w:hAnsi="Tahoma" w:cstheme="minorBidi"/>
        <w:sz w:val="24"/>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CBA"/>
    <w:pPr>
      <w:spacing w:after="0" w:line="240" w:lineRule="auto"/>
    </w:pPr>
    <w:rPr>
      <w:rFonts w:ascii="Times New Roman" w:eastAsia="Times New Roman" w:hAnsi="Times New Roman" w:cs="Times New Roman"/>
      <w:szCs w:val="24"/>
      <w:lang w:val="en-GB" w:eastAsia="fi-FI"/>
    </w:rPr>
  </w:style>
  <w:style w:type="paragraph" w:styleId="Heading1">
    <w:name w:val="heading 1"/>
    <w:basedOn w:val="Normal"/>
    <w:next w:val="Normal"/>
    <w:link w:val="Heading1Char"/>
    <w:qFormat/>
    <w:rsid w:val="00F77211"/>
    <w:pPr>
      <w:keepNext/>
      <w:jc w:val="center"/>
      <w:outlineLvl w:val="0"/>
    </w:pPr>
    <w:rPr>
      <w:rFonts w:ascii="Arial" w:hAnsi="Arial" w:cs="Arial"/>
      <w:i/>
      <w:iCs/>
      <w:sz w:val="20"/>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77211"/>
    <w:rPr>
      <w:rFonts w:ascii="Arial" w:eastAsia="Times New Roman" w:hAnsi="Arial" w:cs="Arial"/>
      <w:i/>
      <w:iCs/>
      <w:sz w:val="20"/>
      <w:szCs w:val="20"/>
      <w:lang w:val="en-US"/>
    </w:rPr>
  </w:style>
  <w:style w:type="character" w:styleId="Hyperlink">
    <w:name w:val="Hyperlink"/>
    <w:basedOn w:val="DefaultParagraphFont"/>
    <w:rsid w:val="00F77211"/>
    <w:rPr>
      <w:color w:val="CC0000"/>
      <w:u w:val="single"/>
    </w:rPr>
  </w:style>
  <w:style w:type="paragraph" w:styleId="NormalWeb">
    <w:name w:val="Normal (Web)"/>
    <w:basedOn w:val="Normal"/>
    <w:uiPriority w:val="99"/>
    <w:rsid w:val="00F77211"/>
    <w:pPr>
      <w:spacing w:before="100" w:beforeAutospacing="1" w:after="100" w:afterAutospacing="1"/>
    </w:pPr>
    <w:rPr>
      <w:rFonts w:ascii="Arial Unicode MS" w:eastAsia="Arial Unicode MS" w:hAnsi="Arial Unicode MS" w:cs="Arial Unicode MS"/>
      <w:color w:val="000000"/>
      <w:lang w:val="en-US" w:eastAsia="en-US"/>
    </w:rPr>
  </w:style>
  <w:style w:type="paragraph" w:styleId="FootnoteText">
    <w:name w:val="footnote text"/>
    <w:basedOn w:val="Normal"/>
    <w:link w:val="FootnoteTextChar"/>
    <w:semiHidden/>
    <w:rsid w:val="00F77211"/>
    <w:rPr>
      <w:sz w:val="20"/>
      <w:szCs w:val="20"/>
      <w:lang w:val="en-US" w:eastAsia="en-US"/>
    </w:rPr>
  </w:style>
  <w:style w:type="character" w:customStyle="1" w:styleId="FootnoteTextChar">
    <w:name w:val="Footnote Text Char"/>
    <w:basedOn w:val="DefaultParagraphFont"/>
    <w:link w:val="FootnoteText"/>
    <w:semiHidden/>
    <w:rsid w:val="00F77211"/>
    <w:rPr>
      <w:rFonts w:ascii="Times New Roman" w:eastAsia="Times New Roman" w:hAnsi="Times New Roman" w:cs="Times New Roman"/>
      <w:sz w:val="20"/>
      <w:szCs w:val="20"/>
      <w:lang w:val="en-US"/>
    </w:rPr>
  </w:style>
  <w:style w:type="character" w:styleId="FootnoteReference">
    <w:name w:val="footnote reference"/>
    <w:basedOn w:val="DefaultParagraphFont"/>
    <w:semiHidden/>
    <w:rsid w:val="00F77211"/>
    <w:rPr>
      <w:vertAlign w:val="superscript"/>
    </w:rPr>
  </w:style>
  <w:style w:type="character" w:customStyle="1" w:styleId="untertitel">
    <w:name w:val="untertitel"/>
    <w:basedOn w:val="DefaultParagraphFont"/>
    <w:rsid w:val="00F77211"/>
  </w:style>
  <w:style w:type="paragraph" w:styleId="ListParagraph">
    <w:name w:val="List Paragraph"/>
    <w:basedOn w:val="Normal"/>
    <w:uiPriority w:val="34"/>
    <w:qFormat/>
    <w:rsid w:val="005208FD"/>
    <w:pPr>
      <w:ind w:left="720"/>
      <w:contextualSpacing/>
    </w:pPr>
  </w:style>
  <w:style w:type="table" w:styleId="TableGrid">
    <w:name w:val="Table Grid"/>
    <w:basedOn w:val="TableNormal"/>
    <w:uiPriority w:val="59"/>
    <w:rsid w:val="004C28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145AC"/>
    <w:pPr>
      <w:tabs>
        <w:tab w:val="center" w:pos="4819"/>
        <w:tab w:val="right" w:pos="9638"/>
      </w:tabs>
    </w:pPr>
  </w:style>
  <w:style w:type="character" w:customStyle="1" w:styleId="HeaderChar">
    <w:name w:val="Header Char"/>
    <w:basedOn w:val="DefaultParagraphFont"/>
    <w:link w:val="Header"/>
    <w:uiPriority w:val="99"/>
    <w:rsid w:val="003145AC"/>
    <w:rPr>
      <w:rFonts w:ascii="Times New Roman" w:eastAsia="Times New Roman" w:hAnsi="Times New Roman" w:cs="Times New Roman"/>
      <w:szCs w:val="24"/>
      <w:lang w:eastAsia="fi-FI"/>
    </w:rPr>
  </w:style>
  <w:style w:type="paragraph" w:styleId="Footer">
    <w:name w:val="footer"/>
    <w:basedOn w:val="Normal"/>
    <w:link w:val="FooterChar"/>
    <w:uiPriority w:val="99"/>
    <w:unhideWhenUsed/>
    <w:rsid w:val="003145AC"/>
    <w:pPr>
      <w:tabs>
        <w:tab w:val="center" w:pos="4819"/>
        <w:tab w:val="right" w:pos="9638"/>
      </w:tabs>
    </w:pPr>
  </w:style>
  <w:style w:type="character" w:customStyle="1" w:styleId="FooterChar">
    <w:name w:val="Footer Char"/>
    <w:basedOn w:val="DefaultParagraphFont"/>
    <w:link w:val="Footer"/>
    <w:uiPriority w:val="99"/>
    <w:rsid w:val="003145AC"/>
    <w:rPr>
      <w:rFonts w:ascii="Times New Roman" w:eastAsia="Times New Roman" w:hAnsi="Times New Roman" w:cs="Times New Roman"/>
      <w:szCs w:val="24"/>
      <w:lang w:eastAsia="fi-FI"/>
    </w:rPr>
  </w:style>
  <w:style w:type="paragraph" w:styleId="Bibliography">
    <w:name w:val="Bibliography"/>
    <w:basedOn w:val="Normal"/>
    <w:next w:val="Normal"/>
    <w:uiPriority w:val="37"/>
    <w:semiHidden/>
    <w:unhideWhenUsed/>
    <w:rsid w:val="00091B1F"/>
  </w:style>
  <w:style w:type="paragraph" w:styleId="PlainText">
    <w:name w:val="Plain Text"/>
    <w:basedOn w:val="Normal"/>
    <w:link w:val="PlainTextChar"/>
    <w:uiPriority w:val="99"/>
    <w:unhideWhenUsed/>
    <w:rsid w:val="00A30CC6"/>
    <w:rPr>
      <w:rFonts w:ascii="Consolas" w:eastAsia="Calibri" w:hAnsi="Consolas" w:cs="Consolas"/>
      <w:sz w:val="21"/>
      <w:szCs w:val="21"/>
      <w:lang w:eastAsia="en-US"/>
    </w:rPr>
  </w:style>
  <w:style w:type="character" w:customStyle="1" w:styleId="PlainTextChar">
    <w:name w:val="Plain Text Char"/>
    <w:basedOn w:val="DefaultParagraphFont"/>
    <w:link w:val="PlainText"/>
    <w:uiPriority w:val="99"/>
    <w:rsid w:val="00A30CC6"/>
    <w:rPr>
      <w:rFonts w:ascii="Consolas" w:eastAsia="Calibri" w:hAnsi="Consolas" w:cs="Consolas"/>
      <w:sz w:val="21"/>
      <w:szCs w:val="21"/>
    </w:rPr>
  </w:style>
  <w:style w:type="paragraph" w:styleId="BalloonText">
    <w:name w:val="Balloon Text"/>
    <w:basedOn w:val="Normal"/>
    <w:link w:val="BalloonTextChar"/>
    <w:uiPriority w:val="99"/>
    <w:semiHidden/>
    <w:unhideWhenUsed/>
    <w:rsid w:val="002D429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D4298"/>
    <w:rPr>
      <w:rFonts w:ascii="Lucida Grande" w:eastAsia="Times New Roman" w:hAnsi="Lucida Grande" w:cs="Lucida Grande"/>
      <w:sz w:val="18"/>
      <w:szCs w:val="18"/>
      <w:lang w:eastAsia="fi-FI"/>
    </w:rPr>
  </w:style>
  <w:style w:type="paragraph" w:customStyle="1" w:styleId="Default">
    <w:name w:val="Default"/>
    <w:rsid w:val="00C50C3B"/>
    <w:pPr>
      <w:widowControl w:val="0"/>
      <w:autoSpaceDE w:val="0"/>
      <w:autoSpaceDN w:val="0"/>
      <w:adjustRightInd w:val="0"/>
      <w:spacing w:after="0" w:line="240" w:lineRule="auto"/>
    </w:pPr>
    <w:rPr>
      <w:rFonts w:ascii="TimesNewRomanPS" w:hAnsi="TimesNewRomanPS" w:cs="TimesNewRomanPS"/>
      <w:color w:val="000000"/>
      <w:szCs w:val="24"/>
      <w:lang w:val="en-US"/>
    </w:rPr>
  </w:style>
  <w:style w:type="character" w:styleId="PageNumber">
    <w:name w:val="page number"/>
    <w:basedOn w:val="DefaultParagraphFont"/>
    <w:uiPriority w:val="99"/>
    <w:semiHidden/>
    <w:unhideWhenUsed/>
    <w:rsid w:val="003F4B0E"/>
  </w:style>
  <w:style w:type="paragraph" w:styleId="DocumentMap">
    <w:name w:val="Document Map"/>
    <w:basedOn w:val="Normal"/>
    <w:link w:val="DocumentMapChar"/>
    <w:uiPriority w:val="99"/>
    <w:semiHidden/>
    <w:unhideWhenUsed/>
    <w:rsid w:val="0052683C"/>
    <w:rPr>
      <w:rFonts w:ascii="Lucida Grande" w:hAnsi="Lucida Grande" w:cs="Lucida Grande"/>
    </w:rPr>
  </w:style>
  <w:style w:type="character" w:customStyle="1" w:styleId="DocumentMapChar">
    <w:name w:val="Document Map Char"/>
    <w:basedOn w:val="DefaultParagraphFont"/>
    <w:link w:val="DocumentMap"/>
    <w:uiPriority w:val="99"/>
    <w:semiHidden/>
    <w:rsid w:val="0052683C"/>
    <w:rPr>
      <w:rFonts w:ascii="Lucida Grande" w:eastAsia="Times New Roman" w:hAnsi="Lucida Grande" w:cs="Lucida Grande"/>
      <w:szCs w:val="24"/>
      <w:lang w:eastAsia="fi-FI"/>
    </w:rPr>
  </w:style>
  <w:style w:type="character" w:styleId="Strong">
    <w:name w:val="Strong"/>
    <w:basedOn w:val="DefaultParagraphFont"/>
    <w:uiPriority w:val="22"/>
    <w:qFormat/>
    <w:rsid w:val="006A040C"/>
    <w:rPr>
      <w:b/>
      <w:bCs/>
    </w:rPr>
  </w:style>
  <w:style w:type="paragraph" w:customStyle="1" w:styleId="Oletus">
    <w:name w:val="Oletus"/>
    <w:rsid w:val="002D114F"/>
    <w:pPr>
      <w:pBdr>
        <w:top w:val="nil"/>
        <w:left w:val="nil"/>
        <w:bottom w:val="nil"/>
        <w:right w:val="nil"/>
        <w:between w:val="nil"/>
        <w:bar w:val="nil"/>
      </w:pBdr>
      <w:spacing w:after="0" w:line="240" w:lineRule="auto"/>
    </w:pPr>
    <w:rPr>
      <w:rFonts w:ascii="Helvetica" w:eastAsia="Helvetica" w:hAnsi="Helvetica" w:cs="Helvetica"/>
      <w:color w:val="000000"/>
      <w:sz w:val="22"/>
      <w:bdr w:val="nil"/>
      <w:lang w:eastAsia="fi-FI"/>
    </w:rPr>
  </w:style>
  <w:style w:type="paragraph" w:customStyle="1" w:styleId="Leipteksti1">
    <w:name w:val="Leipäteksti1"/>
    <w:rsid w:val="005A5A21"/>
    <w:pPr>
      <w:spacing w:after="0" w:line="240" w:lineRule="auto"/>
    </w:pPr>
    <w:rPr>
      <w:rFonts w:ascii="Helvetica" w:eastAsia="ヒラギノ角ゴ Pro W3" w:hAnsi="Helvetica" w:cs="Times New Roman"/>
      <w:color w:val="000000"/>
      <w:szCs w:val="20"/>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668660">
      <w:bodyDiv w:val="1"/>
      <w:marLeft w:val="0"/>
      <w:marRight w:val="0"/>
      <w:marTop w:val="0"/>
      <w:marBottom w:val="0"/>
      <w:divBdr>
        <w:top w:val="none" w:sz="0" w:space="0" w:color="auto"/>
        <w:left w:val="none" w:sz="0" w:space="0" w:color="auto"/>
        <w:bottom w:val="none" w:sz="0" w:space="0" w:color="auto"/>
        <w:right w:val="none" w:sz="0" w:space="0" w:color="auto"/>
      </w:divBdr>
      <w:divsChild>
        <w:div w:id="1475945325">
          <w:marLeft w:val="0"/>
          <w:marRight w:val="0"/>
          <w:marTop w:val="0"/>
          <w:marBottom w:val="0"/>
          <w:divBdr>
            <w:top w:val="none" w:sz="0" w:space="0" w:color="auto"/>
            <w:left w:val="none" w:sz="0" w:space="0" w:color="auto"/>
            <w:bottom w:val="none" w:sz="0" w:space="0" w:color="auto"/>
            <w:right w:val="none" w:sz="0" w:space="0" w:color="auto"/>
          </w:divBdr>
          <w:divsChild>
            <w:div w:id="1999142272">
              <w:marLeft w:val="0"/>
              <w:marRight w:val="0"/>
              <w:marTop w:val="0"/>
              <w:marBottom w:val="0"/>
              <w:divBdr>
                <w:top w:val="none" w:sz="0" w:space="0" w:color="auto"/>
                <w:left w:val="none" w:sz="0" w:space="0" w:color="auto"/>
                <w:bottom w:val="none" w:sz="0" w:space="0" w:color="auto"/>
                <w:right w:val="none" w:sz="0" w:space="0" w:color="auto"/>
              </w:divBdr>
              <w:divsChild>
                <w:div w:id="182951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660746">
      <w:bodyDiv w:val="1"/>
      <w:marLeft w:val="0"/>
      <w:marRight w:val="0"/>
      <w:marTop w:val="0"/>
      <w:marBottom w:val="0"/>
      <w:divBdr>
        <w:top w:val="none" w:sz="0" w:space="0" w:color="auto"/>
        <w:left w:val="none" w:sz="0" w:space="0" w:color="auto"/>
        <w:bottom w:val="none" w:sz="0" w:space="0" w:color="auto"/>
        <w:right w:val="none" w:sz="0" w:space="0" w:color="auto"/>
      </w:divBdr>
      <w:divsChild>
        <w:div w:id="653068478">
          <w:marLeft w:val="0"/>
          <w:marRight w:val="0"/>
          <w:marTop w:val="0"/>
          <w:marBottom w:val="0"/>
          <w:divBdr>
            <w:top w:val="none" w:sz="0" w:space="0" w:color="auto"/>
            <w:left w:val="none" w:sz="0" w:space="0" w:color="auto"/>
            <w:bottom w:val="none" w:sz="0" w:space="0" w:color="auto"/>
            <w:right w:val="none" w:sz="0" w:space="0" w:color="auto"/>
          </w:divBdr>
          <w:divsChild>
            <w:div w:id="1486625301">
              <w:marLeft w:val="0"/>
              <w:marRight w:val="0"/>
              <w:marTop w:val="0"/>
              <w:marBottom w:val="0"/>
              <w:divBdr>
                <w:top w:val="none" w:sz="0" w:space="0" w:color="auto"/>
                <w:left w:val="none" w:sz="0" w:space="0" w:color="auto"/>
                <w:bottom w:val="none" w:sz="0" w:space="0" w:color="auto"/>
                <w:right w:val="none" w:sz="0" w:space="0" w:color="auto"/>
              </w:divBdr>
              <w:divsChild>
                <w:div w:id="293368374">
                  <w:marLeft w:val="0"/>
                  <w:marRight w:val="0"/>
                  <w:marTop w:val="0"/>
                  <w:marBottom w:val="0"/>
                  <w:divBdr>
                    <w:top w:val="none" w:sz="0" w:space="0" w:color="auto"/>
                    <w:left w:val="none" w:sz="0" w:space="0" w:color="auto"/>
                    <w:bottom w:val="none" w:sz="0" w:space="0" w:color="auto"/>
                    <w:right w:val="none" w:sz="0" w:space="0" w:color="auto"/>
                  </w:divBdr>
                  <w:divsChild>
                    <w:div w:id="213464610">
                      <w:marLeft w:val="0"/>
                      <w:marRight w:val="0"/>
                      <w:marTop w:val="0"/>
                      <w:marBottom w:val="0"/>
                      <w:divBdr>
                        <w:top w:val="none" w:sz="0" w:space="0" w:color="auto"/>
                        <w:left w:val="none" w:sz="0" w:space="0" w:color="auto"/>
                        <w:bottom w:val="none" w:sz="0" w:space="0" w:color="auto"/>
                        <w:right w:val="none" w:sz="0" w:space="0" w:color="auto"/>
                      </w:divBdr>
                      <w:divsChild>
                        <w:div w:id="453333040">
                          <w:marLeft w:val="0"/>
                          <w:marRight w:val="0"/>
                          <w:marTop w:val="0"/>
                          <w:marBottom w:val="0"/>
                          <w:divBdr>
                            <w:top w:val="none" w:sz="0" w:space="0" w:color="auto"/>
                            <w:left w:val="none" w:sz="0" w:space="0" w:color="auto"/>
                            <w:bottom w:val="none" w:sz="0" w:space="0" w:color="auto"/>
                            <w:right w:val="none" w:sz="0" w:space="0" w:color="auto"/>
                          </w:divBdr>
                          <w:divsChild>
                            <w:div w:id="1505126544">
                              <w:marLeft w:val="0"/>
                              <w:marRight w:val="0"/>
                              <w:marTop w:val="0"/>
                              <w:marBottom w:val="0"/>
                              <w:divBdr>
                                <w:top w:val="none" w:sz="0" w:space="0" w:color="auto"/>
                                <w:left w:val="none" w:sz="0" w:space="0" w:color="auto"/>
                                <w:bottom w:val="none" w:sz="0" w:space="0" w:color="auto"/>
                                <w:right w:val="none" w:sz="0" w:space="0" w:color="auto"/>
                              </w:divBdr>
                              <w:divsChild>
                                <w:div w:id="1339844013">
                                  <w:marLeft w:val="0"/>
                                  <w:marRight w:val="0"/>
                                  <w:marTop w:val="0"/>
                                  <w:marBottom w:val="0"/>
                                  <w:divBdr>
                                    <w:top w:val="none" w:sz="0" w:space="0" w:color="auto"/>
                                    <w:left w:val="none" w:sz="0" w:space="0" w:color="auto"/>
                                    <w:bottom w:val="none" w:sz="0" w:space="0" w:color="auto"/>
                                    <w:right w:val="none" w:sz="0" w:space="0" w:color="auto"/>
                                  </w:divBdr>
                                  <w:divsChild>
                                    <w:div w:id="1477987624">
                                      <w:marLeft w:val="0"/>
                                      <w:marRight w:val="0"/>
                                      <w:marTop w:val="0"/>
                                      <w:marBottom w:val="0"/>
                                      <w:divBdr>
                                        <w:top w:val="none" w:sz="0" w:space="0" w:color="auto"/>
                                        <w:left w:val="none" w:sz="0" w:space="0" w:color="auto"/>
                                        <w:bottom w:val="none" w:sz="0" w:space="0" w:color="auto"/>
                                        <w:right w:val="none" w:sz="0" w:space="0" w:color="auto"/>
                                      </w:divBdr>
                                      <w:divsChild>
                                        <w:div w:id="649410930">
                                          <w:marLeft w:val="0"/>
                                          <w:marRight w:val="0"/>
                                          <w:marTop w:val="0"/>
                                          <w:marBottom w:val="0"/>
                                          <w:divBdr>
                                            <w:top w:val="none" w:sz="0" w:space="0" w:color="auto"/>
                                            <w:left w:val="none" w:sz="0" w:space="0" w:color="auto"/>
                                            <w:bottom w:val="none" w:sz="0" w:space="0" w:color="auto"/>
                                            <w:right w:val="none" w:sz="0" w:space="0" w:color="auto"/>
                                          </w:divBdr>
                                          <w:divsChild>
                                            <w:div w:id="1431851143">
                                              <w:marLeft w:val="0"/>
                                              <w:marRight w:val="0"/>
                                              <w:marTop w:val="0"/>
                                              <w:marBottom w:val="0"/>
                                              <w:divBdr>
                                                <w:top w:val="none" w:sz="0" w:space="0" w:color="auto"/>
                                                <w:left w:val="none" w:sz="0" w:space="0" w:color="auto"/>
                                                <w:bottom w:val="none" w:sz="0" w:space="0" w:color="auto"/>
                                                <w:right w:val="none" w:sz="0" w:space="0" w:color="auto"/>
                                              </w:divBdr>
                                              <w:divsChild>
                                                <w:div w:id="666058917">
                                                  <w:marLeft w:val="0"/>
                                                  <w:marRight w:val="0"/>
                                                  <w:marTop w:val="0"/>
                                                  <w:marBottom w:val="0"/>
                                                  <w:divBdr>
                                                    <w:top w:val="none" w:sz="0" w:space="0" w:color="auto"/>
                                                    <w:left w:val="none" w:sz="0" w:space="0" w:color="auto"/>
                                                    <w:bottom w:val="none" w:sz="0" w:space="0" w:color="auto"/>
                                                    <w:right w:val="none" w:sz="0" w:space="0" w:color="auto"/>
                                                  </w:divBdr>
                                                  <w:divsChild>
                                                    <w:div w:id="1620066232">
                                                      <w:marLeft w:val="0"/>
                                                      <w:marRight w:val="0"/>
                                                      <w:marTop w:val="0"/>
                                                      <w:marBottom w:val="0"/>
                                                      <w:divBdr>
                                                        <w:top w:val="none" w:sz="0" w:space="0" w:color="auto"/>
                                                        <w:left w:val="none" w:sz="0" w:space="0" w:color="auto"/>
                                                        <w:bottom w:val="none" w:sz="0" w:space="0" w:color="auto"/>
                                                        <w:right w:val="none" w:sz="0" w:space="0" w:color="auto"/>
                                                      </w:divBdr>
                                                      <w:divsChild>
                                                        <w:div w:id="1452939910">
                                                          <w:marLeft w:val="0"/>
                                                          <w:marRight w:val="0"/>
                                                          <w:marTop w:val="0"/>
                                                          <w:marBottom w:val="0"/>
                                                          <w:divBdr>
                                                            <w:top w:val="none" w:sz="0" w:space="0" w:color="auto"/>
                                                            <w:left w:val="none" w:sz="0" w:space="0" w:color="auto"/>
                                                            <w:bottom w:val="none" w:sz="0" w:space="0" w:color="auto"/>
                                                            <w:right w:val="none" w:sz="0" w:space="0" w:color="auto"/>
                                                          </w:divBdr>
                                                          <w:divsChild>
                                                            <w:div w:id="1948342678">
                                                              <w:marLeft w:val="0"/>
                                                              <w:marRight w:val="0"/>
                                                              <w:marTop w:val="0"/>
                                                              <w:marBottom w:val="0"/>
                                                              <w:divBdr>
                                                                <w:top w:val="none" w:sz="0" w:space="0" w:color="auto"/>
                                                                <w:left w:val="none" w:sz="0" w:space="0" w:color="auto"/>
                                                                <w:bottom w:val="none" w:sz="0" w:space="0" w:color="auto"/>
                                                                <w:right w:val="none" w:sz="0" w:space="0" w:color="auto"/>
                                                              </w:divBdr>
                                                              <w:divsChild>
                                                                <w:div w:id="171994116">
                                                                  <w:marLeft w:val="0"/>
                                                                  <w:marRight w:val="0"/>
                                                                  <w:marTop w:val="0"/>
                                                                  <w:marBottom w:val="0"/>
                                                                  <w:divBdr>
                                                                    <w:top w:val="none" w:sz="0" w:space="0" w:color="auto"/>
                                                                    <w:left w:val="none" w:sz="0" w:space="0" w:color="auto"/>
                                                                    <w:bottom w:val="none" w:sz="0" w:space="0" w:color="auto"/>
                                                                    <w:right w:val="none" w:sz="0" w:space="0" w:color="auto"/>
                                                                  </w:divBdr>
                                                                  <w:divsChild>
                                                                    <w:div w:id="347997345">
                                                                      <w:marLeft w:val="0"/>
                                                                      <w:marRight w:val="0"/>
                                                                      <w:marTop w:val="0"/>
                                                                      <w:marBottom w:val="0"/>
                                                                      <w:divBdr>
                                                                        <w:top w:val="none" w:sz="0" w:space="0" w:color="auto"/>
                                                                        <w:left w:val="none" w:sz="0" w:space="0" w:color="auto"/>
                                                                        <w:bottom w:val="none" w:sz="0" w:space="0" w:color="auto"/>
                                                                        <w:right w:val="none" w:sz="0" w:space="0" w:color="auto"/>
                                                                      </w:divBdr>
                                                                      <w:divsChild>
                                                                        <w:div w:id="453407828">
                                                                          <w:marLeft w:val="0"/>
                                                                          <w:marRight w:val="0"/>
                                                                          <w:marTop w:val="0"/>
                                                                          <w:marBottom w:val="0"/>
                                                                          <w:divBdr>
                                                                            <w:top w:val="none" w:sz="0" w:space="0" w:color="auto"/>
                                                                            <w:left w:val="none" w:sz="0" w:space="0" w:color="auto"/>
                                                                            <w:bottom w:val="none" w:sz="0" w:space="0" w:color="auto"/>
                                                                            <w:right w:val="none" w:sz="0" w:space="0" w:color="auto"/>
                                                                          </w:divBdr>
                                                                          <w:divsChild>
                                                                            <w:div w:id="152071074">
                                                                              <w:marLeft w:val="0"/>
                                                                              <w:marRight w:val="0"/>
                                                                              <w:marTop w:val="0"/>
                                                                              <w:marBottom w:val="0"/>
                                                                              <w:divBdr>
                                                                                <w:top w:val="none" w:sz="0" w:space="0" w:color="auto"/>
                                                                                <w:left w:val="none" w:sz="0" w:space="0" w:color="auto"/>
                                                                                <w:bottom w:val="none" w:sz="0" w:space="0" w:color="auto"/>
                                                                                <w:right w:val="none" w:sz="0" w:space="0" w:color="auto"/>
                                                                              </w:divBdr>
                                                                              <w:divsChild>
                                                                                <w:div w:id="916135982">
                                                                                  <w:marLeft w:val="0"/>
                                                                                  <w:marRight w:val="0"/>
                                                                                  <w:marTop w:val="0"/>
                                                                                  <w:marBottom w:val="0"/>
                                                                                  <w:divBdr>
                                                                                    <w:top w:val="none" w:sz="0" w:space="0" w:color="auto"/>
                                                                                    <w:left w:val="none" w:sz="0" w:space="0" w:color="auto"/>
                                                                                    <w:bottom w:val="none" w:sz="0" w:space="0" w:color="auto"/>
                                                                                    <w:right w:val="none" w:sz="0" w:space="0" w:color="auto"/>
                                                                                  </w:divBdr>
                                                                                  <w:divsChild>
                                                                                    <w:div w:id="180821633">
                                                                                      <w:marLeft w:val="0"/>
                                                                                      <w:marRight w:val="0"/>
                                                                                      <w:marTop w:val="0"/>
                                                                                      <w:marBottom w:val="0"/>
                                                                                      <w:divBdr>
                                                                                        <w:top w:val="none" w:sz="0" w:space="0" w:color="auto"/>
                                                                                        <w:left w:val="none" w:sz="0" w:space="0" w:color="auto"/>
                                                                                        <w:bottom w:val="none" w:sz="0" w:space="0" w:color="auto"/>
                                                                                        <w:right w:val="none" w:sz="0" w:space="0" w:color="auto"/>
                                                                                      </w:divBdr>
                                                                                      <w:divsChild>
                                                                                        <w:div w:id="1806384497">
                                                                                          <w:marLeft w:val="0"/>
                                                                                          <w:marRight w:val="0"/>
                                                                                          <w:marTop w:val="0"/>
                                                                                          <w:marBottom w:val="0"/>
                                                                                          <w:divBdr>
                                                                                            <w:top w:val="none" w:sz="0" w:space="0" w:color="auto"/>
                                                                                            <w:left w:val="none" w:sz="0" w:space="0" w:color="auto"/>
                                                                                            <w:bottom w:val="none" w:sz="0" w:space="0" w:color="auto"/>
                                                                                            <w:right w:val="none" w:sz="0" w:space="0" w:color="auto"/>
                                                                                          </w:divBdr>
                                                                                          <w:divsChild>
                                                                                            <w:div w:id="2080402132">
                                                                                              <w:marLeft w:val="0"/>
                                                                                              <w:marRight w:val="0"/>
                                                                                              <w:marTop w:val="0"/>
                                                                                              <w:marBottom w:val="0"/>
                                                                                              <w:divBdr>
                                                                                                <w:top w:val="none" w:sz="0" w:space="0" w:color="auto"/>
                                                                                                <w:left w:val="none" w:sz="0" w:space="0" w:color="auto"/>
                                                                                                <w:bottom w:val="none" w:sz="0" w:space="0" w:color="auto"/>
                                                                                                <w:right w:val="none" w:sz="0" w:space="0" w:color="auto"/>
                                                                                              </w:divBdr>
                                                                                              <w:divsChild>
                                                                                                <w:div w:id="210074664">
                                                                                                  <w:marLeft w:val="0"/>
                                                                                                  <w:marRight w:val="0"/>
                                                                                                  <w:marTop w:val="0"/>
                                                                                                  <w:marBottom w:val="0"/>
                                                                                                  <w:divBdr>
                                                                                                    <w:top w:val="none" w:sz="0" w:space="0" w:color="auto"/>
                                                                                                    <w:left w:val="none" w:sz="0" w:space="0" w:color="auto"/>
                                                                                                    <w:bottom w:val="none" w:sz="0" w:space="0" w:color="auto"/>
                                                                                                    <w:right w:val="none" w:sz="0" w:space="0" w:color="auto"/>
                                                                                                  </w:divBdr>
                                                                                                  <w:divsChild>
                                                                                                    <w:div w:id="1895773451">
                                                                                                      <w:marLeft w:val="0"/>
                                                                                                      <w:marRight w:val="0"/>
                                                                                                      <w:marTop w:val="0"/>
                                                                                                      <w:marBottom w:val="0"/>
                                                                                                      <w:divBdr>
                                                                                                        <w:top w:val="none" w:sz="0" w:space="0" w:color="auto"/>
                                                                                                        <w:left w:val="none" w:sz="0" w:space="0" w:color="auto"/>
                                                                                                        <w:bottom w:val="none" w:sz="0" w:space="0" w:color="auto"/>
                                                                                                        <w:right w:val="none" w:sz="0" w:space="0" w:color="auto"/>
                                                                                                      </w:divBdr>
                                                                                                      <w:divsChild>
                                                                                                        <w:div w:id="1038122066">
                                                                                                          <w:marLeft w:val="0"/>
                                                                                                          <w:marRight w:val="0"/>
                                                                                                          <w:marTop w:val="0"/>
                                                                                                          <w:marBottom w:val="0"/>
                                                                                                          <w:divBdr>
                                                                                                            <w:top w:val="none" w:sz="0" w:space="0" w:color="auto"/>
                                                                                                            <w:left w:val="none" w:sz="0" w:space="0" w:color="auto"/>
                                                                                                            <w:bottom w:val="none" w:sz="0" w:space="0" w:color="auto"/>
                                                                                                            <w:right w:val="none" w:sz="0" w:space="0" w:color="auto"/>
                                                                                                          </w:divBdr>
                                                                                                          <w:divsChild>
                                                                                                            <w:div w:id="982276147">
                                                                                                              <w:marLeft w:val="0"/>
                                                                                                              <w:marRight w:val="0"/>
                                                                                                              <w:marTop w:val="0"/>
                                                                                                              <w:marBottom w:val="0"/>
                                                                                                              <w:divBdr>
                                                                                                                <w:top w:val="none" w:sz="0" w:space="0" w:color="auto"/>
                                                                                                                <w:left w:val="none" w:sz="0" w:space="0" w:color="auto"/>
                                                                                                                <w:bottom w:val="none" w:sz="0" w:space="0" w:color="auto"/>
                                                                                                                <w:right w:val="none" w:sz="0" w:space="0" w:color="auto"/>
                                                                                                              </w:divBdr>
                                                                                                              <w:divsChild>
                                                                                                                <w:div w:id="1001933426">
                                                                                                                  <w:marLeft w:val="0"/>
                                                                                                                  <w:marRight w:val="0"/>
                                                                                                                  <w:marTop w:val="0"/>
                                                                                                                  <w:marBottom w:val="0"/>
                                                                                                                  <w:divBdr>
                                                                                                                    <w:top w:val="none" w:sz="0" w:space="0" w:color="auto"/>
                                                                                                                    <w:left w:val="none" w:sz="0" w:space="0" w:color="auto"/>
                                                                                                                    <w:bottom w:val="none" w:sz="0" w:space="0" w:color="auto"/>
                                                                                                                    <w:right w:val="none" w:sz="0" w:space="0" w:color="auto"/>
                                                                                                                  </w:divBdr>
                                                                                                                  <w:divsChild>
                                                                                                                    <w:div w:id="1442408028">
                                                                                                                      <w:marLeft w:val="0"/>
                                                                                                                      <w:marRight w:val="0"/>
                                                                                                                      <w:marTop w:val="0"/>
                                                                                                                      <w:marBottom w:val="0"/>
                                                                                                                      <w:divBdr>
                                                                                                                        <w:top w:val="none" w:sz="0" w:space="0" w:color="auto"/>
                                                                                                                        <w:left w:val="none" w:sz="0" w:space="0" w:color="auto"/>
                                                                                                                        <w:bottom w:val="none" w:sz="0" w:space="0" w:color="auto"/>
                                                                                                                        <w:right w:val="none" w:sz="0" w:space="0" w:color="auto"/>
                                                                                                                      </w:divBdr>
                                                                                                                      <w:divsChild>
                                                                                                                        <w:div w:id="476655157">
                                                                                                                          <w:marLeft w:val="0"/>
                                                                                                                          <w:marRight w:val="0"/>
                                                                                                                          <w:marTop w:val="0"/>
                                                                                                                          <w:marBottom w:val="0"/>
                                                                                                                          <w:divBdr>
                                                                                                                            <w:top w:val="none" w:sz="0" w:space="0" w:color="auto"/>
                                                                                                                            <w:left w:val="none" w:sz="0" w:space="0" w:color="auto"/>
                                                                                                                            <w:bottom w:val="none" w:sz="0" w:space="0" w:color="auto"/>
                                                                                                                            <w:right w:val="none" w:sz="0" w:space="0" w:color="auto"/>
                                                                                                                          </w:divBdr>
                                                                                                                          <w:divsChild>
                                                                                                                            <w:div w:id="1470856724">
                                                                                                                              <w:marLeft w:val="0"/>
                                                                                                                              <w:marRight w:val="0"/>
                                                                                                                              <w:marTop w:val="0"/>
                                                                                                                              <w:marBottom w:val="0"/>
                                                                                                                              <w:divBdr>
                                                                                                                                <w:top w:val="none" w:sz="0" w:space="0" w:color="auto"/>
                                                                                                                                <w:left w:val="none" w:sz="0" w:space="0" w:color="auto"/>
                                                                                                                                <w:bottom w:val="none" w:sz="0" w:space="0" w:color="auto"/>
                                                                                                                                <w:right w:val="none" w:sz="0" w:space="0" w:color="auto"/>
                                                                                                                              </w:divBdr>
                                                                                                                              <w:divsChild>
                                                                                                                                <w:div w:id="1181235789">
                                                                                                                                  <w:marLeft w:val="0"/>
                                                                                                                                  <w:marRight w:val="0"/>
                                                                                                                                  <w:marTop w:val="0"/>
                                                                                                                                  <w:marBottom w:val="0"/>
                                                                                                                                  <w:divBdr>
                                                                                                                                    <w:top w:val="none" w:sz="0" w:space="0" w:color="auto"/>
                                                                                                                                    <w:left w:val="none" w:sz="0" w:space="0" w:color="auto"/>
                                                                                                                                    <w:bottom w:val="none" w:sz="0" w:space="0" w:color="auto"/>
                                                                                                                                    <w:right w:val="none" w:sz="0" w:space="0" w:color="auto"/>
                                                                                                                                  </w:divBdr>
                                                                                                                                  <w:divsChild>
                                                                                                                                    <w:div w:id="1510288336">
                                                                                                                                      <w:marLeft w:val="0"/>
                                                                                                                                      <w:marRight w:val="0"/>
                                                                                                                                      <w:marTop w:val="0"/>
                                                                                                                                      <w:marBottom w:val="0"/>
                                                                                                                                      <w:divBdr>
                                                                                                                                        <w:top w:val="none" w:sz="0" w:space="0" w:color="auto"/>
                                                                                                                                        <w:left w:val="none" w:sz="0" w:space="0" w:color="auto"/>
                                                                                                                                        <w:bottom w:val="none" w:sz="0" w:space="0" w:color="auto"/>
                                                                                                                                        <w:right w:val="none" w:sz="0" w:space="0" w:color="auto"/>
                                                                                                                                      </w:divBdr>
                                                                                                                                      <w:divsChild>
                                                                                                                                        <w:div w:id="1070079457">
                                                                                                                                          <w:marLeft w:val="0"/>
                                                                                                                                          <w:marRight w:val="0"/>
                                                                                                                                          <w:marTop w:val="0"/>
                                                                                                                                          <w:marBottom w:val="0"/>
                                                                                                                                          <w:divBdr>
                                                                                                                                            <w:top w:val="none" w:sz="0" w:space="0" w:color="auto"/>
                                                                                                                                            <w:left w:val="none" w:sz="0" w:space="0" w:color="auto"/>
                                                                                                                                            <w:bottom w:val="none" w:sz="0" w:space="0" w:color="auto"/>
                                                                                                                                            <w:right w:val="none" w:sz="0" w:space="0" w:color="auto"/>
                                                                                                                                          </w:divBdr>
                                                                                                                                          <w:divsChild>
                                                                                                                                            <w:div w:id="835343511">
                                                                                                                                              <w:marLeft w:val="0"/>
                                                                                                                                              <w:marRight w:val="0"/>
                                                                                                                                              <w:marTop w:val="0"/>
                                                                                                                                              <w:marBottom w:val="0"/>
                                                                                                                                              <w:divBdr>
                                                                                                                                                <w:top w:val="none" w:sz="0" w:space="0" w:color="auto"/>
                                                                                                                                                <w:left w:val="none" w:sz="0" w:space="0" w:color="auto"/>
                                                                                                                                                <w:bottom w:val="none" w:sz="0" w:space="0" w:color="auto"/>
                                                                                                                                                <w:right w:val="none" w:sz="0" w:space="0" w:color="auto"/>
                                                                                                                                              </w:divBdr>
                                                                                                                                              <w:divsChild>
                                                                                                                                                <w:div w:id="931015038">
                                                                                                                                                  <w:marLeft w:val="0"/>
                                                                                                                                                  <w:marRight w:val="0"/>
                                                                                                                                                  <w:marTop w:val="0"/>
                                                                                                                                                  <w:marBottom w:val="0"/>
                                                                                                                                                  <w:divBdr>
                                                                                                                                                    <w:top w:val="none" w:sz="0" w:space="0" w:color="auto"/>
                                                                                                                                                    <w:left w:val="none" w:sz="0" w:space="0" w:color="auto"/>
                                                                                                                                                    <w:bottom w:val="none" w:sz="0" w:space="0" w:color="auto"/>
                                                                                                                                                    <w:right w:val="none" w:sz="0" w:space="0" w:color="auto"/>
                                                                                                                                                  </w:divBdr>
                                                                                                                                                  <w:divsChild>
                                                                                                                                                    <w:div w:id="105317067">
                                                                                                                                                      <w:marLeft w:val="0"/>
                                                                                                                                                      <w:marRight w:val="0"/>
                                                                                                                                                      <w:marTop w:val="0"/>
                                                                                                                                                      <w:marBottom w:val="0"/>
                                                                                                                                                      <w:divBdr>
                                                                                                                                                        <w:top w:val="none" w:sz="0" w:space="0" w:color="auto"/>
                                                                                                                                                        <w:left w:val="none" w:sz="0" w:space="0" w:color="auto"/>
                                                                                                                                                        <w:bottom w:val="none" w:sz="0" w:space="0" w:color="auto"/>
                                                                                                                                                        <w:right w:val="none" w:sz="0" w:space="0" w:color="auto"/>
                                                                                                                                                      </w:divBdr>
                                                                                                                                                      <w:divsChild>
                                                                                                                                                        <w:div w:id="474877871">
                                                                                                                                                          <w:marLeft w:val="0"/>
                                                                                                                                                          <w:marRight w:val="0"/>
                                                                                                                                                          <w:marTop w:val="0"/>
                                                                                                                                                          <w:marBottom w:val="0"/>
                                                                                                                                                          <w:divBdr>
                                                                                                                                                            <w:top w:val="none" w:sz="0" w:space="0" w:color="auto"/>
                                                                                                                                                            <w:left w:val="none" w:sz="0" w:space="0" w:color="auto"/>
                                                                                                                                                            <w:bottom w:val="none" w:sz="0" w:space="0" w:color="auto"/>
                                                                                                                                                            <w:right w:val="none" w:sz="0" w:space="0" w:color="auto"/>
                                                                                                                                                          </w:divBdr>
                                                                                                                                                          <w:divsChild>
                                                                                                                                                            <w:div w:id="1615211182">
                                                                                                                                                              <w:marLeft w:val="0"/>
                                                                                                                                                              <w:marRight w:val="0"/>
                                                                                                                                                              <w:marTop w:val="0"/>
                                                                                                                                                              <w:marBottom w:val="0"/>
                                                                                                                                                              <w:divBdr>
                                                                                                                                                                <w:top w:val="none" w:sz="0" w:space="0" w:color="auto"/>
                                                                                                                                                                <w:left w:val="none" w:sz="0" w:space="0" w:color="auto"/>
                                                                                                                                                                <w:bottom w:val="none" w:sz="0" w:space="0" w:color="auto"/>
                                                                                                                                                                <w:right w:val="none" w:sz="0" w:space="0" w:color="auto"/>
                                                                                                                                                              </w:divBdr>
                                                                                                                                                              <w:divsChild>
                                                                                                                                                                <w:div w:id="2146046039">
                                                                                                                                                                  <w:marLeft w:val="0"/>
                                                                                                                                                                  <w:marRight w:val="0"/>
                                                                                                                                                                  <w:marTop w:val="0"/>
                                                                                                                                                                  <w:marBottom w:val="0"/>
                                                                                                                                                                  <w:divBdr>
                                                                                                                                                                    <w:top w:val="none" w:sz="0" w:space="0" w:color="auto"/>
                                                                                                                                                                    <w:left w:val="none" w:sz="0" w:space="0" w:color="auto"/>
                                                                                                                                                                    <w:bottom w:val="none" w:sz="0" w:space="0" w:color="auto"/>
                                                                                                                                                                    <w:right w:val="none" w:sz="0" w:space="0" w:color="auto"/>
                                                                                                                                                                  </w:divBdr>
                                                                                                                                                                  <w:divsChild>
                                                                                                                                                                    <w:div w:id="218177081">
                                                                                                                                                                      <w:marLeft w:val="0"/>
                                                                                                                                                                      <w:marRight w:val="0"/>
                                                                                                                                                                      <w:marTop w:val="0"/>
                                                                                                                                                                      <w:marBottom w:val="0"/>
                                                                                                                                                                      <w:divBdr>
                                                                                                                                                                        <w:top w:val="none" w:sz="0" w:space="0" w:color="auto"/>
                                                                                                                                                                        <w:left w:val="none" w:sz="0" w:space="0" w:color="auto"/>
                                                                                                                                                                        <w:bottom w:val="none" w:sz="0" w:space="0" w:color="auto"/>
                                                                                                                                                                        <w:right w:val="none" w:sz="0" w:space="0" w:color="auto"/>
                                                                                                                                                                      </w:divBdr>
                                                                                                                                                                      <w:divsChild>
                                                                                                                                                                        <w:div w:id="1627160451">
                                                                                                                                                                          <w:marLeft w:val="0"/>
                                                                                                                                                                          <w:marRight w:val="0"/>
                                                                                                                                                                          <w:marTop w:val="0"/>
                                                                                                                                                                          <w:marBottom w:val="0"/>
                                                                                                                                                                          <w:divBdr>
                                                                                                                                                                            <w:top w:val="none" w:sz="0" w:space="0" w:color="auto"/>
                                                                                                                                                                            <w:left w:val="none" w:sz="0" w:space="0" w:color="auto"/>
                                                                                                                                                                            <w:bottom w:val="none" w:sz="0" w:space="0" w:color="auto"/>
                                                                                                                                                                            <w:right w:val="none" w:sz="0" w:space="0" w:color="auto"/>
                                                                                                                                                                          </w:divBdr>
                                                                                                                                                                          <w:divsChild>
                                                                                                                                                                            <w:div w:id="673186989">
                                                                                                                                                                              <w:marLeft w:val="0"/>
                                                                                                                                                                              <w:marRight w:val="0"/>
                                                                                                                                                                              <w:marTop w:val="0"/>
                                                                                                                                                                              <w:marBottom w:val="0"/>
                                                                                                                                                                              <w:divBdr>
                                                                                                                                                                                <w:top w:val="none" w:sz="0" w:space="0" w:color="auto"/>
                                                                                                                                                                                <w:left w:val="none" w:sz="0" w:space="0" w:color="auto"/>
                                                                                                                                                                                <w:bottom w:val="none" w:sz="0" w:space="0" w:color="auto"/>
                                                                                                                                                                                <w:right w:val="none" w:sz="0" w:space="0" w:color="auto"/>
                                                                                                                                                                              </w:divBdr>
                                                                                                                                                                              <w:divsChild>
                                                                                                                                                                                <w:div w:id="1507742833">
                                                                                                                                                                                  <w:marLeft w:val="0"/>
                                                                                                                                                                                  <w:marRight w:val="0"/>
                                                                                                                                                                                  <w:marTop w:val="0"/>
                                                                                                                                                                                  <w:marBottom w:val="0"/>
                                                                                                                                                                                  <w:divBdr>
                                                                                                                                                                                    <w:top w:val="none" w:sz="0" w:space="0" w:color="auto"/>
                                                                                                                                                                                    <w:left w:val="none" w:sz="0" w:space="0" w:color="auto"/>
                                                                                                                                                                                    <w:bottom w:val="none" w:sz="0" w:space="0" w:color="auto"/>
                                                                                                                                                                                    <w:right w:val="none" w:sz="0" w:space="0" w:color="auto"/>
                                                                                                                                                                                  </w:divBdr>
                                                                                                                                                                                  <w:divsChild>
                                                                                                                                                                                    <w:div w:id="652762970">
                                                                                                                                                                                      <w:marLeft w:val="0"/>
                                                                                                                                                                                      <w:marRight w:val="0"/>
                                                                                                                                                                                      <w:marTop w:val="0"/>
                                                                                                                                                                                      <w:marBottom w:val="0"/>
                                                                                                                                                                                      <w:divBdr>
                                                                                                                                                                                        <w:top w:val="none" w:sz="0" w:space="0" w:color="auto"/>
                                                                                                                                                                                        <w:left w:val="none" w:sz="0" w:space="0" w:color="auto"/>
                                                                                                                                                                                        <w:bottom w:val="none" w:sz="0" w:space="0" w:color="auto"/>
                                                                                                                                                                                        <w:right w:val="none" w:sz="0" w:space="0" w:color="auto"/>
                                                                                                                                                                                      </w:divBdr>
                                                                                                                                                                                      <w:divsChild>
                                                                                                                                                                                        <w:div w:id="472406243">
                                                                                                                                                                                          <w:marLeft w:val="0"/>
                                                                                                                                                                                          <w:marRight w:val="0"/>
                                                                                                                                                                                          <w:marTop w:val="0"/>
                                                                                                                                                                                          <w:marBottom w:val="0"/>
                                                                                                                                                                                          <w:divBdr>
                                                                                                                                                                                            <w:top w:val="none" w:sz="0" w:space="0" w:color="auto"/>
                                                                                                                                                                                            <w:left w:val="none" w:sz="0" w:space="0" w:color="auto"/>
                                                                                                                                                                                            <w:bottom w:val="none" w:sz="0" w:space="0" w:color="auto"/>
                                                                                                                                                                                            <w:right w:val="none" w:sz="0" w:space="0" w:color="auto"/>
                                                                                                                                                                                          </w:divBdr>
                                                                                                                                                                                          <w:divsChild>
                                                                                                                                                                                            <w:div w:id="883178258">
                                                                                                                                                                                              <w:marLeft w:val="0"/>
                                                                                                                                                                                              <w:marRight w:val="0"/>
                                                                                                                                                                                              <w:marTop w:val="0"/>
                                                                                                                                                                                              <w:marBottom w:val="0"/>
                                                                                                                                                                                              <w:divBdr>
                                                                                                                                                                                                <w:top w:val="none" w:sz="0" w:space="0" w:color="auto"/>
                                                                                                                                                                                                <w:left w:val="none" w:sz="0" w:space="0" w:color="auto"/>
                                                                                                                                                                                                <w:bottom w:val="none" w:sz="0" w:space="0" w:color="auto"/>
                                                                                                                                                                                                <w:right w:val="none" w:sz="0" w:space="0" w:color="auto"/>
                                                                                                                                                                                              </w:divBdr>
                                                                                                                                                                                              <w:divsChild>
                                                                                                                                                                                                <w:div w:id="2034530538">
                                                                                                                                                                                                  <w:marLeft w:val="0"/>
                                                                                                                                                                                                  <w:marRight w:val="0"/>
                                                                                                                                                                                                  <w:marTop w:val="0"/>
                                                                                                                                                                                                  <w:marBottom w:val="0"/>
                                                                                                                                                                                                  <w:divBdr>
                                                                                                                                                                                                    <w:top w:val="none" w:sz="0" w:space="0" w:color="auto"/>
                                                                                                                                                                                                    <w:left w:val="none" w:sz="0" w:space="0" w:color="auto"/>
                                                                                                                                                                                                    <w:bottom w:val="none" w:sz="0" w:space="0" w:color="auto"/>
                                                                                                                                                                                                    <w:right w:val="none" w:sz="0" w:space="0" w:color="auto"/>
                                                                                                                                                                                                  </w:divBdr>
                                                                                                                                                                                                  <w:divsChild>
                                                                                                                                                                                                    <w:div w:id="1766802365">
                                                                                                                                                                                                      <w:marLeft w:val="0"/>
                                                                                                                                                                                                      <w:marRight w:val="0"/>
                                                                                                                                                                                                      <w:marTop w:val="0"/>
                                                                                                                                                                                                      <w:marBottom w:val="0"/>
                                                                                                                                                                                                      <w:divBdr>
                                                                                                                                                                                                        <w:top w:val="none" w:sz="0" w:space="0" w:color="auto"/>
                                                                                                                                                                                                        <w:left w:val="none" w:sz="0" w:space="0" w:color="auto"/>
                                                                                                                                                                                                        <w:bottom w:val="none" w:sz="0" w:space="0" w:color="auto"/>
                                                                                                                                                                                                        <w:right w:val="none" w:sz="0" w:space="0" w:color="auto"/>
                                                                                                                                                                                                      </w:divBdr>
                                                                                                                                                                                                      <w:divsChild>
                                                                                                                                                                                                        <w:div w:id="707296557">
                                                                                                                                                                                                          <w:marLeft w:val="0"/>
                                                                                                                                                                                                          <w:marRight w:val="0"/>
                                                                                                                                                                                                          <w:marTop w:val="0"/>
                                                                                                                                                                                                          <w:marBottom w:val="0"/>
                                                                                                                                                                                                          <w:divBdr>
                                                                                                                                                                                                            <w:top w:val="none" w:sz="0" w:space="0" w:color="auto"/>
                                                                                                                                                                                                            <w:left w:val="none" w:sz="0" w:space="0" w:color="auto"/>
                                                                                                                                                                                                            <w:bottom w:val="none" w:sz="0" w:space="0" w:color="auto"/>
                                                                                                                                                                                                            <w:right w:val="none" w:sz="0" w:space="0" w:color="auto"/>
                                                                                                                                                                                                          </w:divBdr>
                                                                                                                                                                                                          <w:divsChild>
                                                                                                                                                                                                            <w:div w:id="1888489691">
                                                                                                                                                                                                              <w:marLeft w:val="0"/>
                                                                                                                                                                                                              <w:marRight w:val="0"/>
                                                                                                                                                                                                              <w:marTop w:val="0"/>
                                                                                                                                                                                                              <w:marBottom w:val="0"/>
                                                                                                                                                                                                              <w:divBdr>
                                                                                                                                                                                                                <w:top w:val="none" w:sz="0" w:space="0" w:color="auto"/>
                                                                                                                                                                                                                <w:left w:val="none" w:sz="0" w:space="0" w:color="auto"/>
                                                                                                                                                                                                                <w:bottom w:val="none" w:sz="0" w:space="0" w:color="auto"/>
                                                                                                                                                                                                                <w:right w:val="none" w:sz="0" w:space="0" w:color="auto"/>
                                                                                                                                                                                                              </w:divBdr>
                                                                                                                                                                                                              <w:divsChild>
                                                                                                                                                                                                                <w:div w:id="1929732087">
                                                                                                                                                                                                                  <w:marLeft w:val="0"/>
                                                                                                                                                                                                                  <w:marRight w:val="0"/>
                                                                                                                                                                                                                  <w:marTop w:val="0"/>
                                                                                                                                                                                                                  <w:marBottom w:val="0"/>
                                                                                                                                                                                                                  <w:divBdr>
                                                                                                                                                                                                                    <w:top w:val="none" w:sz="0" w:space="0" w:color="auto"/>
                                                                                                                                                                                                                    <w:left w:val="none" w:sz="0" w:space="0" w:color="auto"/>
                                                                                                                                                                                                                    <w:bottom w:val="none" w:sz="0" w:space="0" w:color="auto"/>
                                                                                                                                                                                                                    <w:right w:val="none" w:sz="0" w:space="0" w:color="auto"/>
                                                                                                                                                                                                                  </w:divBdr>
                                                                                                                                                                                                                  <w:divsChild>
                                                                                                                                                                                                                    <w:div w:id="402291310">
                                                                                                                                                                                                                      <w:marLeft w:val="0"/>
                                                                                                                                                                                                                      <w:marRight w:val="0"/>
                                                                                                                                                                                                                      <w:marTop w:val="0"/>
                                                                                                                                                                                                                      <w:marBottom w:val="0"/>
                                                                                                                                                                                                                      <w:divBdr>
                                                                                                                                                                                                                        <w:top w:val="none" w:sz="0" w:space="0" w:color="auto"/>
                                                                                                                                                                                                                        <w:left w:val="none" w:sz="0" w:space="0" w:color="auto"/>
                                                                                                                                                                                                                        <w:bottom w:val="none" w:sz="0" w:space="0" w:color="auto"/>
                                                                                                                                                                                                                        <w:right w:val="none" w:sz="0" w:space="0" w:color="auto"/>
                                                                                                                                                                                                                      </w:divBdr>
                                                                                                                                                                                                                      <w:divsChild>
                                                                                                                                                                                                                        <w:div w:id="1064059612">
                                                                                                                                                                                                                          <w:marLeft w:val="0"/>
                                                                                                                                                                                                                          <w:marRight w:val="0"/>
                                                                                                                                                                                                                          <w:marTop w:val="0"/>
                                                                                                                                                                                                                          <w:marBottom w:val="0"/>
                                                                                                                                                                                                                          <w:divBdr>
                                                                                                                                                                                                                            <w:top w:val="none" w:sz="0" w:space="0" w:color="auto"/>
                                                                                                                                                                                                                            <w:left w:val="none" w:sz="0" w:space="0" w:color="auto"/>
                                                                                                                                                                                                                            <w:bottom w:val="none" w:sz="0" w:space="0" w:color="auto"/>
                                                                                                                                                                                                                            <w:right w:val="none" w:sz="0" w:space="0" w:color="auto"/>
                                                                                                                                                                                                                          </w:divBdr>
                                                                                                                                                                                                                          <w:divsChild>
                                                                                                                                                                                                                            <w:div w:id="1715231965">
                                                                                                                                                                                                                              <w:marLeft w:val="0"/>
                                                                                                                                                                                                                              <w:marRight w:val="0"/>
                                                                                                                                                                                                                              <w:marTop w:val="0"/>
                                                                                                                                                                                                                              <w:marBottom w:val="0"/>
                                                                                                                                                                                                                              <w:divBdr>
                                                                                                                                                                                                                                <w:top w:val="none" w:sz="0" w:space="0" w:color="auto"/>
                                                                                                                                                                                                                                <w:left w:val="none" w:sz="0" w:space="0" w:color="auto"/>
                                                                                                                                                                                                                                <w:bottom w:val="none" w:sz="0" w:space="0" w:color="auto"/>
                                                                                                                                                                                                                                <w:right w:val="none" w:sz="0" w:space="0" w:color="auto"/>
                                                                                                                                                                                                                              </w:divBdr>
                                                                                                                                                                                                                              <w:divsChild>
                                                                                                                                                                                                                                <w:div w:id="1449348388">
                                                                                                                                                                                                                                  <w:marLeft w:val="0"/>
                                                                                                                                                                                                                                  <w:marRight w:val="0"/>
                                                                                                                                                                                                                                  <w:marTop w:val="0"/>
                                                                                                                                                                                                                                  <w:marBottom w:val="0"/>
                                                                                                                                                                                                                                  <w:divBdr>
                                                                                                                                                                                                                                    <w:top w:val="none" w:sz="0" w:space="0" w:color="auto"/>
                                                                                                                                                                                                                                    <w:left w:val="none" w:sz="0" w:space="0" w:color="auto"/>
                                                                                                                                                                                                                                    <w:bottom w:val="none" w:sz="0" w:space="0" w:color="auto"/>
                                                                                                                                                                                                                                    <w:right w:val="none" w:sz="0" w:space="0" w:color="auto"/>
                                                                                                                                                                                                                                  </w:divBdr>
                                                                                                                                                                                                                                  <w:divsChild>
                                                                                                                                                                                                                                    <w:div w:id="2002653760">
                                                                                                                                                                                                                                      <w:marLeft w:val="0"/>
                                                                                                                                                                                                                                      <w:marRight w:val="0"/>
                                                                                                                                                                                                                                      <w:marTop w:val="0"/>
                                                                                                                                                                                                                                      <w:marBottom w:val="0"/>
                                                                                                                                                                                                                                      <w:divBdr>
                                                                                                                                                                                                                                        <w:top w:val="none" w:sz="0" w:space="0" w:color="auto"/>
                                                                                                                                                                                                                                        <w:left w:val="none" w:sz="0" w:space="0" w:color="auto"/>
                                                                                                                                                                                                                                        <w:bottom w:val="none" w:sz="0" w:space="0" w:color="auto"/>
                                                                                                                                                                                                                                        <w:right w:val="none" w:sz="0" w:space="0" w:color="auto"/>
                                                                                                                                                                                                                                      </w:divBdr>
                                                                                                                                                                                                                                      <w:divsChild>
                                                                                                                                                                                                                                        <w:div w:id="1596278291">
                                                                                                                                                                                                                                          <w:marLeft w:val="0"/>
                                                                                                                                                                                                                                          <w:marRight w:val="0"/>
                                                                                                                                                                                                                                          <w:marTop w:val="0"/>
                                                                                                                                                                                                                                          <w:marBottom w:val="0"/>
                                                                                                                                                                                                                                          <w:divBdr>
                                                                                                                                                                                                                                            <w:top w:val="none" w:sz="0" w:space="0" w:color="auto"/>
                                                                                                                                                                                                                                            <w:left w:val="none" w:sz="0" w:space="0" w:color="auto"/>
                                                                                                                                                                                                                                            <w:bottom w:val="none" w:sz="0" w:space="0" w:color="auto"/>
                                                                                                                                                                                                                                            <w:right w:val="none" w:sz="0" w:space="0" w:color="auto"/>
                                                                                                                                                                                                                                          </w:divBdr>
                                                                                                                                                                                                                                          <w:divsChild>
                                                                                                                                                                                                                                            <w:div w:id="76371511">
                                                                                                                                                                                                                                              <w:marLeft w:val="0"/>
                                                                                                                                                                                                                                              <w:marRight w:val="0"/>
                                                                                                                                                                                                                                              <w:marTop w:val="0"/>
                                                                                                                                                                                                                                              <w:marBottom w:val="0"/>
                                                                                                                                                                                                                                              <w:divBdr>
                                                                                                                                                                                                                                                <w:top w:val="none" w:sz="0" w:space="0" w:color="auto"/>
                                                                                                                                                                                                                                                <w:left w:val="none" w:sz="0" w:space="0" w:color="auto"/>
                                                                                                                                                                                                                                                <w:bottom w:val="none" w:sz="0" w:space="0" w:color="auto"/>
                                                                                                                                                                                                                                                <w:right w:val="none" w:sz="0" w:space="0" w:color="auto"/>
                                                                                                                                                                                                                                              </w:divBdr>
                                                                                                                                                                                                                                              <w:divsChild>
                                                                                                                                                                                                                                                <w:div w:id="738556719">
                                                                                                                                                                                                                                                  <w:marLeft w:val="0"/>
                                                                                                                                                                                                                                                  <w:marRight w:val="0"/>
                                                                                                                                                                                                                                                  <w:marTop w:val="0"/>
                                                                                                                                                                                                                                                  <w:marBottom w:val="0"/>
                                                                                                                                                                                                                                                  <w:divBdr>
                                                                                                                                                                                                                                                    <w:top w:val="none" w:sz="0" w:space="0" w:color="auto"/>
                                                                                                                                                                                                                                                    <w:left w:val="none" w:sz="0" w:space="0" w:color="auto"/>
                                                                                                                                                                                                                                                    <w:bottom w:val="none" w:sz="0" w:space="0" w:color="auto"/>
                                                                                                                                                                                                                                                    <w:right w:val="none" w:sz="0" w:space="0" w:color="auto"/>
                                                                                                                                                                                                                                                  </w:divBdr>
                                                                                                                                                                                                                                                  <w:divsChild>
                                                                                                                                                                                                                                                    <w:div w:id="1834643765">
                                                                                                                                                                                                                                                      <w:marLeft w:val="0"/>
                                                                                                                                                                                                                                                      <w:marRight w:val="0"/>
                                                                                                                                                                                                                                                      <w:marTop w:val="0"/>
                                                                                                                                                                                                                                                      <w:marBottom w:val="0"/>
                                                                                                                                                                                                                                                      <w:divBdr>
                                                                                                                                                                                                                                                        <w:top w:val="none" w:sz="0" w:space="0" w:color="auto"/>
                                                                                                                                                                                                                                                        <w:left w:val="none" w:sz="0" w:space="0" w:color="auto"/>
                                                                                                                                                                                                                                                        <w:bottom w:val="none" w:sz="0" w:space="0" w:color="auto"/>
                                                                                                                                                                                                                                                        <w:right w:val="none" w:sz="0" w:space="0" w:color="auto"/>
                                                                                                                                                                                                                                                      </w:divBdr>
                                                                                                                                                                                                                                                      <w:divsChild>
                                                                                                                                                                                                                                                        <w:div w:id="2033336937">
                                                                                                                                                                                                                                                          <w:marLeft w:val="0"/>
                                                                                                                                                                                                                                                          <w:marRight w:val="0"/>
                                                                                                                                                                                                                                                          <w:marTop w:val="0"/>
                                                                                                                                                                                                                                                          <w:marBottom w:val="0"/>
                                                                                                                                                                                                                                                          <w:divBdr>
                                                                                                                                                                                                                                                            <w:top w:val="none" w:sz="0" w:space="0" w:color="auto"/>
                                                                                                                                                                                                                                                            <w:left w:val="none" w:sz="0" w:space="0" w:color="auto"/>
                                                                                                                                                                                                                                                            <w:bottom w:val="none" w:sz="0" w:space="0" w:color="auto"/>
                                                                                                                                                                                                                                                            <w:right w:val="none" w:sz="0" w:space="0" w:color="auto"/>
                                                                                                                                                                                                                                                          </w:divBdr>
                                                                                                                                                                                                                                                          <w:divsChild>
                                                                                                                                                                                                                                                            <w:div w:id="1808353372">
                                                                                                                                                                                                                                                              <w:marLeft w:val="0"/>
                                                                                                                                                                                                                                                              <w:marRight w:val="0"/>
                                                                                                                                                                                                                                                              <w:marTop w:val="0"/>
                                                                                                                                                                                                                                                              <w:marBottom w:val="0"/>
                                                                                                                                                                                                                                                              <w:divBdr>
                                                                                                                                                                                                                                                                <w:top w:val="none" w:sz="0" w:space="0" w:color="auto"/>
                                                                                                                                                                                                                                                                <w:left w:val="none" w:sz="0" w:space="0" w:color="auto"/>
                                                                                                                                                                                                                                                                <w:bottom w:val="none" w:sz="0" w:space="0" w:color="auto"/>
                                                                                                                                                                                                                                                                <w:right w:val="none" w:sz="0" w:space="0" w:color="auto"/>
                                                                                                                                                                                                                                                              </w:divBdr>
                                                                                                                                                                                                                                                              <w:divsChild>
                                                                                                                                                                                                                                                                <w:div w:id="4692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07831252">
                                                                          <w:marLeft w:val="0"/>
                                                                          <w:marRight w:val="0"/>
                                                                          <w:marTop w:val="0"/>
                                                                          <w:marBottom w:val="0"/>
                                                                          <w:divBdr>
                                                                            <w:top w:val="none" w:sz="0" w:space="0" w:color="auto"/>
                                                                            <w:left w:val="none" w:sz="0" w:space="0" w:color="auto"/>
                                                                            <w:bottom w:val="none" w:sz="0" w:space="0" w:color="auto"/>
                                                                            <w:right w:val="none" w:sz="0" w:space="0" w:color="auto"/>
                                                                          </w:divBdr>
                                                                        </w:div>
                                                                      </w:divsChild>
                                                                    </w:div>
                                                                    <w:div w:id="46636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96585164">
      <w:bodyDiv w:val="1"/>
      <w:marLeft w:val="0"/>
      <w:marRight w:val="0"/>
      <w:marTop w:val="0"/>
      <w:marBottom w:val="0"/>
      <w:divBdr>
        <w:top w:val="none" w:sz="0" w:space="0" w:color="auto"/>
        <w:left w:val="none" w:sz="0" w:space="0" w:color="auto"/>
        <w:bottom w:val="none" w:sz="0" w:space="0" w:color="auto"/>
        <w:right w:val="none" w:sz="0" w:space="0" w:color="auto"/>
      </w:divBdr>
    </w:div>
    <w:div w:id="789085394">
      <w:bodyDiv w:val="1"/>
      <w:marLeft w:val="0"/>
      <w:marRight w:val="0"/>
      <w:marTop w:val="0"/>
      <w:marBottom w:val="0"/>
      <w:divBdr>
        <w:top w:val="none" w:sz="0" w:space="0" w:color="auto"/>
        <w:left w:val="none" w:sz="0" w:space="0" w:color="auto"/>
        <w:bottom w:val="none" w:sz="0" w:space="0" w:color="auto"/>
        <w:right w:val="none" w:sz="0" w:space="0" w:color="auto"/>
      </w:divBdr>
      <w:divsChild>
        <w:div w:id="634527661">
          <w:marLeft w:val="0"/>
          <w:marRight w:val="0"/>
          <w:marTop w:val="0"/>
          <w:marBottom w:val="0"/>
          <w:divBdr>
            <w:top w:val="none" w:sz="0" w:space="0" w:color="auto"/>
            <w:left w:val="none" w:sz="0" w:space="0" w:color="auto"/>
            <w:bottom w:val="none" w:sz="0" w:space="0" w:color="auto"/>
            <w:right w:val="none" w:sz="0" w:space="0" w:color="auto"/>
          </w:divBdr>
          <w:divsChild>
            <w:div w:id="1444956316">
              <w:marLeft w:val="0"/>
              <w:marRight w:val="0"/>
              <w:marTop w:val="0"/>
              <w:marBottom w:val="0"/>
              <w:divBdr>
                <w:top w:val="none" w:sz="0" w:space="0" w:color="auto"/>
                <w:left w:val="none" w:sz="0" w:space="0" w:color="auto"/>
                <w:bottom w:val="none" w:sz="0" w:space="0" w:color="auto"/>
                <w:right w:val="none" w:sz="0" w:space="0" w:color="auto"/>
              </w:divBdr>
              <w:divsChild>
                <w:div w:id="205418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817965">
      <w:bodyDiv w:val="1"/>
      <w:marLeft w:val="0"/>
      <w:marRight w:val="0"/>
      <w:marTop w:val="0"/>
      <w:marBottom w:val="0"/>
      <w:divBdr>
        <w:top w:val="none" w:sz="0" w:space="0" w:color="auto"/>
        <w:left w:val="none" w:sz="0" w:space="0" w:color="auto"/>
        <w:bottom w:val="none" w:sz="0" w:space="0" w:color="auto"/>
        <w:right w:val="none" w:sz="0" w:space="0" w:color="auto"/>
      </w:divBdr>
      <w:divsChild>
        <w:div w:id="1689213983">
          <w:marLeft w:val="0"/>
          <w:marRight w:val="0"/>
          <w:marTop w:val="0"/>
          <w:marBottom w:val="0"/>
          <w:divBdr>
            <w:top w:val="none" w:sz="0" w:space="0" w:color="auto"/>
            <w:left w:val="none" w:sz="0" w:space="0" w:color="auto"/>
            <w:bottom w:val="none" w:sz="0" w:space="0" w:color="auto"/>
            <w:right w:val="none" w:sz="0" w:space="0" w:color="auto"/>
          </w:divBdr>
          <w:divsChild>
            <w:div w:id="616790974">
              <w:marLeft w:val="0"/>
              <w:marRight w:val="0"/>
              <w:marTop w:val="0"/>
              <w:marBottom w:val="0"/>
              <w:divBdr>
                <w:top w:val="none" w:sz="0" w:space="0" w:color="auto"/>
                <w:left w:val="none" w:sz="0" w:space="0" w:color="auto"/>
                <w:bottom w:val="none" w:sz="0" w:space="0" w:color="auto"/>
                <w:right w:val="none" w:sz="0" w:space="0" w:color="auto"/>
              </w:divBdr>
              <w:divsChild>
                <w:div w:id="1146052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718530">
      <w:bodyDiv w:val="1"/>
      <w:marLeft w:val="0"/>
      <w:marRight w:val="0"/>
      <w:marTop w:val="0"/>
      <w:marBottom w:val="0"/>
      <w:divBdr>
        <w:top w:val="none" w:sz="0" w:space="0" w:color="auto"/>
        <w:left w:val="none" w:sz="0" w:space="0" w:color="auto"/>
        <w:bottom w:val="none" w:sz="0" w:space="0" w:color="auto"/>
        <w:right w:val="none" w:sz="0" w:space="0" w:color="auto"/>
      </w:divBdr>
      <w:divsChild>
        <w:div w:id="1152869781">
          <w:marLeft w:val="0"/>
          <w:marRight w:val="0"/>
          <w:marTop w:val="0"/>
          <w:marBottom w:val="0"/>
          <w:divBdr>
            <w:top w:val="none" w:sz="0" w:space="0" w:color="auto"/>
            <w:left w:val="none" w:sz="0" w:space="0" w:color="auto"/>
            <w:bottom w:val="none" w:sz="0" w:space="0" w:color="auto"/>
            <w:right w:val="none" w:sz="0" w:space="0" w:color="auto"/>
          </w:divBdr>
          <w:divsChild>
            <w:div w:id="49234133">
              <w:marLeft w:val="0"/>
              <w:marRight w:val="0"/>
              <w:marTop w:val="0"/>
              <w:marBottom w:val="0"/>
              <w:divBdr>
                <w:top w:val="none" w:sz="0" w:space="0" w:color="auto"/>
                <w:left w:val="none" w:sz="0" w:space="0" w:color="auto"/>
                <w:bottom w:val="none" w:sz="0" w:space="0" w:color="auto"/>
                <w:right w:val="none" w:sz="0" w:space="0" w:color="auto"/>
              </w:divBdr>
              <w:divsChild>
                <w:div w:id="148821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568937">
      <w:bodyDiv w:val="1"/>
      <w:marLeft w:val="0"/>
      <w:marRight w:val="0"/>
      <w:marTop w:val="0"/>
      <w:marBottom w:val="0"/>
      <w:divBdr>
        <w:top w:val="none" w:sz="0" w:space="0" w:color="auto"/>
        <w:left w:val="none" w:sz="0" w:space="0" w:color="auto"/>
        <w:bottom w:val="none" w:sz="0" w:space="0" w:color="auto"/>
        <w:right w:val="none" w:sz="0" w:space="0" w:color="auto"/>
      </w:divBdr>
      <w:divsChild>
        <w:div w:id="2074311961">
          <w:marLeft w:val="0"/>
          <w:marRight w:val="0"/>
          <w:marTop w:val="0"/>
          <w:marBottom w:val="0"/>
          <w:divBdr>
            <w:top w:val="none" w:sz="0" w:space="0" w:color="auto"/>
            <w:left w:val="none" w:sz="0" w:space="0" w:color="auto"/>
            <w:bottom w:val="none" w:sz="0" w:space="0" w:color="auto"/>
            <w:right w:val="none" w:sz="0" w:space="0" w:color="auto"/>
          </w:divBdr>
          <w:divsChild>
            <w:div w:id="2069457100">
              <w:marLeft w:val="0"/>
              <w:marRight w:val="0"/>
              <w:marTop w:val="0"/>
              <w:marBottom w:val="0"/>
              <w:divBdr>
                <w:top w:val="none" w:sz="0" w:space="0" w:color="auto"/>
                <w:left w:val="none" w:sz="0" w:space="0" w:color="auto"/>
                <w:bottom w:val="none" w:sz="0" w:space="0" w:color="auto"/>
                <w:right w:val="none" w:sz="0" w:space="0" w:color="auto"/>
              </w:divBdr>
              <w:divsChild>
                <w:div w:id="70760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995697">
      <w:bodyDiv w:val="1"/>
      <w:marLeft w:val="0"/>
      <w:marRight w:val="0"/>
      <w:marTop w:val="0"/>
      <w:marBottom w:val="0"/>
      <w:divBdr>
        <w:top w:val="none" w:sz="0" w:space="0" w:color="auto"/>
        <w:left w:val="none" w:sz="0" w:space="0" w:color="auto"/>
        <w:bottom w:val="none" w:sz="0" w:space="0" w:color="auto"/>
        <w:right w:val="none" w:sz="0" w:space="0" w:color="auto"/>
      </w:divBdr>
      <w:divsChild>
        <w:div w:id="613446342">
          <w:marLeft w:val="0"/>
          <w:marRight w:val="0"/>
          <w:marTop w:val="0"/>
          <w:marBottom w:val="0"/>
          <w:divBdr>
            <w:top w:val="none" w:sz="0" w:space="0" w:color="auto"/>
            <w:left w:val="none" w:sz="0" w:space="0" w:color="auto"/>
            <w:bottom w:val="none" w:sz="0" w:space="0" w:color="auto"/>
            <w:right w:val="none" w:sz="0" w:space="0" w:color="auto"/>
          </w:divBdr>
          <w:divsChild>
            <w:div w:id="10180208">
              <w:marLeft w:val="0"/>
              <w:marRight w:val="0"/>
              <w:marTop w:val="0"/>
              <w:marBottom w:val="0"/>
              <w:divBdr>
                <w:top w:val="none" w:sz="0" w:space="0" w:color="auto"/>
                <w:left w:val="none" w:sz="0" w:space="0" w:color="auto"/>
                <w:bottom w:val="none" w:sz="0" w:space="0" w:color="auto"/>
                <w:right w:val="none" w:sz="0" w:space="0" w:color="auto"/>
              </w:divBdr>
              <w:divsChild>
                <w:div w:id="2141915840">
                  <w:marLeft w:val="0"/>
                  <w:marRight w:val="0"/>
                  <w:marTop w:val="0"/>
                  <w:marBottom w:val="0"/>
                  <w:divBdr>
                    <w:top w:val="none" w:sz="0" w:space="0" w:color="auto"/>
                    <w:left w:val="none" w:sz="0" w:space="0" w:color="auto"/>
                    <w:bottom w:val="none" w:sz="0" w:space="0" w:color="auto"/>
                    <w:right w:val="none" w:sz="0" w:space="0" w:color="auto"/>
                  </w:divBdr>
                  <w:divsChild>
                    <w:div w:id="87288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482967">
      <w:bodyDiv w:val="1"/>
      <w:marLeft w:val="0"/>
      <w:marRight w:val="0"/>
      <w:marTop w:val="0"/>
      <w:marBottom w:val="0"/>
      <w:divBdr>
        <w:top w:val="none" w:sz="0" w:space="0" w:color="auto"/>
        <w:left w:val="none" w:sz="0" w:space="0" w:color="auto"/>
        <w:bottom w:val="none" w:sz="0" w:space="0" w:color="auto"/>
        <w:right w:val="none" w:sz="0" w:space="0" w:color="auto"/>
      </w:divBdr>
      <w:divsChild>
        <w:div w:id="1293633953">
          <w:marLeft w:val="0"/>
          <w:marRight w:val="0"/>
          <w:marTop w:val="0"/>
          <w:marBottom w:val="0"/>
          <w:divBdr>
            <w:top w:val="none" w:sz="0" w:space="0" w:color="auto"/>
            <w:left w:val="none" w:sz="0" w:space="0" w:color="auto"/>
            <w:bottom w:val="none" w:sz="0" w:space="0" w:color="auto"/>
            <w:right w:val="none" w:sz="0" w:space="0" w:color="auto"/>
          </w:divBdr>
          <w:divsChild>
            <w:div w:id="710227927">
              <w:marLeft w:val="0"/>
              <w:marRight w:val="0"/>
              <w:marTop w:val="0"/>
              <w:marBottom w:val="0"/>
              <w:divBdr>
                <w:top w:val="none" w:sz="0" w:space="0" w:color="auto"/>
                <w:left w:val="none" w:sz="0" w:space="0" w:color="auto"/>
                <w:bottom w:val="none" w:sz="0" w:space="0" w:color="auto"/>
                <w:right w:val="none" w:sz="0" w:space="0" w:color="auto"/>
              </w:divBdr>
              <w:divsChild>
                <w:div w:id="136644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195636">
      <w:bodyDiv w:val="1"/>
      <w:marLeft w:val="0"/>
      <w:marRight w:val="0"/>
      <w:marTop w:val="0"/>
      <w:marBottom w:val="0"/>
      <w:divBdr>
        <w:top w:val="none" w:sz="0" w:space="0" w:color="auto"/>
        <w:left w:val="none" w:sz="0" w:space="0" w:color="auto"/>
        <w:bottom w:val="none" w:sz="0" w:space="0" w:color="auto"/>
        <w:right w:val="none" w:sz="0" w:space="0" w:color="auto"/>
      </w:divBdr>
      <w:divsChild>
        <w:div w:id="1152135634">
          <w:marLeft w:val="0"/>
          <w:marRight w:val="0"/>
          <w:marTop w:val="0"/>
          <w:marBottom w:val="0"/>
          <w:divBdr>
            <w:top w:val="none" w:sz="0" w:space="0" w:color="auto"/>
            <w:left w:val="none" w:sz="0" w:space="0" w:color="auto"/>
            <w:bottom w:val="none" w:sz="0" w:space="0" w:color="auto"/>
            <w:right w:val="none" w:sz="0" w:space="0" w:color="auto"/>
          </w:divBdr>
          <w:divsChild>
            <w:div w:id="1295796538">
              <w:marLeft w:val="0"/>
              <w:marRight w:val="0"/>
              <w:marTop w:val="0"/>
              <w:marBottom w:val="0"/>
              <w:divBdr>
                <w:top w:val="none" w:sz="0" w:space="0" w:color="auto"/>
                <w:left w:val="none" w:sz="0" w:space="0" w:color="auto"/>
                <w:bottom w:val="none" w:sz="0" w:space="0" w:color="auto"/>
                <w:right w:val="none" w:sz="0" w:space="0" w:color="auto"/>
              </w:divBdr>
              <w:divsChild>
                <w:div w:id="31178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475706">
      <w:bodyDiv w:val="1"/>
      <w:marLeft w:val="0"/>
      <w:marRight w:val="0"/>
      <w:marTop w:val="0"/>
      <w:marBottom w:val="0"/>
      <w:divBdr>
        <w:top w:val="none" w:sz="0" w:space="0" w:color="auto"/>
        <w:left w:val="none" w:sz="0" w:space="0" w:color="auto"/>
        <w:bottom w:val="none" w:sz="0" w:space="0" w:color="auto"/>
        <w:right w:val="none" w:sz="0" w:space="0" w:color="auto"/>
      </w:divBdr>
    </w:div>
    <w:div w:id="1619069125">
      <w:bodyDiv w:val="1"/>
      <w:marLeft w:val="0"/>
      <w:marRight w:val="0"/>
      <w:marTop w:val="0"/>
      <w:marBottom w:val="0"/>
      <w:divBdr>
        <w:top w:val="none" w:sz="0" w:space="0" w:color="auto"/>
        <w:left w:val="none" w:sz="0" w:space="0" w:color="auto"/>
        <w:bottom w:val="none" w:sz="0" w:space="0" w:color="auto"/>
        <w:right w:val="none" w:sz="0" w:space="0" w:color="auto"/>
      </w:divBdr>
      <w:divsChild>
        <w:div w:id="822820290">
          <w:marLeft w:val="0"/>
          <w:marRight w:val="0"/>
          <w:marTop w:val="0"/>
          <w:marBottom w:val="0"/>
          <w:divBdr>
            <w:top w:val="none" w:sz="0" w:space="0" w:color="auto"/>
            <w:left w:val="none" w:sz="0" w:space="0" w:color="auto"/>
            <w:bottom w:val="none" w:sz="0" w:space="0" w:color="auto"/>
            <w:right w:val="none" w:sz="0" w:space="0" w:color="auto"/>
          </w:divBdr>
          <w:divsChild>
            <w:div w:id="1611350052">
              <w:marLeft w:val="0"/>
              <w:marRight w:val="0"/>
              <w:marTop w:val="0"/>
              <w:marBottom w:val="0"/>
              <w:divBdr>
                <w:top w:val="none" w:sz="0" w:space="0" w:color="auto"/>
                <w:left w:val="none" w:sz="0" w:space="0" w:color="auto"/>
                <w:bottom w:val="none" w:sz="0" w:space="0" w:color="auto"/>
                <w:right w:val="none" w:sz="0" w:space="0" w:color="auto"/>
              </w:divBdr>
              <w:divsChild>
                <w:div w:id="1204751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922519">
      <w:bodyDiv w:val="1"/>
      <w:marLeft w:val="0"/>
      <w:marRight w:val="0"/>
      <w:marTop w:val="0"/>
      <w:marBottom w:val="0"/>
      <w:divBdr>
        <w:top w:val="none" w:sz="0" w:space="0" w:color="auto"/>
        <w:left w:val="none" w:sz="0" w:space="0" w:color="auto"/>
        <w:bottom w:val="none" w:sz="0" w:space="0" w:color="auto"/>
        <w:right w:val="none" w:sz="0" w:space="0" w:color="auto"/>
      </w:divBdr>
    </w:div>
    <w:div w:id="210364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BC592C-7976-466D-8564-3A4F767D4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31834</Words>
  <Characters>257859</Characters>
  <Application>Microsoft Office Word</Application>
  <DocSecurity>0</DocSecurity>
  <Lines>2148</Lines>
  <Paragraphs>578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_</vt:lpstr>
      <vt:lpstr>_</vt:lpstr>
    </vt:vector>
  </TitlesOfParts>
  <Company>Metropolia</Company>
  <LinksUpToDate>false</LinksUpToDate>
  <CharactersWithSpaces>289115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Kirsi Johansson</dc:creator>
  <cp:lastModifiedBy>Kimmo Niukko</cp:lastModifiedBy>
  <cp:revision>2</cp:revision>
  <cp:lastPrinted>2016-04-29T09:58:00Z</cp:lastPrinted>
  <dcterms:created xsi:type="dcterms:W3CDTF">2017-01-17T08:50:00Z</dcterms:created>
  <dcterms:modified xsi:type="dcterms:W3CDTF">2017-01-17T08:50:00Z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1319</vt:lpwstr>
  </property>
  <property fmtid="{D5CDD505-2E9C-101B-9397-08002B2CF9AE}" pid="3" name="WnCSubscriberId">
    <vt:lpwstr>1606</vt:lpwstr>
  </property>
  <property fmtid="{D5CDD505-2E9C-101B-9397-08002B2CF9AE}" pid="4" name="WnCOutputStyleId">
    <vt:lpwstr>94</vt:lpwstr>
  </property>
  <property fmtid="{D5CDD505-2E9C-101B-9397-08002B2CF9AE}" pid="5" name="WnCUser">
    <vt:lpwstr>jpkesa_1606</vt:lpwstr>
  </property>
  <property fmtid="{D5CDD505-2E9C-101B-9397-08002B2CF9AE}" pid="6" name="WnC4Folder">
    <vt:lpwstr>Documents///Paper3_v3(1)</vt:lpwstr>
  </property>
  <property fmtid="{D5CDD505-2E9C-101B-9397-08002B2CF9AE}" pid="7" name="RWProductId">
    <vt:lpwstr>WnC</vt:lpwstr>
  </property>
  <property fmtid="{D5CDD505-2E9C-101B-9397-08002B2CF9AE}" pid="8" name="Mendeley Document_1">
    <vt:lpwstr>True</vt:lpwstr>
  </property>
  <property fmtid="{D5CDD505-2E9C-101B-9397-08002B2CF9AE}" pid="9" name="Mendeley Recent Style Id 0_1">
    <vt:lpwstr>http://www.zotero.org/styles/apa</vt:lpwstr>
  </property>
  <property fmtid="{D5CDD505-2E9C-101B-9397-08002B2CF9AE}" pid="10" name="Mendeley Recent Style Name 0_1">
    <vt:lpwstr>American Psychological Association 6th edition</vt:lpwstr>
  </property>
  <property fmtid="{D5CDD505-2E9C-101B-9397-08002B2CF9AE}" pid="11" name="Mendeley Recent Style Id 1_1">
    <vt:lpwstr>http://www.zotero.org/styles/bmj</vt:lpwstr>
  </property>
  <property fmtid="{D5CDD505-2E9C-101B-9397-08002B2CF9AE}" pid="12" name="Mendeley Recent Style Name 1_1">
    <vt:lpwstr>BMJ</vt:lpwstr>
  </property>
  <property fmtid="{D5CDD505-2E9C-101B-9397-08002B2CF9AE}" pid="13" name="Mendeley Recent Style Id 2_1">
    <vt:lpwstr>http://www.zotero.org/styles/chicago-author-date</vt:lpwstr>
  </property>
  <property fmtid="{D5CDD505-2E9C-101B-9397-08002B2CF9AE}" pid="14" name="Mendeley Recent Style Name 2_1">
    <vt:lpwstr>Chicago Manual of Style 16th edition (author-date)</vt:lpwstr>
  </property>
  <property fmtid="{D5CDD505-2E9C-101B-9397-08002B2CF9AE}" pid="15" name="Mendeley Recent Style Id 3_1">
    <vt:lpwstr>http://www.zotero.org/styles/harvard1</vt:lpwstr>
  </property>
  <property fmtid="{D5CDD505-2E9C-101B-9397-08002B2CF9AE}" pid="16" name="Mendeley Recent Style Name 3_1">
    <vt:lpwstr>Harvard Reference format 1 (author-date)</vt:lpwstr>
  </property>
  <property fmtid="{D5CDD505-2E9C-101B-9397-08002B2CF9AE}" pid="17" name="Mendeley Recent Style Id 4_1">
    <vt:lpwstr>http://www.zotero.org/styles/ieee</vt:lpwstr>
  </property>
  <property fmtid="{D5CDD505-2E9C-101B-9397-08002B2CF9AE}" pid="18" name="Mendeley Recent Style Name 4_1">
    <vt:lpwstr>IEEE</vt:lpwstr>
  </property>
  <property fmtid="{D5CDD505-2E9C-101B-9397-08002B2CF9AE}" pid="19" name="Mendeley Recent Style Id 5_1">
    <vt:lpwstr>http://www.zotero.org/styles/modern-humanities-research-association</vt:lpwstr>
  </property>
  <property fmtid="{D5CDD505-2E9C-101B-9397-08002B2CF9AE}" pid="20" name="Mendeley Recent Style Name 5_1">
    <vt:lpwstr>Modern Humanities Research Association 3rd edition (note with bibliography)</vt:lpwstr>
  </property>
  <property fmtid="{D5CDD505-2E9C-101B-9397-08002B2CF9AE}" pid="21" name="Mendeley Recent Style Id 6_1">
    <vt:lpwstr>http://www.zotero.org/styles/modern-language-association</vt:lpwstr>
  </property>
  <property fmtid="{D5CDD505-2E9C-101B-9397-08002B2CF9AE}" pid="22" name="Mendeley Recent Style Name 6_1">
    <vt:lpwstr>Modern Language Association 7th edition</vt:lpwstr>
  </property>
  <property fmtid="{D5CDD505-2E9C-101B-9397-08002B2CF9AE}" pid="23" name="Mendeley Recent Style Id 7_1">
    <vt:lpwstr>http://www.zotero.org/styles/nature</vt:lpwstr>
  </property>
  <property fmtid="{D5CDD505-2E9C-101B-9397-08002B2CF9AE}" pid="24" name="Mendeley Recent Style Name 7_1">
    <vt:lpwstr>Nature</vt:lpwstr>
  </property>
  <property fmtid="{D5CDD505-2E9C-101B-9397-08002B2CF9AE}" pid="25" name="Mendeley Recent Style Id 8_1">
    <vt:lpwstr>http://www.zotero.org/styles/patient-education-and-counseling</vt:lpwstr>
  </property>
  <property fmtid="{D5CDD505-2E9C-101B-9397-08002B2CF9AE}" pid="26" name="Mendeley Recent Style Name 8_1">
    <vt:lpwstr>Patient Education and Counseling</vt:lpwstr>
  </property>
  <property fmtid="{D5CDD505-2E9C-101B-9397-08002B2CF9AE}" pid="27" name="Mendeley Recent Style Id 9_1">
    <vt:lpwstr>http://www.zotero.org/styles/vancouver</vt:lpwstr>
  </property>
  <property fmtid="{D5CDD505-2E9C-101B-9397-08002B2CF9AE}" pid="28" name="Mendeley Recent Style Name 9_1">
    <vt:lpwstr>Vancouver</vt:lpwstr>
  </property>
  <property fmtid="{D5CDD505-2E9C-101B-9397-08002B2CF9AE}" pid="29" name="Mendeley Citation Style_1">
    <vt:lpwstr>http://www.zotero.org/styles/patient-education-and-counseling</vt:lpwstr>
  </property>
  <property fmtid="{D5CDD505-2E9C-101B-9397-08002B2CF9AE}" pid="30" name="Mendeley User Name_1">
    <vt:lpwstr>jpkesa@utu.fi@www.mendeley.com</vt:lpwstr>
  </property>
</Properties>
</file>