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2256BF" w14:textId="2A980CC5" w:rsidR="007E5F67" w:rsidRDefault="007E5F67" w:rsidP="00BB2665">
      <w:pPr>
        <w:pStyle w:val="2Authors"/>
        <w:rPr>
          <w:noProof/>
          <w:kern w:val="28"/>
          <w:sz w:val="28"/>
        </w:rPr>
      </w:pPr>
      <w:r w:rsidRPr="007E5F67">
        <w:rPr>
          <w:noProof/>
          <w:kern w:val="28"/>
          <w:sz w:val="28"/>
        </w:rPr>
        <w:t xml:space="preserve">Green Turning Brown – Domain Engineering </w:t>
      </w:r>
      <w:r>
        <w:rPr>
          <w:noProof/>
          <w:kern w:val="28"/>
          <w:sz w:val="28"/>
        </w:rPr>
        <w:t>f</w:t>
      </w:r>
      <w:r w:rsidRPr="007E5F67">
        <w:rPr>
          <w:noProof/>
          <w:kern w:val="28"/>
          <w:sz w:val="28"/>
        </w:rPr>
        <w:t xml:space="preserve">or </w:t>
      </w:r>
      <w:r w:rsidR="00D10FA7">
        <w:rPr>
          <w:noProof/>
          <w:kern w:val="28"/>
          <w:sz w:val="28"/>
        </w:rPr>
        <w:t>Social and Health</w:t>
      </w:r>
      <w:r w:rsidRPr="007E5F67">
        <w:rPr>
          <w:noProof/>
          <w:kern w:val="28"/>
          <w:sz w:val="28"/>
        </w:rPr>
        <w:t xml:space="preserve"> Services </w:t>
      </w:r>
      <w:r>
        <w:rPr>
          <w:noProof/>
          <w:kern w:val="28"/>
          <w:sz w:val="28"/>
        </w:rPr>
        <w:t>i</w:t>
      </w:r>
      <w:r w:rsidRPr="007E5F67">
        <w:rPr>
          <w:noProof/>
          <w:kern w:val="28"/>
          <w:sz w:val="28"/>
        </w:rPr>
        <w:t>n Finland</w:t>
      </w:r>
    </w:p>
    <w:p w14:paraId="20FABB6C" w14:textId="4067AA8B" w:rsidR="00FF7BDC" w:rsidRPr="007E5F67" w:rsidRDefault="007E5F67" w:rsidP="00BB2665">
      <w:pPr>
        <w:pStyle w:val="2Authors"/>
        <w:rPr>
          <w:lang w:val="fi-FI"/>
        </w:rPr>
      </w:pPr>
      <w:r w:rsidRPr="007E5F67">
        <w:rPr>
          <w:lang w:val="fi-FI"/>
        </w:rPr>
        <w:t>Reima Suomi</w:t>
      </w:r>
      <w:r w:rsidR="001F49F3" w:rsidRPr="007E5F67">
        <w:rPr>
          <w:vertAlign w:val="superscript"/>
          <w:lang w:val="fi-FI"/>
        </w:rPr>
        <w:t>a</w:t>
      </w:r>
      <w:r w:rsidR="00BB2665" w:rsidRPr="007E5F67">
        <w:rPr>
          <w:lang w:val="fi-FI"/>
        </w:rPr>
        <w:t xml:space="preserve">, </w:t>
      </w:r>
      <w:r w:rsidRPr="007E5F67">
        <w:rPr>
          <w:lang w:val="fi-FI"/>
        </w:rPr>
        <w:t>Pirkko Nykänen</w:t>
      </w:r>
      <w:r>
        <w:rPr>
          <w:vertAlign w:val="superscript"/>
          <w:lang w:val="fi-FI"/>
        </w:rPr>
        <w:t>a,b</w:t>
      </w:r>
      <w:r w:rsidR="00BB2665" w:rsidRPr="007E5F67">
        <w:rPr>
          <w:lang w:val="fi-FI"/>
        </w:rPr>
        <w:t xml:space="preserve">, </w:t>
      </w:r>
      <w:r>
        <w:rPr>
          <w:lang w:val="fi-FI"/>
        </w:rPr>
        <w:t>Tapio Vepsäläinen</w:t>
      </w:r>
      <w:r w:rsidRPr="007E5F67">
        <w:rPr>
          <w:vertAlign w:val="superscript"/>
          <w:lang w:val="fi-FI"/>
        </w:rPr>
        <w:t>a</w:t>
      </w:r>
      <w:r w:rsidR="005D24CB" w:rsidRPr="007E5F67">
        <w:rPr>
          <w:lang w:val="fi-FI"/>
        </w:rPr>
        <w:t xml:space="preserve">, </w:t>
      </w:r>
      <w:r>
        <w:rPr>
          <w:vertAlign w:val="superscript"/>
          <w:lang w:val="fi-FI"/>
        </w:rPr>
        <w:t xml:space="preserve"> </w:t>
      </w:r>
      <w:r>
        <w:rPr>
          <w:lang w:val="fi-FI"/>
        </w:rPr>
        <w:t>Riina Hiltunen</w:t>
      </w:r>
      <w:r w:rsidRPr="007E5F67">
        <w:rPr>
          <w:vertAlign w:val="superscript"/>
          <w:lang w:val="fi-FI"/>
        </w:rPr>
        <w:t>a</w:t>
      </w:r>
    </w:p>
    <w:p w14:paraId="4DF4D5C1" w14:textId="6709444B" w:rsidR="00BB2665" w:rsidRDefault="00FF7BDC" w:rsidP="00BB2665">
      <w:pPr>
        <w:pStyle w:val="3Affiliations"/>
      </w:pPr>
      <w:r w:rsidRPr="00FB07AC">
        <w:rPr>
          <w:b/>
          <w:bCs/>
          <w:iCs/>
          <w:noProof/>
          <w:vertAlign w:val="superscript"/>
        </w:rPr>
        <w:t>a</w:t>
      </w:r>
      <w:r w:rsidR="002E3E86" w:rsidRPr="00FB07AC">
        <w:rPr>
          <w:b/>
          <w:bCs/>
          <w:iCs/>
          <w:noProof/>
          <w:vertAlign w:val="superscript"/>
        </w:rPr>
        <w:t xml:space="preserve"> </w:t>
      </w:r>
      <w:r w:rsidR="00BB2665">
        <w:t xml:space="preserve">Department of </w:t>
      </w:r>
      <w:r w:rsidR="007E5F67">
        <w:t>Management and Entrepreneurship, University of Turku, Finland</w:t>
      </w:r>
    </w:p>
    <w:p w14:paraId="44B93DCE" w14:textId="3FABBAE2" w:rsidR="00BB2665" w:rsidRPr="00FB07AC" w:rsidRDefault="00BB2665" w:rsidP="00BB2665">
      <w:pPr>
        <w:pStyle w:val="3Affiliations"/>
        <w:rPr>
          <w:noProof/>
        </w:rPr>
      </w:pPr>
      <w:r w:rsidRPr="00BB2665">
        <w:rPr>
          <w:b/>
          <w:bCs/>
          <w:iCs/>
          <w:noProof/>
          <w:vertAlign w:val="superscript"/>
        </w:rPr>
        <w:t xml:space="preserve"> </w:t>
      </w:r>
      <w:r w:rsidR="007E5F67">
        <w:rPr>
          <w:b/>
          <w:bCs/>
          <w:iCs/>
          <w:noProof/>
          <w:vertAlign w:val="superscript"/>
        </w:rPr>
        <w:t xml:space="preserve">b </w:t>
      </w:r>
      <w:r w:rsidR="007E5F67">
        <w:t>Faculty of Natural Sciences, University of Tampere, Finland</w:t>
      </w:r>
    </w:p>
    <w:p w14:paraId="1184E8DF" w14:textId="77777777" w:rsidR="00FF7BDC" w:rsidRPr="00FB07AC" w:rsidRDefault="00FF7BDC" w:rsidP="00BA534A">
      <w:pPr>
        <w:pStyle w:val="3Affiliations"/>
        <w:rPr>
          <w:noProof/>
        </w:rPr>
      </w:pPr>
    </w:p>
    <w:p w14:paraId="32E66F1B" w14:textId="77777777" w:rsidR="00392AFA" w:rsidRPr="00FB07AC" w:rsidRDefault="00392AFA" w:rsidP="005D5684">
      <w:pPr>
        <w:pStyle w:val="4HeaderSpacer"/>
      </w:pPr>
    </w:p>
    <w:p w14:paraId="4D412C36" w14:textId="77777777" w:rsidR="00392AFA" w:rsidRPr="00FB07AC" w:rsidRDefault="00392AFA">
      <w:pPr>
        <w:jc w:val="center"/>
        <w:rPr>
          <w:noProof/>
          <w:sz w:val="22"/>
        </w:rPr>
        <w:sectPr w:rsidR="00392AFA" w:rsidRPr="00FB07AC" w:rsidSect="007F64F2">
          <w:type w:val="continuous"/>
          <w:pgSz w:w="11907" w:h="16840" w:code="9"/>
          <w:pgMar w:top="562" w:right="567" w:bottom="562" w:left="567" w:header="0" w:footer="1440" w:gutter="0"/>
          <w:cols w:space="1152"/>
          <w:noEndnote/>
        </w:sectPr>
      </w:pPr>
    </w:p>
    <w:p w14:paraId="5849DF72" w14:textId="77777777" w:rsidR="00392AFA" w:rsidRPr="00C449B0" w:rsidRDefault="003C3DD9" w:rsidP="00C449B0">
      <w:pPr>
        <w:pStyle w:val="5AbstractHeader"/>
      </w:pPr>
      <w:r w:rsidRPr="00C449B0">
        <w:t>Abstract</w:t>
      </w:r>
    </w:p>
    <w:p w14:paraId="27A0155C" w14:textId="33FD6A4F" w:rsidR="00110C52" w:rsidRPr="000E4243" w:rsidRDefault="00110C52" w:rsidP="005D24CB">
      <w:pPr>
        <w:pStyle w:val="7KeywordHeader"/>
        <w:jc w:val="both"/>
        <w:rPr>
          <w:b w:val="0"/>
        </w:rPr>
      </w:pPr>
      <w:r w:rsidRPr="00110C52">
        <w:rPr>
          <w:b w:val="0"/>
        </w:rPr>
        <w:t>Being able to design information systems to an untouched domain, without the burden of existing information systems, especially legacy systems, is often seen as a dream of most information system professionals.  Uncharted domains are anyway scarce, and often such greenfield projects turn into brownfield projects, also to projects where existing structures severely constrain the development of new systems.  In this article we discuss the concepts of greenfield and brownfield domain engineering and software development, and reflect their possible messages to the re-engineering of the Finnish health- and social care ecosystem currently under way.</w:t>
      </w:r>
      <w:r>
        <w:rPr>
          <w:b w:val="0"/>
        </w:rPr>
        <w:t xml:space="preserve"> </w:t>
      </w:r>
      <w:r w:rsidR="000E4243">
        <w:rPr>
          <w:b w:val="0"/>
        </w:rPr>
        <w:t>In our fieldwork we could identify a lot of need and wish for greenfield domain engine</w:t>
      </w:r>
      <w:r w:rsidR="000D2667">
        <w:rPr>
          <w:b w:val="0"/>
        </w:rPr>
        <w:t>ering in the Finnish health- and</w:t>
      </w:r>
      <w:r w:rsidR="000E4243">
        <w:rPr>
          <w:b w:val="0"/>
        </w:rPr>
        <w:t xml:space="preserve"> social services delivery.  As well we found a lot of brownfield elements inhibiting change. Our proposal for the future is a ecosystem approach, where new and established elements could live together in a self-governed balance.</w:t>
      </w:r>
    </w:p>
    <w:p w14:paraId="220B052F" w14:textId="43603C18" w:rsidR="00E25618" w:rsidRDefault="00392AFA" w:rsidP="008F3AF0">
      <w:pPr>
        <w:pStyle w:val="7KeywordHeader"/>
      </w:pPr>
      <w:r w:rsidRPr="00FB07AC">
        <w:t>Keywords</w:t>
      </w:r>
      <w:r w:rsidR="00B25DA6" w:rsidRPr="00FB07AC">
        <w:t xml:space="preserve">: </w:t>
      </w:r>
    </w:p>
    <w:p w14:paraId="1BD2B0F8" w14:textId="3BE0A0E8" w:rsidR="00392AFA" w:rsidRPr="00E25618" w:rsidRDefault="007E5F67" w:rsidP="007938BB">
      <w:pPr>
        <w:pStyle w:val="8KeywordList"/>
      </w:pPr>
      <w:r>
        <w:t>Knowledge Management,</w:t>
      </w:r>
      <w:r w:rsidR="00110C52">
        <w:t xml:space="preserve"> Information Systems, Decision M</w:t>
      </w:r>
      <w:r>
        <w:t>aking</w:t>
      </w:r>
    </w:p>
    <w:p w14:paraId="7CDBEC36" w14:textId="77777777" w:rsidR="00392AFA" w:rsidRPr="00FB07AC" w:rsidRDefault="008F30A7" w:rsidP="0061081C">
      <w:pPr>
        <w:pStyle w:val="ALevelOneHeader"/>
      </w:pPr>
      <w:r>
        <w:t>Introduction</w:t>
      </w:r>
    </w:p>
    <w:p w14:paraId="2AE713AA" w14:textId="4DB6F137" w:rsidR="00110C52" w:rsidRPr="00110C52" w:rsidRDefault="00110C52" w:rsidP="00110C52">
      <w:pPr>
        <w:jc w:val="both"/>
      </w:pPr>
      <w:r w:rsidRPr="00110C52">
        <w:t xml:space="preserve">Health- and social care are under restructuring in many countries </w:t>
      </w:r>
      <w:r w:rsidRPr="00110C52">
        <w:fldChar w:fldCharType="begin"/>
      </w:r>
      <w:r w:rsidR="00866DFD">
        <w:instrText xml:space="preserve"> ADDIN EN.CITE &lt;EndNote&gt;&lt;Cite&gt;&lt;Author&gt;Ham&lt;/Author&gt;&lt;Year&gt;1997&lt;/Year&gt;&lt;RecNum&gt;14838&lt;/RecNum&gt;&lt;DisplayText&gt;[12]&lt;/DisplayText&gt;&lt;record&gt;&lt;rec-number&gt;14838&lt;/rec-number&gt;&lt;foreign-keys&gt;&lt;key app="EN" db-id="pwap2rxdjvpxdme5aryxtaxjz92wddvx5erd" timestamp="1481723177"&gt;14838&lt;/key&gt;&lt;/foreign-keys&gt;&lt;ref-type name="Journal Article"&gt;17&lt;/ref-type&gt;&lt;contributors&gt;&lt;authors&gt;&lt;author&gt;Ham, Chris&lt;/author&gt;&lt;/authors&gt;&lt;/contributors&gt;&lt;titles&gt;&lt;title&gt;Health care reform: learning from international experience&lt;/title&gt;&lt;secondary-title&gt;Nursing management&lt;/secondary-title&gt;&lt;/titles&gt;&lt;periodical&gt;&lt;full-title&gt;Nursing Management&lt;/full-title&gt;&lt;/periodical&gt;&lt;pages&gt;26-30&lt;/pages&gt;&lt;volume&gt;4&lt;/volume&gt;&lt;number&gt;6&lt;/number&gt;&lt;dates&gt;&lt;year&gt;1997&lt;/year&gt;&lt;/dates&gt;&lt;urls&gt;&lt;/urls&gt;&lt;/record&gt;&lt;/Cite&gt;&lt;/EndNote&gt;</w:instrText>
      </w:r>
      <w:r w:rsidRPr="00110C52">
        <w:fldChar w:fldCharType="separate"/>
      </w:r>
      <w:r w:rsidR="00866DFD">
        <w:rPr>
          <w:noProof/>
        </w:rPr>
        <w:t>[12]</w:t>
      </w:r>
      <w:r w:rsidRPr="00110C52">
        <w:fldChar w:fldCharType="end"/>
      </w:r>
      <w:r w:rsidRPr="00110C52">
        <w:t xml:space="preserve">, including well-known programs like Obamacare in the US </w:t>
      </w:r>
      <w:r w:rsidRPr="00110C52">
        <w:fldChar w:fldCharType="begin"/>
      </w:r>
      <w:r w:rsidR="00866DFD">
        <w:instrText xml:space="preserve"> ADDIN EN.CITE &lt;EndNote&gt;&lt;Cite&gt;&lt;Author&gt;Hall&lt;/Author&gt;&lt;Year&gt;2014&lt;/Year&gt;&lt;RecNum&gt;14832&lt;/RecNum&gt;&lt;DisplayText&gt;[11]&lt;/DisplayText&gt;&lt;record&gt;&lt;rec-number&gt;14832&lt;/rec-number&gt;&lt;foreign-keys&gt;&lt;key app="EN" db-id="pwap2rxdjvpxdme5aryxtaxjz92wddvx5erd" timestamp="1481722201"&gt;14832&lt;/key&gt;&lt;/foreign-keys&gt;&lt;ref-type name="Journal Article"&gt;17&lt;/ref-type&gt;&lt;contributors&gt;&lt;authors&gt;&lt;author&gt;Hall, Mark A&lt;/author&gt;&lt;author&gt;Lord, Richard&lt;/author&gt;&lt;/authors&gt;&lt;/contributors&gt;&lt;titles&gt;&lt;title&gt;Obamacare: what the Affordable Care Act means for patients and physicians&lt;/title&gt;&lt;secondary-title&gt;British Medical Journal&lt;/secondary-title&gt;&lt;/titles&gt;&lt;periodical&gt;&lt;full-title&gt;British Medical Journal&lt;/full-title&gt;&lt;/periodical&gt;&lt;pages&gt;5376-5376&lt;/pages&gt;&lt;volume&gt;349&lt;/volume&gt;&lt;number&gt;7&lt;/number&gt;&lt;dates&gt;&lt;year&gt;2014&lt;/year&gt;&lt;/dates&gt;&lt;urls&gt;&lt;/urls&gt;&lt;/record&gt;&lt;/Cite&gt;&lt;/EndNote&gt;</w:instrText>
      </w:r>
      <w:r w:rsidRPr="00110C52">
        <w:fldChar w:fldCharType="separate"/>
      </w:r>
      <w:r w:rsidR="00866DFD">
        <w:rPr>
          <w:noProof/>
        </w:rPr>
        <w:t>[11]</w:t>
      </w:r>
      <w:r w:rsidRPr="00110C52">
        <w:fldChar w:fldCharType="end"/>
      </w:r>
      <w:r w:rsidRPr="00110C52">
        <w:t xml:space="preserve"> and reform of National Health Service in UK </w:t>
      </w:r>
      <w:r w:rsidRPr="00110C52">
        <w:fldChar w:fldCharType="begin"/>
      </w:r>
      <w:r w:rsidR="00C52A60">
        <w:instrText xml:space="preserve"> ADDIN EN.CITE &lt;EndNote&gt;&lt;Cite&gt;&lt;Author&gt;Bate&lt;/Author&gt;&lt;Year&gt;2002&lt;/Year&gt;&lt;RecNum&gt;14833&lt;/RecNum&gt;&lt;DisplayText&gt;[2]&lt;/DisplayText&gt;&lt;record&gt;&lt;rec-number&gt;14833&lt;/rec-number&gt;&lt;foreign-keys&gt;&lt;key app="EN" db-id="pwap2rxdjvpxdme5aryxtaxjz92wddvx5erd" timestamp="1481722272"&gt;14833&lt;/key&gt;&lt;/foreign-keys&gt;&lt;ref-type name="Journal Article"&gt;17&lt;/ref-type&gt;&lt;contributors&gt;&lt;authors&gt;&lt;author&gt;Bate, S Paul&lt;/author&gt;&lt;author&gt;Robert, Glen&lt;/author&gt;&lt;/authors&gt;&lt;/contributors&gt;&lt;titles&gt;&lt;title&gt;Knowledge management and communities of practice in the private sector: lessons for modernizing the National Health Service in England and Wales&lt;/title&gt;&lt;secondary-title&gt;Public Administration&lt;/secondary-title&gt;&lt;/titles&gt;&lt;periodical&gt;&lt;full-title&gt;Public Administration&lt;/full-title&gt;&lt;/periodical&gt;&lt;pages&gt;643-663&lt;/pages&gt;&lt;volume&gt;80&lt;/volume&gt;&lt;number&gt;4&lt;/number&gt;&lt;dates&gt;&lt;year&gt;2002&lt;/year&gt;&lt;/dates&gt;&lt;isbn&gt;1467-9299&lt;/isbn&gt;&lt;urls&gt;&lt;/urls&gt;&lt;/record&gt;&lt;/Cite&gt;&lt;/EndNote&gt;</w:instrText>
      </w:r>
      <w:r w:rsidRPr="00110C52">
        <w:fldChar w:fldCharType="separate"/>
      </w:r>
      <w:r w:rsidR="00C52A60">
        <w:rPr>
          <w:noProof/>
        </w:rPr>
        <w:t>[2]</w:t>
      </w:r>
      <w:r w:rsidRPr="00110C52">
        <w:fldChar w:fldCharType="end"/>
      </w:r>
      <w:r w:rsidRPr="00110C52">
        <w:t xml:space="preserve"> and Sweden </w:t>
      </w:r>
      <w:r w:rsidRPr="00110C52">
        <w:fldChar w:fldCharType="begin"/>
      </w:r>
      <w:r w:rsidR="00866DFD">
        <w:instrText xml:space="preserve"> ADDIN EN.CITE &lt;EndNote&gt;&lt;Cite&gt;&lt;Author&gt;Hasselbladh&lt;/Author&gt;&lt;Year&gt;2016&lt;/Year&gt;&lt;RecNum&gt;14839&lt;/RecNum&gt;&lt;DisplayText&gt;[13]&lt;/DisplayText&gt;&lt;record&gt;&lt;rec-number&gt;14839&lt;/rec-number&gt;&lt;foreign-keys&gt;&lt;key app="EN" db-id="pwap2rxdjvpxdme5aryxtaxjz92wddvx5erd" timestamp="1481723208"&gt;14839&lt;/key&gt;&lt;/foreign-keys&gt;&lt;ref-type name="Journal Article"&gt;17&lt;/ref-type&gt;&lt;contributors&gt;&lt;authors&gt;&lt;author&gt;Hasselbladh, Hans&lt;/author&gt;&lt;author&gt;Bejerot, Eva&lt;/author&gt;&lt;/authors&gt;&lt;/contributors&gt;&lt;titles&gt;&lt;title&gt;Performative policy: the case of Swedish healthcare reforms&lt;/title&gt;&lt;secondary-title&gt;Critical Policy Studies&lt;/secondary-title&gt;&lt;/titles&gt;&lt;periodical&gt;&lt;full-title&gt;Critical Policy Studies&lt;/full-title&gt;&lt;/periodical&gt;&lt;pages&gt;1-20&lt;/pages&gt;&lt;dates&gt;&lt;year&gt;2016&lt;/year&gt;&lt;/dates&gt;&lt;isbn&gt;1946-0171&lt;/isbn&gt;&lt;urls&gt;&lt;/urls&gt;&lt;/record&gt;&lt;/Cite&gt;&lt;/EndNote&gt;</w:instrText>
      </w:r>
      <w:r w:rsidRPr="00110C52">
        <w:fldChar w:fldCharType="separate"/>
      </w:r>
      <w:r w:rsidR="00866DFD">
        <w:rPr>
          <w:noProof/>
        </w:rPr>
        <w:t>[13]</w:t>
      </w:r>
      <w:r w:rsidRPr="00110C52">
        <w:fldChar w:fldCharType="end"/>
      </w:r>
      <w:r w:rsidRPr="00110C52">
        <w:t>. In Finland, the renewal of health</w:t>
      </w:r>
      <w:r w:rsidR="00D10FA7">
        <w:t>-</w:t>
      </w:r>
      <w:r w:rsidRPr="00110C52">
        <w:t xml:space="preserve"> and social services (the Finnish SOTE-reform) is currently under way, and it will demand a lot of new governance structures, processes and supporting ICT-infrastructure to become a reality, the whole health</w:t>
      </w:r>
      <w:r w:rsidR="00D10FA7">
        <w:t>-</w:t>
      </w:r>
      <w:r w:rsidRPr="00110C52">
        <w:t xml:space="preserve"> and social care ecosystem will deeply reinvent itself in Finland.  This puts heavy pressures on many domains, including, and not to the least, information systems in the industry.  Whereas all would like to see this new ecosystem as a greenfield desi</w:t>
      </w:r>
      <w:r w:rsidR="00C52A60">
        <w:t>gn</w:t>
      </w:r>
      <w:r w:rsidRPr="00110C52">
        <w:t xml:space="preserve">, also a design without restrictions from the past, in reality we talk of a brownfield design: old structures must be taken into account, and they often inhibit the implementation of the best available solutions.  Greenfield and brownfield terminology is eagerly used in land usage planning </w:t>
      </w:r>
      <w:r w:rsidRPr="00110C52">
        <w:fldChar w:fldCharType="begin"/>
      </w:r>
      <w:r w:rsidR="00866DFD">
        <w:instrText xml:space="preserve"> ADDIN EN.CITE &lt;EndNote&gt;&lt;Cite&gt;&lt;Author&gt;Lange&lt;/Author&gt;&lt;Year&gt;2004&lt;/Year&gt;&lt;RecNum&gt;14835&lt;/RecNum&gt;&lt;DisplayText&gt;[10; 16]&lt;/DisplayText&gt;&lt;record&gt;&lt;rec-number&gt;14835&lt;/rec-number&gt;&lt;foreign-keys&gt;&lt;key app="EN" db-id="pwap2rxdjvpxdme5aryxtaxjz92wddvx5erd" timestamp="1481722795"&gt;14835&lt;/key&gt;&lt;/foreign-keys&gt;&lt;ref-type name="Journal Article"&gt;17&lt;/ref-type&gt;&lt;contributors&gt;&lt;authors&gt;&lt;author&gt;Lange, Deborah&lt;/author&gt;&lt;author&gt;McNeil, Sue&lt;/author&gt;&lt;/authors&gt;&lt;/contributors&gt;&lt;titles&gt;&lt;title&gt;Clean it and they will come? Defining successful brownfield development&lt;/title&gt;&lt;secondary-title&gt;Journal of urban planning and development&lt;/secondary-title&gt;&lt;/titles&gt;&lt;periodical&gt;&lt;full-title&gt;Journal of urban planning and development&lt;/full-title&gt;&lt;/periodical&gt;&lt;pages&gt;101-108&lt;/pages&gt;&lt;volume&gt;130&lt;/volume&gt;&lt;number&gt;2&lt;/number&gt;&lt;dates&gt;&lt;year&gt;2004&lt;/year&gt;&lt;/dates&gt;&lt;isbn&gt;0733-9488&lt;/isbn&gt;&lt;urls&gt;&lt;/urls&gt;&lt;/record&gt;&lt;/Cite&gt;&lt;Cite&gt;&lt;Author&gt;Ganser&lt;/Author&gt;&lt;Year&gt;2007&lt;/Year&gt;&lt;RecNum&gt;14836&lt;/RecNum&gt;&lt;record&gt;&lt;rec-number&gt;14836&lt;/rec-number&gt;&lt;foreign-keys&gt;&lt;key app="EN" db-id="pwap2rxdjvpxdme5aryxtaxjz92wddvx5erd" timestamp="1481722824"&gt;14836&lt;/key&gt;&lt;/foreign-keys&gt;&lt;ref-type name="Journal Article"&gt;17&lt;/ref-type&gt;&lt;contributors&gt;&lt;authors&gt;&lt;author&gt;Ganser, Robin&lt;/author&gt;&lt;author&gt;Williams, Katie&lt;/author&gt;&lt;/authors&gt;&lt;/contributors&gt;&lt;titles&gt;&lt;title&gt;Brownfield development: Are we using the right targets? Evidence from England and Germany&lt;/title&gt;&lt;secondary-title&gt;European Planning Studies&lt;/secondary-title&gt;&lt;/titles&gt;&lt;periodical&gt;&lt;full-title&gt;European Planning Studies&lt;/full-title&gt;&lt;/periodical&gt;&lt;pages&gt;603-622&lt;/pages&gt;&lt;volume&gt;15&lt;/volume&gt;&lt;number&gt;5&lt;/number&gt;&lt;dates&gt;&lt;year&gt;2007&lt;/year&gt;&lt;/dates&gt;&lt;isbn&gt;0965-4313&lt;/isbn&gt;&lt;urls&gt;&lt;/urls&gt;&lt;/record&gt;&lt;/Cite&gt;&lt;/EndNote&gt;</w:instrText>
      </w:r>
      <w:r w:rsidRPr="00110C52">
        <w:fldChar w:fldCharType="separate"/>
      </w:r>
      <w:r w:rsidR="00866DFD">
        <w:rPr>
          <w:noProof/>
        </w:rPr>
        <w:t>[10; 16]</w:t>
      </w:r>
      <w:r w:rsidRPr="00110C52">
        <w:fldChar w:fldCharType="end"/>
      </w:r>
      <w:r w:rsidRPr="00110C52">
        <w:t xml:space="preserve">, but the metaphors of greenfield and brownfield have also found their way to the field of organizational context </w:t>
      </w:r>
      <w:r w:rsidRPr="00110C52">
        <w:fldChar w:fldCharType="begin"/>
      </w:r>
      <w:r w:rsidR="00866DFD">
        <w:instrText xml:space="preserve"> ADDIN EN.CITE &lt;EndNote&gt;&lt;Cite&gt;&lt;Author&gt;Schein&lt;/Author&gt;&lt;Year&gt;1993&lt;/Year&gt;&lt;RecNum&gt;2612&lt;/RecNum&gt;&lt;DisplayText&gt;[8; 23]&lt;/DisplayText&gt;&lt;record&gt;&lt;rec-number&gt;2612&lt;/rec-number&gt;&lt;foreign-keys&gt;&lt;key app="EN" db-id="pwap2rxdjvpxdme5aryxtaxjz92wddvx5erd" timestamp="0"&gt;2612&lt;/key&gt;&lt;/foreign-keys&gt;&lt;ref-type name="Journal Article"&gt;17&lt;/ref-type&gt;&lt;contributors&gt;&lt;authors&gt;&lt;author&gt;Schein, Edgar H.&lt;/author&gt;&lt;/authors&gt;&lt;/contributors&gt;&lt;titles&gt;&lt;title&gt;How Can Organizations Learn Faster? The Challenge of Entering the Green Room&lt;/title&gt;&lt;secondary-title&gt;Sloan Management Review&lt;/secondary-title&gt;&lt;/titles&gt;&lt;periodical&gt;&lt;full-title&gt;Sloan Management Review&lt;/full-title&gt;&lt;/periodical&gt;&lt;pages&gt;85-92&lt;/pages&gt;&lt;volume&gt;34&lt;/volume&gt;&lt;number&gt;2&lt;/number&gt;&lt;dates&gt;&lt;year&gt;1993&lt;/year&gt;&lt;pub-dates&gt;&lt;date&gt;Winter&lt;/date&gt;&lt;/pub-dates&gt;&lt;/dates&gt;&lt;urls&gt;&lt;/urls&gt;&lt;/record&gt;&lt;/Cite&gt;&lt;Cite&gt;&lt;Author&gt;Emery&lt;/Author&gt;&lt;Year&gt;1980&lt;/Year&gt;&lt;RecNum&gt;14837&lt;/RecNum&gt;&lt;record&gt;&lt;rec-number&gt;14837&lt;/rec-number&gt;&lt;foreign-keys&gt;&lt;key app="EN" db-id="pwap2rxdjvpxdme5aryxtaxjz92wddvx5erd" timestamp="1481723009"&gt;14837&lt;/key&gt;&lt;/foreign-keys&gt;&lt;ref-type name="Journal Article"&gt;17&lt;/ref-type&gt;&lt;contributors&gt;&lt;authors&gt;&lt;author&gt;Emery, Fred E&lt;/author&gt;&lt;/authors&gt;&lt;/contributors&gt;&lt;titles&gt;&lt;title&gt;Designing socio-technical systems for &amp;apos;greenfield&amp;apos; sites&lt;/title&gt;&lt;secondary-title&gt;Journal of Occupational Behaviour&lt;/secondary-title&gt;&lt;/titles&gt;&lt;periodical&gt;&lt;full-title&gt;Journal of Occupational Behaviour&lt;/full-title&gt;&lt;/periodical&gt;&lt;pages&gt;19-27&lt;/pages&gt;&lt;volume&gt;1&lt;/volume&gt;&lt;number&gt;1&lt;/number&gt;&lt;dates&gt;&lt;year&gt;1980&lt;/year&gt;&lt;/dates&gt;&lt;urls&gt;&lt;/urls&gt;&lt;/record&gt;&lt;/Cite&gt;&lt;/EndNote&gt;</w:instrText>
      </w:r>
      <w:r w:rsidRPr="00110C52">
        <w:fldChar w:fldCharType="separate"/>
      </w:r>
      <w:r w:rsidR="00866DFD">
        <w:rPr>
          <w:noProof/>
        </w:rPr>
        <w:t>[8; 23]</w:t>
      </w:r>
      <w:r w:rsidRPr="00110C52">
        <w:fldChar w:fldCharType="end"/>
      </w:r>
      <w:r w:rsidRPr="00110C52">
        <w:t xml:space="preserve"> and information systems </w:t>
      </w:r>
      <w:r w:rsidRPr="00110C52">
        <w:fldChar w:fldCharType="begin"/>
      </w:r>
      <w:r w:rsidR="00866DFD">
        <w:instrText xml:space="preserve"> ADDIN EN.CITE &lt;EndNote&gt;&lt;Cite&gt;&lt;Author&gt;Rasmusson&lt;/Author&gt;&lt;Year&gt;2003&lt;/Year&gt;&lt;RecNum&gt;14830&lt;/RecNum&gt;&lt;DisplayText&gt;[22]&lt;/DisplayText&gt;&lt;record&gt;&lt;rec-number&gt;14830&lt;/rec-number&gt;&lt;foreign-keys&gt;&lt;key app="EN" db-id="pwap2rxdjvpxdme5aryxtaxjz92wddvx5erd" timestamp="1481720293"&gt;14830&lt;/key&gt;&lt;/foreign-keys&gt;&lt;ref-type name="Journal Article"&gt;17&lt;/ref-type&gt;&lt;contributors&gt;&lt;authors&gt;&lt;author&gt;Rasmusson, Jonathan&lt;/author&gt;&lt;/authors&gt;&lt;/contributors&gt;&lt;titles&gt;&lt;title&gt;Introducing XP into greenfield projects: lessons learned&lt;/title&gt;&lt;secondary-title&gt;IEEE Software&lt;/secondary-title&gt;&lt;/titles&gt;&lt;periodical&gt;&lt;full-title&gt;Ieee Software&lt;/full-title&gt;&lt;/periodical&gt;&lt;pages&gt;21&lt;/pages&gt;&lt;volume&gt;20&lt;/volume&gt;&lt;number&gt;3&lt;/number&gt;&lt;dates&gt;&lt;year&gt;2003&lt;/year&gt;&lt;/dates&gt;&lt;isbn&gt;0740-7459&lt;/isbn&gt;&lt;urls&gt;&lt;/urls&gt;&lt;/record&gt;&lt;/Cite&gt;&lt;/EndNote&gt;</w:instrText>
      </w:r>
      <w:r w:rsidRPr="00110C52">
        <w:fldChar w:fldCharType="separate"/>
      </w:r>
      <w:r w:rsidR="00866DFD">
        <w:rPr>
          <w:noProof/>
        </w:rPr>
        <w:t>[22]</w:t>
      </w:r>
      <w:r w:rsidRPr="00110C52">
        <w:fldChar w:fldCharType="end"/>
      </w:r>
      <w:r w:rsidRPr="00110C52">
        <w:t>.</w:t>
      </w:r>
    </w:p>
    <w:p w14:paraId="7DEA2DEE" w14:textId="77777777" w:rsidR="00110C52" w:rsidRPr="00110C52" w:rsidRDefault="00110C52" w:rsidP="00110C52">
      <w:pPr>
        <w:jc w:val="both"/>
      </w:pPr>
    </w:p>
    <w:p w14:paraId="1BF1071D" w14:textId="77777777" w:rsidR="00110C52" w:rsidRDefault="00110C52" w:rsidP="00110C52">
      <w:pPr>
        <w:jc w:val="both"/>
      </w:pPr>
      <w:r w:rsidRPr="00110C52">
        <w:t>In this article, we review based on academic literature what brownfield and greenfield development means in organizational and industry context, and what it specifically means in the design of information systems.  We look for insights that could be used when redesigning information systems in health- and social care domain.</w:t>
      </w:r>
    </w:p>
    <w:p w14:paraId="64F432E3" w14:textId="77777777" w:rsidR="00B07AA2" w:rsidRPr="00110C52" w:rsidRDefault="00B07AA2" w:rsidP="00110C52">
      <w:pPr>
        <w:jc w:val="both"/>
      </w:pPr>
    </w:p>
    <w:p w14:paraId="6CC2FCB9" w14:textId="4D0D54AA" w:rsidR="00110C52" w:rsidRPr="00110C52" w:rsidRDefault="00B07AA2" w:rsidP="00B07AA2">
      <w:pPr>
        <w:jc w:val="both"/>
      </w:pPr>
      <w:r>
        <w:t>Total</w:t>
      </w:r>
      <w:r w:rsidR="00110C52" w:rsidRPr="00110C52">
        <w:t xml:space="preserve"> rework of a large entity can be called domain engineering. Domain engineering is often seen as focusing on software.  Domain engineering concerns the work required to establish a set </w:t>
      </w:r>
      <w:r w:rsidR="00110C52" w:rsidRPr="00110C52">
        <w:t xml:space="preserve">of software artifacts that can be reused by the software engineer. The purpose of domain engineering is to identify, model, construct, catalog and disseminate a set of software artifacts that can be applied to existing and future software in a particular application domain </w:t>
      </w:r>
      <w:r w:rsidR="00110C52" w:rsidRPr="00110C52">
        <w:fldChar w:fldCharType="begin"/>
      </w:r>
      <w:r w:rsidR="00866DFD">
        <w:instrText xml:space="preserve"> ADDIN EN.CITE &lt;EndNote&gt;&lt;Cite&gt;&lt;Author&gt;Pressman&lt;/Author&gt;&lt;Year&gt;2000&lt;/Year&gt;&lt;RecNum&gt;14840&lt;/RecNum&gt;&lt;DisplayText&gt;[21]&lt;/DisplayText&gt;&lt;record&gt;&lt;rec-number&gt;14840&lt;/rec-number&gt;&lt;foreign-keys&gt;&lt;key app="EN" db-id="pwap2rxdjvpxdme5aryxtaxjz92wddvx5erd" timestamp="1481723974"&gt;14840&lt;/key&gt;&lt;/foreign-keys&gt;&lt;ref-type name="Book"&gt;6&lt;/ref-type&gt;&lt;contributors&gt;&lt;authors&gt;&lt;author&gt;Pressman, Roger S.&lt;/author&gt;&lt;/authors&gt;&lt;/contributors&gt;&lt;titles&gt;&lt;title&gt;Software engineering: a practitioner&amp;apos;s approach&lt;/title&gt;&lt;/titles&gt;&lt;dates&gt;&lt;year&gt;2000&lt;/year&gt;&lt;/dates&gt;&lt;pub-location&gt;New York&lt;/pub-location&gt;&lt;publisher&gt;McGraw-Hill&lt;/publisher&gt;&lt;urls&gt;&lt;/urls&gt;&lt;/record&gt;&lt;/Cite&gt;&lt;/EndNote&gt;</w:instrText>
      </w:r>
      <w:r w:rsidR="00110C52" w:rsidRPr="00110C52">
        <w:fldChar w:fldCharType="separate"/>
      </w:r>
      <w:r w:rsidR="00866DFD">
        <w:rPr>
          <w:noProof/>
        </w:rPr>
        <w:t>[21]</w:t>
      </w:r>
      <w:r w:rsidR="00110C52" w:rsidRPr="00110C52">
        <w:fldChar w:fldCharType="end"/>
      </w:r>
      <w:r w:rsidR="00110C52" w:rsidRPr="00110C52">
        <w:t xml:space="preserve">. There is anyway evidence that domain engineering is more than just software work: Domain engineering aims to support systematic reuse, focusing on modeling common knowledge in a problem domain </w:t>
      </w:r>
      <w:r w:rsidR="00110C52" w:rsidRPr="00110C52">
        <w:fldChar w:fldCharType="begin"/>
      </w:r>
      <w:r w:rsidR="00377661">
        <w:instrText xml:space="preserve"> ADDIN EN.CITE &lt;EndNote&gt;&lt;Cite&gt;&lt;Author&gt;Falbo&lt;/Author&gt;&lt;Year&gt;2002&lt;/Year&gt;&lt;RecNum&gt;14825&lt;/RecNum&gt;&lt;DisplayText&gt;[9]&lt;/DisplayText&gt;&lt;record&gt;&lt;rec-number&gt;14825&lt;/rec-number&gt;&lt;foreign-keys&gt;&lt;key app="EN" db-id="pwap2rxdjvpxdme5aryxtaxjz92wddvx5erd" timestamp="1481715819"&gt;14825&lt;/key&gt;&lt;/foreign-keys&gt;&lt;ref-type name="Conference Paper"&gt;47&lt;/ref-type&gt;&lt;contributors&gt;&lt;authors&gt;&lt;author&gt;Falbo, Ricardo de Almeida&lt;/author&gt;&lt;author&gt;Guizzardi, Giancarlo&lt;/author&gt;&lt;author&gt;Duarte, Katia Cristina&lt;/author&gt;&lt;/authors&gt;&lt;/contributors&gt;&lt;titles&gt;&lt;title&gt;An ontological approach to domain engineering&lt;/title&gt;&lt;secondary-title&gt;Proceedings of the 14th international conference on software engineering and knowledge engineering&lt;/secondary-title&gt;&lt;/titles&gt;&lt;pages&gt;351-358&lt;/pages&gt;&lt;dates&gt;&lt;year&gt;2002&lt;/year&gt;&lt;/dates&gt;&lt;publisher&gt;ACM&lt;/publisher&gt;&lt;isbn&gt;1581135564&lt;/isbn&gt;&lt;urls&gt;&lt;/urls&gt;&lt;/record&gt;&lt;/Cite&gt;&lt;/EndNote&gt;</w:instrText>
      </w:r>
      <w:r w:rsidR="00110C52" w:rsidRPr="00110C52">
        <w:fldChar w:fldCharType="separate"/>
      </w:r>
      <w:r w:rsidR="00866DFD">
        <w:rPr>
          <w:noProof/>
        </w:rPr>
        <w:t>[9]</w:t>
      </w:r>
      <w:r w:rsidR="00110C52" w:rsidRPr="00110C52">
        <w:fldChar w:fldCharType="end"/>
      </w:r>
      <w:r w:rsidR="00110C52" w:rsidRPr="00110C52">
        <w:t>.</w:t>
      </w:r>
    </w:p>
    <w:p w14:paraId="0F6640FE" w14:textId="77777777" w:rsidR="00110C52" w:rsidRPr="00110C52" w:rsidRDefault="00110C52" w:rsidP="00B07AA2">
      <w:pPr>
        <w:jc w:val="both"/>
      </w:pPr>
    </w:p>
    <w:p w14:paraId="60D80672" w14:textId="77777777" w:rsidR="00110C52" w:rsidRPr="00110C52" w:rsidRDefault="00110C52" w:rsidP="00B07AA2">
      <w:pPr>
        <w:jc w:val="both"/>
      </w:pPr>
      <w:r w:rsidRPr="00110C52">
        <w:t>The major alternatives for domain engineering are greenfield and brownfield engineering.</w:t>
      </w:r>
    </w:p>
    <w:p w14:paraId="5A7C29C4" w14:textId="77777777" w:rsidR="00110C52" w:rsidRPr="00110C52" w:rsidRDefault="00110C52" w:rsidP="00B07AA2">
      <w:pPr>
        <w:jc w:val="both"/>
      </w:pPr>
    </w:p>
    <w:p w14:paraId="685B22B0" w14:textId="3166CF83" w:rsidR="00110C52" w:rsidRPr="00110C52" w:rsidRDefault="00110C52" w:rsidP="00B07AA2">
      <w:pPr>
        <w:jc w:val="both"/>
      </w:pPr>
      <w:r w:rsidRPr="00110C52">
        <w:t xml:space="preserve">Most of the system </w:t>
      </w:r>
      <w:r w:rsidR="005D24CB">
        <w:t>and</w:t>
      </w:r>
      <w:r w:rsidRPr="00110C52">
        <w:t xml:space="preserve"> software requirements literature assume development of system from scratch i.e. Green Field Systems </w:t>
      </w:r>
      <w:r w:rsidRPr="00110C52">
        <w:fldChar w:fldCharType="begin"/>
      </w:r>
      <w:r w:rsidR="00866DFD">
        <w:instrText xml:space="preserve"> ADDIN EN.CITE &lt;EndNote&gt;&lt;Cite&gt;&lt;Author&gt;Masood&lt;/Author&gt;&lt;Year&gt;2014&lt;/Year&gt;&lt;RecNum&gt;14827&lt;/RecNum&gt;&lt;DisplayText&gt;[18]&lt;/DisplayText&gt;&lt;record&gt;&lt;rec-number&gt;14827&lt;/rec-number&gt;&lt;foreign-keys&gt;&lt;key app="EN" db-id="pwap2rxdjvpxdme5aryxtaxjz92wddvx5erd" timestamp="1481718991"&gt;14827&lt;/key&gt;&lt;/foreign-keys&gt;&lt;ref-type name="Journal Article"&gt;17&lt;/ref-type&gt;&lt;contributors&gt;&lt;authors&gt;&lt;author&gt;Masood, Abdullah&lt;/author&gt;&lt;author&gt;Ali, M Asim&lt;/author&gt;&lt;/authors&gt;&lt;/contributors&gt;&lt;titles&gt;&lt;title&gt;Applying Agile Requirements Engineering Approach for Re-engineering &amp;amp; Changes in existing Brownfield Adaptive Systems&lt;/title&gt;&lt;secondary-title&gt;arXiv preprint arXiv:1410.6902&lt;/secondary-title&gt;&lt;/titles&gt;&lt;periodical&gt;&lt;full-title&gt;arXiv preprint arXiv:1410.6902&lt;/full-title&gt;&lt;/periodical&gt;&lt;dates&gt;&lt;year&gt;2014&lt;/year&gt;&lt;/dates&gt;&lt;urls&gt;&lt;/urls&gt;&lt;/record&gt;&lt;/Cite&gt;&lt;/EndNote&gt;</w:instrText>
      </w:r>
      <w:r w:rsidRPr="00110C52">
        <w:fldChar w:fldCharType="separate"/>
      </w:r>
      <w:r w:rsidR="00866DFD">
        <w:rPr>
          <w:noProof/>
        </w:rPr>
        <w:t>[18]</w:t>
      </w:r>
      <w:r w:rsidRPr="00110C52">
        <w:fldChar w:fldCharType="end"/>
      </w:r>
      <w:r w:rsidRPr="00110C52">
        <w:t xml:space="preserve">. New product development or greenfield process (which does not include constraints for development work like brownfield process) has higher risks. Markets usually have dominant designs, which affect the customer behaviour. When a new product has been developed, there is a risk that the customers do not accept it. Investments to infrastructure of the </w:t>
      </w:r>
      <w:r w:rsidR="005D24CB">
        <w:t>organization</w:t>
      </w:r>
      <w:r w:rsidRPr="00110C52">
        <w:t xml:space="preserve"> and existing resources have an effect on the selection of whether to develop current products to higher level or to develop completely new product</w:t>
      </w:r>
      <w:r w:rsidR="005D24CB">
        <w:t>s</w:t>
      </w:r>
      <w:r w:rsidRPr="00110C52">
        <w:t xml:space="preserve"> </w:t>
      </w:r>
      <w:r w:rsidRPr="00110C52">
        <w:fldChar w:fldCharType="begin"/>
      </w:r>
      <w:r w:rsidR="00866DFD">
        <w:instrText xml:space="preserve"> ADDIN EN.CITE &lt;EndNote&gt;&lt;Cite&gt;&lt;Author&gt;Lehtonen&lt;/Author&gt;&lt;Year&gt;2011&lt;/Year&gt;&lt;RecNum&gt;14826&lt;/RecNum&gt;&lt;DisplayText&gt;[17]&lt;/DisplayText&gt;&lt;record&gt;&lt;rec-number&gt;14826&lt;/rec-number&gt;&lt;foreign-keys&gt;&lt;key app="EN" db-id="pwap2rxdjvpxdme5aryxtaxjz92wddvx5erd" timestamp="1481717371"&gt;14826&lt;/key&gt;&lt;/foreign-keys&gt;&lt;ref-type name="Conference Proceedings"&gt;10&lt;/ref-type&gt;&lt;contributors&gt;&lt;authors&gt;&lt;author&gt;Lehtonen, Timo&lt;/author&gt;&lt;author&gt;Pakkanen, Jarkko&lt;/author&gt;&lt;author&gt;Lanz, Minna&lt;/author&gt;&lt;author&gt;Järvenpää, Jukka&lt;/author&gt;&lt;author&gt;Tuokko, Reijo&lt;/author&gt;&lt;/authors&gt;&lt;/contributors&gt;&lt;titles&gt;&lt;title&gt;Brownfield Process for Developing of Product Families&lt;/title&gt;&lt;secondary-title&gt;DS 68-4: Proceedings of the 18th International Conference on Engineering Design (ICED 11), Impacting Society through Engineering Design, Vol. 4: Product and Systems Design, Lyngby/Copenhagen, Denmark, 15.-19.08. 2011&lt;/secondary-title&gt;&lt;/titles&gt;&lt;dates&gt;&lt;year&gt;2011&lt;/year&gt;&lt;/dates&gt;&lt;urls&gt;&lt;/urls&gt;&lt;/record&gt;&lt;/Cite&gt;&lt;/EndNote&gt;</w:instrText>
      </w:r>
      <w:r w:rsidRPr="00110C52">
        <w:fldChar w:fldCharType="separate"/>
      </w:r>
      <w:r w:rsidR="00866DFD">
        <w:rPr>
          <w:noProof/>
        </w:rPr>
        <w:t>[17]</w:t>
      </w:r>
      <w:r w:rsidRPr="00110C52">
        <w:fldChar w:fldCharType="end"/>
      </w:r>
      <w:r w:rsidRPr="00110C52">
        <w:t>.</w:t>
      </w:r>
    </w:p>
    <w:p w14:paraId="0B4E95A7" w14:textId="77777777" w:rsidR="00110C52" w:rsidRPr="00110C52" w:rsidRDefault="00110C52" w:rsidP="00B07AA2">
      <w:pPr>
        <w:jc w:val="both"/>
      </w:pPr>
    </w:p>
    <w:p w14:paraId="60CFE7BB" w14:textId="1DEAD029" w:rsidR="00110C52" w:rsidRPr="00110C52" w:rsidRDefault="00110C52" w:rsidP="00B07AA2">
      <w:pPr>
        <w:jc w:val="both"/>
      </w:pPr>
      <w:r w:rsidRPr="00110C52">
        <w:t xml:space="preserve">Lehtonen &amp; al </w:t>
      </w:r>
      <w:r w:rsidRPr="00110C52">
        <w:fldChar w:fldCharType="begin"/>
      </w:r>
      <w:r w:rsidR="00866DFD">
        <w:instrText xml:space="preserve"> ADDIN EN.CITE &lt;EndNote&gt;&lt;Cite ExcludeAuth="1"&gt;&lt;Author&gt;Lehtonen&lt;/Author&gt;&lt;Year&gt;2011&lt;/Year&gt;&lt;RecNum&gt;14826&lt;/RecNum&gt;&lt;DisplayText&gt;[17]&lt;/DisplayText&gt;&lt;record&gt;&lt;rec-number&gt;14826&lt;/rec-number&gt;&lt;foreign-keys&gt;&lt;key app="EN" db-id="pwap2rxdjvpxdme5aryxtaxjz92wddvx5erd" timestamp="1481717371"&gt;14826&lt;/key&gt;&lt;/foreign-keys&gt;&lt;ref-type name="Conference Proceedings"&gt;10&lt;/ref-type&gt;&lt;contributors&gt;&lt;authors&gt;&lt;author&gt;Lehtonen, Timo&lt;/author&gt;&lt;author&gt;Pakkanen, Jarkko&lt;/author&gt;&lt;author&gt;Lanz, Minna&lt;/author&gt;&lt;author&gt;Järvenpää, Jukka&lt;/author&gt;&lt;author&gt;Tuokko, Reijo&lt;/author&gt;&lt;/authors&gt;&lt;/contributors&gt;&lt;titles&gt;&lt;title&gt;Brownfield Process for Developing of Product Families&lt;/title&gt;&lt;secondary-title&gt;DS 68-4: Proceedings of the 18th International Conference on Engineering Design (ICED 11), Impacting Society through Engineering Design, Vol. 4: Product and Systems Design, Lyngby/Copenhagen, Denmark, 15.-19.08. 2011&lt;/secondary-title&gt;&lt;/titles&gt;&lt;dates&gt;&lt;year&gt;2011&lt;/year&gt;&lt;/dates&gt;&lt;urls&gt;&lt;/urls&gt;&lt;/record&gt;&lt;/Cite&gt;&lt;/EndNote&gt;</w:instrText>
      </w:r>
      <w:r w:rsidRPr="00110C52">
        <w:fldChar w:fldCharType="separate"/>
      </w:r>
      <w:r w:rsidR="00866DFD">
        <w:rPr>
          <w:noProof/>
        </w:rPr>
        <w:t>[17]</w:t>
      </w:r>
      <w:r w:rsidRPr="00110C52">
        <w:fldChar w:fldCharType="end"/>
      </w:r>
      <w:r w:rsidRPr="00110C52">
        <w:t xml:space="preserve"> define that the brownfield (process) stands for the re-using of available assets and it includes notions that there are limitations to designing and solutions because of existing structures. Old product solutions, product structures or customer requirements limit designing of new products. Because of this, the brownfield process is not the preferred solution from the designer point of view. Most </w:t>
      </w:r>
      <w:r w:rsidR="005D24CB">
        <w:t>o</w:t>
      </w:r>
      <w:r w:rsidRPr="00110C52">
        <w:t>rganizations in this era have existing large</w:t>
      </w:r>
      <w:r w:rsidR="005D24CB">
        <w:t>- or medium-</w:t>
      </w:r>
      <w:r w:rsidRPr="00110C52">
        <w:t>scale operational systems</w:t>
      </w:r>
      <w:r w:rsidR="00212868">
        <w:t>.</w:t>
      </w:r>
      <w:r w:rsidRPr="00110C52">
        <w:t xml:space="preserve"> </w:t>
      </w:r>
      <w:r w:rsidR="00212868">
        <w:t>With</w:t>
      </w:r>
      <w:r w:rsidRPr="00110C52">
        <w:t xml:space="preserve"> the evolvement of business </w:t>
      </w:r>
      <w:r w:rsidR="00212868">
        <w:t>new</w:t>
      </w:r>
      <w:r w:rsidRPr="00110C52">
        <w:t xml:space="preserve"> requirements arise for change in existing system</w:t>
      </w:r>
      <w:r w:rsidR="00212868">
        <w:t>s</w:t>
      </w:r>
      <w:r w:rsidRPr="00110C52">
        <w:t xml:space="preserve"> to meet evolving business demands </w:t>
      </w:r>
      <w:r w:rsidR="005D24CB">
        <w:t>and</w:t>
      </w:r>
      <w:r w:rsidRPr="00110C52">
        <w:t xml:space="preserve"> needs. In general, the challenges faced by industries are mainly the capture of requirements for changes </w:t>
      </w:r>
      <w:r w:rsidR="005D24CB">
        <w:t>and</w:t>
      </w:r>
      <w:r w:rsidRPr="00110C52">
        <w:t xml:space="preserve"> re-engineering in operational systems. </w:t>
      </w:r>
      <w:r w:rsidR="005D24CB" w:rsidRPr="005D24CB">
        <w:t>Unfortunately, there are very limited approaches defined for re-engineering &amp; changes in existing Brownfield operational systems because most of the system &amp; software requirements literature assume development of system from scratch i.e. Green Field Systems</w:t>
      </w:r>
      <w:r w:rsidRPr="00110C52">
        <w:t xml:space="preserve"> </w:t>
      </w:r>
      <w:r w:rsidRPr="00110C52">
        <w:fldChar w:fldCharType="begin"/>
      </w:r>
      <w:r w:rsidR="00866DFD">
        <w:instrText xml:space="preserve"> ADDIN EN.CITE &lt;EndNote&gt;&lt;Cite&gt;&lt;Author&gt;Masood&lt;/Author&gt;&lt;Year&gt;2014&lt;/Year&gt;&lt;RecNum&gt;14827&lt;/RecNum&gt;&lt;DisplayText&gt;[18]&lt;/DisplayText&gt;&lt;record&gt;&lt;rec-number&gt;14827&lt;/rec-number&gt;&lt;foreign-keys&gt;&lt;key app="EN" db-id="pwap2rxdjvpxdme5aryxtaxjz92wddvx5erd" timestamp="1481718991"&gt;14827&lt;/key&gt;&lt;/foreign-keys&gt;&lt;ref-type name="Journal Article"&gt;17&lt;/ref-type&gt;&lt;contributors&gt;&lt;authors&gt;&lt;author&gt;Masood, Abdullah&lt;/author&gt;&lt;author&gt;Ali, M Asim&lt;/author&gt;&lt;/authors&gt;&lt;/contributors&gt;&lt;titles&gt;&lt;title&gt;Applying Agile Requirements Engineering Approach for Re-engineering &amp;amp; Changes in existing Brownfield Adaptive Systems&lt;/title&gt;&lt;secondary-title&gt;arXiv preprint arXiv:1410.6902&lt;/secondary-title&gt;&lt;/titles&gt;&lt;periodical&gt;&lt;full-title&gt;arXiv preprint arXiv:1410.6902&lt;/full-title&gt;&lt;/periodical&gt;&lt;dates&gt;&lt;year&gt;2014&lt;/year&gt;&lt;/dates&gt;&lt;urls&gt;&lt;/urls&gt;&lt;/record&gt;&lt;/Cite&gt;&lt;/EndNote&gt;</w:instrText>
      </w:r>
      <w:r w:rsidRPr="00110C52">
        <w:fldChar w:fldCharType="separate"/>
      </w:r>
      <w:r w:rsidR="00866DFD">
        <w:rPr>
          <w:noProof/>
        </w:rPr>
        <w:t>[18]</w:t>
      </w:r>
      <w:r w:rsidRPr="00110C52">
        <w:fldChar w:fldCharType="end"/>
      </w:r>
      <w:r w:rsidR="005D24CB">
        <w:t>.</w:t>
      </w:r>
    </w:p>
    <w:p w14:paraId="22F9D663" w14:textId="77777777" w:rsidR="00110C52" w:rsidRPr="00110C52" w:rsidRDefault="00110C52" w:rsidP="00B07AA2">
      <w:pPr>
        <w:jc w:val="both"/>
      </w:pPr>
    </w:p>
    <w:p w14:paraId="65A26B8E" w14:textId="719FBE6F" w:rsidR="00110C52" w:rsidRPr="00110C52" w:rsidRDefault="00110C52" w:rsidP="00B07AA2">
      <w:pPr>
        <w:jc w:val="both"/>
      </w:pPr>
      <w:r w:rsidRPr="00110C52">
        <w:t xml:space="preserve">Infrastucture building is a key task in domain engineering: a domain engineering process should encompass at least three main activities: domain analysis, infrastructure specification and infrastructure implementation </w:t>
      </w:r>
      <w:r w:rsidRPr="00110C52">
        <w:fldChar w:fldCharType="begin"/>
      </w:r>
      <w:r w:rsidR="00377661">
        <w:instrText xml:space="preserve"> ADDIN EN.CITE &lt;EndNote&gt;&lt;Cite&gt;&lt;Author&gt;Arango&lt;/Author&gt;&lt;Year&gt;1989&lt;/Year&gt;&lt;RecNum&gt;14841&lt;/RecNum&gt;&lt;DisplayText&gt;[1]&lt;/DisplayText&gt;&lt;record&gt;&lt;rec-number&gt;14841&lt;/rec-number&gt;&lt;foreign-keys&gt;&lt;key app="EN" db-id="pwap2rxdjvpxdme5aryxtaxjz92wddvx5erd" timestamp="1481724326"&gt;14841&lt;/key&gt;&lt;/foreign-keys&gt;&lt;ref-type name="Conference Paper"&gt;47&lt;/ref-type&gt;&lt;contributors&gt;&lt;authors&gt;&lt;author&gt;Arango, G.&lt;/author&gt;&lt;/authors&gt;&lt;/contributors&gt;&lt;titles&gt;&lt;title&gt;Domain Analysis - From Art Form to Engineering Discipline&lt;/title&gt;&lt;secondary-title&gt;The 5th International Workshop on Software Specification and Design&lt;/secondary-title&gt;&lt;/titles&gt;&lt;pages&gt;152-159&lt;/pages&gt;&lt;dates&gt;&lt;year&gt;1989&lt;/year&gt;&lt;/dates&gt;&lt;pub-location&gt;Pittsburg&lt;/pub-location&gt;&lt;publisher&gt;ACM&lt;/publisher&gt;&lt;urls&gt;&lt;/urls&gt;&lt;/record&gt;&lt;/Cite&gt;&lt;/EndNote&gt;</w:instrText>
      </w:r>
      <w:r w:rsidRPr="00110C52">
        <w:fldChar w:fldCharType="separate"/>
      </w:r>
      <w:r w:rsidR="00C52A60">
        <w:rPr>
          <w:noProof/>
        </w:rPr>
        <w:t>[1]</w:t>
      </w:r>
      <w:r w:rsidRPr="00110C52">
        <w:fldChar w:fldCharType="end"/>
      </w:r>
      <w:r w:rsidRPr="00110C52">
        <w:t>.</w:t>
      </w:r>
    </w:p>
    <w:p w14:paraId="23050D64" w14:textId="77777777" w:rsidR="00110C52" w:rsidRPr="00110C52" w:rsidRDefault="00110C52" w:rsidP="00B07AA2">
      <w:pPr>
        <w:pStyle w:val="Default"/>
        <w:jc w:val="both"/>
        <w:rPr>
          <w:b/>
          <w:sz w:val="20"/>
          <w:szCs w:val="20"/>
          <w:lang w:val="en-US"/>
        </w:rPr>
      </w:pPr>
    </w:p>
    <w:p w14:paraId="13DF70E6" w14:textId="54406825" w:rsidR="00110C52" w:rsidRPr="00110C52" w:rsidRDefault="008D0FBC" w:rsidP="00B07AA2">
      <w:pPr>
        <w:pStyle w:val="Default"/>
        <w:jc w:val="both"/>
        <w:rPr>
          <w:sz w:val="20"/>
          <w:szCs w:val="20"/>
          <w:lang w:val="en-US"/>
        </w:rPr>
      </w:pPr>
      <w:r>
        <w:rPr>
          <w:sz w:val="20"/>
          <w:szCs w:val="20"/>
          <w:lang w:val="en-US"/>
        </w:rPr>
        <w:t>A common scenario of  b</w:t>
      </w:r>
      <w:r w:rsidR="00110C52" w:rsidRPr="00110C52">
        <w:rPr>
          <w:sz w:val="20"/>
          <w:szCs w:val="20"/>
          <w:lang w:val="en-US"/>
        </w:rPr>
        <w:t xml:space="preserve">rownfield system development can be a major upgrade in current operational system in terms of following requirements </w:t>
      </w:r>
      <w:r w:rsidR="00110C52" w:rsidRPr="00110C52">
        <w:rPr>
          <w:sz w:val="20"/>
          <w:szCs w:val="20"/>
          <w:lang w:val="en-US"/>
        </w:rPr>
        <w:fldChar w:fldCharType="begin"/>
      </w:r>
      <w:r w:rsidR="00866DFD">
        <w:rPr>
          <w:sz w:val="20"/>
          <w:szCs w:val="20"/>
          <w:lang w:val="en-US"/>
        </w:rPr>
        <w:instrText xml:space="preserve"> ADDIN EN.CITE &lt;EndNote&gt;&lt;Cite&gt;&lt;Author&gt;Masood&lt;/Author&gt;&lt;Year&gt;2014&lt;/Year&gt;&lt;RecNum&gt;14827&lt;/RecNum&gt;&lt;DisplayText&gt;[18]&lt;/DisplayText&gt;&lt;record&gt;&lt;rec-number&gt;14827&lt;/rec-number&gt;&lt;foreign-keys&gt;&lt;key app="EN" db-id="pwap2rxdjvpxdme5aryxtaxjz92wddvx5erd" timestamp="1481718991"&gt;14827&lt;/key&gt;&lt;/foreign-keys&gt;&lt;ref-type name="Journal Article"&gt;17&lt;/ref-type&gt;&lt;contributors&gt;&lt;authors&gt;&lt;author&gt;Masood, Abdullah&lt;/author&gt;&lt;author&gt;Ali, M Asim&lt;/author&gt;&lt;/authors&gt;&lt;/contributors&gt;&lt;titles&gt;&lt;title&gt;Applying Agile Requirements Engineering Approach for Re-engineering &amp;amp; Changes in existing Brownfield Adaptive Systems&lt;/title&gt;&lt;secondary-title&gt;arXiv preprint arXiv:1410.6902&lt;/secondary-title&gt;&lt;/titles&gt;&lt;periodical&gt;&lt;full-title&gt;arXiv preprint arXiv:1410.6902&lt;/full-title&gt;&lt;/periodical&gt;&lt;dates&gt;&lt;year&gt;2014&lt;/year&gt;&lt;/dates&gt;&lt;urls&gt;&lt;/urls&gt;&lt;/record&gt;&lt;/Cite&gt;&lt;/EndNote&gt;</w:instrText>
      </w:r>
      <w:r w:rsidR="00110C52" w:rsidRPr="00110C52">
        <w:rPr>
          <w:sz w:val="20"/>
          <w:szCs w:val="20"/>
          <w:lang w:val="en-US"/>
        </w:rPr>
        <w:fldChar w:fldCharType="separate"/>
      </w:r>
      <w:r w:rsidR="00866DFD">
        <w:rPr>
          <w:noProof/>
          <w:sz w:val="20"/>
          <w:szCs w:val="20"/>
          <w:lang w:val="en-US"/>
        </w:rPr>
        <w:t>[18]</w:t>
      </w:r>
      <w:r w:rsidR="00110C52" w:rsidRPr="00110C52">
        <w:rPr>
          <w:sz w:val="20"/>
          <w:szCs w:val="20"/>
          <w:lang w:val="en-US"/>
        </w:rPr>
        <w:fldChar w:fldCharType="end"/>
      </w:r>
      <w:r w:rsidR="00110C52" w:rsidRPr="00110C52">
        <w:rPr>
          <w:sz w:val="20"/>
          <w:szCs w:val="20"/>
          <w:lang w:val="en-US"/>
        </w:rPr>
        <w:t>:</w:t>
      </w:r>
    </w:p>
    <w:p w14:paraId="7DFAEA8A" w14:textId="77777777" w:rsidR="00110C52" w:rsidRPr="00110C52" w:rsidRDefault="00110C52" w:rsidP="00B07AA2">
      <w:pPr>
        <w:pStyle w:val="Default"/>
        <w:numPr>
          <w:ilvl w:val="0"/>
          <w:numId w:val="16"/>
        </w:numPr>
        <w:jc w:val="both"/>
        <w:rPr>
          <w:sz w:val="20"/>
          <w:szCs w:val="20"/>
          <w:lang w:val="en-US"/>
        </w:rPr>
      </w:pPr>
      <w:r w:rsidRPr="00110C52">
        <w:rPr>
          <w:sz w:val="20"/>
          <w:szCs w:val="20"/>
          <w:lang w:val="en-US"/>
        </w:rPr>
        <w:t xml:space="preserve">Incorporation of new business rules in existing system. </w:t>
      </w:r>
    </w:p>
    <w:p w14:paraId="1E0498CF" w14:textId="77777777" w:rsidR="00110C52" w:rsidRPr="00110C52" w:rsidRDefault="00110C52" w:rsidP="00B07AA2">
      <w:pPr>
        <w:pStyle w:val="Default"/>
        <w:numPr>
          <w:ilvl w:val="0"/>
          <w:numId w:val="16"/>
        </w:numPr>
        <w:jc w:val="both"/>
        <w:rPr>
          <w:sz w:val="20"/>
          <w:szCs w:val="20"/>
          <w:lang w:val="en-US"/>
        </w:rPr>
      </w:pPr>
      <w:r w:rsidRPr="00110C52">
        <w:rPr>
          <w:sz w:val="20"/>
          <w:szCs w:val="20"/>
          <w:lang w:val="en-US"/>
        </w:rPr>
        <w:t xml:space="preserve">Adding up new feature in existing system. </w:t>
      </w:r>
    </w:p>
    <w:p w14:paraId="31670D99" w14:textId="77777777" w:rsidR="00110C52" w:rsidRPr="00110C52" w:rsidRDefault="00110C52" w:rsidP="00B07AA2">
      <w:pPr>
        <w:pStyle w:val="Default"/>
        <w:numPr>
          <w:ilvl w:val="0"/>
          <w:numId w:val="16"/>
        </w:numPr>
        <w:jc w:val="both"/>
        <w:rPr>
          <w:sz w:val="20"/>
          <w:szCs w:val="20"/>
          <w:lang w:val="en-US"/>
        </w:rPr>
      </w:pPr>
      <w:r w:rsidRPr="00110C52">
        <w:rPr>
          <w:sz w:val="20"/>
          <w:szCs w:val="20"/>
          <w:lang w:val="en-US"/>
        </w:rPr>
        <w:t xml:space="preserve">Up-gradation of existing feature. </w:t>
      </w:r>
    </w:p>
    <w:p w14:paraId="59817C99" w14:textId="77777777" w:rsidR="00110C52" w:rsidRPr="00110C52" w:rsidRDefault="00110C52" w:rsidP="00B07AA2">
      <w:pPr>
        <w:pStyle w:val="Default"/>
        <w:numPr>
          <w:ilvl w:val="0"/>
          <w:numId w:val="16"/>
        </w:numPr>
        <w:jc w:val="both"/>
        <w:rPr>
          <w:sz w:val="20"/>
          <w:szCs w:val="20"/>
        </w:rPr>
      </w:pPr>
      <w:r w:rsidRPr="00110C52">
        <w:rPr>
          <w:sz w:val="20"/>
          <w:szCs w:val="20"/>
        </w:rPr>
        <w:t xml:space="preserve">Adoption of new technology. </w:t>
      </w:r>
    </w:p>
    <w:p w14:paraId="5795E780" w14:textId="77777777" w:rsidR="00110C52" w:rsidRPr="00110C52" w:rsidRDefault="00110C52" w:rsidP="00B07AA2">
      <w:pPr>
        <w:pStyle w:val="Default"/>
        <w:numPr>
          <w:ilvl w:val="0"/>
          <w:numId w:val="16"/>
        </w:numPr>
        <w:jc w:val="both"/>
        <w:rPr>
          <w:sz w:val="20"/>
          <w:szCs w:val="20"/>
          <w:lang w:val="en-US"/>
        </w:rPr>
      </w:pPr>
      <w:r w:rsidRPr="00110C52">
        <w:rPr>
          <w:sz w:val="20"/>
          <w:szCs w:val="20"/>
          <w:lang w:val="en-US"/>
        </w:rPr>
        <w:t xml:space="preserve">Legalization / Certification of product or specific feature. </w:t>
      </w:r>
    </w:p>
    <w:p w14:paraId="2CDF0540" w14:textId="77777777" w:rsidR="00110C52" w:rsidRPr="00110C52" w:rsidRDefault="00110C52" w:rsidP="00B07AA2">
      <w:pPr>
        <w:jc w:val="both"/>
        <w:rPr>
          <w:i/>
        </w:rPr>
      </w:pPr>
    </w:p>
    <w:p w14:paraId="02D9235F" w14:textId="77777777" w:rsidR="00110C52" w:rsidRPr="00110C52" w:rsidRDefault="00110C52" w:rsidP="00B07AA2">
      <w:pPr>
        <w:jc w:val="both"/>
      </w:pPr>
    </w:p>
    <w:p w14:paraId="1D97D4C4" w14:textId="66A0E162" w:rsidR="00110C52" w:rsidRPr="00110C52" w:rsidRDefault="00110C52" w:rsidP="00B07AA2">
      <w:pPr>
        <w:jc w:val="both"/>
      </w:pPr>
      <w:r w:rsidRPr="00110C52">
        <w:t>Today and increasingly in the future, most large software-intensive system (SIS) developments will be constrained by the need to provide continuity of service while migrating their services away from poorly structured and documented legacy software applications. Yet most SIS process models contain underlying assumptions that an application project starts from scratch in an unconstrained Greenfield</w:t>
      </w:r>
      <w:r w:rsidR="00D16D4C">
        <w:t xml:space="preserve"> approach</w:t>
      </w:r>
      <w:r w:rsidRPr="00110C52">
        <w:t xml:space="preserve"> </w:t>
      </w:r>
      <w:r w:rsidRPr="00110C52">
        <w:fldChar w:fldCharType="begin"/>
      </w:r>
      <w:r w:rsidR="00377661">
        <w:instrText xml:space="preserve"> ADDIN EN.CITE &lt;EndNote&gt;&lt;Cite&gt;&lt;Author&gt;Boehm&lt;/Author&gt;&lt;Year&gt;2009&lt;/Year&gt;&lt;RecNum&gt;14828&lt;/RecNum&gt;&lt;DisplayText&gt;[4]&lt;/DisplayText&gt;&lt;record&gt;&lt;rec-number&gt;14828&lt;/rec-number&gt;&lt;foreign-keys&gt;&lt;key app="EN" db-id="pwap2rxdjvpxdme5aryxtaxjz92wddvx5erd" timestamp="1481719363"&gt;14828&lt;/key&gt;&lt;/foreign-keys&gt;&lt;ref-type name="Conference Paper"&gt;47&lt;/ref-type&gt;&lt;contributors&gt;&lt;authors&gt;&lt;author&gt;Boehm, Barry&lt;/author&gt;&lt;/authors&gt;&lt;/contributors&gt;&lt;titles&gt;&lt;title&gt;Applying the Incremental Commitment Model to Brownfield Systems Development&lt;/title&gt;&lt;secondary-title&gt;7th Annual Conference on Systems Engineering Research&lt;/secondary-title&gt;&lt;/titles&gt;&lt;dates&gt;&lt;year&gt;2009&lt;/year&gt;&lt;pub-dates&gt;&lt;date&gt;20-13.4.2009&lt;/date&gt;&lt;/pub-dates&gt;&lt;/dates&gt;&lt;pub-location&gt;Loughborough&lt;/pub-location&gt;&lt;urls&gt;&lt;/urls&gt;&lt;/record&gt;&lt;/Cite&gt;&lt;/EndNote&gt;</w:instrText>
      </w:r>
      <w:r w:rsidRPr="00110C52">
        <w:fldChar w:fldCharType="separate"/>
      </w:r>
      <w:r w:rsidR="00866DFD">
        <w:rPr>
          <w:noProof/>
        </w:rPr>
        <w:t>[4]</w:t>
      </w:r>
      <w:r w:rsidRPr="00110C52">
        <w:fldChar w:fldCharType="end"/>
      </w:r>
      <w:r w:rsidRPr="00110C52">
        <w:t>.  We feel that this is a more than core description of health</w:t>
      </w:r>
      <w:r w:rsidR="00D10FA7">
        <w:t>-</w:t>
      </w:r>
      <w:r w:rsidRPr="00110C52">
        <w:t xml:space="preserve"> and social care projects in most countries – including Finland.</w:t>
      </w:r>
    </w:p>
    <w:p w14:paraId="74970FA4" w14:textId="4AB61F99" w:rsidR="00CD6464" w:rsidRPr="00CD6464" w:rsidRDefault="00CD6464" w:rsidP="00CD6464">
      <w:pPr>
        <w:pStyle w:val="DBodyText"/>
      </w:pPr>
    </w:p>
    <w:p w14:paraId="00B525B6" w14:textId="739F7642" w:rsidR="00B07AA2" w:rsidRPr="00B07AA2" w:rsidRDefault="00B07AA2" w:rsidP="00B07AA2">
      <w:pPr>
        <w:jc w:val="both"/>
      </w:pPr>
      <w:r w:rsidRPr="00B07AA2">
        <w:t>A health</w:t>
      </w:r>
      <w:r w:rsidR="00D10FA7">
        <w:t>-</w:t>
      </w:r>
      <w:r w:rsidRPr="00B07AA2">
        <w:t xml:space="preserve"> and social care system reform has been on the agenda of several Finnish </w:t>
      </w:r>
      <w:r w:rsidR="005F0901">
        <w:t>governments. Prime M</w:t>
      </w:r>
      <w:r w:rsidRPr="00B07AA2">
        <w:t>inister Sipilä´s current government has a plan to put the new health</w:t>
      </w:r>
      <w:r w:rsidR="00D10FA7">
        <w:t>-</w:t>
      </w:r>
      <w:r w:rsidRPr="00B07AA2">
        <w:t xml:space="preserve"> and social care system into operation by 2019. One of the mai</w:t>
      </w:r>
      <w:r w:rsidR="00D10FA7">
        <w:t>n targets of the ongoing health</w:t>
      </w:r>
      <w:r w:rsidRPr="00B07AA2">
        <w:t>ca</w:t>
      </w:r>
      <w:r w:rsidR="008D0FBC">
        <w:t>re system reform is to reorganiz</w:t>
      </w:r>
      <w:r w:rsidRPr="00B07AA2">
        <w:t xml:space="preserve">e service providers into larger units </w:t>
      </w:r>
      <w:r w:rsidR="00F4316A">
        <w:t>called</w:t>
      </w:r>
      <w:r w:rsidRPr="00B07AA2">
        <w:t xml:space="preserve"> health</w:t>
      </w:r>
      <w:r w:rsidR="00D10FA7">
        <w:t>-</w:t>
      </w:r>
      <w:r w:rsidRPr="00B07AA2">
        <w:t xml:space="preserve"> and social care provider regions. The aim is a full horizontal and vertical integration of health</w:t>
      </w:r>
      <w:r w:rsidR="00D10FA7">
        <w:t>-</w:t>
      </w:r>
      <w:r w:rsidRPr="00B07AA2">
        <w:t xml:space="preserve"> and social care and the primary and secondary levels of services. </w:t>
      </w:r>
      <w:r w:rsidRPr="00B07AA2">
        <w:fldChar w:fldCharType="begin"/>
      </w:r>
      <w:r w:rsidR="00377661">
        <w:instrText xml:space="preserve"> ADDIN EN.CITE &lt;EndNote&gt;&lt;Cite&gt;&lt;Author&gt;Hyppönen&lt;/Author&gt;&lt;Year&gt;2015&lt;/Year&gt;&lt;RecNum&gt;14831&lt;/RecNum&gt;&lt;DisplayText&gt;[14]&lt;/DisplayText&gt;&lt;record&gt;&lt;rec-number&gt;14831&lt;/rec-number&gt;&lt;foreign-keys&gt;&lt;key app="EN" db-id="pwap2rxdjvpxdme5aryxtaxjz92wddvx5erd" timestamp="1481721532"&gt;14831&lt;/key&gt;&lt;/foreign-keys&gt;&lt;ref-type name="Edited Book"&gt;28&lt;/ref-type&gt;&lt;contributors&gt;&lt;authors&gt;&lt;author&gt;Hyppönen, Hannele&lt;/author&gt;&lt;author&gt;Hämäläinen, Päivi&lt;/author&gt;&lt;author&gt;Reponen, Jarmo&lt;/author&gt;&lt;/authors&gt;&lt;/contributors&gt;&lt;titles&gt;&lt;title&gt;E-health and e-welfare of Finland - Check point 2015&lt;/title&gt;&lt;/titles&gt;&lt;num-vols&gt;18 / 2015&lt;/num-vols&gt;&lt;dates&gt;&lt;year&gt;2015&lt;/year&gt;&lt;/dates&gt;&lt;pub-location&gt;Helsinki&lt;/pub-location&gt;&lt;publisher&gt;National Institute of Health and Welfare&lt;/publisher&gt;&lt;isbn&gt;9523025627&lt;/isbn&gt;&lt;urls&gt;&lt;/urls&gt;&lt;/record&gt;&lt;/Cite&gt;&lt;/EndNote&gt;</w:instrText>
      </w:r>
      <w:r w:rsidRPr="00B07AA2">
        <w:fldChar w:fldCharType="separate"/>
      </w:r>
      <w:r w:rsidR="00866DFD">
        <w:rPr>
          <w:noProof/>
        </w:rPr>
        <w:t>[14]</w:t>
      </w:r>
      <w:r w:rsidRPr="00B07AA2">
        <w:fldChar w:fldCharType="end"/>
      </w:r>
    </w:p>
    <w:p w14:paraId="4074783B" w14:textId="77777777" w:rsidR="00B07AA2" w:rsidRPr="00B07AA2" w:rsidRDefault="00B07AA2" w:rsidP="00B07AA2">
      <w:pPr>
        <w:jc w:val="both"/>
      </w:pPr>
    </w:p>
    <w:p w14:paraId="4F35435B" w14:textId="03A44862" w:rsidR="00B07AA2" w:rsidRDefault="00B07AA2" w:rsidP="00B07AA2">
      <w:pPr>
        <w:jc w:val="both"/>
      </w:pPr>
      <w:r w:rsidRPr="00B07AA2">
        <w:t>New key actors in the new ecosystem will be regions, that will order health</w:t>
      </w:r>
      <w:r w:rsidR="00D10FA7">
        <w:t>-</w:t>
      </w:r>
      <w:r w:rsidRPr="00B07AA2">
        <w:t xml:space="preserve"> and social care services from the markets, where public, private and third sector service providers compete in </w:t>
      </w:r>
      <w:r w:rsidR="00F4316A">
        <w:t xml:space="preserve">as much as possible </w:t>
      </w:r>
      <w:r w:rsidRPr="00B07AA2">
        <w:t>equal terms.  These new regions are yet inexistent, and so are their information systems.  The</w:t>
      </w:r>
      <w:r w:rsidR="008D0FBC">
        <w:t>y need</w:t>
      </w:r>
      <w:r w:rsidRPr="00B07AA2">
        <w:t xml:space="preserve"> totally new ICT infrastructure</w:t>
      </w:r>
      <w:r w:rsidR="008D0FBC">
        <w:t xml:space="preserve"> related and built on current available one</w:t>
      </w:r>
      <w:r w:rsidRPr="00B07AA2">
        <w:t xml:space="preserve">, but especially systems to manage contracts with service providers, and systems to foresee and plan for service demands, so that they can purchase the right amount and quality of services from the markets.   Similar systems are rather unseen in the Finnish context at least, we do not speak of ordinary procurement systems </w:t>
      </w:r>
      <w:r w:rsidRPr="00B07AA2">
        <w:fldChar w:fldCharType="begin"/>
      </w:r>
      <w:r w:rsidR="00866DFD">
        <w:instrText xml:space="preserve"> ADDIN EN.CITE &lt;EndNote&gt;&lt;Cite&gt;&lt;Author&gt;Chang&lt;/Author&gt;&lt;Year&gt;2010&lt;/Year&gt;&lt;RecNum&gt;14842&lt;/RecNum&gt;&lt;DisplayText&gt;[6]&lt;/DisplayText&gt;&lt;record&gt;&lt;rec-number&gt;14842&lt;/rec-number&gt;&lt;foreign-keys&gt;&lt;key app="EN" db-id="pwap2rxdjvpxdme5aryxtaxjz92wddvx5erd" timestamp="1481724991"&gt;14842&lt;/key&gt;&lt;/foreign-keys&gt;&lt;ref-type name="Conference Paper"&gt;47&lt;/ref-type&gt;&lt;contributors&gt;&lt;authors&gt;&lt;author&gt;Chang, C&lt;/author&gt;&lt;/authors&gt;&lt;/contributors&gt;&lt;titles&gt;&lt;title&gt;An Empirical Investigation of Procurement System Selection: A Transaction Cost Explanation&lt;/title&gt;&lt;secondary-title&gt;IEEE International Conference on Engineering Management and Service Sciences (EMS 2010)&lt;/secondary-title&gt;&lt;/titles&gt;&lt;dates&gt;&lt;year&gt;2010&lt;/year&gt;&lt;pub-dates&gt;&lt;date&gt;20-22.9.2010&lt;/date&gt;&lt;/pub-dates&gt;&lt;/dates&gt;&lt;pub-location&gt;Beijing, China&lt;/pub-location&gt;&lt;urls&gt;&lt;/urls&gt;&lt;/record&gt;&lt;/Cite&gt;&lt;/EndNote&gt;</w:instrText>
      </w:r>
      <w:r w:rsidRPr="00B07AA2">
        <w:fldChar w:fldCharType="separate"/>
      </w:r>
      <w:r w:rsidR="00866DFD">
        <w:rPr>
          <w:noProof/>
        </w:rPr>
        <w:t>[6]</w:t>
      </w:r>
      <w:r w:rsidRPr="00B07AA2">
        <w:fldChar w:fldCharType="end"/>
      </w:r>
      <w:r w:rsidRPr="00B07AA2">
        <w:t xml:space="preserve">. One of the domains where public authorities have most experience of purchasing services might be logistics </w:t>
      </w:r>
      <w:r w:rsidRPr="00B07AA2">
        <w:fldChar w:fldCharType="begin"/>
      </w:r>
      <w:r w:rsidR="00866DFD">
        <w:instrText xml:space="preserve"> ADDIN EN.CITE &lt;EndNote&gt;&lt;Cite&gt;&lt;Author&gt;Krawczyk&lt;/Author&gt;&lt;Year&gt;2016&lt;/Year&gt;&lt;RecNum&gt;14844&lt;/RecNum&gt;&lt;DisplayText&gt;[5; 15]&lt;/DisplayText&gt;&lt;record&gt;&lt;rec-number&gt;14844&lt;/rec-number&gt;&lt;foreign-keys&gt;&lt;key app="EN" db-id="pwap2rxdjvpxdme5aryxtaxjz92wddvx5erd" timestamp="1481725103"&gt;14844&lt;/key&gt;&lt;/foreign-keys&gt;&lt;ref-type name="Book Section"&gt;5&lt;/ref-type&gt;&lt;contributors&gt;&lt;authors&gt;&lt;author&gt;Krawczyk, Grzegorz&lt;/author&gt;&lt;/authors&gt;&lt;/contributors&gt;&lt;titles&gt;&lt;title&gt;The Impact of Public Procurement System on Concentration of the Rail Freight Market in Poland&lt;/title&gt;&lt;secondary-title&gt;Transport Development Challenges in the Twenty-First Century&lt;/secondary-title&gt;&lt;/titles&gt;&lt;pages&gt;31-38&lt;/pages&gt;&lt;dates&gt;&lt;year&gt;2016&lt;/year&gt;&lt;/dates&gt;&lt;publisher&gt;Springer&lt;/publisher&gt;&lt;urls&gt;&lt;/urls&gt;&lt;/record&gt;&lt;/Cite&gt;&lt;Cite&gt;&lt;Author&gt;Borowik&lt;/Author&gt;&lt;Year&gt;2016&lt;/Year&gt;&lt;RecNum&gt;14845&lt;/RecNum&gt;&lt;record&gt;&lt;rec-number&gt;14845&lt;/rec-number&gt;&lt;foreign-keys&gt;&lt;key app="EN" db-id="pwap2rxdjvpxdme5aryxtaxjz92wddvx5erd" timestamp="1481725160"&gt;14845&lt;/key&gt;&lt;/foreign-keys&gt;&lt;ref-type name="Journal Article"&gt;17&lt;/ref-type&gt;&lt;contributors&gt;&lt;authors&gt;&lt;author&gt;Borowik, Lech&lt;/author&gt;&lt;author&gt;Cywiński, Artur&lt;/author&gt;&lt;/authors&gt;&lt;/contributors&gt;&lt;titles&gt;&lt;title&gt;Modernization of a trolleybus line system in Tychy as an example of eco-efficient initiative towards a sustainable transport system&lt;/title&gt;&lt;secondary-title&gt;Journal of Cleaner Production&lt;/secondary-title&gt;&lt;/titles&gt;&lt;periodical&gt;&lt;full-title&gt;Journal of Cleaner Production&lt;/full-title&gt;&lt;/periodical&gt;&lt;pages&gt;188-198&lt;/pages&gt;&lt;volume&gt;117&lt;/volume&gt;&lt;dates&gt;&lt;year&gt;2016&lt;/year&gt;&lt;/dates&gt;&lt;isbn&gt;0959-6526&lt;/isbn&gt;&lt;urls&gt;&lt;/urls&gt;&lt;/record&gt;&lt;/Cite&gt;&lt;/EndNote&gt;</w:instrText>
      </w:r>
      <w:r w:rsidRPr="00B07AA2">
        <w:fldChar w:fldCharType="separate"/>
      </w:r>
      <w:r w:rsidR="00866DFD">
        <w:rPr>
          <w:noProof/>
        </w:rPr>
        <w:t>[5; 15]</w:t>
      </w:r>
      <w:r w:rsidRPr="00B07AA2">
        <w:fldChar w:fldCharType="end"/>
      </w:r>
      <w:r w:rsidRPr="00B07AA2">
        <w:t>.</w:t>
      </w:r>
    </w:p>
    <w:p w14:paraId="44F35CEB" w14:textId="77777777" w:rsidR="00D16D4C" w:rsidRDefault="00D16D4C" w:rsidP="00B07AA2">
      <w:pPr>
        <w:jc w:val="both"/>
      </w:pPr>
    </w:p>
    <w:p w14:paraId="4965C9C8" w14:textId="77777777" w:rsidR="00B07AA2" w:rsidRPr="00B07AA2" w:rsidRDefault="00B07AA2" w:rsidP="00B07AA2">
      <w:pPr>
        <w:jc w:val="both"/>
      </w:pPr>
    </w:p>
    <w:p w14:paraId="60FAE1AF" w14:textId="77777777" w:rsidR="00B07AA2" w:rsidRPr="00B07AA2" w:rsidRDefault="00B07AA2" w:rsidP="00B07AA2">
      <w:pPr>
        <w:jc w:val="both"/>
      </w:pPr>
    </w:p>
    <w:p w14:paraId="0409C3B9" w14:textId="77777777" w:rsidR="00B07AA2" w:rsidRPr="00B07AA2" w:rsidRDefault="00B07AA2" w:rsidP="00B07AA2">
      <w:pPr>
        <w:jc w:val="both"/>
        <w:rPr>
          <w:b/>
        </w:rPr>
      </w:pPr>
      <w:r w:rsidRPr="00B07AA2">
        <w:rPr>
          <w:b/>
        </w:rPr>
        <w:t>Messages from Brown/Greenfield development to health- and social care work</w:t>
      </w:r>
    </w:p>
    <w:p w14:paraId="05A644A9" w14:textId="77777777" w:rsidR="00B07AA2" w:rsidRPr="00B07AA2" w:rsidRDefault="00B07AA2" w:rsidP="00B07AA2">
      <w:pPr>
        <w:jc w:val="both"/>
        <w:rPr>
          <w:b/>
        </w:rPr>
      </w:pPr>
    </w:p>
    <w:p w14:paraId="56A4C090" w14:textId="1AFD54A0" w:rsidR="00B07AA2" w:rsidRDefault="00F4316A" w:rsidP="00B07AA2">
      <w:pPr>
        <w:jc w:val="both"/>
      </w:pPr>
      <w:r>
        <w:t>The</w:t>
      </w:r>
      <w:r w:rsidR="00B07AA2" w:rsidRPr="00B07AA2">
        <w:t xml:space="preserve"> problem area of brownfield system development seems to be rather sparsely understood in health</w:t>
      </w:r>
      <w:r w:rsidR="00D10FA7">
        <w:t>-</w:t>
      </w:r>
      <w:r w:rsidR="00B07AA2" w:rsidRPr="00B07AA2">
        <w:t xml:space="preserve"> and social care information systems field.  Much more understanding should be gained on how existing structures inhibit the implementation of</w:t>
      </w:r>
      <w:r w:rsidR="00D10FA7">
        <w:t xml:space="preserve"> best new practices.  In health</w:t>
      </w:r>
      <w:r w:rsidR="00B07AA2" w:rsidRPr="00B07AA2">
        <w:t>care, especially the ponderous patient records systems are a core element, to which all new systems must adjust.  As well different other systems, such as different coding systems and terminologies inhibit change. On top of everything else, the industry is heavily regulated.</w:t>
      </w:r>
    </w:p>
    <w:p w14:paraId="7A73E794" w14:textId="77777777" w:rsidR="000925CB" w:rsidRPr="00B07AA2" w:rsidRDefault="000925CB" w:rsidP="00B07AA2">
      <w:pPr>
        <w:jc w:val="both"/>
      </w:pPr>
    </w:p>
    <w:p w14:paraId="097C44DC" w14:textId="77777777" w:rsidR="00B07AA2" w:rsidRDefault="00B07AA2" w:rsidP="00B07AA2">
      <w:pPr>
        <w:jc w:val="both"/>
      </w:pPr>
      <w:r w:rsidRPr="00B07AA2">
        <w:t>As said, domain engineering is about modelling common knowledge in a domain. Knowledge in the area of medicine especially is extremely extensive, and there is very little room for greenfield engineering or modelling.  Yet new ecosystem functions might necessitate a fresh view on knowledge too.</w:t>
      </w:r>
    </w:p>
    <w:p w14:paraId="2E016E5F" w14:textId="77777777" w:rsidR="005237CD" w:rsidRDefault="005237CD" w:rsidP="00B07AA2">
      <w:pPr>
        <w:jc w:val="both"/>
      </w:pPr>
    </w:p>
    <w:p w14:paraId="34299CCE" w14:textId="77777777" w:rsidR="005237CD" w:rsidRPr="00B07AA2" w:rsidRDefault="005237CD" w:rsidP="005237CD">
      <w:pPr>
        <w:jc w:val="both"/>
      </w:pPr>
      <w:r>
        <w:t xml:space="preserve">As a reprieve to the problems IS projects meet with brownfield elements Boehm </w:t>
      </w:r>
      <w:r>
        <w:fldChar w:fldCharType="begin"/>
      </w:r>
      <w:r>
        <w:instrText xml:space="preserve"> ADDIN EN.CITE &lt;EndNote&gt;&lt;Cite&gt;&lt;Author&gt;Boehm&lt;/Author&gt;&lt;Year&gt;2009&lt;/Year&gt;&lt;RecNum&gt;14828&lt;/RecNum&gt;&lt;DisplayText&gt;[4]&lt;/DisplayText&gt;&lt;record&gt;&lt;rec-number&gt;14828&lt;/rec-number&gt;&lt;foreign-keys&gt;&lt;key app="EN" db-id="pwap2rxdjvpxdme5aryxtaxjz92wddvx5erd" timestamp="1481719363"&gt;14828&lt;/key&gt;&lt;/foreign-keys&gt;&lt;ref-type name="Conference Paper"&gt;47&lt;/ref-type&gt;&lt;contributors&gt;&lt;authors&gt;&lt;author&gt;Boehm, Barry&lt;/author&gt;&lt;/authors&gt;&lt;/contributors&gt;&lt;titles&gt;&lt;title&gt;Applying the Incremental Commitment Model to Brownfield Systems Development&lt;/title&gt;&lt;secondary-title&gt;7th Annual Conference on Systems Engineering Research&lt;/secondary-title&gt;&lt;/titles&gt;&lt;dates&gt;&lt;year&gt;2009&lt;/year&gt;&lt;pub-dates&gt;&lt;date&gt;20-13.4.2009&lt;/date&gt;&lt;/pub-dates&gt;&lt;/dates&gt;&lt;pub-location&gt;Loughborough&lt;/pub-location&gt;&lt;urls&gt;&lt;/urls&gt;&lt;/record&gt;&lt;/Cite&gt;&lt;/EndNote&gt;</w:instrText>
      </w:r>
      <w:r>
        <w:fldChar w:fldCharType="separate"/>
      </w:r>
      <w:r>
        <w:rPr>
          <w:noProof/>
        </w:rPr>
        <w:t>[4]</w:t>
      </w:r>
      <w:r>
        <w:fldChar w:fldCharType="end"/>
      </w:r>
      <w:r>
        <w:t xml:space="preserve"> proposes incremental commitment building.  All decisions concerning the new systems are not done at once, and they are not done by just one party. In order to rapidly and successfully adapt to increasing rates of change, projects need to be able to concurrently rather than sequentially assess and manage opportunities and risks; requirements, solutions, plans, and business cases; and hardware, software and human factors </w:t>
      </w:r>
      <w:r>
        <w:fldChar w:fldCharType="begin"/>
      </w:r>
      <w:r>
        <w:instrText xml:space="preserve"> ADDIN EN.CITE &lt;EndNote&gt;&lt;Cite&gt;&lt;Author&gt;Boehm&lt;/Author&gt;&lt;Year&gt;2009&lt;/Year&gt;&lt;RecNum&gt;14828&lt;/RecNum&gt;&lt;DisplayText&gt;[4]&lt;/DisplayText&gt;&lt;record&gt;&lt;rec-number&gt;14828&lt;/rec-number&gt;&lt;foreign-keys&gt;&lt;key app="EN" db-id="pwap2rxdjvpxdme5aryxtaxjz92wddvx5erd" timestamp="1481719363"&gt;14828&lt;/key&gt;&lt;/foreign-keys&gt;&lt;ref-type name="Conference Paper"&gt;47&lt;/ref-type&gt;&lt;contributors&gt;&lt;authors&gt;&lt;author&gt;Boehm, Barry&lt;/author&gt;&lt;/authors&gt;&lt;/contributors&gt;&lt;titles&gt;&lt;title&gt;Applying the Incremental Commitment Model to Brownfield Systems Development&lt;/title&gt;&lt;secondary-title&gt;7th Annual Conference on Systems Engineering Research&lt;/secondary-title&gt;&lt;/titles&gt;&lt;dates&gt;&lt;year&gt;2009&lt;/year&gt;&lt;pub-dates&gt;&lt;date&gt;20-13.4.2009&lt;/date&gt;&lt;/pub-dates&gt;&lt;/dates&gt;&lt;pub-location&gt;Loughborough&lt;/pub-location&gt;&lt;urls&gt;&lt;/urls&gt;&lt;/record&gt;&lt;/Cite&gt;&lt;/EndNote&gt;</w:instrText>
      </w:r>
      <w:r>
        <w:fldChar w:fldCharType="separate"/>
      </w:r>
      <w:r>
        <w:rPr>
          <w:noProof/>
        </w:rPr>
        <w:t>[4]</w:t>
      </w:r>
      <w:r>
        <w:fldChar w:fldCharType="end"/>
      </w:r>
      <w:r>
        <w:t xml:space="preserve">. This kind of approach is clearly needed and to a </w:t>
      </w:r>
      <w:r>
        <w:t>great extend also visible in the Finnish renewal of health- and social care.</w:t>
      </w:r>
    </w:p>
    <w:p w14:paraId="07F3EF22" w14:textId="77777777" w:rsidR="005237CD" w:rsidRDefault="005237CD" w:rsidP="00B07AA2">
      <w:pPr>
        <w:jc w:val="both"/>
      </w:pPr>
    </w:p>
    <w:p w14:paraId="7A2C94B5" w14:textId="3AFB2002" w:rsidR="005237CD" w:rsidRPr="005237CD" w:rsidRDefault="005237CD" w:rsidP="005237CD">
      <w:pPr>
        <w:overflowPunct/>
        <w:jc w:val="both"/>
        <w:textAlignment w:val="auto"/>
        <w:rPr>
          <w:rFonts w:ascii="Sabon-Roman" w:hAnsi="Sabon-Roman" w:cs="Sabon-Roman"/>
          <w:color w:val="000000"/>
          <w:sz w:val="19"/>
          <w:szCs w:val="19"/>
          <w:lang w:eastAsia="en-US"/>
        </w:rPr>
      </w:pPr>
      <w:r>
        <w:t xml:space="preserve">Brownfield development means that there are established structures, experts and solid knowledge of the domain area already available.  Carefully listening to experts and taking their ideas into attention and production is a key success factor for brownfield projects.  It is important to remember that customers and ordinary staff members are often the best experts in details, even when they are not always able to structure the total picture. </w:t>
      </w:r>
      <w:r>
        <w:rPr>
          <w:rFonts w:ascii="Sabon-Roman" w:hAnsi="Sabon-Roman" w:cs="Sabon-Roman"/>
          <w:color w:val="000000"/>
          <w:sz w:val="19"/>
          <w:szCs w:val="19"/>
          <w:lang w:eastAsia="en-US"/>
        </w:rPr>
        <w:t>Brownfield domain engineering success chance</w:t>
      </w:r>
      <w:r w:rsidRPr="005237CD">
        <w:rPr>
          <w:rFonts w:ascii="Sabon-Roman" w:hAnsi="Sabon-Roman" w:cs="Sabon-Roman"/>
          <w:color w:val="000000"/>
          <w:sz w:val="19"/>
          <w:szCs w:val="19"/>
          <w:lang w:eastAsia="en-US"/>
        </w:rPr>
        <w:t xml:space="preserve"> is greatly enhanced</w:t>
      </w:r>
      <w:r>
        <w:rPr>
          <w:rFonts w:ascii="Sabon-Roman" w:hAnsi="Sabon-Roman" w:cs="Sabon-Roman"/>
          <w:color w:val="000000"/>
          <w:sz w:val="19"/>
          <w:szCs w:val="19"/>
          <w:lang w:eastAsia="en-US"/>
        </w:rPr>
        <w:t xml:space="preserve"> </w:t>
      </w:r>
      <w:r w:rsidRPr="005237CD">
        <w:rPr>
          <w:rFonts w:ascii="Sabon-Roman" w:hAnsi="Sabon-Roman" w:cs="Sabon-Roman"/>
          <w:color w:val="000000"/>
          <w:sz w:val="19"/>
          <w:szCs w:val="19"/>
          <w:lang w:eastAsia="en-US"/>
        </w:rPr>
        <w:t>if the people working together are effective</w:t>
      </w:r>
      <w:r>
        <w:rPr>
          <w:rFonts w:ascii="Sabon-Roman" w:hAnsi="Sabon-Roman" w:cs="Sabon-Roman"/>
          <w:color w:val="000000"/>
          <w:sz w:val="19"/>
          <w:szCs w:val="19"/>
          <w:lang w:eastAsia="en-US"/>
        </w:rPr>
        <w:t xml:space="preserve"> </w:t>
      </w:r>
      <w:r w:rsidRPr="005237CD">
        <w:rPr>
          <w:rFonts w:ascii="Sabon-Roman" w:hAnsi="Sabon-Roman" w:cs="Sabon-Roman"/>
          <w:color w:val="000000"/>
          <w:sz w:val="19"/>
          <w:szCs w:val="19"/>
          <w:lang w:eastAsia="en-US"/>
        </w:rPr>
        <w:t>communicators, like working in teams,</w:t>
      </w:r>
      <w:r>
        <w:rPr>
          <w:rFonts w:ascii="Sabon-Roman" w:hAnsi="Sabon-Roman" w:cs="Sabon-Roman"/>
          <w:color w:val="000000"/>
          <w:sz w:val="19"/>
          <w:szCs w:val="19"/>
          <w:lang w:eastAsia="en-US"/>
        </w:rPr>
        <w:t xml:space="preserve"> </w:t>
      </w:r>
      <w:r w:rsidRPr="005237CD">
        <w:rPr>
          <w:rFonts w:ascii="Sabon-Roman" w:hAnsi="Sabon-Roman" w:cs="Sabon-Roman"/>
          <w:color w:val="000000"/>
          <w:sz w:val="19"/>
          <w:szCs w:val="19"/>
          <w:lang w:eastAsia="en-US"/>
        </w:rPr>
        <w:t xml:space="preserve">are </w:t>
      </w:r>
      <w:r>
        <w:rPr>
          <w:rFonts w:ascii="Sabon-Roman" w:hAnsi="Sabon-Roman" w:cs="Sabon-Roman"/>
          <w:color w:val="000000"/>
          <w:sz w:val="19"/>
          <w:szCs w:val="19"/>
          <w:lang w:eastAsia="en-US"/>
        </w:rPr>
        <w:t xml:space="preserve">humble, and enjoy learning from </w:t>
      </w:r>
      <w:r w:rsidRPr="005237CD">
        <w:rPr>
          <w:rFonts w:ascii="Sabon-Roman" w:hAnsi="Sabon-Roman" w:cs="Sabon-Roman"/>
          <w:color w:val="000000"/>
          <w:sz w:val="19"/>
          <w:szCs w:val="19"/>
          <w:lang w:eastAsia="en-US"/>
        </w:rPr>
        <w:t>others. A</w:t>
      </w:r>
      <w:r>
        <w:rPr>
          <w:rFonts w:ascii="Sabon-Roman" w:hAnsi="Sabon-Roman" w:cs="Sabon-Roman"/>
          <w:color w:val="000000"/>
          <w:sz w:val="19"/>
          <w:szCs w:val="19"/>
          <w:lang w:eastAsia="en-US"/>
        </w:rPr>
        <w:t xml:space="preserve">ll of this is important to help </w:t>
      </w:r>
      <w:r w:rsidRPr="005237CD">
        <w:rPr>
          <w:rFonts w:ascii="Sabon-Roman" w:hAnsi="Sabon-Roman" w:cs="Sabon-Roman"/>
          <w:color w:val="000000"/>
          <w:sz w:val="19"/>
          <w:szCs w:val="19"/>
          <w:lang w:eastAsia="en-US"/>
        </w:rPr>
        <w:t>create a “no blame” cultu</w:t>
      </w:r>
      <w:r>
        <w:rPr>
          <w:rFonts w:ascii="Sabon-Roman" w:hAnsi="Sabon-Roman" w:cs="Sabon-Roman"/>
          <w:color w:val="000000"/>
          <w:sz w:val="19"/>
          <w:szCs w:val="19"/>
          <w:lang w:eastAsia="en-US"/>
        </w:rPr>
        <w:t xml:space="preserve">re, where people </w:t>
      </w:r>
      <w:r w:rsidRPr="005237CD">
        <w:rPr>
          <w:rFonts w:ascii="Sabon-Roman" w:hAnsi="Sabon-Roman" w:cs="Sabon-Roman"/>
          <w:color w:val="000000"/>
          <w:sz w:val="19"/>
          <w:szCs w:val="19"/>
          <w:lang w:eastAsia="en-US"/>
        </w:rPr>
        <w:t>aren’</w:t>
      </w:r>
      <w:r>
        <w:rPr>
          <w:rFonts w:ascii="Sabon-Roman" w:hAnsi="Sabon-Roman" w:cs="Sabon-Roman"/>
          <w:color w:val="000000"/>
          <w:sz w:val="19"/>
          <w:szCs w:val="19"/>
          <w:lang w:eastAsia="en-US"/>
        </w:rPr>
        <w:t xml:space="preserve">t afraid to help one another </w:t>
      </w:r>
      <w:r w:rsidRPr="005237CD">
        <w:rPr>
          <w:rFonts w:ascii="Sabon-Roman" w:hAnsi="Sabon-Roman" w:cs="Sabon-Roman"/>
          <w:color w:val="000000"/>
          <w:sz w:val="19"/>
          <w:szCs w:val="19"/>
          <w:lang w:eastAsia="en-US"/>
        </w:rPr>
        <w:t>and d</w:t>
      </w:r>
      <w:r>
        <w:rPr>
          <w:rFonts w:ascii="Sabon-Roman" w:hAnsi="Sabon-Roman" w:cs="Sabon-Roman"/>
          <w:color w:val="000000"/>
          <w:sz w:val="19"/>
          <w:szCs w:val="19"/>
          <w:lang w:eastAsia="en-US"/>
        </w:rPr>
        <w:t xml:space="preserve">o what is right for the project </w:t>
      </w:r>
      <w:r>
        <w:rPr>
          <w:rFonts w:ascii="Sabon-Roman" w:hAnsi="Sabon-Roman" w:cs="Sabon-Roman"/>
          <w:color w:val="000000"/>
          <w:sz w:val="19"/>
          <w:szCs w:val="19"/>
          <w:lang w:eastAsia="en-US"/>
        </w:rPr>
        <w:fldChar w:fldCharType="begin"/>
      </w:r>
      <w:r>
        <w:rPr>
          <w:rFonts w:ascii="Sabon-Roman" w:hAnsi="Sabon-Roman" w:cs="Sabon-Roman"/>
          <w:color w:val="000000"/>
          <w:sz w:val="19"/>
          <w:szCs w:val="19"/>
          <w:lang w:eastAsia="en-US"/>
        </w:rPr>
        <w:instrText xml:space="preserve"> ADDIN EN.CITE &lt;EndNote&gt;&lt;Cite&gt;&lt;Author&gt;Rasmusson&lt;/Author&gt;&lt;Year&gt;2003&lt;/Year&gt;&lt;RecNum&gt;14830&lt;/RecNum&gt;&lt;DisplayText&gt;[22]&lt;/DisplayText&gt;&lt;record&gt;&lt;rec-number&gt;14830&lt;/rec-number&gt;&lt;foreign-keys&gt;&lt;key app="EN" db-id="pwap2rxdjvpxdme5aryxtaxjz92wddvx5erd" timestamp="1481720293"&gt;14830&lt;/key&gt;&lt;/foreign-keys&gt;&lt;ref-type name="Journal Article"&gt;17&lt;/ref-type&gt;&lt;contributors&gt;&lt;authors&gt;&lt;author&gt;Rasmusson, Jonathan&lt;/author&gt;&lt;/authors&gt;&lt;/contributors&gt;&lt;titles&gt;&lt;title&gt;Introducing XP into greenfield projects: lessons learned&lt;/title&gt;&lt;secondary-title&gt;IEEE Software&lt;/secondary-title&gt;&lt;/titles&gt;&lt;periodical&gt;&lt;full-title&gt;Ieee Software&lt;/full-title&gt;&lt;/periodical&gt;&lt;pages&gt;21&lt;/pages&gt;&lt;volume&gt;20&lt;/volume&gt;&lt;number&gt;3&lt;/number&gt;&lt;dates&gt;&lt;year&gt;2003&lt;/year&gt;&lt;/dates&gt;&lt;isbn&gt;0740-7459&lt;/isbn&gt;&lt;urls&gt;&lt;/urls&gt;&lt;/record&gt;&lt;/Cite&gt;&lt;/EndNote&gt;</w:instrText>
      </w:r>
      <w:r>
        <w:rPr>
          <w:rFonts w:ascii="Sabon-Roman" w:hAnsi="Sabon-Roman" w:cs="Sabon-Roman"/>
          <w:color w:val="000000"/>
          <w:sz w:val="19"/>
          <w:szCs w:val="19"/>
          <w:lang w:eastAsia="en-US"/>
        </w:rPr>
        <w:fldChar w:fldCharType="separate"/>
      </w:r>
      <w:r>
        <w:rPr>
          <w:rFonts w:ascii="Sabon-Roman" w:hAnsi="Sabon-Roman" w:cs="Sabon-Roman"/>
          <w:noProof/>
          <w:color w:val="000000"/>
          <w:sz w:val="19"/>
          <w:szCs w:val="19"/>
          <w:lang w:eastAsia="en-US"/>
        </w:rPr>
        <w:t>[22]</w:t>
      </w:r>
      <w:r>
        <w:rPr>
          <w:rFonts w:ascii="Sabon-Roman" w:hAnsi="Sabon-Roman" w:cs="Sabon-Roman"/>
          <w:color w:val="000000"/>
          <w:sz w:val="19"/>
          <w:szCs w:val="19"/>
          <w:lang w:eastAsia="en-US"/>
        </w:rPr>
        <w:fldChar w:fldCharType="end"/>
      </w:r>
      <w:r>
        <w:rPr>
          <w:rFonts w:ascii="Sabon-Roman" w:hAnsi="Sabon-Roman" w:cs="Sabon-Roman"/>
          <w:color w:val="000000"/>
          <w:sz w:val="19"/>
          <w:szCs w:val="19"/>
          <w:lang w:eastAsia="en-US"/>
        </w:rPr>
        <w:t>.</w:t>
      </w:r>
    </w:p>
    <w:p w14:paraId="7F6A58A7" w14:textId="77777777" w:rsidR="00B07AA2" w:rsidRPr="00B07AA2" w:rsidRDefault="00B07AA2" w:rsidP="00B07AA2">
      <w:pPr>
        <w:jc w:val="both"/>
      </w:pPr>
    </w:p>
    <w:p w14:paraId="2DD7E95E" w14:textId="1B4115B0" w:rsidR="00B07AA2" w:rsidRDefault="00B07AA2" w:rsidP="00B07AA2">
      <w:pPr>
        <w:jc w:val="both"/>
      </w:pPr>
      <w:r w:rsidRPr="00B07AA2">
        <w:t>Infrastructure development is a key action in domain engineering.  Again, infrastructure in health</w:t>
      </w:r>
      <w:r w:rsidR="00D10FA7">
        <w:t>-</w:t>
      </w:r>
      <w:r w:rsidRPr="00B07AA2">
        <w:t xml:space="preserve"> and social care might in many cases not be the most sophisticated one, but it is usually deeply rooted and difficult to change.  Different standards of healthcare message exchange are at the core of infrastructure development in health</w:t>
      </w:r>
      <w:r w:rsidR="00D10FA7">
        <w:t>-</w:t>
      </w:r>
      <w:r w:rsidRPr="00B07AA2">
        <w:t xml:space="preserve"> and social services </w:t>
      </w:r>
      <w:r w:rsidRPr="00B07AA2">
        <w:fldChar w:fldCharType="begin"/>
      </w:r>
      <w:r w:rsidR="00377661">
        <w:instrText xml:space="preserve"> ADDIN EN.CITE &lt;EndNote&gt;&lt;Cite&gt;&lt;Author&gt;Mead&lt;/Author&gt;&lt;Year&gt;2006&lt;/Year&gt;&lt;RecNum&gt;14846&lt;/RecNum&gt;&lt;DisplayText&gt;[19]&lt;/DisplayText&gt;&lt;record&gt;&lt;rec-number&gt;14846&lt;/rec-number&gt;&lt;foreign-keys&gt;&lt;key app="EN" db-id="pwap2rxdjvpxdme5aryxtaxjz92wddvx5erd" timestamp="1481725816"&gt;14846&lt;/key&gt;&lt;/foreign-keys&gt;&lt;ref-type name="Journal Article"&gt;17&lt;/ref-type&gt;&lt;contributors&gt;&lt;authors&gt;&lt;author&gt;Mead, Charles N&lt;/author&gt;&lt;/authors&gt;&lt;/contributors&gt;&lt;titles&gt;&lt;title&gt;Data interchange standards in healthcare it-computable semantic interoperability: Now possible but still difficult. Do we really need a better mousetrap?&lt;/title&gt;&lt;secondary-title&gt;Journal of Healthcare Information Management&lt;/secondary-title&gt;&lt;/titles&gt;&lt;periodical&gt;&lt;full-title&gt;Journal of Healthcare Information Management&lt;/full-title&gt;&lt;/periodical&gt;&lt;pages&gt;71&lt;/pages&gt;&lt;volume&gt;20&lt;/volume&gt;&lt;number&gt;1&lt;/number&gt;&lt;dates&gt;&lt;year&gt;2006&lt;/year&gt;&lt;/dates&gt;&lt;isbn&gt;1099-811X&lt;/isbn&gt;&lt;urls&gt;&lt;/urls&gt;&lt;/record&gt;&lt;/Cite&gt;&lt;/EndNote&gt;</w:instrText>
      </w:r>
      <w:r w:rsidRPr="00B07AA2">
        <w:fldChar w:fldCharType="separate"/>
      </w:r>
      <w:r w:rsidR="00866DFD">
        <w:rPr>
          <w:noProof/>
        </w:rPr>
        <w:t>[19]</w:t>
      </w:r>
      <w:r w:rsidRPr="00B07AA2">
        <w:fldChar w:fldCharType="end"/>
      </w:r>
      <w:r w:rsidRPr="00B07AA2">
        <w:t>.</w:t>
      </w:r>
    </w:p>
    <w:p w14:paraId="319602D8" w14:textId="77777777" w:rsidR="0099792F" w:rsidRDefault="0099792F" w:rsidP="00B07AA2">
      <w:pPr>
        <w:jc w:val="both"/>
      </w:pPr>
    </w:p>
    <w:p w14:paraId="62F7E1D2" w14:textId="0FDAC28A" w:rsidR="0099792F" w:rsidRDefault="0099792F" w:rsidP="00B07AA2">
      <w:pPr>
        <w:jc w:val="both"/>
      </w:pPr>
      <w:r>
        <w:t>Table 1 summarizes our main findings from the literature on brown/greenfield engineering.</w:t>
      </w:r>
    </w:p>
    <w:p w14:paraId="1BA9CCBA" w14:textId="77777777" w:rsidR="0099792F" w:rsidRDefault="0099792F" w:rsidP="00B07AA2">
      <w:pPr>
        <w:jc w:val="both"/>
      </w:pPr>
    </w:p>
    <w:p w14:paraId="5C1FBFFA" w14:textId="77777777" w:rsidR="0099792F" w:rsidRDefault="0099792F" w:rsidP="00B07AA2">
      <w:pPr>
        <w:jc w:val="both"/>
      </w:pPr>
    </w:p>
    <w:p w14:paraId="27D41FF5" w14:textId="10CAB86C" w:rsidR="0099792F" w:rsidRDefault="0099792F" w:rsidP="00E61FD4">
      <w:pPr>
        <w:pStyle w:val="DBodyText"/>
        <w:keepNext/>
        <w:keepLines/>
        <w:jc w:val="center"/>
      </w:pPr>
      <w:r w:rsidRPr="000E4243">
        <w:rPr>
          <w:i/>
        </w:rPr>
        <w:t xml:space="preserve">Table </w:t>
      </w:r>
      <w:r w:rsidR="00E61FD4">
        <w:rPr>
          <w:i/>
        </w:rPr>
        <w:t xml:space="preserve">1 </w:t>
      </w:r>
      <w:r w:rsidRPr="000E4243">
        <w:rPr>
          <w:i/>
        </w:rPr>
        <w:t xml:space="preserve"> </w:t>
      </w:r>
      <w:r w:rsidR="00E61FD4">
        <w:rPr>
          <w:i/>
        </w:rPr>
        <w:t>M</w:t>
      </w:r>
      <w:r w:rsidR="00E61FD4" w:rsidRPr="00E61FD4">
        <w:rPr>
          <w:i/>
        </w:rPr>
        <w:t>ain findings from the lite</w:t>
      </w:r>
      <w:r w:rsidR="00E61FD4">
        <w:rPr>
          <w:i/>
        </w:rPr>
        <w:t>rature on brown/greenfield engineering</w:t>
      </w:r>
    </w:p>
    <w:p w14:paraId="54ADEB2A" w14:textId="77777777" w:rsidR="0099792F" w:rsidRDefault="0099792F" w:rsidP="00B07AA2">
      <w:pPr>
        <w:jc w:val="both"/>
      </w:pPr>
    </w:p>
    <w:tbl>
      <w:tblPr>
        <w:tblStyle w:val="TableGrid"/>
        <w:tblW w:w="0" w:type="auto"/>
        <w:tblLook w:val="04A0" w:firstRow="1" w:lastRow="0" w:firstColumn="1" w:lastColumn="0" w:noHBand="0" w:noVBand="1"/>
      </w:tblPr>
      <w:tblGrid>
        <w:gridCol w:w="5023"/>
      </w:tblGrid>
      <w:tr w:rsidR="0099792F" w14:paraId="491A7732" w14:textId="77777777" w:rsidTr="0029054F">
        <w:tc>
          <w:tcPr>
            <w:tcW w:w="5023" w:type="dxa"/>
          </w:tcPr>
          <w:p w14:paraId="29210040" w14:textId="01B5411E" w:rsidR="0099792F" w:rsidRDefault="00E61FD4" w:rsidP="00E61FD4">
            <w:pPr>
              <w:pStyle w:val="DBodyText"/>
              <w:numPr>
                <w:ilvl w:val="0"/>
                <w:numId w:val="19"/>
              </w:numPr>
              <w:spacing w:before="0" w:after="0"/>
              <w:ind w:left="714" w:hanging="357"/>
            </w:pPr>
            <w:r>
              <w:t>Greenfield domain engineering is always more risky than brownfield domain engineering</w:t>
            </w:r>
          </w:p>
          <w:p w14:paraId="04AD26C7" w14:textId="77777777" w:rsidR="00E61FD4" w:rsidRDefault="00E61FD4" w:rsidP="00E61FD4">
            <w:pPr>
              <w:pStyle w:val="DBodyText"/>
              <w:numPr>
                <w:ilvl w:val="0"/>
                <w:numId w:val="19"/>
              </w:numPr>
              <w:spacing w:before="0" w:after="0"/>
              <w:ind w:left="714" w:hanging="357"/>
            </w:pPr>
            <w:r>
              <w:t>Infrastructure planning (architecture) and implementation are at the core of domain engineering</w:t>
            </w:r>
          </w:p>
          <w:p w14:paraId="5E32F2F2" w14:textId="77777777" w:rsidR="00E61FD4" w:rsidRDefault="00E61FD4" w:rsidP="00E61FD4">
            <w:pPr>
              <w:pStyle w:val="DBodyText"/>
              <w:numPr>
                <w:ilvl w:val="0"/>
                <w:numId w:val="19"/>
              </w:numPr>
              <w:spacing w:before="0" w:after="0"/>
              <w:ind w:left="714" w:hanging="357"/>
            </w:pPr>
            <w:r>
              <w:t>Contuinity of service is a major goal</w:t>
            </w:r>
          </w:p>
          <w:p w14:paraId="21597281" w14:textId="77777777" w:rsidR="00E61FD4" w:rsidRDefault="00E61FD4" w:rsidP="00E61FD4">
            <w:pPr>
              <w:pStyle w:val="DBodyText"/>
              <w:numPr>
                <w:ilvl w:val="0"/>
                <w:numId w:val="19"/>
              </w:numPr>
              <w:spacing w:before="0" w:after="0"/>
              <w:ind w:left="714" w:hanging="357"/>
            </w:pPr>
            <w:r>
              <w:t>Re-use of current resources and assets is a goal of brownfield domain engineering</w:t>
            </w:r>
          </w:p>
          <w:p w14:paraId="7A08EBE0" w14:textId="434DE304" w:rsidR="005237CD" w:rsidRDefault="005237CD" w:rsidP="00E61FD4">
            <w:pPr>
              <w:pStyle w:val="DBodyText"/>
              <w:numPr>
                <w:ilvl w:val="0"/>
                <w:numId w:val="19"/>
              </w:numPr>
              <w:spacing w:before="0" w:after="0"/>
              <w:ind w:left="714" w:hanging="357"/>
            </w:pPr>
            <w:r>
              <w:t>Listen to experts of the old system</w:t>
            </w:r>
          </w:p>
          <w:p w14:paraId="2F64AAA7" w14:textId="77777777" w:rsidR="00E61FD4" w:rsidRDefault="00E61FD4" w:rsidP="00E61FD4">
            <w:pPr>
              <w:pStyle w:val="DBodyText"/>
              <w:numPr>
                <w:ilvl w:val="0"/>
                <w:numId w:val="19"/>
              </w:numPr>
              <w:spacing w:before="0" w:after="0"/>
              <w:ind w:left="714" w:hanging="357"/>
            </w:pPr>
            <w:r>
              <w:t xml:space="preserve">In IS, greenfield engineering aims </w:t>
            </w:r>
            <w:r w:rsidRPr="00110C52">
              <w:t>migrating services away from poorly structured and documented legacy software applications</w:t>
            </w:r>
          </w:p>
          <w:p w14:paraId="0C6CE85A" w14:textId="43F38FA0" w:rsidR="00D16D4C" w:rsidRDefault="00D16D4C" w:rsidP="00E61FD4">
            <w:pPr>
              <w:pStyle w:val="DBodyText"/>
              <w:numPr>
                <w:ilvl w:val="0"/>
                <w:numId w:val="19"/>
              </w:numPr>
              <w:spacing w:before="0" w:after="0"/>
              <w:ind w:left="714" w:hanging="357"/>
            </w:pPr>
            <w:r>
              <w:t>Incremental commitment building is important in brownfield domain engineering</w:t>
            </w:r>
          </w:p>
        </w:tc>
      </w:tr>
    </w:tbl>
    <w:p w14:paraId="2F237E41" w14:textId="77777777" w:rsidR="0099792F" w:rsidRPr="00B07AA2" w:rsidRDefault="0099792F" w:rsidP="00B07AA2">
      <w:pPr>
        <w:jc w:val="both"/>
        <w:rPr>
          <w:i/>
        </w:rPr>
      </w:pPr>
    </w:p>
    <w:p w14:paraId="2FFB60B4" w14:textId="77777777" w:rsidR="008F30A7" w:rsidRPr="00FB07AC" w:rsidRDefault="008F30A7" w:rsidP="008F30A7">
      <w:pPr>
        <w:pStyle w:val="ALevelOneHeader"/>
      </w:pPr>
      <w:r>
        <w:t>Methods</w:t>
      </w:r>
    </w:p>
    <w:p w14:paraId="59B9B21B" w14:textId="5C3944D1" w:rsidR="008F30A7" w:rsidRDefault="00C52A60" w:rsidP="008F30A7">
      <w:pPr>
        <w:pStyle w:val="DBodyText"/>
      </w:pPr>
      <w:r>
        <w:t>Our fieldwork took four months in December</w:t>
      </w:r>
      <w:r w:rsidR="000D2C7C">
        <w:t xml:space="preserve"> 2016 </w:t>
      </w:r>
      <w:r>
        <w:t>-</w:t>
      </w:r>
      <w:r w:rsidR="000D2C7C">
        <w:t xml:space="preserve"> </w:t>
      </w:r>
      <w:r>
        <w:t>March</w:t>
      </w:r>
      <w:r w:rsidR="000D2C7C">
        <w:t xml:space="preserve"> </w:t>
      </w:r>
      <w:r>
        <w:t>2017</w:t>
      </w:r>
      <w:r w:rsidR="0099792F">
        <w:t xml:space="preserve"> in Southwest Finland</w:t>
      </w:r>
      <w:r>
        <w:t xml:space="preserve">.  During that time we held </w:t>
      </w:r>
      <w:r w:rsidR="00EB1B0B">
        <w:t>12 expert interview</w:t>
      </w:r>
      <w:r w:rsidR="00F4316A">
        <w:t>s</w:t>
      </w:r>
      <w:r w:rsidR="00EB1B0B">
        <w:t xml:space="preserve"> with Finnish experts in </w:t>
      </w:r>
      <w:r w:rsidR="00D10FA7">
        <w:t>social and health</w:t>
      </w:r>
      <w:r w:rsidR="000D2C7C">
        <w:t xml:space="preserve">care information systems, and one workshop.  The theoretical background of green- or brownfield </w:t>
      </w:r>
      <w:r w:rsidR="00670810">
        <w:t>doma</w:t>
      </w:r>
      <w:r w:rsidR="00F4316A">
        <w:t>i</w:t>
      </w:r>
      <w:r w:rsidR="00670810">
        <w:t xml:space="preserve">n </w:t>
      </w:r>
      <w:r w:rsidR="000D2C7C">
        <w:t>engineering was not present in the emp</w:t>
      </w:r>
      <w:r w:rsidR="00670810">
        <w:t>i</w:t>
      </w:r>
      <w:r w:rsidR="000D2C7C">
        <w:t>rical discussions.</w:t>
      </w:r>
      <w:r w:rsidR="005F0901">
        <w:t xml:space="preserve"> Our study approach was explorative </w:t>
      </w:r>
      <w:r w:rsidR="005F0901">
        <w:fldChar w:fldCharType="begin"/>
      </w:r>
      <w:r w:rsidR="00866DFD">
        <w:instrText xml:space="preserve"> ADDIN EN.CITE &lt;EndNote&gt;&lt;Cite&gt;&lt;Author&gt;Creswell&lt;/Author&gt;&lt;Year&gt;2007&lt;/Year&gt;&lt;RecNum&gt;14913&lt;/RecNum&gt;&lt;DisplayText&gt;[7]&lt;/DisplayText&gt;&lt;record&gt;&lt;rec-number&gt;14913&lt;/rec-number&gt;&lt;foreign-keys&gt;&lt;key app="EN" db-id="pwap2rxdjvpxdme5aryxtaxjz92wddvx5erd" timestamp="1491973936"&gt;14913&lt;/key&gt;&lt;/foreign-keys&gt;&lt;ref-type name="Book"&gt;6&lt;/ref-type&gt;&lt;contributors&gt;&lt;authors&gt;&lt;author&gt;Creswell, John W&lt;/author&gt;&lt;author&gt;Clark, Vicki L Plano&lt;/author&gt;&lt;/authors&gt;&lt;/contributors&gt;&lt;titles&gt;&lt;title&gt;Designing and conducting mixed methods research&lt;/title&gt;&lt;/titles&gt;&lt;dates&gt;&lt;year&gt;2007&lt;/year&gt;&lt;/dates&gt;&lt;publisher&gt;SAGE Publishing.&lt;/publisher&gt;&lt;urls&gt;&lt;/urls&gt;&lt;/record&gt;&lt;/Cite&gt;&lt;/EndNote&gt;</w:instrText>
      </w:r>
      <w:r w:rsidR="005F0901">
        <w:fldChar w:fldCharType="separate"/>
      </w:r>
      <w:r w:rsidR="00866DFD">
        <w:t>[7]</w:t>
      </w:r>
      <w:r w:rsidR="005F0901">
        <w:fldChar w:fldCharType="end"/>
      </w:r>
      <w:r w:rsidR="005F0901">
        <w:t>.</w:t>
      </w:r>
    </w:p>
    <w:p w14:paraId="16DB8C30" w14:textId="7FB1EE44" w:rsidR="0057362C" w:rsidRDefault="008F30A7" w:rsidP="008F30A7">
      <w:pPr>
        <w:pStyle w:val="ALevelOneHeader"/>
      </w:pPr>
      <w:r>
        <w:t>Results</w:t>
      </w:r>
    </w:p>
    <w:p w14:paraId="52AFBD03" w14:textId="3AF2F541" w:rsidR="000E4243" w:rsidRDefault="00670810" w:rsidP="000E4243">
      <w:pPr>
        <w:pStyle w:val="DBodyText"/>
      </w:pPr>
      <w:r>
        <w:t xml:space="preserve">In our fieldwork we could identify a lot of pressures and change agents to the current situation.  </w:t>
      </w:r>
      <w:r w:rsidR="000E4243">
        <w:t>Genuine interest to design the whole information governance in Finnish health- and social care clearly exists.  The main identified factors are summarized in Table 1.</w:t>
      </w:r>
    </w:p>
    <w:p w14:paraId="1D1492C0" w14:textId="67262D65" w:rsidR="005F0901" w:rsidRDefault="005F0901" w:rsidP="000E4243">
      <w:pPr>
        <w:pStyle w:val="DBodyText"/>
      </w:pPr>
      <w:r>
        <w:lastRenderedPageBreak/>
        <w:t>The most clear brownfield element in Finnish health- and social care domain of health</w:t>
      </w:r>
      <w:r w:rsidR="00D10FA7">
        <w:t>-</w:t>
      </w:r>
      <w:r>
        <w:t xml:space="preserve"> and social care informati</w:t>
      </w:r>
      <w:r w:rsidR="00F4316A">
        <w:t>o</w:t>
      </w:r>
      <w:r>
        <w:t>n governance is the established p</w:t>
      </w:r>
      <w:r w:rsidR="00F4316A">
        <w:t>ortfolio of many clinical health</w:t>
      </w:r>
      <w:r>
        <w:t>care information systems.  While the amount of different system brands can be counted in thousands, a few main systems – especially patient record systems – account for the main part of current system portfolio.  The new and central Finnish main database for health</w:t>
      </w:r>
      <w:r w:rsidR="00D10FA7">
        <w:t>-</w:t>
      </w:r>
      <w:r>
        <w:t xml:space="preserve"> and social care customer information Kanta is on the edge – it can be interpreted as a new building block in an old brownfield landscape.</w:t>
      </w:r>
    </w:p>
    <w:p w14:paraId="55BAAEFF" w14:textId="223B55F4" w:rsidR="005F0901" w:rsidRDefault="005F0901" w:rsidP="000E4243">
      <w:pPr>
        <w:pStyle w:val="DBodyText"/>
      </w:pPr>
      <w:r>
        <w:t>The current situation in health</w:t>
      </w:r>
      <w:r w:rsidR="00D10FA7">
        <w:t>-</w:t>
      </w:r>
      <w:r>
        <w:t xml:space="preserve"> and social care IS can be described in Finland as waiting.  A lot of planning work goes on, but real investments into new systems are few, because of the unclear situation of the upcoming new health</w:t>
      </w:r>
      <w:r w:rsidR="00F4316A">
        <w:t>-</w:t>
      </w:r>
      <w:r>
        <w:t xml:space="preserve"> and social care governance. </w:t>
      </w:r>
      <w:r w:rsidR="007B07DA">
        <w:t xml:space="preserve"> It is still widely unclear, what kind of organizations will operate in the new domain, and with which kind of processes and business models, and which kind of incentives are given to different players by government and market forces.</w:t>
      </w:r>
    </w:p>
    <w:p w14:paraId="7637FFF1" w14:textId="456B38A9" w:rsidR="007B07DA" w:rsidRDefault="007B07DA" w:rsidP="000E4243">
      <w:pPr>
        <w:pStyle w:val="DBodyText"/>
      </w:pPr>
      <w:r>
        <w:t>In Finland there is already hefty discussion on the future of the fixe</w:t>
      </w:r>
      <w:r w:rsidR="00F4316A">
        <w:t>d</w:t>
      </w:r>
      <w:r>
        <w:t xml:space="preserve"> property </w:t>
      </w:r>
      <w:r w:rsidR="00F4316A">
        <w:t>a lot of which</w:t>
      </w:r>
      <w:r>
        <w:t xml:space="preserve"> will be </w:t>
      </w:r>
      <w:r w:rsidR="00F4316A">
        <w:t xml:space="preserve">most likey </w:t>
      </w:r>
      <w:r>
        <w:t>deserted in the new market environment – especially fa</w:t>
      </w:r>
      <w:r w:rsidR="00F4316A">
        <w:t>cilities in rural areas are in</w:t>
      </w:r>
      <w:r>
        <w:t xml:space="preserve"> danger. Less discussion has been on the same possible fate of heavy investments in current information systems and infrastructure.</w:t>
      </w:r>
    </w:p>
    <w:p w14:paraId="2B1DF3FC" w14:textId="432AA1F9" w:rsidR="00051F58" w:rsidRDefault="007B07DA" w:rsidP="000E4243">
      <w:pPr>
        <w:pStyle w:val="DBodyText"/>
      </w:pPr>
      <w:r>
        <w:t xml:space="preserve">Finally, making </w:t>
      </w:r>
      <w:r w:rsidR="00051F58">
        <w:t>greenfield domain engineering is made difficult because of very traditional reasons: lack of finance, lack of vision and direction, and lack of market or other new alternatives that would really look like superior ones as compared to current status.</w:t>
      </w:r>
    </w:p>
    <w:p w14:paraId="40A4D68B" w14:textId="26B1E066" w:rsidR="000E4243" w:rsidRDefault="0057362C" w:rsidP="000E4243">
      <w:pPr>
        <w:pStyle w:val="DBodyText"/>
        <w:keepNext/>
        <w:keepLines/>
        <w:jc w:val="center"/>
        <w:rPr>
          <w:i/>
        </w:rPr>
      </w:pPr>
      <w:r w:rsidRPr="000E4243">
        <w:rPr>
          <w:i/>
        </w:rPr>
        <w:t xml:space="preserve">Table </w:t>
      </w:r>
      <w:r w:rsidR="0099792F">
        <w:rPr>
          <w:i/>
        </w:rPr>
        <w:t>2</w:t>
      </w:r>
      <w:r w:rsidR="00670810" w:rsidRPr="000E4243">
        <w:rPr>
          <w:i/>
        </w:rPr>
        <w:t xml:space="preserve"> </w:t>
      </w:r>
      <w:r w:rsidRPr="000E4243">
        <w:rPr>
          <w:i/>
        </w:rPr>
        <w:t xml:space="preserve"> Main freezers and change agents</w:t>
      </w:r>
      <w:r w:rsidR="00670810" w:rsidRPr="000E4243">
        <w:rPr>
          <w:i/>
        </w:rPr>
        <w:t xml:space="preserve"> </w:t>
      </w:r>
      <w:r w:rsidR="005F0901">
        <w:rPr>
          <w:i/>
        </w:rPr>
        <w:t xml:space="preserve">for information governance </w:t>
      </w:r>
      <w:r w:rsidR="00670810" w:rsidRPr="000E4243">
        <w:rPr>
          <w:i/>
        </w:rPr>
        <w:t>in Finnish health</w:t>
      </w:r>
      <w:r w:rsidR="0045109E">
        <w:rPr>
          <w:i/>
        </w:rPr>
        <w:t>-</w:t>
      </w:r>
      <w:r w:rsidR="00670810" w:rsidRPr="000E4243">
        <w:rPr>
          <w:i/>
        </w:rPr>
        <w:t xml:space="preserve"> and social care renewal</w:t>
      </w:r>
    </w:p>
    <w:tbl>
      <w:tblPr>
        <w:tblStyle w:val="TableGrid11"/>
        <w:tblpPr w:leftFromText="141" w:rightFromText="141" w:vertAnchor="text" w:horzAnchor="margin" w:tblpY="135"/>
        <w:tblW w:w="0" w:type="auto"/>
        <w:tblLook w:val="04A0" w:firstRow="1" w:lastRow="0" w:firstColumn="1" w:lastColumn="0" w:noHBand="0" w:noVBand="1"/>
      </w:tblPr>
      <w:tblGrid>
        <w:gridCol w:w="5023"/>
      </w:tblGrid>
      <w:tr w:rsidR="0099792F" w:rsidRPr="0099792F" w14:paraId="1644C56E" w14:textId="77777777" w:rsidTr="0099792F">
        <w:tc>
          <w:tcPr>
            <w:tcW w:w="5023" w:type="dxa"/>
          </w:tcPr>
          <w:p w14:paraId="18C9F18F" w14:textId="77777777" w:rsidR="0099792F" w:rsidRPr="0099792F" w:rsidRDefault="0099792F" w:rsidP="0099792F">
            <w:pPr>
              <w:keepNext/>
              <w:keepLines/>
              <w:outlineLvl w:val="0"/>
              <w:rPr>
                <w:b/>
                <w:noProof/>
                <w:kern w:val="28"/>
              </w:rPr>
            </w:pPr>
            <w:r w:rsidRPr="0099792F">
              <w:rPr>
                <w:b/>
                <w:noProof/>
                <w:kern w:val="28"/>
              </w:rPr>
              <w:t>Main freezers – brownfield elements</w:t>
            </w:r>
          </w:p>
        </w:tc>
      </w:tr>
      <w:tr w:rsidR="0099792F" w:rsidRPr="0099792F" w14:paraId="6B3D6DD9" w14:textId="77777777" w:rsidTr="0099792F">
        <w:tc>
          <w:tcPr>
            <w:tcW w:w="5023" w:type="dxa"/>
          </w:tcPr>
          <w:p w14:paraId="6756D590" w14:textId="77777777" w:rsidR="0099792F" w:rsidRPr="0099792F" w:rsidRDefault="0099792F" w:rsidP="0099792F">
            <w:pPr>
              <w:keepNext/>
              <w:keepLines/>
              <w:numPr>
                <w:ilvl w:val="0"/>
                <w:numId w:val="18"/>
              </w:numPr>
              <w:outlineLvl w:val="0"/>
              <w:rPr>
                <w:noProof/>
                <w:kern w:val="28"/>
              </w:rPr>
            </w:pPr>
            <w:r w:rsidRPr="0099792F">
              <w:rPr>
                <w:noProof/>
                <w:kern w:val="28"/>
              </w:rPr>
              <w:t>Established patient record systems with high market share</w:t>
            </w:r>
          </w:p>
          <w:p w14:paraId="094BF5E5" w14:textId="77777777" w:rsidR="0099792F" w:rsidRPr="0099792F" w:rsidRDefault="0099792F" w:rsidP="0099792F">
            <w:pPr>
              <w:keepNext/>
              <w:keepLines/>
              <w:numPr>
                <w:ilvl w:val="0"/>
                <w:numId w:val="18"/>
              </w:numPr>
              <w:outlineLvl w:val="0"/>
              <w:rPr>
                <w:noProof/>
                <w:kern w:val="28"/>
              </w:rPr>
            </w:pPr>
            <w:r w:rsidRPr="0099792F">
              <w:rPr>
                <w:noProof/>
                <w:kern w:val="28"/>
              </w:rPr>
              <w:t>Unclear governance</w:t>
            </w:r>
          </w:p>
          <w:p w14:paraId="4224F9FB" w14:textId="77777777" w:rsidR="0099792F" w:rsidRPr="0099792F" w:rsidRDefault="0099792F" w:rsidP="0099792F">
            <w:pPr>
              <w:keepNext/>
              <w:keepLines/>
              <w:numPr>
                <w:ilvl w:val="0"/>
                <w:numId w:val="18"/>
              </w:numPr>
              <w:outlineLvl w:val="0"/>
              <w:rPr>
                <w:noProof/>
                <w:kern w:val="28"/>
              </w:rPr>
            </w:pPr>
            <w:r w:rsidRPr="0099792F">
              <w:rPr>
                <w:noProof/>
                <w:kern w:val="28"/>
              </w:rPr>
              <w:t>Unclear processes</w:t>
            </w:r>
          </w:p>
          <w:p w14:paraId="1F96D6F8" w14:textId="77777777" w:rsidR="0099792F" w:rsidRPr="0099792F" w:rsidRDefault="0099792F" w:rsidP="0099792F">
            <w:pPr>
              <w:keepNext/>
              <w:keepLines/>
              <w:numPr>
                <w:ilvl w:val="0"/>
                <w:numId w:val="18"/>
              </w:numPr>
              <w:outlineLvl w:val="0"/>
              <w:rPr>
                <w:noProof/>
                <w:kern w:val="28"/>
              </w:rPr>
            </w:pPr>
            <w:r w:rsidRPr="0099792F">
              <w:rPr>
                <w:noProof/>
                <w:kern w:val="28"/>
              </w:rPr>
              <w:t>Unclear incentive systems and business models</w:t>
            </w:r>
          </w:p>
          <w:p w14:paraId="78C1B830" w14:textId="77777777" w:rsidR="0099792F" w:rsidRPr="0099792F" w:rsidRDefault="0099792F" w:rsidP="0099792F">
            <w:pPr>
              <w:keepNext/>
              <w:keepLines/>
              <w:numPr>
                <w:ilvl w:val="0"/>
                <w:numId w:val="18"/>
              </w:numPr>
              <w:outlineLvl w:val="0"/>
              <w:rPr>
                <w:noProof/>
                <w:kern w:val="28"/>
              </w:rPr>
            </w:pPr>
            <w:r w:rsidRPr="0099792F">
              <w:rPr>
                <w:noProof/>
                <w:kern w:val="28"/>
              </w:rPr>
              <w:t>Heavy investments in current system portfolio and infrastructure</w:t>
            </w:r>
          </w:p>
          <w:p w14:paraId="3AC4104F" w14:textId="77777777" w:rsidR="0099792F" w:rsidRPr="0099792F" w:rsidRDefault="0099792F" w:rsidP="0099792F">
            <w:pPr>
              <w:keepNext/>
              <w:keepLines/>
              <w:numPr>
                <w:ilvl w:val="0"/>
                <w:numId w:val="18"/>
              </w:numPr>
              <w:outlineLvl w:val="0"/>
              <w:rPr>
                <w:noProof/>
                <w:kern w:val="28"/>
              </w:rPr>
            </w:pPr>
            <w:r w:rsidRPr="0099792F">
              <w:rPr>
                <w:noProof/>
                <w:kern w:val="28"/>
              </w:rPr>
              <w:t>Lack of finance</w:t>
            </w:r>
          </w:p>
          <w:p w14:paraId="0EB27EBE" w14:textId="77777777" w:rsidR="0099792F" w:rsidRPr="0099792F" w:rsidRDefault="0099792F" w:rsidP="0099792F">
            <w:pPr>
              <w:keepNext/>
              <w:keepLines/>
              <w:numPr>
                <w:ilvl w:val="0"/>
                <w:numId w:val="18"/>
              </w:numPr>
              <w:outlineLvl w:val="0"/>
              <w:rPr>
                <w:noProof/>
                <w:kern w:val="28"/>
              </w:rPr>
            </w:pPr>
            <w:r w:rsidRPr="0099792F">
              <w:rPr>
                <w:noProof/>
                <w:kern w:val="28"/>
              </w:rPr>
              <w:t>Lack of vision and direction</w:t>
            </w:r>
          </w:p>
          <w:p w14:paraId="70B502E8" w14:textId="77777777" w:rsidR="0099792F" w:rsidRPr="0099792F" w:rsidRDefault="0099792F" w:rsidP="0099792F">
            <w:pPr>
              <w:keepNext/>
              <w:keepLines/>
              <w:numPr>
                <w:ilvl w:val="0"/>
                <w:numId w:val="18"/>
              </w:numPr>
              <w:outlineLvl w:val="0"/>
              <w:rPr>
                <w:noProof/>
                <w:kern w:val="28"/>
              </w:rPr>
            </w:pPr>
            <w:r w:rsidRPr="0099792F">
              <w:rPr>
                <w:noProof/>
                <w:kern w:val="28"/>
              </w:rPr>
              <w:t>Lack of superior market offerings</w:t>
            </w:r>
          </w:p>
        </w:tc>
      </w:tr>
      <w:tr w:rsidR="0099792F" w:rsidRPr="0099792F" w14:paraId="18F57474" w14:textId="77777777" w:rsidTr="0099792F">
        <w:tc>
          <w:tcPr>
            <w:tcW w:w="5023" w:type="dxa"/>
          </w:tcPr>
          <w:p w14:paraId="2EAC0981" w14:textId="4A767D37" w:rsidR="0099792F" w:rsidRPr="0099792F" w:rsidRDefault="0099792F" w:rsidP="0099792F">
            <w:pPr>
              <w:keepNext/>
              <w:keepLines/>
              <w:outlineLvl w:val="0"/>
              <w:rPr>
                <w:b/>
                <w:noProof/>
                <w:kern w:val="28"/>
              </w:rPr>
            </w:pPr>
            <w:r w:rsidRPr="0099792F">
              <w:rPr>
                <w:b/>
                <w:noProof/>
                <w:kern w:val="28"/>
              </w:rPr>
              <w:t>Main change agents</w:t>
            </w:r>
            <w:r w:rsidR="003F3FF5">
              <w:rPr>
                <w:b/>
                <w:noProof/>
                <w:kern w:val="28"/>
              </w:rPr>
              <w:t xml:space="preserve"> – greenfield elements</w:t>
            </w:r>
          </w:p>
        </w:tc>
      </w:tr>
      <w:tr w:rsidR="0099792F" w:rsidRPr="0099792F" w14:paraId="333D629B" w14:textId="77777777" w:rsidTr="0099792F">
        <w:tc>
          <w:tcPr>
            <w:tcW w:w="5023" w:type="dxa"/>
          </w:tcPr>
          <w:p w14:paraId="1B8150C6" w14:textId="77777777" w:rsidR="0099792F" w:rsidRPr="0099792F" w:rsidRDefault="0099792F" w:rsidP="0099792F">
            <w:pPr>
              <w:keepNext/>
              <w:keepLines/>
              <w:numPr>
                <w:ilvl w:val="0"/>
                <w:numId w:val="17"/>
              </w:numPr>
              <w:outlineLvl w:val="0"/>
              <w:rPr>
                <w:noProof/>
                <w:kern w:val="28"/>
              </w:rPr>
            </w:pPr>
            <w:r w:rsidRPr="0099792F">
              <w:rPr>
                <w:noProof/>
                <w:kern w:val="28"/>
              </w:rPr>
              <w:t>Ambitious political goals</w:t>
            </w:r>
          </w:p>
          <w:p w14:paraId="4B046C1C" w14:textId="77777777" w:rsidR="0099792F" w:rsidRPr="0099792F" w:rsidRDefault="0099792F" w:rsidP="0099792F">
            <w:pPr>
              <w:keepNext/>
              <w:keepLines/>
              <w:numPr>
                <w:ilvl w:val="0"/>
                <w:numId w:val="17"/>
              </w:numPr>
              <w:outlineLvl w:val="0"/>
              <w:rPr>
                <w:noProof/>
                <w:kern w:val="28"/>
              </w:rPr>
            </w:pPr>
            <w:r w:rsidRPr="0099792F">
              <w:rPr>
                <w:noProof/>
                <w:kern w:val="28"/>
              </w:rPr>
              <w:t>Ambitious architecture plans</w:t>
            </w:r>
          </w:p>
          <w:p w14:paraId="03B44026" w14:textId="77777777" w:rsidR="0099792F" w:rsidRPr="0099792F" w:rsidRDefault="0099792F" w:rsidP="0099792F">
            <w:pPr>
              <w:keepNext/>
              <w:keepLines/>
              <w:numPr>
                <w:ilvl w:val="0"/>
                <w:numId w:val="17"/>
              </w:numPr>
              <w:outlineLvl w:val="0"/>
              <w:rPr>
                <w:noProof/>
                <w:kern w:val="28"/>
              </w:rPr>
            </w:pPr>
            <w:r w:rsidRPr="0099792F">
              <w:rPr>
                <w:noProof/>
                <w:kern w:val="28"/>
              </w:rPr>
              <w:t>New regions as actors</w:t>
            </w:r>
          </w:p>
          <w:p w14:paraId="350D9A58" w14:textId="77777777" w:rsidR="0099792F" w:rsidRPr="0099792F" w:rsidRDefault="0099792F" w:rsidP="0099792F">
            <w:pPr>
              <w:keepNext/>
              <w:keepLines/>
              <w:numPr>
                <w:ilvl w:val="0"/>
                <w:numId w:val="17"/>
              </w:numPr>
              <w:outlineLvl w:val="0"/>
              <w:rPr>
                <w:noProof/>
                <w:kern w:val="28"/>
              </w:rPr>
            </w:pPr>
            <w:r w:rsidRPr="0099792F">
              <w:rPr>
                <w:noProof/>
                <w:kern w:val="28"/>
              </w:rPr>
              <w:t>Need for decision support</w:t>
            </w:r>
          </w:p>
          <w:p w14:paraId="65E6DFB5" w14:textId="77777777" w:rsidR="0099792F" w:rsidRPr="0099792F" w:rsidRDefault="0099792F" w:rsidP="0099792F">
            <w:pPr>
              <w:keepNext/>
              <w:keepLines/>
              <w:numPr>
                <w:ilvl w:val="0"/>
                <w:numId w:val="17"/>
              </w:numPr>
              <w:outlineLvl w:val="0"/>
              <w:rPr>
                <w:noProof/>
                <w:kern w:val="28"/>
              </w:rPr>
            </w:pPr>
            <w:r w:rsidRPr="0099792F">
              <w:rPr>
                <w:noProof/>
                <w:kern w:val="28"/>
              </w:rPr>
              <w:t>Need for secondary data use</w:t>
            </w:r>
          </w:p>
          <w:p w14:paraId="6521165E" w14:textId="77777777" w:rsidR="0099792F" w:rsidRPr="0099792F" w:rsidRDefault="0099792F" w:rsidP="0099792F">
            <w:pPr>
              <w:keepNext/>
              <w:keepLines/>
              <w:numPr>
                <w:ilvl w:val="0"/>
                <w:numId w:val="17"/>
              </w:numPr>
              <w:outlineLvl w:val="0"/>
              <w:rPr>
                <w:noProof/>
                <w:kern w:val="28"/>
              </w:rPr>
            </w:pPr>
            <w:r w:rsidRPr="0099792F">
              <w:rPr>
                <w:noProof/>
                <w:kern w:val="28"/>
              </w:rPr>
              <w:t>New patient record initiatives</w:t>
            </w:r>
          </w:p>
          <w:p w14:paraId="4163F867" w14:textId="77777777" w:rsidR="0099792F" w:rsidRPr="0099792F" w:rsidRDefault="0099792F" w:rsidP="0099792F">
            <w:pPr>
              <w:keepNext/>
              <w:keepLines/>
              <w:numPr>
                <w:ilvl w:val="0"/>
                <w:numId w:val="17"/>
              </w:numPr>
              <w:outlineLvl w:val="0"/>
              <w:rPr>
                <w:noProof/>
                <w:kern w:val="28"/>
              </w:rPr>
            </w:pPr>
            <w:r w:rsidRPr="0099792F">
              <w:rPr>
                <w:noProof/>
                <w:kern w:val="28"/>
              </w:rPr>
              <w:t>Artificial intelligence, IBM and Watson</w:t>
            </w:r>
          </w:p>
        </w:tc>
      </w:tr>
    </w:tbl>
    <w:p w14:paraId="2D3F86A3" w14:textId="77777777" w:rsidR="0099792F" w:rsidRPr="000E4243" w:rsidRDefault="0099792F" w:rsidP="003A4174">
      <w:pPr>
        <w:pStyle w:val="DBodyText"/>
        <w:keepNext/>
        <w:keepLines/>
        <w:rPr>
          <w:i/>
        </w:rPr>
      </w:pPr>
    </w:p>
    <w:p w14:paraId="4825F04E" w14:textId="7F4B9563" w:rsidR="003A4174" w:rsidRDefault="008D0FBC" w:rsidP="003A4174">
      <w:pPr>
        <w:jc w:val="both"/>
      </w:pPr>
      <w:r w:rsidRPr="008D0FBC">
        <w:t>Political</w:t>
      </w:r>
      <w:r>
        <w:t xml:space="preserve"> agenda setting in Finnish health- and social care field has been ambitious.  However the </w:t>
      </w:r>
      <w:r w:rsidR="003F3FF5">
        <w:t>situation</w:t>
      </w:r>
      <w:r>
        <w:t xml:space="preserve"> that there would be a lot of fresh resources and areas to untap – that is a key idea in greenfield domain engineering – is missing.</w:t>
      </w:r>
    </w:p>
    <w:p w14:paraId="75FF9AF9" w14:textId="77777777" w:rsidR="003A4174" w:rsidRDefault="003A4174" w:rsidP="003A4174">
      <w:pPr>
        <w:jc w:val="both"/>
      </w:pPr>
    </w:p>
    <w:p w14:paraId="5BC04D61" w14:textId="7B22EFAA" w:rsidR="00E61FD4" w:rsidRDefault="00E61FD4" w:rsidP="003A4174">
      <w:pPr>
        <w:jc w:val="both"/>
      </w:pPr>
      <w:r>
        <w:t>There also seems</w:t>
      </w:r>
      <w:r w:rsidR="003A4174">
        <w:t xml:space="preserve"> to be going on rich and ambitious work on new IS architectures for the health</w:t>
      </w:r>
      <w:r w:rsidR="0045109E">
        <w:t>-</w:t>
      </w:r>
      <w:r w:rsidR="003A4174">
        <w:t xml:space="preserve"> and social care domain. Unfortunately however the work seems to form an archipelago – the bridges </w:t>
      </w:r>
      <w:r w:rsidR="003F3FF5">
        <w:t>joining</w:t>
      </w:r>
      <w:r w:rsidR="003A4174">
        <w:t xml:space="preserve"> the work items are few and far between.</w:t>
      </w:r>
    </w:p>
    <w:p w14:paraId="601EB460" w14:textId="77777777" w:rsidR="003A4174" w:rsidRDefault="003A4174" w:rsidP="003A4174">
      <w:pPr>
        <w:jc w:val="both"/>
      </w:pPr>
    </w:p>
    <w:p w14:paraId="6E8F972B" w14:textId="638E21C3" w:rsidR="003A4174" w:rsidRDefault="003A4174" w:rsidP="003A4174">
      <w:pPr>
        <w:jc w:val="both"/>
      </w:pPr>
      <w:r>
        <w:t>The new regions should act as main change agents.  Their capacity and capability to do so is still under speculation, as they are yet not established.  The goal is to have strong and wisely led regions as a major change agent</w:t>
      </w:r>
      <w:r w:rsidR="00DA33E4">
        <w:t>s</w:t>
      </w:r>
      <w:r>
        <w:t xml:space="preserve"> for Finnish health</w:t>
      </w:r>
      <w:r w:rsidR="0045109E">
        <w:t>-</w:t>
      </w:r>
      <w:r>
        <w:t xml:space="preserve"> and social</w:t>
      </w:r>
      <w:r w:rsidR="0045109E">
        <w:t xml:space="preserve"> </w:t>
      </w:r>
      <w:r>
        <w:t>care domain</w:t>
      </w:r>
      <w:r w:rsidR="00DA33E4">
        <w:t xml:space="preserve"> and its information systems.</w:t>
      </w:r>
    </w:p>
    <w:p w14:paraId="044CDC34" w14:textId="77777777" w:rsidR="00DA33E4" w:rsidRDefault="00DA33E4" w:rsidP="003A4174">
      <w:pPr>
        <w:jc w:val="both"/>
      </w:pPr>
    </w:p>
    <w:p w14:paraId="3C9885C1" w14:textId="788C5BD5" w:rsidR="00DA33E4" w:rsidRDefault="00DA33E4" w:rsidP="003A4174">
      <w:pPr>
        <w:jc w:val="both"/>
      </w:pPr>
      <w:r>
        <w:t>There seems to be a strong consensus that especially decision makin</w:t>
      </w:r>
      <w:r w:rsidR="003F3FF5">
        <w:t xml:space="preserve">g in the new health- and social </w:t>
      </w:r>
      <w:r>
        <w:t>care domain needs strengthening.  Decision makers at all levels should be fed with relevant and fresh information.  The same holds true for secondary use of information in research and R&amp;D domains.</w:t>
      </w:r>
    </w:p>
    <w:p w14:paraId="394370B8" w14:textId="77777777" w:rsidR="00DA33E4" w:rsidRDefault="00DA33E4" w:rsidP="003A4174">
      <w:pPr>
        <w:jc w:val="both"/>
      </w:pPr>
    </w:p>
    <w:p w14:paraId="49FF860C" w14:textId="145E0297" w:rsidR="00DA33E4" w:rsidRPr="008D0FBC" w:rsidRDefault="00DA33E4" w:rsidP="003A4174">
      <w:pPr>
        <w:jc w:val="both"/>
      </w:pPr>
      <w:r>
        <w:t xml:space="preserve">We can also see some new initiatives in the main system portfolio. The nation-wide Kanta-service was already mentioned.  In addition, some regions plan for ambitious fresh patient records systems and related functionalities.   IBM seems to enter the field strongly with its artificial intelligence Watson concepts, that it seems to utilize as a Trojan Horse to more strongly access the Finnish health- and social care IS market. </w:t>
      </w:r>
    </w:p>
    <w:p w14:paraId="417FC055" w14:textId="5534FA11" w:rsidR="008F30A7" w:rsidRDefault="008F30A7" w:rsidP="00877B8D">
      <w:pPr>
        <w:pStyle w:val="ALevelOneHeader"/>
      </w:pPr>
      <w:r>
        <w:t>Discussion</w:t>
      </w:r>
    </w:p>
    <w:p w14:paraId="5F884E7D" w14:textId="62225660" w:rsidR="00F7066F" w:rsidRDefault="000925CB" w:rsidP="000925CB">
      <w:pPr>
        <w:pStyle w:val="ALevelOneHeader"/>
        <w:jc w:val="both"/>
        <w:rPr>
          <w:b w:val="0"/>
          <w:sz w:val="20"/>
        </w:rPr>
      </w:pPr>
      <w:r>
        <w:rPr>
          <w:b w:val="0"/>
          <w:sz w:val="20"/>
        </w:rPr>
        <w:t>A promising approach for governance and management of the complexity</w:t>
      </w:r>
      <w:r w:rsidR="00DE2B95">
        <w:rPr>
          <w:b w:val="0"/>
          <w:sz w:val="20"/>
        </w:rPr>
        <w:t xml:space="preserve">, </w:t>
      </w:r>
      <w:r>
        <w:rPr>
          <w:b w:val="0"/>
          <w:sz w:val="20"/>
        </w:rPr>
        <w:t xml:space="preserve">wide scope </w:t>
      </w:r>
      <w:r w:rsidR="00DE2B95">
        <w:rPr>
          <w:b w:val="0"/>
          <w:sz w:val="20"/>
        </w:rPr>
        <w:t xml:space="preserve">and brown/greenfield development </w:t>
      </w:r>
      <w:r>
        <w:rPr>
          <w:b w:val="0"/>
          <w:sz w:val="20"/>
        </w:rPr>
        <w:t>of the social and</w:t>
      </w:r>
      <w:r w:rsidR="0045109E">
        <w:rPr>
          <w:b w:val="0"/>
          <w:sz w:val="20"/>
        </w:rPr>
        <w:t xml:space="preserve"> health</w:t>
      </w:r>
      <w:r w:rsidR="00866DFD">
        <w:rPr>
          <w:b w:val="0"/>
          <w:sz w:val="20"/>
        </w:rPr>
        <w:t>care system is the ecos</w:t>
      </w:r>
      <w:r>
        <w:rPr>
          <w:b w:val="0"/>
          <w:sz w:val="20"/>
        </w:rPr>
        <w:t>y</w:t>
      </w:r>
      <w:r w:rsidR="00833243">
        <w:rPr>
          <w:b w:val="0"/>
          <w:sz w:val="20"/>
        </w:rPr>
        <w:t>stem approach. A</w:t>
      </w:r>
      <w:r>
        <w:rPr>
          <w:b w:val="0"/>
          <w:sz w:val="20"/>
        </w:rPr>
        <w:t>n eH</w:t>
      </w:r>
      <w:r w:rsidRPr="000925CB">
        <w:rPr>
          <w:b w:val="0"/>
          <w:sz w:val="20"/>
        </w:rPr>
        <w:t xml:space="preserve">ealth </w:t>
      </w:r>
      <w:r w:rsidR="0045109E">
        <w:rPr>
          <w:b w:val="0"/>
          <w:sz w:val="20"/>
        </w:rPr>
        <w:t>ecosystem is composed of health</w:t>
      </w:r>
      <w:r w:rsidRPr="000925CB">
        <w:rPr>
          <w:b w:val="0"/>
          <w:sz w:val="20"/>
        </w:rPr>
        <w:t xml:space="preserve">care organizations, both public and private, service provider professionals, customers, citizens and patients, industrial companies providing their products and services, and technology-mediated communication and infrastructures that in collaboration provide add-on value for both service consumers and other service providers. Infrastructures and networks are needed both for knowledge sharing and management and for exchanging and communicating information and data. </w:t>
      </w:r>
      <w:r>
        <w:rPr>
          <w:b w:val="0"/>
          <w:sz w:val="20"/>
        </w:rPr>
        <w:t>In an ecosystem</w:t>
      </w:r>
      <w:r w:rsidR="00212868">
        <w:rPr>
          <w:b w:val="0"/>
          <w:sz w:val="20"/>
        </w:rPr>
        <w:t>,</w:t>
      </w:r>
      <w:r>
        <w:rPr>
          <w:b w:val="0"/>
          <w:sz w:val="20"/>
        </w:rPr>
        <w:t xml:space="preserve"> </w:t>
      </w:r>
      <w:r w:rsidRPr="000925CB">
        <w:rPr>
          <w:b w:val="0"/>
          <w:sz w:val="20"/>
        </w:rPr>
        <w:t>services and products are developed and delivered to fulfill the customers’ needs, or regulation-stated needs</w:t>
      </w:r>
      <w:r w:rsidR="003F3FF5">
        <w:rPr>
          <w:b w:val="0"/>
          <w:sz w:val="20"/>
        </w:rPr>
        <w:t>,</w:t>
      </w:r>
      <w:r w:rsidRPr="000925CB">
        <w:rPr>
          <w:b w:val="0"/>
          <w:sz w:val="20"/>
        </w:rPr>
        <w:t xml:space="preserve"> and the role of marketing and commercialization is minor </w:t>
      </w:r>
      <w:r w:rsidR="00A42A8B">
        <w:rPr>
          <w:b w:val="0"/>
          <w:sz w:val="20"/>
        </w:rPr>
        <w:fldChar w:fldCharType="begin"/>
      </w:r>
      <w:r w:rsidR="003F3FF5">
        <w:rPr>
          <w:b w:val="0"/>
          <w:sz w:val="20"/>
        </w:rPr>
        <w:instrText xml:space="preserve"> ADDIN EN.CITE &lt;EndNote&gt;&lt;Cite&gt;&lt;Author&gt;Vimarlund&lt;/Author&gt;&lt;Year&gt;2017&lt;/Year&gt;&lt;RecNum&gt;14917&lt;/RecNum&gt;&lt;DisplayText&gt;[24]&lt;/DisplayText&gt;&lt;record&gt;&lt;rec-number&gt;14917&lt;/rec-number&gt;&lt;foreign-keys&gt;&lt;key app="EN" db-id="pwap2rxdjvpxdme5aryxtaxjz92wddvx5erd" timestamp="1492007832"&gt;14917&lt;/key&gt;&lt;/foreign-keys&gt;&lt;ref-type name="Book Section"&gt;5&lt;/ref-type&gt;&lt;contributors&gt;&lt;authors&gt;&lt;author&gt;Vimarlund, Vivian&lt;/author&gt;&lt;author&gt;Mettler, Tobias&lt;/author&gt;&lt;/authors&gt;&lt;secondary-authors&gt;&lt;author&gt;Vimarlund, Vivian&lt;/author&gt;&lt;/secondary-authors&gt;&lt;/contributors&gt;&lt;titles&gt;&lt;title&gt;Introduction to the esosystem for two-sided markets, barriers and facilitators&lt;/title&gt;&lt;secondary-title&gt;E-health two-sided markets –  Implementation and business models&lt;/secondary-title&gt;&lt;/titles&gt;&lt;pages&gt;3-18&lt;/pages&gt;&lt;dates&gt;&lt;year&gt;2017&lt;/year&gt;&lt;/dates&gt;&lt;publisher&gt;Elsevier Academic Press&lt;/publisher&gt;&lt;urls&gt;&lt;/urls&gt;&lt;/record&gt;&lt;/Cite&gt;&lt;/EndNote&gt;</w:instrText>
      </w:r>
      <w:r w:rsidR="00A42A8B">
        <w:rPr>
          <w:b w:val="0"/>
          <w:sz w:val="20"/>
        </w:rPr>
        <w:fldChar w:fldCharType="separate"/>
      </w:r>
      <w:r w:rsidR="00A42A8B">
        <w:rPr>
          <w:b w:val="0"/>
          <w:sz w:val="20"/>
        </w:rPr>
        <w:t>[24]</w:t>
      </w:r>
      <w:r w:rsidR="00A42A8B">
        <w:rPr>
          <w:b w:val="0"/>
          <w:sz w:val="20"/>
        </w:rPr>
        <w:fldChar w:fldCharType="end"/>
      </w:r>
      <w:r w:rsidR="00A42A8B">
        <w:rPr>
          <w:b w:val="0"/>
          <w:sz w:val="20"/>
        </w:rPr>
        <w:t xml:space="preserve">. </w:t>
      </w:r>
      <w:r w:rsidRPr="000925CB">
        <w:rPr>
          <w:b w:val="0"/>
          <w:sz w:val="20"/>
        </w:rPr>
        <w:t>Customers are both health professionals and patients, citizens, and serv</w:t>
      </w:r>
      <w:r w:rsidR="0045109E">
        <w:rPr>
          <w:b w:val="0"/>
          <w:sz w:val="20"/>
        </w:rPr>
        <w:t>ice providers are health</w:t>
      </w:r>
      <w:r w:rsidRPr="000925CB">
        <w:rPr>
          <w:b w:val="0"/>
          <w:sz w:val="20"/>
        </w:rPr>
        <w:t xml:space="preserve">care organizations and various suppliers and industrial companies to </w:t>
      </w:r>
      <w:r w:rsidR="003F3FF5">
        <w:rPr>
          <w:b w:val="0"/>
          <w:sz w:val="20"/>
        </w:rPr>
        <w:t>offer</w:t>
      </w:r>
      <w:r w:rsidRPr="000925CB">
        <w:rPr>
          <w:b w:val="0"/>
          <w:sz w:val="20"/>
        </w:rPr>
        <w:t xml:space="preserve"> systems an</w:t>
      </w:r>
      <w:r w:rsidR="0045109E">
        <w:rPr>
          <w:b w:val="0"/>
          <w:sz w:val="20"/>
        </w:rPr>
        <w:t>d services to be used by health</w:t>
      </w:r>
      <w:r w:rsidRPr="000925CB">
        <w:rPr>
          <w:b w:val="0"/>
          <w:sz w:val="20"/>
        </w:rPr>
        <w:t xml:space="preserve">care organizations and patients. </w:t>
      </w:r>
      <w:r>
        <w:rPr>
          <w:b w:val="0"/>
          <w:sz w:val="20"/>
        </w:rPr>
        <w:t>This</w:t>
      </w:r>
      <w:r w:rsidR="003E1AE2">
        <w:rPr>
          <w:b w:val="0"/>
          <w:sz w:val="20"/>
        </w:rPr>
        <w:t xml:space="preserve"> approach supports </w:t>
      </w:r>
      <w:r>
        <w:rPr>
          <w:b w:val="0"/>
          <w:sz w:val="20"/>
        </w:rPr>
        <w:t xml:space="preserve">very well the </w:t>
      </w:r>
      <w:r w:rsidR="003E1AE2">
        <w:rPr>
          <w:b w:val="0"/>
          <w:sz w:val="20"/>
        </w:rPr>
        <w:t>regional model of the Finnish social and h</w:t>
      </w:r>
      <w:r w:rsidR="0045109E">
        <w:rPr>
          <w:b w:val="0"/>
          <w:sz w:val="20"/>
        </w:rPr>
        <w:t>ealth</w:t>
      </w:r>
      <w:r w:rsidR="003E1AE2">
        <w:rPr>
          <w:b w:val="0"/>
          <w:sz w:val="20"/>
        </w:rPr>
        <w:t>care reform. Good e</w:t>
      </w:r>
      <w:r w:rsidRPr="000925CB">
        <w:rPr>
          <w:b w:val="0"/>
          <w:sz w:val="20"/>
        </w:rPr>
        <w:t>xamples of e</w:t>
      </w:r>
      <w:r w:rsidR="003E1AE2">
        <w:rPr>
          <w:b w:val="0"/>
          <w:sz w:val="20"/>
        </w:rPr>
        <w:t xml:space="preserve">cosystem </w:t>
      </w:r>
      <w:r w:rsidR="00212868">
        <w:rPr>
          <w:b w:val="0"/>
          <w:sz w:val="20"/>
        </w:rPr>
        <w:t xml:space="preserve">applications and services are </w:t>
      </w:r>
      <w:r w:rsidRPr="000925CB">
        <w:rPr>
          <w:b w:val="0"/>
          <w:sz w:val="20"/>
        </w:rPr>
        <w:t>electronic health records, personal h</w:t>
      </w:r>
      <w:r w:rsidR="00F7066F">
        <w:rPr>
          <w:b w:val="0"/>
          <w:sz w:val="20"/>
        </w:rPr>
        <w:t xml:space="preserve">ealth records, patient portals and </w:t>
      </w:r>
      <w:r w:rsidRPr="000925CB">
        <w:rPr>
          <w:b w:val="0"/>
          <w:sz w:val="20"/>
        </w:rPr>
        <w:t>health information systems including health knowledge management and e-learning for healthcare professionals</w:t>
      </w:r>
      <w:r w:rsidR="00F7066F">
        <w:rPr>
          <w:b w:val="0"/>
          <w:sz w:val="20"/>
        </w:rPr>
        <w:t>. Further these systems include</w:t>
      </w:r>
      <w:r w:rsidRPr="000925CB">
        <w:rPr>
          <w:b w:val="0"/>
          <w:sz w:val="20"/>
        </w:rPr>
        <w:t xml:space="preserve"> clinical decision support systems and remote patient monitoring and management</w:t>
      </w:r>
      <w:r w:rsidR="00F7066F">
        <w:rPr>
          <w:b w:val="0"/>
          <w:sz w:val="20"/>
        </w:rPr>
        <w:t xml:space="preserve"> </w:t>
      </w:r>
      <w:r w:rsidRPr="000925CB">
        <w:rPr>
          <w:b w:val="0"/>
          <w:sz w:val="20"/>
        </w:rPr>
        <w:t>applications to be used at home and on-move by patients and citizens</w:t>
      </w:r>
      <w:r w:rsidR="003F3FF5">
        <w:rPr>
          <w:b w:val="0"/>
          <w:sz w:val="20"/>
        </w:rPr>
        <w:t>.</w:t>
      </w:r>
      <w:r w:rsidR="00F7066F">
        <w:rPr>
          <w:b w:val="0"/>
          <w:sz w:val="20"/>
        </w:rPr>
        <w:t xml:space="preserve"> Wellnes</w:t>
      </w:r>
      <w:r w:rsidR="00F7066F" w:rsidRPr="000925CB">
        <w:rPr>
          <w:b w:val="0"/>
          <w:sz w:val="20"/>
        </w:rPr>
        <w:t xml:space="preserve"> and fitness</w:t>
      </w:r>
      <w:r w:rsidR="00F7066F">
        <w:rPr>
          <w:b w:val="0"/>
          <w:sz w:val="20"/>
        </w:rPr>
        <w:t xml:space="preserve"> applications should also be mentioned.</w:t>
      </w:r>
    </w:p>
    <w:p w14:paraId="0D6C235C" w14:textId="0B3809C0" w:rsidR="00866DFD" w:rsidRDefault="003E1AE2" w:rsidP="000925CB">
      <w:pPr>
        <w:pStyle w:val="ALevelOneHeader"/>
        <w:jc w:val="both"/>
        <w:rPr>
          <w:b w:val="0"/>
          <w:sz w:val="20"/>
        </w:rPr>
      </w:pPr>
      <w:r>
        <w:rPr>
          <w:b w:val="0"/>
          <w:sz w:val="20"/>
        </w:rPr>
        <w:t>An eHealth ecosystem is very dynamic system</w:t>
      </w:r>
      <w:r w:rsidR="000925CB" w:rsidRPr="000925CB">
        <w:rPr>
          <w:b w:val="0"/>
          <w:sz w:val="20"/>
        </w:rPr>
        <w:t xml:space="preserve"> that incorporate</w:t>
      </w:r>
      <w:r>
        <w:rPr>
          <w:b w:val="0"/>
          <w:sz w:val="20"/>
        </w:rPr>
        <w:t>s</w:t>
      </w:r>
      <w:r w:rsidR="000925CB" w:rsidRPr="000925CB">
        <w:rPr>
          <w:b w:val="0"/>
          <w:sz w:val="20"/>
        </w:rPr>
        <w:t xml:space="preserve"> </w:t>
      </w:r>
      <w:r w:rsidR="003F3FF5">
        <w:rPr>
          <w:b w:val="0"/>
          <w:sz w:val="20"/>
        </w:rPr>
        <w:t xml:space="preserve">a </w:t>
      </w:r>
      <w:r w:rsidR="000925CB" w:rsidRPr="000925CB">
        <w:rPr>
          <w:b w:val="0"/>
          <w:sz w:val="20"/>
        </w:rPr>
        <w:t>varying number of stakeholders. Ecosystem requires enabling information, communication, and empowerment mechanisms which make it possible for information and expertise to be accessed quickly and accurately to inform and guide the ecosystem ac</w:t>
      </w:r>
      <w:r>
        <w:rPr>
          <w:b w:val="0"/>
          <w:sz w:val="20"/>
        </w:rPr>
        <w:t>tivities and performance. An eH</w:t>
      </w:r>
      <w:r w:rsidR="000925CB" w:rsidRPr="000925CB">
        <w:rPr>
          <w:b w:val="0"/>
          <w:sz w:val="20"/>
        </w:rPr>
        <w:t>ealth ecosystem is very specific in the sense that political decision making has s</w:t>
      </w:r>
      <w:r w:rsidR="0045109E">
        <w:rPr>
          <w:b w:val="0"/>
          <w:sz w:val="20"/>
        </w:rPr>
        <w:t xml:space="preserve">trong effects on how </w:t>
      </w:r>
      <w:bookmarkStart w:id="0" w:name="_GoBack"/>
      <w:bookmarkEnd w:id="0"/>
      <w:r w:rsidR="0045109E">
        <w:rPr>
          <w:b w:val="0"/>
          <w:sz w:val="20"/>
        </w:rPr>
        <w:t>the health</w:t>
      </w:r>
      <w:r w:rsidR="000925CB" w:rsidRPr="000925CB">
        <w:rPr>
          <w:b w:val="0"/>
          <w:sz w:val="20"/>
        </w:rPr>
        <w:t xml:space="preserve">care services are organized and funded, and also, there is strong legal and normative regulation on how the services can be delivered, accessed, </w:t>
      </w:r>
      <w:r>
        <w:rPr>
          <w:b w:val="0"/>
          <w:sz w:val="20"/>
        </w:rPr>
        <w:t xml:space="preserve">disclosed, </w:t>
      </w:r>
      <w:r w:rsidR="000925CB" w:rsidRPr="000925CB">
        <w:rPr>
          <w:b w:val="0"/>
          <w:sz w:val="20"/>
        </w:rPr>
        <w:t>charge</w:t>
      </w:r>
      <w:r w:rsidR="00DE2B95">
        <w:rPr>
          <w:b w:val="0"/>
          <w:sz w:val="20"/>
        </w:rPr>
        <w:t>d and funded</w:t>
      </w:r>
      <w:r w:rsidR="00866DFD">
        <w:rPr>
          <w:b w:val="0"/>
          <w:sz w:val="20"/>
        </w:rPr>
        <w:t xml:space="preserve"> </w:t>
      </w:r>
      <w:r w:rsidR="00866DFD">
        <w:rPr>
          <w:b w:val="0"/>
          <w:sz w:val="20"/>
        </w:rPr>
        <w:fldChar w:fldCharType="begin"/>
      </w:r>
      <w:r w:rsidR="003F3FF5">
        <w:rPr>
          <w:b w:val="0"/>
          <w:sz w:val="20"/>
        </w:rPr>
        <w:instrText xml:space="preserve"> ADDIN EN.CITE &lt;EndNote&gt;&lt;Cite&gt;&lt;Author&gt;Nykänen&lt;/Author&gt;&lt;Year&gt;2017&lt;/Year&gt;&lt;RecNum&gt;14916&lt;/RecNum&gt;&lt;DisplayText&gt;[20]&lt;/DisplayText&gt;&lt;record&gt;&lt;rec-number&gt;14916&lt;/rec-number&gt;&lt;foreign-keys&gt;&lt;key app="EN" db-id="pwap2rxdjvpxdme5aryxtaxjz92wddvx5erd" timestamp="1492007736"&gt;14916&lt;/key&gt;&lt;/foreign-keys&gt;&lt;ref-type name="Book Section"&gt;5&lt;/ref-type&gt;&lt;contributors&gt;&lt;authors&gt;&lt;author&gt;Nykänen, Pirkko&lt;/author&gt;&lt;/authors&gt;&lt;secondary-authors&gt;&lt;author&gt;Vimarlund, V&lt;/author&gt;&lt;/secondary-authors&gt;&lt;/contributors&gt;&lt;titles&gt;&lt;title&gt;Implementation and evaluation of ehealth ecosystems in  two-sided markets&lt;/title&gt;&lt;secondary-title&gt;E-health two-sided markets –  Implementation and business models&lt;/secondary-title&gt;&lt;/titles&gt;&lt;pages&gt;125-142&lt;/pages&gt;&lt;dates&gt;&lt;year&gt;2017&lt;/year&gt;&lt;/dates&gt;&lt;publisher&gt;Elsevier Academic Press&lt;/publisher&gt;&lt;urls&gt;&lt;/urls&gt;&lt;/record&gt;&lt;/Cite&gt;&lt;/EndNote&gt;</w:instrText>
      </w:r>
      <w:r w:rsidR="00866DFD">
        <w:rPr>
          <w:b w:val="0"/>
          <w:sz w:val="20"/>
        </w:rPr>
        <w:fldChar w:fldCharType="separate"/>
      </w:r>
      <w:r w:rsidR="00866DFD">
        <w:rPr>
          <w:b w:val="0"/>
          <w:sz w:val="20"/>
        </w:rPr>
        <w:t>[20]</w:t>
      </w:r>
      <w:r w:rsidR="00866DFD">
        <w:rPr>
          <w:b w:val="0"/>
          <w:sz w:val="20"/>
        </w:rPr>
        <w:fldChar w:fldCharType="end"/>
      </w:r>
      <w:r w:rsidR="00866DFD">
        <w:rPr>
          <w:b w:val="0"/>
          <w:sz w:val="20"/>
        </w:rPr>
        <w:t xml:space="preserve">. </w:t>
      </w:r>
      <w:r>
        <w:rPr>
          <w:b w:val="0"/>
          <w:sz w:val="20"/>
        </w:rPr>
        <w:t>Typical for an eH</w:t>
      </w:r>
      <w:r w:rsidR="000925CB" w:rsidRPr="000925CB">
        <w:rPr>
          <w:b w:val="0"/>
          <w:sz w:val="20"/>
        </w:rPr>
        <w:t>ealth ecosystem today is that</w:t>
      </w:r>
      <w:r>
        <w:rPr>
          <w:b w:val="0"/>
          <w:sz w:val="20"/>
        </w:rPr>
        <w:t xml:space="preserve"> the </w:t>
      </w:r>
      <w:r w:rsidR="000925CB" w:rsidRPr="000925CB">
        <w:rPr>
          <w:b w:val="0"/>
          <w:sz w:val="20"/>
        </w:rPr>
        <w:t>services, e.g. electronic health records, need to be delivered online, across distinct organizational</w:t>
      </w:r>
      <w:r>
        <w:rPr>
          <w:b w:val="0"/>
          <w:sz w:val="20"/>
        </w:rPr>
        <w:t xml:space="preserve">, regional </w:t>
      </w:r>
      <w:r w:rsidR="003F3FF5">
        <w:rPr>
          <w:b w:val="0"/>
          <w:sz w:val="20"/>
        </w:rPr>
        <w:t xml:space="preserve">or </w:t>
      </w:r>
      <w:r w:rsidR="003F3FF5">
        <w:rPr>
          <w:b w:val="0"/>
          <w:sz w:val="20"/>
        </w:rPr>
        <w:lastRenderedPageBreak/>
        <w:t xml:space="preserve">even </w:t>
      </w:r>
      <w:r w:rsidR="000925CB" w:rsidRPr="000925CB">
        <w:rPr>
          <w:b w:val="0"/>
          <w:sz w:val="20"/>
        </w:rPr>
        <w:t>national borders. This requires that an ecosystem is composed of interconnected stakeholders, each one with a mission to improve the quality of care. To ensure in this situation the patient safety and quality care the stakeholders build new relationships, often outsid</w:t>
      </w:r>
      <w:r w:rsidR="0045109E">
        <w:rPr>
          <w:b w:val="0"/>
          <w:sz w:val="20"/>
        </w:rPr>
        <w:t>e the health</w:t>
      </w:r>
      <w:r>
        <w:rPr>
          <w:b w:val="0"/>
          <w:sz w:val="20"/>
        </w:rPr>
        <w:t>care organization,</w:t>
      </w:r>
      <w:r w:rsidR="003F3FF5">
        <w:rPr>
          <w:b w:val="0"/>
          <w:sz w:val="20"/>
        </w:rPr>
        <w:t xml:space="preserve"> </w:t>
      </w:r>
      <w:r w:rsidR="00DE2B95">
        <w:rPr>
          <w:b w:val="0"/>
          <w:sz w:val="20"/>
        </w:rPr>
        <w:t xml:space="preserve">e.g. </w:t>
      </w:r>
      <w:r>
        <w:rPr>
          <w:b w:val="0"/>
          <w:sz w:val="20"/>
        </w:rPr>
        <w:t xml:space="preserve">develop new </w:t>
      </w:r>
      <w:r w:rsidR="00DE2B95">
        <w:rPr>
          <w:b w:val="0"/>
          <w:sz w:val="20"/>
        </w:rPr>
        <w:t xml:space="preserve">types of </w:t>
      </w:r>
      <w:r>
        <w:rPr>
          <w:b w:val="0"/>
          <w:sz w:val="20"/>
        </w:rPr>
        <w:t>public-private partnerships</w:t>
      </w:r>
      <w:r w:rsidR="00DE2B95">
        <w:rPr>
          <w:b w:val="0"/>
          <w:sz w:val="20"/>
        </w:rPr>
        <w:t xml:space="preserve"> </w:t>
      </w:r>
      <w:r w:rsidR="00866DFD">
        <w:rPr>
          <w:b w:val="0"/>
          <w:sz w:val="20"/>
        </w:rPr>
        <w:fldChar w:fldCharType="begin"/>
      </w:r>
      <w:r w:rsidR="004A346D">
        <w:rPr>
          <w:b w:val="0"/>
          <w:sz w:val="20"/>
        </w:rPr>
        <w:instrText xml:space="preserve"> ADDIN EN.CITE &lt;EndNote&gt;&lt;Cite&gt;&lt;Author&gt;Bibin&lt;/Author&gt;&lt;Year&gt;2014&lt;/Year&gt;&lt;RecNum&gt;14915&lt;/RecNum&gt;&lt;DisplayText&gt;[3]&lt;/DisplayText&gt;&lt;record&gt;&lt;rec-number&gt;14915&lt;/rec-number&gt;&lt;foreign-keys&gt;&lt;key app="EN" db-id="pwap2rxdjvpxdme5aryxtaxjz92wddvx5erd" timestamp="1492007479"&gt;14915&lt;/key&gt;&lt;/foreign-keys&gt;&lt;ref-type name="Electronic Article"&gt;43&lt;/ref-type&gt;&lt;contributors&gt;&lt;authors&gt;&lt;author&gt;Bibin, T&lt;/author&gt;&lt;/authors&gt;&lt;/contributors&gt;&lt;titles&gt;&lt;title&gt;The new healthcare ecosystems – 5 emerging relationships&lt;/title&gt;&lt;secondary-title&gt;Becker&amp;apos;s Hospital Review&lt;/secondary-title&gt;&lt;/titles&gt;&lt;periodical&gt;&lt;full-title&gt;Becker&amp;apos;s Hospital Review&lt;/full-title&gt;&lt;/periodical&gt;&lt;number&gt;3.10.2014&lt;/number&gt;&lt;dates&gt;&lt;year&gt;2014&lt;/year&gt;&lt;pub-dates&gt;&lt;date&gt;12.4.2017&lt;/date&gt;&lt;/pub-dates&gt;&lt;/dates&gt;&lt;publisher&gt;ASC Communications&lt;/publisher&gt;&lt;urls&gt;&lt;related-urls&gt;&lt;url&gt;http://www.beckershospitalreview.com/hospital-management-administration/the-new-healthcare-ecosystem-5-emerging-relationships.html&lt;/url&gt;&lt;/related-urls&gt;&lt;/urls&gt;&lt;/record&gt;&lt;/Cite&gt;&lt;/EndNote&gt;</w:instrText>
      </w:r>
      <w:r w:rsidR="00866DFD">
        <w:rPr>
          <w:b w:val="0"/>
          <w:sz w:val="20"/>
        </w:rPr>
        <w:fldChar w:fldCharType="separate"/>
      </w:r>
      <w:r w:rsidR="00866DFD">
        <w:rPr>
          <w:b w:val="0"/>
          <w:sz w:val="20"/>
        </w:rPr>
        <w:t>[3]</w:t>
      </w:r>
      <w:r w:rsidR="00866DFD">
        <w:rPr>
          <w:b w:val="0"/>
          <w:sz w:val="20"/>
        </w:rPr>
        <w:fldChar w:fldCharType="end"/>
      </w:r>
      <w:r w:rsidR="00866DFD">
        <w:rPr>
          <w:b w:val="0"/>
          <w:sz w:val="20"/>
        </w:rPr>
        <w:t>.</w:t>
      </w:r>
    </w:p>
    <w:p w14:paraId="1D3A12BE" w14:textId="62653739" w:rsidR="000925CB" w:rsidRPr="000925CB" w:rsidRDefault="003E1AE2" w:rsidP="000925CB">
      <w:pPr>
        <w:pStyle w:val="ALevelOneHeader"/>
        <w:jc w:val="both"/>
        <w:rPr>
          <w:b w:val="0"/>
          <w:sz w:val="20"/>
        </w:rPr>
      </w:pPr>
      <w:r>
        <w:rPr>
          <w:b w:val="0"/>
          <w:sz w:val="20"/>
        </w:rPr>
        <w:t>The ecosystem approach on eH</w:t>
      </w:r>
      <w:r w:rsidR="000925CB" w:rsidRPr="000925CB">
        <w:rPr>
          <w:b w:val="0"/>
          <w:sz w:val="20"/>
        </w:rPr>
        <w:t>ealth systems and applications</w:t>
      </w:r>
      <w:r>
        <w:rPr>
          <w:b w:val="0"/>
          <w:sz w:val="20"/>
        </w:rPr>
        <w:t xml:space="preserve">, especially in this new nation-wide social and healthcare reform context, </w:t>
      </w:r>
      <w:r w:rsidR="0045109E">
        <w:rPr>
          <w:b w:val="0"/>
          <w:sz w:val="20"/>
        </w:rPr>
        <w:t>helps health</w:t>
      </w:r>
      <w:r w:rsidR="000925CB" w:rsidRPr="000925CB">
        <w:rPr>
          <w:b w:val="0"/>
          <w:sz w:val="20"/>
        </w:rPr>
        <w:t xml:space="preserve">care organizations and e-health stakeholders </w:t>
      </w:r>
      <w:r>
        <w:rPr>
          <w:b w:val="0"/>
          <w:sz w:val="20"/>
        </w:rPr>
        <w:t xml:space="preserve">to create </w:t>
      </w:r>
      <w:r w:rsidR="000925CB" w:rsidRPr="000925CB">
        <w:rPr>
          <w:b w:val="0"/>
          <w:sz w:val="20"/>
        </w:rPr>
        <w:t xml:space="preserve">business models </w:t>
      </w:r>
      <w:r>
        <w:rPr>
          <w:b w:val="0"/>
          <w:sz w:val="20"/>
        </w:rPr>
        <w:t xml:space="preserve">based on collaborative service production and thus </w:t>
      </w:r>
      <w:r w:rsidR="000925CB" w:rsidRPr="000925CB">
        <w:rPr>
          <w:b w:val="0"/>
          <w:sz w:val="20"/>
        </w:rPr>
        <w:t xml:space="preserve">improve collaboration and communication between the stakeholders.  The actors, partners of the ecosystem </w:t>
      </w:r>
      <w:r>
        <w:rPr>
          <w:b w:val="0"/>
          <w:sz w:val="20"/>
        </w:rPr>
        <w:t xml:space="preserve">need to </w:t>
      </w:r>
      <w:r w:rsidR="000925CB" w:rsidRPr="000925CB">
        <w:rPr>
          <w:b w:val="0"/>
          <w:sz w:val="20"/>
        </w:rPr>
        <w:t xml:space="preserve">share the common objectives of the system and benefit from collaboration, create shared value, and when they have adequate tools and means communication and collaboration will be active and support the ecosystem sustainability. </w:t>
      </w:r>
    </w:p>
    <w:p w14:paraId="43C0E7EF" w14:textId="77E604E0" w:rsidR="003E1AE2" w:rsidRDefault="003E1AE2" w:rsidP="003E1AE2">
      <w:pPr>
        <w:pStyle w:val="ALevelOneHeader"/>
        <w:jc w:val="both"/>
        <w:rPr>
          <w:b w:val="0"/>
          <w:sz w:val="20"/>
        </w:rPr>
      </w:pPr>
      <w:r>
        <w:rPr>
          <w:b w:val="0"/>
          <w:sz w:val="20"/>
        </w:rPr>
        <w:t>eH</w:t>
      </w:r>
      <w:r w:rsidR="000925CB" w:rsidRPr="000925CB">
        <w:rPr>
          <w:b w:val="0"/>
          <w:sz w:val="20"/>
        </w:rPr>
        <w:t xml:space="preserve">ealth </w:t>
      </w:r>
      <w:r w:rsidR="00DE2B95">
        <w:rPr>
          <w:b w:val="0"/>
          <w:sz w:val="20"/>
        </w:rPr>
        <w:t>ecosystem</w:t>
      </w:r>
      <w:r w:rsidR="000925CB" w:rsidRPr="000925CB">
        <w:rPr>
          <w:b w:val="0"/>
          <w:sz w:val="20"/>
        </w:rPr>
        <w:t xml:space="preserve"> </w:t>
      </w:r>
      <w:r>
        <w:rPr>
          <w:b w:val="0"/>
          <w:sz w:val="20"/>
        </w:rPr>
        <w:t xml:space="preserve">can provide </w:t>
      </w:r>
      <w:r w:rsidR="000925CB" w:rsidRPr="000925CB">
        <w:rPr>
          <w:b w:val="0"/>
          <w:sz w:val="20"/>
        </w:rPr>
        <w:t>many po</w:t>
      </w:r>
      <w:r w:rsidR="0045109E">
        <w:rPr>
          <w:b w:val="0"/>
          <w:sz w:val="20"/>
        </w:rPr>
        <w:t>tential benefits for the health</w:t>
      </w:r>
      <w:r w:rsidR="000925CB" w:rsidRPr="000925CB">
        <w:rPr>
          <w:b w:val="0"/>
          <w:sz w:val="20"/>
        </w:rPr>
        <w:t>care professionals and organizations and patients and ci</w:t>
      </w:r>
      <w:r>
        <w:rPr>
          <w:b w:val="0"/>
          <w:sz w:val="20"/>
        </w:rPr>
        <w:t xml:space="preserve">tizens and for </w:t>
      </w:r>
      <w:r w:rsidR="000925CB" w:rsidRPr="000925CB">
        <w:rPr>
          <w:b w:val="0"/>
          <w:sz w:val="20"/>
        </w:rPr>
        <w:t>industrial suppliers. H</w:t>
      </w:r>
      <w:r w:rsidR="00DE2B95">
        <w:rPr>
          <w:b w:val="0"/>
          <w:sz w:val="20"/>
        </w:rPr>
        <w:t>owever, creating sustainable eH</w:t>
      </w:r>
      <w:r w:rsidR="000925CB" w:rsidRPr="000925CB">
        <w:rPr>
          <w:b w:val="0"/>
          <w:sz w:val="20"/>
        </w:rPr>
        <w:t>ealth ecosystems requires that all stakeholders’ opinions and needs are taken into account for ecosystem</w:t>
      </w:r>
      <w:r>
        <w:rPr>
          <w:b w:val="0"/>
          <w:sz w:val="20"/>
        </w:rPr>
        <w:t xml:space="preserve"> </w:t>
      </w:r>
      <w:r w:rsidR="000925CB" w:rsidRPr="000925CB">
        <w:rPr>
          <w:b w:val="0"/>
          <w:sz w:val="20"/>
        </w:rPr>
        <w:t>success and sustainability. Sustainability is important because the benefits often can be achieved only over a period of time.</w:t>
      </w:r>
      <w:r>
        <w:rPr>
          <w:b w:val="0"/>
          <w:sz w:val="20"/>
        </w:rPr>
        <w:t xml:space="preserve"> This kind of approach is very relevant</w:t>
      </w:r>
      <w:r w:rsidR="00E74B63">
        <w:rPr>
          <w:b w:val="0"/>
          <w:sz w:val="20"/>
        </w:rPr>
        <w:t xml:space="preserve">, </w:t>
      </w:r>
      <w:r>
        <w:rPr>
          <w:b w:val="0"/>
          <w:sz w:val="20"/>
        </w:rPr>
        <w:t>essential</w:t>
      </w:r>
      <w:r w:rsidR="00A42A8B">
        <w:rPr>
          <w:b w:val="0"/>
          <w:sz w:val="20"/>
        </w:rPr>
        <w:t xml:space="preserve">, and necessary  </w:t>
      </w:r>
      <w:r w:rsidR="00DE2B95">
        <w:rPr>
          <w:b w:val="0"/>
          <w:sz w:val="20"/>
        </w:rPr>
        <w:t xml:space="preserve">for the </w:t>
      </w:r>
      <w:r w:rsidR="00E74B63">
        <w:rPr>
          <w:b w:val="0"/>
          <w:sz w:val="20"/>
        </w:rPr>
        <w:t xml:space="preserve">successful </w:t>
      </w:r>
      <w:r w:rsidR="00DE2B95">
        <w:rPr>
          <w:b w:val="0"/>
          <w:sz w:val="20"/>
        </w:rPr>
        <w:t xml:space="preserve">governance and management of our </w:t>
      </w:r>
      <w:r w:rsidR="0045109E">
        <w:rPr>
          <w:b w:val="0"/>
          <w:sz w:val="20"/>
        </w:rPr>
        <w:t>planned social and health</w:t>
      </w:r>
      <w:r>
        <w:rPr>
          <w:b w:val="0"/>
          <w:sz w:val="20"/>
        </w:rPr>
        <w:t xml:space="preserve">care reform. </w:t>
      </w:r>
    </w:p>
    <w:p w14:paraId="3C0536B1" w14:textId="5A8E94EA" w:rsidR="008F30A7" w:rsidRPr="00FB07AC" w:rsidRDefault="008F30A7" w:rsidP="003E1AE2">
      <w:pPr>
        <w:pStyle w:val="ALevelOneHeader"/>
        <w:jc w:val="both"/>
      </w:pPr>
      <w:r>
        <w:t>Conclusion</w:t>
      </w:r>
      <w:r w:rsidR="000F720A">
        <w:t>s</w:t>
      </w:r>
    </w:p>
    <w:p w14:paraId="547702B8" w14:textId="5D3BF25D" w:rsidR="00483099" w:rsidRDefault="0011479F" w:rsidP="0011479F">
      <w:pPr>
        <w:jc w:val="both"/>
        <w:rPr>
          <w:lang w:eastAsia="en-US"/>
        </w:rPr>
      </w:pPr>
      <w:r>
        <w:rPr>
          <w:lang w:eastAsia="en-US"/>
        </w:rPr>
        <w:t>Our explorative journey confirmed that terminology and thinking on greenfield and brownfield domain engineering fits well even to the social</w:t>
      </w:r>
      <w:r w:rsidR="0045109E">
        <w:rPr>
          <w:lang w:eastAsia="en-US"/>
        </w:rPr>
        <w:t xml:space="preserve"> and health</w:t>
      </w:r>
      <w:r>
        <w:rPr>
          <w:lang w:eastAsia="en-US"/>
        </w:rPr>
        <w:t>care domain information systems development.  This to a great amount in health</w:t>
      </w:r>
      <w:r w:rsidR="0045109E">
        <w:rPr>
          <w:lang w:eastAsia="en-US"/>
        </w:rPr>
        <w:t>-</w:t>
      </w:r>
      <w:r>
        <w:rPr>
          <w:lang w:eastAsia="en-US"/>
        </w:rPr>
        <w:t xml:space="preserve"> and social care IS development untapped theoretical construction and stream of literature and research offers new avenues and insights to research in health- and social care IS.</w:t>
      </w:r>
    </w:p>
    <w:p w14:paraId="50C217D2" w14:textId="77777777" w:rsidR="0011479F" w:rsidRDefault="0011479F" w:rsidP="0011479F">
      <w:pPr>
        <w:jc w:val="both"/>
        <w:rPr>
          <w:lang w:eastAsia="en-US"/>
        </w:rPr>
      </w:pPr>
    </w:p>
    <w:p w14:paraId="4118AF14" w14:textId="254AD780" w:rsidR="0011479F" w:rsidRDefault="0011479F" w:rsidP="0011479F">
      <w:pPr>
        <w:jc w:val="both"/>
        <w:rPr>
          <w:lang w:eastAsia="en-US"/>
        </w:rPr>
      </w:pPr>
      <w:r>
        <w:rPr>
          <w:lang w:eastAsia="en-US"/>
        </w:rPr>
        <w:t>In reality healthcare is plagued with brownfield elements that hamper new openings of IS in the domain.  Social</w:t>
      </w:r>
      <w:r w:rsidR="0099792F">
        <w:rPr>
          <w:lang w:eastAsia="en-US"/>
        </w:rPr>
        <w:t xml:space="preserve"> care is having less past burde</w:t>
      </w:r>
      <w:r>
        <w:rPr>
          <w:lang w:eastAsia="en-US"/>
        </w:rPr>
        <w:t xml:space="preserve">n, especially in IS governance, but even there old traditions might heavily hamper new development ideas. </w:t>
      </w:r>
    </w:p>
    <w:p w14:paraId="7F0E5491" w14:textId="77777777" w:rsidR="0099792F" w:rsidRDefault="0099792F" w:rsidP="0011479F">
      <w:pPr>
        <w:jc w:val="both"/>
        <w:rPr>
          <w:lang w:eastAsia="en-US"/>
        </w:rPr>
      </w:pPr>
    </w:p>
    <w:p w14:paraId="63CF34D6" w14:textId="7FE571EA" w:rsidR="0099792F" w:rsidRDefault="0099792F" w:rsidP="0011479F">
      <w:pPr>
        <w:jc w:val="both"/>
        <w:rPr>
          <w:lang w:eastAsia="en-US"/>
        </w:rPr>
      </w:pPr>
      <w:r>
        <w:rPr>
          <w:lang w:eastAsia="en-US"/>
        </w:rPr>
        <w:t>A lot of long-term IS planning in the form of architectures is taking place in the Finnish health</w:t>
      </w:r>
      <w:r w:rsidR="0045109E">
        <w:rPr>
          <w:lang w:eastAsia="en-US"/>
        </w:rPr>
        <w:t>-</w:t>
      </w:r>
      <w:r>
        <w:rPr>
          <w:lang w:eastAsia="en-US"/>
        </w:rPr>
        <w:t xml:space="preserve"> and social care domain.  We can easily see that the development initiatives are forming an archipelago, with few bridges between the different plans and a lot of overlapping work. </w:t>
      </w:r>
    </w:p>
    <w:p w14:paraId="4DD09A48" w14:textId="77777777" w:rsidR="00D5501A" w:rsidRDefault="00D5501A" w:rsidP="0011479F">
      <w:pPr>
        <w:jc w:val="both"/>
        <w:rPr>
          <w:lang w:eastAsia="en-US"/>
        </w:rPr>
      </w:pPr>
    </w:p>
    <w:p w14:paraId="56BB89EE" w14:textId="2B29838A" w:rsidR="00D5501A" w:rsidRDefault="00D5501A" w:rsidP="0011479F">
      <w:pPr>
        <w:jc w:val="both"/>
        <w:rPr>
          <w:lang w:eastAsia="en-US"/>
        </w:rPr>
      </w:pPr>
      <w:r>
        <w:rPr>
          <w:lang w:eastAsia="en-US"/>
        </w:rPr>
        <w:t>Incremental commitment building is a key to success in brownfield domain engineering projects. Listening to different stakeholders and allowing them to make their real input to the future IS governance arrangements is an enabler of success, but of course not yet a silver bullet.  The cost of this approach is most likely a lot of superimposed work, but this is the cost that has to be paid for consensus.  Allowing wide groups of stakeholders to co-produce the plans also serves educational and learning purposes.</w:t>
      </w:r>
    </w:p>
    <w:p w14:paraId="7C782A01" w14:textId="77777777" w:rsidR="0099792F" w:rsidRDefault="0099792F" w:rsidP="0011479F">
      <w:pPr>
        <w:jc w:val="both"/>
        <w:rPr>
          <w:lang w:eastAsia="en-US"/>
        </w:rPr>
      </w:pPr>
    </w:p>
    <w:p w14:paraId="150C6F19" w14:textId="758163FA" w:rsidR="0011479F" w:rsidRDefault="0099792F" w:rsidP="0099792F">
      <w:pPr>
        <w:jc w:val="both"/>
        <w:rPr>
          <w:lang w:eastAsia="en-US"/>
        </w:rPr>
      </w:pPr>
      <w:r>
        <w:rPr>
          <w:lang w:eastAsia="en-US"/>
        </w:rPr>
        <w:t>Our proposal for a fresh approach is more underlining the nature of an ecosystems of the health</w:t>
      </w:r>
      <w:r w:rsidR="0045109E">
        <w:rPr>
          <w:lang w:eastAsia="en-US"/>
        </w:rPr>
        <w:t>-</w:t>
      </w:r>
      <w:r>
        <w:rPr>
          <w:lang w:eastAsia="en-US"/>
        </w:rPr>
        <w:t xml:space="preserve"> and social care domain.  </w:t>
      </w:r>
      <w:r>
        <w:rPr>
          <w:lang w:eastAsia="en-US"/>
        </w:rPr>
        <w:t>Rational top-down planning will never harness the realities of the domain – even not in a small country like Finland.  Rather we need more focus on the understanding on how the health</w:t>
      </w:r>
      <w:r w:rsidR="0045109E">
        <w:rPr>
          <w:lang w:eastAsia="en-US"/>
        </w:rPr>
        <w:t>-</w:t>
      </w:r>
      <w:r>
        <w:rPr>
          <w:lang w:eastAsia="en-US"/>
        </w:rPr>
        <w:t xml:space="preserve"> and social care ecosystem works, and how IS as a sub-ecosystem in the area works.  </w:t>
      </w:r>
    </w:p>
    <w:p w14:paraId="74B027E1" w14:textId="77777777" w:rsidR="00483099" w:rsidRDefault="00483099" w:rsidP="00581235">
      <w:pPr>
        <w:ind w:left="270" w:hanging="270"/>
        <w:rPr>
          <w:lang w:eastAsia="en-US"/>
        </w:rPr>
      </w:pPr>
    </w:p>
    <w:p w14:paraId="24F6D72E" w14:textId="7EFF7516" w:rsidR="00483099" w:rsidRDefault="00483099" w:rsidP="00581235">
      <w:pPr>
        <w:rPr>
          <w:b/>
        </w:rPr>
      </w:pPr>
      <w:r>
        <w:rPr>
          <w:b/>
        </w:rPr>
        <w:t>Address for correspondence</w:t>
      </w:r>
    </w:p>
    <w:p w14:paraId="36C00152" w14:textId="77777777" w:rsidR="00483099" w:rsidRDefault="00483099" w:rsidP="00581235">
      <w:pPr>
        <w:rPr>
          <w:b/>
        </w:rPr>
      </w:pPr>
    </w:p>
    <w:p w14:paraId="76328A16" w14:textId="1141544F" w:rsidR="00C52A60" w:rsidRDefault="00C52A60" w:rsidP="00C52A60">
      <w:pPr>
        <w:pStyle w:val="EndNoteBibliography"/>
      </w:pPr>
      <w:r>
        <w:t>Professor Reima Suomi</w:t>
      </w:r>
    </w:p>
    <w:p w14:paraId="43182B48" w14:textId="1269B4D2" w:rsidR="00C52A60" w:rsidRDefault="00C52A60" w:rsidP="00C52A60">
      <w:pPr>
        <w:pStyle w:val="EndNoteBibliography"/>
      </w:pPr>
      <w:r>
        <w:t xml:space="preserve">University of Turku, Finland, </w:t>
      </w:r>
      <w:hyperlink r:id="rId8" w:history="1">
        <w:r w:rsidRPr="001A6338">
          <w:rPr>
            <w:rStyle w:val="Hyperlink"/>
          </w:rPr>
          <w:t>reima.suomi@utu.fi</w:t>
        </w:r>
      </w:hyperlink>
    </w:p>
    <w:p w14:paraId="124C1B71" w14:textId="77777777" w:rsidR="00C52A60" w:rsidRDefault="00C52A60" w:rsidP="00C52A60">
      <w:pPr>
        <w:pStyle w:val="EndNoteBibliography"/>
      </w:pPr>
    </w:p>
    <w:p w14:paraId="168B20DA" w14:textId="68517A06" w:rsidR="00373AE0" w:rsidRDefault="00C52A60" w:rsidP="0099792F">
      <w:pPr>
        <w:pStyle w:val="ALevelOneHeader"/>
        <w:rPr>
          <w:sz w:val="18"/>
          <w:szCs w:val="18"/>
        </w:rPr>
      </w:pPr>
      <w:r w:rsidRPr="00FB07AC">
        <w:t>Referenc</w:t>
      </w:r>
      <w:r>
        <w:t>es</w:t>
      </w:r>
    </w:p>
    <w:p w14:paraId="4E132102" w14:textId="77777777" w:rsidR="005237CD" w:rsidRPr="005237CD" w:rsidRDefault="00373AE0" w:rsidP="00F21ABD">
      <w:pPr>
        <w:pStyle w:val="EndNoteBibliography"/>
        <w:ind w:left="426" w:hanging="426"/>
        <w:jc w:val="both"/>
      </w:pPr>
      <w:r>
        <w:rPr>
          <w:sz w:val="18"/>
          <w:szCs w:val="18"/>
        </w:rPr>
        <w:fldChar w:fldCharType="begin"/>
      </w:r>
      <w:r>
        <w:rPr>
          <w:sz w:val="18"/>
          <w:szCs w:val="18"/>
        </w:rPr>
        <w:instrText xml:space="preserve"> ADDIN EN.REFLIST </w:instrText>
      </w:r>
      <w:r>
        <w:rPr>
          <w:sz w:val="18"/>
          <w:szCs w:val="18"/>
        </w:rPr>
        <w:fldChar w:fldCharType="separate"/>
      </w:r>
      <w:r w:rsidR="005237CD" w:rsidRPr="005237CD">
        <w:t>[1]</w:t>
      </w:r>
      <w:r w:rsidR="005237CD" w:rsidRPr="005237CD">
        <w:tab/>
        <w:t xml:space="preserve">G. Arango, Domain Analysis - From Art Form to Engineering Discipline, in: </w:t>
      </w:r>
      <w:r w:rsidR="005237CD" w:rsidRPr="005237CD">
        <w:rPr>
          <w:i/>
        </w:rPr>
        <w:t>The 5th International Workshop on Software Specification and Design</w:t>
      </w:r>
      <w:r w:rsidR="005237CD" w:rsidRPr="005237CD">
        <w:t>, ACM, Pittsburg, 1989, pp. 152-159.</w:t>
      </w:r>
    </w:p>
    <w:p w14:paraId="1C47C32C" w14:textId="77777777" w:rsidR="005237CD" w:rsidRPr="005237CD" w:rsidRDefault="005237CD" w:rsidP="00F21ABD">
      <w:pPr>
        <w:pStyle w:val="EndNoteBibliography"/>
        <w:ind w:left="426" w:hanging="426"/>
        <w:jc w:val="both"/>
      </w:pPr>
      <w:r w:rsidRPr="005237CD">
        <w:t>[2]</w:t>
      </w:r>
      <w:r w:rsidRPr="005237CD">
        <w:tab/>
        <w:t xml:space="preserve">S.P. Bate and G. Robert, Knowledge management and communities of practice in the private sector: lessons for modernizing the National Health Service in England and Wales, </w:t>
      </w:r>
      <w:r w:rsidRPr="005237CD">
        <w:rPr>
          <w:i/>
        </w:rPr>
        <w:t>Public Administration</w:t>
      </w:r>
      <w:r w:rsidRPr="005237CD">
        <w:t xml:space="preserve"> </w:t>
      </w:r>
      <w:r w:rsidRPr="005237CD">
        <w:rPr>
          <w:b/>
        </w:rPr>
        <w:t>80</w:t>
      </w:r>
      <w:r w:rsidRPr="005237CD">
        <w:t xml:space="preserve"> (2002), 643-663.</w:t>
      </w:r>
    </w:p>
    <w:p w14:paraId="1B07A48F" w14:textId="77777777" w:rsidR="005237CD" w:rsidRPr="005237CD" w:rsidRDefault="005237CD" w:rsidP="00F21ABD">
      <w:pPr>
        <w:pStyle w:val="EndNoteBibliography"/>
        <w:ind w:left="426" w:hanging="426"/>
        <w:jc w:val="both"/>
      </w:pPr>
      <w:r w:rsidRPr="005237CD">
        <w:t>[3]</w:t>
      </w:r>
      <w:r w:rsidRPr="005237CD">
        <w:tab/>
        <w:t xml:space="preserve">T. Bibin, The new healthcare ecosystems – 5 emerging relationships, in: </w:t>
      </w:r>
      <w:r w:rsidRPr="005237CD">
        <w:rPr>
          <w:i/>
        </w:rPr>
        <w:t>Becker's Hospital Review</w:t>
      </w:r>
      <w:r w:rsidRPr="005237CD">
        <w:t>, ASC Communications, 2014.</w:t>
      </w:r>
    </w:p>
    <w:p w14:paraId="435CC72A" w14:textId="77777777" w:rsidR="005237CD" w:rsidRPr="005237CD" w:rsidRDefault="005237CD" w:rsidP="00F21ABD">
      <w:pPr>
        <w:pStyle w:val="EndNoteBibliography"/>
        <w:ind w:left="426" w:hanging="426"/>
        <w:jc w:val="both"/>
      </w:pPr>
      <w:r w:rsidRPr="005237CD">
        <w:t>[4]</w:t>
      </w:r>
      <w:r w:rsidRPr="005237CD">
        <w:tab/>
        <w:t xml:space="preserve">B. Boehm, Applying the Incremental Commitment Model to Brownfield Systems Development, in: </w:t>
      </w:r>
      <w:r w:rsidRPr="005237CD">
        <w:rPr>
          <w:i/>
        </w:rPr>
        <w:t>7th Annual Conference on Systems Engineering Research</w:t>
      </w:r>
      <w:r w:rsidRPr="005237CD">
        <w:t>, Loughborough, 2009.</w:t>
      </w:r>
    </w:p>
    <w:p w14:paraId="5A1EA626" w14:textId="77777777" w:rsidR="005237CD" w:rsidRPr="005237CD" w:rsidRDefault="005237CD" w:rsidP="00F21ABD">
      <w:pPr>
        <w:pStyle w:val="EndNoteBibliography"/>
        <w:ind w:left="426" w:hanging="426"/>
        <w:jc w:val="both"/>
      </w:pPr>
      <w:r w:rsidRPr="005237CD">
        <w:t>[5]</w:t>
      </w:r>
      <w:r w:rsidRPr="005237CD">
        <w:tab/>
        <w:t xml:space="preserve">L. Borowik and A. Cywiński, Modernization of a trolleybus line system in Tychy as an example of eco-efficient initiative towards a sustainable transport system, </w:t>
      </w:r>
      <w:r w:rsidRPr="005237CD">
        <w:rPr>
          <w:i/>
        </w:rPr>
        <w:t>Journal of Cleaner Production</w:t>
      </w:r>
      <w:r w:rsidRPr="005237CD">
        <w:t xml:space="preserve"> </w:t>
      </w:r>
      <w:r w:rsidRPr="005237CD">
        <w:rPr>
          <w:b/>
        </w:rPr>
        <w:t>117</w:t>
      </w:r>
      <w:r w:rsidRPr="005237CD">
        <w:t xml:space="preserve"> (2016), 188-198.</w:t>
      </w:r>
    </w:p>
    <w:p w14:paraId="4D689EA9" w14:textId="77777777" w:rsidR="005237CD" w:rsidRPr="005237CD" w:rsidRDefault="005237CD" w:rsidP="00F21ABD">
      <w:pPr>
        <w:pStyle w:val="EndNoteBibliography"/>
        <w:ind w:left="426" w:hanging="426"/>
        <w:jc w:val="both"/>
      </w:pPr>
      <w:r w:rsidRPr="005237CD">
        <w:t>[6]</w:t>
      </w:r>
      <w:r w:rsidRPr="005237CD">
        <w:tab/>
        <w:t xml:space="preserve">C. Chang, An Empirical Investigation of Procurement System Selection: A Transaction Cost Explanation, in: </w:t>
      </w:r>
      <w:r w:rsidRPr="005237CD">
        <w:rPr>
          <w:i/>
        </w:rPr>
        <w:t>IEEE International Conference on Engineering Management and Service Sciences (EMS 2010)</w:t>
      </w:r>
      <w:r w:rsidRPr="005237CD">
        <w:t>, Beijing, China, 2010.</w:t>
      </w:r>
    </w:p>
    <w:p w14:paraId="0AAB1C9B" w14:textId="77777777" w:rsidR="005237CD" w:rsidRPr="005237CD" w:rsidRDefault="005237CD" w:rsidP="00F21ABD">
      <w:pPr>
        <w:pStyle w:val="EndNoteBibliography"/>
        <w:ind w:left="426" w:hanging="426"/>
        <w:jc w:val="both"/>
      </w:pPr>
      <w:r w:rsidRPr="005237CD">
        <w:t>[7]</w:t>
      </w:r>
      <w:r w:rsidRPr="005237CD">
        <w:tab/>
        <w:t xml:space="preserve">J.W. Creswell and V.L.P. Clark, </w:t>
      </w:r>
      <w:r w:rsidRPr="005237CD">
        <w:rPr>
          <w:i/>
        </w:rPr>
        <w:t>Designing and conducting mixed methods research</w:t>
      </w:r>
      <w:r w:rsidRPr="005237CD">
        <w:t>, SAGE Publishing., 2007.</w:t>
      </w:r>
    </w:p>
    <w:p w14:paraId="1BBCE87C" w14:textId="77777777" w:rsidR="005237CD" w:rsidRPr="005237CD" w:rsidRDefault="005237CD" w:rsidP="00F21ABD">
      <w:pPr>
        <w:pStyle w:val="EndNoteBibliography"/>
        <w:ind w:left="426" w:hanging="426"/>
        <w:jc w:val="both"/>
      </w:pPr>
      <w:r w:rsidRPr="005237CD">
        <w:t>[8]</w:t>
      </w:r>
      <w:r w:rsidRPr="005237CD">
        <w:tab/>
        <w:t xml:space="preserve">F.E. Emery, Designing socio-technical systems for 'greenfield' sites, </w:t>
      </w:r>
      <w:r w:rsidRPr="005237CD">
        <w:rPr>
          <w:i/>
        </w:rPr>
        <w:t>Journal of Occupational Behaviour</w:t>
      </w:r>
      <w:r w:rsidRPr="005237CD">
        <w:t xml:space="preserve"> </w:t>
      </w:r>
      <w:r w:rsidRPr="005237CD">
        <w:rPr>
          <w:b/>
        </w:rPr>
        <w:t>1</w:t>
      </w:r>
      <w:r w:rsidRPr="005237CD">
        <w:t xml:space="preserve"> (1980), 19-27.</w:t>
      </w:r>
    </w:p>
    <w:p w14:paraId="1C61DDF3" w14:textId="77777777" w:rsidR="005237CD" w:rsidRPr="005237CD" w:rsidRDefault="005237CD" w:rsidP="00F21ABD">
      <w:pPr>
        <w:pStyle w:val="EndNoteBibliography"/>
        <w:ind w:left="426" w:hanging="426"/>
        <w:jc w:val="both"/>
      </w:pPr>
      <w:r w:rsidRPr="005237CD">
        <w:t>[9]</w:t>
      </w:r>
      <w:r w:rsidRPr="005237CD">
        <w:tab/>
        <w:t xml:space="preserve">R.d.A. Falbo, G. Guizzardi, and K.C. Duarte, An ontological approach to domain engineering, in: </w:t>
      </w:r>
      <w:r w:rsidRPr="005237CD">
        <w:rPr>
          <w:i/>
        </w:rPr>
        <w:t>Proceedings of the 14th international conference on software engineering and knowledge engineering</w:t>
      </w:r>
      <w:r w:rsidRPr="005237CD">
        <w:t>, ACM, 2002, pp. 351-358.</w:t>
      </w:r>
    </w:p>
    <w:p w14:paraId="36CC980E" w14:textId="77777777" w:rsidR="005237CD" w:rsidRPr="005237CD" w:rsidRDefault="005237CD" w:rsidP="00F21ABD">
      <w:pPr>
        <w:pStyle w:val="EndNoteBibliography"/>
        <w:ind w:left="426" w:hanging="426"/>
        <w:jc w:val="both"/>
      </w:pPr>
      <w:r w:rsidRPr="005237CD">
        <w:t>[10]</w:t>
      </w:r>
      <w:r w:rsidRPr="005237CD">
        <w:tab/>
        <w:t xml:space="preserve">R. Ganser and K. Williams, Brownfield development: Are we using the right targets? Evidence from England and Germany, </w:t>
      </w:r>
      <w:r w:rsidRPr="005237CD">
        <w:rPr>
          <w:i/>
        </w:rPr>
        <w:t>European Planning Studies</w:t>
      </w:r>
      <w:r w:rsidRPr="005237CD">
        <w:t xml:space="preserve"> </w:t>
      </w:r>
      <w:r w:rsidRPr="005237CD">
        <w:rPr>
          <w:b/>
        </w:rPr>
        <w:t>15</w:t>
      </w:r>
      <w:r w:rsidRPr="005237CD">
        <w:t xml:space="preserve"> (2007), 603-622.</w:t>
      </w:r>
    </w:p>
    <w:p w14:paraId="59C930A4" w14:textId="77777777" w:rsidR="005237CD" w:rsidRPr="005237CD" w:rsidRDefault="005237CD" w:rsidP="00F21ABD">
      <w:pPr>
        <w:pStyle w:val="EndNoteBibliography"/>
        <w:ind w:left="426" w:hanging="426"/>
        <w:jc w:val="both"/>
      </w:pPr>
      <w:r w:rsidRPr="005237CD">
        <w:t>[11]</w:t>
      </w:r>
      <w:r w:rsidRPr="005237CD">
        <w:tab/>
        <w:t xml:space="preserve">M.A. Hall and R. Lord, Obamacare: what the Affordable Care Act means for patients and physicians, </w:t>
      </w:r>
      <w:r w:rsidRPr="005237CD">
        <w:rPr>
          <w:i/>
        </w:rPr>
        <w:t>British Medical Journal</w:t>
      </w:r>
      <w:r w:rsidRPr="005237CD">
        <w:t xml:space="preserve"> </w:t>
      </w:r>
      <w:r w:rsidRPr="005237CD">
        <w:rPr>
          <w:b/>
        </w:rPr>
        <w:t>349</w:t>
      </w:r>
      <w:r w:rsidRPr="005237CD">
        <w:t xml:space="preserve"> (2014), 5376-5376.</w:t>
      </w:r>
    </w:p>
    <w:p w14:paraId="61F8CD9D" w14:textId="77777777" w:rsidR="005237CD" w:rsidRPr="005237CD" w:rsidRDefault="005237CD" w:rsidP="00F21ABD">
      <w:pPr>
        <w:pStyle w:val="EndNoteBibliography"/>
        <w:ind w:left="426" w:hanging="426"/>
        <w:jc w:val="both"/>
      </w:pPr>
      <w:r w:rsidRPr="005237CD">
        <w:t>[12]</w:t>
      </w:r>
      <w:r w:rsidRPr="005237CD">
        <w:tab/>
        <w:t xml:space="preserve">C. Ham, Health care reform: learning from international experience, </w:t>
      </w:r>
      <w:r w:rsidRPr="005237CD">
        <w:rPr>
          <w:i/>
        </w:rPr>
        <w:t>Nursing Management</w:t>
      </w:r>
      <w:r w:rsidRPr="005237CD">
        <w:t xml:space="preserve"> </w:t>
      </w:r>
      <w:r w:rsidRPr="005237CD">
        <w:rPr>
          <w:b/>
        </w:rPr>
        <w:t>4</w:t>
      </w:r>
      <w:r w:rsidRPr="005237CD">
        <w:t xml:space="preserve"> (1997), 26-30.</w:t>
      </w:r>
    </w:p>
    <w:p w14:paraId="0E48F0EE" w14:textId="77777777" w:rsidR="005237CD" w:rsidRPr="005237CD" w:rsidRDefault="005237CD" w:rsidP="00F21ABD">
      <w:pPr>
        <w:pStyle w:val="EndNoteBibliography"/>
        <w:ind w:left="426" w:hanging="426"/>
        <w:jc w:val="both"/>
      </w:pPr>
      <w:r w:rsidRPr="005237CD">
        <w:t>[13]</w:t>
      </w:r>
      <w:r w:rsidRPr="005237CD">
        <w:tab/>
        <w:t xml:space="preserve">H. Hasselbladh and E. Bejerot, Performative policy: the case of Swedish healthcare reforms, </w:t>
      </w:r>
      <w:r w:rsidRPr="005237CD">
        <w:rPr>
          <w:i/>
        </w:rPr>
        <w:t>Critical Policy Studies</w:t>
      </w:r>
      <w:r w:rsidRPr="005237CD">
        <w:t xml:space="preserve"> (2016), 1-20.</w:t>
      </w:r>
    </w:p>
    <w:p w14:paraId="25D6091F" w14:textId="77777777" w:rsidR="005237CD" w:rsidRPr="005237CD" w:rsidRDefault="005237CD" w:rsidP="00F21ABD">
      <w:pPr>
        <w:pStyle w:val="EndNoteBibliography"/>
        <w:ind w:left="426" w:hanging="426"/>
        <w:jc w:val="both"/>
      </w:pPr>
      <w:r w:rsidRPr="005237CD">
        <w:t>[14]</w:t>
      </w:r>
      <w:r w:rsidRPr="005237CD">
        <w:tab/>
        <w:t xml:space="preserve">H. Hyppönen, P. Hämäläinen, and J. Reponen, eds., </w:t>
      </w:r>
      <w:r w:rsidRPr="005237CD">
        <w:rPr>
          <w:i/>
        </w:rPr>
        <w:t>E-health and e-welfare of Finland - Check point 2015</w:t>
      </w:r>
      <w:r w:rsidRPr="005237CD">
        <w:t>, National Institute of Health and Welfare, Helsinki, 2015.</w:t>
      </w:r>
    </w:p>
    <w:p w14:paraId="74520C2A" w14:textId="77777777" w:rsidR="005237CD" w:rsidRPr="005237CD" w:rsidRDefault="005237CD" w:rsidP="00F21ABD">
      <w:pPr>
        <w:pStyle w:val="EndNoteBibliography"/>
        <w:ind w:left="426" w:hanging="426"/>
        <w:jc w:val="both"/>
      </w:pPr>
      <w:r w:rsidRPr="005237CD">
        <w:t>[15]</w:t>
      </w:r>
      <w:r w:rsidRPr="005237CD">
        <w:tab/>
        <w:t xml:space="preserve">G. Krawczyk, The Impact of Public Procurement System on Concentration of the Rail Freight Market in Poland, in: </w:t>
      </w:r>
      <w:r w:rsidRPr="005237CD">
        <w:rPr>
          <w:i/>
        </w:rPr>
        <w:t>Transport Development Challenges in the Twenty-First Century</w:t>
      </w:r>
      <w:r w:rsidRPr="005237CD">
        <w:t>, Springer, 2016, pp. 31-38.</w:t>
      </w:r>
    </w:p>
    <w:p w14:paraId="71C1730F" w14:textId="77777777" w:rsidR="005237CD" w:rsidRPr="005237CD" w:rsidRDefault="005237CD" w:rsidP="00F21ABD">
      <w:pPr>
        <w:pStyle w:val="EndNoteBibliography"/>
        <w:ind w:left="426" w:hanging="426"/>
        <w:jc w:val="both"/>
      </w:pPr>
      <w:r w:rsidRPr="005237CD">
        <w:lastRenderedPageBreak/>
        <w:t>[16]</w:t>
      </w:r>
      <w:r w:rsidRPr="005237CD">
        <w:tab/>
        <w:t xml:space="preserve">D. Lange and S. McNeil, Clean it and they will come? Defining successful brownfield development, </w:t>
      </w:r>
      <w:r w:rsidRPr="005237CD">
        <w:rPr>
          <w:i/>
        </w:rPr>
        <w:t>Journal of urban planning and development</w:t>
      </w:r>
      <w:r w:rsidRPr="005237CD">
        <w:t xml:space="preserve"> </w:t>
      </w:r>
      <w:r w:rsidRPr="005237CD">
        <w:rPr>
          <w:b/>
        </w:rPr>
        <w:t>130</w:t>
      </w:r>
      <w:r w:rsidRPr="005237CD">
        <w:t xml:space="preserve"> (2004), 101-108.</w:t>
      </w:r>
    </w:p>
    <w:p w14:paraId="454413D4" w14:textId="77777777" w:rsidR="005237CD" w:rsidRPr="005237CD" w:rsidRDefault="005237CD" w:rsidP="00F21ABD">
      <w:pPr>
        <w:pStyle w:val="EndNoteBibliography"/>
        <w:ind w:left="426" w:hanging="426"/>
        <w:jc w:val="both"/>
      </w:pPr>
      <w:r w:rsidRPr="005237CD">
        <w:t>[17]</w:t>
      </w:r>
      <w:r w:rsidRPr="005237CD">
        <w:tab/>
        <w:t xml:space="preserve">T. Lehtonen, J. Pakkanen, M. Lanz, J. Järvenpää, and R. Tuokko, Brownfield Process for Developing of Product Families, in: </w:t>
      </w:r>
      <w:r w:rsidRPr="005237CD">
        <w:rPr>
          <w:i/>
        </w:rPr>
        <w:t>DS 68-4: Proceedings of the 18th International Conference on Engineering Design (ICED 11), Impacting Society through Engineering Design, Vol. 4: Product and Systems Design, Lyngby/Copenhagen, Denmark, 15.-19.08. 2011</w:t>
      </w:r>
      <w:r w:rsidRPr="005237CD">
        <w:t>, 2011.</w:t>
      </w:r>
    </w:p>
    <w:p w14:paraId="72CCB6A0" w14:textId="77777777" w:rsidR="005237CD" w:rsidRPr="005237CD" w:rsidRDefault="005237CD" w:rsidP="00F21ABD">
      <w:pPr>
        <w:pStyle w:val="EndNoteBibliography"/>
        <w:ind w:left="426" w:hanging="426"/>
        <w:jc w:val="both"/>
      </w:pPr>
      <w:r w:rsidRPr="005237CD">
        <w:t>[18]</w:t>
      </w:r>
      <w:r w:rsidRPr="005237CD">
        <w:tab/>
        <w:t xml:space="preserve">A. Masood and M.A. Ali, Applying Agile Requirements Engineering Approach for Re-engineering &amp; Changes in existing Brownfield Adaptive Systems, </w:t>
      </w:r>
      <w:r w:rsidRPr="005237CD">
        <w:rPr>
          <w:i/>
        </w:rPr>
        <w:t>arXiv preprint arXiv:1410.6902</w:t>
      </w:r>
      <w:r w:rsidRPr="005237CD">
        <w:t xml:space="preserve"> (2014).</w:t>
      </w:r>
    </w:p>
    <w:p w14:paraId="11FE06D5" w14:textId="77777777" w:rsidR="005237CD" w:rsidRPr="005237CD" w:rsidRDefault="005237CD" w:rsidP="00F21ABD">
      <w:pPr>
        <w:pStyle w:val="EndNoteBibliography"/>
        <w:ind w:left="426" w:hanging="426"/>
        <w:jc w:val="both"/>
      </w:pPr>
      <w:r w:rsidRPr="005237CD">
        <w:t>[19]</w:t>
      </w:r>
      <w:r w:rsidRPr="005237CD">
        <w:tab/>
        <w:t xml:space="preserve">C.N. Mead, Data interchange standards in healthcare it-computable semantic interoperability: Now possible but still difficult. Do we really need a better mousetrap?, </w:t>
      </w:r>
      <w:r w:rsidRPr="005237CD">
        <w:rPr>
          <w:i/>
        </w:rPr>
        <w:t>Journal of Healthcare Information Management</w:t>
      </w:r>
      <w:r w:rsidRPr="005237CD">
        <w:t xml:space="preserve"> </w:t>
      </w:r>
      <w:r w:rsidRPr="005237CD">
        <w:rPr>
          <w:b/>
        </w:rPr>
        <w:t>20</w:t>
      </w:r>
      <w:r w:rsidRPr="005237CD">
        <w:t xml:space="preserve"> (2006), 71.</w:t>
      </w:r>
    </w:p>
    <w:p w14:paraId="454F1216" w14:textId="77777777" w:rsidR="005237CD" w:rsidRPr="005237CD" w:rsidRDefault="005237CD" w:rsidP="00F21ABD">
      <w:pPr>
        <w:pStyle w:val="EndNoteBibliography"/>
        <w:ind w:left="426" w:hanging="426"/>
        <w:jc w:val="both"/>
      </w:pPr>
      <w:r w:rsidRPr="005237CD">
        <w:t>[20]</w:t>
      </w:r>
      <w:r w:rsidRPr="005237CD">
        <w:tab/>
        <w:t xml:space="preserve">P. Nykänen, Implementation and evaluation of ehealth ecosystems in  two-sided markets, in: </w:t>
      </w:r>
      <w:r w:rsidRPr="005237CD">
        <w:rPr>
          <w:i/>
        </w:rPr>
        <w:t xml:space="preserve">E-health two-sided markets –  Implementation and business models, </w:t>
      </w:r>
      <w:r w:rsidRPr="005237CD">
        <w:t>V. Vimarlund, ed., Elsevier Academic Press, 2017, pp. 125-142.</w:t>
      </w:r>
    </w:p>
    <w:p w14:paraId="1176B291" w14:textId="77777777" w:rsidR="005237CD" w:rsidRPr="005237CD" w:rsidRDefault="005237CD" w:rsidP="00F21ABD">
      <w:pPr>
        <w:pStyle w:val="EndNoteBibliography"/>
        <w:ind w:left="426" w:hanging="426"/>
        <w:jc w:val="both"/>
      </w:pPr>
      <w:r w:rsidRPr="005237CD">
        <w:t>[21]</w:t>
      </w:r>
      <w:r w:rsidRPr="005237CD">
        <w:tab/>
        <w:t xml:space="preserve">R.S. Pressman, </w:t>
      </w:r>
      <w:r w:rsidRPr="005237CD">
        <w:rPr>
          <w:i/>
        </w:rPr>
        <w:t>Software engineering: a practitioner's approach</w:t>
      </w:r>
      <w:r w:rsidRPr="005237CD">
        <w:t>, McGraw-Hill, New York, 2000.</w:t>
      </w:r>
    </w:p>
    <w:p w14:paraId="33875EB9" w14:textId="77777777" w:rsidR="005237CD" w:rsidRPr="005237CD" w:rsidRDefault="005237CD" w:rsidP="00F21ABD">
      <w:pPr>
        <w:pStyle w:val="EndNoteBibliography"/>
        <w:ind w:left="426" w:hanging="426"/>
        <w:jc w:val="both"/>
      </w:pPr>
      <w:r w:rsidRPr="005237CD">
        <w:t>[22]</w:t>
      </w:r>
      <w:r w:rsidRPr="005237CD">
        <w:tab/>
        <w:t xml:space="preserve">J. Rasmusson, Introducing XP into greenfield projects: lessons learned, </w:t>
      </w:r>
      <w:r w:rsidRPr="005237CD">
        <w:rPr>
          <w:i/>
        </w:rPr>
        <w:t>Ieee Software</w:t>
      </w:r>
      <w:r w:rsidRPr="005237CD">
        <w:t xml:space="preserve"> </w:t>
      </w:r>
      <w:r w:rsidRPr="005237CD">
        <w:rPr>
          <w:b/>
        </w:rPr>
        <w:t>20</w:t>
      </w:r>
      <w:r w:rsidRPr="005237CD">
        <w:t xml:space="preserve"> (2003), 21.</w:t>
      </w:r>
    </w:p>
    <w:p w14:paraId="07526744" w14:textId="77777777" w:rsidR="005237CD" w:rsidRPr="005237CD" w:rsidRDefault="005237CD" w:rsidP="00F21ABD">
      <w:pPr>
        <w:pStyle w:val="EndNoteBibliography"/>
        <w:ind w:left="426" w:hanging="426"/>
        <w:jc w:val="both"/>
      </w:pPr>
      <w:r w:rsidRPr="005237CD">
        <w:t>[23]</w:t>
      </w:r>
      <w:r w:rsidRPr="005237CD">
        <w:tab/>
        <w:t xml:space="preserve">E.H. Schein, How Can Organizations Learn Faster? The Challenge of Entering the Green Room, </w:t>
      </w:r>
      <w:r w:rsidRPr="005237CD">
        <w:rPr>
          <w:i/>
        </w:rPr>
        <w:t>Sloan Management Review</w:t>
      </w:r>
      <w:r w:rsidRPr="005237CD">
        <w:t xml:space="preserve"> </w:t>
      </w:r>
      <w:r w:rsidRPr="005237CD">
        <w:rPr>
          <w:b/>
        </w:rPr>
        <w:t>34</w:t>
      </w:r>
      <w:r w:rsidRPr="005237CD">
        <w:t xml:space="preserve"> (1993), 85-92.</w:t>
      </w:r>
    </w:p>
    <w:p w14:paraId="71EB2DF6" w14:textId="77777777" w:rsidR="005237CD" w:rsidRPr="005237CD" w:rsidRDefault="005237CD" w:rsidP="00F21ABD">
      <w:pPr>
        <w:pStyle w:val="EndNoteBibliography"/>
        <w:ind w:left="426" w:hanging="426"/>
        <w:jc w:val="both"/>
      </w:pPr>
      <w:r w:rsidRPr="005237CD">
        <w:t>[24]</w:t>
      </w:r>
      <w:r w:rsidRPr="005237CD">
        <w:tab/>
        <w:t xml:space="preserve">V. Vimarlund and T. Mettler, Introduction to the esosystem for two-sided markets, barriers and facilitators, in: </w:t>
      </w:r>
      <w:r w:rsidRPr="005237CD">
        <w:rPr>
          <w:i/>
        </w:rPr>
        <w:t xml:space="preserve">E-health two-sided markets –  Implementation and business models, </w:t>
      </w:r>
      <w:r w:rsidRPr="005237CD">
        <w:t>V. Vimarlund, ed., Elsevier Academic Press, 2017, pp. 3-18.</w:t>
      </w:r>
    </w:p>
    <w:p w14:paraId="6C660580" w14:textId="48369B28" w:rsidR="00086506" w:rsidRDefault="00373AE0" w:rsidP="00F21ABD">
      <w:pPr>
        <w:ind w:left="426" w:hanging="426"/>
        <w:jc w:val="both"/>
        <w:rPr>
          <w:noProof/>
          <w:sz w:val="18"/>
          <w:szCs w:val="18"/>
        </w:rPr>
      </w:pPr>
      <w:r>
        <w:rPr>
          <w:noProof/>
          <w:sz w:val="18"/>
          <w:szCs w:val="18"/>
        </w:rPr>
        <w:fldChar w:fldCharType="end"/>
      </w:r>
    </w:p>
    <w:p w14:paraId="777F36D6" w14:textId="77777777" w:rsidR="00DE2B95" w:rsidRDefault="00DE2B95">
      <w:pPr>
        <w:rPr>
          <w:noProof/>
          <w:sz w:val="18"/>
          <w:szCs w:val="18"/>
        </w:rPr>
      </w:pPr>
    </w:p>
    <w:p w14:paraId="6667BA22" w14:textId="77777777" w:rsidR="00DE2B95" w:rsidRDefault="00DE2B95">
      <w:pPr>
        <w:rPr>
          <w:noProof/>
          <w:sz w:val="18"/>
          <w:szCs w:val="18"/>
        </w:rPr>
      </w:pPr>
    </w:p>
    <w:p w14:paraId="2C38674B" w14:textId="77777777" w:rsidR="00DE2B95" w:rsidRDefault="00DE2B95">
      <w:pPr>
        <w:rPr>
          <w:noProof/>
          <w:sz w:val="18"/>
          <w:szCs w:val="18"/>
        </w:rPr>
      </w:pPr>
    </w:p>
    <w:p w14:paraId="0ADF8263" w14:textId="579DDC4D" w:rsidR="00DE2B95" w:rsidRPr="007172F4" w:rsidRDefault="00DE2B95">
      <w:pPr>
        <w:rPr>
          <w:noProof/>
          <w:sz w:val="18"/>
          <w:szCs w:val="18"/>
        </w:rPr>
      </w:pPr>
    </w:p>
    <w:sectPr w:rsidR="00DE2B95" w:rsidRPr="007172F4" w:rsidSect="007F64F2">
      <w:type w:val="continuous"/>
      <w:pgSz w:w="11907" w:h="16840" w:code="9"/>
      <w:pgMar w:top="562" w:right="567" w:bottom="562" w:left="567" w:header="0" w:footer="1440" w:gutter="0"/>
      <w:cols w:num="2" w:space="706"/>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965FFD" w14:textId="77777777" w:rsidR="00A42A4B" w:rsidRDefault="00A42A4B">
      <w:r>
        <w:separator/>
      </w:r>
    </w:p>
  </w:endnote>
  <w:endnote w:type="continuationSeparator" w:id="0">
    <w:p w14:paraId="650AC20F" w14:textId="77777777" w:rsidR="00A42A4B" w:rsidRDefault="00A42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Sabon-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8309A9" w14:textId="77777777" w:rsidR="00A42A4B" w:rsidRDefault="00A42A4B">
      <w:r>
        <w:separator/>
      </w:r>
    </w:p>
  </w:footnote>
  <w:footnote w:type="continuationSeparator" w:id="0">
    <w:p w14:paraId="6290894D" w14:textId="77777777" w:rsidR="00A42A4B" w:rsidRDefault="00A42A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9F6A33F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36C629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BCB4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51E435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332536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052D92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B864A1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45CA99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BE7C1A1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BF2044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0BE23E9C"/>
    <w:lvl w:ilvl="0">
      <w:numFmt w:val="bullet"/>
      <w:pStyle w:val="DBulletlevel2"/>
      <w:lvlText w:val="*"/>
      <w:lvlJc w:val="left"/>
    </w:lvl>
  </w:abstractNum>
  <w:abstractNum w:abstractNumId="11" w15:restartNumberingAfterBreak="0">
    <w:nsid w:val="026F7C4A"/>
    <w:multiLevelType w:val="hybridMultilevel"/>
    <w:tmpl w:val="5EAEB7DC"/>
    <w:lvl w:ilvl="0" w:tplc="FD0075E2">
      <w:start w:val="1"/>
      <w:numFmt w:val="bullet"/>
      <w:pStyle w:val="DBulletleve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8F013AF"/>
    <w:multiLevelType w:val="hybridMultilevel"/>
    <w:tmpl w:val="9098AFD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0AE065E4"/>
    <w:multiLevelType w:val="hybridMultilevel"/>
    <w:tmpl w:val="2B5022A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16E34A8C"/>
    <w:multiLevelType w:val="singleLevel"/>
    <w:tmpl w:val="1846BD48"/>
    <w:lvl w:ilvl="0">
      <w:start w:val="1"/>
      <w:numFmt w:val="decimal"/>
      <w:pStyle w:val="DEnumeratedList"/>
      <w:lvlText w:val="%1."/>
      <w:legacy w:legacy="1" w:legacySpace="0" w:legacyIndent="288"/>
      <w:lvlJc w:val="left"/>
      <w:pPr>
        <w:ind w:left="576" w:hanging="288"/>
      </w:pPr>
      <w:rPr>
        <w:rFonts w:cs="Times New Roman"/>
      </w:rPr>
    </w:lvl>
  </w:abstractNum>
  <w:abstractNum w:abstractNumId="15" w15:restartNumberingAfterBreak="0">
    <w:nsid w:val="235648E7"/>
    <w:multiLevelType w:val="hybridMultilevel"/>
    <w:tmpl w:val="C22EE332"/>
    <w:lvl w:ilvl="0" w:tplc="040B0001">
      <w:start w:val="1"/>
      <w:numFmt w:val="bullet"/>
      <w:lvlText w:val=""/>
      <w:lvlJc w:val="left"/>
      <w:pPr>
        <w:ind w:left="644"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62715F33"/>
    <w:multiLevelType w:val="singleLevel"/>
    <w:tmpl w:val="D860569A"/>
    <w:lvl w:ilvl="0">
      <w:start w:val="1"/>
      <w:numFmt w:val="decimal"/>
      <w:lvlText w:val="[%1]"/>
      <w:legacy w:legacy="1" w:legacySpace="0" w:legacyIndent="283"/>
      <w:lvlJc w:val="left"/>
      <w:pPr>
        <w:ind w:left="283" w:hanging="283"/>
      </w:pPr>
      <w:rPr>
        <w:rFonts w:ascii="Times New Roman" w:hAnsi="Times New Roman" w:cs="Times New Roman" w:hint="default"/>
        <w:b w:val="0"/>
        <w:i w:val="0"/>
        <w:sz w:val="20"/>
        <w:u w:val="none"/>
      </w:rPr>
    </w:lvl>
  </w:abstractNum>
  <w:abstractNum w:abstractNumId="17" w15:restartNumberingAfterBreak="0">
    <w:nsid w:val="7C1C7FE4"/>
    <w:multiLevelType w:val="hybridMultilevel"/>
    <w:tmpl w:val="257EAD6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0"/>
    <w:lvlOverride w:ilvl="0">
      <w:lvl w:ilvl="0">
        <w:start w:val="1"/>
        <w:numFmt w:val="bullet"/>
        <w:pStyle w:val="DBulletlevel2"/>
        <w:lvlText w:val=""/>
        <w:legacy w:legacy="1" w:legacySpace="0" w:legacyIndent="283"/>
        <w:lvlJc w:val="left"/>
        <w:pPr>
          <w:ind w:left="571" w:hanging="283"/>
        </w:pPr>
        <w:rPr>
          <w:rFonts w:ascii="Symbol" w:hAnsi="Symbol" w:hint="default"/>
        </w:rPr>
      </w:lvl>
    </w:lvlOverride>
  </w:num>
  <w:num w:numId="2">
    <w:abstractNumId w:val="10"/>
    <w:lvlOverride w:ilvl="0">
      <w:lvl w:ilvl="0">
        <w:start w:val="1"/>
        <w:numFmt w:val="bullet"/>
        <w:pStyle w:val="DBulletlevel2"/>
        <w:lvlText w:val=""/>
        <w:legacy w:legacy="1" w:legacySpace="0" w:legacyIndent="283"/>
        <w:lvlJc w:val="left"/>
        <w:pPr>
          <w:ind w:left="1145" w:hanging="283"/>
        </w:pPr>
        <w:rPr>
          <w:rFonts w:ascii="Symbol" w:hAnsi="Symbol" w:hint="default"/>
        </w:rPr>
      </w:lvl>
    </w:lvlOverride>
  </w:num>
  <w:num w:numId="3">
    <w:abstractNumId w:val="14"/>
  </w:num>
  <w:num w:numId="4">
    <w:abstractNumId w:val="16"/>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1"/>
  </w:num>
  <w:num w:numId="16">
    <w:abstractNumId w:val="15"/>
  </w:num>
  <w:num w:numId="17">
    <w:abstractNumId w:val="12"/>
  </w:num>
  <w:num w:numId="18">
    <w:abstractNumId w:val="13"/>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attachedTemplate r:id="rId1"/>
  <w:defaultTabStop w:val="720"/>
  <w:autoHyphenation/>
  <w:consecutiveHyphenLimit w:val="28257"/>
  <w:hyphenationZone w:val="357"/>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OS Press Copy&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wap2rxdjvpxdme5aryxtaxjz92wddvx5erd&quot;&gt;MASTER LIBRARY VNK 2016&lt;record-ids&gt;&lt;item&gt;2612&lt;/item&gt;&lt;item&gt;14825&lt;/item&gt;&lt;item&gt;14826&lt;/item&gt;&lt;item&gt;14827&lt;/item&gt;&lt;item&gt;14828&lt;/item&gt;&lt;item&gt;14830&lt;/item&gt;&lt;item&gt;14831&lt;/item&gt;&lt;item&gt;14832&lt;/item&gt;&lt;item&gt;14833&lt;/item&gt;&lt;item&gt;14835&lt;/item&gt;&lt;item&gt;14836&lt;/item&gt;&lt;item&gt;14837&lt;/item&gt;&lt;item&gt;14838&lt;/item&gt;&lt;item&gt;14839&lt;/item&gt;&lt;item&gt;14840&lt;/item&gt;&lt;item&gt;14841&lt;/item&gt;&lt;item&gt;14842&lt;/item&gt;&lt;item&gt;14844&lt;/item&gt;&lt;item&gt;14845&lt;/item&gt;&lt;item&gt;14846&lt;/item&gt;&lt;item&gt;14913&lt;/item&gt;&lt;item&gt;14915&lt;/item&gt;&lt;item&gt;14916&lt;/item&gt;&lt;item&gt;14917&lt;/item&gt;&lt;/record-ids&gt;&lt;/item&gt;&lt;/Libraries&gt;"/>
  </w:docVars>
  <w:rsids>
    <w:rsidRoot w:val="000E727A"/>
    <w:rsid w:val="000076DB"/>
    <w:rsid w:val="0001095E"/>
    <w:rsid w:val="00034915"/>
    <w:rsid w:val="00051F58"/>
    <w:rsid w:val="00064126"/>
    <w:rsid w:val="00074739"/>
    <w:rsid w:val="00086506"/>
    <w:rsid w:val="000925CB"/>
    <w:rsid w:val="000A0412"/>
    <w:rsid w:val="000B18F4"/>
    <w:rsid w:val="000B1D12"/>
    <w:rsid w:val="000C2055"/>
    <w:rsid w:val="000C57D1"/>
    <w:rsid w:val="000D2667"/>
    <w:rsid w:val="000D2C7C"/>
    <w:rsid w:val="000D3B40"/>
    <w:rsid w:val="000E4243"/>
    <w:rsid w:val="000E727A"/>
    <w:rsid w:val="000F1108"/>
    <w:rsid w:val="000F59AF"/>
    <w:rsid w:val="000F6DB2"/>
    <w:rsid w:val="000F720A"/>
    <w:rsid w:val="001021BE"/>
    <w:rsid w:val="00104050"/>
    <w:rsid w:val="00110C52"/>
    <w:rsid w:val="0011479F"/>
    <w:rsid w:val="00116055"/>
    <w:rsid w:val="00116B1A"/>
    <w:rsid w:val="0012276C"/>
    <w:rsid w:val="00135DB2"/>
    <w:rsid w:val="00151BBB"/>
    <w:rsid w:val="00160CA4"/>
    <w:rsid w:val="00160CF9"/>
    <w:rsid w:val="00162571"/>
    <w:rsid w:val="00162A4B"/>
    <w:rsid w:val="0017289A"/>
    <w:rsid w:val="001751EF"/>
    <w:rsid w:val="00177508"/>
    <w:rsid w:val="0018118A"/>
    <w:rsid w:val="001879F3"/>
    <w:rsid w:val="001C5539"/>
    <w:rsid w:val="001E2F2B"/>
    <w:rsid w:val="001E6FEF"/>
    <w:rsid w:val="001F0C1E"/>
    <w:rsid w:val="001F49F3"/>
    <w:rsid w:val="002027F0"/>
    <w:rsid w:val="00212868"/>
    <w:rsid w:val="0022364C"/>
    <w:rsid w:val="002322D4"/>
    <w:rsid w:val="002412C2"/>
    <w:rsid w:val="00241756"/>
    <w:rsid w:val="00246F1C"/>
    <w:rsid w:val="00280EDB"/>
    <w:rsid w:val="00281339"/>
    <w:rsid w:val="002879F9"/>
    <w:rsid w:val="00297324"/>
    <w:rsid w:val="002A0370"/>
    <w:rsid w:val="002C200F"/>
    <w:rsid w:val="002C5888"/>
    <w:rsid w:val="002E3E86"/>
    <w:rsid w:val="002E6CAB"/>
    <w:rsid w:val="0031795D"/>
    <w:rsid w:val="00337439"/>
    <w:rsid w:val="0034587F"/>
    <w:rsid w:val="00373AE0"/>
    <w:rsid w:val="0037639A"/>
    <w:rsid w:val="00377661"/>
    <w:rsid w:val="00392AFA"/>
    <w:rsid w:val="003940F5"/>
    <w:rsid w:val="003A4174"/>
    <w:rsid w:val="003C388C"/>
    <w:rsid w:val="003C3DD9"/>
    <w:rsid w:val="003D2956"/>
    <w:rsid w:val="003D356D"/>
    <w:rsid w:val="003E1AE2"/>
    <w:rsid w:val="003F1B3D"/>
    <w:rsid w:val="003F3FF5"/>
    <w:rsid w:val="004105CF"/>
    <w:rsid w:val="004178D9"/>
    <w:rsid w:val="00436B89"/>
    <w:rsid w:val="00445C01"/>
    <w:rsid w:val="0045109E"/>
    <w:rsid w:val="00474A4B"/>
    <w:rsid w:val="00483099"/>
    <w:rsid w:val="00491A02"/>
    <w:rsid w:val="004A346D"/>
    <w:rsid w:val="004B2A10"/>
    <w:rsid w:val="004B58BF"/>
    <w:rsid w:val="004C4A64"/>
    <w:rsid w:val="004D28C1"/>
    <w:rsid w:val="004D2C23"/>
    <w:rsid w:val="00511081"/>
    <w:rsid w:val="005237CD"/>
    <w:rsid w:val="00556981"/>
    <w:rsid w:val="0055752B"/>
    <w:rsid w:val="00560AEC"/>
    <w:rsid w:val="00561EBD"/>
    <w:rsid w:val="0057362C"/>
    <w:rsid w:val="00581235"/>
    <w:rsid w:val="00586C08"/>
    <w:rsid w:val="005877E2"/>
    <w:rsid w:val="0059647C"/>
    <w:rsid w:val="005A62AF"/>
    <w:rsid w:val="005C1CE3"/>
    <w:rsid w:val="005C35B6"/>
    <w:rsid w:val="005D24CB"/>
    <w:rsid w:val="005D5684"/>
    <w:rsid w:val="005E14AB"/>
    <w:rsid w:val="005E75F6"/>
    <w:rsid w:val="005F0901"/>
    <w:rsid w:val="0061081C"/>
    <w:rsid w:val="0061551C"/>
    <w:rsid w:val="00617F60"/>
    <w:rsid w:val="00637A96"/>
    <w:rsid w:val="00661ED8"/>
    <w:rsid w:val="00662D84"/>
    <w:rsid w:val="00664CE6"/>
    <w:rsid w:val="00670810"/>
    <w:rsid w:val="00677D7A"/>
    <w:rsid w:val="00680354"/>
    <w:rsid w:val="00680E6B"/>
    <w:rsid w:val="00682543"/>
    <w:rsid w:val="006920EF"/>
    <w:rsid w:val="006B6C91"/>
    <w:rsid w:val="006D1D3C"/>
    <w:rsid w:val="006E0FDB"/>
    <w:rsid w:val="006F0469"/>
    <w:rsid w:val="006F20EA"/>
    <w:rsid w:val="00704068"/>
    <w:rsid w:val="00707676"/>
    <w:rsid w:val="007172F4"/>
    <w:rsid w:val="00722FF6"/>
    <w:rsid w:val="00726B6A"/>
    <w:rsid w:val="0073551C"/>
    <w:rsid w:val="0074588A"/>
    <w:rsid w:val="00764E3C"/>
    <w:rsid w:val="00765C11"/>
    <w:rsid w:val="0077223C"/>
    <w:rsid w:val="007938BB"/>
    <w:rsid w:val="007A240D"/>
    <w:rsid w:val="007A2752"/>
    <w:rsid w:val="007B07DA"/>
    <w:rsid w:val="007B1B83"/>
    <w:rsid w:val="007B4AEE"/>
    <w:rsid w:val="007D7ECF"/>
    <w:rsid w:val="007E5F67"/>
    <w:rsid w:val="007E7F70"/>
    <w:rsid w:val="007F64F2"/>
    <w:rsid w:val="008028F3"/>
    <w:rsid w:val="008209EB"/>
    <w:rsid w:val="00821806"/>
    <w:rsid w:val="00822BA3"/>
    <w:rsid w:val="00827BDE"/>
    <w:rsid w:val="00833243"/>
    <w:rsid w:val="00860E63"/>
    <w:rsid w:val="00866DFD"/>
    <w:rsid w:val="00876A67"/>
    <w:rsid w:val="00877B8D"/>
    <w:rsid w:val="00882F06"/>
    <w:rsid w:val="00884831"/>
    <w:rsid w:val="00890C91"/>
    <w:rsid w:val="008B5715"/>
    <w:rsid w:val="008D0FBC"/>
    <w:rsid w:val="008D283F"/>
    <w:rsid w:val="008F1B19"/>
    <w:rsid w:val="008F2292"/>
    <w:rsid w:val="008F30A7"/>
    <w:rsid w:val="008F3AF0"/>
    <w:rsid w:val="008F4126"/>
    <w:rsid w:val="009009E6"/>
    <w:rsid w:val="00903EF3"/>
    <w:rsid w:val="00910453"/>
    <w:rsid w:val="009222FB"/>
    <w:rsid w:val="0092383D"/>
    <w:rsid w:val="00963024"/>
    <w:rsid w:val="00964C4F"/>
    <w:rsid w:val="00966857"/>
    <w:rsid w:val="009706C5"/>
    <w:rsid w:val="00976CAF"/>
    <w:rsid w:val="00980168"/>
    <w:rsid w:val="0099453E"/>
    <w:rsid w:val="0099792F"/>
    <w:rsid w:val="009A6B2E"/>
    <w:rsid w:val="009C06F0"/>
    <w:rsid w:val="009C5400"/>
    <w:rsid w:val="009C5AF6"/>
    <w:rsid w:val="009D7A14"/>
    <w:rsid w:val="009F27E7"/>
    <w:rsid w:val="00A05FD2"/>
    <w:rsid w:val="00A07C4D"/>
    <w:rsid w:val="00A16E86"/>
    <w:rsid w:val="00A30333"/>
    <w:rsid w:val="00A41081"/>
    <w:rsid w:val="00A41B22"/>
    <w:rsid w:val="00A42A4B"/>
    <w:rsid w:val="00A42A8B"/>
    <w:rsid w:val="00A47251"/>
    <w:rsid w:val="00A47A1F"/>
    <w:rsid w:val="00A50A6B"/>
    <w:rsid w:val="00A65A0D"/>
    <w:rsid w:val="00A66E65"/>
    <w:rsid w:val="00A7554C"/>
    <w:rsid w:val="00A764A0"/>
    <w:rsid w:val="00A95CDD"/>
    <w:rsid w:val="00AA2C36"/>
    <w:rsid w:val="00AC358F"/>
    <w:rsid w:val="00AE0352"/>
    <w:rsid w:val="00AE0884"/>
    <w:rsid w:val="00AE2204"/>
    <w:rsid w:val="00AE244A"/>
    <w:rsid w:val="00AF0BCE"/>
    <w:rsid w:val="00B06DFF"/>
    <w:rsid w:val="00B07AA2"/>
    <w:rsid w:val="00B129B0"/>
    <w:rsid w:val="00B2011B"/>
    <w:rsid w:val="00B20B5A"/>
    <w:rsid w:val="00B241AF"/>
    <w:rsid w:val="00B25DA6"/>
    <w:rsid w:val="00B473CC"/>
    <w:rsid w:val="00B56EED"/>
    <w:rsid w:val="00B640AD"/>
    <w:rsid w:val="00B6688E"/>
    <w:rsid w:val="00B72881"/>
    <w:rsid w:val="00B74081"/>
    <w:rsid w:val="00B81DED"/>
    <w:rsid w:val="00BA2E57"/>
    <w:rsid w:val="00BA534A"/>
    <w:rsid w:val="00BB2665"/>
    <w:rsid w:val="00BB4C23"/>
    <w:rsid w:val="00BB6A3A"/>
    <w:rsid w:val="00BC0854"/>
    <w:rsid w:val="00BC2728"/>
    <w:rsid w:val="00BC604A"/>
    <w:rsid w:val="00BD190F"/>
    <w:rsid w:val="00BD2431"/>
    <w:rsid w:val="00BF04D7"/>
    <w:rsid w:val="00BF4811"/>
    <w:rsid w:val="00BF6C16"/>
    <w:rsid w:val="00C03464"/>
    <w:rsid w:val="00C226F1"/>
    <w:rsid w:val="00C22B1C"/>
    <w:rsid w:val="00C35628"/>
    <w:rsid w:val="00C449B0"/>
    <w:rsid w:val="00C52A60"/>
    <w:rsid w:val="00C547DD"/>
    <w:rsid w:val="00C56333"/>
    <w:rsid w:val="00C60F53"/>
    <w:rsid w:val="00C7362C"/>
    <w:rsid w:val="00C77915"/>
    <w:rsid w:val="00C83061"/>
    <w:rsid w:val="00C876F3"/>
    <w:rsid w:val="00C918D7"/>
    <w:rsid w:val="00C93E5E"/>
    <w:rsid w:val="00C94318"/>
    <w:rsid w:val="00CA1E45"/>
    <w:rsid w:val="00CB15B2"/>
    <w:rsid w:val="00CB40C8"/>
    <w:rsid w:val="00CC1025"/>
    <w:rsid w:val="00CD6464"/>
    <w:rsid w:val="00CD79AE"/>
    <w:rsid w:val="00CF54A9"/>
    <w:rsid w:val="00D046F6"/>
    <w:rsid w:val="00D10FA7"/>
    <w:rsid w:val="00D16D4C"/>
    <w:rsid w:val="00D36D16"/>
    <w:rsid w:val="00D415AB"/>
    <w:rsid w:val="00D44A0A"/>
    <w:rsid w:val="00D5501A"/>
    <w:rsid w:val="00D659B3"/>
    <w:rsid w:val="00D664FC"/>
    <w:rsid w:val="00D70CD9"/>
    <w:rsid w:val="00D772D2"/>
    <w:rsid w:val="00D80902"/>
    <w:rsid w:val="00DA0D30"/>
    <w:rsid w:val="00DA33E4"/>
    <w:rsid w:val="00DA377F"/>
    <w:rsid w:val="00DA5D03"/>
    <w:rsid w:val="00DB1B95"/>
    <w:rsid w:val="00DB6F55"/>
    <w:rsid w:val="00DC1C01"/>
    <w:rsid w:val="00DC52AF"/>
    <w:rsid w:val="00DC5700"/>
    <w:rsid w:val="00DC6A0E"/>
    <w:rsid w:val="00DD6495"/>
    <w:rsid w:val="00DE2B95"/>
    <w:rsid w:val="00DE37C6"/>
    <w:rsid w:val="00DF0947"/>
    <w:rsid w:val="00E25618"/>
    <w:rsid w:val="00E2722D"/>
    <w:rsid w:val="00E37F9C"/>
    <w:rsid w:val="00E40F1B"/>
    <w:rsid w:val="00E511F9"/>
    <w:rsid w:val="00E53B7F"/>
    <w:rsid w:val="00E61FD4"/>
    <w:rsid w:val="00E644F1"/>
    <w:rsid w:val="00E74B63"/>
    <w:rsid w:val="00E80482"/>
    <w:rsid w:val="00E8514B"/>
    <w:rsid w:val="00E9096E"/>
    <w:rsid w:val="00EA63D8"/>
    <w:rsid w:val="00EB1B0B"/>
    <w:rsid w:val="00EB34FA"/>
    <w:rsid w:val="00EB45EC"/>
    <w:rsid w:val="00EC0307"/>
    <w:rsid w:val="00ED2289"/>
    <w:rsid w:val="00EE6582"/>
    <w:rsid w:val="00EE6BAF"/>
    <w:rsid w:val="00EF2B34"/>
    <w:rsid w:val="00EF3875"/>
    <w:rsid w:val="00EF4EAB"/>
    <w:rsid w:val="00F2041C"/>
    <w:rsid w:val="00F21ABD"/>
    <w:rsid w:val="00F27AFA"/>
    <w:rsid w:val="00F4316A"/>
    <w:rsid w:val="00F45D6E"/>
    <w:rsid w:val="00F55E6E"/>
    <w:rsid w:val="00F70441"/>
    <w:rsid w:val="00F7066F"/>
    <w:rsid w:val="00F71667"/>
    <w:rsid w:val="00F8599A"/>
    <w:rsid w:val="00FA3522"/>
    <w:rsid w:val="00FB07AC"/>
    <w:rsid w:val="00FC22C6"/>
    <w:rsid w:val="00FC4120"/>
    <w:rsid w:val="00FD1CC1"/>
    <w:rsid w:val="00FD50E9"/>
    <w:rsid w:val="00FE3BDF"/>
    <w:rsid w:val="00FE58B0"/>
    <w:rsid w:val="00FF0EFB"/>
    <w:rsid w:val="00FF7BD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E9208A0"/>
  <w14:defaultImageDpi w14:val="300"/>
  <w15:chartTrackingRefBased/>
  <w15:docId w15:val="{A9E4263B-5479-453F-9FED-FFD07A2E3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overflowPunct w:val="0"/>
      <w:autoSpaceDE w:val="0"/>
      <w:autoSpaceDN w:val="0"/>
      <w:adjustRightInd w:val="0"/>
      <w:textAlignment w:val="baseline"/>
    </w:pPr>
    <w:rPr>
      <w:rFonts w:ascii="Times New Roman" w:hAnsi="Times New Roman"/>
      <w:lang w:eastAsia="fr-FR"/>
    </w:rPr>
  </w:style>
  <w:style w:type="paragraph" w:styleId="Heading1">
    <w:name w:val="heading 1"/>
    <w:basedOn w:val="Normal"/>
    <w:next w:val="Normal"/>
    <w:qFormat/>
    <w:pPr>
      <w:keepNext/>
      <w:spacing w:before="240" w:after="240"/>
      <w:outlineLvl w:val="0"/>
    </w:pPr>
    <w:rPr>
      <w:b/>
      <w:kern w:val="28"/>
      <w:sz w:val="24"/>
    </w:rPr>
  </w:style>
  <w:style w:type="paragraph" w:styleId="Heading2">
    <w:name w:val="heading 2"/>
    <w:basedOn w:val="Normal"/>
    <w:next w:val="Normal"/>
    <w:qFormat/>
    <w:pPr>
      <w:keepNext/>
      <w:spacing w:before="120" w:after="120"/>
      <w:outlineLvl w:val="1"/>
    </w:pPr>
    <w:rPr>
      <w:b/>
    </w:rPr>
  </w:style>
  <w:style w:type="paragraph" w:styleId="Heading3">
    <w:name w:val="heading 3"/>
    <w:basedOn w:val="Normal"/>
    <w:next w:val="Normal"/>
    <w:qFormat/>
    <w:pPr>
      <w:keepNext/>
      <w:spacing w:before="60" w:after="60"/>
      <w:outlineLvl w:val="2"/>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Authors">
    <w:name w:val="2_Authors"/>
    <w:basedOn w:val="Normal"/>
    <w:qFormat/>
    <w:pPr>
      <w:spacing w:before="240" w:after="240"/>
      <w:jc w:val="center"/>
    </w:pPr>
    <w:rPr>
      <w:b/>
      <w:sz w:val="24"/>
    </w:rPr>
  </w:style>
  <w:style w:type="paragraph" w:customStyle="1" w:styleId="3Affiliations">
    <w:name w:val="3_Affiliations"/>
    <w:basedOn w:val="Normal"/>
    <w:qFormat/>
    <w:rsid w:val="00BA534A"/>
    <w:pPr>
      <w:jc w:val="center"/>
    </w:pPr>
    <w:rPr>
      <w:i/>
      <w:color w:val="000000"/>
    </w:rPr>
  </w:style>
  <w:style w:type="paragraph" w:customStyle="1" w:styleId="1TITLE">
    <w:name w:val="1_TITLE"/>
    <w:basedOn w:val="Normal"/>
    <w:qFormat/>
    <w:rsid w:val="00297324"/>
    <w:pPr>
      <w:spacing w:before="1200" w:after="240"/>
      <w:jc w:val="center"/>
    </w:pPr>
    <w:rPr>
      <w:b/>
      <w:kern w:val="28"/>
      <w:sz w:val="28"/>
    </w:rPr>
  </w:style>
  <w:style w:type="paragraph" w:customStyle="1" w:styleId="4HeaderSpacer">
    <w:name w:val="4_Header_Spacer"/>
    <w:basedOn w:val="Normal"/>
    <w:qFormat/>
    <w:rsid w:val="003C3DD9"/>
    <w:pPr>
      <w:spacing w:before="220"/>
    </w:pPr>
    <w:rPr>
      <w:noProof/>
      <w:sz w:val="22"/>
    </w:rPr>
  </w:style>
  <w:style w:type="paragraph" w:customStyle="1" w:styleId="5AbstractHeader">
    <w:name w:val="5_Abstract_Header"/>
    <w:basedOn w:val="Heading2"/>
    <w:qFormat/>
    <w:rsid w:val="00C449B0"/>
    <w:pPr>
      <w:spacing w:before="0"/>
    </w:pPr>
    <w:rPr>
      <w:noProof/>
    </w:rPr>
  </w:style>
  <w:style w:type="paragraph" w:customStyle="1" w:styleId="6AbstractText">
    <w:name w:val="6_Abstract_Text"/>
    <w:basedOn w:val="Normal"/>
    <w:qFormat/>
    <w:rsid w:val="000F1108"/>
    <w:pPr>
      <w:spacing w:before="60" w:after="60"/>
      <w:jc w:val="both"/>
    </w:pPr>
    <w:rPr>
      <w:i/>
      <w:noProof/>
    </w:rPr>
  </w:style>
  <w:style w:type="paragraph" w:customStyle="1" w:styleId="7KeywordHeader">
    <w:name w:val="7_Keyword_Header"/>
    <w:basedOn w:val="Heading3"/>
    <w:qFormat/>
    <w:rsid w:val="002C5888"/>
    <w:rPr>
      <w:noProof/>
    </w:rPr>
  </w:style>
  <w:style w:type="paragraph" w:customStyle="1" w:styleId="8KeywordList">
    <w:name w:val="8_Keyword_List"/>
    <w:qFormat/>
    <w:rsid w:val="007938BB"/>
    <w:rPr>
      <w:rFonts w:ascii="Times New Roman" w:hAnsi="Times New Roman"/>
      <w:noProof/>
      <w:lang w:eastAsia="fr-FR"/>
    </w:rPr>
  </w:style>
  <w:style w:type="paragraph" w:customStyle="1" w:styleId="ALevelOneHeader">
    <w:name w:val="A_Level_One_Header"/>
    <w:basedOn w:val="Heading1"/>
    <w:qFormat/>
    <w:rsid w:val="0001095E"/>
    <w:rPr>
      <w:noProof/>
    </w:rPr>
  </w:style>
  <w:style w:type="paragraph" w:customStyle="1" w:styleId="DBodyText">
    <w:name w:val="D_Body_Text"/>
    <w:basedOn w:val="Normal"/>
    <w:link w:val="DBodyTextChar"/>
    <w:qFormat/>
    <w:rsid w:val="000F1108"/>
    <w:pPr>
      <w:spacing w:before="60" w:after="60"/>
      <w:jc w:val="both"/>
    </w:pPr>
    <w:rPr>
      <w:noProof/>
    </w:rPr>
  </w:style>
  <w:style w:type="paragraph" w:customStyle="1" w:styleId="BLevelTwoHeader">
    <w:name w:val="B_Level_Two_Header"/>
    <w:basedOn w:val="Heading2"/>
    <w:qFormat/>
    <w:rsid w:val="00C94318"/>
    <w:rPr>
      <w:noProof/>
    </w:rPr>
  </w:style>
  <w:style w:type="paragraph" w:customStyle="1" w:styleId="CLevelThreeHeader">
    <w:name w:val="C_Level_Three_Header"/>
    <w:basedOn w:val="Heading3"/>
    <w:qFormat/>
    <w:rsid w:val="005E14AB"/>
    <w:rPr>
      <w:noProof/>
    </w:rPr>
  </w:style>
  <w:style w:type="paragraph" w:customStyle="1" w:styleId="DTableTitle">
    <w:name w:val="D_Table_Title"/>
    <w:basedOn w:val="Normal"/>
    <w:qFormat/>
    <w:rsid w:val="005C35B6"/>
    <w:pPr>
      <w:spacing w:before="240" w:after="120"/>
      <w:jc w:val="center"/>
    </w:pPr>
    <w:rPr>
      <w:i/>
      <w:noProof/>
    </w:rPr>
  </w:style>
  <w:style w:type="paragraph" w:customStyle="1" w:styleId="DBulletlevel1">
    <w:name w:val="D_Bullet_level_1"/>
    <w:basedOn w:val="Normal"/>
    <w:qFormat/>
    <w:rsid w:val="00C77915"/>
    <w:pPr>
      <w:numPr>
        <w:numId w:val="15"/>
      </w:numPr>
      <w:spacing w:before="60" w:after="60"/>
      <w:ind w:left="648"/>
    </w:pPr>
    <w:rPr>
      <w:noProof/>
    </w:rPr>
  </w:style>
  <w:style w:type="paragraph" w:customStyle="1" w:styleId="DBulletlevel2">
    <w:name w:val="D_Bullet_level_2"/>
    <w:basedOn w:val="Normal"/>
    <w:qFormat/>
    <w:rsid w:val="00C77915"/>
    <w:pPr>
      <w:numPr>
        <w:numId w:val="2"/>
      </w:numPr>
      <w:spacing w:before="60" w:after="60"/>
    </w:pPr>
    <w:rPr>
      <w:noProof/>
    </w:rPr>
  </w:style>
  <w:style w:type="paragraph" w:customStyle="1" w:styleId="DEnumeratedList">
    <w:name w:val="D_Enumerated_List"/>
    <w:basedOn w:val="Normal"/>
    <w:qFormat/>
    <w:rsid w:val="00B6688E"/>
    <w:pPr>
      <w:numPr>
        <w:numId w:val="3"/>
      </w:numPr>
      <w:spacing w:before="60" w:after="60"/>
    </w:pPr>
    <w:rPr>
      <w:noProof/>
    </w:rPr>
  </w:style>
  <w:style w:type="paragraph" w:customStyle="1" w:styleId="DTableHeader">
    <w:name w:val="D_Table_Header"/>
    <w:basedOn w:val="Normal"/>
    <w:qFormat/>
    <w:rsid w:val="00A41081"/>
    <w:rPr>
      <w:b/>
      <w:noProof/>
    </w:rPr>
  </w:style>
  <w:style w:type="paragraph" w:customStyle="1" w:styleId="DFigureLegend">
    <w:name w:val="D_Figure_Legend"/>
    <w:basedOn w:val="Normal"/>
    <w:qFormat/>
    <w:rsid w:val="00A41081"/>
    <w:pPr>
      <w:spacing w:before="120" w:after="240"/>
      <w:jc w:val="center"/>
    </w:pPr>
    <w:rPr>
      <w:i/>
      <w:noProof/>
    </w:rPr>
  </w:style>
  <w:style w:type="paragraph" w:customStyle="1" w:styleId="EReferenceHeader">
    <w:name w:val="E_Reference_Header"/>
    <w:basedOn w:val="ALevelOneHeader"/>
    <w:qFormat/>
    <w:rsid w:val="009F27E7"/>
  </w:style>
  <w:style w:type="paragraph" w:customStyle="1" w:styleId="FCorrespondenceheader">
    <w:name w:val="F_Correspondence_header"/>
    <w:basedOn w:val="Heading2"/>
    <w:qFormat/>
    <w:rsid w:val="004178D9"/>
    <w:rPr>
      <w:noProof/>
    </w:rPr>
  </w:style>
  <w:style w:type="paragraph" w:customStyle="1" w:styleId="FCorrespondencetext">
    <w:name w:val="F_Correspondence_text"/>
    <w:basedOn w:val="Normal"/>
    <w:qFormat/>
    <w:rsid w:val="003940F5"/>
    <w:pPr>
      <w:spacing w:before="60"/>
    </w:pPr>
    <w:rPr>
      <w:noProof/>
      <w:sz w:val="18"/>
      <w:szCs w:val="18"/>
    </w:rPr>
  </w:style>
  <w:style w:type="character" w:styleId="Hyperlink">
    <w:name w:val="Hyperlink"/>
    <w:basedOn w:val="DefaultParagraphFont"/>
    <w:rsid w:val="007E7F70"/>
    <w:rPr>
      <w:color w:val="0563C1" w:themeColor="hyperlink"/>
      <w:u w:val="single"/>
    </w:rPr>
  </w:style>
  <w:style w:type="character" w:styleId="CommentReference">
    <w:name w:val="annotation reference"/>
    <w:basedOn w:val="DefaultParagraphFont"/>
    <w:uiPriority w:val="99"/>
    <w:rsid w:val="00876A67"/>
    <w:rPr>
      <w:sz w:val="16"/>
      <w:szCs w:val="16"/>
    </w:rPr>
  </w:style>
  <w:style w:type="paragraph" w:styleId="CommentText">
    <w:name w:val="annotation text"/>
    <w:basedOn w:val="Normal"/>
    <w:link w:val="CommentTextChar"/>
    <w:uiPriority w:val="99"/>
    <w:rsid w:val="00876A67"/>
  </w:style>
  <w:style w:type="character" w:customStyle="1" w:styleId="CommentTextChar">
    <w:name w:val="Comment Text Char"/>
    <w:basedOn w:val="DefaultParagraphFont"/>
    <w:link w:val="CommentText"/>
    <w:uiPriority w:val="99"/>
    <w:rsid w:val="00876A67"/>
    <w:rPr>
      <w:rFonts w:ascii="Times New Roman" w:hAnsi="Times New Roman"/>
      <w:lang w:eastAsia="fr-FR"/>
    </w:rPr>
  </w:style>
  <w:style w:type="paragraph" w:styleId="CommentSubject">
    <w:name w:val="annotation subject"/>
    <w:basedOn w:val="CommentText"/>
    <w:next w:val="CommentText"/>
    <w:link w:val="CommentSubjectChar"/>
    <w:uiPriority w:val="99"/>
    <w:rsid w:val="00876A67"/>
    <w:rPr>
      <w:b/>
      <w:bCs/>
    </w:rPr>
  </w:style>
  <w:style w:type="character" w:customStyle="1" w:styleId="CommentSubjectChar">
    <w:name w:val="Comment Subject Char"/>
    <w:basedOn w:val="CommentTextChar"/>
    <w:link w:val="CommentSubject"/>
    <w:uiPriority w:val="99"/>
    <w:rsid w:val="00876A67"/>
    <w:rPr>
      <w:rFonts w:ascii="Times New Roman" w:hAnsi="Times New Roman"/>
      <w:b/>
      <w:bCs/>
      <w:lang w:eastAsia="fr-FR"/>
    </w:rPr>
  </w:style>
  <w:style w:type="paragraph" w:styleId="BalloonText">
    <w:name w:val="Balloon Text"/>
    <w:basedOn w:val="Normal"/>
    <w:link w:val="BalloonTextChar"/>
    <w:rsid w:val="00876A67"/>
    <w:rPr>
      <w:rFonts w:ascii="Segoe UI" w:hAnsi="Segoe UI" w:cs="Segoe UI"/>
      <w:sz w:val="18"/>
      <w:szCs w:val="18"/>
    </w:rPr>
  </w:style>
  <w:style w:type="character" w:customStyle="1" w:styleId="BalloonTextChar">
    <w:name w:val="Balloon Text Char"/>
    <w:basedOn w:val="DefaultParagraphFont"/>
    <w:link w:val="BalloonText"/>
    <w:rsid w:val="00876A67"/>
    <w:rPr>
      <w:rFonts w:ascii="Segoe UI" w:hAnsi="Segoe UI" w:cs="Segoe UI"/>
      <w:sz w:val="18"/>
      <w:szCs w:val="18"/>
      <w:lang w:eastAsia="fr-FR"/>
    </w:rPr>
  </w:style>
  <w:style w:type="paragraph" w:customStyle="1" w:styleId="EndNoteBibliographyTitle">
    <w:name w:val="EndNote Bibliography Title"/>
    <w:basedOn w:val="Normal"/>
    <w:link w:val="EndNoteBibliographyTitleChar"/>
    <w:rsid w:val="00511081"/>
    <w:pPr>
      <w:jc w:val="center"/>
    </w:pPr>
    <w:rPr>
      <w:noProof/>
      <w:lang w:val="fr-FR"/>
    </w:rPr>
  </w:style>
  <w:style w:type="character" w:customStyle="1" w:styleId="DBodyTextChar">
    <w:name w:val="D_Body_Text Char"/>
    <w:basedOn w:val="DefaultParagraphFont"/>
    <w:link w:val="DBodyText"/>
    <w:rsid w:val="00511081"/>
    <w:rPr>
      <w:rFonts w:ascii="Times New Roman" w:hAnsi="Times New Roman"/>
      <w:noProof/>
      <w:lang w:eastAsia="fr-FR"/>
    </w:rPr>
  </w:style>
  <w:style w:type="character" w:customStyle="1" w:styleId="EndNoteBibliographyTitleChar">
    <w:name w:val="EndNote Bibliography Title Char"/>
    <w:basedOn w:val="DBodyTextChar"/>
    <w:link w:val="EndNoteBibliographyTitle"/>
    <w:rsid w:val="00511081"/>
    <w:rPr>
      <w:rFonts w:ascii="Times New Roman" w:hAnsi="Times New Roman"/>
      <w:noProof/>
      <w:lang w:val="fr-FR" w:eastAsia="fr-FR"/>
    </w:rPr>
  </w:style>
  <w:style w:type="paragraph" w:customStyle="1" w:styleId="EndNoteBibliography">
    <w:name w:val="EndNote Bibliography"/>
    <w:basedOn w:val="Normal"/>
    <w:link w:val="EndNoteBibliographyChar"/>
    <w:rsid w:val="00511081"/>
    <w:rPr>
      <w:noProof/>
      <w:lang w:val="fr-FR"/>
    </w:rPr>
  </w:style>
  <w:style w:type="character" w:customStyle="1" w:styleId="EndNoteBibliographyChar">
    <w:name w:val="EndNote Bibliography Char"/>
    <w:basedOn w:val="DBodyTextChar"/>
    <w:link w:val="EndNoteBibliography"/>
    <w:rsid w:val="00511081"/>
    <w:rPr>
      <w:rFonts w:ascii="Times New Roman" w:hAnsi="Times New Roman"/>
      <w:noProof/>
      <w:lang w:val="fr-FR" w:eastAsia="fr-FR"/>
    </w:rPr>
  </w:style>
  <w:style w:type="character" w:styleId="FollowedHyperlink">
    <w:name w:val="FollowedHyperlink"/>
    <w:basedOn w:val="DefaultParagraphFont"/>
    <w:rsid w:val="00281339"/>
    <w:rPr>
      <w:color w:val="954F72" w:themeColor="followedHyperlink"/>
      <w:u w:val="single"/>
    </w:rPr>
  </w:style>
  <w:style w:type="paragraph" w:customStyle="1" w:styleId="Default">
    <w:name w:val="Default"/>
    <w:rsid w:val="00110C52"/>
    <w:pPr>
      <w:autoSpaceDE w:val="0"/>
      <w:autoSpaceDN w:val="0"/>
      <w:adjustRightInd w:val="0"/>
    </w:pPr>
    <w:rPr>
      <w:rFonts w:ascii="Times New Roman" w:eastAsiaTheme="minorHAnsi" w:hAnsi="Times New Roman"/>
      <w:color w:val="000000"/>
      <w:sz w:val="24"/>
      <w:szCs w:val="24"/>
      <w:lang w:val="fi-FI"/>
    </w:rPr>
  </w:style>
  <w:style w:type="table" w:styleId="TableGrid">
    <w:name w:val="Table Grid"/>
    <w:basedOn w:val="TableNormal"/>
    <w:rsid w:val="005736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0E42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997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ima.suomi@utu.f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Adi%20Working%20Folder\MedInfo2017%20Planning%20committee\MedInfo%20Templates%20from%20Sarkar\2015_MEDINFO_Template_Mas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6E2186-4920-4707-9CE4-97DBDFB1A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2015_MEDINFO_Template_Master</Template>
  <TotalTime>20</TotalTime>
  <Pages>5</Pages>
  <Words>5527</Words>
  <Characters>44775</Characters>
  <Application>Microsoft Office Word</Application>
  <DocSecurity>0</DocSecurity>
  <Lines>373</Lines>
  <Paragraphs>100</Paragraphs>
  <ScaleCrop>false</ScaleCrop>
  <HeadingPairs>
    <vt:vector size="2" baseType="variant">
      <vt:variant>
        <vt:lpstr>Title</vt:lpstr>
      </vt:variant>
      <vt:variant>
        <vt:i4>1</vt:i4>
      </vt:variant>
    </vt:vector>
  </HeadingPairs>
  <TitlesOfParts>
    <vt:vector size="1" baseType="lpstr">
      <vt:lpstr>2015 MEDINFO Template</vt:lpstr>
    </vt:vector>
  </TitlesOfParts>
  <Manager/>
  <Company>IMIA</Company>
  <LinksUpToDate>false</LinksUpToDate>
  <CharactersWithSpaces>50202</CharactersWithSpaces>
  <SharedDoc>false</SharedDoc>
  <HyperlinkBase/>
  <HLinks>
    <vt:vector size="6" baseType="variant">
      <vt:variant>
        <vt:i4>5832826</vt:i4>
      </vt:variant>
      <vt:variant>
        <vt:i4>3151</vt:i4>
      </vt:variant>
      <vt:variant>
        <vt:i4>1025</vt:i4>
      </vt:variant>
      <vt:variant>
        <vt:i4>1</vt:i4>
      </vt:variant>
      <vt:variant>
        <vt:lpwstr>SBI_319-(AVATAR02)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 MEDINFO Template</dc:title>
  <dc:subject/>
  <dc:creator>Adi Gundlapalli</dc:creator>
  <cp:keywords/>
  <dc:description/>
  <cp:lastModifiedBy>Reima Suomi</cp:lastModifiedBy>
  <cp:revision>3</cp:revision>
  <cp:lastPrinted>2003-07-19T03:59:00Z</cp:lastPrinted>
  <dcterms:created xsi:type="dcterms:W3CDTF">2017-04-13T12:28:00Z</dcterms:created>
  <dcterms:modified xsi:type="dcterms:W3CDTF">2017-04-13T12:32:00Z</dcterms:modified>
  <cp:category/>
</cp:coreProperties>
</file>