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5563BD" w14:textId="67D2BD6A" w:rsidR="007B793D" w:rsidRDefault="00535019" w:rsidP="00BA3011">
      <w:pPr>
        <w:spacing w:after="0" w:line="276" w:lineRule="auto"/>
        <w:jc w:val="center"/>
        <w:rPr>
          <w:b/>
          <w:sz w:val="28"/>
        </w:rPr>
      </w:pPr>
      <w:bookmarkStart w:id="0" w:name="_Hlk506798252"/>
      <w:bookmarkStart w:id="1" w:name="_Hlk506221567"/>
      <w:r>
        <w:rPr>
          <w:b/>
          <w:sz w:val="28"/>
        </w:rPr>
        <w:t>I</w:t>
      </w:r>
      <w:r w:rsidR="00280387">
        <w:rPr>
          <w:b/>
          <w:sz w:val="28"/>
        </w:rPr>
        <w:t>mmediate</w:t>
      </w:r>
      <w:r>
        <w:rPr>
          <w:b/>
          <w:sz w:val="28"/>
        </w:rPr>
        <w:t xml:space="preserve"> verbal</w:t>
      </w:r>
      <w:r w:rsidR="00280387">
        <w:rPr>
          <w:b/>
          <w:sz w:val="28"/>
        </w:rPr>
        <w:t xml:space="preserve"> recall</w:t>
      </w:r>
      <w:r w:rsidR="00FC6FD8" w:rsidRPr="00820275">
        <w:rPr>
          <w:b/>
          <w:sz w:val="28"/>
        </w:rPr>
        <w:t xml:space="preserve"> </w:t>
      </w:r>
      <w:r w:rsidR="00954C68" w:rsidRPr="00820275">
        <w:rPr>
          <w:b/>
          <w:sz w:val="28"/>
        </w:rPr>
        <w:t xml:space="preserve">and </w:t>
      </w:r>
      <w:r w:rsidR="006F7770" w:rsidRPr="00820275">
        <w:rPr>
          <w:b/>
          <w:sz w:val="28"/>
        </w:rPr>
        <w:t>fami</w:t>
      </w:r>
      <w:r w:rsidR="008B0C3D" w:rsidRPr="00820275">
        <w:rPr>
          <w:b/>
          <w:sz w:val="28"/>
        </w:rPr>
        <w:t>li</w:t>
      </w:r>
      <w:r w:rsidR="006F7770" w:rsidRPr="00820275">
        <w:rPr>
          <w:b/>
          <w:sz w:val="28"/>
        </w:rPr>
        <w:t xml:space="preserve">al dementia </w:t>
      </w:r>
      <w:r w:rsidR="00954C68" w:rsidRPr="00820275">
        <w:rPr>
          <w:b/>
          <w:sz w:val="28"/>
        </w:rPr>
        <w:t>risk</w:t>
      </w:r>
      <w:r w:rsidR="00FC6FD8" w:rsidRPr="00820275">
        <w:rPr>
          <w:b/>
          <w:sz w:val="28"/>
        </w:rPr>
        <w:t>:</w:t>
      </w:r>
      <w:r w:rsidR="00807709" w:rsidRPr="00820275">
        <w:rPr>
          <w:b/>
          <w:sz w:val="28"/>
        </w:rPr>
        <w:t xml:space="preserve"> </w:t>
      </w:r>
      <w:r w:rsidR="00CF0B0D" w:rsidRPr="00820275">
        <w:rPr>
          <w:b/>
          <w:sz w:val="28"/>
        </w:rPr>
        <w:t xml:space="preserve">population-based </w:t>
      </w:r>
      <w:r w:rsidR="00807709" w:rsidRPr="00820275">
        <w:rPr>
          <w:b/>
          <w:sz w:val="28"/>
        </w:rPr>
        <w:t xml:space="preserve">study </w:t>
      </w:r>
      <w:r w:rsidR="008C623E" w:rsidRPr="00820275">
        <w:rPr>
          <w:b/>
          <w:sz w:val="28"/>
        </w:rPr>
        <w:t>of over 4000 twins</w:t>
      </w:r>
    </w:p>
    <w:p w14:paraId="28E003A8" w14:textId="5D10E767" w:rsidR="00BA3011" w:rsidRDefault="00BA3011" w:rsidP="00BA3011">
      <w:pPr>
        <w:spacing w:after="0" w:line="276" w:lineRule="auto"/>
        <w:jc w:val="center"/>
        <w:rPr>
          <w:b/>
          <w:sz w:val="28"/>
        </w:rPr>
      </w:pPr>
    </w:p>
    <w:p w14:paraId="6C8A354E" w14:textId="77777777" w:rsidR="00FF4C77" w:rsidRPr="00820275" w:rsidRDefault="00FF4C77" w:rsidP="00BA3011">
      <w:pPr>
        <w:spacing w:after="0" w:line="276" w:lineRule="auto"/>
        <w:jc w:val="center"/>
        <w:rPr>
          <w:b/>
          <w:sz w:val="28"/>
        </w:rPr>
      </w:pPr>
    </w:p>
    <w:p w14:paraId="34F90E23" w14:textId="77777777" w:rsidR="000264D4" w:rsidRDefault="000F4502" w:rsidP="00BA3011">
      <w:pPr>
        <w:spacing w:after="0" w:line="276" w:lineRule="auto"/>
      </w:pPr>
      <w:bookmarkStart w:id="2" w:name="_Hlk506799406"/>
      <w:r>
        <w:t>Authors</w:t>
      </w:r>
      <w:r w:rsidR="00422F81">
        <w:t xml:space="preserve">: </w:t>
      </w:r>
      <w:proofErr w:type="spellStart"/>
      <w:r w:rsidR="00422F81">
        <w:t>Noora</w:t>
      </w:r>
      <w:proofErr w:type="spellEnd"/>
      <w:r w:rsidR="00422F81">
        <w:t xml:space="preserve"> Lindgren M</w:t>
      </w:r>
      <w:r w:rsidR="005C2336">
        <w:t>.</w:t>
      </w:r>
      <w:r w:rsidR="00422F81">
        <w:t>Sc</w:t>
      </w:r>
      <w:r w:rsidR="005C2336">
        <w:t>.</w:t>
      </w:r>
      <w:r w:rsidR="00F0244C" w:rsidRPr="00F0244C">
        <w:rPr>
          <w:vertAlign w:val="superscript"/>
        </w:rPr>
        <w:t>1</w:t>
      </w:r>
      <w:proofErr w:type="gramStart"/>
      <w:r w:rsidR="005F4FDB">
        <w:rPr>
          <w:vertAlign w:val="superscript"/>
        </w:rPr>
        <w:t>,2</w:t>
      </w:r>
      <w:proofErr w:type="gramEnd"/>
      <w:r w:rsidR="005C3224">
        <w:t>,</w:t>
      </w:r>
      <w:r w:rsidR="00406309">
        <w:t xml:space="preserve"> </w:t>
      </w:r>
      <w:r w:rsidR="00012048">
        <w:t xml:space="preserve">Jaakko </w:t>
      </w:r>
      <w:proofErr w:type="spellStart"/>
      <w:r w:rsidR="00012048">
        <w:t>Kaprio</w:t>
      </w:r>
      <w:proofErr w:type="spellEnd"/>
      <w:r w:rsidR="00012048">
        <w:t xml:space="preserve"> M</w:t>
      </w:r>
      <w:r w:rsidR="005C2336">
        <w:t>.</w:t>
      </w:r>
      <w:r w:rsidR="00012048">
        <w:t>D</w:t>
      </w:r>
      <w:r w:rsidR="005C2336">
        <w:t>.</w:t>
      </w:r>
      <w:r w:rsidR="00012048">
        <w:t xml:space="preserve"> Ph</w:t>
      </w:r>
      <w:r w:rsidR="005C2336">
        <w:t>.</w:t>
      </w:r>
      <w:r w:rsidR="00012048">
        <w:t>D</w:t>
      </w:r>
      <w:r w:rsidR="005C2336">
        <w:t>.</w:t>
      </w:r>
      <w:r w:rsidR="00012048">
        <w:rPr>
          <w:vertAlign w:val="superscript"/>
        </w:rPr>
        <w:t>3</w:t>
      </w:r>
      <w:r w:rsidR="005F4FDB">
        <w:rPr>
          <w:vertAlign w:val="superscript"/>
        </w:rPr>
        <w:t>,4</w:t>
      </w:r>
      <w:r w:rsidR="00012048">
        <w:t xml:space="preserve">, </w:t>
      </w:r>
      <w:proofErr w:type="spellStart"/>
      <w:r w:rsidR="00012048">
        <w:t>Juha</w:t>
      </w:r>
      <w:proofErr w:type="spellEnd"/>
      <w:r w:rsidR="00012048">
        <w:t xml:space="preserve"> O. </w:t>
      </w:r>
      <w:proofErr w:type="spellStart"/>
      <w:r w:rsidR="00012048">
        <w:t>Rinne</w:t>
      </w:r>
      <w:proofErr w:type="spellEnd"/>
      <w:r w:rsidR="00012048">
        <w:t xml:space="preserve"> M</w:t>
      </w:r>
      <w:r w:rsidR="005C2336">
        <w:t>.</w:t>
      </w:r>
      <w:r w:rsidR="00012048">
        <w:t>D</w:t>
      </w:r>
      <w:r w:rsidR="005C2336">
        <w:t>.</w:t>
      </w:r>
      <w:r w:rsidR="00012048">
        <w:t xml:space="preserve"> Ph</w:t>
      </w:r>
      <w:r w:rsidR="005C2336">
        <w:t>.</w:t>
      </w:r>
      <w:r w:rsidR="00012048">
        <w:t>D</w:t>
      </w:r>
      <w:r w:rsidR="005C2336">
        <w:t>.</w:t>
      </w:r>
      <w:r w:rsidR="00012048" w:rsidRPr="00012048">
        <w:rPr>
          <w:vertAlign w:val="superscript"/>
        </w:rPr>
        <w:t>1,</w:t>
      </w:r>
      <w:r w:rsidR="005F4FDB">
        <w:rPr>
          <w:vertAlign w:val="superscript"/>
        </w:rPr>
        <w:t>5</w:t>
      </w:r>
      <w:r w:rsidR="00012048">
        <w:t xml:space="preserve">, </w:t>
      </w:r>
      <w:proofErr w:type="spellStart"/>
      <w:r w:rsidR="00012048">
        <w:t>Eero</w:t>
      </w:r>
      <w:proofErr w:type="spellEnd"/>
      <w:r w:rsidR="00012048">
        <w:t xml:space="preserve"> </w:t>
      </w:r>
      <w:proofErr w:type="spellStart"/>
      <w:r w:rsidR="00012048">
        <w:t>Vuoksimaa</w:t>
      </w:r>
      <w:proofErr w:type="spellEnd"/>
      <w:r w:rsidR="00012048">
        <w:t xml:space="preserve"> Ph</w:t>
      </w:r>
      <w:r w:rsidR="005C2336">
        <w:t>.</w:t>
      </w:r>
      <w:r w:rsidR="00012048">
        <w:t>D</w:t>
      </w:r>
      <w:r w:rsidR="005C2336">
        <w:t>.</w:t>
      </w:r>
      <w:r w:rsidR="005F4FDB">
        <w:rPr>
          <w:vertAlign w:val="superscript"/>
        </w:rPr>
        <w:t>3</w:t>
      </w:r>
    </w:p>
    <w:p w14:paraId="51A020D7" w14:textId="77777777" w:rsidR="00D86F87" w:rsidRPr="00D86F87" w:rsidRDefault="00D86F87" w:rsidP="00820275">
      <w:pPr>
        <w:spacing w:after="0" w:line="276" w:lineRule="auto"/>
      </w:pPr>
    </w:p>
    <w:p w14:paraId="0718C6EE" w14:textId="77777777" w:rsidR="000F4502" w:rsidRPr="001A4CCD" w:rsidRDefault="008B0C3D" w:rsidP="00820275">
      <w:pPr>
        <w:spacing w:after="0" w:line="276" w:lineRule="auto"/>
      </w:pPr>
      <w:r>
        <w:t xml:space="preserve">Affiliations: </w:t>
      </w:r>
      <w:r w:rsidR="00F0244C" w:rsidRPr="00F0244C">
        <w:rPr>
          <w:vertAlign w:val="superscript"/>
        </w:rPr>
        <w:t>1</w:t>
      </w:r>
      <w:r w:rsidR="000F4502" w:rsidRPr="001A4CCD">
        <w:t xml:space="preserve"> Turku PET Centre, </w:t>
      </w:r>
      <w:r w:rsidR="00E657A0" w:rsidRPr="00E657A0">
        <w:t>Turku University Hospital and University of Turku</w:t>
      </w:r>
      <w:r w:rsidR="000F4502" w:rsidRPr="001A4CCD">
        <w:t xml:space="preserve">, </w:t>
      </w:r>
      <w:r w:rsidR="00DE3200">
        <w:t xml:space="preserve">Turku, </w:t>
      </w:r>
      <w:r w:rsidR="000F4502" w:rsidRPr="001A4CCD">
        <w:t>Finland</w:t>
      </w:r>
    </w:p>
    <w:p w14:paraId="5C943E60" w14:textId="77777777" w:rsidR="005F4FDB" w:rsidRDefault="00012048" w:rsidP="00820275">
      <w:pPr>
        <w:spacing w:after="0" w:line="276" w:lineRule="auto"/>
      </w:pPr>
      <w:r>
        <w:rPr>
          <w:vertAlign w:val="superscript"/>
        </w:rPr>
        <w:t>2</w:t>
      </w:r>
      <w:r w:rsidRPr="00012048">
        <w:t xml:space="preserve"> </w:t>
      </w:r>
      <w:r w:rsidR="005F4FDB" w:rsidRPr="005F4FDB">
        <w:t>Drug Research Doctoral Program, University of Turku, Turku, Finland</w:t>
      </w:r>
    </w:p>
    <w:p w14:paraId="3E29BF45" w14:textId="77777777" w:rsidR="00012048" w:rsidRDefault="005F4FDB" w:rsidP="00820275">
      <w:pPr>
        <w:spacing w:after="0" w:line="276" w:lineRule="auto"/>
        <w:rPr>
          <w:vertAlign w:val="superscript"/>
        </w:rPr>
      </w:pPr>
      <w:r w:rsidRPr="005F4FDB">
        <w:rPr>
          <w:vertAlign w:val="superscript"/>
        </w:rPr>
        <w:t>3</w:t>
      </w:r>
      <w:r>
        <w:t xml:space="preserve"> </w:t>
      </w:r>
      <w:r w:rsidR="00012048">
        <w:t>Institute for Molecular Medicine Finland, University of Helsinki, Finland</w:t>
      </w:r>
    </w:p>
    <w:p w14:paraId="629B7E19" w14:textId="77777777" w:rsidR="00012048" w:rsidRDefault="005F4FDB" w:rsidP="00820275">
      <w:pPr>
        <w:spacing w:after="0" w:line="276" w:lineRule="auto"/>
      </w:pPr>
      <w:r>
        <w:rPr>
          <w:vertAlign w:val="superscript"/>
        </w:rPr>
        <w:t>4</w:t>
      </w:r>
      <w:r w:rsidR="00012048">
        <w:rPr>
          <w:vertAlign w:val="superscript"/>
        </w:rPr>
        <w:t xml:space="preserve"> </w:t>
      </w:r>
      <w:proofErr w:type="spellStart"/>
      <w:r w:rsidR="00012048">
        <w:t>Dept</w:t>
      </w:r>
      <w:proofErr w:type="spellEnd"/>
      <w:r w:rsidR="00012048">
        <w:t xml:space="preserve"> of Public Health, University of Helsinki, Helsinki, Finland</w:t>
      </w:r>
    </w:p>
    <w:p w14:paraId="02418297" w14:textId="77777777" w:rsidR="00087A77" w:rsidRPr="001A4CCD" w:rsidRDefault="005F4FDB" w:rsidP="00820275">
      <w:pPr>
        <w:spacing w:after="0" w:line="276" w:lineRule="auto"/>
      </w:pPr>
      <w:r>
        <w:rPr>
          <w:vertAlign w:val="superscript"/>
        </w:rPr>
        <w:t>5</w:t>
      </w:r>
      <w:r w:rsidR="00012048">
        <w:t xml:space="preserve"> </w:t>
      </w:r>
      <w:r w:rsidR="00087A77" w:rsidRPr="00087A77">
        <w:t>Division of Clinical Neurosciences, Turku University Hospital,</w:t>
      </w:r>
      <w:r w:rsidR="00DE3200">
        <w:t xml:space="preserve"> Turku,</w:t>
      </w:r>
      <w:r w:rsidR="00087A77" w:rsidRPr="00087A77">
        <w:t xml:space="preserve"> Finland</w:t>
      </w:r>
    </w:p>
    <w:bookmarkEnd w:id="2"/>
    <w:p w14:paraId="263B97D9" w14:textId="77777777" w:rsidR="00087A77" w:rsidRDefault="00087A77" w:rsidP="00820275">
      <w:pPr>
        <w:spacing w:after="0" w:line="276" w:lineRule="auto"/>
      </w:pPr>
    </w:p>
    <w:p w14:paraId="573D3421" w14:textId="2BFAED4D" w:rsidR="00175455" w:rsidRDefault="00175455" w:rsidP="00820275">
      <w:pPr>
        <w:spacing w:after="0" w:line="276" w:lineRule="auto"/>
      </w:pPr>
    </w:p>
    <w:p w14:paraId="546E777E" w14:textId="2CEAF26B" w:rsidR="00FF4C77" w:rsidRDefault="00FF4C77" w:rsidP="00820275">
      <w:pPr>
        <w:spacing w:after="0" w:line="276" w:lineRule="auto"/>
      </w:pPr>
    </w:p>
    <w:p w14:paraId="5F10EA31" w14:textId="77777777" w:rsidR="00422F81" w:rsidRPr="00422F81" w:rsidRDefault="00422F81" w:rsidP="00820275">
      <w:pPr>
        <w:spacing w:after="0" w:line="276" w:lineRule="auto"/>
      </w:pPr>
      <w:bookmarkStart w:id="3" w:name="_Hlk506799522"/>
      <w:r w:rsidRPr="00422F81">
        <w:t xml:space="preserve">Corresponding Author: </w:t>
      </w:r>
    </w:p>
    <w:p w14:paraId="26F5524A" w14:textId="77777777" w:rsidR="00422F81" w:rsidRDefault="00422F81" w:rsidP="00820275">
      <w:pPr>
        <w:spacing w:after="0" w:line="276" w:lineRule="auto"/>
      </w:pPr>
      <w:proofErr w:type="spellStart"/>
      <w:r w:rsidRPr="00422F81">
        <w:t>Noora</w:t>
      </w:r>
      <w:proofErr w:type="spellEnd"/>
      <w:r w:rsidRPr="00422F81">
        <w:t xml:space="preserve"> Lindgren</w:t>
      </w:r>
    </w:p>
    <w:p w14:paraId="2C62975B" w14:textId="77777777" w:rsidR="008A5D3D" w:rsidRPr="001A4CCD" w:rsidRDefault="008A5D3D" w:rsidP="00820275">
      <w:pPr>
        <w:spacing w:after="0" w:line="276" w:lineRule="auto"/>
      </w:pPr>
      <w:r w:rsidRPr="001A4CCD">
        <w:t>Turku PET Centre</w:t>
      </w:r>
      <w:r w:rsidR="007A6008">
        <w:t xml:space="preserve">, </w:t>
      </w:r>
      <w:r w:rsidR="007A6008" w:rsidRPr="007A6008">
        <w:t>University of Turku</w:t>
      </w:r>
    </w:p>
    <w:p w14:paraId="5D5559EB" w14:textId="77777777" w:rsidR="007A6008" w:rsidRDefault="007A6008" w:rsidP="00820275">
      <w:pPr>
        <w:spacing w:after="0" w:line="276" w:lineRule="auto"/>
      </w:pPr>
      <w:proofErr w:type="gramStart"/>
      <w:r>
        <w:t>c</w:t>
      </w:r>
      <w:r w:rsidR="00157DDB" w:rsidRPr="00157DDB">
        <w:t>/o</w:t>
      </w:r>
      <w:proofErr w:type="gramEnd"/>
      <w:r w:rsidR="00157DDB" w:rsidRPr="00157DDB">
        <w:t xml:space="preserve"> Turku University Central Hospital</w:t>
      </w:r>
    </w:p>
    <w:p w14:paraId="2E6780BC" w14:textId="77777777" w:rsidR="00157DDB" w:rsidRPr="00933A28" w:rsidRDefault="00157DDB" w:rsidP="00820275">
      <w:pPr>
        <w:spacing w:after="0" w:line="276" w:lineRule="auto"/>
        <w:rPr>
          <w:lang w:val="fi-FI"/>
        </w:rPr>
      </w:pPr>
      <w:r w:rsidRPr="00933A28">
        <w:rPr>
          <w:lang w:val="fi-FI"/>
        </w:rPr>
        <w:t>P</w:t>
      </w:r>
      <w:r w:rsidR="007A6008" w:rsidRPr="00933A28">
        <w:rPr>
          <w:lang w:val="fi-FI"/>
        </w:rPr>
        <w:t>.</w:t>
      </w:r>
      <w:r w:rsidRPr="00933A28">
        <w:rPr>
          <w:lang w:val="fi-FI"/>
        </w:rPr>
        <w:t>O</w:t>
      </w:r>
      <w:r w:rsidR="007A6008" w:rsidRPr="00933A28">
        <w:rPr>
          <w:lang w:val="fi-FI"/>
        </w:rPr>
        <w:t>.</w:t>
      </w:r>
      <w:r w:rsidRPr="00933A28">
        <w:rPr>
          <w:lang w:val="fi-FI"/>
        </w:rPr>
        <w:t xml:space="preserve"> Box 52</w:t>
      </w:r>
      <w:r w:rsidR="007A6008" w:rsidRPr="00933A28">
        <w:rPr>
          <w:lang w:val="fi-FI"/>
        </w:rPr>
        <w:t xml:space="preserve"> (Kiinamyllynkatu 4-8)</w:t>
      </w:r>
    </w:p>
    <w:p w14:paraId="53C28982" w14:textId="77777777" w:rsidR="00726393" w:rsidRPr="00933A28" w:rsidRDefault="0093340E" w:rsidP="00820275">
      <w:pPr>
        <w:spacing w:after="0" w:line="276" w:lineRule="auto"/>
        <w:rPr>
          <w:lang w:val="fi-FI"/>
        </w:rPr>
      </w:pPr>
      <w:r w:rsidRPr="00933A28">
        <w:rPr>
          <w:lang w:val="fi-FI"/>
        </w:rPr>
        <w:t>FI</w:t>
      </w:r>
      <w:r w:rsidR="00B2256E" w:rsidRPr="00933A28">
        <w:rPr>
          <w:lang w:val="fi-FI"/>
        </w:rPr>
        <w:t>N</w:t>
      </w:r>
      <w:r w:rsidRPr="00933A28">
        <w:rPr>
          <w:lang w:val="fi-FI"/>
        </w:rPr>
        <w:t>-</w:t>
      </w:r>
      <w:r w:rsidR="00157DDB" w:rsidRPr="00933A28">
        <w:rPr>
          <w:lang w:val="fi-FI"/>
        </w:rPr>
        <w:t xml:space="preserve">20521 Turku, </w:t>
      </w:r>
      <w:r w:rsidRPr="00933A28">
        <w:rPr>
          <w:lang w:val="fi-FI"/>
        </w:rPr>
        <w:t>FINLAND</w:t>
      </w:r>
      <w:r w:rsidR="00157DDB" w:rsidRPr="00933A28">
        <w:rPr>
          <w:lang w:val="fi-FI"/>
        </w:rPr>
        <w:t xml:space="preserve"> </w:t>
      </w:r>
    </w:p>
    <w:p w14:paraId="69221891" w14:textId="77777777" w:rsidR="008A5D3D" w:rsidRPr="007A6008" w:rsidRDefault="008A5D3D" w:rsidP="00820275">
      <w:pPr>
        <w:spacing w:after="0" w:line="276" w:lineRule="auto"/>
      </w:pPr>
      <w:r w:rsidRPr="007A6008">
        <w:t>Phone +358-445621586</w:t>
      </w:r>
    </w:p>
    <w:p w14:paraId="5C15526F" w14:textId="77777777" w:rsidR="00566320" w:rsidRPr="007A6008" w:rsidRDefault="008A5D3D" w:rsidP="00820275">
      <w:pPr>
        <w:spacing w:after="0" w:line="276" w:lineRule="auto"/>
      </w:pPr>
      <w:r w:rsidRPr="007A6008">
        <w:t>nhsalm@utu.fi</w:t>
      </w:r>
    </w:p>
    <w:bookmarkEnd w:id="3"/>
    <w:p w14:paraId="39084B69" w14:textId="77777777" w:rsidR="007A6008" w:rsidRDefault="007A6008" w:rsidP="00820275">
      <w:pPr>
        <w:spacing w:after="0" w:line="276" w:lineRule="auto"/>
      </w:pPr>
    </w:p>
    <w:p w14:paraId="0E41C1E1" w14:textId="0D2BD7D7" w:rsidR="00B74F89" w:rsidRDefault="00B74F89" w:rsidP="00820275">
      <w:pPr>
        <w:spacing w:after="0" w:line="276" w:lineRule="auto"/>
      </w:pPr>
    </w:p>
    <w:p w14:paraId="66041929" w14:textId="1AF7FD59" w:rsidR="00FF4C77" w:rsidRPr="004A7A1E" w:rsidRDefault="00FF4C77" w:rsidP="00820275">
      <w:pPr>
        <w:spacing w:after="0" w:line="276" w:lineRule="auto"/>
        <w:rPr>
          <w:rFonts w:cs="Arial"/>
        </w:rPr>
      </w:pPr>
      <w:r w:rsidRPr="004A7A1E">
        <w:rPr>
          <w:rFonts w:cs="Arial"/>
        </w:rPr>
        <w:t>This is an unofficial translation of a manuscript that has been accepted for publication by BMJ. Neither BMJ nor its licensors have endorsed this translation. Article reuse is allowed pursuant to the terms of the Creative Commons Attribution-</w:t>
      </w:r>
      <w:proofErr w:type="spellStart"/>
      <w:r w:rsidRPr="004A7A1E">
        <w:rPr>
          <w:rFonts w:cs="Arial"/>
        </w:rPr>
        <w:t>NonCommercial</w:t>
      </w:r>
      <w:proofErr w:type="spellEnd"/>
      <w:r w:rsidRPr="004A7A1E">
        <w:rPr>
          <w:rFonts w:cs="Arial"/>
        </w:rPr>
        <w:t xml:space="preserve"> 4.0 International (CC BY-NC 4.0) </w:t>
      </w:r>
      <w:proofErr w:type="spellStart"/>
      <w:r w:rsidRPr="004A7A1E">
        <w:rPr>
          <w:rFonts w:cs="Arial"/>
        </w:rPr>
        <w:t>licence</w:t>
      </w:r>
      <w:proofErr w:type="spellEnd"/>
      <w:r w:rsidRPr="004A7A1E">
        <w:rPr>
          <w:rFonts w:cs="Arial"/>
        </w:rPr>
        <w:t>. The Version of Record on the Publisher’s</w:t>
      </w:r>
      <w:r w:rsidR="005370C9" w:rsidRPr="004A7A1E">
        <w:rPr>
          <w:rFonts w:cs="Arial"/>
        </w:rPr>
        <w:t xml:space="preserve"> (Journal of Neurology, </w:t>
      </w:r>
      <w:r w:rsidR="004A7A1E" w:rsidRPr="004A7A1E">
        <w:rPr>
          <w:rFonts w:cs="Arial"/>
        </w:rPr>
        <w:t>Neurosurgery &amp; Psychiatry)</w:t>
      </w:r>
      <w:r w:rsidRPr="004A7A1E">
        <w:rPr>
          <w:rFonts w:cs="Arial"/>
        </w:rPr>
        <w:t xml:space="preserve"> site</w:t>
      </w:r>
      <w:r w:rsidR="004A7A1E" w:rsidRPr="004A7A1E">
        <w:rPr>
          <w:rFonts w:cs="Arial"/>
        </w:rPr>
        <w:t xml:space="preserve">: </w:t>
      </w:r>
      <w:hyperlink r:id="rId8" w:tgtFrame="_new" w:history="1">
        <w:r w:rsidR="004A7A1E" w:rsidRPr="004A7A1E">
          <w:rPr>
            <w:rStyle w:val="Hyperlink"/>
            <w:rFonts w:cs="Arial"/>
            <w:color w:val="005A96"/>
            <w:shd w:val="clear" w:color="auto" w:fill="FFFFFF"/>
          </w:rPr>
          <w:t>http://dx.doi.org/10.1136/jnnp-2018-319122</w:t>
        </w:r>
      </w:hyperlink>
    </w:p>
    <w:p w14:paraId="640E0D56" w14:textId="77777777" w:rsidR="00422F81" w:rsidRPr="00FF4C77" w:rsidRDefault="00422F81" w:rsidP="00820275">
      <w:pPr>
        <w:spacing w:after="0" w:line="276" w:lineRule="auto"/>
      </w:pPr>
    </w:p>
    <w:p w14:paraId="0A228D2A" w14:textId="77777777" w:rsidR="00820275" w:rsidRPr="001E2493" w:rsidRDefault="001E2493" w:rsidP="001E2493">
      <w:pPr>
        <w:rPr>
          <w:rStyle w:val="Heading1Char"/>
        </w:rPr>
      </w:pPr>
      <w:bookmarkStart w:id="4" w:name="_Hlk506799934"/>
      <w:r w:rsidRPr="00FF4C77">
        <w:rPr>
          <w:rStyle w:val="Heading1Char"/>
        </w:rPr>
        <w:br w:type="page"/>
      </w:r>
      <w:r w:rsidR="00D63522">
        <w:rPr>
          <w:rStyle w:val="Heading1Char"/>
        </w:rPr>
        <w:lastRenderedPageBreak/>
        <w:t>ABSTRACT</w:t>
      </w:r>
    </w:p>
    <w:p w14:paraId="6A8E2D77" w14:textId="77777777" w:rsidR="00396A45" w:rsidRPr="00820275" w:rsidRDefault="00396A45" w:rsidP="00820275">
      <w:pPr>
        <w:pStyle w:val="Heading2"/>
      </w:pPr>
      <w:r w:rsidRPr="00820275">
        <w:t>Objective</w:t>
      </w:r>
      <w:r w:rsidR="00422F81" w:rsidRPr="00820275">
        <w:t xml:space="preserve"> </w:t>
      </w:r>
    </w:p>
    <w:p w14:paraId="6B732AAF" w14:textId="6FCDEE17" w:rsidR="00422F81" w:rsidRDefault="00396A45" w:rsidP="00820275">
      <w:r w:rsidRPr="00820275">
        <w:t>To investigate</w:t>
      </w:r>
      <w:r w:rsidR="0095666B" w:rsidRPr="00820275">
        <w:t xml:space="preserve"> the effect of familial risk </w:t>
      </w:r>
      <w:r w:rsidR="00BB7F77" w:rsidRPr="00820275">
        <w:t xml:space="preserve">for dementia </w:t>
      </w:r>
      <w:r w:rsidR="0095666B" w:rsidRPr="00820275">
        <w:t xml:space="preserve">on </w:t>
      </w:r>
      <w:r w:rsidR="008104C7">
        <w:t>verbal learning</w:t>
      </w:r>
      <w:r w:rsidR="00AD7989" w:rsidRPr="00820275">
        <w:t xml:space="preserve"> </w:t>
      </w:r>
      <w:r w:rsidR="0095666B" w:rsidRPr="00820275">
        <w:t xml:space="preserve">by comparing </w:t>
      </w:r>
      <w:r w:rsidR="00790286" w:rsidRPr="00820275">
        <w:t>cognitively</w:t>
      </w:r>
      <w:r w:rsidR="00790286" w:rsidRPr="00790286">
        <w:t xml:space="preserve"> </w:t>
      </w:r>
      <w:r w:rsidR="00D07A7E">
        <w:t>healthy</w:t>
      </w:r>
      <w:r w:rsidR="00D07A7E" w:rsidRPr="00790286">
        <w:t xml:space="preserve"> </w:t>
      </w:r>
      <w:r w:rsidR="00790286" w:rsidRPr="00790286">
        <w:t xml:space="preserve">twins </w:t>
      </w:r>
      <w:r w:rsidR="002B5A3D">
        <w:t xml:space="preserve">who had </w:t>
      </w:r>
      <w:r w:rsidR="00790286" w:rsidRPr="00790286">
        <w:t xml:space="preserve">demented co-twins </w:t>
      </w:r>
      <w:r w:rsidR="002B5A3D">
        <w:t xml:space="preserve">with </w:t>
      </w:r>
      <w:r w:rsidR="00FD38B7">
        <w:t xml:space="preserve">cognitively </w:t>
      </w:r>
      <w:r w:rsidR="00D07A7E">
        <w:t xml:space="preserve">healthy </w:t>
      </w:r>
      <w:r w:rsidR="0095666B">
        <w:t>twins</w:t>
      </w:r>
      <w:r w:rsidR="002B5A3D">
        <w:t xml:space="preserve"> who had</w:t>
      </w:r>
      <w:r w:rsidR="0095666B">
        <w:t xml:space="preserve"> </w:t>
      </w:r>
      <w:r w:rsidR="00FD38B7">
        <w:t>cognitive</w:t>
      </w:r>
      <w:r w:rsidR="0095666B">
        <w:t xml:space="preserve">ly </w:t>
      </w:r>
      <w:r w:rsidR="00D07A7E">
        <w:t xml:space="preserve">healthy </w:t>
      </w:r>
      <w:r w:rsidR="0095666B">
        <w:t>co-twins</w:t>
      </w:r>
      <w:r w:rsidR="00FD38B7">
        <w:t>.</w:t>
      </w:r>
    </w:p>
    <w:p w14:paraId="3C397077" w14:textId="77777777" w:rsidR="00396A45" w:rsidRPr="00820275" w:rsidRDefault="00422F81" w:rsidP="00820275">
      <w:pPr>
        <w:pStyle w:val="Heading2"/>
      </w:pPr>
      <w:r w:rsidRPr="00820275">
        <w:t>Methods</w:t>
      </w:r>
    </w:p>
    <w:p w14:paraId="029C467F" w14:textId="0862F3FE" w:rsidR="00314260" w:rsidRDefault="00B962D8" w:rsidP="00820275">
      <w:r w:rsidRPr="00B962D8">
        <w:t>4,367</w:t>
      </w:r>
      <w:r>
        <w:t xml:space="preserve"> </w:t>
      </w:r>
      <w:r w:rsidR="00F2430B">
        <w:t>twin</w:t>
      </w:r>
      <w:r w:rsidRPr="00B962D8">
        <w:t>s</w:t>
      </w:r>
      <w:r>
        <w:t xml:space="preserve"> aged ≥65 years</w:t>
      </w:r>
      <w:r w:rsidR="00923FE2">
        <w:t xml:space="preserve"> </w:t>
      </w:r>
      <w:r w:rsidR="00923FE2" w:rsidRPr="00923FE2">
        <w:t xml:space="preserve">including 1,375 twin pairs (533 monozygotic (MZ), 823 dizygotic (DZ) and 19 unknown </w:t>
      </w:r>
      <w:proofErr w:type="spellStart"/>
      <w:r w:rsidR="00923FE2" w:rsidRPr="00923FE2">
        <w:t>zygosity</w:t>
      </w:r>
      <w:proofErr w:type="spellEnd"/>
      <w:r w:rsidR="00923FE2" w:rsidRPr="00923FE2">
        <w:t xml:space="preserve"> pairs)</w:t>
      </w:r>
      <w:r w:rsidR="00994421">
        <w:t xml:space="preserve"> </w:t>
      </w:r>
      <w:r w:rsidR="00790286">
        <w:t xml:space="preserve">from </w:t>
      </w:r>
      <w:r w:rsidR="0095666B">
        <w:t>a population-based</w:t>
      </w:r>
      <w:r w:rsidR="00790286" w:rsidRPr="00790286">
        <w:t xml:space="preserve"> Finnish Twin Cohort </w:t>
      </w:r>
      <w:r>
        <w:t xml:space="preserve">participated </w:t>
      </w:r>
      <w:r w:rsidR="00790286">
        <w:t>in a</w:t>
      </w:r>
      <w:r w:rsidR="00A467CE">
        <w:t xml:space="preserve"> cross-sectional</w:t>
      </w:r>
      <w:r w:rsidR="00790286">
        <w:t xml:space="preserve"> </w:t>
      </w:r>
      <w:bookmarkStart w:id="5" w:name="_Hlk499890820"/>
      <w:r>
        <w:t>t</w:t>
      </w:r>
      <w:r w:rsidR="00790286">
        <w:t xml:space="preserve">elephone assessment for dementia </w:t>
      </w:r>
      <w:bookmarkEnd w:id="5"/>
      <w:r>
        <w:t>and</w:t>
      </w:r>
      <w:r w:rsidRPr="004E30DB">
        <w:t xml:space="preserve"> </w:t>
      </w:r>
      <w:r w:rsidR="00214435">
        <w:t xml:space="preserve">in </w:t>
      </w:r>
      <w:r w:rsidR="00273569">
        <w:t xml:space="preserve">a </w:t>
      </w:r>
      <w:r w:rsidR="00314260" w:rsidRPr="00314260">
        <w:t>single</w:t>
      </w:r>
      <w:r w:rsidR="00273569">
        <w:t xml:space="preserve"> free-recall </w:t>
      </w:r>
      <w:r w:rsidR="00314260" w:rsidRPr="00314260">
        <w:t xml:space="preserve">trial of </w:t>
      </w:r>
      <w:r w:rsidR="007D1F89">
        <w:t xml:space="preserve">a </w:t>
      </w:r>
      <w:r w:rsidR="00314260" w:rsidRPr="00314260">
        <w:t>10-item word list.</w:t>
      </w:r>
    </w:p>
    <w:p w14:paraId="404931A1" w14:textId="77777777" w:rsidR="00396A45" w:rsidRPr="00820275" w:rsidRDefault="00422F81" w:rsidP="00820275">
      <w:pPr>
        <w:pStyle w:val="Heading2"/>
      </w:pPr>
      <w:r w:rsidRPr="00820275">
        <w:t>Results</w:t>
      </w:r>
    </w:p>
    <w:p w14:paraId="5301CFDF" w14:textId="097188AE" w:rsidR="00D91076" w:rsidRPr="00E6495C" w:rsidRDefault="00994421" w:rsidP="00820275">
      <w:r>
        <w:t xml:space="preserve">Cognitively </w:t>
      </w:r>
      <w:r w:rsidR="00E83246">
        <w:t xml:space="preserve">healthy </w:t>
      </w:r>
      <w:r>
        <w:t xml:space="preserve">twins </w:t>
      </w:r>
      <w:r w:rsidR="00993836">
        <w:t>with</w:t>
      </w:r>
      <w:r w:rsidR="00012048">
        <w:t xml:space="preserve"> </w:t>
      </w:r>
      <w:r w:rsidR="00012048" w:rsidRPr="00790286">
        <w:t xml:space="preserve">demented co-twins </w:t>
      </w:r>
      <w:r w:rsidR="00BA0664">
        <w:t>(</w:t>
      </w:r>
      <w:r w:rsidR="00D82DC7" w:rsidRPr="002C1FBD">
        <w:rPr>
          <w:i/>
        </w:rPr>
        <w:t>n</w:t>
      </w:r>
      <w:r w:rsidR="00953C5C">
        <w:t xml:space="preserve"> </w:t>
      </w:r>
      <w:r w:rsidR="00BA0664">
        <w:t>=</w:t>
      </w:r>
      <w:r w:rsidR="00953C5C">
        <w:t xml:space="preserve"> </w:t>
      </w:r>
      <w:r w:rsidR="00BA0664">
        <w:t>101</w:t>
      </w:r>
      <w:r w:rsidR="001A1286">
        <w:t xml:space="preserve"> pairs</w:t>
      </w:r>
      <w:r w:rsidR="00BA0664">
        <w:t>)</w:t>
      </w:r>
      <w:r w:rsidR="00EB207A">
        <w:t xml:space="preserve"> </w:t>
      </w:r>
      <w:r w:rsidR="00753E01">
        <w:t xml:space="preserve">recalled less words than </w:t>
      </w:r>
      <w:r>
        <w:t xml:space="preserve">cognitively </w:t>
      </w:r>
      <w:r w:rsidR="00E83246">
        <w:t xml:space="preserve">healthy </w:t>
      </w:r>
      <w:r>
        <w:t xml:space="preserve">twins </w:t>
      </w:r>
      <w:r w:rsidR="00BB346E">
        <w:t>with</w:t>
      </w:r>
      <w:r w:rsidR="00012048">
        <w:t xml:space="preserve"> </w:t>
      </w:r>
      <w:r>
        <w:t xml:space="preserve">cognitively </w:t>
      </w:r>
      <w:r w:rsidR="00E83246">
        <w:t xml:space="preserve">healthy </w:t>
      </w:r>
      <w:r>
        <w:t>co-twins</w:t>
      </w:r>
      <w:r w:rsidR="00BA0664">
        <w:t xml:space="preserve"> (</w:t>
      </w:r>
      <w:r w:rsidR="00D82DC7" w:rsidRPr="002C1FBD">
        <w:rPr>
          <w:i/>
        </w:rPr>
        <w:t>n</w:t>
      </w:r>
      <w:r w:rsidR="00953C5C">
        <w:t xml:space="preserve"> </w:t>
      </w:r>
      <w:r w:rsidR="00BA0664">
        <w:t>=</w:t>
      </w:r>
      <w:r w:rsidR="00953C5C">
        <w:t xml:space="preserve"> </w:t>
      </w:r>
      <w:r w:rsidR="001A1286">
        <w:t>770 pairs</w:t>
      </w:r>
      <w:r w:rsidR="00BA0664">
        <w:t>)</w:t>
      </w:r>
      <w:r w:rsidR="00DD1182">
        <w:t xml:space="preserve"> after adjusting for age, sex, and education</w:t>
      </w:r>
      <w:r w:rsidR="0068510B">
        <w:t xml:space="preserve">, </w:t>
      </w:r>
      <w:r w:rsidR="00DD1182" w:rsidRPr="002C1FBD">
        <w:rPr>
          <w:i/>
        </w:rPr>
        <w:t>B</w:t>
      </w:r>
      <w:r w:rsidR="00DD1182">
        <w:t xml:space="preserve"> = </w:t>
      </w:r>
      <w:bookmarkStart w:id="6" w:name="OLE_LINK1"/>
      <w:r w:rsidR="00DD1182">
        <w:t>-0.44</w:t>
      </w:r>
      <w:r w:rsidR="00DE5897">
        <w:t>,</w:t>
      </w:r>
      <w:r w:rsidR="004A14A0">
        <w:t xml:space="preserve"> </w:t>
      </w:r>
      <w:r w:rsidR="00963BBD">
        <w:t>95% CI</w:t>
      </w:r>
      <w:r w:rsidR="002C1FBD">
        <w:t xml:space="preserve"> </w:t>
      </w:r>
      <w:r w:rsidR="000C6F05">
        <w:t>[</w:t>
      </w:r>
      <w:r w:rsidR="00963BBD">
        <w:t>-0.73</w:t>
      </w:r>
      <w:r w:rsidR="000C6F05">
        <w:t>,</w:t>
      </w:r>
      <w:r w:rsidR="00963BBD" w:rsidRPr="002145F1">
        <w:t xml:space="preserve"> -0.14</w:t>
      </w:r>
      <w:r w:rsidR="000C6F05">
        <w:t>]</w:t>
      </w:r>
      <w:r w:rsidR="00012048">
        <w:t xml:space="preserve">, </w:t>
      </w:r>
      <w:r w:rsidR="00274D63" w:rsidRPr="006B5700">
        <w:rPr>
          <w:i/>
        </w:rPr>
        <w:t>P</w:t>
      </w:r>
      <w:r w:rsidR="00274D63" w:rsidRPr="008A4900">
        <w:t xml:space="preserve"> = .003</w:t>
      </w:r>
      <w:bookmarkEnd w:id="6"/>
      <w:r w:rsidR="00274D63">
        <w:t xml:space="preserve">. </w:t>
      </w:r>
      <w:r w:rsidR="00923FE2">
        <w:t>The effect size was similar in MZ (</w:t>
      </w:r>
      <w:r w:rsidR="00923FE2" w:rsidRPr="002C1FBD">
        <w:rPr>
          <w:i/>
        </w:rPr>
        <w:t>n</w:t>
      </w:r>
      <w:r w:rsidR="00923FE2">
        <w:t xml:space="preserve"> = 31) twins (3.88 vs 4.29 words, </w:t>
      </w:r>
      <w:r w:rsidR="00923FE2" w:rsidRPr="007E2951">
        <w:rPr>
          <w:i/>
        </w:rPr>
        <w:t>B</w:t>
      </w:r>
      <w:r w:rsidR="00923FE2">
        <w:t xml:space="preserve"> = -0.41, 95% CI [</w:t>
      </w:r>
      <w:r w:rsidR="00923FE2" w:rsidRPr="00813FA0">
        <w:t>-0.96, 0.13</w:t>
      </w:r>
      <w:r w:rsidR="00923FE2">
        <w:t>]) and DZ (</w:t>
      </w:r>
      <w:r w:rsidR="00923FE2" w:rsidRPr="002C1FBD">
        <w:rPr>
          <w:i/>
        </w:rPr>
        <w:t>n</w:t>
      </w:r>
      <w:r w:rsidR="00923FE2">
        <w:t xml:space="preserve"> = 66) twins (3.70 vs 4.17 words, </w:t>
      </w:r>
      <w:r w:rsidR="00923FE2" w:rsidRPr="007E2951">
        <w:rPr>
          <w:i/>
        </w:rPr>
        <w:t>B</w:t>
      </w:r>
      <w:r w:rsidR="00923FE2">
        <w:t xml:space="preserve"> = -0.47, 95% CI [</w:t>
      </w:r>
      <w:r w:rsidR="00923FE2" w:rsidRPr="00C31977">
        <w:t>-0.84, -0.10</w:t>
      </w:r>
      <w:r w:rsidR="00923FE2">
        <w:t xml:space="preserve">]). </w:t>
      </w:r>
      <w:r w:rsidR="00EB207A">
        <w:t xml:space="preserve">The </w:t>
      </w:r>
      <w:r w:rsidR="00963BBD">
        <w:t xml:space="preserve">heritability </w:t>
      </w:r>
      <w:r w:rsidR="007863E9">
        <w:t xml:space="preserve">estimate </w:t>
      </w:r>
      <w:r w:rsidR="00963BBD">
        <w:t xml:space="preserve">of </w:t>
      </w:r>
      <w:r w:rsidR="009B2B3E">
        <w:t xml:space="preserve">immediate recall (IR) </w:t>
      </w:r>
      <w:r w:rsidR="00EB207A">
        <w:t xml:space="preserve">was </w:t>
      </w:r>
      <w:r w:rsidR="006007CE" w:rsidRPr="006007CE">
        <w:t>0.</w:t>
      </w:r>
      <w:r w:rsidR="00BA0664">
        <w:t>37</w:t>
      </w:r>
      <w:r w:rsidR="000C6F05">
        <w:t xml:space="preserve">, </w:t>
      </w:r>
      <w:r w:rsidR="00625728" w:rsidRPr="00625728">
        <w:t>95%</w:t>
      </w:r>
      <w:r w:rsidR="00DC0E96">
        <w:t xml:space="preserve"> </w:t>
      </w:r>
      <w:r w:rsidR="00625728" w:rsidRPr="00625728">
        <w:t xml:space="preserve">CI </w:t>
      </w:r>
      <w:r w:rsidR="000C6F05">
        <w:t>[</w:t>
      </w:r>
      <w:r w:rsidR="00625728">
        <w:t>0</w:t>
      </w:r>
      <w:r w:rsidR="00625728" w:rsidRPr="00625728">
        <w:t>.21</w:t>
      </w:r>
      <w:r w:rsidR="000C6F05">
        <w:t>,</w:t>
      </w:r>
      <w:r w:rsidR="00625728" w:rsidRPr="00625728">
        <w:t xml:space="preserve"> </w:t>
      </w:r>
      <w:r w:rsidR="00625728">
        <w:t>0</w:t>
      </w:r>
      <w:r w:rsidR="00625728" w:rsidRPr="00625728">
        <w:t>.43</w:t>
      </w:r>
      <w:r w:rsidR="000C6F05">
        <w:t>]</w:t>
      </w:r>
      <w:r w:rsidR="00753E01">
        <w:t>.</w:t>
      </w:r>
      <w:r w:rsidR="00D4659E">
        <w:t xml:space="preserve"> </w:t>
      </w:r>
    </w:p>
    <w:p w14:paraId="07907B73" w14:textId="77777777" w:rsidR="00396A45" w:rsidRPr="00820275" w:rsidRDefault="00422F81" w:rsidP="00820275">
      <w:pPr>
        <w:pStyle w:val="Heading2"/>
      </w:pPr>
      <w:r w:rsidRPr="00820275">
        <w:t>Conclusions</w:t>
      </w:r>
      <w:bookmarkStart w:id="7" w:name="_Hlk506221456"/>
    </w:p>
    <w:p w14:paraId="4CDCB1A9" w14:textId="5BD50CDE" w:rsidR="00820275" w:rsidRDefault="007250EF" w:rsidP="00820275">
      <w:r w:rsidRPr="007250EF">
        <w:t xml:space="preserve">The results demonstrate that familial risk for dementia is reflected in the </w:t>
      </w:r>
      <w:r w:rsidR="009B2B3E">
        <w:t>IR</w:t>
      </w:r>
      <w:r w:rsidR="009B2B3E" w:rsidRPr="007250EF">
        <w:t xml:space="preserve"> </w:t>
      </w:r>
      <w:r w:rsidRPr="007250EF">
        <w:t xml:space="preserve">performance of cognitively </w:t>
      </w:r>
      <w:r w:rsidR="0073759F">
        <w:t>healthy</w:t>
      </w:r>
      <w:r w:rsidR="0073759F" w:rsidRPr="007250EF">
        <w:t xml:space="preserve"> </w:t>
      </w:r>
      <w:r w:rsidRPr="007250EF">
        <w:t xml:space="preserve">older persons. </w:t>
      </w:r>
      <w:r w:rsidR="00707FB6" w:rsidRPr="00707FB6">
        <w:t xml:space="preserve">The finding of poorer </w:t>
      </w:r>
      <w:r w:rsidR="009B2B3E">
        <w:t xml:space="preserve">IR </w:t>
      </w:r>
      <w:r w:rsidR="00707FB6" w:rsidRPr="00707FB6">
        <w:t>performance in non</w:t>
      </w:r>
      <w:r w:rsidR="00AE2904">
        <w:t>-</w:t>
      </w:r>
      <w:r w:rsidR="00707FB6" w:rsidRPr="00707FB6">
        <w:t xml:space="preserve">affected </w:t>
      </w:r>
      <w:r w:rsidR="00BD0C65">
        <w:t>siblings</w:t>
      </w:r>
      <w:r w:rsidR="00707FB6" w:rsidRPr="00707FB6">
        <w:t xml:space="preserve"> compared to </w:t>
      </w:r>
      <w:r w:rsidR="007D1F89">
        <w:t xml:space="preserve">the </w:t>
      </w:r>
      <w:r w:rsidR="00707FB6" w:rsidRPr="00707FB6">
        <w:t xml:space="preserve">general population, together with substantial </w:t>
      </w:r>
      <w:r w:rsidR="00707FB6" w:rsidRPr="00707FB6">
        <w:lastRenderedPageBreak/>
        <w:t xml:space="preserve">heritability of </w:t>
      </w:r>
      <w:r w:rsidR="009B2B3E">
        <w:t>IR</w:t>
      </w:r>
      <w:r w:rsidR="00846AAA">
        <w:t>,</w:t>
      </w:r>
      <w:r w:rsidR="00707FB6" w:rsidRPr="00707FB6">
        <w:t xml:space="preserve"> supports </w:t>
      </w:r>
      <w:r w:rsidR="009B2B3E">
        <w:t>IR</w:t>
      </w:r>
      <w:r w:rsidR="009B2B3E" w:rsidRPr="00707FB6">
        <w:t xml:space="preserve"> </w:t>
      </w:r>
      <w:r w:rsidR="00707FB6" w:rsidRPr="00707FB6">
        <w:t xml:space="preserve">as </w:t>
      </w:r>
      <w:r w:rsidR="005C6E86">
        <w:t>a</w:t>
      </w:r>
      <w:r w:rsidR="00846AAA">
        <w:t xml:space="preserve"> </w:t>
      </w:r>
      <w:r w:rsidR="00707FB6" w:rsidRPr="00707FB6">
        <w:t xml:space="preserve">useful </w:t>
      </w:r>
      <w:proofErr w:type="spellStart"/>
      <w:r w:rsidR="00707FB6" w:rsidRPr="00707FB6">
        <w:t>endophenotype</w:t>
      </w:r>
      <w:proofErr w:type="spellEnd"/>
      <w:r w:rsidR="00707FB6" w:rsidRPr="00707FB6">
        <w:t xml:space="preserve"> </w:t>
      </w:r>
      <w:r w:rsidR="004821D8">
        <w:t>for</w:t>
      </w:r>
      <w:r w:rsidR="00707FB6" w:rsidRPr="00707FB6">
        <w:t xml:space="preserve"> </w:t>
      </w:r>
      <w:r w:rsidR="004821D8">
        <w:t xml:space="preserve">molecular genetic studies of </w:t>
      </w:r>
      <w:r w:rsidR="00707FB6" w:rsidRPr="00707FB6">
        <w:t>dementia</w:t>
      </w:r>
      <w:r w:rsidR="00707FB6">
        <w:t>.</w:t>
      </w:r>
      <w:bookmarkEnd w:id="7"/>
    </w:p>
    <w:p w14:paraId="499873CA" w14:textId="5AE0EBE1" w:rsidR="009515EF" w:rsidRDefault="003448C4" w:rsidP="00820275">
      <w:r>
        <w:t xml:space="preserve">Keywords: Dementia, Memory and Learning Tests, </w:t>
      </w:r>
      <w:r w:rsidR="00ED67A2">
        <w:t xml:space="preserve">Verbal </w:t>
      </w:r>
      <w:r w:rsidR="00DB3D6D">
        <w:t>L</w:t>
      </w:r>
      <w:r w:rsidR="00ED67A2">
        <w:t xml:space="preserve">earning, </w:t>
      </w:r>
      <w:r w:rsidR="00DB3D6D">
        <w:t>Twin Study</w:t>
      </w:r>
      <w:r w:rsidR="005232BA">
        <w:t>, Free recall</w:t>
      </w:r>
    </w:p>
    <w:p w14:paraId="789EEC96" w14:textId="77777777" w:rsidR="0094060C" w:rsidRPr="00820275" w:rsidRDefault="00D63522" w:rsidP="001E2493">
      <w:pPr>
        <w:pStyle w:val="Heading1"/>
      </w:pPr>
      <w:r>
        <w:t>INTRODUCTION</w:t>
      </w:r>
    </w:p>
    <w:p w14:paraId="03E73F64" w14:textId="6216E564" w:rsidR="00BB214D" w:rsidRPr="00BB214D" w:rsidRDefault="001923E5" w:rsidP="00795954">
      <w:bookmarkStart w:id="8" w:name="_Hlk522724670"/>
      <w:r>
        <w:t>Impaired v</w:t>
      </w:r>
      <w:r w:rsidR="00F32FF1">
        <w:t>erbal learning and memory performance</w:t>
      </w:r>
      <w:r w:rsidR="00470657">
        <w:t>, which is commonly measured with word-list learning tests,</w:t>
      </w:r>
      <w:r w:rsidR="00F32FF1">
        <w:t xml:space="preserve"> is often the earliest </w:t>
      </w:r>
      <w:r>
        <w:t xml:space="preserve">clinical </w:t>
      </w:r>
      <w:r w:rsidR="00F32FF1">
        <w:t xml:space="preserve">sign of </w:t>
      </w:r>
      <w:r>
        <w:t>Alzheimer’s disease (AD</w:t>
      </w:r>
      <w:r w:rsidR="008104C7">
        <w:t>)</w:t>
      </w:r>
      <w:r>
        <w:t xml:space="preserve">. </w:t>
      </w:r>
      <w:r w:rsidR="007D3C12" w:rsidRPr="007D3C12">
        <w:t>Individuals with AD, mild cognitive impairment (MCI) and healthy cognition have significantly different word list recall performance in the first immediate recall trial, in repeated immediate recall trials and in delayed recall trials</w:t>
      </w:r>
      <w:r w:rsidR="007D3C12">
        <w:t>.</w:t>
      </w:r>
      <w:r w:rsidR="007D3C12">
        <w:fldChar w:fldCharType="begin" w:fldLock="1"/>
      </w:r>
      <w:r w:rsidR="00396C46">
        <w:instrText>ADDIN CSL_CITATION {"citationItems":[{"id":"ITEM-1","itemData":{"DOI":"10.1097/01.wnn.0000208290.57370.a3","ISBN":"1543-3633","ISSN":"1543-3633","PMID":"16783130","abstract":"OBJECTIVE: Individuals with mild cognitive impairment (MCI) typically demonstrate memory loss that falls between normal aging (NA) and Alzheimer disease (AD), but little is known about the pattern of memory dysfunction in MCI. METHOD: To explore this issue, California Verbal Learning Test (CVLT) performance was examined across groups of MCI, AD, and NA. RESULTS: MCI subjects displayed a pattern of deficits closely resembling that of AD, characterized by reduced learning, rapid forgetting, increased recency recall, elevated intrusion errors, and poor recognition discriminability with increased false-positives. MCI performance was significantly worse than that of controls and better than that of AD patients across memory indices. Although qualitative analysis of CVLT profiles may be useful in individual cases, discriminant function analysis revealed that delayed recall and total learning were the best aspects of learning/memory on the CVLT in differentiating MCI, AD, and NA. CONCLUSIONS: These findings support the position that amnestic MCI represents an early point of decline on the continuum of AD that is different from normal aging.","author":[{"dropping-particle":"","family":"Greenaway","given":"Melanie C","non-dropping-particle":"","parse-names":false,"suffix":""},{"dropping-particle":"","family":"Lacritz","given":"Laura H","non-dropping-particle":"","parse-names":false,"suffix":""},{"dropping-particle":"","family":"Binegar","given":"Dani","non-dropping-particle":"","parse-names":false,"suffix":""},{"dropping-particle":"","family":"Weiner","given":"Myron F","non-dropping-particle":"","parse-names":false,"suffix":""},{"dropping-particle":"","family":"Lipton","given":"Anne","non-dropping-particle":"","parse-names":false,"suffix":""},{"dropping-particle":"","family":"Munro Cullum","given":"C","non-dropping-particle":"","parse-names":false,"suffix":""}],"container-title":"Cognitive and behavioral neurology : official journal of the Society for Behavioral and Cognitive Neurology","id":"ITEM-1","issue":"2","issued":{"date-parts":[["2006"]]},"page":"79-84","title":"Patterns of verbal memory performance in mild cognitive impairment, Alzheimer disease, and normal aging.","type":"article-journal","volume":"19"},"uris":["http://www.mendeley.com/documents/?uuid=cc9dbc7b-3620-41bf-8551-063194c55cd6"]}],"mendeley":{"formattedCitation":"[1]","plainTextFormattedCitation":"[1]","previouslyFormattedCitation":"[1]"},"properties":{"noteIndex":0},"schema":"https://github.com/citation-style-language/schema/raw/master/csl-citation.json"}</w:instrText>
      </w:r>
      <w:r w:rsidR="007D3C12">
        <w:fldChar w:fldCharType="separate"/>
      </w:r>
      <w:r w:rsidR="007D3C12" w:rsidRPr="007D3C12">
        <w:rPr>
          <w:noProof/>
        </w:rPr>
        <w:t>[1]</w:t>
      </w:r>
      <w:r w:rsidR="007D3C12">
        <w:fldChar w:fldCharType="end"/>
      </w:r>
      <w:r w:rsidR="007D3C12" w:rsidRPr="007D3C12">
        <w:t xml:space="preserve"> In addition, </w:t>
      </w:r>
      <w:r w:rsidR="00DA6E37">
        <w:t>i</w:t>
      </w:r>
      <w:r>
        <w:t>mmediate and delayed recall of</w:t>
      </w:r>
      <w:r w:rsidR="00550D9B">
        <w:t xml:space="preserve"> </w:t>
      </w:r>
      <w:r>
        <w:t>word</w:t>
      </w:r>
      <w:r w:rsidR="00910018">
        <w:t xml:space="preserve"> </w:t>
      </w:r>
      <w:r>
        <w:t>list</w:t>
      </w:r>
      <w:r w:rsidR="004D066B">
        <w:t>s</w:t>
      </w:r>
      <w:r>
        <w:t xml:space="preserve"> have been identified as early predictors of all-cause </w:t>
      </w:r>
      <w:r w:rsidR="00470657">
        <w:t xml:space="preserve">or </w:t>
      </w:r>
      <w:r>
        <w:t>AD dementia</w:t>
      </w:r>
      <w:r w:rsidR="00403384">
        <w:t>.</w:t>
      </w:r>
      <w:r w:rsidR="008C1A21">
        <w:fldChar w:fldCharType="begin" w:fldLock="1"/>
      </w:r>
      <w:r w:rsidR="00396C46">
        <w:instrText>ADDIN CSL_CITATION {"citationItems":[{"id":"ITEM-1","itemData":{"DOI":"10.1016/j.jalz.2014.04.520","ISBN":"3143627344","ISSN":"15525279","PMID":"25035155","abstract":"Background The delineation of the relative temporal trajectories of specific cognitive measures associated with Alzheimer's disease (AD) is important for evaluating preclinical markers and monitoring disease progression. Methods We characterized the temporal trajectories of measures of verbal episodic memory, short-term visual memory, and mental status using data from 895 participants in the Baltimore Longitudinal Study of Aging. Results The California Verbal Learning Test (CVLT) immediate recall was the first measure to decline, followed by CVLT delayed recall. However, further along the disease progression scale, CVLT delayed recall and visual memory changed more rapidly than CVLT immediate recall. Conclusions Our findings reconcile reports of early changes in immediate recall with greater reliance on delayed recall performance in clinical settings. Moreover, the utility of cognitive markers in evaluating AD progression depends on the stage of cognitive decline, suggesting that optimal endpoints in therapeutic trials may vary across different stages of the disease process.","author":[{"dropping-particle":"","family":"Bilgel","given":"Murat","non-dropping-particle":"","parse-names":false,"suffix":""},{"dropping-particle":"","family":"An","given":"Yang","non-dropping-particle":"","parse-names":false,"suffix":""},{"dropping-particle":"","family":"Lang","given":"Andrew","non-dropping-particle":"","parse-names":false,"suffix":""},{"dropping-particle":"","family":"Prince","given":"Jerry","non-dropping-particle":"","parse-names":false,"suffix":""},{"dropping-particle":"","family":"Ferrucci","given":"Luigi","non-dropping-particle":"","parse-names":false,"suffix":""},{"dropping-particle":"","family":"Jedynak","given":"Bruno","non-dropping-particle":"","parse-names":false,"suffix":""},{"dropping-particle":"","family":"Resnick","given":"Susan M.","non-dropping-particle":"","parse-names":false,"suffix":""}],"container-title":"Alzheimer's and Dementia","id":"ITEM-1","issue":"6","issued":{"date-parts":[["2014"]]},"page":"735-742","title":"Trajectories of Alzheimer disease-related cognitive measures in a longitudinal sample","type":"article-journal","volume":"10"},"uris":["http://www.mendeley.com/documents/?uuid=81be8a9b-4a54-4fd7-b55f-73e9cddf4b03"]},{"id":"ITEM-2","itemData":{"DOI":"10.1001/archneur.64.6.862","ISBN":"9788578110796","ISSN":"00039942","PMID":"17562935","abstract":"&lt;h3&gt;Objective&lt;/h3&gt;&lt;p&gt;To examine neuropsychological measures among normal individuals that predict time to subsequent cognitive decline.&lt;/p&gt;&lt;h3&gt;Design&lt;/h3&gt;&lt;p&gt;Cognitive performance, as measured by 6 neuropsychological tests, was examined at baseline. Participants were followed up for approximately 5 years. Cox proportional hazards models were used to evaluate the neuropsychological measures at baseline that predicted time to progression from normal cognition to mild impairment. Comparable data also examined time to progression from mild impairment to a diagnosis of Alzheimer disease.&lt;/p&gt;&lt;h3&gt;Setting&lt;/h3&gt;&lt;p&gt;Community volunteer-based sample examined at a medical institution.&lt;/p&gt;&lt;h3&gt;Participants&lt;/h3&gt;&lt;p&gt;One hundred and seven individuals who were cognitively normal and 235 individuals with mild cognitive impairment at baseline.&lt;/p&gt;&lt;h3&gt;Main Outcome Measures&lt;/h3&gt;&lt;p&gt;Time to progression from normal cognition to mild impairment and time to progression from mild impairment to a diagnosis of Alzheimer disease.&lt;/p&gt;&lt;h3&gt;Results&lt;/h3&gt;&lt;p&gt;The risk of progressing from normal to mild impairment was considerably greater among those with lower scores on tests of episodic memory (eg, hazard ratio for a 1-SD decrease in the California Verbal Learning Test, 0.55;&lt;i&gt;P&lt;/i&gt;&amp;lt;.001). Normal individuals who carried at least 1 copy of the apolipoprotein E ε2 allele were less likely to develop cognitive impairments over time than individuals with no ε2 allele (hazard ratio for presence of allele, 0.13;&lt;i&gt;P&lt;/i&gt; = .006). Measures of both episodic memory and executive function were significant predictors of time to progression from mild impairment to a clinical diagnosis of Alzheimer disease (eg, hazard ratio for a 1-SD decrease in California Verbal Learning Test score, 0.67;&lt;i&gt;P&lt;/i&gt; = .005; hazard ratio for a 1-SD increase in the time to complete part B of the Trail Making test, 1.40;&lt;i&gt;P&lt;/i&gt; = .007). Among individuals with mild impairments, the apolipoprotein E ε4 allele increased risk for Alzheimer disease in a dose-dependent manner; however, this effect was not significant within the context of multivariable models.&lt;/p&gt;&lt;h3&gt;Conclusions&lt;/h3&gt;&lt;p&gt;Episodic memory performance among normal individuals predicts time to progression to mild impairment while apolipoprotein E ε2 status is associated with lower risk of cognitive decline among normal individuals. Tests of both episodic memory and executive function are predictors of time to progression from mild impairment to a clinical diagnosis of A…","author":[{"dropping-particle":"","family":"Blacker","given":"Deborah","non-dropping-particle":"","parse-names":false,"suffix":""},{"dropping-particle":"","family":"Lee","given":"Hang","non-dropping-particle":"","parse-names":false,"suffix":""},{"dropping-particle":"","family":"Muzikansky","given":"Alona","non-dropping-particle":"","parse-names":false,"suffix":""},{"dropping-particle":"","family":"Martin","given":"Emily C.","non-dropping-particle":"","parse-names":false,"suffix":""},{"dropping-particle":"","family":"Tanzi","given":"Rudolph","non-dropping-particle":"","parse-names":false,"suffix":""},{"dropping-particle":"","family":"McArdle","given":"John J.","non-dropping-particle":"","parse-names":false,"suffix":""},{"dropping-particle":"","family":"Moss","given":"Mark","non-dropping-particle":"","parse-names":false,"suffix":""},{"dropping-particle":"","family":"Albert","given":"Marilyn","non-dropping-particle":"","parse-names":false,"suffix":""}],"container-title":"Archives of Neurology","id":"ITEM-2","issued":{"date-parts":[["2007"]]},"title":"Neuropsychological measures in normal individuals that predict subsequent cognitive decline","type":"article-journal"},"uris":["http://www.mendeley.com/documents/?uuid=d682cb08-2b5d-4f69-a214-297f9129456c"]},{"id":"ITEM-3","itemData":{"DOI":"10.1212/WNL.0b013e3181e8e8b8","ISBN":"1558-1497 (Electronic)\\r0197-4580 (Linking)","ISSN":"1526632X","PMID":"20592257","abstract":"OBJECTIVE: A variety of measurements have been individually linked to decline in mild cognitive impairment (MCI), but the identification of optimal markers for predicting disease progression remains unresolved. The goal of this study was to evaluate the prognostic ability of genetic, CSF, neuroimaging, and cognitive measurements obtained in the same participants.\\n\\nMETHODS: APOE epsilon4 allele frequency, CSF proteins (Abeta(1-42), total tau, hyperphosphorylated tau [p-tau(181p)]), glucose metabolism (FDG-PET), hippocampal volume, and episodic memory performance were evaluated at baseline in patients with amnestic MCI (n = 85), using data from a large multisite study (Alzheimer's Disease Neuroimaging Initiative). Patients were classified as normal or abnormal on each predictor variable based on externally derived cutoffs, and then variables were evaluated as predictors of subsequent conversion to Alzheimer disease (AD) and cognitive decline (Alzheimer's Disease Assessment Scale-Cognitive Subscale) during a variable follow-up period (1.9 +/- 0.4 years).\\n\\nRESULTS: Patients with MCI converted to AD at an annual rate of 17.2%. Subjects with MCI who had abnormal results on both FDG-PET and episodic memory were 11.7 times more likely to convert to AD than subjects who had normal results on both measures (p &lt;or= 0.02). In addition, the CSF ratio p-tau(181p)/Abeta(1-42) (beta = 1.10 +/- 0.53; p = 0.04) and, marginally, FDG-PET predicted cognitive decline.\\n\\nCONCLUSIONS: Baseline FDG-PET and episodic memory predict conversion to AD, whereas p-tau(181p)/Abeta(1-42) and, marginally, FDG-PET predict longitudinal cognitive decline. Complementary information provided by these biomarkers may aid in future selection of patients for clinical trials or identification of patients likely to benefit from a therapeutic intervention.","author":[{"dropping-particle":"","family":"Landau","given":"S. M.","non-dropping-particle":"","parse-names":false,"suffix":""},{"dropping-particle":"","family":"Harvey","given":"D.","non-dropping-particle":"","parse-names":false,"suffix":""},{"dropping-particle":"","family":"Madison","given":"C. M.","non-dropping-particle":"","parse-names":false,"suffix":""},{"dropping-particle":"","family":"Reiman","given":"E. M.","non-dropping-particle":"","parse-names":false,"suffix":""},{"dropping-particle":"","family":"Foster","given":"N. L.","non-dropping-particle":"","parse-names":false,"suffix":""},{"dropping-particle":"","family":"Aisen","given":"P. S.","non-dropping-particle":"","parse-names":false,"suffix":""},{"dropping-particle":"","family":"Petersen","given":"R. C.","non-dropping-particle":"","parse-names":false,"suffix":""},{"dropping-particle":"","family":"Shaw","given":"L. M.","non-dropping-particle":"","parse-names":false,"suffix":""},{"dropping-particle":"","family":"Trojanowski","given":"J. Q.","non-dropping-particle":"","parse-names":false,"suffix":""},{"dropping-particle":"","family":"Jack","given":"C. R.","non-dropping-particle":"","parse-names":false,"suffix":""},{"dropping-particle":"","family":"Weiner","given":"M. W.","non-dropping-particle":"","parse-names":false,"suffix":""},{"dropping-particle":"","family":"Jagust","given":"W. J.","non-dropping-particle":"","parse-names":false,"suffix":""}],"container-title":"Neurology","id":"ITEM-3","issue":"3","issued":{"date-parts":[["2010"]]},"page":"230-238","title":"Comparing predictors of conversion and decline in mild cognitive impairment","type":"article-journal","volume":"75"},"uris":["http://www.mendeley.com/documents/?uuid=593c046b-82c2-4893-a8ea-06d4b3bf356d"]},{"id":"ITEM-4","itemData":{"DOI":"10.1212/01.WNL.0000163773.21794.0B","ISBN":"0028-3878","ISSN":"00283878","PMID":"15955933","abstract":"Objective: To determine whether neuropsychological tests accurately predict incident Alzheimer disease (AD) after 5 and 10 years in participants of the Canadian Study of Health and Aging (CSHA) who were initially nondemented.Methods: The CSHA was conducted in three waves: CSHA-1 (1991 to 1992), CSHA-2 (1996 to 1997), and CSHA-3 (2001 to 2002). The 10-year prediction study included those who completed neuropsychological testing at CSHA-1 and received a diagnostic assessment at CSHA-3 (n = 263). The 5-year prediction study included those who completed neuropsychological testing at CSHA-2 and received a diagnostic assessment at CSHA-3 (n = 551). The diagnostic workup for dementia at CSHA-3 was formulated without knowledge of neuropsychological test performance at CSHA-1 or CSHA-2. The authors excluded cases with a baseline diagnosis of dementia or a prior history of any condition likely to affect the brain. Age and education were included in all analyses as covariates.Results: In the 10-year follow-up study, only one test (short delayed verbal recall) emerged from the forward regression analyses. The model with this test and two covariates was significant, χ2 (3) = 31.61, p &lt; 0.0001 (sensitivity = 73%, specificity = 70%). In the 5-year follow-up study, three tests (short delayed verbal recall, animal fluency, and information) emerged from the forward logistic regression analyses. The model was significant, χ2 (5) = 91.34, p &lt; 0.0001 (sensitivity = 74%, specificity = 83%). Both models were supported with bootstrapping estimates.Conclusions: In a large epidemiologic sample of nondemented participants, neuropsychological tests accurately predicted conversion to Alzheimer disease after 5 and 10 years.","author":[{"dropping-particle":"","family":"Tierney","given":"Mary C.","non-dropping-particle":"","parse-names":false,"suffix":""},{"dropping-particle":"","family":"Yao","given":"Christie","non-dropping-particle":"","parse-names":false,"suffix":""},{"dropping-particle":"","family":"Kiss","given":"Alex","non-dropping-particle":"","parse-names":false,"suffix":""},{"dropping-particle":"","family":"McDowell","given":"Ian","non-dropping-particle":"","parse-names":false,"suffix":""}],"container-title":"Neurology","id":"ITEM-4","issue":"11","issued":{"date-parts":[["2005"]]},"page":"1853-1859","title":"Neuropsychological tests accurately predict incident Alzheimer disease after 5 and 10 years","type":"article-journal","volume":"64"},"uris":["http://www.mendeley.com/documents/?uuid=c700c65e-51a7-40f8-9aa9-3f5d2f11bfc7"]},{"id":"ITEM-5","itemData":{"DOI":"10.3233/JAD-2010-100516","ISBN":"1387-2877","ISSN":"13872877","PMID":"20930315","abstract":"While neuropsychological tests have been identified for the early prediction of Alzheimer's disease, this has not been established for prediction of all-cause dementia. This would be helpful for clinicians concerned about the risk of progression to dementia in patients who may present with a variety of medical and neurological conditions. We wanted to determine whether neuropsychological tests could accurately predict incident dementia within 10 and five years of diagnosis in a community-based sample. The Canadian Study of Health and Aging was conducted in three waves over a 10-year period (1991-2002). We studied 1472 non-demented participants who completed neuropsychological testing in 1991 and received a diagnostic assessment for dementia in 2001 (n = 284). We also studied 1231 non-demented participants who completed neuropsychological testing in 1996 and received a diagnostic assessment in 2001 (n = 634). Diagnosticians were blinded to performance on the predictive tests. Age, education, and sex were included as covariates in all regression analysis. Ten-year prediction: 2 tests, Rey Auditory Verbal Learning Test (RAVLT) short delayed verbal recall and Wechsler Adult Intelligence Test Revised (WAIS-R) Digit Symbol, were significant predictors of dementia (sensitivity = 78%, specificity = 72%, positive likelihood ratio = 2.81). Five-year prediction: 4 tests, Wechsler Memory Scale Information, RAVLT short delayed verbal recall, animal fluency, and WAIS-R Digit Symbol, significantly predicted incident dementia (sensitivity = 75%, specificity = 74%, positive likelihood ratio = 2.90). Regression models were supported with bootstrapping estimates. Neuropsychological tests can accurately predict progression to all-cause dementia within 10 years of diagnosis in a large community-based sample of non-demented participants.","author":[{"dropping-particle":"","family":"Tierney","given":"Mary C.","non-dropping-particle":"","parse-names":false,"suffix":""},{"dropping-particle":"","family":"Moineddin","given":"Rahim","non-dropping-particle":"","parse-names":false,"suffix":""},{"dropping-particle":"","family":"McDowell","given":"Ian","non-dropping-particle":"","parse-names":false,"suffix":""}],"container-title":"Journal of Alzheimer's Disease","id":"ITEM-5","issue":"4","issued":{"date-parts":[["2010"]]},"page":"1231-1240","title":"Prediction of all-cause dementia using neuropsychological tests within 10 and 5 years of diagnosis in a community-based sample","type":"article-journal","volume":"22"},"uris":["http://www.mendeley.com/documents/?uuid=e7fa6902-5a59-494a-bb7d-be10fc73387c"]}],"mendeley":{"formattedCitation":"[2–6]","plainTextFormattedCitation":"[2–6]","previouslyFormattedCitation":"[2–6]"},"properties":{"noteIndex":0},"schema":"https://github.com/citation-style-language/schema/raw/master/csl-citation.json"}</w:instrText>
      </w:r>
      <w:r w:rsidR="008C1A21">
        <w:fldChar w:fldCharType="separate"/>
      </w:r>
      <w:r w:rsidR="007D3C12" w:rsidRPr="007D3C12">
        <w:rPr>
          <w:noProof/>
        </w:rPr>
        <w:t>[2–6]</w:t>
      </w:r>
      <w:r w:rsidR="008C1A21">
        <w:fldChar w:fldCharType="end"/>
      </w:r>
      <w:r>
        <w:t xml:space="preserve"> </w:t>
      </w:r>
      <w:r w:rsidR="00470657">
        <w:t>Previous research suggests that immediate recall</w:t>
      </w:r>
      <w:r w:rsidR="009B2B3E">
        <w:t xml:space="preserve"> (IR)</w:t>
      </w:r>
      <w:r w:rsidR="00470657">
        <w:t xml:space="preserve"> scores </w:t>
      </w:r>
      <w:r w:rsidR="008104C7">
        <w:t xml:space="preserve">may be the most </w:t>
      </w:r>
      <w:r w:rsidR="00470657">
        <w:t>sensitive</w:t>
      </w:r>
      <w:r w:rsidR="008104C7">
        <w:t xml:space="preserve"> indicator of risk </w:t>
      </w:r>
      <w:r w:rsidR="006B00F1">
        <w:t xml:space="preserve">in </w:t>
      </w:r>
      <w:r w:rsidR="00470657">
        <w:t xml:space="preserve">the </w:t>
      </w:r>
      <w:r w:rsidR="00910018">
        <w:t>earliest</w:t>
      </w:r>
      <w:r w:rsidR="00470657">
        <w:t xml:space="preserve"> preclinical AD stages</w:t>
      </w:r>
      <w:r w:rsidR="006B00F1">
        <w:t xml:space="preserve"> and</w:t>
      </w:r>
      <w:r w:rsidR="008104C7">
        <w:t xml:space="preserve"> delayed recall scores may be</w:t>
      </w:r>
      <w:r w:rsidR="0090790A">
        <w:t xml:space="preserve"> a</w:t>
      </w:r>
      <w:r w:rsidR="008104C7">
        <w:t xml:space="preserve"> better indicator in later stages</w:t>
      </w:r>
      <w:r w:rsidR="00403384">
        <w:t>.</w:t>
      </w:r>
      <w:r w:rsidR="008C1A21">
        <w:fldChar w:fldCharType="begin" w:fldLock="1"/>
      </w:r>
      <w:r w:rsidR="00396C46">
        <w:instrText>ADDIN CSL_CITATION {"citationItems":[{"id":"ITEM-1","itemData":{"DOI":"10.1016/j.jalz.2014.04.520","ISBN":"3143627344","ISSN":"15525279","PMID":"25035155","abstract":"Background The delineation of the relative temporal trajectories of specific cognitive measures associated with Alzheimer's disease (AD) is important for evaluating preclinical markers and monitoring disease progression. Methods We characterized the temporal trajectories of measures of verbal episodic memory, short-term visual memory, and mental status using data from 895 participants in the Baltimore Longitudinal Study of Aging. Results The California Verbal Learning Test (CVLT) immediate recall was the first measure to decline, followed by CVLT delayed recall. However, further along the disease progression scale, CVLT delayed recall and visual memory changed more rapidly than CVLT immediate recall. Conclusions Our findings reconcile reports of early changes in immediate recall with greater reliance on delayed recall performance in clinical settings. Moreover, the utility of cognitive markers in evaluating AD progression depends on the stage of cognitive decline, suggesting that optimal endpoints in therapeutic trials may vary across different stages of the disease process.","author":[{"dropping-particle":"","family":"Bilgel","given":"Murat","non-dropping-particle":"","parse-names":false,"suffix":""},{"dropping-particle":"","family":"An","given":"Yang","non-dropping-particle":"","parse-names":false,"suffix":""},{"dropping-particle":"","family":"Lang","given":"Andrew","non-dropping-particle":"","parse-names":false,"suffix":""},{"dropping-particle":"","family":"Prince","given":"Jerry","non-dropping-particle":"","parse-names":false,"suffix":""},{"dropping-particle":"","family":"Ferrucci","given":"Luigi","non-dropping-particle":"","parse-names":false,"suffix":""},{"dropping-particle":"","family":"Jedynak","given":"Bruno","non-dropping-particle":"","parse-names":false,"suffix":""},{"dropping-particle":"","family":"Resnick","given":"Susan M.","non-dropping-particle":"","parse-names":false,"suffix":""}],"container-title":"Alzheimer's and Dementia","id":"ITEM-1","issue":"6","issued":{"date-parts":[["2014"]]},"page":"735-742","title":"Trajectories of Alzheimer disease-related cognitive measures in a longitudinal sample","type":"article-journal","volume":"10"},"uris":["http://www.mendeley.com/documents/?uuid=81be8a9b-4a54-4fd7-b55f-73e9cddf4b03"]},{"id":"ITEM-2","itemData":{"DOI":"10.1080/13825580902825220","ISBN":"1382558090","ISSN":"13825585","PMID":"19353345","abstract":"ABSTRACT Episodic memory is the first and most severely affected cognitive domain in Alzheimer's disease (AD), and it is also the key early marker in prodromal stages including amnestic mild cognitive impairment (MCI). The relative ability of memory tests to discriminate between MCI and normal aging has not been well characterized. We compared the classification value of widely used verbal memory tests in distinguishing healthy older adults (n = 51) from those with MCI (n = 38). Univariate logistic regression indicated that the total learning score from the California Verbal Learning Test-II (CVLT-II) ranked highest in terms of distinguishing MCI from normal aging (sensitivity = 90.2; specificity = 84.2). Inclusion of the delayed recall condition of a story memory task (i.e., WMS-III Logical Memory, Story A) enhanced the overall accuracy of classification (sensitivity = 92.2; specificity = 94.7). Combining Logical Memory recognition and CVLT-II long delay best predicted progression from MCI to AD over a 4...","author":[{"dropping-particle":"","family":"Rabin","given":"Laura A.","non-dropping-particle":"","parse-names":false,"suffix":""},{"dropping-particle":"","family":"Paré","given":"Nadia","non-dropping-particle":"","parse-names":false,"suffix":""},{"dropping-particle":"","family":"Saykin","given":"Andrew J.","non-dropping-particle":"","parse-names":false,"suffix":""},{"dropping-particle":"","family":"Brown","given":"Michael J.","non-dropping-particle":"","parse-names":false,"suffix":""},{"dropping-particle":"","family":"Wishart","given":"Heather A.","non-dropping-particle":"","parse-names":false,"suffix":""},{"dropping-particle":"","family":"Flashman","given":"Laura A.","non-dropping-particle":"","parse-names":false,"suffix":""},{"dropping-particle":"","family":"Santulli","given":"Robert B.","non-dropping-particle":"","parse-names":false,"suffix":""}],"container-title":"Aging, Neuropsychology, and Cognition","id":"ITEM-2","issue":"3","issued":{"date-parts":[["2009"]]},"page":"357-376","title":"Differential memory test sensitivity for diagnosing amnestic mild cognitive impairment and predicting conversion to Alzheimer's disease","type":"article-journal","volume":"16"},"uris":["http://www.mendeley.com/documents/?uuid=488b83bb-a4de-43b4-b2d2-c0ef28dd1048"]}],"mendeley":{"formattedCitation":"[2,7]","plainTextFormattedCitation":"[2,7]","previouslyFormattedCitation":"[2,7]"},"properties":{"noteIndex":0},"schema":"https://github.com/citation-style-language/schema/raw/master/csl-citation.json"}</w:instrText>
      </w:r>
      <w:r w:rsidR="008C1A21">
        <w:fldChar w:fldCharType="separate"/>
      </w:r>
      <w:r w:rsidR="007D3C12" w:rsidRPr="007D3C12">
        <w:rPr>
          <w:noProof/>
        </w:rPr>
        <w:t>[2,7]</w:t>
      </w:r>
      <w:r w:rsidR="008C1A21">
        <w:fldChar w:fldCharType="end"/>
      </w:r>
      <w:r w:rsidR="00403384">
        <w:t xml:space="preserve"> </w:t>
      </w:r>
      <w:r w:rsidR="00BB214D" w:rsidRPr="00BB214D">
        <w:t xml:space="preserve">Analysis of the serial position effect in </w:t>
      </w:r>
      <w:r w:rsidR="00F32FF1">
        <w:t xml:space="preserve">immediate </w:t>
      </w:r>
      <w:r w:rsidR="00BB214D" w:rsidRPr="00BB214D">
        <w:t>word-list recall may provide added sensitivity in identifying asymptomatic persons at risk for AD.</w:t>
      </w:r>
      <w:r w:rsidR="0012113F">
        <w:fldChar w:fldCharType="begin" w:fldLock="1"/>
      </w:r>
      <w:r w:rsidR="00396C46">
        <w:instrText>ADDIN CSL_CITATION {"citationItems":[{"id":"ITEM-1","itemData":{"DOI":"10.1016/j.jalz.2008.03.009","ISBN":"1552-5279","ISSN":"15525260","PMID":"18631980","abstract":"Background: An exaggerated recency effect (ie, disproportionate recall of last-presented items) has been consistently observed in the word list learning of patients with Alzheimer's disease (AD). Our study sought to determine whether there were similar alterations in serial position learning among asymptomatic persons at risk for AD as a result of parental family history. Methods: Subjects included 623 asymptomatic middle-aged children of patients with AD (median, 53 years) and 157 control participants whose parents survived to at least age 70 without AD or other memory disorders. All participants were administered the Rey Auditory Verbal Learning Test, which requires learning and recall of 15 unrelated nouns. Results: There was no significant difference in total words recalled between the AD children and control groups. However, compared with controls, AD children exhibited a significantly greater tendency to recall words from the end (recency) versus beginning (primacy) of the list. Serial position effects were unrelated to apolipoprotein allele epsilon 4 or depressive symptoms. Conclusions: Asymptomatic persons at risk for AD by virtue of family history do not show a difference in total words recalled compared with controls, but they exhibit a distinctly different serial position curve, suggesting greater reliance on immediate as opposed to episodic memory. This is the same serial position pattern observed in mild AD, seen here in reduced severity. Longitudinal follow-up is planned to determine whether changes in serial position patterns are a meaningful marker for preclinical detection of AD. © 2008 The Alzheimer's Association.","author":[{"dropping-particle":"La","family":"Rue","given":"Asenath","non-dropping-particle":"","parse-names":false,"suffix":""},{"dropping-particle":"","family":"Hermann","given":"Bruce","non-dropping-particle":"","parse-names":false,"suffix":""},{"dropping-particle":"","family":"Jones","given":"Jana E.","non-dropping-particle":"","parse-names":false,"suffix":""},{"dropping-particle":"","family":"Johnson","given":"Sterling","non-dropping-particle":"","parse-names":false,"suffix":""},{"dropping-particle":"","family":"Asthana","given":"Sanjay","non-dropping-particle":"","parse-names":false,"suffix":""},{"dropping-particle":"","family":"Sager","given":"Mark A.","non-dropping-particle":"","parse-names":false,"suffix":""}],"container-title":"Alzheimer's and Dementia","id":"ITEM-1","issue":"4","issued":{"date-parts":[["2008"]]},"page":"285-290","title":"Effect of parental family history of Alzheimer's disease on serial position profiles","type":"article-journal","volume":"4"},"uris":["http://www.mendeley.com/documents/?uuid=9414d061-4c72-47c0-88e6-5dccf416b986"]}],"mendeley":{"formattedCitation":"[8]","plainTextFormattedCitation":"[8]","previouslyFormattedCitation":"[8]"},"properties":{"noteIndex":0},"schema":"https://github.com/citation-style-language/schema/raw/master/csl-citation.json"}</w:instrText>
      </w:r>
      <w:r w:rsidR="0012113F">
        <w:fldChar w:fldCharType="separate"/>
      </w:r>
      <w:r w:rsidR="007D3C12" w:rsidRPr="007D3C12">
        <w:rPr>
          <w:noProof/>
        </w:rPr>
        <w:t>[8]</w:t>
      </w:r>
      <w:r w:rsidR="0012113F">
        <w:fldChar w:fldCharType="end"/>
      </w:r>
      <w:r w:rsidR="00BB214D" w:rsidRPr="00BB214D">
        <w:t xml:space="preserve"> The serial position effect refers to the tendency to remember more items in the beginning (primacy) and end (</w:t>
      </w:r>
      <w:proofErr w:type="spellStart"/>
      <w:r w:rsidR="00BB214D" w:rsidRPr="00BB214D">
        <w:t>recency</w:t>
      </w:r>
      <w:proofErr w:type="spellEnd"/>
      <w:r w:rsidR="00BB214D" w:rsidRPr="00BB214D">
        <w:t>) of a list than in the middle, thus producing the characteristic U-shaped serial position curve.</w:t>
      </w:r>
    </w:p>
    <w:bookmarkEnd w:id="8"/>
    <w:p w14:paraId="59778D68" w14:textId="49973C36" w:rsidR="00BB214D" w:rsidRDefault="00BB214D" w:rsidP="00795954">
      <w:pPr>
        <w:rPr>
          <w:b/>
        </w:rPr>
      </w:pPr>
      <w:r w:rsidRPr="00BB214D">
        <w:t xml:space="preserve">Genetic factors have a significant role in </w:t>
      </w:r>
      <w:r w:rsidR="008F0A58">
        <w:t>verbal learning and memory</w:t>
      </w:r>
      <w:r w:rsidR="008F0A58" w:rsidRPr="00BB214D">
        <w:t xml:space="preserve"> </w:t>
      </w:r>
      <w:r w:rsidRPr="00BB214D">
        <w:t xml:space="preserve">and in age-related dementias, with particularly AD having a substantial heritability. APOE ε4 allele is the strongest genetic risk factor </w:t>
      </w:r>
      <w:r w:rsidR="004D066B">
        <w:t xml:space="preserve">for </w:t>
      </w:r>
      <w:r w:rsidRPr="00BB214D">
        <w:t>decline</w:t>
      </w:r>
      <w:r w:rsidR="008F0A58">
        <w:t xml:space="preserve"> in immediate and delayed verbal recall</w:t>
      </w:r>
      <w:r w:rsidR="0073759F">
        <w:t xml:space="preserve"> and </w:t>
      </w:r>
      <w:r w:rsidR="00AD38BF">
        <w:t xml:space="preserve">for </w:t>
      </w:r>
      <w:r w:rsidR="0073759F">
        <w:t>AD</w:t>
      </w:r>
      <w:r w:rsidRPr="00BB214D">
        <w:t>, but other genes also affect the risk</w:t>
      </w:r>
      <w:r w:rsidR="0012113F">
        <w:t>.</w:t>
      </w:r>
      <w:r w:rsidR="0012113F">
        <w:fldChar w:fldCharType="begin" w:fldLock="1"/>
      </w:r>
      <w:r w:rsidR="00396C46">
        <w:instrText>ADDIN CSL_CITATION {"citationItems":[{"id":"ITEM-1","itemData":{"DOI":"10.1371/journal.pmed.1002258","ISBN":"1111111111","ISSN":"15491676","PMID":"28323831","abstract":"BACKGROUND Identifying individuals at risk for developing Alzheimer disease (AD) is of utmost importance. Although genetic studies have identified AD-associated SNPs in APOE and other genes, genetic information has not been integrated into an epidemiological framework for risk prediction. METHODS AND FINDINGS Using genotype data from 17,008 AD cases and 37,154 controls from the International Genomics of Alzheimer's Project (IGAP Stage 1), we identified AD-associated SNPs (at p &lt; 10-5). We then integrated these AD-associated SNPs into a Cox proportional hazard model using genotype data from a subset of 6,409 AD patients and 9,386 older controls from Phase 1 of the Alzheimer's Disease Genetics Consortium (ADGC), providing a polygenic hazard score (PHS) for each participant. By combining population-based incidence rates and the genotype-derived PHS for each individual, we derived estimates of instantaneous risk for developing AD, based on genotype and age, and tested replication in multiple independent cohorts (ADGC Phase 2, National Institute on Aging Alzheimer's Disease Center [NIA ADC], and Alzheimer's Disease Neuroimaging Initiative [ADNI], total n = 20,680). Within the ADGC Phase 1 cohort, individuals in the highest PHS quartile developed AD at a considerably lower age and had the highest yearly AD incidence rate. Among APOE ε3/3 individuals, the PHS modified expected age of AD onset by more than 10 y between the lowest and highest deciles (hazard ratio 3.34, 95% CI 2.62-4.24, p = 1.0 × 10-22). In independent cohorts, the PHS strongly predicted empirical age of AD onset (ADGC Phase 2, r = 0.90, p = 1.1 × 10-26) and longitudinal progression from normal aging to AD (NIA ADC, Cochran-Armitage trend test, p = 1.5 × 10-10), and was associated with neuropathology (NIA ADC, Braak stage of neurofibrillary tangles, p = 3.9 × 10-6, and Consortium to Establish a Registry for Alzheimer's Disease score for neuritic plaques, p = 6.8 × 10-6) and in vivo markers of AD neurodegeneration (ADNI, volume loss within the entorhinal cortex, p = 6.3 × 10-6, and hippocampus, p = 7.9 × 10-5). Additional prospective validation of these results in non-US, non-white, and prospective community-based cohorts is necessary before clinical use. CONCLUSIONS We have developed a PHS for quantifying individual differences in age-specific genetic risk for AD. Within the cohorts studied here, polygenic architecture plays an important role in modifying AD risk beyond APOE. With thorough vali…","author":[{"dropping-particle":"","family":"Desikan","given":"Rahul S.","non-dropping-particle":"","parse-names":false,"suffix":""},{"dropping-particle":"","family":"Fan","given":"Chun Chieh","non-dropping-particle":"","parse-names":false,"suffix":""},{"dropping-particle":"","family":"Wang","given":"Yunpeng","non-dropping-particle":"","parse-names":false,"suffix":""},{"dropping-particle":"","family":"Schork","given":"Andrew J.","non-dropping-particle":"","parse-names":false,"suffix":""},{"dropping-particle":"","family":"Cabral","given":"Howard J.","non-dropping-particle":"","parse-names":false,"suffix":""},{"dropping-particle":"","family":"Cupples","given":"L. Adrienne","non-dropping-particle":"","parse-names":false,"suffix":""},{"dropping-particle":"","family":"Thompson","given":"Wesley K.","non-dropping-particle":"","parse-names":false,"suffix":""},{"dropping-particle":"","family":"Besser","given":"Lilah","non-dropping-particle":"","parse-names":false,"suffix":""},{"dropping-particle":"","family":"Kukull","given":"Walter A.","non-dropping-particle":"","parse-names":false,"suffix":""},{"dropping-particle":"","family":"Holland","given":"Dominic","non-dropping-particle":"","parse-names":false,"suffix":""},{"dropping-particle":"","family":"Chen","given":"Chi Hua","non-dropping-particle":"","parse-names":false,"suffix":""},{"dropping-particle":"","family":"Brewer","given":"James B.","non-dropping-particle":"","parse-names":false,"suffix":""},{"dropping-particle":"","family":"Karow","given":"David S.","non-dropping-particle":"","parse-names":false,"suffix":""},{"dropping-particle":"","family":"Kauppi","given":"Karolina","non-dropping-particle":"","parse-names":false,"suffix":""},{"dropping-particle":"","family":"Witoelar","given":"Aree","non-dropping-particle":"","parse-names":false,"suffix":""},{"dropping-particle":"","family":"Karch","given":"Celeste M.","non-dropping-particle":"","parse-names":false,"suffix":""},{"dropping-particle":"","family":"Bonham","given":"Luke W.","non-dropping-particle":"","parse-names":false,"suffix":""},{"dropping-particle":"","family":"Yokoyama","given":"Jennifer S.","non-dropping-particle":"","parse-names":false,"suffix":""},{"dropping-particle":"","family":"Rosen","given":"Howard J.","non-dropping-particle":"","parse-names":false,"suffix":""},{"dropping-particle":"","family":"Miller","given":"Bruce L.","non-dropping-particle":"","parse-names":false,"suffix":""},{"dropping-particle":"","family":"Dillon","given":"William P.","non-dropping-particle":"","parse-names":false,"suffix":""},{"dropping-particle":"","family":"Wilson","given":"David M.","non-dropping-particle":"","parse-names":false,"suffix":""},{"dropping-particle":"","family":"Hess","given":"Christopher P.","non-dropping-particle":"","parse-names":false,"suffix":""},{"dropping-particle":"","family":"Pericak-Vance","given":"Margaret","non-dropping-particle":"","parse-names":false,"suffix":""},{"dropping-particle":"","family":"Haines","given":"Jonathan L.","non-dropping-particle":"","parse-names":false,"suffix":""},{"dropping-particle":"","family":"Farrer","given":"Lindsay A.","non-dropping-particle":"","parse-names":false,"suffix":""},{"dropping-particle":"","family":"Mayeux","given":"Richard","non-dropping-particle":"","parse-names":false,"suffix":""},{"dropping-particle":"","family":"Hardy","given":"John","non-dropping-particle":"","parse-names":false,"suffix":""},{"dropping-particle":"","family":"Goate","given":"Alison M.","non-dropping-particle":"","parse-names":false,"suffix":""},{"dropping-particle":"","family":"Hyman","given":"Bradley T.","non-dropping-particle":"","parse-names":false,"suffix":""},{"dropping-particle":"","family":"Schellenberg","given":"Gerard D.","non-dropping-particle":"","parse-names":false,"suffix":""},{"dropping-particle":"","family":"McEvoy","given":"Linda K.","non-dropping-particle":"","parse-names":false,"suffix":""},{"dropping-particle":"","family":"Andreassen","given":"Ole A.","non-dropping-particle":"","parse-names":false,"suffix":""},{"dropping-particle":"","family":"Dale","given":"Anders M.","non-dropping-particle":"","parse-names":false,"suffix":""}],"container-title":"PLoS Medicine","id":"ITEM-1","issue":"3","issued":{"date-parts":[["2017"]]},"title":"Genetic assessment of age-associated Alzheimer disease risk: Development and validation of a polygenic hazard score","type":"article-journal","volume":"14"},"uris":["http://www.mendeley.com/documents/?uuid=62147b12-cc27-4f49-ae46-4935074f778c"]},{"id":"ITEM-2","itemData":{"DOI":"10.1016/j.neurobiolaging.2016.02.016","ISBN":"1552-5260","ISSN":"15581497","PMID":"27103528","abstract":"We examined the association of 28 single nucleotide polymorphisms (SNPs), previously associated with dementia or cognitive performance, with tests assessing episodic memory, working memory, vocabulary, and perceptual speed in 1689 nondemented older Australians of European ancestry. In addition to testing each variant individually, we assessed the collective association of the 12-risk SNPs for late-onset Alzheimer's disease using weighted and unweighted genetic risk scores. Significant associations with cognitive performance were observed for APOE ε4 allele, ABCA7-rs3764650, CR1-rs3818361, MS4A4E-rs6109332, BDNF-rs6265, COMT-rs4680, CTNNBL-rs6125962, FRMD4A-rs17314229, FRMD4A-rs17314229, intergenic SNP chrX-rs12007229, PDE7A-rs10808746, SORL1-rs668387, and ZNF224-rs3746319. In addition, the weighted genetic risk score was associated with worse performance on episodic memory. The identification of genetic risk factors, that act individually or collectively, may help in screening for people with elevated risk of cognitive decline and for understanding the biological pathways that underlie cognitive decline.","author":[{"dropping-particle":"","family":"Andrews","given":"Shea J.","non-dropping-particle":"","parse-names":false,"suffix":""},{"dropping-particle":"","family":"Das","given":"Debjani","non-dropping-particle":"","parse-names":false,"suffix":""},{"dropping-particle":"","family":"Cherbuin","given":"Nicolas","non-dropping-particle":"","parse-names":false,"suffix":""},{"dropping-particle":"","family":"Anstey","given":"Kaarin J.","non-dropping-particle":"","parse-names":false,"suffix":""},{"dropping-particle":"","family":"Easteal","given":"Simon","non-dropping-particle":"","parse-names":false,"suffix":""}],"container-title":"Neurobiology of Aging","id":"ITEM-2","issued":{"date-parts":[["2016"]]},"page":"150-158","title":"Association of genetic risk factors with cognitive decline: The PATH through life project","type":"article-journal","volume":"41"},"uris":["http://www.mendeley.com/documents/?uuid=33024551-7bf7-4e91-a6ea-d064e7b3898b"]}],"mendeley":{"formattedCitation":"[9,10]","plainTextFormattedCitation":"[9,10]","previouslyFormattedCitation":"[9,10]"},"properties":{"noteIndex":0},"schema":"https://github.com/citation-style-language/schema/raw/master/csl-citation.json"}</w:instrText>
      </w:r>
      <w:r w:rsidR="0012113F">
        <w:fldChar w:fldCharType="separate"/>
      </w:r>
      <w:r w:rsidR="007D3C12" w:rsidRPr="007D3C12">
        <w:rPr>
          <w:noProof/>
        </w:rPr>
        <w:t>[9,10]</w:t>
      </w:r>
      <w:r w:rsidR="0012113F">
        <w:fldChar w:fldCharType="end"/>
      </w:r>
      <w:r w:rsidRPr="00AE4BDF">
        <w:t xml:space="preserve"> </w:t>
      </w:r>
      <w:r w:rsidRPr="00BB214D">
        <w:t xml:space="preserve">In addition to heritability estimates, studies of monozygotic (MZ) and dizygotic (DZ) twins can investigate the effect of familial risk of dementia on </w:t>
      </w:r>
      <w:r w:rsidR="00550D9B">
        <w:t xml:space="preserve">cognitive performance </w:t>
      </w:r>
      <w:r w:rsidRPr="00BB214D">
        <w:t xml:space="preserve">by controlling for unmeasured shared </w:t>
      </w:r>
      <w:r w:rsidRPr="00BB214D">
        <w:lastRenderedPageBreak/>
        <w:t xml:space="preserve">genetic (in MZ’s) and environmental (in DZ’s and MZ’s) influences. We studied a population-based sample of older Finnish twins who participated in a telephone interview of cognitive status including a word-list learning measure. We examined if the </w:t>
      </w:r>
      <w:r w:rsidR="008F0A58">
        <w:t>IR performance</w:t>
      </w:r>
      <w:r w:rsidR="008F0A58" w:rsidRPr="00BB214D">
        <w:t xml:space="preserve"> </w:t>
      </w:r>
      <w:r w:rsidRPr="00BB214D">
        <w:t xml:space="preserve">of cognitively </w:t>
      </w:r>
      <w:r w:rsidR="00A80E2E">
        <w:t>healthy</w:t>
      </w:r>
      <w:r w:rsidR="00A80E2E" w:rsidRPr="00BB214D">
        <w:t xml:space="preserve"> </w:t>
      </w:r>
      <w:r w:rsidRPr="00BB214D">
        <w:t xml:space="preserve">twins with demented co-twins differs from cognitively </w:t>
      </w:r>
      <w:r w:rsidR="00A80E2E">
        <w:t>healthy</w:t>
      </w:r>
      <w:r w:rsidR="00A80E2E" w:rsidRPr="00BB214D">
        <w:t xml:space="preserve"> </w:t>
      </w:r>
      <w:r w:rsidRPr="00BB214D">
        <w:t xml:space="preserve">twins with cognitively </w:t>
      </w:r>
      <w:r w:rsidR="00A80E2E">
        <w:t>healthy</w:t>
      </w:r>
      <w:r w:rsidR="00A80E2E" w:rsidRPr="00BB214D">
        <w:t xml:space="preserve"> </w:t>
      </w:r>
      <w:r w:rsidRPr="00BB214D">
        <w:t>co-twins. We also estimated the heritability of immediate free recall of a single trial 10-item word list.</w:t>
      </w:r>
    </w:p>
    <w:p w14:paraId="5A78C3D1" w14:textId="77777777" w:rsidR="00E7291F" w:rsidRPr="00820275" w:rsidRDefault="00D63522" w:rsidP="001E2493">
      <w:pPr>
        <w:pStyle w:val="Heading1"/>
      </w:pPr>
      <w:r>
        <w:t>METHODS</w:t>
      </w:r>
    </w:p>
    <w:p w14:paraId="65FD1E7C" w14:textId="77777777" w:rsidR="00E7291F" w:rsidRPr="00820275" w:rsidRDefault="00E7291F" w:rsidP="00820275">
      <w:pPr>
        <w:pStyle w:val="Heading2"/>
      </w:pPr>
      <w:r w:rsidRPr="00820275">
        <w:t xml:space="preserve">Participants and study design </w:t>
      </w:r>
    </w:p>
    <w:p w14:paraId="3A877B06" w14:textId="075E6C04" w:rsidR="00BB214D" w:rsidRDefault="00BB214D" w:rsidP="00795954">
      <w:pPr>
        <w:rPr>
          <w:b/>
        </w:rPr>
      </w:pPr>
      <w:r w:rsidRPr="00BB214D">
        <w:t>The participants for telephone screening of cognition were recruited from the older Finnish Twin Cohort (FTC) study, consisting of same-sex twin pairs born prior to 1958. The FTC database is described in detail earlier</w:t>
      </w:r>
      <w:r w:rsidR="0012113F">
        <w:t>.</w:t>
      </w:r>
      <w:r w:rsidR="0012113F">
        <w:fldChar w:fldCharType="begin" w:fldLock="1"/>
      </w:r>
      <w:r w:rsidR="00396C46">
        <w:instrText>ADDIN CSL_CITATION {"citationItems":[{"id":"ITEM-1","itemData":{"DOI":"10.1375/twin.5.5.358","ISBN":"1369-0523","ISSN":"13690523","PMID":"12537859","abstract":"In studies on the Finnish Twin Cohort, we investigate genetic and environmental determinants of common, complex diseases, and their behavioral risk factors in Finland, a genetically unique and culturally homogenous population. We have formed the following databases: 1) Like-sexed twin pairs (13,888 pairs of known zygosity) form the older Twin Cohort. They have participated since 1975 in mail surveys, in clinical examinations for subsamples, and have been followed-up for morbidity using national medical registers; 2) The older Twin Cohort was expanded in 1996 to include opposite-sex pairs born 1938-1957 (c. 8000 pairs); 3) Two, new longitudinal studies of adolescent twins and their families, form a complementary, ongoing study base described in more detail in an accompanying article. Genetic and environmental effects vary over the life-span, and only longitudinal studies in genetically informative data sets permits the evaluation of such effects. Finally, the inclusion of DNA-based genetic information in a phenotypically rich family data base will offer a unique resource for research in genetic epidemiology and behavioral medicine.","author":[{"dropping-particle":"","family":"Kaprio","given":"Jaakko","non-dropping-particle":"","parse-names":false,"suffix":""},{"dropping-particle":"","family":"Koskenvuo","given":"Markku","non-dropping-particle":"","parse-names":false,"suffix":""}],"container-title":"Twin Research","id":"ITEM-1","issue":"5","issued":{"date-parts":[["2002"]]},"page":"358-365","title":"Genetic and environmental factors in complex diseases: The older Finnish Twin Cohort","type":"article-journal","volume":"5"},"uris":["http://www.mendeley.com/documents/?uuid=92c61d6b-5260-48dc-ab20-ce981b94c502"]}],"mendeley":{"formattedCitation":"[11]","plainTextFormattedCitation":"[11]","previouslyFormattedCitation":"[11]"},"properties":{"noteIndex":0},"schema":"https://github.com/citation-style-language/schema/raw/master/csl-citation.json"}</w:instrText>
      </w:r>
      <w:r w:rsidR="0012113F">
        <w:fldChar w:fldCharType="separate"/>
      </w:r>
      <w:r w:rsidR="007D3C12" w:rsidRPr="007D3C12">
        <w:rPr>
          <w:noProof/>
        </w:rPr>
        <w:t>[11]</w:t>
      </w:r>
      <w:r w:rsidR="0012113F">
        <w:fldChar w:fldCharType="end"/>
      </w:r>
      <w:r w:rsidRPr="00BB214D">
        <w:t xml:space="preserve"> In 1975 and 1981, the twins participated in a postal questionnaire data collection with high response rates of 89% and 84%, respectively. In 1999 - 2007, FTC twins aged ≥65 years and born before 1938 were asked to participate in a telephone interview. The second wave of interviews was carried out during 2013 - 2017 for FTC twins aged ≥65 years and born in 1938 - 1944. </w:t>
      </w:r>
      <w:r w:rsidR="004C0150">
        <w:t>The overall participation rate was</w:t>
      </w:r>
      <w:r w:rsidR="00057C6C" w:rsidRPr="00057C6C">
        <w:t xml:space="preserve"> 67% (4,403/6,572)</w:t>
      </w:r>
      <w:r w:rsidR="004C0150">
        <w:t>.</w:t>
      </w:r>
      <w:r w:rsidR="00057C6C">
        <w:t xml:space="preserve"> </w:t>
      </w:r>
      <w:r w:rsidRPr="00BB214D">
        <w:t xml:space="preserve">Among the cohort of 6,572 twins, DNA-based </w:t>
      </w:r>
      <w:proofErr w:type="spellStart"/>
      <w:r w:rsidRPr="00BB214D">
        <w:t>zygosity</w:t>
      </w:r>
      <w:proofErr w:type="spellEnd"/>
      <w:r w:rsidRPr="00BB214D">
        <w:t xml:space="preserve"> was available for 1,542 twins, for others </w:t>
      </w:r>
      <w:proofErr w:type="spellStart"/>
      <w:r w:rsidRPr="00BB214D">
        <w:t>zygosity</w:t>
      </w:r>
      <w:proofErr w:type="spellEnd"/>
      <w:r w:rsidRPr="00BB214D">
        <w:t xml:space="preserve"> was determined with a validated questionnaire</w:t>
      </w:r>
      <w:r w:rsidR="00AE4BDF">
        <w:t>.</w:t>
      </w:r>
      <w:r w:rsidR="0012113F">
        <w:fldChar w:fldCharType="begin" w:fldLock="1"/>
      </w:r>
      <w:r w:rsidR="00396C46">
        <w:instrText>ADDIN CSL_CITATION {"citationItems":[{"id":"ITEM-1","itemData":{"DOI":"10.1159/000152964","ISBN":"0001-5652 (Print)\\r0001-5652 (Linking)","ISSN":"14230062","PMID":"566252","abstract":"A deterministic questionnaire method for zygosity determination is developed for use in epidemiological studies of adult twins. It is based on the answers of both members of a twin pair to two questio","author":[{"dropping-particle":"","family":"Sarna","given":"Seppo","non-dropping-particle":"","parse-names":false,"suffix":""},{"dropping-particle":"","family":"Kaprio","given":"Jaakko","non-dropping-particle":"","parse-names":false,"suffix":""},{"dropping-particle":"","family":"Sistonen","given":"Pertti","non-dropping-particle":"","parse-names":false,"suffix":""},{"dropping-particle":"","family":"Koskenvuo","given":"Markku","non-dropping-particle":"","parse-names":false,"suffix":""}],"container-title":"Human Heredity","id":"ITEM-1","issue":"4","issued":{"date-parts":[["1978"]]},"page":"241-254","title":"Diagnosis of twin zygosity by mailed questionnaire","type":"article-journal","volume":"28"},"uris":["http://www.mendeley.com/documents/?uuid=bc3e053e-d081-4fe6-9d76-d42716077483"]}],"mendeley":{"formattedCitation":"[12]","plainTextFormattedCitation":"[12]","previouslyFormattedCitation":"[12]"},"properties":{"noteIndex":0},"schema":"https://github.com/citation-style-language/schema/raw/master/csl-citation.json"}</w:instrText>
      </w:r>
      <w:r w:rsidR="0012113F">
        <w:fldChar w:fldCharType="separate"/>
      </w:r>
      <w:r w:rsidR="007D3C12" w:rsidRPr="007D3C12">
        <w:rPr>
          <w:noProof/>
        </w:rPr>
        <w:t>[12]</w:t>
      </w:r>
      <w:r w:rsidR="0012113F">
        <w:fldChar w:fldCharType="end"/>
      </w:r>
      <w:r w:rsidRPr="00AE4BDF">
        <w:t xml:space="preserve"> </w:t>
      </w:r>
      <w:r w:rsidRPr="00BB214D">
        <w:t xml:space="preserve">Three groups of </w:t>
      </w:r>
      <w:r w:rsidR="001D34AF">
        <w:t xml:space="preserve">twins </w:t>
      </w:r>
      <w:r w:rsidRPr="00BB214D">
        <w:t xml:space="preserve">were created from the population-based sample: cognitively </w:t>
      </w:r>
      <w:r w:rsidR="0073759F">
        <w:t>healthy</w:t>
      </w:r>
      <w:r w:rsidR="0073759F" w:rsidRPr="00BB214D">
        <w:t xml:space="preserve"> </w:t>
      </w:r>
      <w:r w:rsidRPr="00BB214D">
        <w:t xml:space="preserve">twins with demented co-twins, demented twins with cognitively </w:t>
      </w:r>
      <w:r w:rsidR="0073759F">
        <w:t>healthy</w:t>
      </w:r>
      <w:r w:rsidR="0073759F" w:rsidRPr="00BB214D">
        <w:t xml:space="preserve"> </w:t>
      </w:r>
      <w:r w:rsidRPr="00BB214D">
        <w:t xml:space="preserve">co-twins, and the cognitively </w:t>
      </w:r>
      <w:r w:rsidR="0073759F">
        <w:t>healthy</w:t>
      </w:r>
      <w:r w:rsidR="0073759F" w:rsidRPr="00BB214D">
        <w:t xml:space="preserve"> </w:t>
      </w:r>
      <w:r w:rsidRPr="00BB214D">
        <w:t xml:space="preserve">twins with cognitively </w:t>
      </w:r>
      <w:r w:rsidR="0073759F">
        <w:t>healthy</w:t>
      </w:r>
      <w:r w:rsidR="0073759F" w:rsidRPr="00BB214D">
        <w:t xml:space="preserve"> </w:t>
      </w:r>
      <w:r w:rsidRPr="00BB214D">
        <w:t xml:space="preserve">co-twins. A flowchart of the study design with the number of twins included in the analyses is shown in </w:t>
      </w:r>
      <w:r w:rsidR="0012113F">
        <w:t>f</w:t>
      </w:r>
      <w:r w:rsidRPr="00BB214D">
        <w:t xml:space="preserve">igure 1. </w:t>
      </w:r>
    </w:p>
    <w:p w14:paraId="7A87784E" w14:textId="77777777" w:rsidR="00E7291F" w:rsidRDefault="007D1F89" w:rsidP="00795954">
      <w:r>
        <w:t>The t</w:t>
      </w:r>
      <w:r w:rsidR="00E7291F">
        <w:t xml:space="preserve">elephone interview protocol was approved by </w:t>
      </w:r>
      <w:r w:rsidR="00E7291F" w:rsidRPr="0003030B">
        <w:t>the Ethics Committee of the Hospital District of Southwest Finland</w:t>
      </w:r>
      <w:r w:rsidR="00E7291F">
        <w:t xml:space="preserve"> and informed consent was obtained from participants. </w:t>
      </w:r>
      <w:r w:rsidR="00E7291F">
        <w:lastRenderedPageBreak/>
        <w:t>Questionnaire studies</w:t>
      </w:r>
      <w:r w:rsidR="009D7617">
        <w:t xml:space="preserve"> in 1975 and 1981</w:t>
      </w:r>
      <w:r w:rsidR="00E7291F">
        <w:t xml:space="preserve"> were approved by the National Board of Health and answering the questionnaire was considered as consent.</w:t>
      </w:r>
    </w:p>
    <w:p w14:paraId="3A1F5474" w14:textId="77777777" w:rsidR="00E7291F" w:rsidRPr="00820275" w:rsidRDefault="00E7291F" w:rsidP="00820275">
      <w:pPr>
        <w:pStyle w:val="Heading2"/>
      </w:pPr>
      <w:r w:rsidRPr="00820275">
        <w:t>Measures</w:t>
      </w:r>
    </w:p>
    <w:p w14:paraId="5EF7B364" w14:textId="7C2CB1E8" w:rsidR="00BB214D" w:rsidRDefault="00BB214D" w:rsidP="00795954">
      <w:pPr>
        <w:rPr>
          <w:b/>
        </w:rPr>
      </w:pPr>
      <w:bookmarkStart w:id="9" w:name="_Hlk522733114"/>
      <w:bookmarkStart w:id="10" w:name="_Hlk522207123"/>
      <w:bookmarkStart w:id="11" w:name="_Hlk522788404"/>
      <w:r w:rsidRPr="00BB214D">
        <w:t xml:space="preserve">The telephone interview included the telephone assessment for dementia </w:t>
      </w:r>
      <w:bookmarkEnd w:id="9"/>
      <w:r w:rsidRPr="00BB214D">
        <w:t>(TELE) and the Telephone Interview for Cognitive Status (TICS)</w:t>
      </w:r>
      <w:r w:rsidR="000115B8">
        <w:t>.</w:t>
      </w:r>
      <w:r w:rsidR="0012113F">
        <w:fldChar w:fldCharType="begin" w:fldLock="1"/>
      </w:r>
      <w:r w:rsidR="000E1FF0">
        <w:instrText>ADDIN CSL_CITATION {"citationItems":[{"id":"ITEM-1","itemData":{"ISSN":"0894-878X","abstract":"Summary: We report on the development of a new cognitive screening test administered over the telephone. The Telephone Interview for Cognitive Status correlates very highly with the Mini-Mental State Examination in Alzheimer's disease. It has high sensitivity and ...","author":[{"dropping-particle":"","family":"Brandt","given":"J","non-dropping-particle":"","parse-names":false,"suffix":""},{"dropping-particle":"","family":"Spencer","given":"M","non-dropping-particle":"","parse-names":false,"suffix":""},{"dropping-particle":"","family":"Folstein","given":"M","non-dropping-particle":"","parse-names":false,"suffix":""}],"container-title":"Neuropsychiatry Neuropsychol Behav Neurol.","id":"ITEM-1","issued":{"date-parts":[["1988"]]},"page":"111-117","title":"The telephone interview for cognitive status.","type":"article-journal","volume":"1"},"uris":["http://www.mendeley.com/documents/?uuid=45a06e1a-4054-4bfa-a491-be673a115e10"]},{"id":"ITEM-2","itemData":{"DOI":"10.1017/S1041610202008475","ISBN":"1041-6102 (Print)\\r1041-6102 (Linking)","ISSN":"10416102","PMID":"12475088","abstract":"This study examined the utility of the TELE, a telephone assessment for dementia, in a sample of 269 individuals that was not selected on the basis of previous dementia diagnosis. Thus, the conditions of the study reflect the actual situation in which a screening instrument might be employed. Scores on TELE were compared to dementia diagnoses. Using the best cutoff score, sensitivity was .86 and specificity was .90. Longitudinal follow-up established that false positives primarily included those who subsequently developed dementia. Telephone screening for dementia has both clinical and research applications. One recommendation based on our experience is that longitudinal studies should include a telephone interview component for anyone who drops out of the study, to enable characterizing the cognitive status of dropouts.","author":[{"dropping-particle":"","family":"Gatz","given":"Margaret","non-dropping-particle":"","parse-names":false,"suffix":""},{"dropping-particle":"","family":"Reynolds","given":"Chandra A.","non-dropping-particle":"","parse-names":false,"suffix":""},{"dropping-particle":"","family":"John","given":"Richard","non-dropping-particle":"","parse-names":false,"suffix":""},{"dropping-particle":"","family":"Johansson","given":"Boo","non-dropping-particle":"","parse-names":false,"suffix":""},{"dropping-particle":"","family":"Mortimer","given":"James A.","non-dropping-particle":"","parse-names":false,"suffix":""},{"dropping-particle":"","family":"Pedersen","given":"Nancy L.","non-dropping-particle":"","parse-names":false,"suffix":""}],"container-title":"International Psychogeriatrics","id":"ITEM-2","issue":"3","issued":{"date-parts":[["2002"]]},"page":"273-289","title":"Telephone screening to identify potential dementia cases in a population-based sample of older adults","type":"article-journal","volume":"14"},"uris":["http://www.mendeley.com/documents/?uuid=181750d2-bb81-4367-ac22-4028b0712dc4"]}],"mendeley":{"formattedCitation":"[13,14]","plainTextFormattedCitation":"[13,14]","previouslyFormattedCitation":"[14]"},"properties":{"noteIndex":0},"schema":"https://github.com/citation-style-language/schema/raw/master/csl-citation.json"}</w:instrText>
      </w:r>
      <w:r w:rsidR="0012113F">
        <w:fldChar w:fldCharType="separate"/>
      </w:r>
      <w:r w:rsidR="000E1FF0" w:rsidRPr="000E1FF0">
        <w:rPr>
          <w:noProof/>
        </w:rPr>
        <w:t>[13,14]</w:t>
      </w:r>
      <w:r w:rsidR="0012113F">
        <w:fldChar w:fldCharType="end"/>
      </w:r>
      <w:r w:rsidR="000115B8">
        <w:t xml:space="preserve"> </w:t>
      </w:r>
      <w:r w:rsidR="000115B8" w:rsidRPr="00381B8B">
        <w:rPr>
          <w:rFonts w:cstheme="minorHAnsi"/>
        </w:rPr>
        <w:t>Their validation in Finnish and detailed description can be found elsewhere</w:t>
      </w:r>
      <w:r w:rsidR="000115B8">
        <w:rPr>
          <w:rFonts w:cstheme="minorHAnsi"/>
        </w:rPr>
        <w:t>.</w:t>
      </w:r>
      <w:r w:rsidR="0012113F">
        <w:fldChar w:fldCharType="begin" w:fldLock="1"/>
      </w:r>
      <w:r w:rsidR="00396C46">
        <w:instrText>ADDIN CSL_CITATION {"citationItems":[{"id":"ITEM-1","itemData":{"DOI":"10.1159/000048646","ISSN":"14208008","PMID":"11893836","abstract":"We studied 56 subjects, 30 patients with a clinical diagnosis of Alzheimer's disease (AD) and 26 healthy controls, using two telephone screens for cognitive impairment, a self-report interview referred to as the TELE and the Telephone Interview for Cognitive Status (TICS). The sensitivity and specificity of the TELE to differentiate AD patients from healthy controls was 90.0 and 88.5% and those of the TICS were 86.7 and 88.5%, respectively. When receiver operator characteristic curves were constructed, the area under the curve for the TELE was 96.0% (SE 2.4%) and for the TICS 90.3% (SE 4.2%). Pearson's correlation between the TELE and the Mini-Mental State Examination (MMSE) was 0.87 (p &lt; 0.0001) and between the TICS and the MMSE 0.86 (p &lt; 0.0001). The correlation between the TELE and the sum of the boxes of the Clinical Dementia Rating scale (CDR-SB) was -0.71 (p &lt; 0.0001) and -0.75 between the TICS and the CDR-SB (p &lt; 0.0001). These results indicate that both screens are sensitive and specific instruments for differentiating AD patients from healthy controls and have a strong correlation with face-to-face measures of cognitive function.","author":[{"dropping-particle":"","family":"Järvenpää","given":"Tarja","non-dropping-particle":"","parse-names":false,"suffix":""},{"dropping-particle":"","family":"Rinne","given":"Juha O.","non-dropping-particle":"","parse-names":false,"suffix":""},{"dropping-particle":"","family":"Räihä","given":"Ismo","non-dropping-particle":"","parse-names":false,"suffix":""},{"dropping-particle":"","family":"Koskenvuo","given":"Markku","non-dropping-particle":"","parse-names":false,"suffix":""},{"dropping-particle":"","family":"Löppönen","given":"Minna","non-dropping-particle":"","parse-names":false,"suffix":""},{"dropping-particle":"","family":"Hinkka","given":"Susanna","non-dropping-particle":"","parse-names":false,"suffix":""},{"dropping-particle":"","family":"Kaprio","given":"Jaakko","non-dropping-particle":"","parse-names":false,"suffix":""}],"container-title":"Dementia and Geriatric Cognitive Disorders","id":"ITEM-1","issue":"3","issued":{"date-parts":[["2002"]]},"page":"149-155","title":"Characteristics of two telephone screens for cognitive impairment","type":"article-journal","volume":"13"},"uris":["http://www.mendeley.com/documents/?uuid=dbb4927b-de96-4977-b75f-a44d28d2ff08"]}],"mendeley":{"formattedCitation":"[15]","plainTextFormattedCitation":"[15]","previouslyFormattedCitation":"[15]"},"properties":{"noteIndex":0},"schema":"https://github.com/citation-style-language/schema/raw/master/csl-citation.json"}</w:instrText>
      </w:r>
      <w:r w:rsidR="0012113F">
        <w:fldChar w:fldCharType="separate"/>
      </w:r>
      <w:r w:rsidR="007D3C12" w:rsidRPr="007D3C12">
        <w:rPr>
          <w:noProof/>
        </w:rPr>
        <w:t>[15]</w:t>
      </w:r>
      <w:r w:rsidR="0012113F">
        <w:fldChar w:fldCharType="end"/>
      </w:r>
      <w:r w:rsidRPr="00BB214D">
        <w:t xml:space="preserve"> The interviews were carried out by trained personnel with a medical background. </w:t>
      </w:r>
      <w:bookmarkStart w:id="12" w:name="_Hlk522207026"/>
      <w:r w:rsidRPr="00BB214D">
        <w:t xml:space="preserve">Cognitive status was defined based on the TELE score (range 0 - 20.0), not on diagnostic criteria. We used Finnish TELE cut-off scores for </w:t>
      </w:r>
      <w:r w:rsidR="001074E0">
        <w:t>healthy</w:t>
      </w:r>
      <w:r w:rsidRPr="00BB214D">
        <w:t xml:space="preserve"> cognition (&gt; 17.5) and dementia (&lt; 16.0)</w:t>
      </w:r>
      <w:r w:rsidR="00022086">
        <w:t>.</w:t>
      </w:r>
      <w:r w:rsidR="0012113F">
        <w:fldChar w:fldCharType="begin" w:fldLock="1"/>
      </w:r>
      <w:r w:rsidR="00396C46">
        <w:instrText>ADDIN CSL_CITATION {"citationItems":[{"id":"ITEM-1","itemData":{"DOI":"10.1159/000048646","ISSN":"14208008","PMID":"11893836","abstract":"We studied 56 subjects, 30 patients with a clinical diagnosis of Alzheimer's disease (AD) and 26 healthy controls, using two telephone screens for cognitive impairment, a self-report interview referred to as the TELE and the Telephone Interview for Cognitive Status (TICS). The sensitivity and specificity of the TELE to differentiate AD patients from healthy controls was 90.0 and 88.5% and those of the TICS were 86.7 and 88.5%, respectively. When receiver operator characteristic curves were constructed, the area under the curve for the TELE was 96.0% (SE 2.4%) and for the TICS 90.3% (SE 4.2%). Pearson's correlation between the TELE and the Mini-Mental State Examination (MMSE) was 0.87 (p &lt; 0.0001) and between the TICS and the MMSE 0.86 (p &lt; 0.0001). The correlation between the TELE and the sum of the boxes of the Clinical Dementia Rating scale (CDR-SB) was -0.71 (p &lt; 0.0001) and -0.75 between the TICS and the CDR-SB (p &lt; 0.0001). These results indicate that both screens are sensitive and specific instruments for differentiating AD patients from healthy controls and have a strong correlation with face-to-face measures of cognitive function.","author":[{"dropping-particle":"","family":"Järvenpää","given":"Tarja","non-dropping-particle":"","parse-names":false,"suffix":""},{"dropping-particle":"","family":"Rinne","given":"Juha O.","non-dropping-particle":"","parse-names":false,"suffix":""},{"dropping-particle":"","family":"Räihä","given":"Ismo","non-dropping-particle":"","parse-names":false,"suffix":""},{"dropping-particle":"","family":"Koskenvuo","given":"Markku","non-dropping-particle":"","parse-names":false,"suffix":""},{"dropping-particle":"","family":"Löppönen","given":"Minna","non-dropping-particle":"","parse-names":false,"suffix":""},{"dropping-particle":"","family":"Hinkka","given":"Susanna","non-dropping-particle":"","parse-names":false,"suffix":""},{"dropping-particle":"","family":"Kaprio","given":"Jaakko","non-dropping-particle":"","parse-names":false,"suffix":""}],"container-title":"Dementia and Geriatric Cognitive Disorders","id":"ITEM-1","issue":"3","issued":{"date-parts":[["2002"]]},"page":"149-155","title":"Characteristics of two telephone screens for cognitive impairment","type":"article-journal","volume":"13"},"uris":["http://www.mendeley.com/documents/?uuid=dbb4927b-de96-4977-b75f-a44d28d2ff08"]}],"mendeley":{"formattedCitation":"[15]","plainTextFormattedCitation":"[15]","previouslyFormattedCitation":"[15]"},"properties":{"noteIndex":0},"schema":"https://github.com/citation-style-language/schema/raw/master/csl-citation.json"}</w:instrText>
      </w:r>
      <w:r w:rsidR="0012113F">
        <w:fldChar w:fldCharType="separate"/>
      </w:r>
      <w:r w:rsidR="007D3C12" w:rsidRPr="007D3C12">
        <w:rPr>
          <w:noProof/>
        </w:rPr>
        <w:t>[15]</w:t>
      </w:r>
      <w:r w:rsidR="0012113F">
        <w:fldChar w:fldCharType="end"/>
      </w:r>
      <w:bookmarkEnd w:id="10"/>
      <w:bookmarkEnd w:id="12"/>
      <w:r w:rsidR="00FE3123">
        <w:t xml:space="preserve"> </w:t>
      </w:r>
      <w:bookmarkEnd w:id="11"/>
      <w:r w:rsidRPr="00BB214D">
        <w:t xml:space="preserve">As a measure for </w:t>
      </w:r>
      <w:r w:rsidR="004D066B">
        <w:t>IR</w:t>
      </w:r>
      <w:r w:rsidRPr="00BB214D">
        <w:t xml:space="preserve">, we used the free recall of a 10-item word list in TICS. The primary measure was the total number of immediately recalled words after a single administration of the list. We also studied the number of words recalled according to the serial position: primacy (first three words) and </w:t>
      </w:r>
      <w:proofErr w:type="spellStart"/>
      <w:r w:rsidRPr="00BB214D">
        <w:t>recency</w:t>
      </w:r>
      <w:proofErr w:type="spellEnd"/>
      <w:r w:rsidRPr="00BB214D">
        <w:t xml:space="preserve"> (last three words). Education was based on the 1975 and 1981 self-report questionnaire and included 8 categories. This information was transformed into years of education and used as a continuous variable. In case of </w:t>
      </w:r>
      <w:r w:rsidR="00D94F79">
        <w:t>differences</w:t>
      </w:r>
      <w:r w:rsidRPr="00BB214D">
        <w:t xml:space="preserve"> between the 1975 and 1981 questionnaires, the higher level of education provided was chosen. </w:t>
      </w:r>
    </w:p>
    <w:p w14:paraId="5FA9E795" w14:textId="77777777" w:rsidR="00E7291F" w:rsidRPr="00820275" w:rsidRDefault="00E7291F" w:rsidP="00820275">
      <w:pPr>
        <w:pStyle w:val="Heading2"/>
      </w:pPr>
      <w:r w:rsidRPr="00820275">
        <w:t>Statistical analysis</w:t>
      </w:r>
    </w:p>
    <w:p w14:paraId="14261A52" w14:textId="12E6A382" w:rsidR="00BB214D" w:rsidRPr="00BB214D" w:rsidRDefault="00BB214D" w:rsidP="00795954">
      <w:r w:rsidRPr="00BB214D">
        <w:t>The statistical analyses were conducted using Stata version 14.2 (Stata Corp., College Station, TX). Two-tailed P</w:t>
      </w:r>
      <w:r w:rsidR="00B420B4">
        <w:t xml:space="preserve"> </w:t>
      </w:r>
      <w:r w:rsidRPr="00BB214D">
        <w:t xml:space="preserve">values &lt; .05 indicated statistical significance. The primary research question was whether </w:t>
      </w:r>
      <w:r w:rsidR="004D066B">
        <w:t>IR</w:t>
      </w:r>
      <w:r w:rsidR="004D066B" w:rsidRPr="00BB214D">
        <w:t xml:space="preserve"> </w:t>
      </w:r>
      <w:r w:rsidRPr="00BB214D">
        <w:t xml:space="preserve">performance of cognitively </w:t>
      </w:r>
      <w:r w:rsidR="00A80E2E">
        <w:t>healthy</w:t>
      </w:r>
      <w:r w:rsidR="00A80E2E" w:rsidRPr="00BB214D">
        <w:t xml:space="preserve"> </w:t>
      </w:r>
      <w:r w:rsidRPr="00BB214D">
        <w:t xml:space="preserve">twins who had demented co-twins is different compared to cognitively </w:t>
      </w:r>
      <w:r w:rsidR="00A80E2E">
        <w:t>healthy</w:t>
      </w:r>
      <w:r w:rsidR="00A80E2E" w:rsidRPr="00BB214D">
        <w:t xml:space="preserve"> </w:t>
      </w:r>
      <w:r w:rsidRPr="00BB214D">
        <w:t xml:space="preserve">twins who had cognitively </w:t>
      </w:r>
      <w:r w:rsidR="00A80E2E">
        <w:t>healthy</w:t>
      </w:r>
      <w:r w:rsidR="00A80E2E" w:rsidRPr="00BB214D">
        <w:t xml:space="preserve"> </w:t>
      </w:r>
      <w:r w:rsidRPr="00BB214D">
        <w:t xml:space="preserve">co-twins. In the between family-analyses, we used linear regression to compare the total number of recalled words between the groups. In the within-family </w:t>
      </w:r>
      <w:r w:rsidRPr="00BB214D">
        <w:lastRenderedPageBreak/>
        <w:t xml:space="preserve">analyses, a linear conditional fixed effects regression model was used to examine differences in total scores. </w:t>
      </w:r>
      <w:r w:rsidR="00EC6D6E" w:rsidRPr="00BB214D">
        <w:t>Ord</w:t>
      </w:r>
      <w:r w:rsidR="00EC6D6E">
        <w:t xml:space="preserve">ered logistic </w:t>
      </w:r>
      <w:r w:rsidRPr="00BB214D">
        <w:t xml:space="preserve">regression was used for the analysis of the number of recalled primacy and </w:t>
      </w:r>
      <w:proofErr w:type="spellStart"/>
      <w:r w:rsidRPr="00BB214D">
        <w:t>recency</w:t>
      </w:r>
      <w:proofErr w:type="spellEnd"/>
      <w:r w:rsidRPr="00BB214D">
        <w:t xml:space="preserve"> words. All regression analyses were controlled for age, sex, and years of education. The twin structure of the data was considered in all analyses by using robust standard errors adjusted for family relatedness</w:t>
      </w:r>
      <w:r w:rsidR="00AE4BDF">
        <w:t>.</w:t>
      </w:r>
      <w:r w:rsidR="0012113F">
        <w:fldChar w:fldCharType="begin" w:fldLock="1"/>
      </w:r>
      <w:r w:rsidR="00396C46">
        <w:instrText>ADDIN CSL_CITATION {"citationItems":[{"id":"ITEM-1","itemData":{"DOI":"10.1111/j.0006-341X.2000.00645.x","ISBN":"1541-0420","ISSN":"0006341X","PMID":"10877330","abstract":"There is a simple robust variance estimator for cluster-correlated data. While this estimator is well known, it is poorly documented, and its wide range of applicability is often not understood. The estimator is widely used in sample survey research, but the results in the sample survey literature are not easily applied because of complications due to unequal probability sampling. This brief note presents a general proof that the estimator is unbiased for cluster-correlated data regardless of the setting. The result is not new, but a simple and general reference is not readily available. The use of the method will benefit from a general explanation of its wide applicability.","author":[{"dropping-particle":"","family":"Williams","given":"Rick L.","non-dropping-particle":"","parse-names":false,"suffix":""}],"container-title":"Biometrics","id":"ITEM-1","issue":"2","issued":{"date-parts":[["2000"]]},"page":"645-646","title":"A note on robust variance estimation for cluster-correlated data","type":"article","volume":"56"},"uris":["http://www.mendeley.com/documents/?uuid=d9b8cbdf-2b46-43ac-abff-4e421cb6cc90"]}],"mendeley":{"formattedCitation":"[16]","plainTextFormattedCitation":"[16]","previouslyFormattedCitation":"[16]"},"properties":{"noteIndex":0},"schema":"https://github.com/citation-style-language/schema/raw/master/csl-citation.json"}</w:instrText>
      </w:r>
      <w:r w:rsidR="0012113F">
        <w:fldChar w:fldCharType="separate"/>
      </w:r>
      <w:r w:rsidR="007D3C12" w:rsidRPr="007D3C12">
        <w:rPr>
          <w:noProof/>
        </w:rPr>
        <w:t>[16]</w:t>
      </w:r>
      <w:r w:rsidR="0012113F">
        <w:fldChar w:fldCharType="end"/>
      </w:r>
      <w:r w:rsidRPr="00BB214D">
        <w:t xml:space="preserve"> In linear regression analyses, adjusted means and unstandardized coefficients with 95% CIs were reported. Assumptions of regression analyses were verified. </w:t>
      </w:r>
    </w:p>
    <w:p w14:paraId="14CC7171" w14:textId="7A5B168E" w:rsidR="00BB214D" w:rsidRDefault="00BB214D" w:rsidP="00795954">
      <w:pPr>
        <w:rPr>
          <w:b/>
        </w:rPr>
      </w:pPr>
      <w:r w:rsidRPr="00BB214D">
        <w:t xml:space="preserve">MZ and DZ male and female twin correlations for </w:t>
      </w:r>
      <w:r w:rsidR="004D066B">
        <w:t>IR</w:t>
      </w:r>
      <w:r w:rsidR="004D066B" w:rsidRPr="00BB214D">
        <w:t xml:space="preserve"> </w:t>
      </w:r>
      <w:r w:rsidRPr="00BB214D">
        <w:t xml:space="preserve">performance were calculated using age-adjusted standardized residuals of total scores. Twin correlations were calculated with age- and sex-adjusted measures when including both men and women. </w:t>
      </w:r>
      <w:r w:rsidR="00D94F79">
        <w:t xml:space="preserve">In the </w:t>
      </w:r>
      <w:r w:rsidRPr="00BB214D">
        <w:t>twin design, it is possible to decompose the phenotypic variance into additive genetic (A), common environmental (C) and unique environmental (E) variances. The ACE model is based on the assumption that A effects correlate 1.0 in MZ twins because they are genetically identical at the sequence level, whereas the correlation is 0.5 in DZ twins who share</w:t>
      </w:r>
      <w:r w:rsidR="00D94F79">
        <w:t xml:space="preserve"> (like siblings)</w:t>
      </w:r>
      <w:r w:rsidRPr="00BB214D">
        <w:t>, on average, 50% of their segregating genes. C effects refer to all environmental influences that make twins within a pair similar and correlate 1.0 both in MZ and DZ pairs. E effects refer to all environmental influences that make twins within a pair different from each other and are thus uncorrelated. E effects also include measurement errors. We used a maximum likelihood based structural equation modeling approach to estimate the relative proportion of A (heritability), C and E effects</w:t>
      </w:r>
      <w:r w:rsidR="00AE4BDF">
        <w:t>.</w:t>
      </w:r>
      <w:r w:rsidR="0012113F">
        <w:fldChar w:fldCharType="begin" w:fldLock="1"/>
      </w:r>
      <w:r w:rsidR="00396C46">
        <w:instrText>ADDIN CSL_CITATION {"citationItems":[{"id":"ITEM-1","itemData":{"author":[{"dropping-particle":"","family":"Neale","given":"MC","non-dropping-particle":"","parse-names":false,"suffix":""},{"dropping-particle":"","family":"Cardon","given":"LR","non-dropping-particle":"","parse-names":false,"suffix":""}],"edition":"1st","id":"ITEM-1","issued":{"date-parts":[["1992"]]},"publisher":"Kluwer","publisher-place":"Dordrecht","title":"Methodology for genetic studies of twins and families","type":"book"},"uris":["http://www.mendeley.com/documents/?uuid=8f0987e4-ef61-4f12-a5cf-aac68fc948ad"]}],"mendeley":{"formattedCitation":"[17]","plainTextFormattedCitation":"[17]","previouslyFormattedCitation":"[17]"},"properties":{"noteIndex":0},"schema":"https://github.com/citation-style-language/schema/raw/master/csl-citation.json"}</w:instrText>
      </w:r>
      <w:r w:rsidR="0012113F">
        <w:fldChar w:fldCharType="separate"/>
      </w:r>
      <w:r w:rsidR="007D3C12" w:rsidRPr="007D3C12">
        <w:rPr>
          <w:noProof/>
        </w:rPr>
        <w:t>[17]</w:t>
      </w:r>
      <w:r w:rsidR="0012113F">
        <w:fldChar w:fldCharType="end"/>
      </w:r>
      <w:r w:rsidRPr="00BB214D">
        <w:t xml:space="preserve"> We adjusted </w:t>
      </w:r>
      <w:r w:rsidR="004D066B">
        <w:t>IR</w:t>
      </w:r>
      <w:r w:rsidR="004D066B" w:rsidRPr="00BB214D">
        <w:t xml:space="preserve"> </w:t>
      </w:r>
      <w:r w:rsidRPr="00BB214D">
        <w:t>measure for age and sex and scores were standardized with a mean of 0 and SD of 1 before model fitting.</w:t>
      </w:r>
    </w:p>
    <w:p w14:paraId="0228B1A1" w14:textId="77777777" w:rsidR="00E7291F" w:rsidRPr="00820275" w:rsidRDefault="00D63522" w:rsidP="001E2493">
      <w:pPr>
        <w:pStyle w:val="Heading1"/>
      </w:pPr>
      <w:r>
        <w:t>RESULTS</w:t>
      </w:r>
    </w:p>
    <w:p w14:paraId="6E331C17" w14:textId="46F9B2FE" w:rsidR="00E7291F" w:rsidRPr="00820275" w:rsidRDefault="004D066B" w:rsidP="00820275">
      <w:pPr>
        <w:pStyle w:val="Heading2"/>
      </w:pPr>
      <w:r>
        <w:t>IR</w:t>
      </w:r>
      <w:r w:rsidRPr="00820275">
        <w:t xml:space="preserve"> </w:t>
      </w:r>
      <w:r w:rsidR="00E7291F" w:rsidRPr="00820275">
        <w:t>performance in the whole population-based cohort</w:t>
      </w:r>
    </w:p>
    <w:p w14:paraId="305AD1A4" w14:textId="0375E142" w:rsidR="00E279F8" w:rsidRDefault="007D1F89" w:rsidP="00795954">
      <w:bookmarkStart w:id="13" w:name="_Hlk503537742"/>
      <w:r>
        <w:lastRenderedPageBreak/>
        <w:t xml:space="preserve">The </w:t>
      </w:r>
      <w:r w:rsidR="00E7291F" w:rsidRPr="00D06781">
        <w:t xml:space="preserve">4,367 participants </w:t>
      </w:r>
      <w:bookmarkEnd w:id="13"/>
      <w:r w:rsidR="00E7291F" w:rsidRPr="00D06781">
        <w:t xml:space="preserve">with </w:t>
      </w:r>
      <w:r w:rsidR="00563A1E" w:rsidRPr="00D06781">
        <w:t>complete</w:t>
      </w:r>
      <w:r w:rsidR="00E7291F" w:rsidRPr="00D06781">
        <w:t xml:space="preserve"> data had a mean age of 74.1 </w:t>
      </w:r>
      <w:r w:rsidR="00773F25" w:rsidRPr="00D06781">
        <w:t xml:space="preserve">years </w:t>
      </w:r>
      <w:r w:rsidR="00E7291F" w:rsidRPr="00D06781">
        <w:t>(</w:t>
      </w:r>
      <w:r w:rsidR="00773F25" w:rsidRPr="007E2951">
        <w:t>SD</w:t>
      </w:r>
      <w:r w:rsidR="00773F25" w:rsidRPr="00D06781">
        <w:t xml:space="preserve"> </w:t>
      </w:r>
      <w:r w:rsidR="002C1FBD">
        <w:t xml:space="preserve">= </w:t>
      </w:r>
      <w:r w:rsidR="00E7291F" w:rsidRPr="00D06781">
        <w:t>4.1</w:t>
      </w:r>
      <w:r w:rsidR="00DE5897">
        <w:t>,</w:t>
      </w:r>
      <w:r w:rsidR="00773F25" w:rsidRPr="00D06781">
        <w:t xml:space="preserve"> range</w:t>
      </w:r>
      <w:r w:rsidR="00E376FB" w:rsidRPr="00D06781">
        <w:t xml:space="preserve"> 65 - 97</w:t>
      </w:r>
      <w:r w:rsidR="00E7291F" w:rsidRPr="00D06781">
        <w:t>), mean education of 7.9</w:t>
      </w:r>
      <w:r w:rsidR="005625EF" w:rsidRPr="00D06781">
        <w:t xml:space="preserve"> years</w:t>
      </w:r>
      <w:r w:rsidR="00E7291F" w:rsidRPr="00D06781">
        <w:t xml:space="preserve"> (</w:t>
      </w:r>
      <w:r w:rsidR="00773F25" w:rsidRPr="007E2951">
        <w:t>SD</w:t>
      </w:r>
      <w:r w:rsidR="002C1FBD">
        <w:t xml:space="preserve"> =</w:t>
      </w:r>
      <w:r w:rsidR="00773F25" w:rsidRPr="00D06781">
        <w:t xml:space="preserve"> </w:t>
      </w:r>
      <w:r w:rsidR="00E7291F" w:rsidRPr="00D06781">
        <w:t>2.9</w:t>
      </w:r>
      <w:r w:rsidR="00DE5897">
        <w:t>,</w:t>
      </w:r>
      <w:r w:rsidR="00773F25" w:rsidRPr="00D06781">
        <w:t xml:space="preserve"> range:</w:t>
      </w:r>
      <w:r w:rsidR="005625EF" w:rsidRPr="00D06781">
        <w:t xml:space="preserve"> 5 - 16</w:t>
      </w:r>
      <w:r w:rsidR="00E376FB" w:rsidRPr="00D06781">
        <w:t>), and 48.6</w:t>
      </w:r>
      <w:r w:rsidR="00E7291F" w:rsidRPr="00D06781">
        <w:t>% were women.</w:t>
      </w:r>
      <w:r w:rsidR="008D3DC9">
        <w:t xml:space="preserve"> </w:t>
      </w:r>
      <w:bookmarkStart w:id="14" w:name="_Hlk522179983"/>
      <w:bookmarkStart w:id="15" w:name="_Hlk522198777"/>
      <w:r w:rsidR="008D3DC9" w:rsidRPr="00201CD3">
        <w:t>The participants were more often men (51% vs 43</w:t>
      </w:r>
      <w:r w:rsidR="008D3DC9">
        <w:t>%</w:t>
      </w:r>
      <w:r w:rsidR="008D3DC9" w:rsidRPr="00201CD3">
        <w:t xml:space="preserve">) and </w:t>
      </w:r>
      <w:r w:rsidR="008D3DC9">
        <w:t xml:space="preserve">slightly </w:t>
      </w:r>
      <w:r w:rsidR="008D3DC9" w:rsidRPr="00201CD3">
        <w:t xml:space="preserve">more educated (7.9 vs 7.2 years) but </w:t>
      </w:r>
      <w:r w:rsidR="008D3DC9">
        <w:t>of similar age</w:t>
      </w:r>
      <w:r w:rsidR="008D3DC9" w:rsidRPr="00201CD3">
        <w:t xml:space="preserve"> </w:t>
      </w:r>
      <w:r w:rsidR="008D3DC9">
        <w:t>in comparison</w:t>
      </w:r>
      <w:r w:rsidR="008D3DC9" w:rsidRPr="00201CD3">
        <w:t xml:space="preserve"> to non-participants.</w:t>
      </w:r>
      <w:bookmarkEnd w:id="14"/>
      <w:r w:rsidR="00E7291F" w:rsidRPr="00D06781">
        <w:t xml:space="preserve"> </w:t>
      </w:r>
      <w:bookmarkEnd w:id="15"/>
      <w:r w:rsidR="00111E5C">
        <w:t xml:space="preserve">The </w:t>
      </w:r>
      <w:r w:rsidR="00111E5C" w:rsidRPr="008A7235">
        <w:t>mean TELE score was 18.0 (</w:t>
      </w:r>
      <w:r w:rsidR="00111E5C" w:rsidRPr="007E2951">
        <w:t>SD</w:t>
      </w:r>
      <w:r w:rsidR="00111E5C">
        <w:t xml:space="preserve"> =</w:t>
      </w:r>
      <w:r w:rsidR="00111E5C" w:rsidRPr="008A7235">
        <w:t xml:space="preserve"> 2.2</w:t>
      </w:r>
      <w:r w:rsidR="00111E5C">
        <w:t xml:space="preserve">, </w:t>
      </w:r>
      <w:r w:rsidR="00133F9D" w:rsidRPr="008A7235">
        <w:t>interquartile rang</w:t>
      </w:r>
      <w:r w:rsidR="00133F9D">
        <w:t xml:space="preserve"> (</w:t>
      </w:r>
      <w:r w:rsidR="00111E5C" w:rsidRPr="00133F9D">
        <w:t>IQR</w:t>
      </w:r>
      <w:r w:rsidR="00133F9D">
        <w:t>):</w:t>
      </w:r>
      <w:r w:rsidR="00111E5C">
        <w:t xml:space="preserve"> </w:t>
      </w:r>
      <w:r w:rsidR="00111E5C" w:rsidRPr="008A7235">
        <w:t xml:space="preserve">17.0 - 19.5). </w:t>
      </w:r>
      <w:r w:rsidR="000A58B6" w:rsidRPr="008A7235">
        <w:t>The mean total score</w:t>
      </w:r>
      <w:r w:rsidR="00A9710F" w:rsidRPr="008A7235">
        <w:t xml:space="preserve"> </w:t>
      </w:r>
      <w:r>
        <w:t>for the</w:t>
      </w:r>
      <w:r w:rsidR="00A9710F" w:rsidRPr="008A7235">
        <w:t xml:space="preserve"> word list recall</w:t>
      </w:r>
      <w:r w:rsidR="000A58B6" w:rsidRPr="008A7235">
        <w:t xml:space="preserve"> was</w:t>
      </w:r>
      <w:r w:rsidR="005625EF" w:rsidRPr="008A7235">
        <w:t xml:space="preserve"> 3.7</w:t>
      </w:r>
      <w:r w:rsidR="004175C4">
        <w:t xml:space="preserve"> words</w:t>
      </w:r>
      <w:r w:rsidR="005625EF" w:rsidRPr="008A7235">
        <w:t xml:space="preserve"> (</w:t>
      </w:r>
      <w:r w:rsidR="005625EF" w:rsidRPr="007E2951">
        <w:t>SD</w:t>
      </w:r>
      <w:r w:rsidR="002C1FBD">
        <w:t xml:space="preserve"> =</w:t>
      </w:r>
      <w:r w:rsidR="005625EF" w:rsidRPr="008A7235">
        <w:t xml:space="preserve"> 1.7</w:t>
      </w:r>
      <w:r w:rsidR="00DE5897">
        <w:t>,</w:t>
      </w:r>
      <w:r w:rsidR="005625EF" w:rsidRPr="008A7235">
        <w:t xml:space="preserve"> IQR</w:t>
      </w:r>
      <w:r w:rsidR="00133F9D">
        <w:t>:</w:t>
      </w:r>
      <w:r w:rsidR="005625EF" w:rsidRPr="008A7235">
        <w:t xml:space="preserve"> 3 </w:t>
      </w:r>
      <w:r w:rsidR="00AE5159">
        <w:t>-</w:t>
      </w:r>
      <w:r w:rsidR="005625EF" w:rsidRPr="008A7235">
        <w:t xml:space="preserve"> 5</w:t>
      </w:r>
      <w:r w:rsidR="006A56E8">
        <w:t xml:space="preserve">, </w:t>
      </w:r>
      <w:r w:rsidR="0041690F">
        <w:t>with</w:t>
      </w:r>
      <w:r w:rsidR="0041690F" w:rsidRPr="0041690F">
        <w:t xml:space="preserve"> a normal distribution</w:t>
      </w:r>
      <w:r w:rsidR="006A56E8">
        <w:t>)</w:t>
      </w:r>
      <w:r w:rsidR="0041690F">
        <w:t xml:space="preserve">. </w:t>
      </w:r>
      <w:r>
        <w:t xml:space="preserve">The </w:t>
      </w:r>
      <w:r w:rsidR="009C7F8F">
        <w:t>descriptive statistics</w:t>
      </w:r>
      <w:r w:rsidR="00E7291F">
        <w:t xml:space="preserve"> of </w:t>
      </w:r>
      <w:r w:rsidR="009C7F8F">
        <w:t>word list</w:t>
      </w:r>
      <w:r w:rsidR="00E7291F">
        <w:t xml:space="preserve"> recall measures are presented in </w:t>
      </w:r>
      <w:r w:rsidR="0012113F">
        <w:t>f</w:t>
      </w:r>
      <w:r w:rsidR="006077CE">
        <w:t>igure 2</w:t>
      </w:r>
      <w:r w:rsidR="00E7291F">
        <w:t xml:space="preserve">. </w:t>
      </w:r>
      <w:r w:rsidR="0095472E" w:rsidRPr="0095472E">
        <w:t xml:space="preserve">Better </w:t>
      </w:r>
      <w:r w:rsidR="00A077A1">
        <w:t>word list recall</w:t>
      </w:r>
      <w:r w:rsidR="0095472E" w:rsidRPr="0095472E">
        <w:t xml:space="preserve"> </w:t>
      </w:r>
      <w:r w:rsidR="00035B3E">
        <w:t>was associated</w:t>
      </w:r>
      <w:r w:rsidR="0095472E" w:rsidRPr="0095472E">
        <w:t xml:space="preserve"> with higher education</w:t>
      </w:r>
      <w:r w:rsidR="00A077A1">
        <w:t xml:space="preserve"> (Spearman’s r</w:t>
      </w:r>
      <w:r w:rsidR="000E417C">
        <w:t>ho</w:t>
      </w:r>
      <w:r w:rsidR="00A077A1">
        <w:t xml:space="preserve"> =</w:t>
      </w:r>
      <w:r w:rsidR="00A7169A">
        <w:t xml:space="preserve"> 0.30</w:t>
      </w:r>
      <w:r w:rsidR="00A077A1">
        <w:t xml:space="preserve">, </w:t>
      </w:r>
      <w:r w:rsidR="00A077A1" w:rsidRPr="007E2951">
        <w:rPr>
          <w:i/>
        </w:rPr>
        <w:t>P</w:t>
      </w:r>
      <w:r w:rsidR="00A077A1">
        <w:t xml:space="preserve"> &lt; .001)</w:t>
      </w:r>
      <w:r w:rsidR="0095472E" w:rsidRPr="0095472E">
        <w:t>, lower age</w:t>
      </w:r>
      <w:r w:rsidR="00A077A1">
        <w:t xml:space="preserve"> (Pearson’s r = </w:t>
      </w:r>
      <w:r w:rsidR="00A7169A">
        <w:t>-0.21</w:t>
      </w:r>
      <w:r w:rsidR="00A077A1">
        <w:t xml:space="preserve">, </w:t>
      </w:r>
      <w:r w:rsidR="00A077A1" w:rsidRPr="007E2951">
        <w:rPr>
          <w:i/>
        </w:rPr>
        <w:t>P</w:t>
      </w:r>
      <w:r w:rsidR="00A077A1">
        <w:t xml:space="preserve"> &lt; .001)</w:t>
      </w:r>
      <w:r w:rsidR="0095472E" w:rsidRPr="0095472E">
        <w:t>, and female sex</w:t>
      </w:r>
      <w:r w:rsidR="006F7E63">
        <w:t xml:space="preserve"> (</w:t>
      </w:r>
      <w:r w:rsidR="006F7E63" w:rsidRPr="007E2951">
        <w:rPr>
          <w:i/>
        </w:rPr>
        <w:t>P</w:t>
      </w:r>
      <w:r w:rsidR="006F7E63">
        <w:t xml:space="preserve"> &lt; .001)</w:t>
      </w:r>
      <w:r w:rsidR="00A077A1">
        <w:t xml:space="preserve">. </w:t>
      </w:r>
      <w:r w:rsidR="00E7291F">
        <w:t>Participants showed</w:t>
      </w:r>
      <w:r w:rsidR="00F46BAB">
        <w:t xml:space="preserve"> the usual </w:t>
      </w:r>
      <w:r w:rsidR="00E7291F">
        <w:t xml:space="preserve">U-shaped serial position </w:t>
      </w:r>
      <w:r w:rsidR="00F46BAB">
        <w:t>curve</w:t>
      </w:r>
      <w:r w:rsidR="00E7291F">
        <w:t xml:space="preserve"> that decreased </w:t>
      </w:r>
      <w:r w:rsidR="004702EB">
        <w:t xml:space="preserve">overall </w:t>
      </w:r>
      <w:r w:rsidR="00E7291F">
        <w:t xml:space="preserve">as a function of decreasing </w:t>
      </w:r>
      <w:r w:rsidR="001A23C8">
        <w:t>cognitive status</w:t>
      </w:r>
      <w:r w:rsidR="00E7291F">
        <w:t xml:space="preserve">, decreasing education or increasing </w:t>
      </w:r>
      <w:r w:rsidR="00E7291F" w:rsidRPr="005E0BC5">
        <w:t>age (</w:t>
      </w:r>
      <w:r w:rsidR="0012113F">
        <w:t>f</w:t>
      </w:r>
      <w:r w:rsidR="00E7291F" w:rsidRPr="005E0BC5">
        <w:t xml:space="preserve">igure 2). </w:t>
      </w:r>
    </w:p>
    <w:p w14:paraId="06B7FDEC" w14:textId="74549B87" w:rsidR="00E7291F" w:rsidRPr="00820275" w:rsidRDefault="004D066B" w:rsidP="00820275">
      <w:pPr>
        <w:pStyle w:val="Heading2"/>
      </w:pPr>
      <w:r>
        <w:t>IR</w:t>
      </w:r>
      <w:r w:rsidRPr="00820275">
        <w:t xml:space="preserve"> </w:t>
      </w:r>
      <w:r w:rsidR="00DA385C" w:rsidRPr="00820275">
        <w:t>performance in cognitively concordant and discordant twin</w:t>
      </w:r>
      <w:r w:rsidR="00B56B28" w:rsidRPr="00820275">
        <w:t xml:space="preserve"> pair</w:t>
      </w:r>
      <w:r w:rsidR="00DA385C" w:rsidRPr="00820275">
        <w:t>s</w:t>
      </w:r>
    </w:p>
    <w:p w14:paraId="5B94F38A" w14:textId="65F7AC2F" w:rsidR="00825CE0" w:rsidRDefault="00C609B6" w:rsidP="00795954">
      <w:bookmarkStart w:id="16" w:name="_Hlk522199385"/>
      <w:r>
        <w:t xml:space="preserve">Out of </w:t>
      </w:r>
      <w:r w:rsidR="007D1F89">
        <w:t xml:space="preserve">the </w:t>
      </w:r>
      <w:r>
        <w:t xml:space="preserve">1,375 pairs, 110 pairs were discordant for dementia, 770 pairs were concordant for </w:t>
      </w:r>
      <w:r w:rsidR="00140778">
        <w:t xml:space="preserve">healthy </w:t>
      </w:r>
      <w:r>
        <w:t xml:space="preserve">cognition, and 39 pairs were concordant for dementia. </w:t>
      </w:r>
      <w:bookmarkEnd w:id="16"/>
      <w:r w:rsidR="00E7291F" w:rsidRPr="005F787A">
        <w:t xml:space="preserve">Table </w:t>
      </w:r>
      <w:r w:rsidR="00043AC4">
        <w:t>1</w:t>
      </w:r>
      <w:r w:rsidR="00E7291F">
        <w:t xml:space="preserve"> shows </w:t>
      </w:r>
      <w:r w:rsidR="007D1F89">
        <w:t xml:space="preserve">the </w:t>
      </w:r>
      <w:r w:rsidR="00E7291F">
        <w:t>characteristics of twin</w:t>
      </w:r>
      <w:r w:rsidR="001D34AF">
        <w:t xml:space="preserve">s in </w:t>
      </w:r>
      <w:r w:rsidR="00E7291F">
        <w:t xml:space="preserve">pairs discordant for </w:t>
      </w:r>
      <w:r w:rsidR="001A23C8">
        <w:t>dementia</w:t>
      </w:r>
      <w:r w:rsidR="00E7291F">
        <w:t xml:space="preserve"> and </w:t>
      </w:r>
      <w:r w:rsidR="001D34AF">
        <w:t xml:space="preserve">in </w:t>
      </w:r>
      <w:r w:rsidR="00E7291F">
        <w:t xml:space="preserve">pairs concordant for </w:t>
      </w:r>
      <w:r w:rsidR="00140778">
        <w:t>healthy</w:t>
      </w:r>
      <w:r w:rsidR="00FB3224">
        <w:t xml:space="preserve"> </w:t>
      </w:r>
      <w:r w:rsidR="00E7291F">
        <w:t xml:space="preserve">cognition. Twins </w:t>
      </w:r>
      <w:r w:rsidR="00396EC0">
        <w:t>in</w:t>
      </w:r>
      <w:r w:rsidR="00E7291F">
        <w:t xml:space="preserve"> discordant pairs were on average slightly older</w:t>
      </w:r>
      <w:r w:rsidR="0026251E">
        <w:t xml:space="preserve"> and</w:t>
      </w:r>
      <w:r w:rsidR="00E7291F">
        <w:t xml:space="preserve"> had less years of education than twins </w:t>
      </w:r>
      <w:r w:rsidR="00396EC0">
        <w:t>in</w:t>
      </w:r>
      <w:r w:rsidR="00E7291F">
        <w:t xml:space="preserve"> cognitively </w:t>
      </w:r>
      <w:r w:rsidR="00140778">
        <w:t xml:space="preserve">healthy </w:t>
      </w:r>
      <w:r w:rsidR="00E7291F">
        <w:t xml:space="preserve">pairs. </w:t>
      </w:r>
    </w:p>
    <w:p w14:paraId="0F2ECA76" w14:textId="77777777" w:rsidR="00BB241E" w:rsidRDefault="00BB241E">
      <w:pPr>
        <w:spacing w:after="0" w:line="240" w:lineRule="auto"/>
        <w:rPr>
          <w:b/>
        </w:rPr>
      </w:pPr>
      <w:r>
        <w:rPr>
          <w:b/>
        </w:rPr>
        <w:br w:type="page"/>
      </w:r>
    </w:p>
    <w:p w14:paraId="7C4FE6CC" w14:textId="699578AA" w:rsidR="001D34AF" w:rsidRDefault="001D34AF" w:rsidP="001D34AF">
      <w:pPr>
        <w:rPr>
          <w:b/>
        </w:rPr>
      </w:pPr>
      <w:r w:rsidRPr="00DF78A9">
        <w:rPr>
          <w:b/>
        </w:rPr>
        <w:lastRenderedPageBreak/>
        <w:t xml:space="preserve">Table 1 Characteristics of </w:t>
      </w:r>
      <w:r w:rsidR="003F4129">
        <w:rPr>
          <w:b/>
        </w:rPr>
        <w:t xml:space="preserve">101 </w:t>
      </w:r>
      <w:r w:rsidRPr="00DF78A9">
        <w:rPr>
          <w:b/>
        </w:rPr>
        <w:t xml:space="preserve">cognitively discordant twin pairs and </w:t>
      </w:r>
      <w:r w:rsidR="003F4129">
        <w:rPr>
          <w:b/>
        </w:rPr>
        <w:t xml:space="preserve">770 </w:t>
      </w:r>
      <w:r w:rsidRPr="00DF78A9">
        <w:rPr>
          <w:b/>
        </w:rPr>
        <w:t xml:space="preserve">pairs concordant for </w:t>
      </w:r>
      <w:r w:rsidR="001074E0">
        <w:rPr>
          <w:b/>
        </w:rPr>
        <w:t>healthy</w:t>
      </w:r>
      <w:r w:rsidR="001074E0" w:rsidRPr="00DF78A9">
        <w:rPr>
          <w:b/>
        </w:rPr>
        <w:t xml:space="preserve"> </w:t>
      </w:r>
      <w:r w:rsidRPr="00DF78A9">
        <w:rPr>
          <w:b/>
        </w:rPr>
        <w:t>cognition</w:t>
      </w:r>
    </w:p>
    <w:tbl>
      <w:tblPr>
        <w:tblW w:w="9284" w:type="dxa"/>
        <w:tblLayout w:type="fixed"/>
        <w:tblCellMar>
          <w:left w:w="70" w:type="dxa"/>
          <w:right w:w="70" w:type="dxa"/>
        </w:tblCellMar>
        <w:tblLook w:val="04A0" w:firstRow="1" w:lastRow="0" w:firstColumn="1" w:lastColumn="0" w:noHBand="0" w:noVBand="1"/>
      </w:tblPr>
      <w:tblGrid>
        <w:gridCol w:w="2022"/>
        <w:gridCol w:w="13"/>
        <w:gridCol w:w="1296"/>
        <w:gridCol w:w="1559"/>
        <w:gridCol w:w="1134"/>
        <w:gridCol w:w="283"/>
        <w:gridCol w:w="1843"/>
        <w:gridCol w:w="1134"/>
      </w:tblGrid>
      <w:tr w:rsidR="00D96CB7" w:rsidRPr="007A1663" w14:paraId="14EEB032" w14:textId="77777777" w:rsidTr="00D96CB7">
        <w:trPr>
          <w:trHeight w:val="794"/>
        </w:trPr>
        <w:tc>
          <w:tcPr>
            <w:tcW w:w="2022" w:type="dxa"/>
            <w:tcBorders>
              <w:top w:val="single" w:sz="4" w:space="0" w:color="auto"/>
              <w:left w:val="nil"/>
              <w:bottom w:val="nil"/>
              <w:right w:val="nil"/>
            </w:tcBorders>
            <w:shd w:val="clear" w:color="auto" w:fill="auto"/>
            <w:noWrap/>
            <w:vAlign w:val="center"/>
            <w:hideMark/>
          </w:tcPr>
          <w:p w14:paraId="22BF6436" w14:textId="77777777" w:rsidR="00D96CB7" w:rsidRPr="007A1663" w:rsidRDefault="00D96CB7" w:rsidP="00DA6E37">
            <w:pPr>
              <w:spacing w:after="0"/>
              <w:rPr>
                <w:lang w:eastAsia="fi-FI"/>
              </w:rPr>
            </w:pPr>
          </w:p>
        </w:tc>
        <w:tc>
          <w:tcPr>
            <w:tcW w:w="4002" w:type="dxa"/>
            <w:gridSpan w:val="4"/>
            <w:tcBorders>
              <w:top w:val="single" w:sz="4" w:space="0" w:color="auto"/>
              <w:left w:val="nil"/>
              <w:bottom w:val="single" w:sz="4" w:space="0" w:color="auto"/>
              <w:right w:val="nil"/>
            </w:tcBorders>
            <w:shd w:val="clear" w:color="auto" w:fill="auto"/>
            <w:vAlign w:val="center"/>
            <w:hideMark/>
          </w:tcPr>
          <w:p w14:paraId="23742277" w14:textId="77777777" w:rsidR="00D96CB7" w:rsidRPr="007A1663" w:rsidRDefault="00D96CB7" w:rsidP="00DA6E37">
            <w:pPr>
              <w:spacing w:after="0"/>
              <w:rPr>
                <w:lang w:val="fi-FI" w:eastAsia="fi-FI"/>
              </w:rPr>
            </w:pPr>
            <w:proofErr w:type="spellStart"/>
            <w:r w:rsidRPr="007A1663">
              <w:rPr>
                <w:lang w:val="fi-FI" w:eastAsia="fi-FI"/>
              </w:rPr>
              <w:t>Cognitively</w:t>
            </w:r>
            <w:proofErr w:type="spellEnd"/>
            <w:r w:rsidRPr="007A1663">
              <w:rPr>
                <w:lang w:val="fi-FI" w:eastAsia="fi-FI"/>
              </w:rPr>
              <w:t xml:space="preserve"> </w:t>
            </w:r>
            <w:proofErr w:type="spellStart"/>
            <w:r w:rsidRPr="007A1663">
              <w:rPr>
                <w:lang w:val="fi-FI" w:eastAsia="fi-FI"/>
              </w:rPr>
              <w:t>discordant</w:t>
            </w:r>
            <w:proofErr w:type="spellEnd"/>
            <w:r w:rsidRPr="007A1663">
              <w:rPr>
                <w:lang w:val="fi-FI" w:eastAsia="fi-FI"/>
              </w:rPr>
              <w:t xml:space="preserve"> </w:t>
            </w:r>
            <w:proofErr w:type="spellStart"/>
            <w:r w:rsidRPr="007A1663">
              <w:rPr>
                <w:lang w:val="fi-FI" w:eastAsia="fi-FI"/>
              </w:rPr>
              <w:t>pairs</w:t>
            </w:r>
            <w:proofErr w:type="spellEnd"/>
          </w:p>
        </w:tc>
        <w:tc>
          <w:tcPr>
            <w:tcW w:w="283" w:type="dxa"/>
            <w:tcBorders>
              <w:top w:val="single" w:sz="4" w:space="0" w:color="auto"/>
              <w:left w:val="nil"/>
              <w:bottom w:val="nil"/>
              <w:right w:val="nil"/>
            </w:tcBorders>
            <w:shd w:val="clear" w:color="auto" w:fill="auto"/>
            <w:vAlign w:val="center"/>
            <w:hideMark/>
          </w:tcPr>
          <w:p w14:paraId="395B0792" w14:textId="77777777" w:rsidR="00D96CB7" w:rsidRPr="007A1663" w:rsidRDefault="00D96CB7" w:rsidP="00DA6E37">
            <w:pPr>
              <w:spacing w:after="0"/>
              <w:rPr>
                <w:lang w:val="fi-FI" w:eastAsia="fi-FI"/>
              </w:rPr>
            </w:pPr>
          </w:p>
        </w:tc>
        <w:tc>
          <w:tcPr>
            <w:tcW w:w="2977" w:type="dxa"/>
            <w:gridSpan w:val="2"/>
            <w:tcBorders>
              <w:top w:val="single" w:sz="4" w:space="0" w:color="auto"/>
              <w:left w:val="nil"/>
              <w:bottom w:val="single" w:sz="4" w:space="0" w:color="auto"/>
              <w:right w:val="nil"/>
            </w:tcBorders>
            <w:shd w:val="clear" w:color="auto" w:fill="auto"/>
            <w:vAlign w:val="center"/>
            <w:hideMark/>
          </w:tcPr>
          <w:p w14:paraId="743E4BCB" w14:textId="2642F9AF" w:rsidR="00D96CB7" w:rsidRPr="007A1663" w:rsidRDefault="00D96CB7" w:rsidP="00DA6E37">
            <w:pPr>
              <w:spacing w:after="0"/>
              <w:rPr>
                <w:lang w:val="fi-FI" w:eastAsia="fi-FI"/>
              </w:rPr>
            </w:pPr>
            <w:proofErr w:type="spellStart"/>
            <w:r w:rsidRPr="007A1663">
              <w:rPr>
                <w:lang w:val="fi-FI" w:eastAsia="fi-FI"/>
              </w:rPr>
              <w:t>Cognitively</w:t>
            </w:r>
            <w:proofErr w:type="spellEnd"/>
            <w:r w:rsidRPr="007A1663">
              <w:rPr>
                <w:lang w:val="fi-FI" w:eastAsia="fi-FI"/>
              </w:rPr>
              <w:t xml:space="preserve"> </w:t>
            </w:r>
            <w:proofErr w:type="spellStart"/>
            <w:r>
              <w:rPr>
                <w:lang w:val="fi-FI" w:eastAsia="fi-FI"/>
              </w:rPr>
              <w:t>healthy</w:t>
            </w:r>
            <w:proofErr w:type="spellEnd"/>
            <w:r w:rsidRPr="007A1663">
              <w:rPr>
                <w:lang w:val="fi-FI" w:eastAsia="fi-FI"/>
              </w:rPr>
              <w:t xml:space="preserve"> </w:t>
            </w:r>
            <w:proofErr w:type="spellStart"/>
            <w:r w:rsidRPr="007A1663">
              <w:rPr>
                <w:lang w:val="fi-FI" w:eastAsia="fi-FI"/>
              </w:rPr>
              <w:t>pairs</w:t>
            </w:r>
            <w:proofErr w:type="spellEnd"/>
          </w:p>
        </w:tc>
      </w:tr>
      <w:tr w:rsidR="00D96CB7" w:rsidRPr="007A1663" w14:paraId="4EF3A963" w14:textId="77777777" w:rsidTr="00DA6E37">
        <w:trPr>
          <w:trHeight w:val="20"/>
        </w:trPr>
        <w:tc>
          <w:tcPr>
            <w:tcW w:w="2035" w:type="dxa"/>
            <w:gridSpan w:val="2"/>
            <w:tcBorders>
              <w:top w:val="nil"/>
              <w:left w:val="nil"/>
              <w:bottom w:val="single" w:sz="4" w:space="0" w:color="auto"/>
              <w:right w:val="nil"/>
            </w:tcBorders>
            <w:shd w:val="clear" w:color="auto" w:fill="auto"/>
            <w:noWrap/>
            <w:vAlign w:val="center"/>
            <w:hideMark/>
          </w:tcPr>
          <w:p w14:paraId="23EA34F9" w14:textId="77777777" w:rsidR="00D96CB7" w:rsidRPr="007A1663" w:rsidRDefault="00D96CB7" w:rsidP="00DA6E37">
            <w:pPr>
              <w:spacing w:after="0"/>
              <w:rPr>
                <w:lang w:val="fi-FI" w:eastAsia="fi-FI"/>
              </w:rPr>
            </w:pPr>
          </w:p>
        </w:tc>
        <w:tc>
          <w:tcPr>
            <w:tcW w:w="1296" w:type="dxa"/>
            <w:tcBorders>
              <w:top w:val="nil"/>
              <w:left w:val="nil"/>
              <w:bottom w:val="single" w:sz="4" w:space="0" w:color="auto"/>
              <w:right w:val="nil"/>
            </w:tcBorders>
            <w:shd w:val="clear" w:color="000000" w:fill="FFFFFF"/>
            <w:vAlign w:val="center"/>
            <w:hideMark/>
          </w:tcPr>
          <w:p w14:paraId="6AFF00E2" w14:textId="77777777" w:rsidR="00D96CB7" w:rsidRPr="007A1663" w:rsidRDefault="00D96CB7" w:rsidP="00DA6E37">
            <w:pPr>
              <w:spacing w:after="0"/>
              <w:rPr>
                <w:lang w:val="fi-FI" w:eastAsia="fi-FI"/>
              </w:rPr>
            </w:pPr>
            <w:proofErr w:type="spellStart"/>
            <w:r w:rsidRPr="007A1663">
              <w:rPr>
                <w:lang w:val="fi-FI" w:eastAsia="fi-FI"/>
              </w:rPr>
              <w:t>Demented</w:t>
            </w:r>
            <w:proofErr w:type="spellEnd"/>
            <w:r w:rsidRPr="007A1663">
              <w:rPr>
                <w:lang w:val="fi-FI" w:eastAsia="fi-FI"/>
              </w:rPr>
              <w:t xml:space="preserve"> </w:t>
            </w:r>
            <w:proofErr w:type="spellStart"/>
            <w:r w:rsidRPr="007A1663">
              <w:rPr>
                <w:lang w:val="fi-FI" w:eastAsia="fi-FI"/>
              </w:rPr>
              <w:t>twins</w:t>
            </w:r>
            <w:proofErr w:type="spellEnd"/>
          </w:p>
        </w:tc>
        <w:tc>
          <w:tcPr>
            <w:tcW w:w="1559" w:type="dxa"/>
            <w:tcBorders>
              <w:top w:val="nil"/>
              <w:left w:val="nil"/>
              <w:bottom w:val="single" w:sz="4" w:space="0" w:color="auto"/>
              <w:right w:val="nil"/>
            </w:tcBorders>
            <w:shd w:val="clear" w:color="auto" w:fill="auto"/>
            <w:vAlign w:val="center"/>
            <w:hideMark/>
          </w:tcPr>
          <w:p w14:paraId="53D1C26E" w14:textId="727185F0" w:rsidR="00D96CB7" w:rsidRPr="007A1663" w:rsidRDefault="00D96CB7" w:rsidP="00DA6E37">
            <w:pPr>
              <w:spacing w:after="0"/>
              <w:rPr>
                <w:lang w:val="fi-FI" w:eastAsia="fi-FI"/>
              </w:rPr>
            </w:pPr>
            <w:proofErr w:type="spellStart"/>
            <w:r w:rsidRPr="007A1663">
              <w:rPr>
                <w:lang w:val="fi-FI" w:eastAsia="fi-FI"/>
              </w:rPr>
              <w:t>Cognitively</w:t>
            </w:r>
            <w:proofErr w:type="spellEnd"/>
            <w:r w:rsidRPr="007A1663">
              <w:rPr>
                <w:lang w:val="fi-FI" w:eastAsia="fi-FI"/>
              </w:rPr>
              <w:t xml:space="preserve"> </w:t>
            </w:r>
            <w:proofErr w:type="spellStart"/>
            <w:r>
              <w:rPr>
                <w:lang w:val="fi-FI" w:eastAsia="fi-FI"/>
              </w:rPr>
              <w:t>healthy</w:t>
            </w:r>
            <w:proofErr w:type="spellEnd"/>
            <w:r>
              <w:rPr>
                <w:lang w:val="fi-FI" w:eastAsia="fi-FI"/>
              </w:rPr>
              <w:t xml:space="preserve"> </w:t>
            </w:r>
            <w:proofErr w:type="spellStart"/>
            <w:r w:rsidRPr="007A1663">
              <w:rPr>
                <w:lang w:val="fi-FI" w:eastAsia="fi-FI"/>
              </w:rPr>
              <w:t>twins</w:t>
            </w:r>
            <w:proofErr w:type="spellEnd"/>
          </w:p>
        </w:tc>
        <w:tc>
          <w:tcPr>
            <w:tcW w:w="1134" w:type="dxa"/>
            <w:tcBorders>
              <w:top w:val="nil"/>
              <w:left w:val="nil"/>
              <w:bottom w:val="single" w:sz="4" w:space="0" w:color="auto"/>
              <w:right w:val="nil"/>
            </w:tcBorders>
            <w:vAlign w:val="center"/>
          </w:tcPr>
          <w:p w14:paraId="311CD831" w14:textId="082C4073" w:rsidR="00D96CB7" w:rsidRPr="000E544D" w:rsidRDefault="00D96CB7" w:rsidP="00DA6E37">
            <w:pPr>
              <w:spacing w:after="0"/>
              <w:rPr>
                <w:lang w:val="fi-FI" w:eastAsia="fi-FI"/>
              </w:rPr>
            </w:pPr>
            <w:r w:rsidRPr="007E2951">
              <w:rPr>
                <w:i/>
                <w:lang w:val="fi-FI" w:eastAsia="fi-FI"/>
              </w:rPr>
              <w:t>P</w:t>
            </w:r>
            <w:r>
              <w:rPr>
                <w:lang w:val="fi-FI" w:eastAsia="fi-FI"/>
              </w:rPr>
              <w:t xml:space="preserve"> </w:t>
            </w:r>
            <w:proofErr w:type="spellStart"/>
            <w:r>
              <w:rPr>
                <w:lang w:val="fi-FI" w:eastAsia="fi-FI"/>
              </w:rPr>
              <w:t>value</w:t>
            </w:r>
            <w:r w:rsidR="00E76205">
              <w:rPr>
                <w:vertAlign w:val="superscript"/>
                <w:lang w:val="fi-FI" w:eastAsia="fi-FI"/>
              </w:rPr>
              <w:t>a</w:t>
            </w:r>
            <w:proofErr w:type="spellEnd"/>
          </w:p>
        </w:tc>
        <w:tc>
          <w:tcPr>
            <w:tcW w:w="283" w:type="dxa"/>
            <w:tcBorders>
              <w:top w:val="nil"/>
              <w:left w:val="nil"/>
              <w:bottom w:val="single" w:sz="4" w:space="0" w:color="auto"/>
              <w:right w:val="nil"/>
            </w:tcBorders>
            <w:shd w:val="clear" w:color="000000" w:fill="FFFFFF"/>
            <w:vAlign w:val="center"/>
            <w:hideMark/>
          </w:tcPr>
          <w:p w14:paraId="3A9EAEA9" w14:textId="77777777" w:rsidR="00D96CB7" w:rsidRPr="007A1663" w:rsidRDefault="00D96CB7" w:rsidP="00DA6E37">
            <w:pPr>
              <w:spacing w:after="0"/>
              <w:rPr>
                <w:lang w:val="fi-FI" w:eastAsia="fi-FI"/>
              </w:rPr>
            </w:pPr>
          </w:p>
        </w:tc>
        <w:tc>
          <w:tcPr>
            <w:tcW w:w="1843" w:type="dxa"/>
            <w:tcBorders>
              <w:top w:val="single" w:sz="4" w:space="0" w:color="auto"/>
              <w:left w:val="nil"/>
              <w:bottom w:val="single" w:sz="4" w:space="0" w:color="auto"/>
              <w:right w:val="nil"/>
            </w:tcBorders>
            <w:shd w:val="clear" w:color="000000" w:fill="FFFFFF"/>
            <w:vAlign w:val="center"/>
            <w:hideMark/>
          </w:tcPr>
          <w:p w14:paraId="749F6195" w14:textId="24B143C9" w:rsidR="00D96CB7" w:rsidRPr="007A1663" w:rsidRDefault="00D96CB7" w:rsidP="00DA6E37">
            <w:pPr>
              <w:spacing w:after="0"/>
              <w:rPr>
                <w:lang w:val="fi-FI" w:eastAsia="fi-FI"/>
              </w:rPr>
            </w:pPr>
            <w:proofErr w:type="spellStart"/>
            <w:r w:rsidRPr="007A1663">
              <w:rPr>
                <w:lang w:val="fi-FI" w:eastAsia="fi-FI"/>
              </w:rPr>
              <w:t>Cognitively</w:t>
            </w:r>
            <w:proofErr w:type="spellEnd"/>
            <w:r w:rsidRPr="007A1663">
              <w:rPr>
                <w:lang w:val="fi-FI" w:eastAsia="fi-FI"/>
              </w:rPr>
              <w:t xml:space="preserve"> </w:t>
            </w:r>
            <w:proofErr w:type="spellStart"/>
            <w:r>
              <w:rPr>
                <w:lang w:val="fi-FI" w:eastAsia="fi-FI"/>
              </w:rPr>
              <w:t>healthy</w:t>
            </w:r>
            <w:proofErr w:type="spellEnd"/>
            <w:r w:rsidRPr="007A1663">
              <w:rPr>
                <w:lang w:val="fi-FI" w:eastAsia="fi-FI"/>
              </w:rPr>
              <w:t xml:space="preserve"> </w:t>
            </w:r>
            <w:proofErr w:type="spellStart"/>
            <w:r w:rsidRPr="007A1663">
              <w:rPr>
                <w:lang w:val="fi-FI" w:eastAsia="fi-FI"/>
              </w:rPr>
              <w:t>twins</w:t>
            </w:r>
            <w:proofErr w:type="spellEnd"/>
          </w:p>
        </w:tc>
        <w:tc>
          <w:tcPr>
            <w:tcW w:w="1134" w:type="dxa"/>
            <w:tcBorders>
              <w:top w:val="single" w:sz="4" w:space="0" w:color="auto"/>
              <w:left w:val="nil"/>
              <w:bottom w:val="single" w:sz="4" w:space="0" w:color="auto"/>
              <w:right w:val="nil"/>
            </w:tcBorders>
            <w:shd w:val="clear" w:color="000000" w:fill="FFFFFF"/>
            <w:vAlign w:val="center"/>
          </w:tcPr>
          <w:p w14:paraId="216F8951" w14:textId="02B1F9F4" w:rsidR="00D96CB7" w:rsidRPr="00935977" w:rsidRDefault="00D96CB7" w:rsidP="00DA6E37">
            <w:pPr>
              <w:spacing w:after="0"/>
              <w:rPr>
                <w:lang w:val="fi-FI" w:eastAsia="fi-FI"/>
              </w:rPr>
            </w:pPr>
            <w:r w:rsidRPr="007E2951">
              <w:rPr>
                <w:i/>
                <w:lang w:val="fi-FI" w:eastAsia="fi-FI"/>
              </w:rPr>
              <w:t>P</w:t>
            </w:r>
            <w:r>
              <w:rPr>
                <w:lang w:val="fi-FI" w:eastAsia="fi-FI"/>
              </w:rPr>
              <w:t xml:space="preserve"> </w:t>
            </w:r>
            <w:proofErr w:type="spellStart"/>
            <w:r>
              <w:rPr>
                <w:lang w:val="fi-FI" w:eastAsia="fi-FI"/>
              </w:rPr>
              <w:t>value</w:t>
            </w:r>
            <w:r w:rsidR="00E76205">
              <w:rPr>
                <w:vertAlign w:val="superscript"/>
                <w:lang w:val="fi-FI" w:eastAsia="fi-FI"/>
              </w:rPr>
              <w:t>b</w:t>
            </w:r>
            <w:proofErr w:type="spellEnd"/>
          </w:p>
        </w:tc>
      </w:tr>
      <w:tr w:rsidR="00D96CB7" w:rsidRPr="007A1663" w14:paraId="36D18F4B" w14:textId="77777777" w:rsidTr="00DA6E37">
        <w:trPr>
          <w:trHeight w:val="20"/>
        </w:trPr>
        <w:tc>
          <w:tcPr>
            <w:tcW w:w="2035" w:type="dxa"/>
            <w:gridSpan w:val="2"/>
            <w:tcBorders>
              <w:top w:val="nil"/>
              <w:left w:val="nil"/>
              <w:bottom w:val="nil"/>
              <w:right w:val="nil"/>
            </w:tcBorders>
            <w:shd w:val="clear" w:color="auto" w:fill="auto"/>
            <w:noWrap/>
            <w:vAlign w:val="center"/>
            <w:hideMark/>
          </w:tcPr>
          <w:p w14:paraId="74B6274F" w14:textId="77777777" w:rsidR="00D96CB7" w:rsidRPr="007A1663" w:rsidRDefault="00D96CB7" w:rsidP="00DA6E37">
            <w:pPr>
              <w:spacing w:after="0"/>
              <w:rPr>
                <w:lang w:val="fi-FI" w:eastAsia="fi-FI"/>
              </w:rPr>
            </w:pPr>
            <w:r w:rsidRPr="007A1663">
              <w:rPr>
                <w:lang w:val="fi-FI" w:eastAsia="fi-FI"/>
              </w:rPr>
              <w:t>N</w:t>
            </w:r>
          </w:p>
        </w:tc>
        <w:tc>
          <w:tcPr>
            <w:tcW w:w="1296" w:type="dxa"/>
            <w:tcBorders>
              <w:top w:val="nil"/>
              <w:left w:val="nil"/>
              <w:bottom w:val="nil"/>
              <w:right w:val="nil"/>
            </w:tcBorders>
            <w:shd w:val="clear" w:color="000000" w:fill="FFFFFF"/>
            <w:noWrap/>
            <w:vAlign w:val="center"/>
            <w:hideMark/>
          </w:tcPr>
          <w:p w14:paraId="0B0EF491" w14:textId="77777777" w:rsidR="00D96CB7" w:rsidRPr="007A1663" w:rsidRDefault="00D96CB7" w:rsidP="00DA6E37">
            <w:pPr>
              <w:spacing w:after="0"/>
              <w:rPr>
                <w:lang w:val="fi-FI" w:eastAsia="fi-FI"/>
              </w:rPr>
            </w:pPr>
            <w:r w:rsidRPr="007A1663">
              <w:rPr>
                <w:lang w:val="fi-FI" w:eastAsia="fi-FI"/>
              </w:rPr>
              <w:t>101</w:t>
            </w:r>
          </w:p>
        </w:tc>
        <w:tc>
          <w:tcPr>
            <w:tcW w:w="1559" w:type="dxa"/>
            <w:tcBorders>
              <w:top w:val="nil"/>
              <w:left w:val="nil"/>
              <w:bottom w:val="nil"/>
              <w:right w:val="nil"/>
            </w:tcBorders>
            <w:shd w:val="clear" w:color="auto" w:fill="auto"/>
            <w:noWrap/>
            <w:vAlign w:val="center"/>
            <w:hideMark/>
          </w:tcPr>
          <w:p w14:paraId="57C923AF" w14:textId="77777777" w:rsidR="00D96CB7" w:rsidRPr="007A1663" w:rsidRDefault="00D96CB7" w:rsidP="00DA6E37">
            <w:pPr>
              <w:spacing w:after="0"/>
              <w:rPr>
                <w:lang w:val="fi-FI" w:eastAsia="fi-FI"/>
              </w:rPr>
            </w:pPr>
            <w:r w:rsidRPr="007A1663">
              <w:rPr>
                <w:lang w:val="fi-FI" w:eastAsia="fi-FI"/>
              </w:rPr>
              <w:t>101</w:t>
            </w:r>
          </w:p>
        </w:tc>
        <w:tc>
          <w:tcPr>
            <w:tcW w:w="1134" w:type="dxa"/>
            <w:tcBorders>
              <w:top w:val="nil"/>
              <w:left w:val="nil"/>
              <w:bottom w:val="nil"/>
              <w:right w:val="nil"/>
            </w:tcBorders>
            <w:vAlign w:val="center"/>
          </w:tcPr>
          <w:p w14:paraId="5A6AD594" w14:textId="77777777" w:rsidR="00D96CB7" w:rsidRPr="007A1663" w:rsidRDefault="00D96CB7" w:rsidP="00DA6E37">
            <w:pPr>
              <w:spacing w:after="0"/>
              <w:rPr>
                <w:lang w:val="fi-FI" w:eastAsia="fi-FI"/>
              </w:rPr>
            </w:pPr>
          </w:p>
        </w:tc>
        <w:tc>
          <w:tcPr>
            <w:tcW w:w="283" w:type="dxa"/>
            <w:tcBorders>
              <w:top w:val="nil"/>
              <w:left w:val="nil"/>
              <w:bottom w:val="nil"/>
              <w:right w:val="nil"/>
            </w:tcBorders>
            <w:shd w:val="clear" w:color="000000" w:fill="FFFFFF"/>
            <w:noWrap/>
            <w:vAlign w:val="center"/>
            <w:hideMark/>
          </w:tcPr>
          <w:p w14:paraId="4F9062E9" w14:textId="77777777" w:rsidR="00D96CB7" w:rsidRPr="007A1663" w:rsidRDefault="00D96CB7" w:rsidP="00DA6E37">
            <w:pPr>
              <w:spacing w:after="0"/>
              <w:rPr>
                <w:lang w:val="fi-FI" w:eastAsia="fi-FI"/>
              </w:rPr>
            </w:pPr>
          </w:p>
        </w:tc>
        <w:tc>
          <w:tcPr>
            <w:tcW w:w="1843" w:type="dxa"/>
            <w:tcBorders>
              <w:top w:val="nil"/>
              <w:left w:val="nil"/>
              <w:bottom w:val="nil"/>
              <w:right w:val="nil"/>
            </w:tcBorders>
            <w:shd w:val="clear" w:color="000000" w:fill="FFFFFF"/>
            <w:noWrap/>
            <w:vAlign w:val="center"/>
            <w:hideMark/>
          </w:tcPr>
          <w:p w14:paraId="712F5DCE" w14:textId="77777777" w:rsidR="00D96CB7" w:rsidRPr="007A1663" w:rsidRDefault="00D96CB7" w:rsidP="00DA6E37">
            <w:pPr>
              <w:spacing w:after="0"/>
              <w:rPr>
                <w:lang w:val="fi-FI" w:eastAsia="fi-FI"/>
              </w:rPr>
            </w:pPr>
            <w:r w:rsidRPr="007A1663">
              <w:rPr>
                <w:lang w:val="fi-FI" w:eastAsia="fi-FI"/>
              </w:rPr>
              <w:t>1,540</w:t>
            </w:r>
          </w:p>
        </w:tc>
        <w:tc>
          <w:tcPr>
            <w:tcW w:w="1134" w:type="dxa"/>
            <w:tcBorders>
              <w:top w:val="nil"/>
              <w:left w:val="nil"/>
              <w:bottom w:val="nil"/>
              <w:right w:val="nil"/>
            </w:tcBorders>
            <w:shd w:val="clear" w:color="000000" w:fill="FFFFFF"/>
            <w:vAlign w:val="center"/>
          </w:tcPr>
          <w:p w14:paraId="412EADE2" w14:textId="77777777" w:rsidR="00D96CB7" w:rsidRPr="00935977" w:rsidRDefault="00D96CB7" w:rsidP="00DA6E37">
            <w:pPr>
              <w:spacing w:after="0"/>
              <w:rPr>
                <w:lang w:val="fi-FI" w:eastAsia="fi-FI"/>
              </w:rPr>
            </w:pPr>
          </w:p>
        </w:tc>
      </w:tr>
      <w:tr w:rsidR="00D96CB7" w:rsidRPr="007A1663" w14:paraId="4234131F" w14:textId="77777777" w:rsidTr="00DA6E37">
        <w:trPr>
          <w:trHeight w:val="20"/>
        </w:trPr>
        <w:tc>
          <w:tcPr>
            <w:tcW w:w="2035" w:type="dxa"/>
            <w:gridSpan w:val="2"/>
            <w:tcBorders>
              <w:top w:val="nil"/>
              <w:left w:val="nil"/>
              <w:bottom w:val="nil"/>
              <w:right w:val="nil"/>
            </w:tcBorders>
            <w:shd w:val="clear" w:color="auto" w:fill="auto"/>
            <w:noWrap/>
            <w:vAlign w:val="center"/>
            <w:hideMark/>
          </w:tcPr>
          <w:p w14:paraId="20730212" w14:textId="77777777" w:rsidR="00D96CB7" w:rsidRPr="007A1663" w:rsidRDefault="00D96CB7" w:rsidP="00DA6E37">
            <w:pPr>
              <w:spacing w:after="0"/>
              <w:rPr>
                <w:lang w:val="fi-FI" w:eastAsia="fi-FI"/>
              </w:rPr>
            </w:pPr>
            <w:proofErr w:type="spellStart"/>
            <w:r w:rsidRPr="007A1663">
              <w:rPr>
                <w:lang w:val="fi-FI" w:eastAsia="fi-FI"/>
              </w:rPr>
              <w:t>Age</w:t>
            </w:r>
            <w:proofErr w:type="spellEnd"/>
            <w:r w:rsidRPr="007A1663">
              <w:rPr>
                <w:lang w:val="fi-FI" w:eastAsia="fi-FI"/>
              </w:rPr>
              <w:t xml:space="preserve">, </w:t>
            </w:r>
            <w:proofErr w:type="spellStart"/>
            <w:r w:rsidRPr="007A1663">
              <w:rPr>
                <w:lang w:val="fi-FI" w:eastAsia="fi-FI"/>
              </w:rPr>
              <w:t>years</w:t>
            </w:r>
            <w:proofErr w:type="spellEnd"/>
          </w:p>
        </w:tc>
        <w:tc>
          <w:tcPr>
            <w:tcW w:w="1296" w:type="dxa"/>
            <w:tcBorders>
              <w:top w:val="nil"/>
              <w:left w:val="nil"/>
              <w:bottom w:val="nil"/>
              <w:right w:val="nil"/>
            </w:tcBorders>
            <w:shd w:val="clear" w:color="000000" w:fill="FFFFFF"/>
            <w:vAlign w:val="center"/>
            <w:hideMark/>
          </w:tcPr>
          <w:p w14:paraId="77232D80" w14:textId="77777777" w:rsidR="00D96CB7" w:rsidRPr="007A1663" w:rsidRDefault="00D96CB7" w:rsidP="00DA6E37">
            <w:pPr>
              <w:spacing w:after="0"/>
              <w:rPr>
                <w:lang w:val="fi-FI" w:eastAsia="fi-FI"/>
              </w:rPr>
            </w:pPr>
            <w:r w:rsidRPr="007A1663">
              <w:rPr>
                <w:lang w:val="fi-FI" w:eastAsia="fi-FI"/>
              </w:rPr>
              <w:t>74.5 (4.4)</w:t>
            </w:r>
          </w:p>
        </w:tc>
        <w:tc>
          <w:tcPr>
            <w:tcW w:w="1559" w:type="dxa"/>
            <w:tcBorders>
              <w:top w:val="nil"/>
              <w:left w:val="nil"/>
              <w:bottom w:val="nil"/>
              <w:right w:val="nil"/>
            </w:tcBorders>
            <w:shd w:val="clear" w:color="000000" w:fill="FFFFFF"/>
            <w:vAlign w:val="center"/>
            <w:hideMark/>
          </w:tcPr>
          <w:p w14:paraId="1B9573D9" w14:textId="77777777" w:rsidR="00D96CB7" w:rsidRPr="007A1663" w:rsidRDefault="00D96CB7" w:rsidP="00DA6E37">
            <w:pPr>
              <w:spacing w:after="0"/>
              <w:rPr>
                <w:lang w:val="fi-FI" w:eastAsia="fi-FI"/>
              </w:rPr>
            </w:pPr>
            <w:r w:rsidRPr="007A1663">
              <w:rPr>
                <w:lang w:val="fi-FI" w:eastAsia="fi-FI"/>
              </w:rPr>
              <w:t>74.5 (4.4)</w:t>
            </w:r>
          </w:p>
        </w:tc>
        <w:tc>
          <w:tcPr>
            <w:tcW w:w="1134" w:type="dxa"/>
            <w:tcBorders>
              <w:top w:val="nil"/>
              <w:left w:val="nil"/>
              <w:bottom w:val="nil"/>
              <w:right w:val="nil"/>
            </w:tcBorders>
            <w:shd w:val="clear" w:color="000000" w:fill="FFFFFF"/>
            <w:vAlign w:val="center"/>
          </w:tcPr>
          <w:p w14:paraId="4F8A187C" w14:textId="77777777" w:rsidR="00D96CB7" w:rsidRPr="00C7683F" w:rsidRDefault="00D96CB7" w:rsidP="00DA6E37">
            <w:pPr>
              <w:spacing w:after="0"/>
              <w:rPr>
                <w:lang w:val="fi-FI" w:eastAsia="fi-FI"/>
              </w:rPr>
            </w:pPr>
            <w:r w:rsidRPr="00C7683F">
              <w:rPr>
                <w:lang w:val="fi-FI" w:eastAsia="fi-FI"/>
              </w:rPr>
              <w:t>.</w:t>
            </w:r>
            <w:r>
              <w:rPr>
                <w:lang w:val="fi-FI" w:eastAsia="fi-FI"/>
              </w:rPr>
              <w:t>962</w:t>
            </w:r>
          </w:p>
        </w:tc>
        <w:tc>
          <w:tcPr>
            <w:tcW w:w="283" w:type="dxa"/>
            <w:tcBorders>
              <w:top w:val="nil"/>
              <w:left w:val="nil"/>
              <w:bottom w:val="nil"/>
              <w:right w:val="nil"/>
            </w:tcBorders>
            <w:shd w:val="clear" w:color="000000" w:fill="FFFFFF"/>
            <w:vAlign w:val="center"/>
            <w:hideMark/>
          </w:tcPr>
          <w:p w14:paraId="7FDA1FEA" w14:textId="77777777" w:rsidR="00D96CB7" w:rsidRPr="007A1663" w:rsidRDefault="00D96CB7" w:rsidP="00DA6E37">
            <w:pPr>
              <w:spacing w:after="0"/>
              <w:rPr>
                <w:lang w:val="fi-FI" w:eastAsia="fi-FI"/>
              </w:rPr>
            </w:pPr>
          </w:p>
        </w:tc>
        <w:tc>
          <w:tcPr>
            <w:tcW w:w="1843" w:type="dxa"/>
            <w:tcBorders>
              <w:top w:val="nil"/>
              <w:left w:val="nil"/>
              <w:bottom w:val="nil"/>
              <w:right w:val="nil"/>
            </w:tcBorders>
            <w:shd w:val="clear" w:color="000000" w:fill="FFFFFF"/>
            <w:vAlign w:val="center"/>
            <w:hideMark/>
          </w:tcPr>
          <w:p w14:paraId="6E075029" w14:textId="77777777" w:rsidR="00D96CB7" w:rsidRPr="007A1663" w:rsidRDefault="00D96CB7" w:rsidP="00DA6E37">
            <w:pPr>
              <w:spacing w:after="0"/>
              <w:rPr>
                <w:lang w:val="fi-FI" w:eastAsia="fi-FI"/>
              </w:rPr>
            </w:pPr>
            <w:r w:rsidRPr="007A1663">
              <w:rPr>
                <w:lang w:val="fi-FI" w:eastAsia="fi-FI"/>
              </w:rPr>
              <w:t>72.3 (2.9)</w:t>
            </w:r>
          </w:p>
        </w:tc>
        <w:tc>
          <w:tcPr>
            <w:tcW w:w="1134" w:type="dxa"/>
            <w:tcBorders>
              <w:top w:val="nil"/>
              <w:left w:val="nil"/>
              <w:bottom w:val="nil"/>
              <w:right w:val="nil"/>
            </w:tcBorders>
            <w:shd w:val="clear" w:color="000000" w:fill="FFFFFF"/>
            <w:vAlign w:val="center"/>
          </w:tcPr>
          <w:p w14:paraId="299B3459" w14:textId="77777777" w:rsidR="00D96CB7" w:rsidRPr="00935977" w:rsidRDefault="00D96CB7" w:rsidP="00DA6E37">
            <w:pPr>
              <w:spacing w:after="0"/>
              <w:rPr>
                <w:lang w:val="fi-FI" w:eastAsia="fi-FI"/>
              </w:rPr>
            </w:pPr>
            <w:r>
              <w:rPr>
                <w:lang w:val="fi-FI" w:eastAsia="fi-FI"/>
              </w:rPr>
              <w:t>&lt;.001</w:t>
            </w:r>
          </w:p>
        </w:tc>
      </w:tr>
      <w:tr w:rsidR="00D96CB7" w:rsidRPr="007A1663" w14:paraId="040802EE" w14:textId="77777777" w:rsidTr="00DA6E37">
        <w:trPr>
          <w:trHeight w:val="20"/>
        </w:trPr>
        <w:tc>
          <w:tcPr>
            <w:tcW w:w="2035" w:type="dxa"/>
            <w:gridSpan w:val="2"/>
            <w:tcBorders>
              <w:top w:val="nil"/>
              <w:left w:val="nil"/>
              <w:bottom w:val="nil"/>
              <w:right w:val="nil"/>
            </w:tcBorders>
            <w:shd w:val="clear" w:color="auto" w:fill="auto"/>
            <w:noWrap/>
            <w:vAlign w:val="center"/>
            <w:hideMark/>
          </w:tcPr>
          <w:p w14:paraId="62CE6F77" w14:textId="77777777" w:rsidR="00D96CB7" w:rsidRPr="007A1663" w:rsidRDefault="00D96CB7" w:rsidP="00DA6E37">
            <w:pPr>
              <w:spacing w:after="0"/>
              <w:rPr>
                <w:lang w:val="fi-FI" w:eastAsia="fi-FI"/>
              </w:rPr>
            </w:pPr>
            <w:proofErr w:type="spellStart"/>
            <w:r w:rsidRPr="007A1663">
              <w:rPr>
                <w:lang w:val="fi-FI" w:eastAsia="fi-FI"/>
              </w:rPr>
              <w:t>Education</w:t>
            </w:r>
            <w:proofErr w:type="spellEnd"/>
            <w:r w:rsidRPr="007A1663">
              <w:rPr>
                <w:lang w:val="fi-FI" w:eastAsia="fi-FI"/>
              </w:rPr>
              <w:t xml:space="preserve">, </w:t>
            </w:r>
            <w:proofErr w:type="spellStart"/>
            <w:r w:rsidRPr="007A1663">
              <w:rPr>
                <w:lang w:val="fi-FI" w:eastAsia="fi-FI"/>
              </w:rPr>
              <w:t>years</w:t>
            </w:r>
            <w:proofErr w:type="spellEnd"/>
          </w:p>
        </w:tc>
        <w:tc>
          <w:tcPr>
            <w:tcW w:w="1296" w:type="dxa"/>
            <w:tcBorders>
              <w:top w:val="nil"/>
              <w:left w:val="nil"/>
              <w:bottom w:val="nil"/>
              <w:right w:val="nil"/>
            </w:tcBorders>
            <w:shd w:val="clear" w:color="000000" w:fill="FFFFFF"/>
            <w:vAlign w:val="center"/>
            <w:hideMark/>
          </w:tcPr>
          <w:p w14:paraId="249714F4" w14:textId="77777777" w:rsidR="00D96CB7" w:rsidRPr="007A1663" w:rsidRDefault="00D96CB7" w:rsidP="00DA6E37">
            <w:pPr>
              <w:spacing w:after="0"/>
              <w:rPr>
                <w:lang w:val="fi-FI" w:eastAsia="fi-FI"/>
              </w:rPr>
            </w:pPr>
            <w:r w:rsidRPr="007A1663">
              <w:rPr>
                <w:lang w:val="fi-FI" w:eastAsia="fi-FI"/>
              </w:rPr>
              <w:t>7.0 (1.9)</w:t>
            </w:r>
          </w:p>
        </w:tc>
        <w:tc>
          <w:tcPr>
            <w:tcW w:w="1559" w:type="dxa"/>
            <w:tcBorders>
              <w:top w:val="nil"/>
              <w:left w:val="nil"/>
              <w:bottom w:val="nil"/>
              <w:right w:val="nil"/>
            </w:tcBorders>
            <w:shd w:val="clear" w:color="auto" w:fill="auto"/>
            <w:vAlign w:val="center"/>
            <w:hideMark/>
          </w:tcPr>
          <w:p w14:paraId="530B9D9F" w14:textId="77777777" w:rsidR="00D96CB7" w:rsidRPr="007A1663" w:rsidRDefault="00D96CB7" w:rsidP="00DA6E37">
            <w:pPr>
              <w:spacing w:after="0"/>
              <w:rPr>
                <w:lang w:val="fi-FI" w:eastAsia="fi-FI"/>
              </w:rPr>
            </w:pPr>
            <w:r w:rsidRPr="007A1663">
              <w:rPr>
                <w:lang w:val="fi-FI" w:eastAsia="fi-FI"/>
              </w:rPr>
              <w:t>7.6 (2.7)</w:t>
            </w:r>
          </w:p>
        </w:tc>
        <w:tc>
          <w:tcPr>
            <w:tcW w:w="1134" w:type="dxa"/>
            <w:tcBorders>
              <w:top w:val="nil"/>
              <w:left w:val="nil"/>
              <w:bottom w:val="nil"/>
              <w:right w:val="nil"/>
            </w:tcBorders>
            <w:vAlign w:val="center"/>
          </w:tcPr>
          <w:p w14:paraId="7FAAB373" w14:textId="77777777" w:rsidR="00D96CB7" w:rsidRPr="0080020E" w:rsidRDefault="00D96CB7" w:rsidP="00DA6E37">
            <w:pPr>
              <w:spacing w:after="0"/>
              <w:rPr>
                <w:lang w:val="fi-FI" w:eastAsia="fi-FI"/>
              </w:rPr>
            </w:pPr>
            <w:r>
              <w:rPr>
                <w:lang w:val="fi-FI" w:eastAsia="fi-FI"/>
              </w:rPr>
              <w:t>.018</w:t>
            </w:r>
          </w:p>
        </w:tc>
        <w:tc>
          <w:tcPr>
            <w:tcW w:w="283" w:type="dxa"/>
            <w:tcBorders>
              <w:top w:val="nil"/>
              <w:left w:val="nil"/>
              <w:bottom w:val="nil"/>
              <w:right w:val="nil"/>
            </w:tcBorders>
            <w:shd w:val="clear" w:color="000000" w:fill="FFFFFF"/>
            <w:vAlign w:val="center"/>
            <w:hideMark/>
          </w:tcPr>
          <w:p w14:paraId="52B3490C" w14:textId="77777777" w:rsidR="00D96CB7" w:rsidRPr="007A1663" w:rsidRDefault="00D96CB7" w:rsidP="00DA6E37">
            <w:pPr>
              <w:spacing w:after="0"/>
              <w:rPr>
                <w:lang w:val="fi-FI" w:eastAsia="fi-FI"/>
              </w:rPr>
            </w:pPr>
          </w:p>
        </w:tc>
        <w:tc>
          <w:tcPr>
            <w:tcW w:w="1843" w:type="dxa"/>
            <w:tcBorders>
              <w:top w:val="nil"/>
              <w:left w:val="nil"/>
              <w:bottom w:val="nil"/>
              <w:right w:val="nil"/>
            </w:tcBorders>
            <w:shd w:val="clear" w:color="000000" w:fill="FFFFFF"/>
            <w:vAlign w:val="center"/>
            <w:hideMark/>
          </w:tcPr>
          <w:p w14:paraId="43063E61" w14:textId="77777777" w:rsidR="00D96CB7" w:rsidRPr="007A1663" w:rsidRDefault="00D96CB7" w:rsidP="00DA6E37">
            <w:pPr>
              <w:spacing w:after="0"/>
              <w:rPr>
                <w:lang w:val="fi-FI" w:eastAsia="fi-FI"/>
              </w:rPr>
            </w:pPr>
            <w:r w:rsidRPr="007A1663">
              <w:rPr>
                <w:lang w:val="fi-FI" w:eastAsia="fi-FI"/>
              </w:rPr>
              <w:t>8.7 (3.3)</w:t>
            </w:r>
          </w:p>
        </w:tc>
        <w:tc>
          <w:tcPr>
            <w:tcW w:w="1134" w:type="dxa"/>
            <w:tcBorders>
              <w:top w:val="nil"/>
              <w:left w:val="nil"/>
              <w:bottom w:val="nil"/>
              <w:right w:val="nil"/>
            </w:tcBorders>
            <w:shd w:val="clear" w:color="000000" w:fill="FFFFFF"/>
            <w:vAlign w:val="center"/>
          </w:tcPr>
          <w:p w14:paraId="6193F417" w14:textId="77777777" w:rsidR="00D96CB7" w:rsidRPr="00935977" w:rsidRDefault="00D96CB7" w:rsidP="00DA6E37">
            <w:pPr>
              <w:spacing w:after="0"/>
              <w:rPr>
                <w:lang w:val="fi-FI" w:eastAsia="fi-FI"/>
              </w:rPr>
            </w:pPr>
            <w:r>
              <w:rPr>
                <w:lang w:val="fi-FI" w:eastAsia="fi-FI"/>
              </w:rPr>
              <w:t>&lt;.001</w:t>
            </w:r>
          </w:p>
        </w:tc>
      </w:tr>
      <w:tr w:rsidR="00D96CB7" w:rsidRPr="007A1663" w14:paraId="03CD6D55" w14:textId="77777777" w:rsidTr="00DA6E37">
        <w:trPr>
          <w:trHeight w:val="20"/>
        </w:trPr>
        <w:tc>
          <w:tcPr>
            <w:tcW w:w="2035" w:type="dxa"/>
            <w:gridSpan w:val="2"/>
            <w:tcBorders>
              <w:top w:val="nil"/>
              <w:left w:val="nil"/>
              <w:bottom w:val="nil"/>
              <w:right w:val="nil"/>
            </w:tcBorders>
            <w:shd w:val="clear" w:color="auto" w:fill="auto"/>
            <w:noWrap/>
            <w:vAlign w:val="center"/>
            <w:hideMark/>
          </w:tcPr>
          <w:p w14:paraId="42651F81" w14:textId="77777777" w:rsidR="00D96CB7" w:rsidRPr="007A1663" w:rsidRDefault="00D96CB7" w:rsidP="00DA6E37">
            <w:pPr>
              <w:spacing w:after="0"/>
              <w:rPr>
                <w:lang w:val="fi-FI" w:eastAsia="fi-FI"/>
              </w:rPr>
            </w:pPr>
            <w:r w:rsidRPr="007A1663">
              <w:rPr>
                <w:lang w:val="fi-FI" w:eastAsia="fi-FI"/>
              </w:rPr>
              <w:t xml:space="preserve">Sex [% </w:t>
            </w:r>
            <w:proofErr w:type="spellStart"/>
            <w:r w:rsidRPr="007A1663">
              <w:rPr>
                <w:lang w:val="fi-FI" w:eastAsia="fi-FI"/>
              </w:rPr>
              <w:t>female</w:t>
            </w:r>
            <w:proofErr w:type="spellEnd"/>
            <w:r w:rsidRPr="007A1663">
              <w:rPr>
                <w:lang w:val="fi-FI" w:eastAsia="fi-FI"/>
              </w:rPr>
              <w:t>]</w:t>
            </w:r>
          </w:p>
        </w:tc>
        <w:tc>
          <w:tcPr>
            <w:tcW w:w="1296" w:type="dxa"/>
            <w:tcBorders>
              <w:top w:val="nil"/>
              <w:left w:val="nil"/>
              <w:bottom w:val="nil"/>
              <w:right w:val="nil"/>
            </w:tcBorders>
            <w:shd w:val="clear" w:color="000000" w:fill="FFFFFF"/>
            <w:vAlign w:val="center"/>
            <w:hideMark/>
          </w:tcPr>
          <w:p w14:paraId="3C7676CC" w14:textId="77777777" w:rsidR="00D96CB7" w:rsidRPr="007A1663" w:rsidRDefault="00D96CB7" w:rsidP="00DA6E37">
            <w:pPr>
              <w:spacing w:after="0"/>
              <w:rPr>
                <w:lang w:val="fi-FI" w:eastAsia="fi-FI"/>
              </w:rPr>
            </w:pPr>
            <w:r w:rsidRPr="007A1663">
              <w:rPr>
                <w:lang w:val="fi-FI" w:eastAsia="fi-FI"/>
              </w:rPr>
              <w:t>48.5</w:t>
            </w:r>
          </w:p>
        </w:tc>
        <w:tc>
          <w:tcPr>
            <w:tcW w:w="1559" w:type="dxa"/>
            <w:tcBorders>
              <w:top w:val="nil"/>
              <w:left w:val="nil"/>
              <w:bottom w:val="nil"/>
              <w:right w:val="nil"/>
            </w:tcBorders>
            <w:shd w:val="clear" w:color="auto" w:fill="auto"/>
            <w:vAlign w:val="center"/>
            <w:hideMark/>
          </w:tcPr>
          <w:p w14:paraId="27B84F45" w14:textId="77777777" w:rsidR="00D96CB7" w:rsidRPr="007A1663" w:rsidRDefault="00D96CB7" w:rsidP="00DA6E37">
            <w:pPr>
              <w:spacing w:after="0"/>
              <w:rPr>
                <w:lang w:val="fi-FI" w:eastAsia="fi-FI"/>
              </w:rPr>
            </w:pPr>
            <w:r w:rsidRPr="007A1663">
              <w:rPr>
                <w:lang w:val="fi-FI" w:eastAsia="fi-FI"/>
              </w:rPr>
              <w:t>48.5</w:t>
            </w:r>
          </w:p>
        </w:tc>
        <w:tc>
          <w:tcPr>
            <w:tcW w:w="1134" w:type="dxa"/>
            <w:tcBorders>
              <w:top w:val="nil"/>
              <w:left w:val="nil"/>
              <w:bottom w:val="nil"/>
              <w:right w:val="nil"/>
            </w:tcBorders>
            <w:vAlign w:val="center"/>
          </w:tcPr>
          <w:p w14:paraId="64C5D7C4" w14:textId="77777777" w:rsidR="00D96CB7" w:rsidRPr="007A1663" w:rsidRDefault="00D96CB7" w:rsidP="00DA6E37">
            <w:pPr>
              <w:spacing w:after="0"/>
              <w:rPr>
                <w:lang w:val="fi-FI" w:eastAsia="fi-FI"/>
              </w:rPr>
            </w:pPr>
          </w:p>
        </w:tc>
        <w:tc>
          <w:tcPr>
            <w:tcW w:w="283" w:type="dxa"/>
            <w:tcBorders>
              <w:top w:val="nil"/>
              <w:left w:val="nil"/>
              <w:bottom w:val="nil"/>
              <w:right w:val="nil"/>
            </w:tcBorders>
            <w:shd w:val="clear" w:color="000000" w:fill="FFFFFF"/>
            <w:vAlign w:val="center"/>
            <w:hideMark/>
          </w:tcPr>
          <w:p w14:paraId="14F361E8" w14:textId="77777777" w:rsidR="00D96CB7" w:rsidRPr="007A1663" w:rsidRDefault="00D96CB7" w:rsidP="00DA6E37">
            <w:pPr>
              <w:spacing w:after="0"/>
              <w:rPr>
                <w:lang w:val="fi-FI" w:eastAsia="fi-FI"/>
              </w:rPr>
            </w:pPr>
          </w:p>
        </w:tc>
        <w:tc>
          <w:tcPr>
            <w:tcW w:w="1843" w:type="dxa"/>
            <w:tcBorders>
              <w:top w:val="nil"/>
              <w:left w:val="nil"/>
              <w:bottom w:val="nil"/>
              <w:right w:val="nil"/>
            </w:tcBorders>
            <w:shd w:val="clear" w:color="000000" w:fill="FFFFFF"/>
            <w:vAlign w:val="center"/>
            <w:hideMark/>
          </w:tcPr>
          <w:p w14:paraId="57FFC3BE" w14:textId="77777777" w:rsidR="00D96CB7" w:rsidRPr="007A1663" w:rsidRDefault="00D96CB7" w:rsidP="00DA6E37">
            <w:pPr>
              <w:spacing w:after="0"/>
              <w:rPr>
                <w:lang w:val="fi-FI" w:eastAsia="fi-FI"/>
              </w:rPr>
            </w:pPr>
            <w:r w:rsidRPr="007A1663">
              <w:rPr>
                <w:lang w:val="fi-FI" w:eastAsia="fi-FI"/>
              </w:rPr>
              <w:t>55.2</w:t>
            </w:r>
          </w:p>
        </w:tc>
        <w:tc>
          <w:tcPr>
            <w:tcW w:w="1134" w:type="dxa"/>
            <w:tcBorders>
              <w:top w:val="nil"/>
              <w:left w:val="nil"/>
              <w:bottom w:val="nil"/>
              <w:right w:val="nil"/>
            </w:tcBorders>
            <w:shd w:val="clear" w:color="000000" w:fill="FFFFFF"/>
            <w:vAlign w:val="center"/>
          </w:tcPr>
          <w:p w14:paraId="0A052E49" w14:textId="77777777" w:rsidR="00D96CB7" w:rsidRPr="00935977" w:rsidRDefault="00D96CB7" w:rsidP="00DA6E37">
            <w:pPr>
              <w:spacing w:after="0"/>
              <w:rPr>
                <w:lang w:val="fi-FI" w:eastAsia="fi-FI"/>
              </w:rPr>
            </w:pPr>
            <w:r w:rsidRPr="00935977">
              <w:rPr>
                <w:lang w:val="fi-FI" w:eastAsia="fi-FI"/>
              </w:rPr>
              <w:t>.191</w:t>
            </w:r>
          </w:p>
        </w:tc>
      </w:tr>
      <w:tr w:rsidR="00D96CB7" w:rsidRPr="007A1663" w14:paraId="16CC6EEE" w14:textId="77777777" w:rsidTr="00DA6E37">
        <w:trPr>
          <w:trHeight w:val="20"/>
        </w:trPr>
        <w:tc>
          <w:tcPr>
            <w:tcW w:w="2035" w:type="dxa"/>
            <w:gridSpan w:val="2"/>
            <w:tcBorders>
              <w:top w:val="nil"/>
              <w:left w:val="nil"/>
              <w:bottom w:val="nil"/>
              <w:right w:val="nil"/>
            </w:tcBorders>
            <w:shd w:val="clear" w:color="auto" w:fill="auto"/>
            <w:noWrap/>
            <w:vAlign w:val="center"/>
            <w:hideMark/>
          </w:tcPr>
          <w:p w14:paraId="7AE7FBF0" w14:textId="77777777" w:rsidR="00D96CB7" w:rsidRPr="007A1663" w:rsidRDefault="00D96CB7" w:rsidP="00DA6E37">
            <w:pPr>
              <w:spacing w:after="0"/>
              <w:rPr>
                <w:lang w:val="fi-FI" w:eastAsia="fi-FI"/>
              </w:rPr>
            </w:pPr>
            <w:proofErr w:type="spellStart"/>
            <w:r w:rsidRPr="007A1663">
              <w:rPr>
                <w:lang w:val="fi-FI" w:eastAsia="fi-FI"/>
              </w:rPr>
              <w:t>Zygosity</w:t>
            </w:r>
            <w:proofErr w:type="spellEnd"/>
          </w:p>
        </w:tc>
        <w:tc>
          <w:tcPr>
            <w:tcW w:w="1296" w:type="dxa"/>
            <w:tcBorders>
              <w:top w:val="nil"/>
              <w:left w:val="nil"/>
              <w:bottom w:val="nil"/>
              <w:right w:val="nil"/>
            </w:tcBorders>
            <w:shd w:val="clear" w:color="000000" w:fill="FFFFFF"/>
            <w:vAlign w:val="center"/>
            <w:hideMark/>
          </w:tcPr>
          <w:p w14:paraId="30B930E2" w14:textId="77777777" w:rsidR="00D96CB7" w:rsidRPr="007A1663" w:rsidRDefault="00D96CB7" w:rsidP="00DA6E37">
            <w:pPr>
              <w:spacing w:after="0"/>
              <w:rPr>
                <w:lang w:val="fi-FI" w:eastAsia="fi-FI"/>
              </w:rPr>
            </w:pPr>
          </w:p>
        </w:tc>
        <w:tc>
          <w:tcPr>
            <w:tcW w:w="1559" w:type="dxa"/>
            <w:tcBorders>
              <w:top w:val="nil"/>
              <w:left w:val="nil"/>
              <w:bottom w:val="nil"/>
              <w:right w:val="nil"/>
            </w:tcBorders>
            <w:shd w:val="clear" w:color="auto" w:fill="auto"/>
            <w:vAlign w:val="center"/>
            <w:hideMark/>
          </w:tcPr>
          <w:p w14:paraId="4B9509F8" w14:textId="77777777" w:rsidR="00D96CB7" w:rsidRPr="007A1663" w:rsidRDefault="00D96CB7" w:rsidP="00DA6E37">
            <w:pPr>
              <w:spacing w:after="0"/>
              <w:rPr>
                <w:lang w:val="fi-FI" w:eastAsia="fi-FI"/>
              </w:rPr>
            </w:pPr>
          </w:p>
        </w:tc>
        <w:tc>
          <w:tcPr>
            <w:tcW w:w="1134" w:type="dxa"/>
            <w:tcBorders>
              <w:top w:val="nil"/>
              <w:left w:val="nil"/>
              <w:bottom w:val="nil"/>
              <w:right w:val="nil"/>
            </w:tcBorders>
            <w:vAlign w:val="center"/>
          </w:tcPr>
          <w:p w14:paraId="2FAC4DF4" w14:textId="77777777" w:rsidR="00D96CB7" w:rsidRPr="007A1663" w:rsidRDefault="00D96CB7" w:rsidP="00DA6E37">
            <w:pPr>
              <w:spacing w:after="0"/>
              <w:rPr>
                <w:lang w:val="fi-FI" w:eastAsia="fi-FI"/>
              </w:rPr>
            </w:pPr>
          </w:p>
        </w:tc>
        <w:tc>
          <w:tcPr>
            <w:tcW w:w="283" w:type="dxa"/>
            <w:tcBorders>
              <w:top w:val="nil"/>
              <w:left w:val="nil"/>
              <w:bottom w:val="nil"/>
              <w:right w:val="nil"/>
            </w:tcBorders>
            <w:shd w:val="clear" w:color="000000" w:fill="FFFFFF"/>
            <w:vAlign w:val="center"/>
            <w:hideMark/>
          </w:tcPr>
          <w:p w14:paraId="003761D6" w14:textId="77777777" w:rsidR="00D96CB7" w:rsidRPr="007A1663" w:rsidRDefault="00D96CB7" w:rsidP="00DA6E37">
            <w:pPr>
              <w:spacing w:after="0"/>
              <w:rPr>
                <w:lang w:val="fi-FI" w:eastAsia="fi-FI"/>
              </w:rPr>
            </w:pPr>
          </w:p>
        </w:tc>
        <w:tc>
          <w:tcPr>
            <w:tcW w:w="1843" w:type="dxa"/>
            <w:tcBorders>
              <w:top w:val="nil"/>
              <w:left w:val="nil"/>
              <w:bottom w:val="nil"/>
              <w:right w:val="nil"/>
            </w:tcBorders>
            <w:shd w:val="clear" w:color="000000" w:fill="FFFFFF"/>
            <w:vAlign w:val="center"/>
            <w:hideMark/>
          </w:tcPr>
          <w:p w14:paraId="67B0FA33" w14:textId="77777777" w:rsidR="00D96CB7" w:rsidRPr="007A1663" w:rsidRDefault="00D96CB7" w:rsidP="00DA6E37">
            <w:pPr>
              <w:spacing w:after="0"/>
              <w:rPr>
                <w:lang w:val="fi-FI" w:eastAsia="fi-FI"/>
              </w:rPr>
            </w:pPr>
          </w:p>
        </w:tc>
        <w:tc>
          <w:tcPr>
            <w:tcW w:w="1134" w:type="dxa"/>
            <w:tcBorders>
              <w:top w:val="nil"/>
              <w:left w:val="nil"/>
              <w:bottom w:val="nil"/>
              <w:right w:val="nil"/>
            </w:tcBorders>
            <w:shd w:val="clear" w:color="000000" w:fill="FFFFFF"/>
            <w:vAlign w:val="center"/>
          </w:tcPr>
          <w:p w14:paraId="0B7B5DDC" w14:textId="77777777" w:rsidR="00D96CB7" w:rsidRPr="00935977" w:rsidRDefault="00D96CB7" w:rsidP="00DA6E37">
            <w:pPr>
              <w:spacing w:after="0"/>
              <w:rPr>
                <w:lang w:val="fi-FI" w:eastAsia="fi-FI"/>
              </w:rPr>
            </w:pPr>
            <w:r>
              <w:rPr>
                <w:lang w:val="fi-FI" w:eastAsia="fi-FI"/>
              </w:rPr>
              <w:t>.010</w:t>
            </w:r>
          </w:p>
        </w:tc>
      </w:tr>
      <w:tr w:rsidR="00D96CB7" w:rsidRPr="007A1663" w14:paraId="1417CB18" w14:textId="77777777" w:rsidTr="00DA6E37">
        <w:trPr>
          <w:trHeight w:val="20"/>
        </w:trPr>
        <w:tc>
          <w:tcPr>
            <w:tcW w:w="2035" w:type="dxa"/>
            <w:gridSpan w:val="2"/>
            <w:tcBorders>
              <w:top w:val="nil"/>
              <w:left w:val="nil"/>
              <w:bottom w:val="nil"/>
              <w:right w:val="nil"/>
            </w:tcBorders>
            <w:shd w:val="clear" w:color="auto" w:fill="auto"/>
            <w:noWrap/>
            <w:vAlign w:val="center"/>
            <w:hideMark/>
          </w:tcPr>
          <w:p w14:paraId="3BC8682B" w14:textId="77777777" w:rsidR="00D96CB7" w:rsidRPr="007A1663" w:rsidRDefault="00D96CB7" w:rsidP="00DA6E37">
            <w:pPr>
              <w:spacing w:after="0"/>
              <w:rPr>
                <w:lang w:val="fi-FI" w:eastAsia="fi-FI"/>
              </w:rPr>
            </w:pPr>
            <w:r w:rsidRPr="007A1663">
              <w:rPr>
                <w:lang w:val="fi-FI" w:eastAsia="fi-FI"/>
              </w:rPr>
              <w:t xml:space="preserve">  </w:t>
            </w:r>
            <w:proofErr w:type="spellStart"/>
            <w:r w:rsidRPr="007A1663">
              <w:rPr>
                <w:lang w:val="fi-FI" w:eastAsia="fi-FI"/>
              </w:rPr>
              <w:t>Monozygotic</w:t>
            </w:r>
            <w:proofErr w:type="spellEnd"/>
            <w:r w:rsidRPr="007A1663">
              <w:rPr>
                <w:lang w:val="fi-FI" w:eastAsia="fi-FI"/>
              </w:rPr>
              <w:t xml:space="preserve"> [%]</w:t>
            </w:r>
          </w:p>
        </w:tc>
        <w:tc>
          <w:tcPr>
            <w:tcW w:w="1296" w:type="dxa"/>
            <w:tcBorders>
              <w:top w:val="nil"/>
              <w:left w:val="nil"/>
              <w:bottom w:val="nil"/>
              <w:right w:val="nil"/>
            </w:tcBorders>
            <w:shd w:val="clear" w:color="000000" w:fill="FFFFFF"/>
            <w:vAlign w:val="center"/>
            <w:hideMark/>
          </w:tcPr>
          <w:p w14:paraId="12510CF2" w14:textId="77777777" w:rsidR="00D96CB7" w:rsidRPr="007A1663" w:rsidRDefault="00D96CB7" w:rsidP="00DA6E37">
            <w:pPr>
              <w:spacing w:after="0"/>
              <w:rPr>
                <w:lang w:val="fi-FI" w:eastAsia="fi-FI"/>
              </w:rPr>
            </w:pPr>
            <w:r w:rsidRPr="007A1663">
              <w:rPr>
                <w:lang w:val="fi-FI" w:eastAsia="fi-FI"/>
              </w:rPr>
              <w:t>31</w:t>
            </w:r>
          </w:p>
        </w:tc>
        <w:tc>
          <w:tcPr>
            <w:tcW w:w="1559" w:type="dxa"/>
            <w:tcBorders>
              <w:top w:val="nil"/>
              <w:left w:val="nil"/>
              <w:bottom w:val="nil"/>
              <w:right w:val="nil"/>
            </w:tcBorders>
            <w:shd w:val="clear" w:color="auto" w:fill="auto"/>
            <w:vAlign w:val="center"/>
            <w:hideMark/>
          </w:tcPr>
          <w:p w14:paraId="4A6A52CA" w14:textId="77777777" w:rsidR="00D96CB7" w:rsidRPr="007A1663" w:rsidRDefault="00D96CB7" w:rsidP="00DA6E37">
            <w:pPr>
              <w:spacing w:after="0"/>
              <w:rPr>
                <w:lang w:val="fi-FI" w:eastAsia="fi-FI"/>
              </w:rPr>
            </w:pPr>
            <w:r w:rsidRPr="007A1663">
              <w:rPr>
                <w:lang w:val="fi-FI" w:eastAsia="fi-FI"/>
              </w:rPr>
              <w:t>31</w:t>
            </w:r>
          </w:p>
        </w:tc>
        <w:tc>
          <w:tcPr>
            <w:tcW w:w="1134" w:type="dxa"/>
            <w:tcBorders>
              <w:top w:val="nil"/>
              <w:left w:val="nil"/>
              <w:bottom w:val="nil"/>
              <w:right w:val="nil"/>
            </w:tcBorders>
            <w:vAlign w:val="center"/>
          </w:tcPr>
          <w:p w14:paraId="6BF6F608" w14:textId="77777777" w:rsidR="00D96CB7" w:rsidRPr="007A1663" w:rsidRDefault="00D96CB7" w:rsidP="00DA6E37">
            <w:pPr>
              <w:spacing w:after="0"/>
              <w:rPr>
                <w:lang w:val="fi-FI" w:eastAsia="fi-FI"/>
              </w:rPr>
            </w:pPr>
          </w:p>
        </w:tc>
        <w:tc>
          <w:tcPr>
            <w:tcW w:w="283" w:type="dxa"/>
            <w:tcBorders>
              <w:top w:val="nil"/>
              <w:left w:val="nil"/>
              <w:bottom w:val="nil"/>
              <w:right w:val="nil"/>
            </w:tcBorders>
            <w:shd w:val="clear" w:color="000000" w:fill="FFFFFF"/>
            <w:vAlign w:val="center"/>
            <w:hideMark/>
          </w:tcPr>
          <w:p w14:paraId="7C498B43" w14:textId="77777777" w:rsidR="00D96CB7" w:rsidRPr="007A1663" w:rsidRDefault="00D96CB7" w:rsidP="00DA6E37">
            <w:pPr>
              <w:spacing w:after="0"/>
              <w:rPr>
                <w:lang w:val="fi-FI" w:eastAsia="fi-FI"/>
              </w:rPr>
            </w:pPr>
          </w:p>
        </w:tc>
        <w:tc>
          <w:tcPr>
            <w:tcW w:w="1843" w:type="dxa"/>
            <w:tcBorders>
              <w:top w:val="nil"/>
              <w:left w:val="nil"/>
              <w:bottom w:val="nil"/>
              <w:right w:val="nil"/>
            </w:tcBorders>
            <w:shd w:val="clear" w:color="000000" w:fill="FFFFFF"/>
            <w:vAlign w:val="center"/>
            <w:hideMark/>
          </w:tcPr>
          <w:p w14:paraId="2C707B02" w14:textId="77777777" w:rsidR="00D96CB7" w:rsidRPr="007A1663" w:rsidRDefault="00D96CB7" w:rsidP="00DA6E37">
            <w:pPr>
              <w:spacing w:after="0"/>
              <w:rPr>
                <w:lang w:val="fi-FI" w:eastAsia="fi-FI"/>
              </w:rPr>
            </w:pPr>
            <w:r w:rsidRPr="007A1663">
              <w:rPr>
                <w:lang w:val="fi-FI" w:eastAsia="fi-FI"/>
              </w:rPr>
              <w:t>43</w:t>
            </w:r>
          </w:p>
        </w:tc>
        <w:tc>
          <w:tcPr>
            <w:tcW w:w="1134" w:type="dxa"/>
            <w:tcBorders>
              <w:top w:val="nil"/>
              <w:left w:val="nil"/>
              <w:bottom w:val="nil"/>
              <w:right w:val="nil"/>
            </w:tcBorders>
            <w:shd w:val="clear" w:color="000000" w:fill="FFFFFF"/>
            <w:vAlign w:val="center"/>
          </w:tcPr>
          <w:p w14:paraId="722BC454" w14:textId="77777777" w:rsidR="00D96CB7" w:rsidRPr="00935977" w:rsidRDefault="00D96CB7" w:rsidP="00DA6E37">
            <w:pPr>
              <w:spacing w:after="0"/>
              <w:rPr>
                <w:lang w:val="fi-FI" w:eastAsia="fi-FI"/>
              </w:rPr>
            </w:pPr>
          </w:p>
        </w:tc>
      </w:tr>
      <w:tr w:rsidR="00D96CB7" w:rsidRPr="007A1663" w14:paraId="70A184F1" w14:textId="77777777" w:rsidTr="00DA6E37">
        <w:trPr>
          <w:trHeight w:val="20"/>
        </w:trPr>
        <w:tc>
          <w:tcPr>
            <w:tcW w:w="2035" w:type="dxa"/>
            <w:gridSpan w:val="2"/>
            <w:tcBorders>
              <w:top w:val="nil"/>
              <w:left w:val="nil"/>
              <w:bottom w:val="nil"/>
              <w:right w:val="nil"/>
            </w:tcBorders>
            <w:shd w:val="clear" w:color="auto" w:fill="auto"/>
            <w:noWrap/>
            <w:vAlign w:val="center"/>
            <w:hideMark/>
          </w:tcPr>
          <w:p w14:paraId="6FD725DE" w14:textId="77777777" w:rsidR="00D96CB7" w:rsidRPr="007A1663" w:rsidRDefault="00D96CB7" w:rsidP="00DA6E37">
            <w:pPr>
              <w:spacing w:after="0"/>
              <w:rPr>
                <w:lang w:val="fi-FI" w:eastAsia="fi-FI"/>
              </w:rPr>
            </w:pPr>
            <w:r w:rsidRPr="007A1663">
              <w:rPr>
                <w:lang w:val="fi-FI" w:eastAsia="fi-FI"/>
              </w:rPr>
              <w:t xml:space="preserve">  </w:t>
            </w:r>
            <w:proofErr w:type="spellStart"/>
            <w:r w:rsidRPr="007A1663">
              <w:rPr>
                <w:lang w:val="fi-FI" w:eastAsia="fi-FI"/>
              </w:rPr>
              <w:t>Dizygotic</w:t>
            </w:r>
            <w:proofErr w:type="spellEnd"/>
            <w:r w:rsidRPr="007A1663">
              <w:rPr>
                <w:lang w:val="fi-FI" w:eastAsia="fi-FI"/>
              </w:rPr>
              <w:t xml:space="preserve"> [%]</w:t>
            </w:r>
          </w:p>
        </w:tc>
        <w:tc>
          <w:tcPr>
            <w:tcW w:w="1296" w:type="dxa"/>
            <w:tcBorders>
              <w:top w:val="nil"/>
              <w:left w:val="nil"/>
              <w:bottom w:val="nil"/>
              <w:right w:val="nil"/>
            </w:tcBorders>
            <w:shd w:val="clear" w:color="000000" w:fill="FFFFFF"/>
            <w:vAlign w:val="center"/>
            <w:hideMark/>
          </w:tcPr>
          <w:p w14:paraId="2BD4A0CC" w14:textId="77777777" w:rsidR="00D96CB7" w:rsidRPr="007A1663" w:rsidRDefault="00D96CB7" w:rsidP="00DA6E37">
            <w:pPr>
              <w:spacing w:after="0"/>
              <w:rPr>
                <w:lang w:val="fi-FI" w:eastAsia="fi-FI"/>
              </w:rPr>
            </w:pPr>
            <w:r w:rsidRPr="007A1663">
              <w:rPr>
                <w:lang w:val="fi-FI" w:eastAsia="fi-FI"/>
              </w:rPr>
              <w:t>65</w:t>
            </w:r>
          </w:p>
        </w:tc>
        <w:tc>
          <w:tcPr>
            <w:tcW w:w="1559" w:type="dxa"/>
            <w:tcBorders>
              <w:top w:val="nil"/>
              <w:left w:val="nil"/>
              <w:bottom w:val="nil"/>
              <w:right w:val="nil"/>
            </w:tcBorders>
            <w:shd w:val="clear" w:color="auto" w:fill="auto"/>
            <w:vAlign w:val="center"/>
            <w:hideMark/>
          </w:tcPr>
          <w:p w14:paraId="1729825C" w14:textId="77777777" w:rsidR="00D96CB7" w:rsidRPr="007A1663" w:rsidRDefault="00D96CB7" w:rsidP="00DA6E37">
            <w:pPr>
              <w:spacing w:after="0"/>
              <w:rPr>
                <w:lang w:val="fi-FI" w:eastAsia="fi-FI"/>
              </w:rPr>
            </w:pPr>
            <w:r w:rsidRPr="007A1663">
              <w:rPr>
                <w:lang w:val="fi-FI" w:eastAsia="fi-FI"/>
              </w:rPr>
              <w:t>65</w:t>
            </w:r>
          </w:p>
        </w:tc>
        <w:tc>
          <w:tcPr>
            <w:tcW w:w="1134" w:type="dxa"/>
            <w:tcBorders>
              <w:top w:val="nil"/>
              <w:left w:val="nil"/>
              <w:bottom w:val="nil"/>
              <w:right w:val="nil"/>
            </w:tcBorders>
            <w:vAlign w:val="center"/>
          </w:tcPr>
          <w:p w14:paraId="2E7ACB81" w14:textId="77777777" w:rsidR="00D96CB7" w:rsidRPr="007A1663" w:rsidRDefault="00D96CB7" w:rsidP="00DA6E37">
            <w:pPr>
              <w:spacing w:after="0"/>
              <w:rPr>
                <w:lang w:val="fi-FI" w:eastAsia="fi-FI"/>
              </w:rPr>
            </w:pPr>
          </w:p>
        </w:tc>
        <w:tc>
          <w:tcPr>
            <w:tcW w:w="283" w:type="dxa"/>
            <w:tcBorders>
              <w:top w:val="nil"/>
              <w:left w:val="nil"/>
              <w:bottom w:val="nil"/>
              <w:right w:val="nil"/>
            </w:tcBorders>
            <w:shd w:val="clear" w:color="000000" w:fill="FFFFFF"/>
            <w:vAlign w:val="center"/>
            <w:hideMark/>
          </w:tcPr>
          <w:p w14:paraId="37DDE3AA" w14:textId="77777777" w:rsidR="00D96CB7" w:rsidRPr="007A1663" w:rsidRDefault="00D96CB7" w:rsidP="00DA6E37">
            <w:pPr>
              <w:spacing w:after="0"/>
              <w:rPr>
                <w:lang w:val="fi-FI" w:eastAsia="fi-FI"/>
              </w:rPr>
            </w:pPr>
          </w:p>
        </w:tc>
        <w:tc>
          <w:tcPr>
            <w:tcW w:w="1843" w:type="dxa"/>
            <w:tcBorders>
              <w:top w:val="nil"/>
              <w:left w:val="nil"/>
              <w:bottom w:val="nil"/>
              <w:right w:val="nil"/>
            </w:tcBorders>
            <w:shd w:val="clear" w:color="000000" w:fill="FFFFFF"/>
            <w:vAlign w:val="center"/>
            <w:hideMark/>
          </w:tcPr>
          <w:p w14:paraId="5673B564" w14:textId="77777777" w:rsidR="00D96CB7" w:rsidRPr="007A1663" w:rsidRDefault="00D96CB7" w:rsidP="00DA6E37">
            <w:pPr>
              <w:spacing w:after="0"/>
              <w:rPr>
                <w:lang w:val="fi-FI" w:eastAsia="fi-FI"/>
              </w:rPr>
            </w:pPr>
            <w:r w:rsidRPr="007A1663">
              <w:rPr>
                <w:lang w:val="fi-FI" w:eastAsia="fi-FI"/>
              </w:rPr>
              <w:t>56</w:t>
            </w:r>
          </w:p>
        </w:tc>
        <w:tc>
          <w:tcPr>
            <w:tcW w:w="1134" w:type="dxa"/>
            <w:tcBorders>
              <w:top w:val="nil"/>
              <w:left w:val="nil"/>
              <w:bottom w:val="nil"/>
              <w:right w:val="nil"/>
            </w:tcBorders>
            <w:shd w:val="clear" w:color="000000" w:fill="FFFFFF"/>
            <w:vAlign w:val="center"/>
          </w:tcPr>
          <w:p w14:paraId="3002A5DB" w14:textId="77777777" w:rsidR="00D96CB7" w:rsidRPr="00935977" w:rsidRDefault="00D96CB7" w:rsidP="00DA6E37">
            <w:pPr>
              <w:spacing w:after="0"/>
              <w:rPr>
                <w:lang w:val="fi-FI" w:eastAsia="fi-FI"/>
              </w:rPr>
            </w:pPr>
          </w:p>
        </w:tc>
      </w:tr>
      <w:tr w:rsidR="00D96CB7" w:rsidRPr="007A1663" w14:paraId="5CED648F" w14:textId="77777777" w:rsidTr="00DA6E37">
        <w:trPr>
          <w:trHeight w:val="20"/>
        </w:trPr>
        <w:tc>
          <w:tcPr>
            <w:tcW w:w="2035" w:type="dxa"/>
            <w:gridSpan w:val="2"/>
            <w:tcBorders>
              <w:top w:val="nil"/>
              <w:left w:val="nil"/>
              <w:right w:val="nil"/>
            </w:tcBorders>
            <w:shd w:val="clear" w:color="auto" w:fill="auto"/>
            <w:noWrap/>
            <w:vAlign w:val="center"/>
            <w:hideMark/>
          </w:tcPr>
          <w:p w14:paraId="7F760F34" w14:textId="77777777" w:rsidR="00D96CB7" w:rsidRPr="007A1663" w:rsidRDefault="00D96CB7" w:rsidP="00DA6E37">
            <w:pPr>
              <w:spacing w:after="0"/>
              <w:rPr>
                <w:lang w:val="fi-FI" w:eastAsia="fi-FI"/>
              </w:rPr>
            </w:pPr>
            <w:r w:rsidRPr="007A1663">
              <w:rPr>
                <w:lang w:val="fi-FI" w:eastAsia="fi-FI"/>
              </w:rPr>
              <w:t xml:space="preserve">  Unknown [%]</w:t>
            </w:r>
          </w:p>
        </w:tc>
        <w:tc>
          <w:tcPr>
            <w:tcW w:w="1296" w:type="dxa"/>
            <w:tcBorders>
              <w:top w:val="nil"/>
              <w:left w:val="nil"/>
              <w:right w:val="nil"/>
            </w:tcBorders>
            <w:shd w:val="clear" w:color="000000" w:fill="FFFFFF"/>
            <w:vAlign w:val="center"/>
            <w:hideMark/>
          </w:tcPr>
          <w:p w14:paraId="6F322F41" w14:textId="77777777" w:rsidR="00D96CB7" w:rsidRPr="007A1663" w:rsidRDefault="00D96CB7" w:rsidP="00DA6E37">
            <w:pPr>
              <w:spacing w:after="0"/>
              <w:rPr>
                <w:lang w:val="fi-FI" w:eastAsia="fi-FI"/>
              </w:rPr>
            </w:pPr>
            <w:r w:rsidRPr="007A1663">
              <w:rPr>
                <w:lang w:val="fi-FI" w:eastAsia="fi-FI"/>
              </w:rPr>
              <w:t>4</w:t>
            </w:r>
          </w:p>
        </w:tc>
        <w:tc>
          <w:tcPr>
            <w:tcW w:w="1559" w:type="dxa"/>
            <w:tcBorders>
              <w:top w:val="nil"/>
              <w:left w:val="nil"/>
              <w:right w:val="nil"/>
            </w:tcBorders>
            <w:shd w:val="clear" w:color="auto" w:fill="auto"/>
            <w:vAlign w:val="center"/>
            <w:hideMark/>
          </w:tcPr>
          <w:p w14:paraId="734BCA12" w14:textId="77777777" w:rsidR="00D96CB7" w:rsidRPr="007A1663" w:rsidRDefault="00D96CB7" w:rsidP="00DA6E37">
            <w:pPr>
              <w:spacing w:after="0"/>
              <w:rPr>
                <w:lang w:val="fi-FI" w:eastAsia="fi-FI"/>
              </w:rPr>
            </w:pPr>
            <w:r w:rsidRPr="007A1663">
              <w:rPr>
                <w:lang w:val="fi-FI" w:eastAsia="fi-FI"/>
              </w:rPr>
              <w:t>4</w:t>
            </w:r>
          </w:p>
        </w:tc>
        <w:tc>
          <w:tcPr>
            <w:tcW w:w="1134" w:type="dxa"/>
            <w:tcBorders>
              <w:top w:val="nil"/>
              <w:left w:val="nil"/>
              <w:right w:val="nil"/>
            </w:tcBorders>
            <w:vAlign w:val="center"/>
          </w:tcPr>
          <w:p w14:paraId="3D93FF50" w14:textId="77777777" w:rsidR="00D96CB7" w:rsidRPr="007A1663" w:rsidRDefault="00D96CB7" w:rsidP="00DA6E37">
            <w:pPr>
              <w:spacing w:after="0"/>
              <w:rPr>
                <w:lang w:val="fi-FI" w:eastAsia="fi-FI"/>
              </w:rPr>
            </w:pPr>
          </w:p>
        </w:tc>
        <w:tc>
          <w:tcPr>
            <w:tcW w:w="283" w:type="dxa"/>
            <w:tcBorders>
              <w:top w:val="nil"/>
              <w:left w:val="nil"/>
              <w:right w:val="nil"/>
            </w:tcBorders>
            <w:shd w:val="clear" w:color="000000" w:fill="FFFFFF"/>
            <w:vAlign w:val="center"/>
            <w:hideMark/>
          </w:tcPr>
          <w:p w14:paraId="71B673C1" w14:textId="77777777" w:rsidR="00D96CB7" w:rsidRPr="007A1663" w:rsidRDefault="00D96CB7" w:rsidP="00DA6E37">
            <w:pPr>
              <w:spacing w:after="0"/>
              <w:rPr>
                <w:lang w:val="fi-FI" w:eastAsia="fi-FI"/>
              </w:rPr>
            </w:pPr>
          </w:p>
        </w:tc>
        <w:tc>
          <w:tcPr>
            <w:tcW w:w="1843" w:type="dxa"/>
            <w:tcBorders>
              <w:top w:val="nil"/>
              <w:left w:val="nil"/>
              <w:right w:val="nil"/>
            </w:tcBorders>
            <w:shd w:val="clear" w:color="000000" w:fill="FFFFFF"/>
            <w:vAlign w:val="center"/>
            <w:hideMark/>
          </w:tcPr>
          <w:p w14:paraId="7F83AF31" w14:textId="77777777" w:rsidR="00D96CB7" w:rsidRPr="007A1663" w:rsidRDefault="00D96CB7" w:rsidP="00DA6E37">
            <w:pPr>
              <w:spacing w:after="0"/>
              <w:rPr>
                <w:lang w:val="fi-FI" w:eastAsia="fi-FI"/>
              </w:rPr>
            </w:pPr>
            <w:r w:rsidRPr="007A1663">
              <w:rPr>
                <w:lang w:val="fi-FI" w:eastAsia="fi-FI"/>
              </w:rPr>
              <w:t>1</w:t>
            </w:r>
          </w:p>
        </w:tc>
        <w:tc>
          <w:tcPr>
            <w:tcW w:w="1134" w:type="dxa"/>
            <w:tcBorders>
              <w:top w:val="nil"/>
              <w:left w:val="nil"/>
              <w:right w:val="nil"/>
            </w:tcBorders>
            <w:shd w:val="clear" w:color="000000" w:fill="FFFFFF"/>
            <w:vAlign w:val="center"/>
          </w:tcPr>
          <w:p w14:paraId="79E4E335" w14:textId="77777777" w:rsidR="00D96CB7" w:rsidRPr="00935977" w:rsidRDefault="00D96CB7" w:rsidP="00DA6E37">
            <w:pPr>
              <w:spacing w:after="0"/>
              <w:rPr>
                <w:lang w:val="fi-FI" w:eastAsia="fi-FI"/>
              </w:rPr>
            </w:pPr>
          </w:p>
        </w:tc>
      </w:tr>
      <w:tr w:rsidR="00D96CB7" w:rsidRPr="007A1663" w14:paraId="71A0977B" w14:textId="77777777" w:rsidTr="00DA6E37">
        <w:trPr>
          <w:trHeight w:val="20"/>
        </w:trPr>
        <w:tc>
          <w:tcPr>
            <w:tcW w:w="2035" w:type="dxa"/>
            <w:gridSpan w:val="2"/>
            <w:tcBorders>
              <w:top w:val="nil"/>
              <w:left w:val="nil"/>
              <w:bottom w:val="nil"/>
              <w:right w:val="nil"/>
            </w:tcBorders>
            <w:shd w:val="clear" w:color="auto" w:fill="auto"/>
            <w:noWrap/>
            <w:vAlign w:val="center"/>
            <w:hideMark/>
          </w:tcPr>
          <w:p w14:paraId="1A37A8FA" w14:textId="77777777" w:rsidR="00D96CB7" w:rsidRPr="007A1663" w:rsidRDefault="00D96CB7" w:rsidP="00DA6E37">
            <w:pPr>
              <w:spacing w:after="0"/>
              <w:rPr>
                <w:lang w:val="fi-FI" w:eastAsia="fi-FI"/>
              </w:rPr>
            </w:pPr>
            <w:r w:rsidRPr="007A1663">
              <w:rPr>
                <w:lang w:val="fi-FI" w:eastAsia="fi-FI"/>
              </w:rPr>
              <w:t>TELE</w:t>
            </w:r>
          </w:p>
        </w:tc>
        <w:tc>
          <w:tcPr>
            <w:tcW w:w="1296" w:type="dxa"/>
            <w:tcBorders>
              <w:top w:val="nil"/>
              <w:left w:val="nil"/>
              <w:bottom w:val="nil"/>
              <w:right w:val="nil"/>
            </w:tcBorders>
            <w:shd w:val="clear" w:color="000000" w:fill="FFFFFF"/>
            <w:vAlign w:val="center"/>
            <w:hideMark/>
          </w:tcPr>
          <w:p w14:paraId="645A4F4B" w14:textId="77777777" w:rsidR="00D96CB7" w:rsidRPr="007A1663" w:rsidRDefault="00D96CB7" w:rsidP="00DA6E37">
            <w:pPr>
              <w:spacing w:after="0"/>
              <w:rPr>
                <w:lang w:val="fi-FI" w:eastAsia="fi-FI"/>
              </w:rPr>
            </w:pPr>
            <w:r w:rsidRPr="007A1663">
              <w:rPr>
                <w:lang w:val="fi-FI" w:eastAsia="fi-FI"/>
              </w:rPr>
              <w:t>13.2 (2.2)</w:t>
            </w:r>
          </w:p>
        </w:tc>
        <w:tc>
          <w:tcPr>
            <w:tcW w:w="1559" w:type="dxa"/>
            <w:tcBorders>
              <w:top w:val="nil"/>
              <w:left w:val="nil"/>
              <w:bottom w:val="nil"/>
              <w:right w:val="nil"/>
            </w:tcBorders>
            <w:shd w:val="clear" w:color="auto" w:fill="auto"/>
            <w:vAlign w:val="center"/>
            <w:hideMark/>
          </w:tcPr>
          <w:p w14:paraId="77A0CD3B" w14:textId="77777777" w:rsidR="00D96CB7" w:rsidRPr="007A1663" w:rsidRDefault="00D96CB7" w:rsidP="00DA6E37">
            <w:pPr>
              <w:spacing w:after="0"/>
              <w:rPr>
                <w:lang w:val="fi-FI" w:eastAsia="fi-FI"/>
              </w:rPr>
            </w:pPr>
            <w:r w:rsidRPr="007A1663">
              <w:rPr>
                <w:lang w:val="fi-FI" w:eastAsia="fi-FI"/>
              </w:rPr>
              <w:t>18.9 (0.7)</w:t>
            </w:r>
          </w:p>
        </w:tc>
        <w:tc>
          <w:tcPr>
            <w:tcW w:w="1134" w:type="dxa"/>
            <w:tcBorders>
              <w:top w:val="nil"/>
              <w:left w:val="nil"/>
              <w:bottom w:val="nil"/>
              <w:right w:val="nil"/>
            </w:tcBorders>
            <w:vAlign w:val="center"/>
          </w:tcPr>
          <w:p w14:paraId="6EEE3A3B" w14:textId="77777777" w:rsidR="00D96CB7" w:rsidRPr="00702BBE" w:rsidRDefault="00D96CB7" w:rsidP="00DA6E37">
            <w:pPr>
              <w:spacing w:after="0"/>
              <w:rPr>
                <w:lang w:val="fi-FI" w:eastAsia="fi-FI"/>
              </w:rPr>
            </w:pPr>
            <w:r>
              <w:rPr>
                <w:lang w:val="fi-FI" w:eastAsia="fi-FI"/>
              </w:rPr>
              <w:t>&lt;.001</w:t>
            </w:r>
          </w:p>
        </w:tc>
        <w:tc>
          <w:tcPr>
            <w:tcW w:w="283" w:type="dxa"/>
            <w:tcBorders>
              <w:top w:val="nil"/>
              <w:left w:val="nil"/>
              <w:bottom w:val="nil"/>
              <w:right w:val="nil"/>
            </w:tcBorders>
            <w:shd w:val="clear" w:color="000000" w:fill="FFFFFF"/>
            <w:vAlign w:val="center"/>
            <w:hideMark/>
          </w:tcPr>
          <w:p w14:paraId="443CD58E" w14:textId="77777777" w:rsidR="00D96CB7" w:rsidRPr="007A1663" w:rsidRDefault="00D96CB7" w:rsidP="00DA6E37">
            <w:pPr>
              <w:spacing w:after="0"/>
              <w:rPr>
                <w:lang w:val="fi-FI" w:eastAsia="fi-FI"/>
              </w:rPr>
            </w:pPr>
          </w:p>
        </w:tc>
        <w:tc>
          <w:tcPr>
            <w:tcW w:w="1843" w:type="dxa"/>
            <w:tcBorders>
              <w:top w:val="nil"/>
              <w:left w:val="nil"/>
              <w:bottom w:val="nil"/>
              <w:right w:val="nil"/>
            </w:tcBorders>
            <w:shd w:val="clear" w:color="000000" w:fill="FFFFFF"/>
            <w:vAlign w:val="center"/>
            <w:hideMark/>
          </w:tcPr>
          <w:p w14:paraId="6CD9869E" w14:textId="77777777" w:rsidR="00D96CB7" w:rsidRPr="00C64955" w:rsidRDefault="00D96CB7" w:rsidP="00DA6E37">
            <w:pPr>
              <w:spacing w:after="0"/>
              <w:rPr>
                <w:lang w:val="fi-FI" w:eastAsia="fi-FI"/>
              </w:rPr>
            </w:pPr>
            <w:r w:rsidRPr="00C64955">
              <w:rPr>
                <w:lang w:val="fi-FI" w:eastAsia="fi-FI"/>
              </w:rPr>
              <w:t>19.1 (0.7)</w:t>
            </w:r>
          </w:p>
        </w:tc>
        <w:tc>
          <w:tcPr>
            <w:tcW w:w="1134" w:type="dxa"/>
            <w:tcBorders>
              <w:top w:val="nil"/>
              <w:left w:val="nil"/>
              <w:bottom w:val="nil"/>
              <w:right w:val="nil"/>
            </w:tcBorders>
            <w:shd w:val="clear" w:color="000000" w:fill="FFFFFF"/>
            <w:vAlign w:val="center"/>
          </w:tcPr>
          <w:p w14:paraId="700E5A06" w14:textId="77777777" w:rsidR="00D96CB7" w:rsidRPr="00FE32E7" w:rsidRDefault="00D96CB7" w:rsidP="00DA6E37">
            <w:pPr>
              <w:spacing w:after="0"/>
              <w:rPr>
                <w:lang w:val="fi-FI" w:eastAsia="fi-FI"/>
              </w:rPr>
            </w:pPr>
            <w:r>
              <w:rPr>
                <w:lang w:val="fi-FI" w:eastAsia="fi-FI"/>
              </w:rPr>
              <w:t>&lt;.001</w:t>
            </w:r>
          </w:p>
        </w:tc>
      </w:tr>
      <w:tr w:rsidR="00D96CB7" w:rsidRPr="007A1663" w14:paraId="61C541C3" w14:textId="77777777" w:rsidTr="00DA6E37">
        <w:trPr>
          <w:trHeight w:val="20"/>
        </w:trPr>
        <w:tc>
          <w:tcPr>
            <w:tcW w:w="2035" w:type="dxa"/>
            <w:gridSpan w:val="2"/>
            <w:tcBorders>
              <w:top w:val="nil"/>
              <w:left w:val="nil"/>
              <w:bottom w:val="nil"/>
              <w:right w:val="nil"/>
            </w:tcBorders>
            <w:shd w:val="clear" w:color="auto" w:fill="auto"/>
            <w:noWrap/>
            <w:vAlign w:val="center"/>
          </w:tcPr>
          <w:p w14:paraId="38E03AE7" w14:textId="00CEC76F" w:rsidR="00D96CB7" w:rsidRPr="007A1663" w:rsidRDefault="00D96CB7" w:rsidP="00DA6E37">
            <w:pPr>
              <w:spacing w:after="0"/>
              <w:rPr>
                <w:lang w:val="fi-FI" w:eastAsia="fi-FI"/>
              </w:rPr>
            </w:pPr>
            <w:r>
              <w:rPr>
                <w:lang w:val="fi-FI" w:eastAsia="fi-FI"/>
              </w:rPr>
              <w:t xml:space="preserve">Total IR </w:t>
            </w:r>
            <w:proofErr w:type="spellStart"/>
            <w:r>
              <w:rPr>
                <w:lang w:val="fi-FI" w:eastAsia="fi-FI"/>
              </w:rPr>
              <w:t>score</w:t>
            </w:r>
            <w:proofErr w:type="spellEnd"/>
          </w:p>
        </w:tc>
        <w:tc>
          <w:tcPr>
            <w:tcW w:w="1296" w:type="dxa"/>
            <w:tcBorders>
              <w:top w:val="nil"/>
              <w:left w:val="nil"/>
              <w:bottom w:val="nil"/>
              <w:right w:val="nil"/>
            </w:tcBorders>
            <w:shd w:val="clear" w:color="000000" w:fill="FFFFFF"/>
            <w:vAlign w:val="center"/>
          </w:tcPr>
          <w:p w14:paraId="0D407515" w14:textId="77777777" w:rsidR="00D96CB7" w:rsidRPr="007A1663" w:rsidRDefault="00D96CB7" w:rsidP="00DA6E37">
            <w:pPr>
              <w:spacing w:after="0"/>
              <w:rPr>
                <w:lang w:val="fi-FI" w:eastAsia="fi-FI"/>
              </w:rPr>
            </w:pPr>
            <w:r>
              <w:rPr>
                <w:lang w:val="fi-FI" w:eastAsia="fi-FI"/>
              </w:rPr>
              <w:t>2.7 (1.7)</w:t>
            </w:r>
          </w:p>
        </w:tc>
        <w:tc>
          <w:tcPr>
            <w:tcW w:w="1559" w:type="dxa"/>
            <w:tcBorders>
              <w:top w:val="nil"/>
              <w:left w:val="nil"/>
              <w:bottom w:val="nil"/>
              <w:right w:val="nil"/>
            </w:tcBorders>
            <w:shd w:val="clear" w:color="auto" w:fill="auto"/>
            <w:vAlign w:val="center"/>
          </w:tcPr>
          <w:p w14:paraId="7CD84CD7" w14:textId="77777777" w:rsidR="00D96CB7" w:rsidRPr="007A1663" w:rsidRDefault="00D96CB7" w:rsidP="00DA6E37">
            <w:pPr>
              <w:spacing w:after="0"/>
              <w:rPr>
                <w:lang w:val="fi-FI" w:eastAsia="fi-FI"/>
              </w:rPr>
            </w:pPr>
            <w:r>
              <w:rPr>
                <w:lang w:val="fi-FI" w:eastAsia="fi-FI"/>
              </w:rPr>
              <w:t>3.5 (1.5)</w:t>
            </w:r>
          </w:p>
        </w:tc>
        <w:tc>
          <w:tcPr>
            <w:tcW w:w="1134" w:type="dxa"/>
            <w:tcBorders>
              <w:top w:val="nil"/>
              <w:left w:val="nil"/>
              <w:bottom w:val="nil"/>
              <w:right w:val="nil"/>
            </w:tcBorders>
            <w:vAlign w:val="center"/>
          </w:tcPr>
          <w:p w14:paraId="1108C660" w14:textId="77777777" w:rsidR="00D96CB7" w:rsidRPr="00702BBE" w:rsidRDefault="00D96CB7" w:rsidP="00DA6E37">
            <w:pPr>
              <w:spacing w:after="0"/>
              <w:rPr>
                <w:lang w:val="fi-FI" w:eastAsia="fi-FI"/>
              </w:rPr>
            </w:pPr>
            <w:r>
              <w:rPr>
                <w:lang w:val="fi-FI" w:eastAsia="fi-FI"/>
              </w:rPr>
              <w:t>.001</w:t>
            </w:r>
          </w:p>
        </w:tc>
        <w:tc>
          <w:tcPr>
            <w:tcW w:w="283" w:type="dxa"/>
            <w:tcBorders>
              <w:top w:val="nil"/>
              <w:left w:val="nil"/>
              <w:bottom w:val="nil"/>
              <w:right w:val="nil"/>
            </w:tcBorders>
            <w:shd w:val="clear" w:color="000000" w:fill="FFFFFF"/>
            <w:vAlign w:val="center"/>
          </w:tcPr>
          <w:p w14:paraId="18AF0481" w14:textId="77777777" w:rsidR="00D96CB7" w:rsidRPr="007A1663" w:rsidRDefault="00D96CB7" w:rsidP="00DA6E37">
            <w:pPr>
              <w:spacing w:after="0"/>
              <w:rPr>
                <w:lang w:val="fi-FI" w:eastAsia="fi-FI"/>
              </w:rPr>
            </w:pPr>
          </w:p>
        </w:tc>
        <w:tc>
          <w:tcPr>
            <w:tcW w:w="1843" w:type="dxa"/>
            <w:tcBorders>
              <w:top w:val="nil"/>
              <w:left w:val="nil"/>
              <w:bottom w:val="nil"/>
              <w:right w:val="nil"/>
            </w:tcBorders>
            <w:shd w:val="clear" w:color="000000" w:fill="FFFFFF"/>
            <w:vAlign w:val="center"/>
          </w:tcPr>
          <w:p w14:paraId="0D4C821D" w14:textId="77777777" w:rsidR="00D96CB7" w:rsidRPr="007A1663" w:rsidRDefault="00D96CB7" w:rsidP="00DA6E37">
            <w:pPr>
              <w:spacing w:after="0"/>
              <w:rPr>
                <w:lang w:val="fi-FI" w:eastAsia="fi-FI"/>
              </w:rPr>
            </w:pPr>
            <w:r>
              <w:rPr>
                <w:lang w:val="fi-FI" w:eastAsia="fi-FI"/>
              </w:rPr>
              <w:t>4.3 (1.7)</w:t>
            </w:r>
          </w:p>
        </w:tc>
        <w:tc>
          <w:tcPr>
            <w:tcW w:w="1134" w:type="dxa"/>
            <w:tcBorders>
              <w:top w:val="nil"/>
              <w:left w:val="nil"/>
              <w:bottom w:val="nil"/>
              <w:right w:val="nil"/>
            </w:tcBorders>
            <w:shd w:val="clear" w:color="000000" w:fill="FFFFFF"/>
            <w:vAlign w:val="center"/>
          </w:tcPr>
          <w:p w14:paraId="4B283D52" w14:textId="77777777" w:rsidR="00D96CB7" w:rsidRDefault="00D96CB7" w:rsidP="00DA6E37">
            <w:pPr>
              <w:spacing w:after="0"/>
              <w:rPr>
                <w:lang w:val="fi-FI" w:eastAsia="fi-FI"/>
              </w:rPr>
            </w:pPr>
            <w:r>
              <w:rPr>
                <w:lang w:val="fi-FI" w:eastAsia="fi-FI"/>
              </w:rPr>
              <w:t>.003</w:t>
            </w:r>
          </w:p>
        </w:tc>
      </w:tr>
      <w:tr w:rsidR="00D96CB7" w:rsidRPr="007A1663" w14:paraId="3A22A512" w14:textId="77777777" w:rsidTr="00DA6E37">
        <w:trPr>
          <w:trHeight w:val="20"/>
        </w:trPr>
        <w:tc>
          <w:tcPr>
            <w:tcW w:w="2035" w:type="dxa"/>
            <w:gridSpan w:val="2"/>
            <w:tcBorders>
              <w:top w:val="nil"/>
              <w:left w:val="nil"/>
              <w:bottom w:val="nil"/>
              <w:right w:val="nil"/>
            </w:tcBorders>
            <w:shd w:val="clear" w:color="auto" w:fill="auto"/>
            <w:noWrap/>
            <w:vAlign w:val="center"/>
          </w:tcPr>
          <w:p w14:paraId="6778C0E9" w14:textId="77777777" w:rsidR="00D96CB7" w:rsidRPr="007A1663" w:rsidRDefault="00D96CB7" w:rsidP="00DA6E37">
            <w:pPr>
              <w:spacing w:after="0"/>
              <w:rPr>
                <w:lang w:val="fi-FI" w:eastAsia="fi-FI"/>
              </w:rPr>
            </w:pPr>
            <w:proofErr w:type="spellStart"/>
            <w:r>
              <w:rPr>
                <w:lang w:val="fi-FI" w:eastAsia="fi-FI"/>
              </w:rPr>
              <w:t>Primacy</w:t>
            </w:r>
            <w:proofErr w:type="spellEnd"/>
            <w:r>
              <w:rPr>
                <w:lang w:val="fi-FI" w:eastAsia="fi-FI"/>
              </w:rPr>
              <w:t xml:space="preserve"> </w:t>
            </w:r>
            <w:proofErr w:type="spellStart"/>
            <w:r>
              <w:rPr>
                <w:lang w:val="fi-FI" w:eastAsia="fi-FI"/>
              </w:rPr>
              <w:t>words</w:t>
            </w:r>
            <w:proofErr w:type="spellEnd"/>
            <w:r>
              <w:rPr>
                <w:lang w:val="fi-FI" w:eastAsia="fi-FI"/>
              </w:rPr>
              <w:t xml:space="preserve"> [median, IQR]</w:t>
            </w:r>
          </w:p>
        </w:tc>
        <w:tc>
          <w:tcPr>
            <w:tcW w:w="1296" w:type="dxa"/>
            <w:tcBorders>
              <w:top w:val="nil"/>
              <w:left w:val="nil"/>
              <w:bottom w:val="nil"/>
              <w:right w:val="nil"/>
            </w:tcBorders>
            <w:shd w:val="clear" w:color="000000" w:fill="FFFFFF"/>
            <w:vAlign w:val="center"/>
          </w:tcPr>
          <w:p w14:paraId="1E8D9A24" w14:textId="77777777" w:rsidR="00D96CB7" w:rsidRPr="007A1663" w:rsidRDefault="00D96CB7" w:rsidP="00DA6E37">
            <w:pPr>
              <w:spacing w:after="0"/>
              <w:rPr>
                <w:lang w:val="fi-FI" w:eastAsia="fi-FI"/>
              </w:rPr>
            </w:pPr>
            <w:r>
              <w:rPr>
                <w:lang w:val="fi-FI" w:eastAsia="fi-FI"/>
              </w:rPr>
              <w:t>1 (0, 1)</w:t>
            </w:r>
          </w:p>
        </w:tc>
        <w:tc>
          <w:tcPr>
            <w:tcW w:w="1559" w:type="dxa"/>
            <w:tcBorders>
              <w:top w:val="nil"/>
              <w:left w:val="nil"/>
              <w:bottom w:val="nil"/>
              <w:right w:val="nil"/>
            </w:tcBorders>
            <w:shd w:val="clear" w:color="auto" w:fill="auto"/>
            <w:vAlign w:val="center"/>
          </w:tcPr>
          <w:p w14:paraId="395F1558" w14:textId="77777777" w:rsidR="00D96CB7" w:rsidRPr="007A1663" w:rsidRDefault="00D96CB7" w:rsidP="00DA6E37">
            <w:pPr>
              <w:spacing w:after="0"/>
              <w:rPr>
                <w:lang w:val="fi-FI" w:eastAsia="fi-FI"/>
              </w:rPr>
            </w:pPr>
            <w:r>
              <w:rPr>
                <w:lang w:val="fi-FI" w:eastAsia="fi-FI"/>
              </w:rPr>
              <w:t>1 (1, 2)</w:t>
            </w:r>
          </w:p>
        </w:tc>
        <w:tc>
          <w:tcPr>
            <w:tcW w:w="1134" w:type="dxa"/>
            <w:tcBorders>
              <w:top w:val="nil"/>
              <w:left w:val="nil"/>
              <w:bottom w:val="nil"/>
              <w:right w:val="nil"/>
            </w:tcBorders>
            <w:vAlign w:val="center"/>
          </w:tcPr>
          <w:p w14:paraId="0FC2A8A3" w14:textId="77777777" w:rsidR="00D96CB7" w:rsidRPr="00702BBE" w:rsidRDefault="00D96CB7" w:rsidP="00DA6E37">
            <w:pPr>
              <w:spacing w:after="0"/>
              <w:rPr>
                <w:lang w:val="fi-FI" w:eastAsia="fi-FI"/>
              </w:rPr>
            </w:pPr>
            <w:r>
              <w:rPr>
                <w:lang w:val="fi-FI" w:eastAsia="fi-FI"/>
              </w:rPr>
              <w:t>&lt;.001</w:t>
            </w:r>
          </w:p>
        </w:tc>
        <w:tc>
          <w:tcPr>
            <w:tcW w:w="283" w:type="dxa"/>
            <w:tcBorders>
              <w:top w:val="nil"/>
              <w:left w:val="nil"/>
              <w:bottom w:val="nil"/>
              <w:right w:val="nil"/>
            </w:tcBorders>
            <w:shd w:val="clear" w:color="000000" w:fill="FFFFFF"/>
            <w:vAlign w:val="center"/>
          </w:tcPr>
          <w:p w14:paraId="39CC3C9F" w14:textId="77777777" w:rsidR="00D96CB7" w:rsidRPr="007A1663" w:rsidRDefault="00D96CB7" w:rsidP="00DA6E37">
            <w:pPr>
              <w:spacing w:after="0"/>
              <w:rPr>
                <w:lang w:val="fi-FI" w:eastAsia="fi-FI"/>
              </w:rPr>
            </w:pPr>
          </w:p>
        </w:tc>
        <w:tc>
          <w:tcPr>
            <w:tcW w:w="1843" w:type="dxa"/>
            <w:tcBorders>
              <w:top w:val="nil"/>
              <w:left w:val="nil"/>
              <w:bottom w:val="nil"/>
              <w:right w:val="nil"/>
            </w:tcBorders>
            <w:shd w:val="clear" w:color="000000" w:fill="FFFFFF"/>
            <w:vAlign w:val="center"/>
          </w:tcPr>
          <w:p w14:paraId="6B3E7D92" w14:textId="77777777" w:rsidR="00D96CB7" w:rsidRPr="007A1663" w:rsidRDefault="00D96CB7" w:rsidP="00DA6E37">
            <w:pPr>
              <w:spacing w:after="0"/>
              <w:rPr>
                <w:lang w:val="fi-FI" w:eastAsia="fi-FI"/>
              </w:rPr>
            </w:pPr>
            <w:r>
              <w:rPr>
                <w:lang w:val="fi-FI" w:eastAsia="fi-FI"/>
              </w:rPr>
              <w:t>2 (1, 2)</w:t>
            </w:r>
          </w:p>
        </w:tc>
        <w:tc>
          <w:tcPr>
            <w:tcW w:w="1134" w:type="dxa"/>
            <w:tcBorders>
              <w:top w:val="nil"/>
              <w:left w:val="nil"/>
              <w:bottom w:val="nil"/>
              <w:right w:val="nil"/>
            </w:tcBorders>
            <w:shd w:val="clear" w:color="000000" w:fill="FFFFFF"/>
            <w:vAlign w:val="center"/>
          </w:tcPr>
          <w:p w14:paraId="576433C3" w14:textId="77777777" w:rsidR="00D96CB7" w:rsidRDefault="00D96CB7" w:rsidP="00DA6E37">
            <w:pPr>
              <w:spacing w:after="0"/>
              <w:rPr>
                <w:lang w:val="fi-FI" w:eastAsia="fi-FI"/>
              </w:rPr>
            </w:pPr>
            <w:r>
              <w:rPr>
                <w:lang w:val="fi-FI" w:eastAsia="fi-FI"/>
              </w:rPr>
              <w:t>.561</w:t>
            </w:r>
          </w:p>
        </w:tc>
      </w:tr>
      <w:tr w:rsidR="00D96CB7" w:rsidRPr="007A1663" w14:paraId="261EAC20" w14:textId="77777777" w:rsidTr="00DA6E37">
        <w:trPr>
          <w:trHeight w:val="20"/>
        </w:trPr>
        <w:tc>
          <w:tcPr>
            <w:tcW w:w="2035" w:type="dxa"/>
            <w:gridSpan w:val="2"/>
            <w:tcBorders>
              <w:top w:val="nil"/>
              <w:left w:val="nil"/>
              <w:bottom w:val="single" w:sz="4" w:space="0" w:color="auto"/>
              <w:right w:val="nil"/>
            </w:tcBorders>
            <w:shd w:val="clear" w:color="auto" w:fill="auto"/>
            <w:noWrap/>
            <w:vAlign w:val="center"/>
          </w:tcPr>
          <w:p w14:paraId="5E236639" w14:textId="77777777" w:rsidR="00D96CB7" w:rsidRPr="007A1663" w:rsidRDefault="00D96CB7" w:rsidP="00DA6E37">
            <w:pPr>
              <w:spacing w:after="0"/>
              <w:rPr>
                <w:lang w:val="fi-FI" w:eastAsia="fi-FI"/>
              </w:rPr>
            </w:pPr>
            <w:proofErr w:type="spellStart"/>
            <w:r>
              <w:rPr>
                <w:lang w:val="fi-FI" w:eastAsia="fi-FI"/>
              </w:rPr>
              <w:t>Recency</w:t>
            </w:r>
            <w:proofErr w:type="spellEnd"/>
            <w:r>
              <w:rPr>
                <w:lang w:val="fi-FI" w:eastAsia="fi-FI"/>
              </w:rPr>
              <w:t xml:space="preserve"> </w:t>
            </w:r>
            <w:proofErr w:type="spellStart"/>
            <w:r>
              <w:rPr>
                <w:lang w:val="fi-FI" w:eastAsia="fi-FI"/>
              </w:rPr>
              <w:t>words</w:t>
            </w:r>
            <w:proofErr w:type="spellEnd"/>
            <w:proofErr w:type="gramStart"/>
            <w:r>
              <w:rPr>
                <w:lang w:val="fi-FI" w:eastAsia="fi-FI"/>
              </w:rPr>
              <w:t xml:space="preserve"> [median, IQR)</w:t>
            </w:r>
            <w:proofErr w:type="gramEnd"/>
          </w:p>
        </w:tc>
        <w:tc>
          <w:tcPr>
            <w:tcW w:w="1296" w:type="dxa"/>
            <w:tcBorders>
              <w:top w:val="nil"/>
              <w:left w:val="nil"/>
              <w:bottom w:val="single" w:sz="4" w:space="0" w:color="auto"/>
              <w:right w:val="nil"/>
            </w:tcBorders>
            <w:shd w:val="clear" w:color="000000" w:fill="FFFFFF"/>
            <w:vAlign w:val="center"/>
          </w:tcPr>
          <w:p w14:paraId="0F158BE0" w14:textId="77777777" w:rsidR="00D96CB7" w:rsidRPr="007A1663" w:rsidRDefault="00D96CB7" w:rsidP="00DA6E37">
            <w:pPr>
              <w:spacing w:after="0"/>
              <w:rPr>
                <w:lang w:val="fi-FI" w:eastAsia="fi-FI"/>
              </w:rPr>
            </w:pPr>
            <w:r>
              <w:rPr>
                <w:lang w:val="fi-FI" w:eastAsia="fi-FI"/>
              </w:rPr>
              <w:t>1 (0, 2)</w:t>
            </w:r>
          </w:p>
        </w:tc>
        <w:tc>
          <w:tcPr>
            <w:tcW w:w="1559" w:type="dxa"/>
            <w:tcBorders>
              <w:top w:val="nil"/>
              <w:left w:val="nil"/>
              <w:bottom w:val="single" w:sz="4" w:space="0" w:color="auto"/>
              <w:right w:val="nil"/>
            </w:tcBorders>
            <w:shd w:val="clear" w:color="auto" w:fill="auto"/>
            <w:vAlign w:val="center"/>
          </w:tcPr>
          <w:p w14:paraId="48A3CAD2" w14:textId="77777777" w:rsidR="00D96CB7" w:rsidRPr="007A1663" w:rsidRDefault="00D96CB7" w:rsidP="00DA6E37">
            <w:pPr>
              <w:spacing w:after="0"/>
              <w:rPr>
                <w:lang w:val="fi-FI" w:eastAsia="fi-FI"/>
              </w:rPr>
            </w:pPr>
            <w:r>
              <w:rPr>
                <w:lang w:val="fi-FI" w:eastAsia="fi-FI"/>
              </w:rPr>
              <w:t>1 (1, 2)</w:t>
            </w:r>
          </w:p>
        </w:tc>
        <w:tc>
          <w:tcPr>
            <w:tcW w:w="1134" w:type="dxa"/>
            <w:tcBorders>
              <w:top w:val="nil"/>
              <w:left w:val="nil"/>
              <w:bottom w:val="single" w:sz="4" w:space="0" w:color="auto"/>
              <w:right w:val="nil"/>
            </w:tcBorders>
            <w:vAlign w:val="center"/>
          </w:tcPr>
          <w:p w14:paraId="4EA8A7D7" w14:textId="77777777" w:rsidR="00D96CB7" w:rsidRPr="00702BBE" w:rsidRDefault="00D96CB7" w:rsidP="00DA6E37">
            <w:pPr>
              <w:spacing w:after="0"/>
              <w:rPr>
                <w:lang w:val="fi-FI" w:eastAsia="fi-FI"/>
              </w:rPr>
            </w:pPr>
            <w:r>
              <w:rPr>
                <w:lang w:val="fi-FI" w:eastAsia="fi-FI"/>
              </w:rPr>
              <w:t>.192</w:t>
            </w:r>
          </w:p>
        </w:tc>
        <w:tc>
          <w:tcPr>
            <w:tcW w:w="283" w:type="dxa"/>
            <w:tcBorders>
              <w:top w:val="nil"/>
              <w:left w:val="nil"/>
              <w:bottom w:val="single" w:sz="4" w:space="0" w:color="auto"/>
              <w:right w:val="nil"/>
            </w:tcBorders>
            <w:shd w:val="clear" w:color="000000" w:fill="FFFFFF"/>
            <w:vAlign w:val="center"/>
          </w:tcPr>
          <w:p w14:paraId="373BBCDF" w14:textId="77777777" w:rsidR="00D96CB7" w:rsidRPr="007A1663" w:rsidRDefault="00D96CB7" w:rsidP="00DA6E37">
            <w:pPr>
              <w:spacing w:after="0"/>
              <w:rPr>
                <w:lang w:val="fi-FI" w:eastAsia="fi-FI"/>
              </w:rPr>
            </w:pPr>
          </w:p>
        </w:tc>
        <w:tc>
          <w:tcPr>
            <w:tcW w:w="1843" w:type="dxa"/>
            <w:tcBorders>
              <w:top w:val="nil"/>
              <w:left w:val="nil"/>
              <w:bottom w:val="single" w:sz="4" w:space="0" w:color="auto"/>
              <w:right w:val="nil"/>
            </w:tcBorders>
            <w:shd w:val="clear" w:color="000000" w:fill="FFFFFF"/>
            <w:vAlign w:val="center"/>
          </w:tcPr>
          <w:p w14:paraId="09C981B8" w14:textId="77777777" w:rsidR="00D96CB7" w:rsidRPr="007A1663" w:rsidRDefault="00D96CB7" w:rsidP="00DA6E37">
            <w:pPr>
              <w:spacing w:after="0"/>
              <w:rPr>
                <w:lang w:val="fi-FI" w:eastAsia="fi-FI"/>
              </w:rPr>
            </w:pPr>
            <w:r>
              <w:rPr>
                <w:lang w:val="fi-FI" w:eastAsia="fi-FI"/>
              </w:rPr>
              <w:t>2 (1, 3)</w:t>
            </w:r>
          </w:p>
        </w:tc>
        <w:tc>
          <w:tcPr>
            <w:tcW w:w="1134" w:type="dxa"/>
            <w:tcBorders>
              <w:top w:val="nil"/>
              <w:left w:val="nil"/>
              <w:bottom w:val="single" w:sz="4" w:space="0" w:color="auto"/>
              <w:right w:val="nil"/>
            </w:tcBorders>
            <w:shd w:val="clear" w:color="000000" w:fill="FFFFFF"/>
            <w:vAlign w:val="center"/>
          </w:tcPr>
          <w:p w14:paraId="128226FE" w14:textId="77777777" w:rsidR="00D96CB7" w:rsidRDefault="00D96CB7" w:rsidP="00DA6E37">
            <w:pPr>
              <w:spacing w:after="0"/>
              <w:rPr>
                <w:lang w:val="fi-FI" w:eastAsia="fi-FI"/>
              </w:rPr>
            </w:pPr>
            <w:r>
              <w:rPr>
                <w:lang w:val="fi-FI" w:eastAsia="fi-FI"/>
              </w:rPr>
              <w:t>.157</w:t>
            </w:r>
          </w:p>
        </w:tc>
      </w:tr>
    </w:tbl>
    <w:p w14:paraId="20A6A611" w14:textId="10BA238C" w:rsidR="00FE357A" w:rsidRPr="007A2F81" w:rsidRDefault="00FE357A" w:rsidP="00FE357A">
      <w:pPr>
        <w:spacing w:after="0"/>
        <w:rPr>
          <w:rFonts w:cs="Arial"/>
          <w:szCs w:val="18"/>
        </w:rPr>
      </w:pPr>
      <w:r w:rsidRPr="007A2F81">
        <w:rPr>
          <w:rFonts w:cs="Arial"/>
          <w:szCs w:val="18"/>
        </w:rPr>
        <w:t>Abbreviations: TELE,</w:t>
      </w:r>
      <w:r w:rsidRPr="007A2F81">
        <w:t xml:space="preserve"> Telephone assessment for dementia</w:t>
      </w:r>
      <w:r w:rsidRPr="007A2F81">
        <w:rPr>
          <w:rFonts w:cs="Arial"/>
          <w:szCs w:val="18"/>
        </w:rPr>
        <w:t xml:space="preserve">. </w:t>
      </w:r>
      <w:r w:rsidR="001074E0">
        <w:rPr>
          <w:rFonts w:cs="Arial"/>
          <w:szCs w:val="18"/>
        </w:rPr>
        <w:t>IR</w:t>
      </w:r>
      <w:r w:rsidRPr="007A2F81">
        <w:rPr>
          <w:rFonts w:cs="Arial"/>
          <w:szCs w:val="18"/>
        </w:rPr>
        <w:t xml:space="preserve">, </w:t>
      </w:r>
      <w:r w:rsidR="001074E0">
        <w:rPr>
          <w:rFonts w:cs="Arial"/>
          <w:szCs w:val="18"/>
        </w:rPr>
        <w:t>immediate recall</w:t>
      </w:r>
      <w:r w:rsidRPr="007A2F81">
        <w:rPr>
          <w:rFonts w:cs="Arial"/>
          <w:szCs w:val="18"/>
        </w:rPr>
        <w:t xml:space="preserve">. </w:t>
      </w:r>
    </w:p>
    <w:p w14:paraId="343DA93A" w14:textId="0FE8785B" w:rsidR="00FE357A" w:rsidRPr="007A2F81" w:rsidRDefault="00FE357A" w:rsidP="00FE357A">
      <w:pPr>
        <w:spacing w:after="0"/>
      </w:pPr>
      <w:r w:rsidRPr="007A2F81">
        <w:rPr>
          <w:noProof/>
        </w:rPr>
        <w:t>NOTE. Values are mean (SD) unless otherwise stated.</w:t>
      </w:r>
      <w:r w:rsidRPr="007A2F81">
        <w:rPr>
          <w:rFonts w:cs="Arial"/>
          <w:szCs w:val="18"/>
        </w:rPr>
        <w:t xml:space="preserve"> The </w:t>
      </w:r>
      <w:r w:rsidR="001074E0">
        <w:rPr>
          <w:rFonts w:cs="Arial"/>
          <w:szCs w:val="18"/>
        </w:rPr>
        <w:t xml:space="preserve">total IR score is the </w:t>
      </w:r>
      <w:r w:rsidRPr="007A2F81">
        <w:rPr>
          <w:rFonts w:cs="Arial"/>
          <w:szCs w:val="18"/>
        </w:rPr>
        <w:t xml:space="preserve">number of recalled words </w:t>
      </w:r>
      <w:r w:rsidR="001074E0" w:rsidRPr="001074E0">
        <w:rPr>
          <w:rFonts w:cs="Arial"/>
          <w:szCs w:val="18"/>
        </w:rPr>
        <w:t>in a single free-recall trial of a 10-item word list</w:t>
      </w:r>
      <w:r w:rsidRPr="007A2F81">
        <w:rPr>
          <w:rFonts w:cs="Arial"/>
          <w:szCs w:val="18"/>
        </w:rPr>
        <w:t xml:space="preserve">. </w:t>
      </w:r>
      <w:r w:rsidRPr="007A2F81">
        <w:t xml:space="preserve">Cognitive status is defined based on telephone assessment of dementia (TELE) cut-off scores (dementia: TELE &lt; 16; </w:t>
      </w:r>
      <w:r w:rsidR="001074E0">
        <w:t>healthy</w:t>
      </w:r>
      <w:r w:rsidR="001074E0" w:rsidRPr="007A2F81">
        <w:t xml:space="preserve"> </w:t>
      </w:r>
      <w:r w:rsidRPr="007A2F81">
        <w:t>cognition TELE &gt; 17.5).</w:t>
      </w:r>
    </w:p>
    <w:p w14:paraId="66BD37B5" w14:textId="77777777" w:rsidR="009D1D31" w:rsidRDefault="00E76205" w:rsidP="00C63933">
      <w:pPr>
        <w:spacing w:after="0"/>
      </w:pPr>
      <w:proofErr w:type="gramStart"/>
      <w:r w:rsidRPr="003C6A43">
        <w:rPr>
          <w:vertAlign w:val="superscript"/>
          <w:lang w:eastAsia="fi-FI"/>
        </w:rPr>
        <w:lastRenderedPageBreak/>
        <w:t>a</w:t>
      </w:r>
      <w:proofErr w:type="gramEnd"/>
      <w:r w:rsidRPr="007A2F81">
        <w:t xml:space="preserve"> </w:t>
      </w:r>
      <w:r w:rsidR="00FE357A" w:rsidRPr="007A2F81">
        <w:t xml:space="preserve">Statistical significance of the difference in age, education, and TELE between co-twins tested with paired t test. The difference in </w:t>
      </w:r>
      <w:r w:rsidR="00141246">
        <w:t>IR</w:t>
      </w:r>
      <w:r w:rsidR="00141246" w:rsidRPr="007A2F81">
        <w:t xml:space="preserve"> </w:t>
      </w:r>
      <w:r w:rsidR="00FE357A" w:rsidRPr="007A2F81">
        <w:t xml:space="preserve">between co-twins tested with linear conditional fixed-effects regression. </w:t>
      </w:r>
    </w:p>
    <w:p w14:paraId="3115DE2C" w14:textId="1F2EF016" w:rsidR="001D34AF" w:rsidRDefault="00E76205" w:rsidP="00C63933">
      <w:pPr>
        <w:spacing w:after="0"/>
      </w:pPr>
      <w:proofErr w:type="gramStart"/>
      <w:r w:rsidRPr="003C6A43">
        <w:rPr>
          <w:vertAlign w:val="superscript"/>
          <w:lang w:eastAsia="fi-FI"/>
        </w:rPr>
        <w:t>b</w:t>
      </w:r>
      <w:proofErr w:type="gramEnd"/>
      <w:r w:rsidRPr="007A2F81">
        <w:rPr>
          <w:lang w:eastAsia="fi-FI"/>
        </w:rPr>
        <w:t xml:space="preserve"> </w:t>
      </w:r>
      <w:r w:rsidR="00FE357A" w:rsidRPr="007A2F81">
        <w:t xml:space="preserve">Statistical significance of the difference between the cognitively </w:t>
      </w:r>
      <w:r w:rsidR="00A80E2E">
        <w:t>healthy</w:t>
      </w:r>
      <w:r w:rsidR="00A80E2E" w:rsidRPr="007A2F81">
        <w:t xml:space="preserve"> </w:t>
      </w:r>
      <w:r w:rsidR="00FE357A" w:rsidRPr="007A2F81">
        <w:t xml:space="preserve">twin groups </w:t>
      </w:r>
      <w:r w:rsidR="009B6A84">
        <w:t xml:space="preserve">tested </w:t>
      </w:r>
      <w:r w:rsidR="00FE357A" w:rsidRPr="007A2F81">
        <w:t>with two-sample t-test. Pearson’s chi-squared test used for categorical variables.</w:t>
      </w:r>
      <w:r w:rsidR="006C5F69">
        <w:t xml:space="preserve"> </w:t>
      </w:r>
      <w:r w:rsidR="00C63933">
        <w:t>T</w:t>
      </w:r>
      <w:r w:rsidR="00FE357A" w:rsidRPr="007A2F81">
        <w:t xml:space="preserve">he differences in </w:t>
      </w:r>
      <w:r w:rsidR="001074E0">
        <w:t>IR</w:t>
      </w:r>
      <w:r w:rsidR="001074E0" w:rsidRPr="007A2F81">
        <w:t xml:space="preserve"> </w:t>
      </w:r>
      <w:r w:rsidR="00FE357A" w:rsidRPr="007A2F81">
        <w:t xml:space="preserve">between the cognitive </w:t>
      </w:r>
      <w:r w:rsidR="00141246">
        <w:t>healthy</w:t>
      </w:r>
      <w:r w:rsidR="00141246" w:rsidRPr="007A2F81">
        <w:t xml:space="preserve"> </w:t>
      </w:r>
      <w:r w:rsidR="00FE357A" w:rsidRPr="007A2F81">
        <w:t xml:space="preserve">groups </w:t>
      </w:r>
      <w:r w:rsidR="009B6A84">
        <w:t xml:space="preserve">tested </w:t>
      </w:r>
      <w:r w:rsidR="00FE357A" w:rsidRPr="007A2F81">
        <w:t>with linear regression</w:t>
      </w:r>
      <w:r w:rsidR="00C63933">
        <w:t xml:space="preserve"> and d</w:t>
      </w:r>
      <w:r w:rsidR="00FE357A" w:rsidRPr="007A2F81">
        <w:t xml:space="preserve">ifferences in primacy and </w:t>
      </w:r>
      <w:proofErr w:type="spellStart"/>
      <w:r w:rsidR="00FE357A" w:rsidRPr="007A2F81">
        <w:t>recency</w:t>
      </w:r>
      <w:proofErr w:type="spellEnd"/>
      <w:r w:rsidR="00FE357A" w:rsidRPr="007A2F81">
        <w:t xml:space="preserve"> words with ordered logistic regression, adjusted for age, education, and family relatedness. </w:t>
      </w:r>
    </w:p>
    <w:p w14:paraId="6D7EBE01" w14:textId="77777777" w:rsidR="00024B1F" w:rsidRDefault="00024B1F" w:rsidP="00795954"/>
    <w:p w14:paraId="2EF904CB" w14:textId="740FB7DB" w:rsidR="0041690F" w:rsidRPr="008E7403" w:rsidRDefault="00E7291F" w:rsidP="00795954">
      <w:pPr>
        <w:rPr>
          <w:color w:val="FF0000"/>
        </w:rPr>
      </w:pPr>
      <w:r w:rsidRPr="0070362A">
        <w:t xml:space="preserve">Figure 3 and </w:t>
      </w:r>
      <w:r w:rsidR="0012113F">
        <w:t>t</w:t>
      </w:r>
      <w:r w:rsidR="00AE6E7D" w:rsidRPr="0070362A">
        <w:t>able</w:t>
      </w:r>
      <w:r w:rsidRPr="0070362A">
        <w:t xml:space="preserve"> </w:t>
      </w:r>
      <w:r w:rsidR="00DB7D27">
        <w:t>2</w:t>
      </w:r>
      <w:r w:rsidR="00F07D23" w:rsidRPr="0070362A">
        <w:t xml:space="preserve"> </w:t>
      </w:r>
      <w:r w:rsidRPr="0070362A">
        <w:t>summarize the results o</w:t>
      </w:r>
      <w:r w:rsidR="00791BC6">
        <w:t>f the</w:t>
      </w:r>
      <w:r w:rsidRPr="0070362A">
        <w:t xml:space="preserve"> differences in total scores between </w:t>
      </w:r>
      <w:r w:rsidR="00791BC6">
        <w:t xml:space="preserve">the </w:t>
      </w:r>
      <w:r w:rsidR="007A7DA0" w:rsidRPr="0070362A">
        <w:t>th</w:t>
      </w:r>
      <w:r w:rsidR="00232AC7" w:rsidRPr="0070362A">
        <w:t>r</w:t>
      </w:r>
      <w:r w:rsidR="007A7DA0" w:rsidRPr="0070362A">
        <w:t>e</w:t>
      </w:r>
      <w:r w:rsidR="00232AC7" w:rsidRPr="0070362A">
        <w:t>e</w:t>
      </w:r>
      <w:r w:rsidR="007A7DA0" w:rsidRPr="0070362A">
        <w:t xml:space="preserve"> groups</w:t>
      </w:r>
      <w:r w:rsidR="00232AC7" w:rsidRPr="0070362A">
        <w:t>:</w:t>
      </w:r>
      <w:r w:rsidR="007A7DA0" w:rsidRPr="0070362A">
        <w:t xml:space="preserve"> cognitively </w:t>
      </w:r>
      <w:r w:rsidR="001074E0">
        <w:t>healthy</w:t>
      </w:r>
      <w:r w:rsidR="001074E0" w:rsidRPr="0070362A">
        <w:t xml:space="preserve"> </w:t>
      </w:r>
      <w:r w:rsidR="007A7DA0" w:rsidRPr="0070362A">
        <w:t xml:space="preserve">twins </w:t>
      </w:r>
      <w:r w:rsidR="00B94EFC">
        <w:t>with</w:t>
      </w:r>
      <w:r w:rsidR="007A7DA0" w:rsidRPr="0070362A">
        <w:t xml:space="preserve"> demented co-twins, demented co-twins, and cognitively </w:t>
      </w:r>
      <w:r w:rsidR="001074E0">
        <w:t>healthy</w:t>
      </w:r>
      <w:r w:rsidR="001074E0" w:rsidRPr="0070362A">
        <w:t xml:space="preserve"> </w:t>
      </w:r>
      <w:r w:rsidR="007A7DA0" w:rsidRPr="0070362A">
        <w:t xml:space="preserve">twins </w:t>
      </w:r>
      <w:r w:rsidR="00B94EFC">
        <w:t>with</w:t>
      </w:r>
      <w:r w:rsidR="007A7DA0" w:rsidRPr="0070362A">
        <w:t xml:space="preserve"> cognitively </w:t>
      </w:r>
      <w:r w:rsidR="001074E0">
        <w:t>healthy</w:t>
      </w:r>
      <w:r w:rsidR="001074E0" w:rsidRPr="0070362A">
        <w:t xml:space="preserve"> </w:t>
      </w:r>
      <w:r w:rsidR="007A7DA0" w:rsidRPr="0070362A">
        <w:t>co-twins</w:t>
      </w:r>
      <w:r w:rsidRPr="0070362A">
        <w:t>.</w:t>
      </w:r>
      <w:r>
        <w:t xml:space="preserve"> </w:t>
      </w:r>
      <w:r w:rsidR="00232AC7">
        <w:t xml:space="preserve">Cognitively </w:t>
      </w:r>
      <w:r w:rsidR="001074E0">
        <w:t xml:space="preserve">healthy </w:t>
      </w:r>
      <w:r w:rsidR="00232AC7">
        <w:t xml:space="preserve">twins </w:t>
      </w:r>
      <w:r w:rsidR="0070362A">
        <w:t>from</w:t>
      </w:r>
      <w:r w:rsidR="00232AC7">
        <w:t xml:space="preserve"> discordant pairs</w:t>
      </w:r>
      <w:r w:rsidR="00646EF5">
        <w:t xml:space="preserve"> </w:t>
      </w:r>
      <w:r w:rsidR="00232AC7">
        <w:t xml:space="preserve">had better </w:t>
      </w:r>
      <w:r w:rsidR="001074E0">
        <w:t xml:space="preserve">IR </w:t>
      </w:r>
      <w:r w:rsidR="00232AC7">
        <w:t>than their demented co-twins</w:t>
      </w:r>
      <w:r w:rsidR="00791BC6">
        <w:t xml:space="preserve">, </w:t>
      </w:r>
      <w:r w:rsidR="00232AC7">
        <w:t xml:space="preserve">respectively </w:t>
      </w:r>
      <w:r w:rsidR="00232AC7">
        <w:rPr>
          <w:rFonts w:cs="Arial"/>
        </w:rPr>
        <w:t>3.79 vs 3.05</w:t>
      </w:r>
      <w:r w:rsidR="00D34AC6">
        <w:rPr>
          <w:rFonts w:cs="Arial"/>
        </w:rPr>
        <w:t xml:space="preserve"> words</w:t>
      </w:r>
      <w:r w:rsidR="00DE5897">
        <w:rPr>
          <w:rFonts w:cs="Arial"/>
        </w:rPr>
        <w:t>,</w:t>
      </w:r>
      <w:r w:rsidR="00232AC7">
        <w:t xml:space="preserve"> </w:t>
      </w:r>
      <w:r w:rsidR="00232AC7" w:rsidRPr="00043826">
        <w:rPr>
          <w:i/>
        </w:rPr>
        <w:t>B</w:t>
      </w:r>
      <w:r w:rsidR="00232AC7">
        <w:t xml:space="preserve"> = 0.74</w:t>
      </w:r>
      <w:r w:rsidR="00DE5897">
        <w:t>,</w:t>
      </w:r>
      <w:r w:rsidR="00232AC7">
        <w:t xml:space="preserve"> 95% CI </w:t>
      </w:r>
      <w:r w:rsidR="00D34AC6">
        <w:t>[</w:t>
      </w:r>
      <w:r w:rsidR="00232AC7">
        <w:t>0.29</w:t>
      </w:r>
      <w:r w:rsidR="00D34AC6">
        <w:t>,</w:t>
      </w:r>
      <w:r w:rsidR="00232AC7">
        <w:t xml:space="preserve"> 1.19</w:t>
      </w:r>
      <w:r w:rsidR="00D34AC6">
        <w:t>]</w:t>
      </w:r>
      <w:r w:rsidR="00DE5897">
        <w:t>,</w:t>
      </w:r>
      <w:r w:rsidR="00232AC7" w:rsidRPr="00013468">
        <w:rPr>
          <w:i/>
        </w:rPr>
        <w:t xml:space="preserve"> </w:t>
      </w:r>
      <w:r w:rsidR="006B5700">
        <w:rPr>
          <w:i/>
        </w:rPr>
        <w:t>P</w:t>
      </w:r>
      <w:r w:rsidR="00232AC7">
        <w:rPr>
          <w:i/>
        </w:rPr>
        <w:t xml:space="preserve"> </w:t>
      </w:r>
      <w:r w:rsidR="00232AC7">
        <w:t>= .001.</w:t>
      </w:r>
      <w:r w:rsidR="00405654">
        <w:t xml:space="preserve"> </w:t>
      </w:r>
      <w:r w:rsidR="008A4900" w:rsidRPr="008A4900">
        <w:t xml:space="preserve">Cognitively </w:t>
      </w:r>
      <w:r w:rsidR="00A80E2E">
        <w:t>healthy</w:t>
      </w:r>
      <w:r w:rsidR="008A4900" w:rsidRPr="008A4900">
        <w:t xml:space="preserve"> twins </w:t>
      </w:r>
      <w:r w:rsidR="00B94EFC">
        <w:t xml:space="preserve">with </w:t>
      </w:r>
      <w:r w:rsidR="008A4900" w:rsidRPr="008A4900">
        <w:t xml:space="preserve">demented co-twins had poorer total scores than cognitively </w:t>
      </w:r>
      <w:r w:rsidR="00A80E2E">
        <w:t>healthy</w:t>
      </w:r>
      <w:r w:rsidR="008A4900" w:rsidRPr="008A4900">
        <w:t xml:space="preserve"> twins </w:t>
      </w:r>
      <w:r w:rsidR="00B94EFC">
        <w:t xml:space="preserve">with </w:t>
      </w:r>
      <w:r w:rsidR="00A80E2E">
        <w:t>healthy</w:t>
      </w:r>
      <w:r w:rsidR="008A4900" w:rsidRPr="008A4900">
        <w:t xml:space="preserve"> co-twins after adjusting for age, sex, and education</w:t>
      </w:r>
      <w:r w:rsidR="000C6F05">
        <w:t xml:space="preserve">, </w:t>
      </w:r>
      <w:r w:rsidR="008A4900" w:rsidRPr="008A4900">
        <w:t xml:space="preserve">respectively </w:t>
      </w:r>
      <w:bookmarkStart w:id="17" w:name="_Hlk522105552"/>
      <w:r w:rsidR="008A4900" w:rsidRPr="008A4900">
        <w:t>3.79 vs 4.23 words</w:t>
      </w:r>
      <w:bookmarkEnd w:id="17"/>
      <w:r w:rsidR="00DE5897">
        <w:t>,</w:t>
      </w:r>
      <w:r w:rsidR="008A4900" w:rsidRPr="008A4900">
        <w:t xml:space="preserve"> </w:t>
      </w:r>
      <w:r w:rsidR="008A4900" w:rsidRPr="00043826">
        <w:rPr>
          <w:i/>
        </w:rPr>
        <w:t>B</w:t>
      </w:r>
      <w:r w:rsidR="008A4900" w:rsidRPr="008A4900">
        <w:t xml:space="preserve"> = -0.44</w:t>
      </w:r>
      <w:r w:rsidR="00DE5897">
        <w:t xml:space="preserve">, </w:t>
      </w:r>
      <w:r w:rsidR="008A4900" w:rsidRPr="008A4900">
        <w:t xml:space="preserve">95% CI </w:t>
      </w:r>
      <w:r w:rsidR="000C6F05">
        <w:t>[</w:t>
      </w:r>
      <w:r w:rsidR="008A4900" w:rsidRPr="008A4900">
        <w:t>-0.73</w:t>
      </w:r>
      <w:r w:rsidR="000C6F05">
        <w:t>,</w:t>
      </w:r>
      <w:r w:rsidR="008A4900" w:rsidRPr="008A4900">
        <w:t xml:space="preserve"> -0.14</w:t>
      </w:r>
      <w:r w:rsidR="000C6F05">
        <w:t>]</w:t>
      </w:r>
      <w:r w:rsidR="00DE5897">
        <w:t>,</w:t>
      </w:r>
      <w:r w:rsidR="008A4900" w:rsidRPr="008A4900">
        <w:t xml:space="preserve"> </w:t>
      </w:r>
      <w:r w:rsidR="006B5700" w:rsidRPr="006B5700">
        <w:rPr>
          <w:i/>
        </w:rPr>
        <w:t>P</w:t>
      </w:r>
      <w:r w:rsidR="008A4900" w:rsidRPr="008A4900">
        <w:t xml:space="preserve"> = .003.</w:t>
      </w:r>
      <w:r w:rsidR="006B7AD6">
        <w:t xml:space="preserve"> </w:t>
      </w:r>
      <w:r w:rsidR="0041690F">
        <w:t>This</w:t>
      </w:r>
      <w:r w:rsidR="0041690F" w:rsidRPr="0041690F">
        <w:t xml:space="preserve"> difference</w:t>
      </w:r>
      <w:r w:rsidR="0041690F">
        <w:t xml:space="preserve"> with a</w:t>
      </w:r>
      <w:r w:rsidR="0041690F" w:rsidRPr="0041690F">
        <w:t xml:space="preserve"> Cohen's </w:t>
      </w:r>
      <w:r w:rsidR="0041690F" w:rsidRPr="00043826">
        <w:rPr>
          <w:i/>
        </w:rPr>
        <w:t>d</w:t>
      </w:r>
      <w:r w:rsidR="0041690F" w:rsidRPr="0041690F">
        <w:t xml:space="preserve"> </w:t>
      </w:r>
      <w:r w:rsidR="0041690F">
        <w:t xml:space="preserve">of </w:t>
      </w:r>
      <w:r w:rsidR="0041690F" w:rsidRPr="0041690F">
        <w:t xml:space="preserve">0.3 corresponded to a difference of about 6 years of age on </w:t>
      </w:r>
      <w:r w:rsidR="001074E0">
        <w:t>IR</w:t>
      </w:r>
      <w:r w:rsidR="001074E0" w:rsidRPr="0041690F">
        <w:t xml:space="preserve"> </w:t>
      </w:r>
      <w:r w:rsidR="0041690F" w:rsidRPr="0041690F">
        <w:t xml:space="preserve">performance or the difference between men and women. The difference in </w:t>
      </w:r>
      <w:r w:rsidR="001074E0">
        <w:t>IR</w:t>
      </w:r>
      <w:r w:rsidR="001074E0" w:rsidRPr="0041690F">
        <w:t xml:space="preserve"> </w:t>
      </w:r>
      <w:r w:rsidR="0041690F" w:rsidRPr="0041690F">
        <w:t>performance remained statistically significant after further adjusting for TELE score (</w:t>
      </w:r>
      <w:r w:rsidR="006B5700">
        <w:rPr>
          <w:i/>
        </w:rPr>
        <w:t>P</w:t>
      </w:r>
      <w:r w:rsidR="008E76F9">
        <w:rPr>
          <w:i/>
        </w:rPr>
        <w:t xml:space="preserve"> </w:t>
      </w:r>
      <w:r w:rsidR="0041690F" w:rsidRPr="0041690F">
        <w:t>=</w:t>
      </w:r>
      <w:r w:rsidR="008E76F9">
        <w:t xml:space="preserve"> </w:t>
      </w:r>
      <w:r w:rsidR="0041690F" w:rsidRPr="0041690F">
        <w:t>.008).</w:t>
      </w:r>
    </w:p>
    <w:p w14:paraId="2239AC2D" w14:textId="73C8735F" w:rsidR="00825CE0" w:rsidRDefault="00232AC7" w:rsidP="00795954">
      <w:r w:rsidRPr="0017062A">
        <w:t xml:space="preserve">We did not detect a statistically significant difference specifically in primacy </w:t>
      </w:r>
      <w:r w:rsidR="00532DEE">
        <w:t>(</w:t>
      </w:r>
      <w:r w:rsidR="00532DEE" w:rsidRPr="00043826">
        <w:rPr>
          <w:i/>
        </w:rPr>
        <w:t>B</w:t>
      </w:r>
      <w:r w:rsidR="00532DEE" w:rsidRPr="008A4900">
        <w:t xml:space="preserve"> = -0.</w:t>
      </w:r>
      <w:r w:rsidR="00532DEE">
        <w:t xml:space="preserve">11, </w:t>
      </w:r>
      <w:r w:rsidR="00532DEE" w:rsidRPr="008A4900">
        <w:t xml:space="preserve">95% CI </w:t>
      </w:r>
      <w:r w:rsidR="00532DEE">
        <w:t>[</w:t>
      </w:r>
      <w:r w:rsidR="00532DEE" w:rsidRPr="008A4900">
        <w:t>-0.</w:t>
      </w:r>
      <w:r w:rsidR="006C29E3">
        <w:t>50</w:t>
      </w:r>
      <w:r w:rsidR="00532DEE">
        <w:t>,</w:t>
      </w:r>
      <w:r w:rsidR="00532DEE" w:rsidRPr="008A4900">
        <w:t xml:space="preserve"> </w:t>
      </w:r>
      <w:r w:rsidR="006C29E3">
        <w:t>0.27</w:t>
      </w:r>
      <w:r w:rsidR="00532DEE">
        <w:t>],</w:t>
      </w:r>
      <w:r w:rsidR="00532DEE" w:rsidRPr="008A4900">
        <w:t xml:space="preserve"> </w:t>
      </w:r>
      <w:r w:rsidR="00532DEE" w:rsidRPr="006B5700">
        <w:rPr>
          <w:i/>
        </w:rPr>
        <w:t>P</w:t>
      </w:r>
      <w:r w:rsidR="00532DEE" w:rsidRPr="008A4900">
        <w:t xml:space="preserve"> = .</w:t>
      </w:r>
      <w:r w:rsidR="00532DEE">
        <w:t xml:space="preserve">561) </w:t>
      </w:r>
      <w:r w:rsidRPr="0017062A">
        <w:t xml:space="preserve">or </w:t>
      </w:r>
      <w:proofErr w:type="spellStart"/>
      <w:r w:rsidRPr="0017062A">
        <w:t>recency</w:t>
      </w:r>
      <w:proofErr w:type="spellEnd"/>
      <w:r w:rsidRPr="0017062A">
        <w:t xml:space="preserve"> words</w:t>
      </w:r>
      <w:r w:rsidR="00532DEE">
        <w:t xml:space="preserve"> (</w:t>
      </w:r>
      <w:r w:rsidR="00532DEE" w:rsidRPr="00043826">
        <w:rPr>
          <w:i/>
        </w:rPr>
        <w:t>B</w:t>
      </w:r>
      <w:r w:rsidR="00532DEE" w:rsidRPr="008A4900">
        <w:t xml:space="preserve"> = -0.</w:t>
      </w:r>
      <w:r w:rsidR="00532DEE">
        <w:t xml:space="preserve">25, </w:t>
      </w:r>
      <w:r w:rsidR="00532DEE" w:rsidRPr="008A4900">
        <w:t xml:space="preserve">95% CI </w:t>
      </w:r>
      <w:r w:rsidR="00532DEE">
        <w:t>[</w:t>
      </w:r>
      <w:r w:rsidR="00532DEE" w:rsidRPr="008A4900">
        <w:t>-0.</w:t>
      </w:r>
      <w:r w:rsidR="006C29E3">
        <w:t>59</w:t>
      </w:r>
      <w:r w:rsidR="00532DEE">
        <w:t>,</w:t>
      </w:r>
      <w:r w:rsidR="00532DEE" w:rsidRPr="008A4900">
        <w:t xml:space="preserve"> </w:t>
      </w:r>
      <w:r w:rsidR="006C29E3">
        <w:t>0.</w:t>
      </w:r>
      <w:r w:rsidR="00A81A01">
        <w:t>10</w:t>
      </w:r>
      <w:r w:rsidR="00532DEE">
        <w:t>],</w:t>
      </w:r>
      <w:r w:rsidR="00532DEE" w:rsidRPr="008A4900">
        <w:t xml:space="preserve"> </w:t>
      </w:r>
      <w:r w:rsidR="00532DEE" w:rsidRPr="006B5700">
        <w:rPr>
          <w:i/>
        </w:rPr>
        <w:t>P</w:t>
      </w:r>
      <w:r w:rsidR="00532DEE" w:rsidRPr="008A4900">
        <w:t xml:space="preserve"> = .</w:t>
      </w:r>
      <w:r w:rsidR="00532DEE">
        <w:t>157)</w:t>
      </w:r>
      <w:r w:rsidRPr="0017062A">
        <w:t xml:space="preserve"> between cognitively </w:t>
      </w:r>
      <w:r w:rsidR="001074E0">
        <w:t>healthy</w:t>
      </w:r>
      <w:r w:rsidR="001074E0" w:rsidRPr="0017062A">
        <w:t xml:space="preserve"> </w:t>
      </w:r>
      <w:r w:rsidRPr="0017062A">
        <w:t xml:space="preserve">twins </w:t>
      </w:r>
      <w:r w:rsidR="0070362A">
        <w:t>with</w:t>
      </w:r>
      <w:r w:rsidRPr="0017062A">
        <w:t xml:space="preserve"> demented co-twins and cognitively </w:t>
      </w:r>
      <w:r w:rsidR="001074E0">
        <w:t>healthy</w:t>
      </w:r>
      <w:r w:rsidR="001074E0" w:rsidRPr="0017062A">
        <w:t xml:space="preserve"> </w:t>
      </w:r>
      <w:r w:rsidRPr="0017062A">
        <w:t>twins</w:t>
      </w:r>
      <w:r w:rsidR="00405654">
        <w:t xml:space="preserve"> </w:t>
      </w:r>
      <w:r w:rsidR="0070362A">
        <w:t>with</w:t>
      </w:r>
      <w:r w:rsidRPr="0017062A">
        <w:t xml:space="preserve"> </w:t>
      </w:r>
      <w:r w:rsidR="001074E0">
        <w:t>healthy</w:t>
      </w:r>
      <w:r w:rsidR="001074E0" w:rsidRPr="0017062A">
        <w:t xml:space="preserve"> </w:t>
      </w:r>
      <w:r w:rsidRPr="0017062A">
        <w:t>co-twins.</w:t>
      </w:r>
      <w:r>
        <w:t xml:space="preserve"> </w:t>
      </w:r>
      <w:r w:rsidR="00E7291F">
        <w:t xml:space="preserve"> </w:t>
      </w:r>
    </w:p>
    <w:p w14:paraId="198EF851" w14:textId="6BFEF387" w:rsidR="00E7291F" w:rsidRDefault="00E7291F" w:rsidP="00795954">
      <w:r>
        <w:lastRenderedPageBreak/>
        <w:t>Differences in total scores</w:t>
      </w:r>
      <w:r w:rsidRPr="007C33A1">
        <w:t xml:space="preserve"> </w:t>
      </w:r>
      <w:r>
        <w:t xml:space="preserve">between cognitively </w:t>
      </w:r>
      <w:r w:rsidR="001074E0">
        <w:t>healt</w:t>
      </w:r>
      <w:r w:rsidR="00141246">
        <w:t>h</w:t>
      </w:r>
      <w:r w:rsidR="001074E0">
        <w:t>y</w:t>
      </w:r>
      <w:r>
        <w:t xml:space="preserve"> twins </w:t>
      </w:r>
      <w:r w:rsidR="00365A8F">
        <w:t>from cognitively discordant pairs and concordant pairs</w:t>
      </w:r>
      <w:r>
        <w:t xml:space="preserve"> were also analyzed separately in MZ and DZ twins</w:t>
      </w:r>
      <w:r w:rsidR="000D60B4">
        <w:t xml:space="preserve"> (</w:t>
      </w:r>
      <w:r w:rsidR="002E1F0D">
        <w:t>31</w:t>
      </w:r>
      <w:r w:rsidR="00092557">
        <w:t xml:space="preserve"> discordant </w:t>
      </w:r>
      <w:r w:rsidR="00D90C20">
        <w:t xml:space="preserve">and 328 concordant </w:t>
      </w:r>
      <w:r w:rsidR="00092557">
        <w:t>MZ</w:t>
      </w:r>
      <w:r w:rsidR="00D90C20">
        <w:t xml:space="preserve"> pairs</w:t>
      </w:r>
      <w:r w:rsidR="00092557">
        <w:t xml:space="preserve">, 66 discordant </w:t>
      </w:r>
      <w:r w:rsidR="00D90C20">
        <w:t xml:space="preserve">and 432 concordant </w:t>
      </w:r>
      <w:r w:rsidR="00092557">
        <w:t>DZ</w:t>
      </w:r>
      <w:r w:rsidR="00D90C20">
        <w:t xml:space="preserve"> pairs</w:t>
      </w:r>
      <w:r w:rsidR="000D60B4">
        <w:t>)</w:t>
      </w:r>
      <w:r>
        <w:t>. The differences were of similar magnitude in</w:t>
      </w:r>
      <w:r w:rsidR="00D06781">
        <w:t xml:space="preserve"> both</w:t>
      </w:r>
      <w:r>
        <w:t xml:space="preserve"> MZ and DZ twins (MZ:</w:t>
      </w:r>
      <w:r w:rsidR="006F381A">
        <w:t xml:space="preserve"> 3.88 vs 4.29</w:t>
      </w:r>
      <w:r w:rsidR="00043826">
        <w:t>,</w:t>
      </w:r>
      <w:r>
        <w:t xml:space="preserve"> </w:t>
      </w:r>
      <w:r w:rsidR="004100BD" w:rsidRPr="00043826">
        <w:rPr>
          <w:i/>
        </w:rPr>
        <w:t>B</w:t>
      </w:r>
      <w:r w:rsidR="004100BD">
        <w:t xml:space="preserve"> = </w:t>
      </w:r>
      <w:r>
        <w:t>-0.41</w:t>
      </w:r>
      <w:r w:rsidR="00043826">
        <w:t>,</w:t>
      </w:r>
      <w:r>
        <w:t xml:space="preserve"> 95% CI </w:t>
      </w:r>
      <w:r w:rsidR="00636C81">
        <w:t>[</w:t>
      </w:r>
      <w:r w:rsidR="00B94EFC">
        <w:t>-</w:t>
      </w:r>
      <w:r w:rsidRPr="00813FA0">
        <w:t>0.96</w:t>
      </w:r>
      <w:r w:rsidR="00636C81">
        <w:t>,</w:t>
      </w:r>
      <w:r w:rsidRPr="00813FA0">
        <w:t xml:space="preserve"> 0.13</w:t>
      </w:r>
      <w:r w:rsidR="00636C81">
        <w:t>]</w:t>
      </w:r>
      <w:r w:rsidR="00013468">
        <w:t>,</w:t>
      </w:r>
      <w:r w:rsidR="00013468" w:rsidRPr="00013468">
        <w:rPr>
          <w:i/>
        </w:rPr>
        <w:t xml:space="preserve"> </w:t>
      </w:r>
      <w:r w:rsidR="006B5700">
        <w:rPr>
          <w:i/>
        </w:rPr>
        <w:t>P</w:t>
      </w:r>
      <w:r w:rsidR="00013468">
        <w:rPr>
          <w:i/>
        </w:rPr>
        <w:t xml:space="preserve"> </w:t>
      </w:r>
      <w:r w:rsidR="00013468">
        <w:t xml:space="preserve">= </w:t>
      </w:r>
      <w:r w:rsidR="00013468" w:rsidRPr="00813FA0">
        <w:t>.1</w:t>
      </w:r>
      <w:r w:rsidR="00B94EFC">
        <w:t>34</w:t>
      </w:r>
      <w:r>
        <w:t>; DZ:</w:t>
      </w:r>
      <w:r w:rsidR="006F381A">
        <w:t xml:space="preserve"> 3.70 vs 4.17</w:t>
      </w:r>
      <w:r w:rsidR="00043826">
        <w:t>,</w:t>
      </w:r>
      <w:r>
        <w:t xml:space="preserve"> </w:t>
      </w:r>
      <w:r w:rsidR="004100BD" w:rsidRPr="00043826">
        <w:rPr>
          <w:i/>
        </w:rPr>
        <w:t>B</w:t>
      </w:r>
      <w:r w:rsidR="004100BD">
        <w:t xml:space="preserve"> = </w:t>
      </w:r>
      <w:r>
        <w:t xml:space="preserve">-0.47, 95% CI </w:t>
      </w:r>
      <w:r w:rsidR="00636C81">
        <w:t>[</w:t>
      </w:r>
      <w:r w:rsidRPr="00C31977">
        <w:t>-0.84</w:t>
      </w:r>
      <w:r w:rsidR="00636C81">
        <w:t>,</w:t>
      </w:r>
      <w:r w:rsidRPr="00C31977">
        <w:t xml:space="preserve"> -0.10</w:t>
      </w:r>
      <w:r w:rsidR="00636C81">
        <w:t>]</w:t>
      </w:r>
      <w:r w:rsidR="00013468">
        <w:t xml:space="preserve">, </w:t>
      </w:r>
      <w:r w:rsidR="006B5700">
        <w:rPr>
          <w:i/>
        </w:rPr>
        <w:t>P</w:t>
      </w:r>
      <w:r w:rsidR="00013468">
        <w:rPr>
          <w:i/>
        </w:rPr>
        <w:t xml:space="preserve"> </w:t>
      </w:r>
      <w:r w:rsidR="00013468" w:rsidRPr="008E2211">
        <w:t>=</w:t>
      </w:r>
      <w:r w:rsidR="006B5700">
        <w:t xml:space="preserve"> </w:t>
      </w:r>
      <w:r w:rsidR="00013468" w:rsidRPr="00C31977">
        <w:t>.012</w:t>
      </w:r>
      <w:r>
        <w:t>)</w:t>
      </w:r>
      <w:r w:rsidR="00BC6930">
        <w:t>, but the coefficient was</w:t>
      </w:r>
      <w:r w:rsidR="00212712">
        <w:t xml:space="preserve"> not</w:t>
      </w:r>
      <w:r w:rsidR="00BC6930">
        <w:t xml:space="preserve"> statistically significant in MZ twins.</w:t>
      </w:r>
    </w:p>
    <w:p w14:paraId="1CD8F739" w14:textId="77777777" w:rsidR="006E40A8" w:rsidRDefault="006E40A8" w:rsidP="006E40A8">
      <w:pPr>
        <w:rPr>
          <w:b/>
        </w:rPr>
        <w:sectPr w:rsidR="006E40A8" w:rsidSect="00820275">
          <w:headerReference w:type="default" r:id="rId9"/>
          <w:pgSz w:w="11906" w:h="16838"/>
          <w:pgMar w:top="1418" w:right="1134" w:bottom="1418" w:left="1418" w:header="709" w:footer="709" w:gutter="0"/>
          <w:cols w:space="708"/>
          <w:docGrid w:linePitch="360"/>
        </w:sectPr>
      </w:pPr>
    </w:p>
    <w:p w14:paraId="4A90F73C" w14:textId="2ED1712A" w:rsidR="006E40A8" w:rsidRPr="00DF78A9" w:rsidRDefault="006E40A8" w:rsidP="006E40A8">
      <w:pPr>
        <w:rPr>
          <w:b/>
        </w:rPr>
      </w:pPr>
      <w:r w:rsidRPr="00DF78A9">
        <w:rPr>
          <w:b/>
        </w:rPr>
        <w:lastRenderedPageBreak/>
        <w:t>Table 2 Between-family analysis results of the differences in total scores between</w:t>
      </w:r>
      <w:r w:rsidR="001D34AF">
        <w:rPr>
          <w:b/>
        </w:rPr>
        <w:t xml:space="preserve"> twins in</w:t>
      </w:r>
      <w:r w:rsidRPr="00DF78A9">
        <w:rPr>
          <w:b/>
        </w:rPr>
        <w:t xml:space="preserve"> cognitively discordant pairs and pairs concordant for </w:t>
      </w:r>
      <w:r w:rsidR="001074E0">
        <w:rPr>
          <w:b/>
        </w:rPr>
        <w:t>healthy</w:t>
      </w:r>
      <w:r w:rsidR="001074E0" w:rsidRPr="00DF78A9">
        <w:rPr>
          <w:b/>
        </w:rPr>
        <w:t xml:space="preserve"> </w:t>
      </w:r>
      <w:r w:rsidRPr="00DF78A9">
        <w:rPr>
          <w:b/>
        </w:rPr>
        <w:t>cognition</w:t>
      </w:r>
    </w:p>
    <w:tbl>
      <w:tblPr>
        <w:tblpPr w:leftFromText="141" w:rightFromText="141" w:vertAnchor="text" w:horzAnchor="margin" w:tblpY="9"/>
        <w:tblW w:w="0" w:type="auto"/>
        <w:tblCellMar>
          <w:left w:w="70" w:type="dxa"/>
          <w:right w:w="70" w:type="dxa"/>
        </w:tblCellMar>
        <w:tblLook w:val="04A0" w:firstRow="1" w:lastRow="0" w:firstColumn="1" w:lastColumn="0" w:noHBand="0" w:noVBand="1"/>
      </w:tblPr>
      <w:tblGrid>
        <w:gridCol w:w="3675"/>
        <w:gridCol w:w="688"/>
        <w:gridCol w:w="1368"/>
        <w:gridCol w:w="748"/>
        <w:gridCol w:w="146"/>
        <w:gridCol w:w="688"/>
        <w:gridCol w:w="1368"/>
        <w:gridCol w:w="748"/>
        <w:gridCol w:w="146"/>
        <w:gridCol w:w="688"/>
        <w:gridCol w:w="1368"/>
        <w:gridCol w:w="748"/>
      </w:tblGrid>
      <w:tr w:rsidR="006E40A8" w:rsidRPr="006E40A8" w14:paraId="33A28F43" w14:textId="77777777" w:rsidTr="006E40A8">
        <w:trPr>
          <w:trHeight w:val="340"/>
        </w:trPr>
        <w:tc>
          <w:tcPr>
            <w:tcW w:w="0" w:type="auto"/>
            <w:vMerge w:val="restart"/>
            <w:tcBorders>
              <w:top w:val="single" w:sz="8" w:space="0" w:color="auto"/>
              <w:left w:val="nil"/>
              <w:right w:val="nil"/>
            </w:tcBorders>
            <w:shd w:val="clear" w:color="auto" w:fill="auto"/>
            <w:noWrap/>
            <w:vAlign w:val="center"/>
            <w:hideMark/>
          </w:tcPr>
          <w:p w14:paraId="3669951C" w14:textId="77777777" w:rsidR="006E40A8" w:rsidRPr="006E40A8" w:rsidRDefault="006E40A8" w:rsidP="00E94731">
            <w:pPr>
              <w:spacing w:after="0"/>
              <w:rPr>
                <w:lang w:eastAsia="fi-FI"/>
              </w:rPr>
            </w:pPr>
          </w:p>
        </w:tc>
        <w:tc>
          <w:tcPr>
            <w:tcW w:w="0" w:type="auto"/>
            <w:gridSpan w:val="3"/>
            <w:tcBorders>
              <w:top w:val="single" w:sz="8" w:space="0" w:color="auto"/>
              <w:left w:val="nil"/>
              <w:bottom w:val="single" w:sz="4" w:space="0" w:color="auto"/>
              <w:right w:val="nil"/>
            </w:tcBorders>
            <w:shd w:val="clear" w:color="auto" w:fill="auto"/>
            <w:noWrap/>
            <w:vAlign w:val="center"/>
            <w:hideMark/>
          </w:tcPr>
          <w:p w14:paraId="0B8A249F" w14:textId="77777777" w:rsidR="006E40A8" w:rsidRPr="006E40A8" w:rsidRDefault="006E40A8" w:rsidP="00E94731">
            <w:pPr>
              <w:spacing w:after="0"/>
              <w:jc w:val="center"/>
              <w:rPr>
                <w:lang w:val="fi-FI" w:eastAsia="fi-FI"/>
              </w:rPr>
            </w:pPr>
            <w:proofErr w:type="spellStart"/>
            <w:r w:rsidRPr="006E40A8">
              <w:rPr>
                <w:lang w:val="fi-FI" w:eastAsia="fi-FI"/>
              </w:rPr>
              <w:t>All</w:t>
            </w:r>
            <w:proofErr w:type="spellEnd"/>
            <w:r w:rsidRPr="006E40A8">
              <w:rPr>
                <w:lang w:val="fi-FI" w:eastAsia="fi-FI"/>
              </w:rPr>
              <w:t xml:space="preserve"> </w:t>
            </w:r>
            <w:proofErr w:type="spellStart"/>
            <w:r w:rsidRPr="006E40A8">
              <w:rPr>
                <w:lang w:val="fi-FI" w:eastAsia="fi-FI"/>
              </w:rPr>
              <w:t>twins</w:t>
            </w:r>
            <w:r w:rsidRPr="006E40A8">
              <w:rPr>
                <w:vertAlign w:val="superscript"/>
                <w:lang w:val="fi-FI" w:eastAsia="fi-FI"/>
              </w:rPr>
              <w:t>a</w:t>
            </w:r>
            <w:proofErr w:type="spellEnd"/>
          </w:p>
        </w:tc>
        <w:tc>
          <w:tcPr>
            <w:tcW w:w="0" w:type="auto"/>
            <w:tcBorders>
              <w:top w:val="single" w:sz="8" w:space="0" w:color="auto"/>
              <w:left w:val="nil"/>
              <w:right w:val="nil"/>
            </w:tcBorders>
            <w:shd w:val="clear" w:color="auto" w:fill="auto"/>
            <w:noWrap/>
            <w:vAlign w:val="center"/>
            <w:hideMark/>
          </w:tcPr>
          <w:p w14:paraId="4DABAC3F" w14:textId="77777777" w:rsidR="006E40A8" w:rsidRPr="006E40A8" w:rsidRDefault="006E40A8" w:rsidP="00E94731">
            <w:pPr>
              <w:spacing w:after="0"/>
              <w:jc w:val="center"/>
              <w:rPr>
                <w:lang w:val="fi-FI" w:eastAsia="fi-FI"/>
              </w:rPr>
            </w:pPr>
          </w:p>
        </w:tc>
        <w:tc>
          <w:tcPr>
            <w:tcW w:w="0" w:type="auto"/>
            <w:gridSpan w:val="3"/>
            <w:tcBorders>
              <w:top w:val="single" w:sz="8" w:space="0" w:color="auto"/>
              <w:left w:val="nil"/>
              <w:bottom w:val="single" w:sz="4" w:space="0" w:color="auto"/>
              <w:right w:val="nil"/>
            </w:tcBorders>
            <w:shd w:val="clear" w:color="auto" w:fill="auto"/>
            <w:noWrap/>
            <w:vAlign w:val="center"/>
            <w:hideMark/>
          </w:tcPr>
          <w:p w14:paraId="4DFBC779" w14:textId="77777777" w:rsidR="006E40A8" w:rsidRPr="006E40A8" w:rsidRDefault="006E40A8" w:rsidP="00E94731">
            <w:pPr>
              <w:spacing w:after="0"/>
              <w:jc w:val="center"/>
              <w:rPr>
                <w:lang w:val="fi-FI" w:eastAsia="fi-FI"/>
              </w:rPr>
            </w:pPr>
            <w:proofErr w:type="spellStart"/>
            <w:r w:rsidRPr="006E40A8">
              <w:rPr>
                <w:lang w:val="fi-FI" w:eastAsia="fi-FI"/>
              </w:rPr>
              <w:t>MZs</w:t>
            </w:r>
            <w:proofErr w:type="spellEnd"/>
            <w:r w:rsidRPr="006E40A8">
              <w:rPr>
                <w:vertAlign w:val="superscript"/>
              </w:rPr>
              <w:t>b</w:t>
            </w:r>
          </w:p>
        </w:tc>
        <w:tc>
          <w:tcPr>
            <w:tcW w:w="0" w:type="auto"/>
            <w:tcBorders>
              <w:top w:val="single" w:sz="8" w:space="0" w:color="auto"/>
              <w:left w:val="nil"/>
              <w:right w:val="nil"/>
            </w:tcBorders>
            <w:shd w:val="clear" w:color="auto" w:fill="auto"/>
            <w:noWrap/>
            <w:vAlign w:val="center"/>
            <w:hideMark/>
          </w:tcPr>
          <w:p w14:paraId="4F205DF3" w14:textId="77777777" w:rsidR="006E40A8" w:rsidRPr="006E40A8" w:rsidRDefault="006E40A8" w:rsidP="00E94731">
            <w:pPr>
              <w:spacing w:after="0"/>
              <w:jc w:val="center"/>
              <w:rPr>
                <w:lang w:val="fi-FI" w:eastAsia="fi-FI"/>
              </w:rPr>
            </w:pPr>
          </w:p>
        </w:tc>
        <w:tc>
          <w:tcPr>
            <w:tcW w:w="0" w:type="auto"/>
            <w:gridSpan w:val="3"/>
            <w:tcBorders>
              <w:top w:val="single" w:sz="8" w:space="0" w:color="auto"/>
              <w:left w:val="nil"/>
              <w:bottom w:val="single" w:sz="4" w:space="0" w:color="auto"/>
              <w:right w:val="nil"/>
            </w:tcBorders>
            <w:shd w:val="clear" w:color="auto" w:fill="auto"/>
            <w:noWrap/>
            <w:vAlign w:val="center"/>
            <w:hideMark/>
          </w:tcPr>
          <w:p w14:paraId="27C109D2" w14:textId="77777777" w:rsidR="006E40A8" w:rsidRPr="006E40A8" w:rsidRDefault="006E40A8" w:rsidP="00E94731">
            <w:pPr>
              <w:spacing w:after="0"/>
              <w:jc w:val="center"/>
              <w:rPr>
                <w:lang w:val="fi-FI" w:eastAsia="fi-FI"/>
              </w:rPr>
            </w:pPr>
            <w:proofErr w:type="spellStart"/>
            <w:r w:rsidRPr="006E40A8">
              <w:rPr>
                <w:lang w:val="fi-FI" w:eastAsia="fi-FI"/>
              </w:rPr>
              <w:t>DZs</w:t>
            </w:r>
            <w:proofErr w:type="spellEnd"/>
            <w:r w:rsidRPr="006E40A8">
              <w:rPr>
                <w:vertAlign w:val="superscript"/>
              </w:rPr>
              <w:t>c</w:t>
            </w:r>
          </w:p>
        </w:tc>
      </w:tr>
      <w:tr w:rsidR="006E40A8" w:rsidRPr="006E40A8" w14:paraId="572559D1" w14:textId="77777777" w:rsidTr="006E40A8">
        <w:trPr>
          <w:trHeight w:val="340"/>
        </w:trPr>
        <w:tc>
          <w:tcPr>
            <w:tcW w:w="0" w:type="auto"/>
            <w:vMerge/>
            <w:tcBorders>
              <w:left w:val="nil"/>
              <w:bottom w:val="single" w:sz="8" w:space="0" w:color="auto"/>
              <w:right w:val="nil"/>
            </w:tcBorders>
            <w:shd w:val="clear" w:color="auto" w:fill="auto"/>
            <w:noWrap/>
            <w:vAlign w:val="center"/>
            <w:hideMark/>
          </w:tcPr>
          <w:p w14:paraId="7E5ECC3C" w14:textId="77777777" w:rsidR="006E40A8" w:rsidRPr="006E40A8" w:rsidRDefault="006E40A8" w:rsidP="00E94731">
            <w:pPr>
              <w:spacing w:after="0"/>
              <w:rPr>
                <w:lang w:val="fi-FI" w:eastAsia="fi-FI"/>
              </w:rPr>
            </w:pPr>
          </w:p>
        </w:tc>
        <w:tc>
          <w:tcPr>
            <w:tcW w:w="0" w:type="auto"/>
            <w:tcBorders>
              <w:top w:val="nil"/>
              <w:left w:val="nil"/>
              <w:bottom w:val="single" w:sz="8" w:space="0" w:color="auto"/>
              <w:right w:val="nil"/>
            </w:tcBorders>
            <w:shd w:val="clear" w:color="auto" w:fill="auto"/>
            <w:noWrap/>
            <w:vAlign w:val="center"/>
            <w:hideMark/>
          </w:tcPr>
          <w:p w14:paraId="15CE2444" w14:textId="77777777" w:rsidR="006E40A8" w:rsidRPr="007E2951" w:rsidRDefault="006E40A8" w:rsidP="00E94731">
            <w:pPr>
              <w:spacing w:after="0"/>
              <w:jc w:val="center"/>
              <w:rPr>
                <w:i/>
                <w:lang w:val="fi-FI" w:eastAsia="fi-FI"/>
              </w:rPr>
            </w:pPr>
            <w:r w:rsidRPr="007E2951">
              <w:rPr>
                <w:i/>
                <w:lang w:val="fi-FI" w:eastAsia="fi-FI"/>
              </w:rPr>
              <w:t>B</w:t>
            </w:r>
          </w:p>
        </w:tc>
        <w:tc>
          <w:tcPr>
            <w:tcW w:w="0" w:type="auto"/>
            <w:tcBorders>
              <w:top w:val="nil"/>
              <w:left w:val="nil"/>
              <w:bottom w:val="single" w:sz="8" w:space="0" w:color="auto"/>
              <w:right w:val="nil"/>
            </w:tcBorders>
            <w:shd w:val="clear" w:color="auto" w:fill="auto"/>
            <w:noWrap/>
            <w:vAlign w:val="center"/>
            <w:hideMark/>
          </w:tcPr>
          <w:p w14:paraId="205211F5" w14:textId="77777777" w:rsidR="006E40A8" w:rsidRPr="006E40A8" w:rsidRDefault="006E40A8" w:rsidP="00E94731">
            <w:pPr>
              <w:spacing w:after="0"/>
              <w:jc w:val="center"/>
              <w:rPr>
                <w:lang w:val="fi-FI" w:eastAsia="fi-FI"/>
              </w:rPr>
            </w:pPr>
            <w:proofErr w:type="gramStart"/>
            <w:r w:rsidRPr="006E40A8">
              <w:rPr>
                <w:lang w:val="fi-FI" w:eastAsia="fi-FI"/>
              </w:rPr>
              <w:t>95%</w:t>
            </w:r>
            <w:proofErr w:type="gramEnd"/>
            <w:r w:rsidRPr="006E40A8">
              <w:rPr>
                <w:lang w:val="fi-FI" w:eastAsia="fi-FI"/>
              </w:rPr>
              <w:t xml:space="preserve"> CI</w:t>
            </w:r>
          </w:p>
        </w:tc>
        <w:tc>
          <w:tcPr>
            <w:tcW w:w="0" w:type="auto"/>
            <w:tcBorders>
              <w:top w:val="nil"/>
              <w:left w:val="nil"/>
              <w:bottom w:val="single" w:sz="8" w:space="0" w:color="auto"/>
              <w:right w:val="nil"/>
            </w:tcBorders>
            <w:shd w:val="clear" w:color="auto" w:fill="auto"/>
            <w:noWrap/>
            <w:vAlign w:val="center"/>
            <w:hideMark/>
          </w:tcPr>
          <w:p w14:paraId="0787A1E6" w14:textId="77777777" w:rsidR="006E40A8" w:rsidRPr="007E2951" w:rsidRDefault="006E40A8" w:rsidP="00E94731">
            <w:pPr>
              <w:spacing w:after="0"/>
              <w:jc w:val="center"/>
              <w:rPr>
                <w:i/>
                <w:lang w:val="fi-FI" w:eastAsia="fi-FI"/>
              </w:rPr>
            </w:pPr>
            <w:r w:rsidRPr="007E2951">
              <w:rPr>
                <w:i/>
                <w:lang w:val="fi-FI" w:eastAsia="fi-FI"/>
              </w:rPr>
              <w:t>P</w:t>
            </w:r>
          </w:p>
        </w:tc>
        <w:tc>
          <w:tcPr>
            <w:tcW w:w="0" w:type="auto"/>
            <w:tcBorders>
              <w:top w:val="nil"/>
              <w:left w:val="nil"/>
              <w:bottom w:val="single" w:sz="8" w:space="0" w:color="auto"/>
              <w:right w:val="nil"/>
            </w:tcBorders>
            <w:shd w:val="clear" w:color="auto" w:fill="auto"/>
            <w:noWrap/>
            <w:vAlign w:val="center"/>
            <w:hideMark/>
          </w:tcPr>
          <w:p w14:paraId="795AA960" w14:textId="77777777" w:rsidR="006E40A8" w:rsidRPr="006E40A8" w:rsidRDefault="006E40A8" w:rsidP="00E94731">
            <w:pPr>
              <w:spacing w:after="0"/>
              <w:jc w:val="center"/>
              <w:rPr>
                <w:lang w:val="fi-FI" w:eastAsia="fi-FI"/>
              </w:rPr>
            </w:pPr>
          </w:p>
        </w:tc>
        <w:tc>
          <w:tcPr>
            <w:tcW w:w="0" w:type="auto"/>
            <w:tcBorders>
              <w:top w:val="nil"/>
              <w:left w:val="nil"/>
              <w:bottom w:val="single" w:sz="8" w:space="0" w:color="auto"/>
              <w:right w:val="nil"/>
            </w:tcBorders>
            <w:shd w:val="clear" w:color="auto" w:fill="auto"/>
            <w:noWrap/>
            <w:vAlign w:val="center"/>
            <w:hideMark/>
          </w:tcPr>
          <w:p w14:paraId="2620CA41" w14:textId="77777777" w:rsidR="006E40A8" w:rsidRPr="007E2951" w:rsidRDefault="006E40A8" w:rsidP="00E94731">
            <w:pPr>
              <w:spacing w:after="0"/>
              <w:jc w:val="center"/>
              <w:rPr>
                <w:i/>
                <w:lang w:val="fi-FI" w:eastAsia="fi-FI"/>
              </w:rPr>
            </w:pPr>
            <w:r w:rsidRPr="007E2951">
              <w:rPr>
                <w:i/>
                <w:lang w:val="fi-FI" w:eastAsia="fi-FI"/>
              </w:rPr>
              <w:t>B</w:t>
            </w:r>
          </w:p>
        </w:tc>
        <w:tc>
          <w:tcPr>
            <w:tcW w:w="0" w:type="auto"/>
            <w:tcBorders>
              <w:top w:val="nil"/>
              <w:left w:val="nil"/>
              <w:bottom w:val="single" w:sz="8" w:space="0" w:color="auto"/>
              <w:right w:val="nil"/>
            </w:tcBorders>
            <w:shd w:val="clear" w:color="auto" w:fill="auto"/>
            <w:noWrap/>
            <w:vAlign w:val="center"/>
            <w:hideMark/>
          </w:tcPr>
          <w:p w14:paraId="52FBD530" w14:textId="77777777" w:rsidR="006E40A8" w:rsidRPr="006E40A8" w:rsidRDefault="006E40A8" w:rsidP="00E94731">
            <w:pPr>
              <w:spacing w:after="0"/>
              <w:jc w:val="center"/>
              <w:rPr>
                <w:lang w:val="fi-FI" w:eastAsia="fi-FI"/>
              </w:rPr>
            </w:pPr>
            <w:proofErr w:type="gramStart"/>
            <w:r w:rsidRPr="006E40A8">
              <w:rPr>
                <w:lang w:val="fi-FI" w:eastAsia="fi-FI"/>
              </w:rPr>
              <w:t>95%</w:t>
            </w:r>
            <w:proofErr w:type="gramEnd"/>
            <w:r w:rsidRPr="006E40A8">
              <w:rPr>
                <w:lang w:val="fi-FI" w:eastAsia="fi-FI"/>
              </w:rPr>
              <w:t xml:space="preserve"> CI</w:t>
            </w:r>
          </w:p>
        </w:tc>
        <w:tc>
          <w:tcPr>
            <w:tcW w:w="0" w:type="auto"/>
            <w:tcBorders>
              <w:top w:val="nil"/>
              <w:left w:val="nil"/>
              <w:bottom w:val="single" w:sz="8" w:space="0" w:color="auto"/>
              <w:right w:val="nil"/>
            </w:tcBorders>
            <w:shd w:val="clear" w:color="auto" w:fill="auto"/>
            <w:noWrap/>
            <w:vAlign w:val="center"/>
            <w:hideMark/>
          </w:tcPr>
          <w:p w14:paraId="222E6769" w14:textId="77777777" w:rsidR="006E40A8" w:rsidRPr="007E2951" w:rsidRDefault="006E40A8" w:rsidP="00E94731">
            <w:pPr>
              <w:spacing w:after="0"/>
              <w:jc w:val="center"/>
              <w:rPr>
                <w:i/>
                <w:lang w:val="fi-FI" w:eastAsia="fi-FI"/>
              </w:rPr>
            </w:pPr>
            <w:r w:rsidRPr="007E2951">
              <w:rPr>
                <w:i/>
                <w:lang w:val="fi-FI" w:eastAsia="fi-FI"/>
              </w:rPr>
              <w:t>P</w:t>
            </w:r>
          </w:p>
        </w:tc>
        <w:tc>
          <w:tcPr>
            <w:tcW w:w="0" w:type="auto"/>
            <w:tcBorders>
              <w:top w:val="nil"/>
              <w:left w:val="nil"/>
              <w:bottom w:val="single" w:sz="8" w:space="0" w:color="auto"/>
              <w:right w:val="nil"/>
            </w:tcBorders>
            <w:shd w:val="clear" w:color="auto" w:fill="auto"/>
            <w:noWrap/>
            <w:vAlign w:val="center"/>
            <w:hideMark/>
          </w:tcPr>
          <w:p w14:paraId="6941D9DE" w14:textId="77777777" w:rsidR="006E40A8" w:rsidRPr="006E40A8" w:rsidRDefault="006E40A8" w:rsidP="00E94731">
            <w:pPr>
              <w:spacing w:after="0"/>
              <w:jc w:val="center"/>
              <w:rPr>
                <w:lang w:val="fi-FI" w:eastAsia="fi-FI"/>
              </w:rPr>
            </w:pPr>
          </w:p>
        </w:tc>
        <w:tc>
          <w:tcPr>
            <w:tcW w:w="0" w:type="auto"/>
            <w:tcBorders>
              <w:top w:val="nil"/>
              <w:left w:val="nil"/>
              <w:bottom w:val="single" w:sz="8" w:space="0" w:color="auto"/>
              <w:right w:val="nil"/>
            </w:tcBorders>
            <w:shd w:val="clear" w:color="auto" w:fill="auto"/>
            <w:noWrap/>
            <w:vAlign w:val="center"/>
            <w:hideMark/>
          </w:tcPr>
          <w:p w14:paraId="1E5018BB" w14:textId="77777777" w:rsidR="006E40A8" w:rsidRPr="007E2951" w:rsidRDefault="006E40A8" w:rsidP="00E94731">
            <w:pPr>
              <w:spacing w:after="0"/>
              <w:jc w:val="center"/>
              <w:rPr>
                <w:i/>
                <w:lang w:val="fi-FI" w:eastAsia="fi-FI"/>
              </w:rPr>
            </w:pPr>
            <w:r w:rsidRPr="007E2951">
              <w:rPr>
                <w:i/>
                <w:lang w:val="fi-FI" w:eastAsia="fi-FI"/>
              </w:rPr>
              <w:t>B</w:t>
            </w:r>
          </w:p>
        </w:tc>
        <w:tc>
          <w:tcPr>
            <w:tcW w:w="0" w:type="auto"/>
            <w:tcBorders>
              <w:top w:val="nil"/>
              <w:left w:val="nil"/>
              <w:bottom w:val="single" w:sz="8" w:space="0" w:color="auto"/>
              <w:right w:val="nil"/>
            </w:tcBorders>
            <w:shd w:val="clear" w:color="auto" w:fill="auto"/>
            <w:noWrap/>
            <w:vAlign w:val="center"/>
            <w:hideMark/>
          </w:tcPr>
          <w:p w14:paraId="01D173D0" w14:textId="77777777" w:rsidR="006E40A8" w:rsidRPr="006E40A8" w:rsidRDefault="006E40A8" w:rsidP="00E94731">
            <w:pPr>
              <w:spacing w:after="0"/>
              <w:jc w:val="center"/>
              <w:rPr>
                <w:lang w:val="fi-FI" w:eastAsia="fi-FI"/>
              </w:rPr>
            </w:pPr>
            <w:proofErr w:type="gramStart"/>
            <w:r w:rsidRPr="006E40A8">
              <w:rPr>
                <w:lang w:val="fi-FI" w:eastAsia="fi-FI"/>
              </w:rPr>
              <w:t>95%</w:t>
            </w:r>
            <w:proofErr w:type="gramEnd"/>
            <w:r w:rsidRPr="006E40A8">
              <w:rPr>
                <w:lang w:val="fi-FI" w:eastAsia="fi-FI"/>
              </w:rPr>
              <w:t xml:space="preserve"> CI</w:t>
            </w:r>
          </w:p>
        </w:tc>
        <w:tc>
          <w:tcPr>
            <w:tcW w:w="0" w:type="auto"/>
            <w:tcBorders>
              <w:top w:val="nil"/>
              <w:left w:val="nil"/>
              <w:bottom w:val="single" w:sz="8" w:space="0" w:color="auto"/>
              <w:right w:val="nil"/>
            </w:tcBorders>
            <w:shd w:val="clear" w:color="auto" w:fill="auto"/>
            <w:noWrap/>
            <w:vAlign w:val="center"/>
            <w:hideMark/>
          </w:tcPr>
          <w:p w14:paraId="5B5496AD" w14:textId="77777777" w:rsidR="006E40A8" w:rsidRPr="007E2951" w:rsidRDefault="006E40A8" w:rsidP="00E94731">
            <w:pPr>
              <w:spacing w:after="0"/>
              <w:jc w:val="center"/>
              <w:rPr>
                <w:i/>
                <w:lang w:val="fi-FI" w:eastAsia="fi-FI"/>
              </w:rPr>
            </w:pPr>
            <w:r w:rsidRPr="007E2951">
              <w:rPr>
                <w:i/>
                <w:lang w:val="fi-FI" w:eastAsia="fi-FI"/>
              </w:rPr>
              <w:t>P</w:t>
            </w:r>
          </w:p>
        </w:tc>
      </w:tr>
      <w:tr w:rsidR="006E40A8" w:rsidRPr="006E40A8" w14:paraId="0F4BB682" w14:textId="77777777" w:rsidTr="006E40A8">
        <w:trPr>
          <w:trHeight w:val="340"/>
        </w:trPr>
        <w:tc>
          <w:tcPr>
            <w:tcW w:w="0" w:type="auto"/>
            <w:tcBorders>
              <w:top w:val="single" w:sz="8" w:space="0" w:color="auto"/>
              <w:left w:val="nil"/>
              <w:bottom w:val="single" w:sz="4" w:space="0" w:color="auto"/>
              <w:right w:val="nil"/>
            </w:tcBorders>
            <w:shd w:val="clear" w:color="auto" w:fill="auto"/>
            <w:noWrap/>
            <w:vAlign w:val="center"/>
          </w:tcPr>
          <w:p w14:paraId="4EF39824" w14:textId="77777777" w:rsidR="006E40A8" w:rsidRPr="006E40A8" w:rsidRDefault="006E40A8" w:rsidP="00E94731">
            <w:pPr>
              <w:spacing w:after="0"/>
              <w:rPr>
                <w:lang w:eastAsia="fi-FI"/>
              </w:rPr>
            </w:pPr>
            <w:r w:rsidRPr="006E40A8">
              <w:rPr>
                <w:lang w:eastAsia="fi-FI"/>
              </w:rPr>
              <w:t>Group</w:t>
            </w:r>
          </w:p>
        </w:tc>
        <w:tc>
          <w:tcPr>
            <w:tcW w:w="0" w:type="auto"/>
            <w:tcBorders>
              <w:top w:val="single" w:sz="8" w:space="0" w:color="auto"/>
              <w:left w:val="nil"/>
              <w:bottom w:val="single" w:sz="4" w:space="0" w:color="auto"/>
              <w:right w:val="nil"/>
            </w:tcBorders>
            <w:shd w:val="clear" w:color="auto" w:fill="auto"/>
            <w:noWrap/>
            <w:vAlign w:val="center"/>
          </w:tcPr>
          <w:p w14:paraId="72208886" w14:textId="77777777" w:rsidR="006E40A8" w:rsidRPr="006E40A8" w:rsidRDefault="006E40A8" w:rsidP="00E94731">
            <w:pPr>
              <w:spacing w:after="0"/>
              <w:jc w:val="center"/>
              <w:rPr>
                <w:lang w:eastAsia="fi-FI"/>
              </w:rPr>
            </w:pPr>
          </w:p>
        </w:tc>
        <w:tc>
          <w:tcPr>
            <w:tcW w:w="0" w:type="auto"/>
            <w:tcBorders>
              <w:top w:val="single" w:sz="8" w:space="0" w:color="auto"/>
              <w:left w:val="nil"/>
              <w:bottom w:val="single" w:sz="4" w:space="0" w:color="auto"/>
              <w:right w:val="nil"/>
            </w:tcBorders>
            <w:shd w:val="clear" w:color="auto" w:fill="auto"/>
            <w:noWrap/>
            <w:vAlign w:val="center"/>
          </w:tcPr>
          <w:p w14:paraId="652268A6" w14:textId="77777777" w:rsidR="006E40A8" w:rsidRPr="006E40A8" w:rsidRDefault="006E40A8" w:rsidP="00E94731">
            <w:pPr>
              <w:spacing w:after="0"/>
              <w:jc w:val="center"/>
              <w:rPr>
                <w:lang w:eastAsia="fi-FI"/>
              </w:rPr>
            </w:pPr>
          </w:p>
        </w:tc>
        <w:tc>
          <w:tcPr>
            <w:tcW w:w="0" w:type="auto"/>
            <w:tcBorders>
              <w:top w:val="single" w:sz="8" w:space="0" w:color="auto"/>
              <w:left w:val="nil"/>
              <w:bottom w:val="single" w:sz="4" w:space="0" w:color="auto"/>
              <w:right w:val="nil"/>
            </w:tcBorders>
            <w:shd w:val="clear" w:color="auto" w:fill="auto"/>
            <w:noWrap/>
            <w:vAlign w:val="center"/>
          </w:tcPr>
          <w:p w14:paraId="74159EC3" w14:textId="77777777" w:rsidR="006E40A8" w:rsidRPr="006E40A8" w:rsidRDefault="006E40A8" w:rsidP="00E94731">
            <w:pPr>
              <w:spacing w:after="0"/>
              <w:jc w:val="center"/>
              <w:rPr>
                <w:lang w:eastAsia="fi-FI"/>
              </w:rPr>
            </w:pPr>
          </w:p>
        </w:tc>
        <w:tc>
          <w:tcPr>
            <w:tcW w:w="0" w:type="auto"/>
            <w:tcBorders>
              <w:top w:val="single" w:sz="8" w:space="0" w:color="auto"/>
              <w:left w:val="nil"/>
              <w:bottom w:val="single" w:sz="4" w:space="0" w:color="auto"/>
              <w:right w:val="nil"/>
            </w:tcBorders>
            <w:shd w:val="clear" w:color="auto" w:fill="auto"/>
            <w:noWrap/>
            <w:vAlign w:val="center"/>
          </w:tcPr>
          <w:p w14:paraId="7C78A5B5" w14:textId="77777777" w:rsidR="006E40A8" w:rsidRPr="006E40A8" w:rsidRDefault="006E40A8" w:rsidP="00E94731">
            <w:pPr>
              <w:spacing w:after="0"/>
              <w:jc w:val="center"/>
              <w:rPr>
                <w:lang w:eastAsia="fi-FI"/>
              </w:rPr>
            </w:pPr>
          </w:p>
        </w:tc>
        <w:tc>
          <w:tcPr>
            <w:tcW w:w="0" w:type="auto"/>
            <w:tcBorders>
              <w:top w:val="single" w:sz="8" w:space="0" w:color="auto"/>
              <w:left w:val="nil"/>
              <w:bottom w:val="single" w:sz="4" w:space="0" w:color="auto"/>
              <w:right w:val="nil"/>
            </w:tcBorders>
            <w:shd w:val="clear" w:color="auto" w:fill="auto"/>
            <w:noWrap/>
            <w:vAlign w:val="center"/>
          </w:tcPr>
          <w:p w14:paraId="3B7A0F29" w14:textId="77777777" w:rsidR="006E40A8" w:rsidRPr="006E40A8" w:rsidRDefault="006E40A8" w:rsidP="00E94731">
            <w:pPr>
              <w:spacing w:after="0"/>
              <w:jc w:val="center"/>
              <w:rPr>
                <w:lang w:eastAsia="fi-FI"/>
              </w:rPr>
            </w:pPr>
          </w:p>
        </w:tc>
        <w:tc>
          <w:tcPr>
            <w:tcW w:w="0" w:type="auto"/>
            <w:tcBorders>
              <w:top w:val="single" w:sz="8" w:space="0" w:color="auto"/>
              <w:left w:val="nil"/>
              <w:bottom w:val="single" w:sz="4" w:space="0" w:color="auto"/>
              <w:right w:val="nil"/>
            </w:tcBorders>
            <w:shd w:val="clear" w:color="auto" w:fill="auto"/>
            <w:noWrap/>
            <w:vAlign w:val="center"/>
          </w:tcPr>
          <w:p w14:paraId="54A45BDB" w14:textId="77777777" w:rsidR="006E40A8" w:rsidRPr="006E40A8" w:rsidRDefault="006E40A8" w:rsidP="00E94731">
            <w:pPr>
              <w:spacing w:after="0"/>
              <w:jc w:val="center"/>
              <w:rPr>
                <w:lang w:eastAsia="fi-FI"/>
              </w:rPr>
            </w:pPr>
          </w:p>
        </w:tc>
        <w:tc>
          <w:tcPr>
            <w:tcW w:w="0" w:type="auto"/>
            <w:tcBorders>
              <w:top w:val="single" w:sz="8" w:space="0" w:color="auto"/>
              <w:left w:val="nil"/>
              <w:bottom w:val="single" w:sz="4" w:space="0" w:color="auto"/>
              <w:right w:val="nil"/>
            </w:tcBorders>
            <w:shd w:val="clear" w:color="auto" w:fill="auto"/>
            <w:noWrap/>
            <w:vAlign w:val="center"/>
          </w:tcPr>
          <w:p w14:paraId="4064B0BB" w14:textId="77777777" w:rsidR="006E40A8" w:rsidRPr="006E40A8" w:rsidRDefault="006E40A8" w:rsidP="00E94731">
            <w:pPr>
              <w:spacing w:after="0"/>
              <w:jc w:val="center"/>
              <w:rPr>
                <w:lang w:eastAsia="fi-FI"/>
              </w:rPr>
            </w:pPr>
          </w:p>
        </w:tc>
        <w:tc>
          <w:tcPr>
            <w:tcW w:w="0" w:type="auto"/>
            <w:tcBorders>
              <w:top w:val="single" w:sz="8" w:space="0" w:color="auto"/>
              <w:left w:val="nil"/>
              <w:bottom w:val="single" w:sz="4" w:space="0" w:color="auto"/>
              <w:right w:val="nil"/>
            </w:tcBorders>
            <w:shd w:val="clear" w:color="auto" w:fill="auto"/>
            <w:noWrap/>
            <w:vAlign w:val="center"/>
          </w:tcPr>
          <w:p w14:paraId="71DCDD68" w14:textId="77777777" w:rsidR="006E40A8" w:rsidRPr="006E40A8" w:rsidRDefault="006E40A8" w:rsidP="00E94731">
            <w:pPr>
              <w:spacing w:after="0"/>
              <w:jc w:val="center"/>
              <w:rPr>
                <w:lang w:eastAsia="fi-FI"/>
              </w:rPr>
            </w:pPr>
          </w:p>
        </w:tc>
        <w:tc>
          <w:tcPr>
            <w:tcW w:w="0" w:type="auto"/>
            <w:tcBorders>
              <w:top w:val="single" w:sz="8" w:space="0" w:color="auto"/>
              <w:left w:val="nil"/>
              <w:bottom w:val="single" w:sz="4" w:space="0" w:color="auto"/>
              <w:right w:val="nil"/>
            </w:tcBorders>
            <w:shd w:val="clear" w:color="auto" w:fill="auto"/>
            <w:noWrap/>
            <w:vAlign w:val="center"/>
          </w:tcPr>
          <w:p w14:paraId="4126D911" w14:textId="77777777" w:rsidR="006E40A8" w:rsidRPr="006E40A8" w:rsidRDefault="006E40A8" w:rsidP="00E94731">
            <w:pPr>
              <w:spacing w:after="0"/>
              <w:jc w:val="center"/>
              <w:rPr>
                <w:lang w:eastAsia="fi-FI"/>
              </w:rPr>
            </w:pPr>
          </w:p>
        </w:tc>
        <w:tc>
          <w:tcPr>
            <w:tcW w:w="0" w:type="auto"/>
            <w:tcBorders>
              <w:top w:val="single" w:sz="8" w:space="0" w:color="auto"/>
              <w:left w:val="nil"/>
              <w:bottom w:val="single" w:sz="4" w:space="0" w:color="auto"/>
              <w:right w:val="nil"/>
            </w:tcBorders>
            <w:shd w:val="clear" w:color="auto" w:fill="auto"/>
            <w:noWrap/>
            <w:vAlign w:val="center"/>
          </w:tcPr>
          <w:p w14:paraId="0A622570" w14:textId="77777777" w:rsidR="006E40A8" w:rsidRPr="006E40A8" w:rsidRDefault="006E40A8" w:rsidP="00E94731">
            <w:pPr>
              <w:spacing w:after="0"/>
              <w:jc w:val="center"/>
              <w:rPr>
                <w:lang w:eastAsia="fi-FI"/>
              </w:rPr>
            </w:pPr>
          </w:p>
        </w:tc>
        <w:tc>
          <w:tcPr>
            <w:tcW w:w="0" w:type="auto"/>
            <w:tcBorders>
              <w:top w:val="single" w:sz="8" w:space="0" w:color="auto"/>
              <w:left w:val="nil"/>
              <w:bottom w:val="single" w:sz="4" w:space="0" w:color="auto"/>
              <w:right w:val="nil"/>
            </w:tcBorders>
            <w:shd w:val="clear" w:color="auto" w:fill="auto"/>
            <w:noWrap/>
            <w:vAlign w:val="center"/>
          </w:tcPr>
          <w:p w14:paraId="7242FF5E" w14:textId="77777777" w:rsidR="006E40A8" w:rsidRPr="006E40A8" w:rsidRDefault="006E40A8" w:rsidP="00E94731">
            <w:pPr>
              <w:spacing w:after="0"/>
              <w:jc w:val="center"/>
              <w:rPr>
                <w:lang w:eastAsia="fi-FI"/>
              </w:rPr>
            </w:pPr>
          </w:p>
        </w:tc>
      </w:tr>
      <w:tr w:rsidR="006E40A8" w:rsidRPr="006E40A8" w14:paraId="262B68F7" w14:textId="77777777" w:rsidTr="006E40A8">
        <w:trPr>
          <w:trHeight w:val="340"/>
        </w:trPr>
        <w:tc>
          <w:tcPr>
            <w:tcW w:w="0" w:type="auto"/>
            <w:tcBorders>
              <w:top w:val="single" w:sz="4" w:space="0" w:color="auto"/>
              <w:left w:val="nil"/>
              <w:bottom w:val="single" w:sz="4" w:space="0" w:color="auto"/>
              <w:right w:val="nil"/>
            </w:tcBorders>
            <w:shd w:val="clear" w:color="auto" w:fill="auto"/>
            <w:noWrap/>
            <w:vAlign w:val="center"/>
          </w:tcPr>
          <w:p w14:paraId="66A5485B" w14:textId="33EF1A1F" w:rsidR="006E40A8" w:rsidRPr="006E40A8" w:rsidRDefault="006E40A8" w:rsidP="00E94731">
            <w:pPr>
              <w:spacing w:after="0"/>
              <w:rPr>
                <w:lang w:eastAsia="fi-FI"/>
              </w:rPr>
            </w:pPr>
            <w:r w:rsidRPr="006E40A8">
              <w:rPr>
                <w:lang w:eastAsia="fi-FI"/>
              </w:rPr>
              <w:t xml:space="preserve">  Cognitively </w:t>
            </w:r>
            <w:r w:rsidR="001074E0">
              <w:rPr>
                <w:lang w:eastAsia="fi-FI"/>
              </w:rPr>
              <w:t>healthy</w:t>
            </w:r>
            <w:r w:rsidR="001074E0" w:rsidRPr="006E40A8">
              <w:rPr>
                <w:lang w:eastAsia="fi-FI"/>
              </w:rPr>
              <w:t xml:space="preserve"> </w:t>
            </w:r>
            <w:r w:rsidRPr="006E40A8">
              <w:rPr>
                <w:lang w:eastAsia="fi-FI"/>
              </w:rPr>
              <w:t xml:space="preserve">twins </w:t>
            </w:r>
          </w:p>
          <w:p w14:paraId="6DD5AE90" w14:textId="76C9E423" w:rsidR="006E40A8" w:rsidRPr="006E40A8" w:rsidRDefault="006E40A8" w:rsidP="00E94731">
            <w:pPr>
              <w:spacing w:after="0"/>
              <w:rPr>
                <w:lang w:eastAsia="fi-FI"/>
              </w:rPr>
            </w:pPr>
            <w:r w:rsidRPr="006E40A8">
              <w:rPr>
                <w:lang w:eastAsia="fi-FI"/>
              </w:rPr>
              <w:t xml:space="preserve">  with cognitively </w:t>
            </w:r>
            <w:r w:rsidR="001074E0">
              <w:rPr>
                <w:lang w:eastAsia="fi-FI"/>
              </w:rPr>
              <w:t xml:space="preserve">healthy </w:t>
            </w:r>
            <w:r w:rsidRPr="006E40A8">
              <w:rPr>
                <w:lang w:eastAsia="fi-FI"/>
              </w:rPr>
              <w:t>co-twins</w:t>
            </w:r>
          </w:p>
        </w:tc>
        <w:tc>
          <w:tcPr>
            <w:tcW w:w="0" w:type="auto"/>
            <w:gridSpan w:val="4"/>
            <w:tcBorders>
              <w:top w:val="single" w:sz="4" w:space="0" w:color="auto"/>
              <w:left w:val="nil"/>
              <w:bottom w:val="single" w:sz="4" w:space="0" w:color="auto"/>
              <w:right w:val="nil"/>
            </w:tcBorders>
            <w:shd w:val="clear" w:color="auto" w:fill="auto"/>
            <w:noWrap/>
            <w:vAlign w:val="center"/>
          </w:tcPr>
          <w:p w14:paraId="3996AC8B" w14:textId="77777777" w:rsidR="006E40A8" w:rsidRPr="006E40A8" w:rsidRDefault="006E40A8" w:rsidP="00E94731">
            <w:pPr>
              <w:spacing w:after="0"/>
              <w:jc w:val="center"/>
              <w:rPr>
                <w:bCs/>
                <w:lang w:eastAsia="fi-FI"/>
              </w:rPr>
            </w:pPr>
            <w:proofErr w:type="spellStart"/>
            <w:r w:rsidRPr="006E40A8">
              <w:rPr>
                <w:lang w:val="fi-FI" w:eastAsia="fi-FI"/>
              </w:rPr>
              <w:t>Reference</w:t>
            </w:r>
            <w:proofErr w:type="spellEnd"/>
          </w:p>
        </w:tc>
        <w:tc>
          <w:tcPr>
            <w:tcW w:w="0" w:type="auto"/>
            <w:gridSpan w:val="4"/>
            <w:tcBorders>
              <w:top w:val="single" w:sz="4" w:space="0" w:color="auto"/>
              <w:left w:val="nil"/>
              <w:bottom w:val="single" w:sz="4" w:space="0" w:color="auto"/>
              <w:right w:val="nil"/>
            </w:tcBorders>
            <w:shd w:val="clear" w:color="auto" w:fill="auto"/>
            <w:noWrap/>
            <w:vAlign w:val="center"/>
          </w:tcPr>
          <w:p w14:paraId="64662F6E" w14:textId="77777777" w:rsidR="006E40A8" w:rsidRPr="006E40A8" w:rsidRDefault="006E40A8" w:rsidP="00E94731">
            <w:pPr>
              <w:spacing w:after="0"/>
              <w:jc w:val="center"/>
              <w:rPr>
                <w:bCs/>
                <w:lang w:eastAsia="fi-FI"/>
              </w:rPr>
            </w:pPr>
            <w:proofErr w:type="spellStart"/>
            <w:r w:rsidRPr="006E40A8">
              <w:rPr>
                <w:lang w:val="fi-FI" w:eastAsia="fi-FI"/>
              </w:rPr>
              <w:t>Reference</w:t>
            </w:r>
            <w:proofErr w:type="spellEnd"/>
          </w:p>
        </w:tc>
        <w:tc>
          <w:tcPr>
            <w:tcW w:w="0" w:type="auto"/>
            <w:gridSpan w:val="3"/>
            <w:tcBorders>
              <w:top w:val="single" w:sz="4" w:space="0" w:color="auto"/>
              <w:left w:val="nil"/>
              <w:bottom w:val="single" w:sz="4" w:space="0" w:color="auto"/>
            </w:tcBorders>
            <w:shd w:val="clear" w:color="auto" w:fill="auto"/>
            <w:noWrap/>
            <w:vAlign w:val="center"/>
          </w:tcPr>
          <w:p w14:paraId="3F366E1F" w14:textId="77777777" w:rsidR="006E40A8" w:rsidRPr="006E40A8" w:rsidRDefault="006E40A8" w:rsidP="00E94731">
            <w:pPr>
              <w:spacing w:after="0"/>
              <w:jc w:val="center"/>
              <w:rPr>
                <w:b/>
                <w:bCs/>
                <w:lang w:eastAsia="fi-FI"/>
              </w:rPr>
            </w:pPr>
            <w:proofErr w:type="spellStart"/>
            <w:r w:rsidRPr="006E40A8">
              <w:rPr>
                <w:lang w:val="fi-FI" w:eastAsia="fi-FI"/>
              </w:rPr>
              <w:t>Reference</w:t>
            </w:r>
            <w:proofErr w:type="spellEnd"/>
          </w:p>
        </w:tc>
      </w:tr>
      <w:tr w:rsidR="006E40A8" w:rsidRPr="006E40A8" w14:paraId="5DAF7F14" w14:textId="77777777" w:rsidTr="006E40A8">
        <w:trPr>
          <w:trHeight w:val="340"/>
        </w:trPr>
        <w:tc>
          <w:tcPr>
            <w:tcW w:w="0" w:type="auto"/>
            <w:tcBorders>
              <w:top w:val="single" w:sz="4" w:space="0" w:color="auto"/>
              <w:left w:val="nil"/>
              <w:bottom w:val="single" w:sz="4" w:space="0" w:color="auto"/>
              <w:right w:val="nil"/>
            </w:tcBorders>
            <w:shd w:val="clear" w:color="auto" w:fill="auto"/>
            <w:noWrap/>
            <w:vAlign w:val="center"/>
            <w:hideMark/>
          </w:tcPr>
          <w:p w14:paraId="6A668D11" w14:textId="3A41FA7E" w:rsidR="006E40A8" w:rsidRPr="006E40A8" w:rsidRDefault="006E40A8" w:rsidP="00E94731">
            <w:pPr>
              <w:spacing w:after="0"/>
              <w:rPr>
                <w:lang w:eastAsia="fi-FI"/>
              </w:rPr>
            </w:pPr>
            <w:r w:rsidRPr="006E40A8">
              <w:rPr>
                <w:lang w:eastAsia="fi-FI"/>
              </w:rPr>
              <w:t xml:space="preserve">  Cognitively </w:t>
            </w:r>
            <w:r w:rsidR="001074E0">
              <w:rPr>
                <w:lang w:eastAsia="fi-FI"/>
              </w:rPr>
              <w:t>healthy</w:t>
            </w:r>
            <w:r w:rsidR="001074E0" w:rsidRPr="006E40A8">
              <w:rPr>
                <w:lang w:eastAsia="fi-FI"/>
              </w:rPr>
              <w:t xml:space="preserve"> </w:t>
            </w:r>
            <w:r w:rsidRPr="006E40A8">
              <w:rPr>
                <w:lang w:eastAsia="fi-FI"/>
              </w:rPr>
              <w:t xml:space="preserve">twins </w:t>
            </w:r>
          </w:p>
          <w:p w14:paraId="7B3EADFF" w14:textId="77777777" w:rsidR="006E40A8" w:rsidRPr="006E40A8" w:rsidRDefault="006E40A8" w:rsidP="00E94731">
            <w:pPr>
              <w:spacing w:after="0"/>
              <w:rPr>
                <w:lang w:eastAsia="fi-FI"/>
              </w:rPr>
            </w:pPr>
            <w:r w:rsidRPr="006E40A8">
              <w:rPr>
                <w:lang w:eastAsia="fi-FI"/>
              </w:rPr>
              <w:t xml:space="preserve">  with demented co-twins</w:t>
            </w:r>
          </w:p>
        </w:tc>
        <w:tc>
          <w:tcPr>
            <w:tcW w:w="0" w:type="auto"/>
            <w:tcBorders>
              <w:top w:val="single" w:sz="4" w:space="0" w:color="auto"/>
              <w:left w:val="nil"/>
              <w:bottom w:val="single" w:sz="4" w:space="0" w:color="auto"/>
              <w:right w:val="nil"/>
            </w:tcBorders>
            <w:shd w:val="clear" w:color="auto" w:fill="auto"/>
            <w:noWrap/>
            <w:vAlign w:val="center"/>
            <w:hideMark/>
          </w:tcPr>
          <w:p w14:paraId="2EA61443"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0.44</w:t>
            </w:r>
          </w:p>
        </w:tc>
        <w:tc>
          <w:tcPr>
            <w:tcW w:w="0" w:type="auto"/>
            <w:tcBorders>
              <w:top w:val="single" w:sz="4" w:space="0" w:color="auto"/>
              <w:left w:val="nil"/>
              <w:bottom w:val="single" w:sz="4" w:space="0" w:color="auto"/>
              <w:right w:val="nil"/>
            </w:tcBorders>
            <w:shd w:val="clear" w:color="auto" w:fill="auto"/>
            <w:noWrap/>
            <w:vAlign w:val="center"/>
            <w:hideMark/>
          </w:tcPr>
          <w:p w14:paraId="3464154C"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0.73, -0.14</w:t>
            </w:r>
          </w:p>
        </w:tc>
        <w:tc>
          <w:tcPr>
            <w:tcW w:w="0" w:type="auto"/>
            <w:tcBorders>
              <w:top w:val="single" w:sz="4" w:space="0" w:color="auto"/>
              <w:left w:val="nil"/>
              <w:bottom w:val="single" w:sz="4" w:space="0" w:color="auto"/>
              <w:right w:val="nil"/>
            </w:tcBorders>
            <w:shd w:val="clear" w:color="auto" w:fill="auto"/>
            <w:noWrap/>
            <w:vAlign w:val="center"/>
            <w:hideMark/>
          </w:tcPr>
          <w:p w14:paraId="7E91DEF8" w14:textId="77777777" w:rsidR="006E40A8" w:rsidRPr="006E40A8" w:rsidRDefault="006E40A8" w:rsidP="00E94731">
            <w:pPr>
              <w:spacing w:after="0"/>
              <w:jc w:val="center"/>
              <w:rPr>
                <w:lang w:val="fi-FI" w:eastAsia="fi-FI"/>
              </w:rPr>
            </w:pPr>
            <w:r w:rsidRPr="006E40A8">
              <w:rPr>
                <w:lang w:val="fi-FI" w:eastAsia="fi-FI"/>
              </w:rPr>
              <w:t>.003</w:t>
            </w:r>
          </w:p>
        </w:tc>
        <w:tc>
          <w:tcPr>
            <w:tcW w:w="0" w:type="auto"/>
            <w:tcBorders>
              <w:top w:val="single" w:sz="4" w:space="0" w:color="auto"/>
              <w:left w:val="nil"/>
              <w:bottom w:val="single" w:sz="4" w:space="0" w:color="auto"/>
              <w:right w:val="nil"/>
            </w:tcBorders>
            <w:shd w:val="clear" w:color="auto" w:fill="auto"/>
            <w:noWrap/>
            <w:vAlign w:val="center"/>
            <w:hideMark/>
          </w:tcPr>
          <w:p w14:paraId="3D23D28B"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hideMark/>
          </w:tcPr>
          <w:p w14:paraId="2251017A"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0.41</w:t>
            </w:r>
          </w:p>
        </w:tc>
        <w:tc>
          <w:tcPr>
            <w:tcW w:w="0" w:type="auto"/>
            <w:tcBorders>
              <w:top w:val="single" w:sz="4" w:space="0" w:color="auto"/>
              <w:left w:val="nil"/>
              <w:bottom w:val="single" w:sz="4" w:space="0" w:color="auto"/>
              <w:right w:val="nil"/>
            </w:tcBorders>
            <w:shd w:val="clear" w:color="auto" w:fill="auto"/>
            <w:noWrap/>
            <w:vAlign w:val="center"/>
            <w:hideMark/>
          </w:tcPr>
          <w:p w14:paraId="18B27D24"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0.96, 0.13</w:t>
            </w:r>
          </w:p>
        </w:tc>
        <w:tc>
          <w:tcPr>
            <w:tcW w:w="0" w:type="auto"/>
            <w:tcBorders>
              <w:top w:val="single" w:sz="4" w:space="0" w:color="auto"/>
              <w:left w:val="nil"/>
              <w:bottom w:val="single" w:sz="4" w:space="0" w:color="auto"/>
              <w:right w:val="nil"/>
            </w:tcBorders>
            <w:shd w:val="clear" w:color="auto" w:fill="auto"/>
            <w:noWrap/>
            <w:vAlign w:val="center"/>
            <w:hideMark/>
          </w:tcPr>
          <w:p w14:paraId="12777D10" w14:textId="77777777" w:rsidR="006E40A8" w:rsidRPr="006E40A8" w:rsidRDefault="006E40A8" w:rsidP="00E94731">
            <w:pPr>
              <w:spacing w:after="0"/>
              <w:jc w:val="center"/>
              <w:rPr>
                <w:lang w:val="fi-FI" w:eastAsia="fi-FI"/>
              </w:rPr>
            </w:pPr>
            <w:r w:rsidRPr="006E40A8">
              <w:rPr>
                <w:lang w:val="fi-FI" w:eastAsia="fi-FI"/>
              </w:rPr>
              <w:t>.134</w:t>
            </w:r>
          </w:p>
        </w:tc>
        <w:tc>
          <w:tcPr>
            <w:tcW w:w="0" w:type="auto"/>
            <w:tcBorders>
              <w:top w:val="single" w:sz="4" w:space="0" w:color="auto"/>
              <w:left w:val="nil"/>
              <w:bottom w:val="single" w:sz="4" w:space="0" w:color="auto"/>
              <w:right w:val="nil"/>
            </w:tcBorders>
            <w:shd w:val="clear" w:color="auto" w:fill="auto"/>
            <w:noWrap/>
            <w:vAlign w:val="center"/>
            <w:hideMark/>
          </w:tcPr>
          <w:p w14:paraId="0D057E05"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hideMark/>
          </w:tcPr>
          <w:p w14:paraId="26C049EE"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0.47</w:t>
            </w:r>
          </w:p>
        </w:tc>
        <w:tc>
          <w:tcPr>
            <w:tcW w:w="0" w:type="auto"/>
            <w:tcBorders>
              <w:top w:val="single" w:sz="4" w:space="0" w:color="auto"/>
              <w:left w:val="nil"/>
              <w:bottom w:val="single" w:sz="4" w:space="0" w:color="auto"/>
              <w:right w:val="nil"/>
            </w:tcBorders>
            <w:shd w:val="clear" w:color="auto" w:fill="auto"/>
            <w:noWrap/>
            <w:vAlign w:val="center"/>
            <w:hideMark/>
          </w:tcPr>
          <w:p w14:paraId="39E0E735"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0.84, -0.10</w:t>
            </w:r>
          </w:p>
        </w:tc>
        <w:tc>
          <w:tcPr>
            <w:tcW w:w="0" w:type="auto"/>
            <w:tcBorders>
              <w:top w:val="single" w:sz="4" w:space="0" w:color="auto"/>
              <w:left w:val="nil"/>
              <w:bottom w:val="single" w:sz="4" w:space="0" w:color="auto"/>
              <w:right w:val="nil"/>
            </w:tcBorders>
            <w:shd w:val="clear" w:color="auto" w:fill="auto"/>
            <w:noWrap/>
            <w:vAlign w:val="center"/>
            <w:hideMark/>
          </w:tcPr>
          <w:p w14:paraId="0412BB7E" w14:textId="77777777" w:rsidR="006E40A8" w:rsidRPr="006E40A8" w:rsidRDefault="006E40A8" w:rsidP="00E94731">
            <w:pPr>
              <w:spacing w:after="0"/>
              <w:jc w:val="center"/>
              <w:rPr>
                <w:lang w:val="fi-FI" w:eastAsia="fi-FI"/>
              </w:rPr>
            </w:pPr>
            <w:r w:rsidRPr="006E40A8">
              <w:rPr>
                <w:lang w:val="fi-FI" w:eastAsia="fi-FI"/>
              </w:rPr>
              <w:t>.012</w:t>
            </w:r>
          </w:p>
        </w:tc>
      </w:tr>
      <w:tr w:rsidR="006E40A8" w:rsidRPr="006E40A8" w14:paraId="1A15B9B8" w14:textId="77777777" w:rsidTr="006E40A8">
        <w:trPr>
          <w:trHeight w:val="340"/>
        </w:trPr>
        <w:tc>
          <w:tcPr>
            <w:tcW w:w="0" w:type="auto"/>
            <w:tcBorders>
              <w:top w:val="single" w:sz="4" w:space="0" w:color="auto"/>
              <w:left w:val="nil"/>
              <w:bottom w:val="single" w:sz="4" w:space="0" w:color="auto"/>
              <w:right w:val="nil"/>
            </w:tcBorders>
            <w:shd w:val="clear" w:color="auto" w:fill="auto"/>
            <w:noWrap/>
            <w:vAlign w:val="center"/>
          </w:tcPr>
          <w:p w14:paraId="30AB05D9" w14:textId="77777777" w:rsidR="006E40A8" w:rsidRPr="006E40A8" w:rsidRDefault="006E40A8" w:rsidP="00E94731">
            <w:pPr>
              <w:spacing w:after="0"/>
              <w:rPr>
                <w:bCs/>
                <w:lang w:eastAsia="fi-FI"/>
              </w:rPr>
            </w:pPr>
            <w:r w:rsidRPr="006E40A8">
              <w:rPr>
                <w:lang w:eastAsia="fi-FI"/>
              </w:rPr>
              <w:t xml:space="preserve">  Demented co-twins</w:t>
            </w:r>
          </w:p>
        </w:tc>
        <w:tc>
          <w:tcPr>
            <w:tcW w:w="0" w:type="auto"/>
            <w:tcBorders>
              <w:top w:val="single" w:sz="4" w:space="0" w:color="auto"/>
              <w:left w:val="nil"/>
              <w:bottom w:val="single" w:sz="4" w:space="0" w:color="auto"/>
              <w:right w:val="nil"/>
            </w:tcBorders>
            <w:shd w:val="clear" w:color="auto" w:fill="auto"/>
            <w:noWrap/>
            <w:vAlign w:val="center"/>
          </w:tcPr>
          <w:p w14:paraId="2C0C18AB"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1.18</w:t>
            </w:r>
          </w:p>
        </w:tc>
        <w:tc>
          <w:tcPr>
            <w:tcW w:w="0" w:type="auto"/>
            <w:tcBorders>
              <w:top w:val="single" w:sz="4" w:space="0" w:color="auto"/>
              <w:left w:val="nil"/>
              <w:bottom w:val="single" w:sz="4" w:space="0" w:color="auto"/>
              <w:right w:val="nil"/>
            </w:tcBorders>
            <w:shd w:val="clear" w:color="auto" w:fill="auto"/>
            <w:noWrap/>
            <w:vAlign w:val="center"/>
          </w:tcPr>
          <w:p w14:paraId="671B32DB"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1.51, -0.84</w:t>
            </w:r>
          </w:p>
        </w:tc>
        <w:tc>
          <w:tcPr>
            <w:tcW w:w="0" w:type="auto"/>
            <w:tcBorders>
              <w:top w:val="single" w:sz="4" w:space="0" w:color="auto"/>
              <w:left w:val="nil"/>
              <w:bottom w:val="single" w:sz="4" w:space="0" w:color="auto"/>
              <w:right w:val="nil"/>
            </w:tcBorders>
            <w:shd w:val="clear" w:color="auto" w:fill="auto"/>
            <w:noWrap/>
            <w:vAlign w:val="center"/>
          </w:tcPr>
          <w:p w14:paraId="197AFA7D" w14:textId="77777777" w:rsidR="006E40A8" w:rsidRPr="006E40A8" w:rsidRDefault="006E40A8" w:rsidP="00E94731">
            <w:pPr>
              <w:spacing w:after="0"/>
              <w:jc w:val="center"/>
              <w:rPr>
                <w:lang w:val="fi-FI" w:eastAsia="fi-FI"/>
              </w:rPr>
            </w:pPr>
            <w:r w:rsidRPr="006E40A8">
              <w:rPr>
                <w:lang w:val="fi-FI" w:eastAsia="fi-FI"/>
              </w:rPr>
              <w:t>&lt;.001</w:t>
            </w:r>
          </w:p>
        </w:tc>
        <w:tc>
          <w:tcPr>
            <w:tcW w:w="0" w:type="auto"/>
            <w:tcBorders>
              <w:top w:val="single" w:sz="4" w:space="0" w:color="auto"/>
              <w:left w:val="nil"/>
              <w:bottom w:val="single" w:sz="4" w:space="0" w:color="auto"/>
              <w:right w:val="nil"/>
            </w:tcBorders>
            <w:shd w:val="clear" w:color="auto" w:fill="auto"/>
            <w:noWrap/>
            <w:vAlign w:val="center"/>
          </w:tcPr>
          <w:p w14:paraId="1DE85BB6"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761327D6"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1.17</w:t>
            </w:r>
          </w:p>
        </w:tc>
        <w:tc>
          <w:tcPr>
            <w:tcW w:w="0" w:type="auto"/>
            <w:tcBorders>
              <w:top w:val="single" w:sz="4" w:space="0" w:color="auto"/>
              <w:left w:val="nil"/>
              <w:bottom w:val="single" w:sz="4" w:space="0" w:color="auto"/>
              <w:right w:val="nil"/>
            </w:tcBorders>
            <w:shd w:val="clear" w:color="auto" w:fill="auto"/>
            <w:noWrap/>
            <w:vAlign w:val="center"/>
          </w:tcPr>
          <w:p w14:paraId="57EC2AF6"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1.78, -0.55</w:t>
            </w:r>
          </w:p>
        </w:tc>
        <w:tc>
          <w:tcPr>
            <w:tcW w:w="0" w:type="auto"/>
            <w:tcBorders>
              <w:top w:val="single" w:sz="4" w:space="0" w:color="auto"/>
              <w:left w:val="nil"/>
              <w:bottom w:val="single" w:sz="4" w:space="0" w:color="auto"/>
              <w:right w:val="nil"/>
            </w:tcBorders>
            <w:shd w:val="clear" w:color="auto" w:fill="auto"/>
            <w:noWrap/>
            <w:vAlign w:val="center"/>
          </w:tcPr>
          <w:p w14:paraId="1A3900B4" w14:textId="77777777" w:rsidR="006E40A8" w:rsidRPr="006E40A8" w:rsidRDefault="006E40A8" w:rsidP="00E94731">
            <w:pPr>
              <w:spacing w:after="0"/>
              <w:jc w:val="center"/>
              <w:rPr>
                <w:lang w:val="fi-FI" w:eastAsia="fi-FI"/>
              </w:rPr>
            </w:pPr>
            <w:r w:rsidRPr="006E40A8">
              <w:rPr>
                <w:lang w:val="fi-FI" w:eastAsia="fi-FI"/>
              </w:rPr>
              <w:t>&lt;.001</w:t>
            </w:r>
          </w:p>
        </w:tc>
        <w:tc>
          <w:tcPr>
            <w:tcW w:w="0" w:type="auto"/>
            <w:tcBorders>
              <w:top w:val="single" w:sz="4" w:space="0" w:color="auto"/>
              <w:left w:val="nil"/>
              <w:bottom w:val="single" w:sz="4" w:space="0" w:color="auto"/>
              <w:right w:val="nil"/>
            </w:tcBorders>
            <w:shd w:val="clear" w:color="auto" w:fill="auto"/>
            <w:noWrap/>
            <w:vAlign w:val="center"/>
          </w:tcPr>
          <w:p w14:paraId="17DCAAFF"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0798B58F"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1.16</w:t>
            </w:r>
          </w:p>
        </w:tc>
        <w:tc>
          <w:tcPr>
            <w:tcW w:w="0" w:type="auto"/>
            <w:tcBorders>
              <w:top w:val="single" w:sz="4" w:space="0" w:color="auto"/>
              <w:left w:val="nil"/>
              <w:bottom w:val="single" w:sz="4" w:space="0" w:color="auto"/>
              <w:right w:val="nil"/>
            </w:tcBorders>
            <w:shd w:val="clear" w:color="auto" w:fill="auto"/>
            <w:noWrap/>
            <w:vAlign w:val="center"/>
          </w:tcPr>
          <w:p w14:paraId="0879D5EA"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1.58, -0.74</w:t>
            </w:r>
          </w:p>
        </w:tc>
        <w:tc>
          <w:tcPr>
            <w:tcW w:w="0" w:type="auto"/>
            <w:tcBorders>
              <w:top w:val="single" w:sz="4" w:space="0" w:color="auto"/>
              <w:left w:val="nil"/>
              <w:bottom w:val="single" w:sz="4" w:space="0" w:color="auto"/>
              <w:right w:val="nil"/>
            </w:tcBorders>
            <w:shd w:val="clear" w:color="auto" w:fill="auto"/>
            <w:noWrap/>
            <w:vAlign w:val="center"/>
          </w:tcPr>
          <w:p w14:paraId="451036DE" w14:textId="77777777" w:rsidR="006E40A8" w:rsidRPr="006E40A8" w:rsidRDefault="006E40A8" w:rsidP="00E94731">
            <w:pPr>
              <w:spacing w:after="0"/>
              <w:jc w:val="center"/>
              <w:rPr>
                <w:lang w:val="fi-FI" w:eastAsia="fi-FI"/>
              </w:rPr>
            </w:pPr>
            <w:r w:rsidRPr="006E40A8">
              <w:rPr>
                <w:lang w:val="fi-FI" w:eastAsia="fi-FI"/>
              </w:rPr>
              <w:t>&lt;.001</w:t>
            </w:r>
          </w:p>
        </w:tc>
      </w:tr>
      <w:tr w:rsidR="006E40A8" w:rsidRPr="006E40A8" w14:paraId="0C87E2DE" w14:textId="77777777" w:rsidTr="006E40A8">
        <w:trPr>
          <w:trHeight w:val="340"/>
        </w:trPr>
        <w:tc>
          <w:tcPr>
            <w:tcW w:w="0" w:type="auto"/>
            <w:tcBorders>
              <w:top w:val="single" w:sz="4" w:space="0" w:color="auto"/>
              <w:left w:val="nil"/>
              <w:bottom w:val="single" w:sz="4" w:space="0" w:color="auto"/>
              <w:right w:val="nil"/>
            </w:tcBorders>
            <w:shd w:val="clear" w:color="auto" w:fill="auto"/>
            <w:noWrap/>
            <w:vAlign w:val="center"/>
            <w:hideMark/>
          </w:tcPr>
          <w:p w14:paraId="4E827DDE" w14:textId="77777777" w:rsidR="006E40A8" w:rsidRPr="006E40A8" w:rsidRDefault="006E40A8" w:rsidP="00E94731">
            <w:pPr>
              <w:spacing w:after="0"/>
              <w:rPr>
                <w:lang w:val="fi-FI" w:eastAsia="fi-FI"/>
              </w:rPr>
            </w:pPr>
            <w:r w:rsidRPr="006E40A8">
              <w:rPr>
                <w:lang w:val="fi-FI" w:eastAsia="fi-FI"/>
              </w:rPr>
              <w:t>Sex</w:t>
            </w:r>
          </w:p>
        </w:tc>
        <w:tc>
          <w:tcPr>
            <w:tcW w:w="0" w:type="auto"/>
            <w:tcBorders>
              <w:top w:val="single" w:sz="4" w:space="0" w:color="auto"/>
              <w:left w:val="nil"/>
              <w:bottom w:val="single" w:sz="4" w:space="0" w:color="auto"/>
              <w:right w:val="nil"/>
            </w:tcBorders>
            <w:shd w:val="clear" w:color="auto" w:fill="auto"/>
            <w:noWrap/>
            <w:vAlign w:val="center"/>
          </w:tcPr>
          <w:p w14:paraId="7F23860F"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10DAFA8B"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3BCA5B2C"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5D18750F"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0E4FA4A2"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206B88B6"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586867E3"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38664B07"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47592408"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41C8349A"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3896CECA" w14:textId="77777777" w:rsidR="006E40A8" w:rsidRPr="006E40A8" w:rsidRDefault="006E40A8" w:rsidP="00E94731">
            <w:pPr>
              <w:spacing w:after="0"/>
              <w:jc w:val="center"/>
              <w:rPr>
                <w:lang w:val="fi-FI" w:eastAsia="fi-FI"/>
              </w:rPr>
            </w:pPr>
          </w:p>
        </w:tc>
      </w:tr>
      <w:tr w:rsidR="006E40A8" w:rsidRPr="006E40A8" w14:paraId="34C05D2B" w14:textId="77777777" w:rsidTr="006E40A8">
        <w:trPr>
          <w:trHeight w:val="340"/>
        </w:trPr>
        <w:tc>
          <w:tcPr>
            <w:tcW w:w="0" w:type="auto"/>
            <w:tcBorders>
              <w:top w:val="single" w:sz="4" w:space="0" w:color="auto"/>
              <w:left w:val="nil"/>
              <w:bottom w:val="single" w:sz="4" w:space="0" w:color="auto"/>
              <w:right w:val="nil"/>
            </w:tcBorders>
            <w:shd w:val="clear" w:color="auto" w:fill="auto"/>
            <w:noWrap/>
            <w:vAlign w:val="center"/>
          </w:tcPr>
          <w:p w14:paraId="54171D10" w14:textId="77777777" w:rsidR="006E40A8" w:rsidRPr="006E40A8" w:rsidRDefault="006E40A8" w:rsidP="00E94731">
            <w:pPr>
              <w:spacing w:after="0"/>
              <w:rPr>
                <w:lang w:val="fi-FI" w:eastAsia="fi-FI"/>
              </w:rPr>
            </w:pPr>
            <w:r w:rsidRPr="006E40A8">
              <w:rPr>
                <w:lang w:val="fi-FI" w:eastAsia="fi-FI"/>
              </w:rPr>
              <w:t xml:space="preserve">  Male</w:t>
            </w:r>
          </w:p>
        </w:tc>
        <w:tc>
          <w:tcPr>
            <w:tcW w:w="0" w:type="auto"/>
            <w:gridSpan w:val="3"/>
            <w:tcBorders>
              <w:top w:val="single" w:sz="4" w:space="0" w:color="auto"/>
              <w:left w:val="nil"/>
              <w:bottom w:val="single" w:sz="4" w:space="0" w:color="auto"/>
              <w:right w:val="nil"/>
            </w:tcBorders>
            <w:shd w:val="clear" w:color="auto" w:fill="auto"/>
            <w:noWrap/>
            <w:vAlign w:val="center"/>
          </w:tcPr>
          <w:p w14:paraId="15C2D46B" w14:textId="77777777" w:rsidR="006E40A8" w:rsidRPr="006E40A8" w:rsidRDefault="006E40A8" w:rsidP="00E94731">
            <w:pPr>
              <w:spacing w:after="0"/>
              <w:jc w:val="center"/>
              <w:rPr>
                <w:lang w:val="fi-FI" w:eastAsia="fi-FI"/>
              </w:rPr>
            </w:pPr>
            <w:proofErr w:type="spellStart"/>
            <w:r w:rsidRPr="006E40A8">
              <w:rPr>
                <w:lang w:val="fi-FI" w:eastAsia="fi-FI"/>
              </w:rPr>
              <w:t>Reference</w:t>
            </w:r>
            <w:proofErr w:type="spellEnd"/>
          </w:p>
        </w:tc>
        <w:tc>
          <w:tcPr>
            <w:tcW w:w="0" w:type="auto"/>
            <w:tcBorders>
              <w:top w:val="single" w:sz="4" w:space="0" w:color="auto"/>
              <w:left w:val="nil"/>
              <w:bottom w:val="single" w:sz="4" w:space="0" w:color="auto"/>
              <w:right w:val="nil"/>
            </w:tcBorders>
            <w:shd w:val="clear" w:color="auto" w:fill="auto"/>
            <w:noWrap/>
            <w:vAlign w:val="center"/>
          </w:tcPr>
          <w:p w14:paraId="6E5BCC08"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52AF53D4"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2B2FCED9" w14:textId="77777777" w:rsidR="006E40A8" w:rsidRPr="006E40A8" w:rsidRDefault="006E40A8" w:rsidP="00E94731">
            <w:pPr>
              <w:spacing w:after="0"/>
              <w:jc w:val="center"/>
              <w:rPr>
                <w:lang w:val="fi-FI" w:eastAsia="fi-FI"/>
              </w:rPr>
            </w:pPr>
            <w:proofErr w:type="spellStart"/>
            <w:r w:rsidRPr="006E40A8">
              <w:rPr>
                <w:lang w:val="fi-FI" w:eastAsia="fi-FI"/>
              </w:rPr>
              <w:t>Reference</w:t>
            </w:r>
            <w:proofErr w:type="spellEnd"/>
          </w:p>
        </w:tc>
        <w:tc>
          <w:tcPr>
            <w:tcW w:w="0" w:type="auto"/>
            <w:tcBorders>
              <w:top w:val="single" w:sz="4" w:space="0" w:color="auto"/>
              <w:left w:val="nil"/>
              <w:bottom w:val="single" w:sz="4" w:space="0" w:color="auto"/>
              <w:right w:val="nil"/>
            </w:tcBorders>
            <w:shd w:val="clear" w:color="auto" w:fill="auto"/>
            <w:noWrap/>
            <w:vAlign w:val="center"/>
          </w:tcPr>
          <w:p w14:paraId="641F24B6"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19D037B5"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63F5C935"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6734E7C5" w14:textId="77777777" w:rsidR="006E40A8" w:rsidRPr="006E40A8" w:rsidRDefault="006E40A8" w:rsidP="00E94731">
            <w:pPr>
              <w:spacing w:after="0"/>
              <w:jc w:val="center"/>
              <w:rPr>
                <w:lang w:val="fi-FI" w:eastAsia="fi-FI"/>
              </w:rPr>
            </w:pPr>
            <w:proofErr w:type="spellStart"/>
            <w:r w:rsidRPr="006E40A8">
              <w:rPr>
                <w:lang w:val="fi-FI" w:eastAsia="fi-FI"/>
              </w:rPr>
              <w:t>Reference</w:t>
            </w:r>
            <w:proofErr w:type="spellEnd"/>
          </w:p>
        </w:tc>
        <w:tc>
          <w:tcPr>
            <w:tcW w:w="0" w:type="auto"/>
            <w:tcBorders>
              <w:top w:val="single" w:sz="4" w:space="0" w:color="auto"/>
              <w:left w:val="nil"/>
              <w:bottom w:val="single" w:sz="4" w:space="0" w:color="auto"/>
              <w:right w:val="nil"/>
            </w:tcBorders>
            <w:shd w:val="clear" w:color="auto" w:fill="auto"/>
            <w:noWrap/>
            <w:vAlign w:val="center"/>
          </w:tcPr>
          <w:p w14:paraId="73AC5185" w14:textId="77777777" w:rsidR="006E40A8" w:rsidRPr="006E40A8" w:rsidRDefault="006E40A8" w:rsidP="00E94731">
            <w:pPr>
              <w:spacing w:after="0"/>
              <w:jc w:val="center"/>
              <w:rPr>
                <w:lang w:val="fi-FI" w:eastAsia="fi-FI"/>
              </w:rPr>
            </w:pPr>
          </w:p>
        </w:tc>
      </w:tr>
      <w:tr w:rsidR="006E40A8" w:rsidRPr="006E40A8" w14:paraId="027FDE44" w14:textId="77777777" w:rsidTr="006E40A8">
        <w:trPr>
          <w:trHeight w:val="340"/>
        </w:trPr>
        <w:tc>
          <w:tcPr>
            <w:tcW w:w="0" w:type="auto"/>
            <w:tcBorders>
              <w:top w:val="single" w:sz="4" w:space="0" w:color="auto"/>
              <w:left w:val="nil"/>
              <w:bottom w:val="single" w:sz="4" w:space="0" w:color="auto"/>
              <w:right w:val="nil"/>
            </w:tcBorders>
            <w:shd w:val="clear" w:color="auto" w:fill="auto"/>
            <w:noWrap/>
            <w:vAlign w:val="center"/>
          </w:tcPr>
          <w:p w14:paraId="52C30C38" w14:textId="77777777" w:rsidR="006E40A8" w:rsidRPr="006E40A8" w:rsidRDefault="006E40A8" w:rsidP="00E94731">
            <w:pPr>
              <w:spacing w:after="0"/>
              <w:rPr>
                <w:lang w:val="fi-FI" w:eastAsia="fi-FI"/>
              </w:rPr>
            </w:pPr>
            <w:r w:rsidRPr="006E40A8">
              <w:rPr>
                <w:lang w:val="fi-FI" w:eastAsia="fi-FI"/>
              </w:rPr>
              <w:t xml:space="preserve">  </w:t>
            </w:r>
            <w:proofErr w:type="spellStart"/>
            <w:r w:rsidRPr="006E40A8">
              <w:rPr>
                <w:lang w:val="fi-FI" w:eastAsia="fi-FI"/>
              </w:rPr>
              <w:t>Female</w:t>
            </w:r>
            <w:proofErr w:type="spellEnd"/>
          </w:p>
        </w:tc>
        <w:tc>
          <w:tcPr>
            <w:tcW w:w="0" w:type="auto"/>
            <w:tcBorders>
              <w:top w:val="single" w:sz="4" w:space="0" w:color="auto"/>
              <w:left w:val="nil"/>
              <w:bottom w:val="single" w:sz="4" w:space="0" w:color="auto"/>
              <w:right w:val="nil"/>
            </w:tcBorders>
            <w:shd w:val="clear" w:color="auto" w:fill="auto"/>
            <w:noWrap/>
            <w:vAlign w:val="center"/>
          </w:tcPr>
          <w:p w14:paraId="1FB892C4" w14:textId="77777777" w:rsidR="006E40A8" w:rsidRPr="006E40A8" w:rsidRDefault="006E40A8" w:rsidP="00E94731">
            <w:pPr>
              <w:spacing w:after="0"/>
              <w:jc w:val="center"/>
              <w:rPr>
                <w:lang w:val="fi-FI" w:eastAsia="fi-FI"/>
              </w:rPr>
            </w:pPr>
            <w:r w:rsidRPr="006E40A8">
              <w:rPr>
                <w:lang w:val="fi-FI" w:eastAsia="fi-FI"/>
              </w:rPr>
              <w:t>0.49</w:t>
            </w:r>
          </w:p>
        </w:tc>
        <w:tc>
          <w:tcPr>
            <w:tcW w:w="0" w:type="auto"/>
            <w:tcBorders>
              <w:top w:val="single" w:sz="4" w:space="0" w:color="auto"/>
              <w:left w:val="nil"/>
              <w:bottom w:val="single" w:sz="4" w:space="0" w:color="auto"/>
              <w:right w:val="nil"/>
            </w:tcBorders>
            <w:shd w:val="clear" w:color="auto" w:fill="auto"/>
            <w:noWrap/>
            <w:vAlign w:val="center"/>
          </w:tcPr>
          <w:p w14:paraId="06E33B8E" w14:textId="77777777" w:rsidR="006E40A8" w:rsidRPr="006E40A8" w:rsidRDefault="006E40A8" w:rsidP="00E94731">
            <w:pPr>
              <w:spacing w:after="0"/>
              <w:jc w:val="center"/>
              <w:rPr>
                <w:lang w:val="fi-FI" w:eastAsia="fi-FI"/>
              </w:rPr>
            </w:pPr>
            <w:r w:rsidRPr="006E40A8">
              <w:rPr>
                <w:lang w:val="fi-FI" w:eastAsia="fi-FI"/>
              </w:rPr>
              <w:t>0.33, 0.65</w:t>
            </w:r>
          </w:p>
        </w:tc>
        <w:tc>
          <w:tcPr>
            <w:tcW w:w="0" w:type="auto"/>
            <w:tcBorders>
              <w:top w:val="single" w:sz="4" w:space="0" w:color="auto"/>
              <w:left w:val="nil"/>
              <w:bottom w:val="single" w:sz="4" w:space="0" w:color="auto"/>
              <w:right w:val="nil"/>
            </w:tcBorders>
            <w:shd w:val="clear" w:color="auto" w:fill="auto"/>
            <w:noWrap/>
            <w:vAlign w:val="center"/>
          </w:tcPr>
          <w:p w14:paraId="56705B99" w14:textId="77777777" w:rsidR="006E40A8" w:rsidRPr="006E40A8" w:rsidRDefault="006E40A8" w:rsidP="00E94731">
            <w:pPr>
              <w:spacing w:after="0"/>
              <w:jc w:val="center"/>
              <w:rPr>
                <w:lang w:val="fi-FI" w:eastAsia="fi-FI"/>
              </w:rPr>
            </w:pPr>
            <w:r w:rsidRPr="006E40A8">
              <w:rPr>
                <w:lang w:val="fi-FI" w:eastAsia="fi-FI"/>
              </w:rPr>
              <w:t>&lt;.001</w:t>
            </w:r>
          </w:p>
        </w:tc>
        <w:tc>
          <w:tcPr>
            <w:tcW w:w="0" w:type="auto"/>
            <w:tcBorders>
              <w:top w:val="single" w:sz="4" w:space="0" w:color="auto"/>
              <w:left w:val="nil"/>
              <w:bottom w:val="single" w:sz="4" w:space="0" w:color="auto"/>
              <w:right w:val="nil"/>
            </w:tcBorders>
            <w:shd w:val="clear" w:color="auto" w:fill="auto"/>
            <w:noWrap/>
            <w:vAlign w:val="center"/>
          </w:tcPr>
          <w:p w14:paraId="2F76F272"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013FCE8B" w14:textId="77777777" w:rsidR="006E40A8" w:rsidRPr="006E40A8" w:rsidRDefault="006E40A8" w:rsidP="00E94731">
            <w:pPr>
              <w:spacing w:after="0"/>
              <w:jc w:val="center"/>
              <w:rPr>
                <w:lang w:val="fi-FI" w:eastAsia="fi-FI"/>
              </w:rPr>
            </w:pPr>
            <w:r w:rsidRPr="006E40A8">
              <w:rPr>
                <w:lang w:val="fi-FI" w:eastAsia="fi-FI"/>
              </w:rPr>
              <w:t>0.43</w:t>
            </w:r>
          </w:p>
        </w:tc>
        <w:tc>
          <w:tcPr>
            <w:tcW w:w="0" w:type="auto"/>
            <w:tcBorders>
              <w:top w:val="single" w:sz="4" w:space="0" w:color="auto"/>
              <w:left w:val="nil"/>
              <w:bottom w:val="single" w:sz="4" w:space="0" w:color="auto"/>
              <w:right w:val="nil"/>
            </w:tcBorders>
            <w:shd w:val="clear" w:color="auto" w:fill="auto"/>
            <w:noWrap/>
            <w:vAlign w:val="center"/>
          </w:tcPr>
          <w:p w14:paraId="07E356C8" w14:textId="77777777" w:rsidR="006E40A8" w:rsidRPr="006E40A8" w:rsidRDefault="006E40A8" w:rsidP="00E94731">
            <w:pPr>
              <w:spacing w:after="0"/>
              <w:jc w:val="center"/>
              <w:rPr>
                <w:lang w:val="fi-FI" w:eastAsia="fi-FI"/>
              </w:rPr>
            </w:pPr>
            <w:r w:rsidRPr="006E40A8">
              <w:rPr>
                <w:lang w:val="fi-FI" w:eastAsia="fi-FI"/>
              </w:rPr>
              <w:t>0.17, 0.68</w:t>
            </w:r>
          </w:p>
        </w:tc>
        <w:tc>
          <w:tcPr>
            <w:tcW w:w="0" w:type="auto"/>
            <w:tcBorders>
              <w:top w:val="single" w:sz="4" w:space="0" w:color="auto"/>
              <w:left w:val="nil"/>
              <w:bottom w:val="single" w:sz="4" w:space="0" w:color="auto"/>
              <w:right w:val="nil"/>
            </w:tcBorders>
            <w:shd w:val="clear" w:color="auto" w:fill="auto"/>
            <w:noWrap/>
            <w:vAlign w:val="center"/>
          </w:tcPr>
          <w:p w14:paraId="3784F78C" w14:textId="77777777" w:rsidR="006E40A8" w:rsidRPr="006E40A8" w:rsidRDefault="006E40A8" w:rsidP="00E94731">
            <w:pPr>
              <w:spacing w:after="0"/>
              <w:jc w:val="center"/>
              <w:rPr>
                <w:lang w:val="fi-FI" w:eastAsia="fi-FI"/>
              </w:rPr>
            </w:pPr>
            <w:r w:rsidRPr="006E40A8">
              <w:rPr>
                <w:lang w:val="fi-FI" w:eastAsia="fi-FI"/>
              </w:rPr>
              <w:t>.001</w:t>
            </w:r>
          </w:p>
        </w:tc>
        <w:tc>
          <w:tcPr>
            <w:tcW w:w="0" w:type="auto"/>
            <w:tcBorders>
              <w:top w:val="single" w:sz="4" w:space="0" w:color="auto"/>
              <w:left w:val="nil"/>
              <w:bottom w:val="single" w:sz="4" w:space="0" w:color="auto"/>
              <w:right w:val="nil"/>
            </w:tcBorders>
            <w:shd w:val="clear" w:color="auto" w:fill="auto"/>
            <w:noWrap/>
            <w:vAlign w:val="center"/>
          </w:tcPr>
          <w:p w14:paraId="03198061"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tcPr>
          <w:p w14:paraId="045EC230" w14:textId="77777777" w:rsidR="006E40A8" w:rsidRPr="006E40A8" w:rsidRDefault="006E40A8" w:rsidP="00E94731">
            <w:pPr>
              <w:spacing w:after="0"/>
              <w:jc w:val="center"/>
              <w:rPr>
                <w:lang w:val="fi-FI" w:eastAsia="fi-FI"/>
              </w:rPr>
            </w:pPr>
            <w:r w:rsidRPr="006E40A8">
              <w:rPr>
                <w:lang w:val="fi-FI" w:eastAsia="fi-FI"/>
              </w:rPr>
              <w:t>0.52</w:t>
            </w:r>
          </w:p>
        </w:tc>
        <w:tc>
          <w:tcPr>
            <w:tcW w:w="0" w:type="auto"/>
            <w:tcBorders>
              <w:top w:val="single" w:sz="4" w:space="0" w:color="auto"/>
              <w:left w:val="nil"/>
              <w:bottom w:val="single" w:sz="4" w:space="0" w:color="auto"/>
              <w:right w:val="nil"/>
            </w:tcBorders>
            <w:shd w:val="clear" w:color="auto" w:fill="auto"/>
            <w:noWrap/>
            <w:vAlign w:val="center"/>
          </w:tcPr>
          <w:p w14:paraId="424C60B7" w14:textId="77777777" w:rsidR="006E40A8" w:rsidRPr="006E40A8" w:rsidRDefault="006E40A8" w:rsidP="00E94731">
            <w:pPr>
              <w:spacing w:after="0"/>
              <w:jc w:val="center"/>
              <w:rPr>
                <w:lang w:val="fi-FI" w:eastAsia="fi-FI"/>
              </w:rPr>
            </w:pPr>
            <w:r w:rsidRPr="006E40A8">
              <w:rPr>
                <w:lang w:val="fi-FI" w:eastAsia="fi-FI"/>
              </w:rPr>
              <w:t>0.31, 0.73</w:t>
            </w:r>
          </w:p>
        </w:tc>
        <w:tc>
          <w:tcPr>
            <w:tcW w:w="0" w:type="auto"/>
            <w:tcBorders>
              <w:top w:val="single" w:sz="4" w:space="0" w:color="auto"/>
              <w:left w:val="nil"/>
              <w:bottom w:val="single" w:sz="4" w:space="0" w:color="auto"/>
              <w:right w:val="nil"/>
            </w:tcBorders>
            <w:shd w:val="clear" w:color="auto" w:fill="auto"/>
            <w:noWrap/>
            <w:vAlign w:val="center"/>
          </w:tcPr>
          <w:p w14:paraId="07271C93" w14:textId="77777777" w:rsidR="006E40A8" w:rsidRPr="006E40A8" w:rsidRDefault="006E40A8" w:rsidP="00E94731">
            <w:pPr>
              <w:spacing w:after="0"/>
              <w:jc w:val="center"/>
              <w:rPr>
                <w:lang w:val="fi-FI" w:eastAsia="fi-FI"/>
              </w:rPr>
            </w:pPr>
            <w:r w:rsidRPr="006E40A8">
              <w:rPr>
                <w:lang w:val="fi-FI" w:eastAsia="fi-FI"/>
              </w:rPr>
              <w:t>&lt;.001</w:t>
            </w:r>
          </w:p>
        </w:tc>
      </w:tr>
      <w:tr w:rsidR="006E40A8" w:rsidRPr="006E40A8" w14:paraId="068EEA68" w14:textId="77777777" w:rsidTr="006E40A8">
        <w:trPr>
          <w:trHeight w:val="340"/>
        </w:trPr>
        <w:tc>
          <w:tcPr>
            <w:tcW w:w="0" w:type="auto"/>
            <w:tcBorders>
              <w:top w:val="single" w:sz="4" w:space="0" w:color="auto"/>
              <w:left w:val="nil"/>
              <w:bottom w:val="single" w:sz="4" w:space="0" w:color="auto"/>
              <w:right w:val="nil"/>
            </w:tcBorders>
            <w:shd w:val="clear" w:color="auto" w:fill="auto"/>
            <w:noWrap/>
            <w:vAlign w:val="center"/>
            <w:hideMark/>
          </w:tcPr>
          <w:p w14:paraId="7E7E8647" w14:textId="77777777" w:rsidR="006E40A8" w:rsidRPr="006E40A8" w:rsidRDefault="006E40A8" w:rsidP="00E94731">
            <w:pPr>
              <w:spacing w:after="0"/>
              <w:rPr>
                <w:lang w:val="fi-FI" w:eastAsia="fi-FI"/>
              </w:rPr>
            </w:pPr>
            <w:proofErr w:type="spellStart"/>
            <w:r w:rsidRPr="006E40A8">
              <w:rPr>
                <w:lang w:val="fi-FI" w:eastAsia="fi-FI"/>
              </w:rPr>
              <w:t>Age</w:t>
            </w:r>
            <w:proofErr w:type="spellEnd"/>
          </w:p>
        </w:tc>
        <w:tc>
          <w:tcPr>
            <w:tcW w:w="0" w:type="auto"/>
            <w:tcBorders>
              <w:top w:val="single" w:sz="4" w:space="0" w:color="auto"/>
              <w:left w:val="nil"/>
              <w:bottom w:val="single" w:sz="4" w:space="0" w:color="auto"/>
              <w:right w:val="nil"/>
            </w:tcBorders>
            <w:shd w:val="clear" w:color="auto" w:fill="auto"/>
            <w:noWrap/>
            <w:vAlign w:val="center"/>
            <w:hideMark/>
          </w:tcPr>
          <w:p w14:paraId="56F25F1C"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0.07</w:t>
            </w:r>
          </w:p>
        </w:tc>
        <w:tc>
          <w:tcPr>
            <w:tcW w:w="0" w:type="auto"/>
            <w:tcBorders>
              <w:top w:val="single" w:sz="4" w:space="0" w:color="auto"/>
              <w:left w:val="nil"/>
              <w:bottom w:val="single" w:sz="4" w:space="0" w:color="auto"/>
              <w:right w:val="nil"/>
            </w:tcBorders>
            <w:shd w:val="clear" w:color="auto" w:fill="auto"/>
            <w:noWrap/>
            <w:vAlign w:val="center"/>
            <w:hideMark/>
          </w:tcPr>
          <w:p w14:paraId="2B3795C2"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0.10, -0.05</w:t>
            </w:r>
          </w:p>
        </w:tc>
        <w:tc>
          <w:tcPr>
            <w:tcW w:w="0" w:type="auto"/>
            <w:tcBorders>
              <w:top w:val="single" w:sz="4" w:space="0" w:color="auto"/>
              <w:left w:val="nil"/>
              <w:bottom w:val="single" w:sz="4" w:space="0" w:color="auto"/>
              <w:right w:val="nil"/>
            </w:tcBorders>
            <w:shd w:val="clear" w:color="auto" w:fill="auto"/>
            <w:noWrap/>
            <w:vAlign w:val="center"/>
            <w:hideMark/>
          </w:tcPr>
          <w:p w14:paraId="0E78EC20" w14:textId="77777777" w:rsidR="006E40A8" w:rsidRPr="006E40A8" w:rsidRDefault="006E40A8" w:rsidP="00E94731">
            <w:pPr>
              <w:spacing w:after="0"/>
              <w:jc w:val="center"/>
              <w:rPr>
                <w:lang w:val="fi-FI" w:eastAsia="fi-FI"/>
              </w:rPr>
            </w:pPr>
            <w:r w:rsidRPr="006E40A8">
              <w:rPr>
                <w:lang w:val="fi-FI" w:eastAsia="fi-FI"/>
              </w:rPr>
              <w:t>&lt;.001</w:t>
            </w:r>
          </w:p>
        </w:tc>
        <w:tc>
          <w:tcPr>
            <w:tcW w:w="0" w:type="auto"/>
            <w:tcBorders>
              <w:top w:val="single" w:sz="4" w:space="0" w:color="auto"/>
              <w:left w:val="nil"/>
              <w:bottom w:val="single" w:sz="4" w:space="0" w:color="auto"/>
              <w:right w:val="nil"/>
            </w:tcBorders>
            <w:shd w:val="clear" w:color="auto" w:fill="auto"/>
            <w:noWrap/>
            <w:vAlign w:val="center"/>
            <w:hideMark/>
          </w:tcPr>
          <w:p w14:paraId="50074763"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hideMark/>
          </w:tcPr>
          <w:p w14:paraId="424A90E8"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0.08</w:t>
            </w:r>
          </w:p>
        </w:tc>
        <w:tc>
          <w:tcPr>
            <w:tcW w:w="0" w:type="auto"/>
            <w:tcBorders>
              <w:top w:val="single" w:sz="4" w:space="0" w:color="auto"/>
              <w:left w:val="nil"/>
              <w:bottom w:val="single" w:sz="4" w:space="0" w:color="auto"/>
              <w:right w:val="nil"/>
            </w:tcBorders>
            <w:shd w:val="clear" w:color="auto" w:fill="auto"/>
            <w:noWrap/>
            <w:vAlign w:val="center"/>
            <w:hideMark/>
          </w:tcPr>
          <w:p w14:paraId="41A5FC5B"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0.11, -0.04</w:t>
            </w:r>
          </w:p>
        </w:tc>
        <w:tc>
          <w:tcPr>
            <w:tcW w:w="0" w:type="auto"/>
            <w:tcBorders>
              <w:top w:val="single" w:sz="4" w:space="0" w:color="auto"/>
              <w:left w:val="nil"/>
              <w:bottom w:val="single" w:sz="4" w:space="0" w:color="auto"/>
              <w:right w:val="nil"/>
            </w:tcBorders>
            <w:shd w:val="clear" w:color="auto" w:fill="auto"/>
            <w:noWrap/>
            <w:vAlign w:val="center"/>
            <w:hideMark/>
          </w:tcPr>
          <w:p w14:paraId="17CF145D" w14:textId="77777777" w:rsidR="006E40A8" w:rsidRPr="006E40A8" w:rsidRDefault="006E40A8" w:rsidP="00E94731">
            <w:pPr>
              <w:spacing w:after="0"/>
              <w:jc w:val="center"/>
              <w:rPr>
                <w:lang w:val="fi-FI" w:eastAsia="fi-FI"/>
              </w:rPr>
            </w:pPr>
            <w:r w:rsidRPr="006E40A8">
              <w:rPr>
                <w:lang w:val="fi-FI" w:eastAsia="fi-FI"/>
              </w:rPr>
              <w:t>&lt;.001</w:t>
            </w:r>
          </w:p>
        </w:tc>
        <w:tc>
          <w:tcPr>
            <w:tcW w:w="0" w:type="auto"/>
            <w:tcBorders>
              <w:top w:val="single" w:sz="4" w:space="0" w:color="auto"/>
              <w:left w:val="nil"/>
              <w:bottom w:val="single" w:sz="4" w:space="0" w:color="auto"/>
              <w:right w:val="nil"/>
            </w:tcBorders>
            <w:shd w:val="clear" w:color="auto" w:fill="auto"/>
            <w:noWrap/>
            <w:vAlign w:val="center"/>
            <w:hideMark/>
          </w:tcPr>
          <w:p w14:paraId="7E4CFD70"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hideMark/>
          </w:tcPr>
          <w:p w14:paraId="6AA3A0BB"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0.07</w:t>
            </w:r>
          </w:p>
        </w:tc>
        <w:tc>
          <w:tcPr>
            <w:tcW w:w="0" w:type="auto"/>
            <w:tcBorders>
              <w:top w:val="single" w:sz="4" w:space="0" w:color="auto"/>
              <w:left w:val="nil"/>
              <w:bottom w:val="single" w:sz="4" w:space="0" w:color="auto"/>
              <w:right w:val="nil"/>
            </w:tcBorders>
            <w:shd w:val="clear" w:color="auto" w:fill="auto"/>
            <w:noWrap/>
            <w:vAlign w:val="center"/>
            <w:hideMark/>
          </w:tcPr>
          <w:p w14:paraId="225A0745" w14:textId="77777777" w:rsidR="006E40A8" w:rsidRPr="006E40A8" w:rsidRDefault="006E40A8" w:rsidP="00E94731">
            <w:pPr>
              <w:spacing w:after="0"/>
              <w:jc w:val="center"/>
              <w:rPr>
                <w:lang w:val="fi-FI" w:eastAsia="fi-FI"/>
              </w:rPr>
            </w:pPr>
            <w:proofErr w:type="gramStart"/>
            <w:r w:rsidRPr="006E40A8">
              <w:rPr>
                <w:lang w:val="fi-FI" w:eastAsia="fi-FI"/>
              </w:rPr>
              <w:t>-</w:t>
            </w:r>
            <w:proofErr w:type="gramEnd"/>
            <w:r w:rsidRPr="006E40A8">
              <w:rPr>
                <w:lang w:val="fi-FI" w:eastAsia="fi-FI"/>
              </w:rPr>
              <w:t>0.11, -0.03</w:t>
            </w:r>
          </w:p>
        </w:tc>
        <w:tc>
          <w:tcPr>
            <w:tcW w:w="0" w:type="auto"/>
            <w:tcBorders>
              <w:top w:val="single" w:sz="4" w:space="0" w:color="auto"/>
              <w:left w:val="nil"/>
              <w:bottom w:val="single" w:sz="4" w:space="0" w:color="auto"/>
              <w:right w:val="nil"/>
            </w:tcBorders>
            <w:shd w:val="clear" w:color="auto" w:fill="auto"/>
            <w:noWrap/>
            <w:vAlign w:val="center"/>
            <w:hideMark/>
          </w:tcPr>
          <w:p w14:paraId="72D593AB" w14:textId="77777777" w:rsidR="006E40A8" w:rsidRPr="006E40A8" w:rsidRDefault="006E40A8" w:rsidP="00E94731">
            <w:pPr>
              <w:spacing w:after="0"/>
              <w:jc w:val="center"/>
              <w:rPr>
                <w:lang w:val="fi-FI" w:eastAsia="fi-FI"/>
              </w:rPr>
            </w:pPr>
            <w:r w:rsidRPr="006E40A8">
              <w:rPr>
                <w:lang w:val="fi-FI" w:eastAsia="fi-FI"/>
              </w:rPr>
              <w:t>&lt;.001</w:t>
            </w:r>
          </w:p>
        </w:tc>
      </w:tr>
      <w:tr w:rsidR="006E40A8" w:rsidRPr="006E40A8" w14:paraId="7F5C4CCA" w14:textId="77777777" w:rsidTr="006E40A8">
        <w:trPr>
          <w:trHeight w:val="340"/>
        </w:trPr>
        <w:tc>
          <w:tcPr>
            <w:tcW w:w="0" w:type="auto"/>
            <w:tcBorders>
              <w:top w:val="single" w:sz="4" w:space="0" w:color="auto"/>
              <w:left w:val="nil"/>
              <w:bottom w:val="single" w:sz="4" w:space="0" w:color="auto"/>
              <w:right w:val="nil"/>
            </w:tcBorders>
            <w:shd w:val="clear" w:color="auto" w:fill="auto"/>
            <w:noWrap/>
            <w:vAlign w:val="center"/>
            <w:hideMark/>
          </w:tcPr>
          <w:p w14:paraId="33C33ED2" w14:textId="77777777" w:rsidR="006E40A8" w:rsidRPr="006E40A8" w:rsidRDefault="006E40A8" w:rsidP="00E94731">
            <w:pPr>
              <w:spacing w:after="0"/>
              <w:rPr>
                <w:lang w:val="fi-FI" w:eastAsia="fi-FI"/>
              </w:rPr>
            </w:pPr>
            <w:r w:rsidRPr="006E40A8">
              <w:rPr>
                <w:lang w:val="fi-FI" w:eastAsia="fi-FI"/>
              </w:rPr>
              <w:t xml:space="preserve">School </w:t>
            </w:r>
            <w:proofErr w:type="spellStart"/>
            <w:r w:rsidRPr="006E40A8">
              <w:rPr>
                <w:lang w:val="fi-FI" w:eastAsia="fi-FI"/>
              </w:rPr>
              <w:t>years</w:t>
            </w:r>
            <w:proofErr w:type="spellEnd"/>
          </w:p>
        </w:tc>
        <w:tc>
          <w:tcPr>
            <w:tcW w:w="0" w:type="auto"/>
            <w:tcBorders>
              <w:top w:val="single" w:sz="4" w:space="0" w:color="auto"/>
              <w:left w:val="nil"/>
              <w:bottom w:val="single" w:sz="4" w:space="0" w:color="auto"/>
              <w:right w:val="nil"/>
            </w:tcBorders>
            <w:shd w:val="clear" w:color="auto" w:fill="auto"/>
            <w:noWrap/>
            <w:vAlign w:val="center"/>
            <w:hideMark/>
          </w:tcPr>
          <w:p w14:paraId="644DCA1D" w14:textId="77777777" w:rsidR="006E40A8" w:rsidRPr="006E40A8" w:rsidRDefault="006E40A8" w:rsidP="00E94731">
            <w:pPr>
              <w:spacing w:after="0"/>
              <w:jc w:val="center"/>
              <w:rPr>
                <w:lang w:val="fi-FI" w:eastAsia="fi-FI"/>
              </w:rPr>
            </w:pPr>
            <w:r w:rsidRPr="006E40A8">
              <w:rPr>
                <w:lang w:val="fi-FI" w:eastAsia="fi-FI"/>
              </w:rPr>
              <w:t>0.13</w:t>
            </w:r>
          </w:p>
        </w:tc>
        <w:tc>
          <w:tcPr>
            <w:tcW w:w="0" w:type="auto"/>
            <w:tcBorders>
              <w:top w:val="single" w:sz="4" w:space="0" w:color="auto"/>
              <w:left w:val="nil"/>
              <w:bottom w:val="single" w:sz="4" w:space="0" w:color="auto"/>
              <w:right w:val="nil"/>
            </w:tcBorders>
            <w:shd w:val="clear" w:color="auto" w:fill="auto"/>
            <w:noWrap/>
            <w:vAlign w:val="center"/>
            <w:hideMark/>
          </w:tcPr>
          <w:p w14:paraId="174FB3D9" w14:textId="77777777" w:rsidR="006E40A8" w:rsidRPr="006E40A8" w:rsidRDefault="006E40A8" w:rsidP="00E94731">
            <w:pPr>
              <w:spacing w:after="0"/>
              <w:jc w:val="center"/>
              <w:rPr>
                <w:lang w:val="fi-FI" w:eastAsia="fi-FI"/>
              </w:rPr>
            </w:pPr>
            <w:r w:rsidRPr="006E40A8">
              <w:rPr>
                <w:lang w:val="fi-FI" w:eastAsia="fi-FI"/>
              </w:rPr>
              <w:t>0.10, 0.16</w:t>
            </w:r>
          </w:p>
        </w:tc>
        <w:tc>
          <w:tcPr>
            <w:tcW w:w="0" w:type="auto"/>
            <w:tcBorders>
              <w:top w:val="single" w:sz="4" w:space="0" w:color="auto"/>
              <w:left w:val="nil"/>
              <w:bottom w:val="single" w:sz="4" w:space="0" w:color="auto"/>
              <w:right w:val="nil"/>
            </w:tcBorders>
            <w:shd w:val="clear" w:color="auto" w:fill="auto"/>
            <w:noWrap/>
            <w:vAlign w:val="center"/>
            <w:hideMark/>
          </w:tcPr>
          <w:p w14:paraId="67B3423A" w14:textId="77777777" w:rsidR="006E40A8" w:rsidRPr="006E40A8" w:rsidRDefault="006E40A8" w:rsidP="00E94731">
            <w:pPr>
              <w:spacing w:after="0"/>
              <w:jc w:val="center"/>
              <w:rPr>
                <w:lang w:val="fi-FI" w:eastAsia="fi-FI"/>
              </w:rPr>
            </w:pPr>
            <w:r w:rsidRPr="006E40A8">
              <w:rPr>
                <w:lang w:val="fi-FI" w:eastAsia="fi-FI"/>
              </w:rPr>
              <w:t>&lt;.001</w:t>
            </w:r>
          </w:p>
        </w:tc>
        <w:tc>
          <w:tcPr>
            <w:tcW w:w="0" w:type="auto"/>
            <w:tcBorders>
              <w:top w:val="single" w:sz="4" w:space="0" w:color="auto"/>
              <w:left w:val="nil"/>
              <w:bottom w:val="single" w:sz="4" w:space="0" w:color="auto"/>
              <w:right w:val="nil"/>
            </w:tcBorders>
            <w:shd w:val="clear" w:color="auto" w:fill="auto"/>
            <w:noWrap/>
            <w:vAlign w:val="center"/>
            <w:hideMark/>
          </w:tcPr>
          <w:p w14:paraId="6300A653"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hideMark/>
          </w:tcPr>
          <w:p w14:paraId="2AF9B6A3" w14:textId="77777777" w:rsidR="006E40A8" w:rsidRPr="006E40A8" w:rsidRDefault="006E40A8" w:rsidP="00E94731">
            <w:pPr>
              <w:spacing w:after="0"/>
              <w:jc w:val="center"/>
              <w:rPr>
                <w:lang w:val="fi-FI" w:eastAsia="fi-FI"/>
              </w:rPr>
            </w:pPr>
            <w:r w:rsidRPr="006E40A8">
              <w:rPr>
                <w:lang w:val="fi-FI" w:eastAsia="fi-FI"/>
              </w:rPr>
              <w:t>0.15</w:t>
            </w:r>
          </w:p>
        </w:tc>
        <w:tc>
          <w:tcPr>
            <w:tcW w:w="0" w:type="auto"/>
            <w:tcBorders>
              <w:top w:val="single" w:sz="4" w:space="0" w:color="auto"/>
              <w:left w:val="nil"/>
              <w:bottom w:val="single" w:sz="4" w:space="0" w:color="auto"/>
              <w:right w:val="nil"/>
            </w:tcBorders>
            <w:shd w:val="clear" w:color="auto" w:fill="auto"/>
            <w:noWrap/>
            <w:vAlign w:val="center"/>
            <w:hideMark/>
          </w:tcPr>
          <w:p w14:paraId="48E0680D" w14:textId="77777777" w:rsidR="006E40A8" w:rsidRPr="006E40A8" w:rsidRDefault="006E40A8" w:rsidP="00E94731">
            <w:pPr>
              <w:spacing w:after="0"/>
              <w:jc w:val="center"/>
              <w:rPr>
                <w:lang w:val="fi-FI" w:eastAsia="fi-FI"/>
              </w:rPr>
            </w:pPr>
            <w:r w:rsidRPr="006E40A8">
              <w:rPr>
                <w:lang w:val="fi-FI" w:eastAsia="fi-FI"/>
              </w:rPr>
              <w:t>0.10, 0.19</w:t>
            </w:r>
          </w:p>
        </w:tc>
        <w:tc>
          <w:tcPr>
            <w:tcW w:w="0" w:type="auto"/>
            <w:tcBorders>
              <w:top w:val="single" w:sz="4" w:space="0" w:color="auto"/>
              <w:left w:val="nil"/>
              <w:bottom w:val="single" w:sz="4" w:space="0" w:color="auto"/>
              <w:right w:val="nil"/>
            </w:tcBorders>
            <w:shd w:val="clear" w:color="auto" w:fill="auto"/>
            <w:noWrap/>
            <w:vAlign w:val="center"/>
            <w:hideMark/>
          </w:tcPr>
          <w:p w14:paraId="64049695" w14:textId="77777777" w:rsidR="006E40A8" w:rsidRPr="006E40A8" w:rsidRDefault="006E40A8" w:rsidP="00E94731">
            <w:pPr>
              <w:spacing w:after="0"/>
              <w:jc w:val="center"/>
              <w:rPr>
                <w:lang w:val="fi-FI" w:eastAsia="fi-FI"/>
              </w:rPr>
            </w:pPr>
            <w:r w:rsidRPr="006E40A8">
              <w:rPr>
                <w:lang w:val="fi-FI" w:eastAsia="fi-FI"/>
              </w:rPr>
              <w:t>&lt;.001</w:t>
            </w:r>
          </w:p>
        </w:tc>
        <w:tc>
          <w:tcPr>
            <w:tcW w:w="0" w:type="auto"/>
            <w:tcBorders>
              <w:top w:val="single" w:sz="4" w:space="0" w:color="auto"/>
              <w:left w:val="nil"/>
              <w:bottom w:val="single" w:sz="4" w:space="0" w:color="auto"/>
              <w:right w:val="nil"/>
            </w:tcBorders>
            <w:shd w:val="clear" w:color="auto" w:fill="auto"/>
            <w:noWrap/>
            <w:vAlign w:val="center"/>
            <w:hideMark/>
          </w:tcPr>
          <w:p w14:paraId="1F11C67F" w14:textId="77777777" w:rsidR="006E40A8" w:rsidRPr="006E40A8" w:rsidRDefault="006E40A8" w:rsidP="00E94731">
            <w:pPr>
              <w:spacing w:after="0"/>
              <w:jc w:val="center"/>
              <w:rPr>
                <w:lang w:val="fi-FI" w:eastAsia="fi-FI"/>
              </w:rPr>
            </w:pPr>
          </w:p>
        </w:tc>
        <w:tc>
          <w:tcPr>
            <w:tcW w:w="0" w:type="auto"/>
            <w:tcBorders>
              <w:top w:val="single" w:sz="4" w:space="0" w:color="auto"/>
              <w:left w:val="nil"/>
              <w:bottom w:val="single" w:sz="4" w:space="0" w:color="auto"/>
              <w:right w:val="nil"/>
            </w:tcBorders>
            <w:shd w:val="clear" w:color="auto" w:fill="auto"/>
            <w:noWrap/>
            <w:vAlign w:val="center"/>
            <w:hideMark/>
          </w:tcPr>
          <w:p w14:paraId="07F8ACFD" w14:textId="77777777" w:rsidR="006E40A8" w:rsidRPr="006E40A8" w:rsidRDefault="006E40A8" w:rsidP="00E94731">
            <w:pPr>
              <w:spacing w:after="0"/>
              <w:jc w:val="center"/>
              <w:rPr>
                <w:lang w:val="fi-FI" w:eastAsia="fi-FI"/>
              </w:rPr>
            </w:pPr>
            <w:r w:rsidRPr="006E40A8">
              <w:rPr>
                <w:lang w:val="fi-FI" w:eastAsia="fi-FI"/>
              </w:rPr>
              <w:t>0.12</w:t>
            </w:r>
          </w:p>
        </w:tc>
        <w:tc>
          <w:tcPr>
            <w:tcW w:w="0" w:type="auto"/>
            <w:tcBorders>
              <w:top w:val="single" w:sz="4" w:space="0" w:color="auto"/>
              <w:left w:val="nil"/>
              <w:bottom w:val="single" w:sz="4" w:space="0" w:color="auto"/>
              <w:right w:val="nil"/>
            </w:tcBorders>
            <w:shd w:val="clear" w:color="auto" w:fill="auto"/>
            <w:noWrap/>
            <w:vAlign w:val="center"/>
            <w:hideMark/>
          </w:tcPr>
          <w:p w14:paraId="6A1117E3" w14:textId="77777777" w:rsidR="006E40A8" w:rsidRPr="006E40A8" w:rsidRDefault="006E40A8" w:rsidP="00E94731">
            <w:pPr>
              <w:spacing w:after="0"/>
              <w:jc w:val="center"/>
              <w:rPr>
                <w:lang w:val="fi-FI" w:eastAsia="fi-FI"/>
              </w:rPr>
            </w:pPr>
            <w:r w:rsidRPr="006E40A8">
              <w:rPr>
                <w:lang w:val="fi-FI" w:eastAsia="fi-FI"/>
              </w:rPr>
              <w:t>0.09, 0.15</w:t>
            </w:r>
          </w:p>
        </w:tc>
        <w:tc>
          <w:tcPr>
            <w:tcW w:w="0" w:type="auto"/>
            <w:tcBorders>
              <w:top w:val="single" w:sz="4" w:space="0" w:color="auto"/>
              <w:left w:val="nil"/>
              <w:bottom w:val="single" w:sz="4" w:space="0" w:color="auto"/>
              <w:right w:val="nil"/>
            </w:tcBorders>
            <w:shd w:val="clear" w:color="auto" w:fill="auto"/>
            <w:noWrap/>
            <w:vAlign w:val="center"/>
            <w:hideMark/>
          </w:tcPr>
          <w:p w14:paraId="2CCE3F3A" w14:textId="77777777" w:rsidR="006E40A8" w:rsidRPr="006E40A8" w:rsidRDefault="006E40A8" w:rsidP="00E94731">
            <w:pPr>
              <w:spacing w:after="0"/>
              <w:jc w:val="center"/>
              <w:rPr>
                <w:lang w:val="fi-FI" w:eastAsia="fi-FI"/>
              </w:rPr>
            </w:pPr>
            <w:r w:rsidRPr="006E40A8">
              <w:rPr>
                <w:lang w:val="fi-FI" w:eastAsia="fi-FI"/>
              </w:rPr>
              <w:t>&lt;.001</w:t>
            </w:r>
          </w:p>
        </w:tc>
      </w:tr>
    </w:tbl>
    <w:p w14:paraId="12FACE7B" w14:textId="77777777" w:rsidR="006E40A8" w:rsidRDefault="006E40A8" w:rsidP="006E40A8">
      <w:pPr>
        <w:spacing w:after="0"/>
      </w:pPr>
    </w:p>
    <w:p w14:paraId="3AD00A25" w14:textId="77777777" w:rsidR="006E40A8" w:rsidRDefault="006E40A8" w:rsidP="006E40A8">
      <w:pPr>
        <w:spacing w:after="0"/>
      </w:pPr>
    </w:p>
    <w:p w14:paraId="5A21EF87" w14:textId="77777777" w:rsidR="006E40A8" w:rsidRDefault="006E40A8" w:rsidP="006E40A8">
      <w:pPr>
        <w:spacing w:after="0"/>
      </w:pPr>
    </w:p>
    <w:p w14:paraId="62EEEFD3" w14:textId="77777777" w:rsidR="006E40A8" w:rsidRDefault="006E40A8" w:rsidP="006E40A8">
      <w:pPr>
        <w:spacing w:after="0"/>
      </w:pPr>
    </w:p>
    <w:p w14:paraId="03734D12" w14:textId="77777777" w:rsidR="006E40A8" w:rsidRDefault="006E40A8" w:rsidP="006E40A8">
      <w:pPr>
        <w:spacing w:after="0"/>
      </w:pPr>
    </w:p>
    <w:p w14:paraId="79604FBA" w14:textId="77777777" w:rsidR="006E40A8" w:rsidRDefault="006E40A8" w:rsidP="006E40A8">
      <w:pPr>
        <w:spacing w:after="0"/>
      </w:pPr>
    </w:p>
    <w:p w14:paraId="7EDF8881" w14:textId="77777777" w:rsidR="006E40A8" w:rsidRDefault="006E40A8" w:rsidP="006E40A8">
      <w:pPr>
        <w:spacing w:after="0"/>
      </w:pPr>
    </w:p>
    <w:p w14:paraId="6084B978" w14:textId="77777777" w:rsidR="006E40A8" w:rsidRDefault="006E40A8" w:rsidP="006E40A8">
      <w:pPr>
        <w:spacing w:after="0"/>
      </w:pPr>
    </w:p>
    <w:p w14:paraId="5ECC0D21" w14:textId="77777777" w:rsidR="006E40A8" w:rsidRDefault="006E40A8" w:rsidP="006E40A8">
      <w:pPr>
        <w:spacing w:after="0"/>
      </w:pPr>
    </w:p>
    <w:p w14:paraId="55209157" w14:textId="77777777" w:rsidR="006E40A8" w:rsidRDefault="006E40A8" w:rsidP="006E40A8">
      <w:pPr>
        <w:spacing w:after="0"/>
      </w:pPr>
    </w:p>
    <w:p w14:paraId="5D749517" w14:textId="77777777" w:rsidR="006E40A8" w:rsidRDefault="006E40A8" w:rsidP="006E40A8">
      <w:pPr>
        <w:spacing w:after="0"/>
      </w:pPr>
    </w:p>
    <w:p w14:paraId="5C886F11" w14:textId="77777777" w:rsidR="006E40A8" w:rsidRDefault="006E40A8" w:rsidP="006E40A8">
      <w:pPr>
        <w:spacing w:after="0"/>
      </w:pPr>
    </w:p>
    <w:p w14:paraId="7919C599" w14:textId="77777777" w:rsidR="006E40A8" w:rsidRDefault="006E40A8" w:rsidP="006E40A8">
      <w:pPr>
        <w:spacing w:after="0"/>
      </w:pPr>
    </w:p>
    <w:p w14:paraId="5133EA11" w14:textId="77777777" w:rsidR="009D1D31" w:rsidRDefault="006E40A8" w:rsidP="006E40A8">
      <w:pPr>
        <w:spacing w:after="0"/>
      </w:pPr>
      <w:r w:rsidRPr="00E61D03">
        <w:t xml:space="preserve">Abbreviations: </w:t>
      </w:r>
      <w:r w:rsidRPr="007E2951">
        <w:rPr>
          <w:rFonts w:eastAsia="Times New Roman" w:cs="Arial"/>
          <w:i/>
          <w:color w:val="000000"/>
          <w:lang w:eastAsia="fi-FI"/>
        </w:rPr>
        <w:t>B</w:t>
      </w:r>
      <w:r w:rsidRPr="00E61D03">
        <w:rPr>
          <w:rFonts w:eastAsia="Times New Roman" w:cs="Arial"/>
          <w:color w:val="000000"/>
          <w:lang w:eastAsia="fi-FI"/>
        </w:rPr>
        <w:t xml:space="preserve">, </w:t>
      </w:r>
      <w:r w:rsidRPr="00E61D03">
        <w:t>unstandardized coefficient; MZ, monozygotic; DZ, dizygotic.</w:t>
      </w:r>
      <w:r w:rsidR="002D43F8">
        <w:t xml:space="preserve"> </w:t>
      </w:r>
    </w:p>
    <w:p w14:paraId="62FDE241" w14:textId="77777777" w:rsidR="009D1D31" w:rsidRDefault="006E40A8" w:rsidP="006E40A8">
      <w:pPr>
        <w:spacing w:after="0"/>
      </w:pPr>
      <w:proofErr w:type="gramStart"/>
      <w:r w:rsidRPr="00E61D03">
        <w:rPr>
          <w:vertAlign w:val="superscript"/>
        </w:rPr>
        <w:lastRenderedPageBreak/>
        <w:t>a</w:t>
      </w:r>
      <w:proofErr w:type="gramEnd"/>
      <w:r w:rsidRPr="00E61D03">
        <w:rPr>
          <w:vertAlign w:val="superscript"/>
        </w:rPr>
        <w:t xml:space="preserve"> </w:t>
      </w:r>
      <w:r w:rsidRPr="00E61D03">
        <w:t xml:space="preserve">101 discordant pairs and 770 pairs concordant for </w:t>
      </w:r>
      <w:r w:rsidR="001074E0">
        <w:t>healthy</w:t>
      </w:r>
      <w:r w:rsidR="001074E0" w:rsidRPr="00E61D03">
        <w:t xml:space="preserve"> </w:t>
      </w:r>
      <w:r w:rsidRPr="00E61D03">
        <w:t xml:space="preserve">cognition included. </w:t>
      </w:r>
    </w:p>
    <w:p w14:paraId="1720BBF5" w14:textId="77777777" w:rsidR="009D1D31" w:rsidRDefault="006E40A8" w:rsidP="006E40A8">
      <w:pPr>
        <w:spacing w:after="0"/>
      </w:pPr>
      <w:proofErr w:type="gramStart"/>
      <w:r>
        <w:rPr>
          <w:rFonts w:cs="Arial"/>
          <w:vertAlign w:val="superscript"/>
        </w:rPr>
        <w:t>b</w:t>
      </w:r>
      <w:proofErr w:type="gramEnd"/>
      <w:r>
        <w:rPr>
          <w:rFonts w:cs="Arial"/>
          <w:vertAlign w:val="superscript"/>
        </w:rPr>
        <w:t xml:space="preserve"> </w:t>
      </w:r>
      <w:r w:rsidRPr="00E61D03">
        <w:t xml:space="preserve">Only MZs included (31 discordant and 328 pairs concordant for </w:t>
      </w:r>
      <w:r w:rsidR="001074E0">
        <w:t>healthy</w:t>
      </w:r>
      <w:r w:rsidR="001074E0" w:rsidRPr="00E61D03">
        <w:t xml:space="preserve"> </w:t>
      </w:r>
      <w:r w:rsidRPr="00E61D03">
        <w:t xml:space="preserve">cognition). </w:t>
      </w:r>
    </w:p>
    <w:p w14:paraId="1ABE204A" w14:textId="40DDC6CF" w:rsidR="006E40A8" w:rsidRPr="00E61D03" w:rsidRDefault="006E40A8" w:rsidP="006E40A8">
      <w:pPr>
        <w:spacing w:after="0"/>
        <w:rPr>
          <w:b/>
        </w:rPr>
      </w:pPr>
      <w:proofErr w:type="gramStart"/>
      <w:r>
        <w:rPr>
          <w:rFonts w:cs="Arial"/>
          <w:vertAlign w:val="superscript"/>
        </w:rPr>
        <w:t>c</w:t>
      </w:r>
      <w:proofErr w:type="gramEnd"/>
      <w:r w:rsidRPr="00E61D03">
        <w:rPr>
          <w:rFonts w:cs="Arial"/>
          <w:vertAlign w:val="superscript"/>
        </w:rPr>
        <w:t xml:space="preserve"> </w:t>
      </w:r>
      <w:r w:rsidRPr="00E61D03">
        <w:t xml:space="preserve">Only DZs included (66 discordant and 432 pairs concordant for </w:t>
      </w:r>
      <w:r w:rsidR="001074E0">
        <w:t>healthy</w:t>
      </w:r>
      <w:r w:rsidR="001074E0" w:rsidRPr="00E61D03">
        <w:t xml:space="preserve"> </w:t>
      </w:r>
      <w:r w:rsidRPr="00E61D03">
        <w:t xml:space="preserve">cognition). </w:t>
      </w:r>
    </w:p>
    <w:p w14:paraId="0AE97288" w14:textId="77777777" w:rsidR="006E40A8" w:rsidRDefault="006E40A8" w:rsidP="006E40A8">
      <w:pPr>
        <w:spacing w:after="0"/>
        <w:sectPr w:rsidR="006E40A8" w:rsidSect="006E40A8">
          <w:pgSz w:w="16838" w:h="11906" w:orient="landscape"/>
          <w:pgMar w:top="1134" w:right="1418" w:bottom="1418" w:left="1418" w:header="709" w:footer="709" w:gutter="0"/>
          <w:cols w:space="708"/>
          <w:docGrid w:linePitch="360"/>
        </w:sectPr>
      </w:pPr>
    </w:p>
    <w:p w14:paraId="38DB6EFF" w14:textId="77777777" w:rsidR="00DA385C" w:rsidRPr="00820275" w:rsidRDefault="00DA385C" w:rsidP="00820275">
      <w:pPr>
        <w:pStyle w:val="Heading2"/>
      </w:pPr>
      <w:r w:rsidRPr="00820275">
        <w:lastRenderedPageBreak/>
        <w:t xml:space="preserve">Heritability of </w:t>
      </w:r>
      <w:r w:rsidR="008B1B91" w:rsidRPr="00820275">
        <w:t xml:space="preserve">single free-recall trial of </w:t>
      </w:r>
      <w:r w:rsidR="00791BC6" w:rsidRPr="00820275">
        <w:t xml:space="preserve">a </w:t>
      </w:r>
      <w:r w:rsidR="008B1B91" w:rsidRPr="00820275">
        <w:t>10-item word list</w:t>
      </w:r>
    </w:p>
    <w:p w14:paraId="553E1131" w14:textId="333C5B77" w:rsidR="00DA385C" w:rsidRDefault="00DA385C" w:rsidP="00795954">
      <w:r w:rsidRPr="000D60B4">
        <w:t xml:space="preserve">Within-twin pair correlations of </w:t>
      </w:r>
      <w:r w:rsidR="001074E0">
        <w:t>IR</w:t>
      </w:r>
      <w:r w:rsidR="001074E0" w:rsidRPr="000D60B4">
        <w:t xml:space="preserve"> </w:t>
      </w:r>
      <w:r w:rsidRPr="000D60B4">
        <w:t>performance were higher in MZ twins compared to DZ twins (</w:t>
      </w:r>
      <w:proofErr w:type="spellStart"/>
      <w:r w:rsidRPr="000D60B4">
        <w:t>rMZ</w:t>
      </w:r>
      <w:proofErr w:type="spellEnd"/>
      <w:r w:rsidRPr="000D60B4">
        <w:t xml:space="preserve"> = 0.</w:t>
      </w:r>
      <w:r>
        <w:t>38</w:t>
      </w:r>
      <w:r w:rsidRPr="000D60B4">
        <w:t xml:space="preserve">, </w:t>
      </w:r>
      <w:proofErr w:type="spellStart"/>
      <w:r w:rsidRPr="000D60B4">
        <w:t>rDZ</w:t>
      </w:r>
      <w:proofErr w:type="spellEnd"/>
      <w:r w:rsidRPr="000D60B4">
        <w:t xml:space="preserve"> = 0.</w:t>
      </w:r>
      <w:r>
        <w:t>18</w:t>
      </w:r>
      <w:r w:rsidRPr="000D60B4">
        <w:t>)</w:t>
      </w:r>
      <w:r>
        <w:t xml:space="preserve">. Correlations were similar when </w:t>
      </w:r>
      <w:r w:rsidR="00F76C58">
        <w:t>analyzing</w:t>
      </w:r>
      <w:r>
        <w:t xml:space="preserve"> men and women separately</w:t>
      </w:r>
      <w:r w:rsidRPr="000D60B4">
        <w:t xml:space="preserve"> </w:t>
      </w:r>
      <w:r>
        <w:t>(</w:t>
      </w:r>
      <w:r w:rsidR="0012113F">
        <w:t>t</w:t>
      </w:r>
      <w:r>
        <w:t xml:space="preserve">able </w:t>
      </w:r>
      <w:r w:rsidR="00DB7D27">
        <w:t>3</w:t>
      </w:r>
      <w:r>
        <w:t>)</w:t>
      </w:r>
      <w:r w:rsidRPr="000D60B4">
        <w:t xml:space="preserve">. </w:t>
      </w:r>
      <w:r w:rsidR="00791BC6">
        <w:t>The u</w:t>
      </w:r>
      <w:r w:rsidRPr="008B1B91">
        <w:t>nivariate biometrical model yielded a heritability estimate of 0.37</w:t>
      </w:r>
      <w:r w:rsidR="000C6F05">
        <w:t xml:space="preserve">, </w:t>
      </w:r>
      <w:r w:rsidRPr="008B1B91">
        <w:t xml:space="preserve">95% CI </w:t>
      </w:r>
      <w:r w:rsidR="000C6F05">
        <w:t>[</w:t>
      </w:r>
      <w:r w:rsidRPr="008B1B91">
        <w:t>0.21</w:t>
      </w:r>
      <w:r w:rsidR="000C6F05">
        <w:t>,</w:t>
      </w:r>
      <w:r w:rsidRPr="008B1B91">
        <w:t xml:space="preserve"> 0.43</w:t>
      </w:r>
      <w:r w:rsidR="000C6F05">
        <w:t>]</w:t>
      </w:r>
      <w:r w:rsidRPr="008B1B91">
        <w:t>. C effect</w:t>
      </w:r>
      <w:r w:rsidR="00AD6A0F">
        <w:t>s</w:t>
      </w:r>
      <w:r w:rsidRPr="008B1B91">
        <w:t xml:space="preserve"> were estimated at 0</w:t>
      </w:r>
      <w:r w:rsidR="000C6F05">
        <w:t xml:space="preserve">, </w:t>
      </w:r>
      <w:r w:rsidRPr="008B1B91">
        <w:t xml:space="preserve">95% CI </w:t>
      </w:r>
      <w:r w:rsidR="000C6F05">
        <w:t>[</w:t>
      </w:r>
      <w:r w:rsidRPr="008B1B91">
        <w:t>0</w:t>
      </w:r>
      <w:r w:rsidR="000C6F05">
        <w:t>,</w:t>
      </w:r>
      <w:r w:rsidRPr="008B1B91">
        <w:t xml:space="preserve"> 0.12</w:t>
      </w:r>
      <w:r w:rsidR="000C6F05">
        <w:t>]</w:t>
      </w:r>
      <w:r w:rsidRPr="008B1B91">
        <w:t xml:space="preserve"> and E effects were 0.63</w:t>
      </w:r>
      <w:r w:rsidR="000C6F05">
        <w:t xml:space="preserve">, </w:t>
      </w:r>
      <w:r w:rsidRPr="008B1B91">
        <w:t xml:space="preserve">95% CI </w:t>
      </w:r>
      <w:r w:rsidR="000C6F05">
        <w:t>[</w:t>
      </w:r>
      <w:r w:rsidRPr="008B1B91">
        <w:t>0.57</w:t>
      </w:r>
      <w:r w:rsidR="000C6F05">
        <w:t>,</w:t>
      </w:r>
      <w:r w:rsidRPr="008B1B91">
        <w:t xml:space="preserve"> 0.69</w:t>
      </w:r>
      <w:r w:rsidR="000C6F05">
        <w:t>]</w:t>
      </w:r>
      <w:r w:rsidRPr="008B1B91">
        <w:t>.</w:t>
      </w:r>
      <w:r w:rsidRPr="008B1B91" w:rsidDel="009553F2">
        <w:t xml:space="preserve"> </w:t>
      </w:r>
    </w:p>
    <w:p w14:paraId="49265580" w14:textId="77777777" w:rsidR="006E40A8" w:rsidRDefault="006E40A8" w:rsidP="00795954"/>
    <w:p w14:paraId="5EAADB07" w14:textId="2FBC217E" w:rsidR="006E40A8" w:rsidRPr="00DF78A9" w:rsidRDefault="006E40A8" w:rsidP="006E40A8">
      <w:pPr>
        <w:rPr>
          <w:b/>
        </w:rPr>
      </w:pPr>
      <w:r w:rsidRPr="00DF78A9">
        <w:rPr>
          <w:b/>
        </w:rPr>
        <w:t xml:space="preserve">Table 3 </w:t>
      </w:r>
      <w:proofErr w:type="gramStart"/>
      <w:r w:rsidRPr="00DF78A9">
        <w:rPr>
          <w:b/>
        </w:rPr>
        <w:t>Within</w:t>
      </w:r>
      <w:proofErr w:type="gramEnd"/>
      <w:r w:rsidRPr="00DF78A9">
        <w:rPr>
          <w:b/>
        </w:rPr>
        <w:t xml:space="preserve"> twin pair correlations of </w:t>
      </w:r>
      <w:r w:rsidR="001074E0">
        <w:rPr>
          <w:b/>
        </w:rPr>
        <w:t>immediate recall</w:t>
      </w:r>
      <w:r w:rsidRPr="00DF78A9">
        <w:rPr>
          <w:b/>
        </w:rPr>
        <w:t xml:space="preserve"> (</w:t>
      </w:r>
      <w:r w:rsidR="001074E0">
        <w:rPr>
          <w:b/>
        </w:rPr>
        <w:t>IR</w:t>
      </w:r>
      <w:r w:rsidRPr="00DF78A9">
        <w:rPr>
          <w:b/>
        </w:rPr>
        <w:t>) performance in 533 monozygotic (MZ) and 823 dizygotic (DZ) pairs</w:t>
      </w:r>
    </w:p>
    <w:tbl>
      <w:tblPr>
        <w:tblW w:w="5000" w:type="pct"/>
        <w:tblCellMar>
          <w:left w:w="70" w:type="dxa"/>
          <w:right w:w="70" w:type="dxa"/>
        </w:tblCellMar>
        <w:tblLook w:val="04A0" w:firstRow="1" w:lastRow="0" w:firstColumn="1" w:lastColumn="0" w:noHBand="0" w:noVBand="1"/>
      </w:tblPr>
      <w:tblGrid>
        <w:gridCol w:w="1034"/>
        <w:gridCol w:w="676"/>
        <w:gridCol w:w="1208"/>
        <w:gridCol w:w="179"/>
        <w:gridCol w:w="838"/>
        <w:gridCol w:w="1307"/>
        <w:gridCol w:w="182"/>
        <w:gridCol w:w="679"/>
        <w:gridCol w:w="1208"/>
        <w:gridCol w:w="182"/>
        <w:gridCol w:w="841"/>
        <w:gridCol w:w="1304"/>
      </w:tblGrid>
      <w:tr w:rsidR="001074E0" w:rsidRPr="008A260E" w14:paraId="30C7F36B" w14:textId="77777777" w:rsidTr="00E94731">
        <w:trPr>
          <w:trHeight w:val="397"/>
        </w:trPr>
        <w:tc>
          <w:tcPr>
            <w:tcW w:w="294" w:type="pct"/>
            <w:tcBorders>
              <w:top w:val="single" w:sz="4" w:space="0" w:color="auto"/>
            </w:tcBorders>
            <w:shd w:val="clear" w:color="auto" w:fill="auto"/>
            <w:noWrap/>
            <w:vAlign w:val="center"/>
            <w:hideMark/>
          </w:tcPr>
          <w:p w14:paraId="5BA178FA" w14:textId="77777777" w:rsidR="006E40A8" w:rsidRPr="008A260E" w:rsidRDefault="006E40A8" w:rsidP="00E94731">
            <w:pPr>
              <w:spacing w:after="0"/>
              <w:jc w:val="center"/>
              <w:rPr>
                <w:lang w:eastAsia="fi-FI"/>
              </w:rPr>
            </w:pPr>
          </w:p>
        </w:tc>
        <w:tc>
          <w:tcPr>
            <w:tcW w:w="2291" w:type="pct"/>
            <w:gridSpan w:val="5"/>
            <w:tcBorders>
              <w:top w:val="single" w:sz="4" w:space="0" w:color="auto"/>
              <w:bottom w:val="single" w:sz="4" w:space="0" w:color="auto"/>
            </w:tcBorders>
            <w:shd w:val="clear" w:color="auto" w:fill="auto"/>
            <w:noWrap/>
            <w:vAlign w:val="center"/>
            <w:hideMark/>
          </w:tcPr>
          <w:p w14:paraId="5CAAFC10" w14:textId="77777777" w:rsidR="006E40A8" w:rsidRPr="008A260E" w:rsidRDefault="006E40A8" w:rsidP="00E94731">
            <w:pPr>
              <w:spacing w:after="0"/>
              <w:jc w:val="center"/>
              <w:rPr>
                <w:lang w:val="fi-FI" w:eastAsia="fi-FI"/>
              </w:rPr>
            </w:pPr>
            <w:r w:rsidRPr="008A260E">
              <w:rPr>
                <w:lang w:val="fi-FI" w:eastAsia="fi-FI"/>
              </w:rPr>
              <w:t>MZ</w:t>
            </w:r>
          </w:p>
        </w:tc>
        <w:tc>
          <w:tcPr>
            <w:tcW w:w="123" w:type="pct"/>
            <w:tcBorders>
              <w:top w:val="single" w:sz="4" w:space="0" w:color="auto"/>
            </w:tcBorders>
            <w:shd w:val="clear" w:color="auto" w:fill="auto"/>
            <w:noWrap/>
            <w:vAlign w:val="center"/>
            <w:hideMark/>
          </w:tcPr>
          <w:p w14:paraId="2694EB93" w14:textId="77777777" w:rsidR="006E40A8" w:rsidRPr="008A260E" w:rsidRDefault="006E40A8" w:rsidP="00E94731">
            <w:pPr>
              <w:spacing w:after="0"/>
              <w:jc w:val="center"/>
              <w:rPr>
                <w:lang w:val="fi-FI" w:eastAsia="fi-FI"/>
              </w:rPr>
            </w:pPr>
          </w:p>
        </w:tc>
        <w:tc>
          <w:tcPr>
            <w:tcW w:w="2293" w:type="pct"/>
            <w:gridSpan w:val="5"/>
            <w:tcBorders>
              <w:top w:val="single" w:sz="4" w:space="0" w:color="auto"/>
              <w:bottom w:val="single" w:sz="4" w:space="0" w:color="auto"/>
            </w:tcBorders>
            <w:shd w:val="clear" w:color="auto" w:fill="auto"/>
            <w:noWrap/>
            <w:vAlign w:val="center"/>
            <w:hideMark/>
          </w:tcPr>
          <w:p w14:paraId="3A1E203F" w14:textId="77777777" w:rsidR="006E40A8" w:rsidRPr="008A260E" w:rsidRDefault="006E40A8" w:rsidP="00E94731">
            <w:pPr>
              <w:spacing w:after="0"/>
              <w:jc w:val="center"/>
              <w:rPr>
                <w:lang w:val="fi-FI" w:eastAsia="fi-FI"/>
              </w:rPr>
            </w:pPr>
            <w:r w:rsidRPr="008A260E">
              <w:rPr>
                <w:lang w:val="fi-FI" w:eastAsia="fi-FI"/>
              </w:rPr>
              <w:t>DZ</w:t>
            </w:r>
          </w:p>
        </w:tc>
      </w:tr>
      <w:tr w:rsidR="001074E0" w:rsidRPr="008A260E" w14:paraId="0782D198" w14:textId="77777777" w:rsidTr="00E94731">
        <w:trPr>
          <w:trHeight w:val="397"/>
        </w:trPr>
        <w:tc>
          <w:tcPr>
            <w:tcW w:w="294" w:type="pct"/>
            <w:tcBorders>
              <w:bottom w:val="single" w:sz="4" w:space="0" w:color="auto"/>
            </w:tcBorders>
            <w:shd w:val="clear" w:color="auto" w:fill="auto"/>
            <w:noWrap/>
            <w:vAlign w:val="center"/>
            <w:hideMark/>
          </w:tcPr>
          <w:p w14:paraId="01D2243F" w14:textId="77777777" w:rsidR="006E40A8" w:rsidRPr="008A260E" w:rsidRDefault="006E40A8" w:rsidP="00E94731">
            <w:pPr>
              <w:spacing w:after="0"/>
              <w:jc w:val="center"/>
              <w:rPr>
                <w:lang w:val="fi-FI" w:eastAsia="fi-FI"/>
              </w:rPr>
            </w:pPr>
          </w:p>
        </w:tc>
        <w:tc>
          <w:tcPr>
            <w:tcW w:w="998" w:type="pct"/>
            <w:gridSpan w:val="2"/>
            <w:tcBorders>
              <w:top w:val="single" w:sz="4" w:space="0" w:color="auto"/>
              <w:bottom w:val="single" w:sz="4" w:space="0" w:color="auto"/>
            </w:tcBorders>
            <w:shd w:val="clear" w:color="auto" w:fill="auto"/>
            <w:noWrap/>
            <w:vAlign w:val="center"/>
            <w:hideMark/>
          </w:tcPr>
          <w:p w14:paraId="75C5263A" w14:textId="77777777" w:rsidR="006E40A8" w:rsidRPr="008A260E" w:rsidRDefault="006E40A8" w:rsidP="00E94731">
            <w:pPr>
              <w:spacing w:after="0"/>
              <w:jc w:val="center"/>
              <w:rPr>
                <w:lang w:val="fi-FI" w:eastAsia="fi-FI"/>
              </w:rPr>
            </w:pPr>
            <w:proofErr w:type="spellStart"/>
            <w:r w:rsidRPr="008A260E">
              <w:rPr>
                <w:lang w:val="fi-FI" w:eastAsia="fi-FI"/>
              </w:rPr>
              <w:t>Men</w:t>
            </w:r>
            <w:proofErr w:type="spellEnd"/>
            <w:r w:rsidRPr="008A260E">
              <w:rPr>
                <w:lang w:val="fi-FI" w:eastAsia="fi-FI"/>
              </w:rPr>
              <w:t xml:space="preserve"> (</w:t>
            </w:r>
            <w:r w:rsidRPr="008A260E">
              <w:rPr>
                <w:i/>
                <w:lang w:val="fi-FI" w:eastAsia="fi-FI"/>
              </w:rPr>
              <w:t>n</w:t>
            </w:r>
            <w:r w:rsidRPr="008A260E">
              <w:rPr>
                <w:lang w:val="fi-FI" w:eastAsia="fi-FI"/>
              </w:rPr>
              <w:t xml:space="preserve"> = 250)</w:t>
            </w:r>
          </w:p>
        </w:tc>
        <w:tc>
          <w:tcPr>
            <w:tcW w:w="122" w:type="pct"/>
            <w:tcBorders>
              <w:bottom w:val="single" w:sz="4" w:space="0" w:color="auto"/>
            </w:tcBorders>
            <w:shd w:val="clear" w:color="auto" w:fill="auto"/>
            <w:noWrap/>
            <w:vAlign w:val="center"/>
            <w:hideMark/>
          </w:tcPr>
          <w:p w14:paraId="275878C2" w14:textId="77777777" w:rsidR="006E40A8" w:rsidRPr="008A260E" w:rsidRDefault="006E40A8" w:rsidP="00E94731">
            <w:pPr>
              <w:spacing w:after="0"/>
              <w:jc w:val="center"/>
              <w:rPr>
                <w:lang w:val="fi-FI" w:eastAsia="fi-FI"/>
              </w:rPr>
            </w:pPr>
          </w:p>
        </w:tc>
        <w:tc>
          <w:tcPr>
            <w:tcW w:w="1170" w:type="pct"/>
            <w:gridSpan w:val="2"/>
            <w:tcBorders>
              <w:top w:val="single" w:sz="4" w:space="0" w:color="auto"/>
              <w:bottom w:val="single" w:sz="4" w:space="0" w:color="auto"/>
            </w:tcBorders>
            <w:shd w:val="clear" w:color="auto" w:fill="auto"/>
            <w:noWrap/>
            <w:vAlign w:val="center"/>
            <w:hideMark/>
          </w:tcPr>
          <w:p w14:paraId="081D746F" w14:textId="77777777" w:rsidR="006E40A8" w:rsidRPr="008A260E" w:rsidRDefault="006E40A8" w:rsidP="00E94731">
            <w:pPr>
              <w:spacing w:after="0"/>
              <w:jc w:val="center"/>
              <w:rPr>
                <w:lang w:val="fi-FI" w:eastAsia="fi-FI"/>
              </w:rPr>
            </w:pPr>
            <w:proofErr w:type="spellStart"/>
            <w:r w:rsidRPr="008A260E">
              <w:rPr>
                <w:lang w:val="fi-FI" w:eastAsia="fi-FI"/>
              </w:rPr>
              <w:t>Women</w:t>
            </w:r>
            <w:proofErr w:type="spellEnd"/>
            <w:r w:rsidRPr="008A260E">
              <w:rPr>
                <w:lang w:val="fi-FI" w:eastAsia="fi-FI"/>
              </w:rPr>
              <w:t xml:space="preserve"> (</w:t>
            </w:r>
            <w:r w:rsidRPr="008A260E">
              <w:rPr>
                <w:i/>
                <w:lang w:val="fi-FI" w:eastAsia="fi-FI"/>
              </w:rPr>
              <w:t xml:space="preserve">n </w:t>
            </w:r>
            <w:r w:rsidRPr="008A260E">
              <w:rPr>
                <w:lang w:val="fi-FI" w:eastAsia="fi-FI"/>
              </w:rPr>
              <w:t>= 283)</w:t>
            </w:r>
          </w:p>
        </w:tc>
        <w:tc>
          <w:tcPr>
            <w:tcW w:w="123" w:type="pct"/>
            <w:tcBorders>
              <w:bottom w:val="single" w:sz="4" w:space="0" w:color="auto"/>
            </w:tcBorders>
            <w:shd w:val="clear" w:color="auto" w:fill="auto"/>
            <w:noWrap/>
            <w:vAlign w:val="center"/>
            <w:hideMark/>
          </w:tcPr>
          <w:p w14:paraId="6D088483" w14:textId="77777777" w:rsidR="006E40A8" w:rsidRPr="008A260E" w:rsidRDefault="006E40A8" w:rsidP="00E94731">
            <w:pPr>
              <w:spacing w:after="0"/>
              <w:jc w:val="center"/>
              <w:rPr>
                <w:lang w:val="fi-FI" w:eastAsia="fi-FI"/>
              </w:rPr>
            </w:pPr>
          </w:p>
        </w:tc>
        <w:tc>
          <w:tcPr>
            <w:tcW w:w="999" w:type="pct"/>
            <w:gridSpan w:val="2"/>
            <w:tcBorders>
              <w:top w:val="single" w:sz="4" w:space="0" w:color="auto"/>
              <w:bottom w:val="single" w:sz="4" w:space="0" w:color="auto"/>
            </w:tcBorders>
            <w:shd w:val="clear" w:color="auto" w:fill="auto"/>
            <w:noWrap/>
            <w:vAlign w:val="center"/>
            <w:hideMark/>
          </w:tcPr>
          <w:p w14:paraId="7AD08CA6" w14:textId="77777777" w:rsidR="006E40A8" w:rsidRPr="008A260E" w:rsidRDefault="006E40A8" w:rsidP="00E94731">
            <w:pPr>
              <w:spacing w:after="0"/>
              <w:jc w:val="center"/>
              <w:rPr>
                <w:lang w:val="fi-FI" w:eastAsia="fi-FI"/>
              </w:rPr>
            </w:pPr>
            <w:proofErr w:type="spellStart"/>
            <w:r w:rsidRPr="008A260E">
              <w:rPr>
                <w:lang w:val="fi-FI" w:eastAsia="fi-FI"/>
              </w:rPr>
              <w:t>Men</w:t>
            </w:r>
            <w:proofErr w:type="spellEnd"/>
            <w:r w:rsidRPr="008A260E">
              <w:rPr>
                <w:lang w:val="fi-FI" w:eastAsia="fi-FI"/>
              </w:rPr>
              <w:t xml:space="preserve"> (</w:t>
            </w:r>
            <w:r w:rsidRPr="008A260E">
              <w:rPr>
                <w:i/>
                <w:lang w:val="fi-FI" w:eastAsia="fi-FI"/>
              </w:rPr>
              <w:t xml:space="preserve">n </w:t>
            </w:r>
            <w:r w:rsidRPr="008A260E">
              <w:rPr>
                <w:lang w:val="fi-FI" w:eastAsia="fi-FI"/>
              </w:rPr>
              <w:t>= 411)</w:t>
            </w:r>
          </w:p>
        </w:tc>
        <w:tc>
          <w:tcPr>
            <w:tcW w:w="123" w:type="pct"/>
            <w:tcBorders>
              <w:bottom w:val="single" w:sz="4" w:space="0" w:color="auto"/>
            </w:tcBorders>
            <w:shd w:val="clear" w:color="auto" w:fill="auto"/>
            <w:noWrap/>
            <w:vAlign w:val="center"/>
            <w:hideMark/>
          </w:tcPr>
          <w:p w14:paraId="2DB0AE46" w14:textId="77777777" w:rsidR="006E40A8" w:rsidRPr="008A260E" w:rsidRDefault="006E40A8" w:rsidP="00E94731">
            <w:pPr>
              <w:spacing w:after="0"/>
              <w:jc w:val="center"/>
              <w:rPr>
                <w:lang w:val="fi-FI" w:eastAsia="fi-FI"/>
              </w:rPr>
            </w:pPr>
          </w:p>
        </w:tc>
        <w:tc>
          <w:tcPr>
            <w:tcW w:w="1172" w:type="pct"/>
            <w:gridSpan w:val="2"/>
            <w:tcBorders>
              <w:top w:val="single" w:sz="4" w:space="0" w:color="auto"/>
              <w:bottom w:val="single" w:sz="4" w:space="0" w:color="auto"/>
            </w:tcBorders>
            <w:shd w:val="clear" w:color="auto" w:fill="auto"/>
            <w:noWrap/>
            <w:vAlign w:val="center"/>
            <w:hideMark/>
          </w:tcPr>
          <w:p w14:paraId="6E1A718B" w14:textId="77777777" w:rsidR="006E40A8" w:rsidRPr="008A260E" w:rsidRDefault="006E40A8" w:rsidP="00E94731">
            <w:pPr>
              <w:spacing w:after="0"/>
              <w:jc w:val="center"/>
              <w:rPr>
                <w:lang w:val="fi-FI" w:eastAsia="fi-FI"/>
              </w:rPr>
            </w:pPr>
            <w:proofErr w:type="spellStart"/>
            <w:r w:rsidRPr="008A260E">
              <w:rPr>
                <w:lang w:val="fi-FI" w:eastAsia="fi-FI"/>
              </w:rPr>
              <w:t>Women</w:t>
            </w:r>
            <w:proofErr w:type="spellEnd"/>
            <w:r w:rsidRPr="008A260E">
              <w:rPr>
                <w:lang w:val="fi-FI" w:eastAsia="fi-FI"/>
              </w:rPr>
              <w:t xml:space="preserve"> (</w:t>
            </w:r>
            <w:r w:rsidRPr="008A260E">
              <w:rPr>
                <w:i/>
                <w:lang w:val="fi-FI" w:eastAsia="fi-FI"/>
              </w:rPr>
              <w:t>n</w:t>
            </w:r>
            <w:r w:rsidRPr="008A260E">
              <w:rPr>
                <w:lang w:val="fi-FI" w:eastAsia="fi-FI"/>
              </w:rPr>
              <w:t xml:space="preserve"> = 412)</w:t>
            </w:r>
          </w:p>
        </w:tc>
      </w:tr>
      <w:tr w:rsidR="001074E0" w:rsidRPr="008A260E" w14:paraId="6C78A577" w14:textId="77777777" w:rsidTr="00E94731">
        <w:trPr>
          <w:trHeight w:val="397"/>
        </w:trPr>
        <w:tc>
          <w:tcPr>
            <w:tcW w:w="294" w:type="pct"/>
            <w:tcBorders>
              <w:top w:val="single" w:sz="4" w:space="0" w:color="auto"/>
              <w:bottom w:val="single" w:sz="4" w:space="0" w:color="auto"/>
            </w:tcBorders>
            <w:shd w:val="clear" w:color="auto" w:fill="auto"/>
            <w:noWrap/>
            <w:vAlign w:val="center"/>
            <w:hideMark/>
          </w:tcPr>
          <w:p w14:paraId="40AF5D81" w14:textId="77777777" w:rsidR="006E40A8" w:rsidRPr="008A260E" w:rsidRDefault="006E40A8" w:rsidP="00E94731">
            <w:pPr>
              <w:spacing w:after="0"/>
              <w:jc w:val="center"/>
              <w:rPr>
                <w:lang w:val="fi-FI" w:eastAsia="fi-FI"/>
              </w:rPr>
            </w:pPr>
          </w:p>
        </w:tc>
        <w:tc>
          <w:tcPr>
            <w:tcW w:w="380" w:type="pct"/>
            <w:tcBorders>
              <w:top w:val="single" w:sz="4" w:space="0" w:color="auto"/>
              <w:bottom w:val="single" w:sz="4" w:space="0" w:color="auto"/>
            </w:tcBorders>
            <w:shd w:val="clear" w:color="auto" w:fill="auto"/>
            <w:noWrap/>
            <w:vAlign w:val="center"/>
            <w:hideMark/>
          </w:tcPr>
          <w:p w14:paraId="22A2FAED" w14:textId="77777777" w:rsidR="006E40A8" w:rsidRPr="007E2951" w:rsidRDefault="006E40A8" w:rsidP="00E94731">
            <w:pPr>
              <w:spacing w:after="0"/>
              <w:jc w:val="center"/>
              <w:rPr>
                <w:i/>
                <w:lang w:val="fi-FI" w:eastAsia="fi-FI"/>
              </w:rPr>
            </w:pPr>
            <w:r w:rsidRPr="007E2951">
              <w:rPr>
                <w:i/>
                <w:lang w:val="fi-FI" w:eastAsia="fi-FI"/>
              </w:rPr>
              <w:t>r</w:t>
            </w:r>
          </w:p>
        </w:tc>
        <w:tc>
          <w:tcPr>
            <w:tcW w:w="618" w:type="pct"/>
            <w:tcBorders>
              <w:top w:val="single" w:sz="4" w:space="0" w:color="auto"/>
              <w:bottom w:val="single" w:sz="4" w:space="0" w:color="auto"/>
            </w:tcBorders>
            <w:shd w:val="clear" w:color="auto" w:fill="auto"/>
            <w:noWrap/>
            <w:vAlign w:val="center"/>
            <w:hideMark/>
          </w:tcPr>
          <w:p w14:paraId="61812080" w14:textId="77777777" w:rsidR="006E40A8" w:rsidRPr="008A260E" w:rsidRDefault="006E40A8" w:rsidP="00E94731">
            <w:pPr>
              <w:spacing w:after="0"/>
              <w:jc w:val="center"/>
              <w:rPr>
                <w:lang w:val="fi-FI" w:eastAsia="fi-FI"/>
              </w:rPr>
            </w:pPr>
            <w:proofErr w:type="gramStart"/>
            <w:r w:rsidRPr="008A260E">
              <w:rPr>
                <w:lang w:val="fi-FI" w:eastAsia="fi-FI"/>
              </w:rPr>
              <w:t>95%</w:t>
            </w:r>
            <w:proofErr w:type="gramEnd"/>
            <w:r w:rsidRPr="008A260E">
              <w:rPr>
                <w:lang w:val="fi-FI" w:eastAsia="fi-FI"/>
              </w:rPr>
              <w:t xml:space="preserve"> CI</w:t>
            </w:r>
          </w:p>
        </w:tc>
        <w:tc>
          <w:tcPr>
            <w:tcW w:w="122" w:type="pct"/>
            <w:tcBorders>
              <w:top w:val="single" w:sz="4" w:space="0" w:color="auto"/>
              <w:bottom w:val="single" w:sz="4" w:space="0" w:color="auto"/>
            </w:tcBorders>
            <w:shd w:val="clear" w:color="auto" w:fill="auto"/>
            <w:noWrap/>
            <w:vAlign w:val="center"/>
            <w:hideMark/>
          </w:tcPr>
          <w:p w14:paraId="31C8B680" w14:textId="77777777" w:rsidR="006E40A8" w:rsidRPr="008A260E" w:rsidRDefault="006E40A8" w:rsidP="00E94731">
            <w:pPr>
              <w:spacing w:after="0"/>
              <w:jc w:val="center"/>
              <w:rPr>
                <w:lang w:val="fi-FI" w:eastAsia="fi-FI"/>
              </w:rPr>
            </w:pPr>
          </w:p>
        </w:tc>
        <w:tc>
          <w:tcPr>
            <w:tcW w:w="464" w:type="pct"/>
            <w:tcBorders>
              <w:top w:val="single" w:sz="4" w:space="0" w:color="auto"/>
              <w:bottom w:val="single" w:sz="4" w:space="0" w:color="auto"/>
            </w:tcBorders>
            <w:shd w:val="clear" w:color="auto" w:fill="auto"/>
            <w:noWrap/>
            <w:vAlign w:val="center"/>
            <w:hideMark/>
          </w:tcPr>
          <w:p w14:paraId="7C0E2AD5" w14:textId="77777777" w:rsidR="006E40A8" w:rsidRPr="007E2951" w:rsidRDefault="006E40A8" w:rsidP="00E94731">
            <w:pPr>
              <w:spacing w:after="0"/>
              <w:jc w:val="center"/>
              <w:rPr>
                <w:i/>
                <w:lang w:val="fi-FI" w:eastAsia="fi-FI"/>
              </w:rPr>
            </w:pPr>
            <w:r w:rsidRPr="007E2951">
              <w:rPr>
                <w:i/>
                <w:lang w:val="fi-FI" w:eastAsia="fi-FI"/>
              </w:rPr>
              <w:t>r</w:t>
            </w:r>
          </w:p>
        </w:tc>
        <w:tc>
          <w:tcPr>
            <w:tcW w:w="706" w:type="pct"/>
            <w:tcBorders>
              <w:top w:val="single" w:sz="4" w:space="0" w:color="auto"/>
              <w:bottom w:val="single" w:sz="4" w:space="0" w:color="auto"/>
            </w:tcBorders>
            <w:shd w:val="clear" w:color="auto" w:fill="auto"/>
            <w:noWrap/>
            <w:vAlign w:val="center"/>
            <w:hideMark/>
          </w:tcPr>
          <w:p w14:paraId="468E2185" w14:textId="77777777" w:rsidR="006E40A8" w:rsidRPr="008A260E" w:rsidRDefault="006E40A8" w:rsidP="00E94731">
            <w:pPr>
              <w:spacing w:after="0"/>
              <w:jc w:val="center"/>
              <w:rPr>
                <w:lang w:val="fi-FI" w:eastAsia="fi-FI"/>
              </w:rPr>
            </w:pPr>
            <w:proofErr w:type="gramStart"/>
            <w:r w:rsidRPr="008A260E">
              <w:rPr>
                <w:lang w:val="fi-FI" w:eastAsia="fi-FI"/>
              </w:rPr>
              <w:t>95%</w:t>
            </w:r>
            <w:proofErr w:type="gramEnd"/>
            <w:r w:rsidRPr="008A260E">
              <w:rPr>
                <w:lang w:val="fi-FI" w:eastAsia="fi-FI"/>
              </w:rPr>
              <w:t xml:space="preserve"> CI</w:t>
            </w:r>
          </w:p>
        </w:tc>
        <w:tc>
          <w:tcPr>
            <w:tcW w:w="123" w:type="pct"/>
            <w:tcBorders>
              <w:top w:val="single" w:sz="4" w:space="0" w:color="auto"/>
              <w:bottom w:val="single" w:sz="4" w:space="0" w:color="auto"/>
            </w:tcBorders>
            <w:shd w:val="clear" w:color="auto" w:fill="auto"/>
            <w:noWrap/>
            <w:vAlign w:val="center"/>
            <w:hideMark/>
          </w:tcPr>
          <w:p w14:paraId="55A8B3C5" w14:textId="77777777" w:rsidR="006E40A8" w:rsidRPr="008A260E" w:rsidRDefault="006E40A8" w:rsidP="00E94731">
            <w:pPr>
              <w:spacing w:after="0"/>
              <w:jc w:val="center"/>
              <w:rPr>
                <w:lang w:val="fi-FI" w:eastAsia="fi-FI"/>
              </w:rPr>
            </w:pPr>
          </w:p>
        </w:tc>
        <w:tc>
          <w:tcPr>
            <w:tcW w:w="381" w:type="pct"/>
            <w:tcBorders>
              <w:top w:val="single" w:sz="4" w:space="0" w:color="auto"/>
              <w:bottom w:val="single" w:sz="4" w:space="0" w:color="auto"/>
            </w:tcBorders>
            <w:shd w:val="clear" w:color="auto" w:fill="auto"/>
            <w:noWrap/>
            <w:vAlign w:val="center"/>
            <w:hideMark/>
          </w:tcPr>
          <w:p w14:paraId="44057F35" w14:textId="77777777" w:rsidR="006E40A8" w:rsidRPr="007E2951" w:rsidRDefault="006E40A8" w:rsidP="00E94731">
            <w:pPr>
              <w:spacing w:after="0"/>
              <w:jc w:val="center"/>
              <w:rPr>
                <w:i/>
                <w:lang w:val="fi-FI" w:eastAsia="fi-FI"/>
              </w:rPr>
            </w:pPr>
            <w:r w:rsidRPr="007E2951">
              <w:rPr>
                <w:i/>
                <w:lang w:val="fi-FI" w:eastAsia="fi-FI"/>
              </w:rPr>
              <w:t>r</w:t>
            </w:r>
          </w:p>
        </w:tc>
        <w:tc>
          <w:tcPr>
            <w:tcW w:w="618" w:type="pct"/>
            <w:tcBorders>
              <w:top w:val="single" w:sz="4" w:space="0" w:color="auto"/>
              <w:bottom w:val="single" w:sz="4" w:space="0" w:color="auto"/>
            </w:tcBorders>
            <w:shd w:val="clear" w:color="auto" w:fill="auto"/>
            <w:noWrap/>
            <w:vAlign w:val="center"/>
            <w:hideMark/>
          </w:tcPr>
          <w:p w14:paraId="21EDEAA6" w14:textId="77777777" w:rsidR="006E40A8" w:rsidRPr="008A260E" w:rsidRDefault="006E40A8" w:rsidP="00E94731">
            <w:pPr>
              <w:spacing w:after="0"/>
              <w:jc w:val="center"/>
              <w:rPr>
                <w:lang w:val="fi-FI" w:eastAsia="fi-FI"/>
              </w:rPr>
            </w:pPr>
            <w:proofErr w:type="gramStart"/>
            <w:r w:rsidRPr="008A260E">
              <w:rPr>
                <w:lang w:val="fi-FI" w:eastAsia="fi-FI"/>
              </w:rPr>
              <w:t>95%</w:t>
            </w:r>
            <w:proofErr w:type="gramEnd"/>
            <w:r w:rsidRPr="008A260E">
              <w:rPr>
                <w:lang w:val="fi-FI" w:eastAsia="fi-FI"/>
              </w:rPr>
              <w:t xml:space="preserve"> CI</w:t>
            </w:r>
          </w:p>
        </w:tc>
        <w:tc>
          <w:tcPr>
            <w:tcW w:w="123" w:type="pct"/>
            <w:tcBorders>
              <w:top w:val="single" w:sz="4" w:space="0" w:color="auto"/>
              <w:bottom w:val="single" w:sz="4" w:space="0" w:color="auto"/>
            </w:tcBorders>
            <w:shd w:val="clear" w:color="auto" w:fill="auto"/>
            <w:noWrap/>
            <w:vAlign w:val="center"/>
            <w:hideMark/>
          </w:tcPr>
          <w:p w14:paraId="3F4FA657" w14:textId="77777777" w:rsidR="006E40A8" w:rsidRPr="008A260E" w:rsidRDefault="006E40A8" w:rsidP="00E94731">
            <w:pPr>
              <w:spacing w:after="0"/>
              <w:jc w:val="center"/>
              <w:rPr>
                <w:lang w:val="fi-FI" w:eastAsia="fi-FI"/>
              </w:rPr>
            </w:pPr>
          </w:p>
        </w:tc>
        <w:tc>
          <w:tcPr>
            <w:tcW w:w="465" w:type="pct"/>
            <w:tcBorders>
              <w:top w:val="single" w:sz="4" w:space="0" w:color="auto"/>
              <w:bottom w:val="single" w:sz="4" w:space="0" w:color="auto"/>
            </w:tcBorders>
            <w:shd w:val="clear" w:color="auto" w:fill="auto"/>
            <w:noWrap/>
            <w:vAlign w:val="center"/>
            <w:hideMark/>
          </w:tcPr>
          <w:p w14:paraId="6DAD2EBF" w14:textId="77777777" w:rsidR="006E40A8" w:rsidRPr="007E2951" w:rsidRDefault="006E40A8" w:rsidP="00E94731">
            <w:pPr>
              <w:spacing w:after="0"/>
              <w:jc w:val="center"/>
              <w:rPr>
                <w:i/>
                <w:lang w:val="fi-FI" w:eastAsia="fi-FI"/>
              </w:rPr>
            </w:pPr>
            <w:r w:rsidRPr="007E2951">
              <w:rPr>
                <w:i/>
                <w:lang w:val="fi-FI" w:eastAsia="fi-FI"/>
              </w:rPr>
              <w:t>r</w:t>
            </w:r>
          </w:p>
        </w:tc>
        <w:tc>
          <w:tcPr>
            <w:tcW w:w="707" w:type="pct"/>
            <w:tcBorders>
              <w:top w:val="single" w:sz="4" w:space="0" w:color="auto"/>
              <w:bottom w:val="single" w:sz="4" w:space="0" w:color="auto"/>
            </w:tcBorders>
            <w:shd w:val="clear" w:color="auto" w:fill="auto"/>
            <w:noWrap/>
            <w:vAlign w:val="center"/>
            <w:hideMark/>
          </w:tcPr>
          <w:p w14:paraId="27E738BE" w14:textId="77777777" w:rsidR="006E40A8" w:rsidRPr="008A260E" w:rsidRDefault="006E40A8" w:rsidP="00E94731">
            <w:pPr>
              <w:spacing w:after="0"/>
              <w:jc w:val="center"/>
              <w:rPr>
                <w:lang w:val="fi-FI" w:eastAsia="fi-FI"/>
              </w:rPr>
            </w:pPr>
            <w:proofErr w:type="gramStart"/>
            <w:r w:rsidRPr="008A260E">
              <w:rPr>
                <w:lang w:val="fi-FI" w:eastAsia="fi-FI"/>
              </w:rPr>
              <w:t>95%</w:t>
            </w:r>
            <w:proofErr w:type="gramEnd"/>
            <w:r w:rsidRPr="008A260E">
              <w:rPr>
                <w:lang w:val="fi-FI" w:eastAsia="fi-FI"/>
              </w:rPr>
              <w:t xml:space="preserve"> CI</w:t>
            </w:r>
          </w:p>
        </w:tc>
      </w:tr>
      <w:tr w:rsidR="001074E0" w:rsidRPr="008A260E" w14:paraId="4891D411" w14:textId="77777777" w:rsidTr="00E94731">
        <w:trPr>
          <w:trHeight w:val="567"/>
        </w:trPr>
        <w:tc>
          <w:tcPr>
            <w:tcW w:w="294" w:type="pct"/>
            <w:tcBorders>
              <w:top w:val="single" w:sz="4" w:space="0" w:color="auto"/>
              <w:bottom w:val="single" w:sz="4" w:space="0" w:color="auto"/>
            </w:tcBorders>
            <w:shd w:val="clear" w:color="auto" w:fill="auto"/>
            <w:noWrap/>
            <w:vAlign w:val="center"/>
            <w:hideMark/>
          </w:tcPr>
          <w:p w14:paraId="6B70BB44" w14:textId="5F5D9EB0" w:rsidR="006E40A8" w:rsidRPr="008A260E" w:rsidRDefault="001074E0" w:rsidP="00E94731">
            <w:pPr>
              <w:spacing w:after="0"/>
              <w:jc w:val="center"/>
              <w:rPr>
                <w:lang w:val="fi-FI" w:eastAsia="fi-FI"/>
              </w:rPr>
            </w:pPr>
            <w:r>
              <w:rPr>
                <w:lang w:val="fi-FI" w:eastAsia="fi-FI"/>
              </w:rPr>
              <w:t xml:space="preserve">IR </w:t>
            </w:r>
            <w:proofErr w:type="spellStart"/>
            <w:r>
              <w:rPr>
                <w:lang w:val="fi-FI" w:eastAsia="fi-FI"/>
              </w:rPr>
              <w:t>score</w:t>
            </w:r>
            <w:proofErr w:type="spellEnd"/>
          </w:p>
        </w:tc>
        <w:tc>
          <w:tcPr>
            <w:tcW w:w="380" w:type="pct"/>
            <w:tcBorders>
              <w:top w:val="single" w:sz="4" w:space="0" w:color="auto"/>
              <w:bottom w:val="single" w:sz="4" w:space="0" w:color="auto"/>
            </w:tcBorders>
            <w:shd w:val="clear" w:color="auto" w:fill="auto"/>
            <w:noWrap/>
            <w:vAlign w:val="center"/>
            <w:hideMark/>
          </w:tcPr>
          <w:p w14:paraId="5ECD156A" w14:textId="77777777" w:rsidR="006E40A8" w:rsidRPr="008A260E" w:rsidRDefault="006E40A8" w:rsidP="00E94731">
            <w:pPr>
              <w:spacing w:after="0"/>
              <w:jc w:val="center"/>
              <w:rPr>
                <w:lang w:val="fi-FI" w:eastAsia="fi-FI"/>
              </w:rPr>
            </w:pPr>
            <w:r w:rsidRPr="008A260E">
              <w:rPr>
                <w:lang w:val="fi-FI" w:eastAsia="fi-FI"/>
              </w:rPr>
              <w:t>0.39</w:t>
            </w:r>
          </w:p>
        </w:tc>
        <w:tc>
          <w:tcPr>
            <w:tcW w:w="618" w:type="pct"/>
            <w:tcBorders>
              <w:top w:val="single" w:sz="4" w:space="0" w:color="auto"/>
              <w:bottom w:val="single" w:sz="4" w:space="0" w:color="auto"/>
            </w:tcBorders>
            <w:shd w:val="clear" w:color="auto" w:fill="auto"/>
            <w:noWrap/>
            <w:vAlign w:val="center"/>
            <w:hideMark/>
          </w:tcPr>
          <w:p w14:paraId="7CBB6B21" w14:textId="77777777" w:rsidR="006E40A8" w:rsidRPr="008A260E" w:rsidRDefault="006E40A8" w:rsidP="00E94731">
            <w:pPr>
              <w:spacing w:after="0"/>
              <w:jc w:val="center"/>
              <w:rPr>
                <w:lang w:val="fi-FI" w:eastAsia="fi-FI"/>
              </w:rPr>
            </w:pPr>
            <w:r w:rsidRPr="008A260E">
              <w:rPr>
                <w:lang w:val="fi-FI" w:eastAsia="fi-FI"/>
              </w:rPr>
              <w:t>0.28, 0.49</w:t>
            </w:r>
          </w:p>
        </w:tc>
        <w:tc>
          <w:tcPr>
            <w:tcW w:w="122" w:type="pct"/>
            <w:tcBorders>
              <w:top w:val="single" w:sz="4" w:space="0" w:color="auto"/>
              <w:bottom w:val="single" w:sz="4" w:space="0" w:color="auto"/>
            </w:tcBorders>
            <w:shd w:val="clear" w:color="auto" w:fill="auto"/>
            <w:noWrap/>
            <w:vAlign w:val="center"/>
            <w:hideMark/>
          </w:tcPr>
          <w:p w14:paraId="3D09D935" w14:textId="77777777" w:rsidR="006E40A8" w:rsidRPr="008A260E" w:rsidRDefault="006E40A8" w:rsidP="00E94731">
            <w:pPr>
              <w:spacing w:after="0"/>
              <w:jc w:val="center"/>
              <w:rPr>
                <w:lang w:val="fi-FI" w:eastAsia="fi-FI"/>
              </w:rPr>
            </w:pPr>
          </w:p>
        </w:tc>
        <w:tc>
          <w:tcPr>
            <w:tcW w:w="464" w:type="pct"/>
            <w:tcBorders>
              <w:top w:val="single" w:sz="4" w:space="0" w:color="auto"/>
              <w:bottom w:val="single" w:sz="4" w:space="0" w:color="auto"/>
            </w:tcBorders>
            <w:shd w:val="clear" w:color="auto" w:fill="auto"/>
            <w:noWrap/>
            <w:vAlign w:val="center"/>
            <w:hideMark/>
          </w:tcPr>
          <w:p w14:paraId="3DDEA8C9" w14:textId="77777777" w:rsidR="006E40A8" w:rsidRPr="008A260E" w:rsidRDefault="006E40A8" w:rsidP="00E94731">
            <w:pPr>
              <w:spacing w:after="0"/>
              <w:jc w:val="center"/>
              <w:rPr>
                <w:lang w:val="fi-FI" w:eastAsia="fi-FI"/>
              </w:rPr>
            </w:pPr>
            <w:r w:rsidRPr="008A260E">
              <w:rPr>
                <w:lang w:val="fi-FI" w:eastAsia="fi-FI"/>
              </w:rPr>
              <w:t>0.37</w:t>
            </w:r>
          </w:p>
        </w:tc>
        <w:tc>
          <w:tcPr>
            <w:tcW w:w="706" w:type="pct"/>
            <w:tcBorders>
              <w:top w:val="single" w:sz="4" w:space="0" w:color="auto"/>
              <w:bottom w:val="single" w:sz="4" w:space="0" w:color="auto"/>
            </w:tcBorders>
            <w:shd w:val="clear" w:color="auto" w:fill="auto"/>
            <w:noWrap/>
            <w:vAlign w:val="center"/>
            <w:hideMark/>
          </w:tcPr>
          <w:p w14:paraId="21FDFB64" w14:textId="77777777" w:rsidR="006E40A8" w:rsidRPr="008A260E" w:rsidRDefault="006E40A8" w:rsidP="00E94731">
            <w:pPr>
              <w:spacing w:after="0"/>
              <w:jc w:val="center"/>
              <w:rPr>
                <w:lang w:val="fi-FI" w:eastAsia="fi-FI"/>
              </w:rPr>
            </w:pPr>
            <w:r w:rsidRPr="008A260E">
              <w:rPr>
                <w:lang w:val="fi-FI" w:eastAsia="fi-FI"/>
              </w:rPr>
              <w:t>0.27, 0.47</w:t>
            </w:r>
          </w:p>
        </w:tc>
        <w:tc>
          <w:tcPr>
            <w:tcW w:w="123" w:type="pct"/>
            <w:tcBorders>
              <w:top w:val="single" w:sz="4" w:space="0" w:color="auto"/>
              <w:bottom w:val="single" w:sz="4" w:space="0" w:color="auto"/>
            </w:tcBorders>
            <w:shd w:val="clear" w:color="auto" w:fill="auto"/>
            <w:noWrap/>
            <w:vAlign w:val="center"/>
            <w:hideMark/>
          </w:tcPr>
          <w:p w14:paraId="27A1F309" w14:textId="77777777" w:rsidR="006E40A8" w:rsidRPr="008A260E" w:rsidRDefault="006E40A8" w:rsidP="00E94731">
            <w:pPr>
              <w:spacing w:after="0"/>
              <w:jc w:val="center"/>
              <w:rPr>
                <w:lang w:val="fi-FI" w:eastAsia="fi-FI"/>
              </w:rPr>
            </w:pPr>
          </w:p>
        </w:tc>
        <w:tc>
          <w:tcPr>
            <w:tcW w:w="381" w:type="pct"/>
            <w:tcBorders>
              <w:top w:val="single" w:sz="4" w:space="0" w:color="auto"/>
              <w:bottom w:val="single" w:sz="4" w:space="0" w:color="auto"/>
            </w:tcBorders>
            <w:shd w:val="clear" w:color="auto" w:fill="auto"/>
            <w:noWrap/>
            <w:vAlign w:val="center"/>
            <w:hideMark/>
          </w:tcPr>
          <w:p w14:paraId="0AF57398" w14:textId="77777777" w:rsidR="006E40A8" w:rsidRPr="008A260E" w:rsidRDefault="006E40A8" w:rsidP="00E94731">
            <w:pPr>
              <w:spacing w:after="0"/>
              <w:jc w:val="center"/>
              <w:rPr>
                <w:lang w:val="fi-FI" w:eastAsia="fi-FI"/>
              </w:rPr>
            </w:pPr>
            <w:r w:rsidRPr="008A260E">
              <w:rPr>
                <w:lang w:val="fi-FI" w:eastAsia="fi-FI"/>
              </w:rPr>
              <w:t>0.19</w:t>
            </w:r>
          </w:p>
        </w:tc>
        <w:tc>
          <w:tcPr>
            <w:tcW w:w="618" w:type="pct"/>
            <w:tcBorders>
              <w:top w:val="single" w:sz="4" w:space="0" w:color="auto"/>
              <w:bottom w:val="single" w:sz="4" w:space="0" w:color="auto"/>
            </w:tcBorders>
            <w:shd w:val="clear" w:color="auto" w:fill="auto"/>
            <w:noWrap/>
            <w:vAlign w:val="center"/>
            <w:hideMark/>
          </w:tcPr>
          <w:p w14:paraId="05604119" w14:textId="77777777" w:rsidR="006E40A8" w:rsidRPr="008A260E" w:rsidRDefault="006E40A8" w:rsidP="00E94731">
            <w:pPr>
              <w:spacing w:after="0"/>
              <w:jc w:val="center"/>
              <w:rPr>
                <w:lang w:val="fi-FI" w:eastAsia="fi-FI"/>
              </w:rPr>
            </w:pPr>
            <w:r w:rsidRPr="008A260E">
              <w:rPr>
                <w:lang w:val="fi-FI" w:eastAsia="fi-FI"/>
              </w:rPr>
              <w:t>0.09, 0.28</w:t>
            </w:r>
          </w:p>
        </w:tc>
        <w:tc>
          <w:tcPr>
            <w:tcW w:w="123" w:type="pct"/>
            <w:tcBorders>
              <w:top w:val="single" w:sz="4" w:space="0" w:color="auto"/>
              <w:bottom w:val="single" w:sz="4" w:space="0" w:color="auto"/>
            </w:tcBorders>
            <w:shd w:val="clear" w:color="auto" w:fill="auto"/>
            <w:noWrap/>
            <w:vAlign w:val="center"/>
            <w:hideMark/>
          </w:tcPr>
          <w:p w14:paraId="58AE1C5F" w14:textId="77777777" w:rsidR="006E40A8" w:rsidRPr="008A260E" w:rsidRDefault="006E40A8" w:rsidP="00E94731">
            <w:pPr>
              <w:spacing w:after="0"/>
              <w:jc w:val="center"/>
              <w:rPr>
                <w:lang w:val="fi-FI" w:eastAsia="fi-FI"/>
              </w:rPr>
            </w:pPr>
          </w:p>
        </w:tc>
        <w:tc>
          <w:tcPr>
            <w:tcW w:w="465" w:type="pct"/>
            <w:tcBorders>
              <w:top w:val="single" w:sz="4" w:space="0" w:color="auto"/>
              <w:bottom w:val="single" w:sz="4" w:space="0" w:color="auto"/>
            </w:tcBorders>
            <w:shd w:val="clear" w:color="auto" w:fill="auto"/>
            <w:noWrap/>
            <w:vAlign w:val="center"/>
            <w:hideMark/>
          </w:tcPr>
          <w:p w14:paraId="2A833C82" w14:textId="77777777" w:rsidR="006E40A8" w:rsidRPr="008A260E" w:rsidRDefault="006E40A8" w:rsidP="00E94731">
            <w:pPr>
              <w:spacing w:after="0"/>
              <w:jc w:val="center"/>
              <w:rPr>
                <w:lang w:val="fi-FI" w:eastAsia="fi-FI"/>
              </w:rPr>
            </w:pPr>
            <w:r w:rsidRPr="008A260E">
              <w:rPr>
                <w:lang w:val="fi-FI" w:eastAsia="fi-FI"/>
              </w:rPr>
              <w:t>0.17</w:t>
            </w:r>
          </w:p>
        </w:tc>
        <w:tc>
          <w:tcPr>
            <w:tcW w:w="707" w:type="pct"/>
            <w:tcBorders>
              <w:top w:val="single" w:sz="4" w:space="0" w:color="auto"/>
              <w:bottom w:val="single" w:sz="4" w:space="0" w:color="auto"/>
            </w:tcBorders>
            <w:shd w:val="clear" w:color="auto" w:fill="auto"/>
            <w:noWrap/>
            <w:vAlign w:val="center"/>
            <w:hideMark/>
          </w:tcPr>
          <w:p w14:paraId="07B51275" w14:textId="77777777" w:rsidR="006E40A8" w:rsidRPr="008A260E" w:rsidRDefault="006E40A8" w:rsidP="00E94731">
            <w:pPr>
              <w:spacing w:after="0"/>
              <w:jc w:val="center"/>
              <w:rPr>
                <w:lang w:val="fi-FI" w:eastAsia="fi-FI"/>
              </w:rPr>
            </w:pPr>
            <w:r w:rsidRPr="008A260E">
              <w:rPr>
                <w:lang w:val="fi-FI" w:eastAsia="fi-FI"/>
              </w:rPr>
              <w:t>0.08, 0.26</w:t>
            </w:r>
          </w:p>
        </w:tc>
      </w:tr>
    </w:tbl>
    <w:p w14:paraId="1D81678B" w14:textId="7B7F1882" w:rsidR="006E40A8" w:rsidRPr="00D31E2E" w:rsidRDefault="006E40A8" w:rsidP="006E40A8">
      <w:r w:rsidRPr="00D31E2E">
        <w:t>The number of pairs is shown in brackets. The</w:t>
      </w:r>
      <w:r w:rsidR="001074E0">
        <w:t xml:space="preserve"> IR score is </w:t>
      </w:r>
      <w:r w:rsidR="001074E0" w:rsidRPr="001074E0">
        <w:t xml:space="preserve">the number of recalled words in a single </w:t>
      </w:r>
      <w:r w:rsidRPr="00D31E2E">
        <w:t xml:space="preserve">free recall </w:t>
      </w:r>
      <w:r w:rsidR="002407C2">
        <w:t xml:space="preserve">trial </w:t>
      </w:r>
      <w:r w:rsidRPr="00D31E2E">
        <w:t>of a 10-word list</w:t>
      </w:r>
      <w:r w:rsidR="002407C2">
        <w:t>.</w:t>
      </w:r>
    </w:p>
    <w:p w14:paraId="086E1165" w14:textId="77777777" w:rsidR="006E40A8" w:rsidRPr="009905B9" w:rsidRDefault="006E40A8" w:rsidP="006E40A8"/>
    <w:p w14:paraId="019E17A0" w14:textId="77777777" w:rsidR="00854361" w:rsidRPr="00820275" w:rsidRDefault="00D63522" w:rsidP="001E2493">
      <w:pPr>
        <w:pStyle w:val="Heading1"/>
      </w:pPr>
      <w:r>
        <w:t>DISCUSSION</w:t>
      </w:r>
    </w:p>
    <w:bookmarkEnd w:id="0"/>
    <w:bookmarkEnd w:id="4"/>
    <w:p w14:paraId="28FD16FD" w14:textId="15890104" w:rsidR="00BB214D" w:rsidRPr="00BB214D" w:rsidRDefault="00BB214D" w:rsidP="00795954">
      <w:r w:rsidRPr="00BB214D">
        <w:t xml:space="preserve">We used a telephone interview to evaluate cognitive status and </w:t>
      </w:r>
      <w:r w:rsidR="002407C2">
        <w:t>immediate free recall</w:t>
      </w:r>
      <w:r w:rsidR="002407C2" w:rsidRPr="00BB214D">
        <w:t xml:space="preserve"> </w:t>
      </w:r>
      <w:r w:rsidRPr="00BB214D">
        <w:t xml:space="preserve">performance in a population-based sample of older twins that was highly representative of the older Finnish population. We first examined </w:t>
      </w:r>
      <w:r w:rsidR="002407C2">
        <w:t>the</w:t>
      </w:r>
      <w:r w:rsidR="002407C2" w:rsidRPr="00BB214D">
        <w:t xml:space="preserve"> recall </w:t>
      </w:r>
      <w:r w:rsidR="002407C2">
        <w:t xml:space="preserve">performance </w:t>
      </w:r>
      <w:r w:rsidR="002407C2" w:rsidRPr="00BB214D">
        <w:t>of a 10-item word list</w:t>
      </w:r>
      <w:r w:rsidRPr="00BB214D">
        <w:t xml:space="preserve"> and its association with demographic factors in the whole cohort. As expected, a lower </w:t>
      </w:r>
      <w:r w:rsidR="0073759F">
        <w:t>IR</w:t>
      </w:r>
      <w:r w:rsidR="0073759F" w:rsidRPr="00BB214D">
        <w:t xml:space="preserve"> </w:t>
      </w:r>
      <w:r w:rsidRPr="00BB214D">
        <w:t xml:space="preserve">performance was associated with lower cognitive status, older age, lower education, and male sex. </w:t>
      </w:r>
    </w:p>
    <w:p w14:paraId="1067B4CA" w14:textId="6FC3D186" w:rsidR="00BB214D" w:rsidRPr="00BB214D" w:rsidRDefault="00BB214D" w:rsidP="00795954">
      <w:r w:rsidRPr="00BB214D">
        <w:lastRenderedPageBreak/>
        <w:t xml:space="preserve">Our main interest was to examine whether increased risk for dementia would be reflected in the </w:t>
      </w:r>
      <w:r w:rsidR="0073759F">
        <w:t>IR</w:t>
      </w:r>
      <w:r w:rsidR="0073759F" w:rsidRPr="00BB214D">
        <w:t xml:space="preserve"> </w:t>
      </w:r>
      <w:r w:rsidRPr="00BB214D">
        <w:t xml:space="preserve">performance of cognitively </w:t>
      </w:r>
      <w:r w:rsidR="0073759F">
        <w:t>healthy</w:t>
      </w:r>
      <w:r w:rsidR="0073759F" w:rsidRPr="00BB214D">
        <w:t xml:space="preserve"> </w:t>
      </w:r>
      <w:r w:rsidRPr="00BB214D">
        <w:t xml:space="preserve">older twins who had </w:t>
      </w:r>
      <w:r w:rsidR="00212712">
        <w:t xml:space="preserve">a </w:t>
      </w:r>
      <w:r w:rsidRPr="00BB214D">
        <w:t>demented</w:t>
      </w:r>
      <w:r w:rsidR="00212712">
        <w:t xml:space="preserve"> twin sibling</w:t>
      </w:r>
      <w:r w:rsidRPr="00BB214D">
        <w:t xml:space="preserve">. </w:t>
      </w:r>
      <w:bookmarkStart w:id="18" w:name="_Hlk522200608"/>
      <w:r w:rsidRPr="00BB214D">
        <w:t>Twin studies have indicated that genetic effects account for about half of the variance for any dementia and even more for AD</w:t>
      </w:r>
      <w:r w:rsidR="00AE4BDF">
        <w:t>.</w:t>
      </w:r>
      <w:r w:rsidR="0012113F">
        <w:fldChar w:fldCharType="begin" w:fldLock="1"/>
      </w:r>
      <w:r w:rsidR="00396C46">
        <w:instrText>ADDIN CSL_CITATION {"citationItems":[{"id":"ITEM-1","itemData":{"DOI":"10.1001/archpsyc.63.2.168","ISBN":"0003-990X (Print)\\r0003-990X (Linking)","ISSN":"0003990X","PMID":"16461860","abstract":"CONTEXT: Twin studies using selected samples have shown high heritability for Alzheimer disease (AD). OBJECTIVE: To evaluate genetic and environmental influences on AD in a fully ascertained population of older twins, including like- and unlike-sex pairs. DESIGN: Five-group quantitative genetic model: male monozygotic twins, female monozygotic twins, male dizygotic twins, female dizygotic twins, and unlike-sex twins. SETTING AND PARTICIPANTS: All twins in the Swedish Twin Registry aged 65 years and older. The study included 11,884 twin pairs, among whom were 392 pairs in which 1 or both members had AD. MAIN OUTCOME MEASURES: All individuals were screened for cognitive dysfunction. Suspected cases of dementia and their co-twins received complete clinical diagnostic evaluations for AD. Estimates of heritability, shared environmental influences, and nonshared environmental influences, adjusting for age, were derived from the twin data. RESULTS: Heritability for AD was estimated to be 58% in the full model and 79% in the best-fitting model, with the balance of variation explained by nonshared environmental influences. There were no significant differences between men and women in prevalence or heritability after controlling for age. Within pairs concordant for AD, intrapair difference in age at onset was significantly greater in dizygotic than in monozygotic pairs, suggesting genetic influences on timing of the disease. CONCLUSIONS: In the largest twin study to date, we confirmed that heritability for AD is high and that the same genetic factors are influential for both men and women. However, nongenetic risk factors also play an important role and might be the focus for interventions to reduce disease risk or delay disease onset.","author":[{"dropping-particle":"","family":"Gatz","given":"Margaret","non-dropping-particle":"","parse-names":false,"suffix":""},{"dropping-particle":"","family":"Reynolds","given":"Chandra A.","non-dropping-particle":"","parse-names":false,"suffix":""},{"dropping-particle":"","family":"Fratiglioni","given":"Laura","non-dropping-particle":"","parse-names":false,"suffix":""},{"dropping-particle":"","family":"Johansson","given":"Boo","non-dropping-particle":"","parse-names":false,"suffix":""},{"dropping-particle":"","family":"Mortimer","given":"James A.","non-dropping-particle":"","parse-names":false,"suffix":""},{"dropping-particle":"","family":"Berg","given":"Stig","non-dropping-particle":"","parse-names":false,"suffix":""},{"dropping-particle":"","family":"Fiske","given":"Amy","non-dropping-particle":"","parse-names":false,"suffix":""},{"dropping-particle":"","family":"Pedersen","given":"Nancy L.","non-dropping-particle":"","parse-names":false,"suffix":""}],"container-title":"Archives of General Psychiatry","id":"ITEM-1","issue":"2","issued":{"date-parts":[["2006"]]},"page":"168-174","title":"Role of genes and environments for explaining Alzheimer disease","type":"article-journal","volume":"63"},"uris":["http://www.mendeley.com/documents/?uuid=4f9272c5-f410-4d26-abd8-f9d99f5fd6f3"]}],"mendeley":{"formattedCitation":"[18]","plainTextFormattedCitation":"[18]","previouslyFormattedCitation":"[18]"},"properties":{"noteIndex":0},"schema":"https://github.com/citation-style-language/schema/raw/master/csl-citation.json"}</w:instrText>
      </w:r>
      <w:r w:rsidR="0012113F">
        <w:fldChar w:fldCharType="separate"/>
      </w:r>
      <w:r w:rsidR="007D3C12" w:rsidRPr="007D3C12">
        <w:rPr>
          <w:noProof/>
        </w:rPr>
        <w:t>[18]</w:t>
      </w:r>
      <w:r w:rsidR="0012113F">
        <w:fldChar w:fldCharType="end"/>
      </w:r>
      <w:bookmarkEnd w:id="18"/>
      <w:r w:rsidR="00212712">
        <w:t xml:space="preserve"> We also show genetic effects on </w:t>
      </w:r>
      <w:r w:rsidR="0073759F">
        <w:t xml:space="preserve">IR </w:t>
      </w:r>
      <w:r w:rsidR="00212712">
        <w:t>performance in the present sample.</w:t>
      </w:r>
      <w:r w:rsidRPr="00BB214D">
        <w:t xml:space="preserve"> In addition to MZ twin pairs sharing all their genes and DZ twins sharing on average 50% of their segregating genes, twins growing up in the same family share many environmental risk factors</w:t>
      </w:r>
      <w:r w:rsidR="00212712">
        <w:t xml:space="preserve"> that may affect cognitive ability even late in life.</w:t>
      </w:r>
    </w:p>
    <w:p w14:paraId="758F764B" w14:textId="66B2EEF9" w:rsidR="00BB214D" w:rsidRPr="00BB214D" w:rsidRDefault="00BB214D" w:rsidP="00795954">
      <w:r w:rsidRPr="00BB214D">
        <w:t xml:space="preserve">The primary result was that cognitively </w:t>
      </w:r>
      <w:r w:rsidR="0073759F">
        <w:t>healthy</w:t>
      </w:r>
      <w:r w:rsidR="0073759F" w:rsidRPr="00BB214D">
        <w:t xml:space="preserve"> </w:t>
      </w:r>
      <w:r w:rsidRPr="00BB214D">
        <w:t>twins</w:t>
      </w:r>
      <w:r w:rsidR="00212712">
        <w:t xml:space="preserve">, who had a </w:t>
      </w:r>
      <w:r w:rsidRPr="00BB214D">
        <w:t>demented co-twin</w:t>
      </w:r>
      <w:r w:rsidR="00212712">
        <w:t>,</w:t>
      </w:r>
      <w:r w:rsidRPr="00BB214D">
        <w:t xml:space="preserve"> showed poorer </w:t>
      </w:r>
      <w:r w:rsidR="0073759F">
        <w:t>IR</w:t>
      </w:r>
      <w:r w:rsidR="0073759F" w:rsidRPr="00BB214D">
        <w:t xml:space="preserve"> </w:t>
      </w:r>
      <w:r w:rsidRPr="00BB214D">
        <w:t xml:space="preserve">performance than healthy comparison subjects who were cognitively </w:t>
      </w:r>
      <w:r w:rsidR="0073759F">
        <w:t>healthy</w:t>
      </w:r>
      <w:r w:rsidR="0073759F" w:rsidRPr="00BB214D">
        <w:t xml:space="preserve"> </w:t>
      </w:r>
      <w:r w:rsidRPr="00BB214D">
        <w:t>twins</w:t>
      </w:r>
      <w:r w:rsidR="00212712">
        <w:t xml:space="preserve">, whose twin brother or sister was not </w:t>
      </w:r>
      <w:r w:rsidRPr="00BB214D">
        <w:t xml:space="preserve">demented. The analysis was controlled for age, sex, and education. The difference in total recall was subtle but statistically significant with a modest effect size. Our results indicate that poorer </w:t>
      </w:r>
      <w:r w:rsidR="0073759F">
        <w:t>IR</w:t>
      </w:r>
      <w:r w:rsidR="0073759F" w:rsidRPr="00BB214D">
        <w:t xml:space="preserve"> </w:t>
      </w:r>
      <w:r w:rsidRPr="00BB214D">
        <w:t xml:space="preserve">performance may be a leading indicator for increased risk for dementia in the presence of cognitively normal performance as indicated by a more general screening instrument. The 10-item word list was presented only once over the telephone and the test is difficult even for cognitively </w:t>
      </w:r>
      <w:r w:rsidR="0073759F">
        <w:t xml:space="preserve">healthy </w:t>
      </w:r>
      <w:r w:rsidRPr="00BB214D">
        <w:t>older individuals.</w:t>
      </w:r>
      <w:r w:rsidR="00822708">
        <w:t xml:space="preserve"> The commonly used word list learning tests, 16-item California Verbal Learning Test (CVLT), 15-item Rey Auditory Verbal Learning Test (AVLT), 10-item</w:t>
      </w:r>
      <w:r w:rsidR="00FB311E">
        <w:t xml:space="preserve"> word list recall tests from</w:t>
      </w:r>
      <w:r w:rsidR="00822708">
        <w:t xml:space="preserve"> CERAD</w:t>
      </w:r>
      <w:r w:rsidR="004E5108">
        <w:t xml:space="preserve"> </w:t>
      </w:r>
      <w:r w:rsidR="00FB311E">
        <w:t>and A</w:t>
      </w:r>
      <w:r w:rsidR="00822708">
        <w:t>DAS-Cog,</w:t>
      </w:r>
      <w:r w:rsidR="00DE2244">
        <w:t xml:space="preserve"> </w:t>
      </w:r>
      <w:r w:rsidR="00083FD1">
        <w:t>measure</w:t>
      </w:r>
      <w:r w:rsidR="00FB311E">
        <w:t xml:space="preserve"> IR performance as the total number of recalled words over </w:t>
      </w:r>
      <w:r w:rsidR="00083FD1">
        <w:t xml:space="preserve">three </w:t>
      </w:r>
      <w:r w:rsidR="00336EF5">
        <w:t>or</w:t>
      </w:r>
      <w:r w:rsidR="00083FD1">
        <w:t xml:space="preserve"> five</w:t>
      </w:r>
      <w:r w:rsidR="00FB311E">
        <w:t xml:space="preserve"> </w:t>
      </w:r>
      <w:r w:rsidR="00336EF5">
        <w:t>immediate free recall</w:t>
      </w:r>
      <w:r w:rsidR="00FB311E">
        <w:t xml:space="preserve"> trials</w:t>
      </w:r>
      <w:r w:rsidR="00822708">
        <w:t>.</w:t>
      </w:r>
      <w:r w:rsidRPr="00BB214D">
        <w:t xml:space="preserve"> It is possible that a larger effect size would have been detected </w:t>
      </w:r>
      <w:r w:rsidR="00822708">
        <w:t xml:space="preserve">in our study </w:t>
      </w:r>
      <w:r w:rsidRPr="00BB214D">
        <w:t>by using multiple trials</w:t>
      </w:r>
      <w:r w:rsidR="00822708">
        <w:t xml:space="preserve"> of the 10-item word list</w:t>
      </w:r>
      <w:r w:rsidRPr="00BB214D">
        <w:t xml:space="preserve">. </w:t>
      </w:r>
    </w:p>
    <w:p w14:paraId="1BBA19B1" w14:textId="7633272F" w:rsidR="00BB214D" w:rsidRDefault="00BB214D" w:rsidP="00795954">
      <w:r w:rsidRPr="00BB214D">
        <w:t xml:space="preserve">The poorer </w:t>
      </w:r>
      <w:r w:rsidR="0073759F">
        <w:t>IR</w:t>
      </w:r>
      <w:r w:rsidR="0073759F" w:rsidRPr="00BB214D">
        <w:t xml:space="preserve"> </w:t>
      </w:r>
      <w:r w:rsidRPr="00BB214D">
        <w:t xml:space="preserve">performance in the cognitively </w:t>
      </w:r>
      <w:r w:rsidR="0073759F">
        <w:t>healthy</w:t>
      </w:r>
      <w:r w:rsidR="0073759F" w:rsidRPr="00BB214D">
        <w:t xml:space="preserve"> </w:t>
      </w:r>
      <w:r w:rsidRPr="00BB214D">
        <w:t xml:space="preserve">twins with demented co-twins was associated with familial (genetic and shared environmental) risk for dementia. We did not detect evidence that cognitively </w:t>
      </w:r>
      <w:r w:rsidR="0073759F">
        <w:t>healthy</w:t>
      </w:r>
      <w:r w:rsidR="0073759F" w:rsidRPr="00BB214D">
        <w:t xml:space="preserve"> </w:t>
      </w:r>
      <w:r w:rsidRPr="00BB214D">
        <w:t xml:space="preserve">MZ twins from discordant pairs would have poorer </w:t>
      </w:r>
      <w:r w:rsidR="0073759F">
        <w:t>IR</w:t>
      </w:r>
      <w:r w:rsidR="0073759F" w:rsidRPr="00BB214D">
        <w:t xml:space="preserve"> </w:t>
      </w:r>
      <w:r w:rsidRPr="00BB214D">
        <w:t xml:space="preserve">performance in relation to cognitively </w:t>
      </w:r>
      <w:r w:rsidR="0073759F">
        <w:t>healthy</w:t>
      </w:r>
      <w:r w:rsidR="0073759F" w:rsidRPr="00BB214D">
        <w:t xml:space="preserve"> </w:t>
      </w:r>
      <w:r w:rsidRPr="00BB214D">
        <w:t xml:space="preserve">DZ twins from discordant pairs. The effect </w:t>
      </w:r>
      <w:r w:rsidRPr="00BB214D">
        <w:lastRenderedPageBreak/>
        <w:t xml:space="preserve">was similar in direction and in magnitude in analyses of both MZ and DZ twins. The sample size in MZ pairs was less than half of that in DZ twin pairs, and a larger number of discordant MZ pairs is needed for more definite conclusions. </w:t>
      </w:r>
    </w:p>
    <w:p w14:paraId="1BC890D3" w14:textId="5DE7829B" w:rsidR="00712066" w:rsidRDefault="00712066" w:rsidP="00795954">
      <w:r w:rsidRPr="009523A4">
        <w:t>The cognitively discordant twin pairs may be underrepresented in the study sample because cognitively impaired individuals, especially the most severely impaired, may be more often not willing or able to participate in the study compared to cognitive healthy individuals. This may potentially bias the estimates of the effect. We assume that smaller number of identified cases would more likely, if anything, decrease our possibilities to detect a poorer recall performance in the cognitively healthy co-twins from discordant pairs.</w:t>
      </w:r>
    </w:p>
    <w:p w14:paraId="4D784F86" w14:textId="7556A17F" w:rsidR="00BB214D" w:rsidRPr="00BB214D" w:rsidRDefault="00BB214D" w:rsidP="00417A8F">
      <w:r w:rsidRPr="00BB214D">
        <w:t>Serial position effects in word list recall may possibly be used to differentiate normal aging from pathological aging. Diminished primacy effect (i.e. remembering less words from the beginning of a word list) has been observed in AD and MCI and shown to improve discrimination between progressive and non-progressive MCI</w:t>
      </w:r>
      <w:r w:rsidR="00AE4BDF">
        <w:t>.</w:t>
      </w:r>
      <w:r w:rsidR="0012113F">
        <w:fldChar w:fldCharType="begin" w:fldLock="1"/>
      </w:r>
      <w:r w:rsidR="00396C46">
        <w:instrText>ADDIN CSL_CITATION {"citationItems":[{"id":"ITEM-1","itemData":{"DOI":"10.1080/13803395.2012.689814","ISBN":"1380-3395","PMID":"22731492","abstract":"Serial position effects in word list learning have been used to differentiate normal aging and dementia. Prominent recency and diminished primacy have consistently been observed in Alzheimer's disease (AD). We examined serial position effects in patients with mild cognitive impairment (MCI), in patients with AD, and in normal healthy controls. Additionally, we classified MCI patients into those who progressed to AD (MCI-p) and those who did not (MCI-np). We compared two serial position measures: regional and standard scores. Regional scores, mainly the primacy effect, improved discrimination between MCI and controls and between MCI-np and MCI-p, proving to be more sensitive and specific than the recency effect.","author":[{"dropping-particle":"","family":"Cunha","given":"C","non-dropping-particle":"","parse-names":false,"suffix":""},{"dropping-particle":"","family":"Guerreiro","given":"M","non-dropping-particle":"","parse-names":false,"suffix":""},{"dropping-particle":"","family":"Mendonca","given":"A","non-dropping-particle":"de","parse-names":false,"suffix":""},{"dropping-particle":"","family":"Oliveira","given":"P E","non-dropping-particle":"","parse-names":false,"suffix":""},{"dropping-particle":"","family":"Santana","given":"I","non-dropping-particle":"","parse-names":false,"suffix":""}],"container-title":"Journal of Clinical and Experimental Neuropsychology","id":"ITEM-1","issue":"8","issued":{"date-parts":[["2012"]]},"page":"841-852","title":"Serial position effects in Alzheimer's disease, mild cognitive impairment, and normal aging: predictive value for conversion to dementia","type":"article-journal","volume":"34"},"uris":["http://www.mendeley.com/documents/?uuid=10e6d94e-c6eb-4587-b7d1-28065df04173"]}],"mendeley":{"formattedCitation":"[19]","plainTextFormattedCitation":"[19]","previouslyFormattedCitation":"[19]"},"properties":{"noteIndex":0},"schema":"https://github.com/citation-style-language/schema/raw/master/csl-citation.json"}</w:instrText>
      </w:r>
      <w:r w:rsidR="0012113F">
        <w:fldChar w:fldCharType="separate"/>
      </w:r>
      <w:r w:rsidR="007D3C12" w:rsidRPr="007D3C12">
        <w:rPr>
          <w:noProof/>
        </w:rPr>
        <w:t>[19]</w:t>
      </w:r>
      <w:r w:rsidR="0012113F">
        <w:fldChar w:fldCharType="end"/>
      </w:r>
      <w:r w:rsidRPr="00BB214D">
        <w:t xml:space="preserve"> It is possible that serial position effects may also predict risk for dementia in cognitively </w:t>
      </w:r>
      <w:r w:rsidR="00A80E2E">
        <w:t>healthy</w:t>
      </w:r>
      <w:r w:rsidRPr="00BB214D">
        <w:t xml:space="preserve"> individuals. La Rue et al.</w:t>
      </w:r>
      <w:r w:rsidR="0012113F">
        <w:fldChar w:fldCharType="begin" w:fldLock="1"/>
      </w:r>
      <w:r w:rsidR="00396C46">
        <w:instrText>ADDIN CSL_CITATION {"citationItems":[{"id":"ITEM-1","itemData":{"DOI":"10.1016/j.jalz.2008.03.009","ISBN":"1552-5279","ISSN":"15525260","PMID":"18631980","abstract":"Background: An exaggerated recency effect (ie, disproportionate recall of last-presented items) has been consistently observed in the word list learning of patients with Alzheimer's disease (AD). Our study sought to determine whether there were similar alterations in serial position learning among asymptomatic persons at risk for AD as a result of parental family history. Methods: Subjects included 623 asymptomatic middle-aged children of patients with AD (median, 53 years) and 157 control participants whose parents survived to at least age 70 without AD or other memory disorders. All participants were administered the Rey Auditory Verbal Learning Test, which requires learning and recall of 15 unrelated nouns. Results: There was no significant difference in total words recalled between the AD children and control groups. However, compared with controls, AD children exhibited a significantly greater tendency to recall words from the end (recency) versus beginning (primacy) of the list. Serial position effects were unrelated to apolipoprotein allele epsilon 4 or depressive symptoms. Conclusions: Asymptomatic persons at risk for AD by virtue of family history do not show a difference in total words recalled compared with controls, but they exhibit a distinctly different serial position curve, suggesting greater reliance on immediate as opposed to episodic memory. This is the same serial position pattern observed in mild AD, seen here in reduced severity. Longitudinal follow-up is planned to determine whether changes in serial position patterns are a meaningful marker for preclinical detection of AD. © 2008 The Alzheimer's Association.","author":[{"dropping-particle":"La","family":"Rue","given":"Asenath","non-dropping-particle":"","parse-names":false,"suffix":""},{"dropping-particle":"","family":"Hermann","given":"Bruce","non-dropping-particle":"","parse-names":false,"suffix":""},{"dropping-particle":"","family":"Jones","given":"Jana E.","non-dropping-particle":"","parse-names":false,"suffix":""},{"dropping-particle":"","family":"Johnson","given":"Sterling","non-dropping-particle":"","parse-names":false,"suffix":""},{"dropping-particle":"","family":"Asthana","given":"Sanjay","non-dropping-particle":"","parse-names":false,"suffix":""},{"dropping-particle":"","family":"Sager","given":"Mark A.","non-dropping-particle":"","parse-names":false,"suffix":""}],"container-title":"Alzheimer's and Dementia","id":"ITEM-1","issue":"4","issued":{"date-parts":[["2008"]]},"page":"285-290","title":"Effect of parental family history of Alzheimer's disease on serial position profiles","type":"article-journal","volume":"4"},"uris":["http://www.mendeley.com/documents/?uuid=9414d061-4c72-47c0-88e6-5dccf416b986"]}],"mendeley":{"formattedCitation":"[8]","plainTextFormattedCitation":"[8]","previouslyFormattedCitation":"[8]"},"properties":{"noteIndex":0},"schema":"https://github.com/citation-style-language/schema/raw/master/csl-citation.json"}</w:instrText>
      </w:r>
      <w:r w:rsidR="0012113F">
        <w:fldChar w:fldCharType="separate"/>
      </w:r>
      <w:r w:rsidR="007D3C12" w:rsidRPr="007D3C12">
        <w:rPr>
          <w:noProof/>
        </w:rPr>
        <w:t>[8]</w:t>
      </w:r>
      <w:r w:rsidR="0012113F">
        <w:fldChar w:fldCharType="end"/>
      </w:r>
      <w:r w:rsidRPr="00BB214D">
        <w:t xml:space="preserve"> </w:t>
      </w:r>
      <w:proofErr w:type="gramStart"/>
      <w:r w:rsidRPr="00BB214D">
        <w:t>reported</w:t>
      </w:r>
      <w:proofErr w:type="gramEnd"/>
      <w:r w:rsidRPr="00BB214D">
        <w:t xml:space="preserve"> that asymptomatic middle-aged persons with a family history of AD have poorer primacy effect but no difference in</w:t>
      </w:r>
      <w:r w:rsidR="00417A8F">
        <w:t xml:space="preserve"> the total immediate or delayed recall score</w:t>
      </w:r>
      <w:r w:rsidR="00FE3123">
        <w:t>s</w:t>
      </w:r>
      <w:r w:rsidR="00417A8F">
        <w:t xml:space="preserve"> of AVLT</w:t>
      </w:r>
      <w:r w:rsidRPr="00BB214D">
        <w:t xml:space="preserve">, in comparison to individuals without a family history of AD. In our study, we did detect a poorer total </w:t>
      </w:r>
      <w:r w:rsidR="00417A8F">
        <w:t xml:space="preserve">immediate </w:t>
      </w:r>
      <w:r w:rsidRPr="00BB214D">
        <w:t>recall</w:t>
      </w:r>
      <w:r w:rsidR="00417A8F">
        <w:t xml:space="preserve"> score</w:t>
      </w:r>
      <w:r w:rsidRPr="00BB214D">
        <w:t xml:space="preserve"> but no significant difference specifically in the primacy performance in the cognitively </w:t>
      </w:r>
      <w:r w:rsidR="00417A8F">
        <w:t>healthy</w:t>
      </w:r>
      <w:r w:rsidR="00417A8F" w:rsidRPr="00BB214D">
        <w:t xml:space="preserve"> </w:t>
      </w:r>
      <w:r w:rsidRPr="00BB214D">
        <w:t xml:space="preserve">twins with demented co-twins compared to cognitively </w:t>
      </w:r>
      <w:r w:rsidR="00417A8F">
        <w:t>healthy</w:t>
      </w:r>
      <w:r w:rsidR="00417A8F" w:rsidRPr="00BB214D">
        <w:t xml:space="preserve"> </w:t>
      </w:r>
      <w:r w:rsidRPr="00BB214D">
        <w:t xml:space="preserve">twins with non-demented co-twins. The major difference between our study and the study by La Rue et al. is that we examined the </w:t>
      </w:r>
      <w:r w:rsidR="00417A8F">
        <w:t>IR</w:t>
      </w:r>
      <w:r w:rsidR="00417A8F" w:rsidRPr="00BB214D">
        <w:t xml:space="preserve"> </w:t>
      </w:r>
      <w:r w:rsidRPr="00BB214D">
        <w:t xml:space="preserve">performance of older people with increased familial risk for dementia not restricted to AD. In addition, we used a single-trial test and a shorter word list (10-item vs 15-item) that might be less sensitive for differences in recall according to serial position regions. </w:t>
      </w:r>
    </w:p>
    <w:p w14:paraId="1B8FB8AD" w14:textId="599EAA61" w:rsidR="00BB214D" w:rsidRDefault="00BB214D" w:rsidP="00795954">
      <w:r w:rsidRPr="00BB214D">
        <w:lastRenderedPageBreak/>
        <w:t xml:space="preserve">More than a third of the variance, 37%, of our </w:t>
      </w:r>
      <w:r w:rsidR="001643F0">
        <w:t>IR</w:t>
      </w:r>
      <w:r w:rsidR="001643F0" w:rsidRPr="00BB214D">
        <w:t xml:space="preserve"> </w:t>
      </w:r>
      <w:r w:rsidRPr="00BB214D">
        <w:t xml:space="preserve">measure was explained by genetic effects. </w:t>
      </w:r>
      <w:r w:rsidR="00BB19BC" w:rsidRPr="00BB19BC">
        <w:t xml:space="preserve">This is in line with an earlier study </w:t>
      </w:r>
      <w:r w:rsidR="00DF1E64">
        <w:t>reporting a</w:t>
      </w:r>
      <w:r w:rsidR="00BB19BC" w:rsidRPr="00BB19BC">
        <w:t xml:space="preserve"> heritability of </w:t>
      </w:r>
      <w:r w:rsidR="00DF1E64">
        <w:t xml:space="preserve">0.36 for </w:t>
      </w:r>
      <w:r w:rsidR="00BB19BC" w:rsidRPr="00BB19BC">
        <w:t xml:space="preserve">word-list learning </w:t>
      </w:r>
      <w:r w:rsidR="00DF1E64">
        <w:t xml:space="preserve">measure including multiple trials </w:t>
      </w:r>
      <w:r w:rsidR="00BB19BC" w:rsidRPr="00BB19BC">
        <w:t>(CVLT).</w:t>
      </w:r>
      <w:r w:rsidR="00BB19BC">
        <w:fldChar w:fldCharType="begin" w:fldLock="1"/>
      </w:r>
      <w:r w:rsidR="00396C46">
        <w:instrText>ADDIN CSL_CITATION {"citationItems":[{"id":"ITEM-1","itemData":{"DOI":"10.1037/a0022569","ISBN":"1931-1559 (Electronic)\\r0894-4105 (Linking)","ISSN":"08944105","PMID":"21463045","abstract":"Although episodic memory is often conceptualized as consisting of multiple component processes, there is a lack of understanding as to whether these processes are influenced by the same or different genetic determinants. The aim of the present study was to utilize multivariate twin analyses to elucidate the degree to which learning and delayed recall, two critical measures of episodic memory performance, have common or different genetic and environmental influences.","author":[{"dropping-particle":"","family":"Panizzon","given":"Matthew S.","non-dropping-particle":"","parse-names":false,"suffix":""},{"dropping-particle":"","family":"Lyons","given":"Michael J.","non-dropping-particle":"","parse-names":false,"suffix":""},{"dropping-particle":"","family":"Jacobson","given":"Kristen C.","non-dropping-particle":"","parse-names":false,"suffix":""},{"dropping-particle":"","family":"Franz","given":"Carol E.","non-dropping-particle":"","parse-names":false,"suffix":""},{"dropping-particle":"","family":"Grant","given":"Michael D.","non-dropping-particle":"","parse-names":false,"suffix":""},{"dropping-particle":"","family":"Eisen","given":"Seth A.","non-dropping-particle":"","parse-names":false,"suffix":""},{"dropping-particle":"","family":"Xian","given":"Hong","non-dropping-particle":"","parse-names":false,"suffix":""},{"dropping-particle":"","family":"Kremen","given":"William S.","non-dropping-particle":"","parse-names":false,"suffix":""}],"container-title":"Neuropsychology","id":"ITEM-1","issued":{"date-parts":[["2011"]]},"title":"Genetic Architecture of Learning and Delayed Recall: A Twin Study of Episodic Memory","type":"article-journal"},"uris":["http://www.mendeley.com/documents/?uuid=0c6554ba-0279-4b58-a986-b1b9fbcbc8b7"]}],"mendeley":{"formattedCitation":"[20]","plainTextFormattedCitation":"[20]","previouslyFormattedCitation":"[20]"},"properties":{"noteIndex":0},"schema":"https://github.com/citation-style-language/schema/raw/master/csl-citation.json"}</w:instrText>
      </w:r>
      <w:r w:rsidR="00BB19BC">
        <w:fldChar w:fldCharType="separate"/>
      </w:r>
      <w:r w:rsidR="007D3C12" w:rsidRPr="007D3C12">
        <w:rPr>
          <w:noProof/>
        </w:rPr>
        <w:t>[20]</w:t>
      </w:r>
      <w:r w:rsidR="00BB19BC">
        <w:fldChar w:fldCharType="end"/>
      </w:r>
      <w:r w:rsidR="00BB19BC">
        <w:t xml:space="preserve"> However, </w:t>
      </w:r>
      <w:bookmarkStart w:id="19" w:name="_Hlk522795403"/>
      <w:r w:rsidR="00BB19BC">
        <w:t>t</w:t>
      </w:r>
      <w:r w:rsidRPr="00BB214D">
        <w:t xml:space="preserve">he first trial of </w:t>
      </w:r>
      <w:r w:rsidR="00F7791D">
        <w:t>the</w:t>
      </w:r>
      <w:r w:rsidRPr="00BB214D">
        <w:t xml:space="preserve"> 16-item word list (</w:t>
      </w:r>
      <w:r w:rsidR="00417A8F">
        <w:t>CVLT</w:t>
      </w:r>
      <w:r w:rsidRPr="00BB214D">
        <w:t xml:space="preserve">) </w:t>
      </w:r>
      <w:r w:rsidR="00BB19BC">
        <w:t>has been</w:t>
      </w:r>
      <w:r w:rsidR="00BB19BC" w:rsidRPr="00BB214D">
        <w:t xml:space="preserve"> </w:t>
      </w:r>
      <w:r w:rsidRPr="00BB214D">
        <w:t xml:space="preserve">reported </w:t>
      </w:r>
      <w:r w:rsidR="00BB19BC">
        <w:t>to show</w:t>
      </w:r>
      <w:r w:rsidRPr="00BB214D">
        <w:t xml:space="preserve"> zero heritability indicating that a single-trial administration of a word list may not be reliable enough to show consistent heritability</w:t>
      </w:r>
      <w:r w:rsidR="00AE4BDF">
        <w:t>.</w:t>
      </w:r>
      <w:r w:rsidR="0012113F">
        <w:fldChar w:fldCharType="begin" w:fldLock="1"/>
      </w:r>
      <w:r w:rsidR="00396C46">
        <w:instrText>ADDIN CSL_CITATION {"citationItems":[{"id":"ITEM-1","itemData":{"DOI":"10.1037/a0035962","ISBN":"0882-7974","ISSN":"19391498","PMID":"24956007","abstract":"Episodic memory change is a central issue in cognitive aging, and understanding that process will require elucidation of its genetic underpinnings. A key limiting factor in genetically informed research on memory has been lack of attention to genetic and phenotypic complexity, as if \"memory is memory\" and all well-validated assessments are essentially equivalent. Here we applied multivariate twin models to data from late-middle-aged participants in the Vietnam Era Twin Study of Aging to examine the genetic architecture of 6 measures from 3 standard neuropsychological tests: the California Verbal Learning Test-2, and Wechsler Memory Scale-III Logical Memory (LM) and Visual Reproductions (VR). An advantage of the twin method is that it can estimate the extent to which latent genetic influences are shared or independent across different measures before knowing which specific genes are involved. The best-fitting model was a higher order common pathways model with a heritable higher order general episodic memory factor and three test-specific subfactors. More importantly, substantial genetic variance was accounted for by genetic influences that were specific to the latent LM and VR subfactors (28% and 30%, respectively) and independent of the general factor. Such unique genetic influences could partially account for replication failures. Moreover, if different genes influence different memory phenotypes, they could well have different age-related trajectories. This approach represents an important step toward providing critical information for all types of genetically informative studies of aging and memory. (PsycINFO Database Record (c) 2014 APA, all rights reserved).","author":[{"dropping-particle":"","family":"Kremen","given":"William S.","non-dropping-particle":"","parse-names":false,"suffix":""},{"dropping-particle":"","family":"Panizzon","given":"Matthew S.","non-dropping-particle":"","parse-names":false,"suffix":""},{"dropping-particle":"","family":"Franz","given":"Carol E.","non-dropping-particle":"","parse-names":false,"suffix":""},{"dropping-particle":"","family":"Spoon","given":"Kelly M.","non-dropping-particle":"","parse-names":false,"suffix":""},{"dropping-particle":"","family":"Vuoksimaa","given":"Eero","non-dropping-particle":"","parse-names":false,"suffix":""},{"dropping-particle":"","family":"Jacobson","given":"Kristen C.","non-dropping-particle":"","parse-names":false,"suffix":""},{"dropping-particle":"","family":"Vasilopoulos","given":"Terrie","non-dropping-particle":"","parse-names":false,"suffix":""},{"dropping-particle":"","family":"Xian","given":"Hong","non-dropping-particle":"","parse-names":false,"suffix":""},{"dropping-particle":"","family":"McCaffery","given":"Jeanne M.","non-dropping-particle":"","parse-names":false,"suffix":""},{"dropping-particle":"","family":"Rana","given":"Brinda K.","non-dropping-particle":"","parse-names":false,"suffix":""},{"dropping-particle":"","family":"Toomey","given":"Rosemary","non-dropping-particle":"","parse-names":false,"suffix":""},{"dropping-particle":"","family":"McKenzie","given":"Ruth","non-dropping-particle":"","parse-names":false,"suffix":""},{"dropping-particle":"","family":"Lyons","given":"Michael J.","non-dropping-particle":"","parse-names":false,"suffix":""}],"container-title":"Psychology and Aging","id":"ITEM-1","issue":"2","issued":{"date-parts":[["2014"]]},"page":"404-417","title":"Genetic complexity of episodic memory: A twin approach to studies of aging","type":"article-journal","volume":"29"},"uris":["http://www.mendeley.com/documents/?uuid=6305dcef-5f7f-4d9c-9894-6eaad4776177"]}],"mendeley":{"formattedCitation":"[21]","plainTextFormattedCitation":"[21]","previouslyFormattedCitation":"[21]"},"properties":{"noteIndex":0},"schema":"https://github.com/citation-style-language/schema/raw/master/csl-citation.json"}</w:instrText>
      </w:r>
      <w:r w:rsidR="0012113F">
        <w:fldChar w:fldCharType="separate"/>
      </w:r>
      <w:r w:rsidR="007D3C12" w:rsidRPr="007D3C12">
        <w:rPr>
          <w:noProof/>
        </w:rPr>
        <w:t>[21]</w:t>
      </w:r>
      <w:r w:rsidR="0012113F">
        <w:fldChar w:fldCharType="end"/>
      </w:r>
      <w:r w:rsidRPr="00BB214D">
        <w:t xml:space="preserve"> In our study, the 10-item word list was presented only once but still showed substantial heritability. The single trial of a shorter word list may be more reliable compared to a single presentation of a longer </w:t>
      </w:r>
      <w:proofErr w:type="spellStart"/>
      <w:r w:rsidRPr="00BB214D">
        <w:t>supraspan</w:t>
      </w:r>
      <w:proofErr w:type="spellEnd"/>
      <w:r w:rsidRPr="00BB214D">
        <w:t xml:space="preserve"> list (i.e., exceeding typical working memory capacity).</w:t>
      </w:r>
      <w:bookmarkEnd w:id="19"/>
    </w:p>
    <w:p w14:paraId="6C271521" w14:textId="2B002689" w:rsidR="0053348B" w:rsidRDefault="00BB214D" w:rsidP="00795954">
      <w:r w:rsidRPr="00BB214D">
        <w:t xml:space="preserve">Our results support poorer word list learning as an early marker of dementia risk. The weaker performance may reflect a vulnerability trait, a certain cognitive </w:t>
      </w:r>
      <w:proofErr w:type="gramStart"/>
      <w:r w:rsidRPr="00BB214D">
        <w:t>phenotype, that</w:t>
      </w:r>
      <w:proofErr w:type="gramEnd"/>
      <w:r w:rsidRPr="00BB214D">
        <w:t xml:space="preserve"> may increase the risk of developing dementia. It is also possible that the subtle alteration in </w:t>
      </w:r>
      <w:r w:rsidR="0099394B">
        <w:t>IR</w:t>
      </w:r>
      <w:r w:rsidR="00417A8F" w:rsidRPr="00BB214D">
        <w:t xml:space="preserve"> </w:t>
      </w:r>
      <w:r w:rsidRPr="00BB214D">
        <w:t>is causally linked to the occurrence of underlying progressive brain pathologies, and thus may represent a preclinical sign of pathology. However, to make this inference further studies with longitudinal follow-up and information also on pathological markers are needed.</w:t>
      </w:r>
      <w:r w:rsidR="0053348B">
        <w:t xml:space="preserve"> </w:t>
      </w:r>
      <w:bookmarkStart w:id="20" w:name="_Hlk522823103"/>
      <w:r w:rsidR="0053348B" w:rsidRPr="0053348B">
        <w:t xml:space="preserve">Regional atrophy in lateral </w:t>
      </w:r>
      <w:proofErr w:type="spellStart"/>
      <w:r w:rsidR="0053348B" w:rsidRPr="0053348B">
        <w:t>temporoparietal</w:t>
      </w:r>
      <w:proofErr w:type="spellEnd"/>
      <w:r w:rsidR="0053348B" w:rsidRPr="0053348B">
        <w:t xml:space="preserve">, posterior cingulate and </w:t>
      </w:r>
      <w:proofErr w:type="spellStart"/>
      <w:r w:rsidR="0053348B" w:rsidRPr="0053348B">
        <w:t>precuneus</w:t>
      </w:r>
      <w:proofErr w:type="spellEnd"/>
      <w:r w:rsidR="0053348B" w:rsidRPr="0053348B">
        <w:t>, and frontal regions has been associated with the performance of the first immediate recall trial of AVLT and ADAS-Cog</w:t>
      </w:r>
      <w:r w:rsidR="0053348B">
        <w:t xml:space="preserve"> in mild AD patients</w:t>
      </w:r>
      <w:r w:rsidR="0053348B" w:rsidRPr="0053348B">
        <w:t>.</w:t>
      </w:r>
      <w:r w:rsidR="00283227">
        <w:fldChar w:fldCharType="begin" w:fldLock="1"/>
      </w:r>
      <w:r w:rsidR="00396C46">
        <w:instrText>ADDIN CSL_CITATION {"citationItems":[{"id":"ITEM-1","itemData":{"DOI":"10.1016/j.neuroimage.2010.09.005","ISBN":"1095-9572 (Electronic)\\n1053-8119 (Linking)","ISSN":"10538119","PMID":"20832485","abstract":"The aim of this study was to determine the neural correlates of different stages of episodic memory function and their modulation by Alzheimer's disease (AD). Several decades of work has supported the role of the medial temporal lobes (MTL) in episodic memory function. However, a more recent work, derived in part from functional neuroimaging studies, has suggested that other brain structures make up a large-scale network that appears to support successful encoding and retrieval of episodic memories. Furthermore, controversy exists as to whether dissociable MTL regions support qualitatively different aspects of memory (hippocampus: contextual memory or 'recollection'; perirhinal/lateral entorhinal cortex: item memory or 'familiarity'). There is limited neuropsychological support for these models and most work in AD only has examined free recall memory measures. We studied the relationship between performance on different stages of the Rey Auditory Verbal Learning Test (AVLT), a 15-item word list learning task, and structural MRI measures in mild AD patients. Structural measures included hippocampal volume and cortical thickness of several ROIs known to undergo atrophy in AD. Correlation and multiple regression analyses, controlling for age, education, and gender, were performed in 146 mild AD patients (MMSE 23.3 ± 2.0). To evaluate the robustness of these relationships, similar analyses were performed with additional standardized verbal memory measures. Early immediate recall trials (e.g. Trial 1 of the AVLT) were not associated with the size of MTL regions, but correlated most strongly with inferior parietal, middle frontal gyrus, and temporal pole ROIs. After repeated exposure (e.g. Trial 5 of the AVLT), immediate recall was correlated with both MTL and a similar distribution of isocortical structures, but most strongly the temporal pole. For delayed recall, only the hippocampus correlated with performance. In contrast, for delayed recognition discrimination, the perirhinal/entorhinal cortex correlated more strongly than the hippocampus; no other isocortical regions were strongly associated with performance. Convergent results were found for immediate and delayed trials of other memory tests. The current results suggest that a richer understanding of the memory deficits in AD can be gained by examining multiple measures, which tap different aspects of memory function. Furthermore, the present findings are consistent with models hypothesizing different …","author":[{"dropping-particle":"","family":"Wolk","given":"David A.","non-dropping-particle":"","parse-names":false,"suffix":""},{"dropping-particle":"","family":"Dickerson","given":"Bradford C.","non-dropping-particle":"","parse-names":false,"suffix":""}],"container-title":"NeuroImage","id":"ITEM-1","issued":{"date-parts":[["2011"]]},"title":"Fractionating verbal episodic memory in Alzheimer's disease","type":"article-journal"},"uris":["http://www.mendeley.com/documents/?uuid=e1a69407-e4fa-42d2-b6e6-89a93f2cbdbc"]}],"mendeley":{"formattedCitation":"[22]","plainTextFormattedCitation":"[22]","previouslyFormattedCitation":"[22]"},"properties":{"noteIndex":0},"schema":"https://github.com/citation-style-language/schema/raw/master/csl-citation.json"}</w:instrText>
      </w:r>
      <w:r w:rsidR="00283227">
        <w:fldChar w:fldCharType="separate"/>
      </w:r>
      <w:r w:rsidR="007D3C12" w:rsidRPr="007D3C12">
        <w:rPr>
          <w:noProof/>
        </w:rPr>
        <w:t>[22]</w:t>
      </w:r>
      <w:r w:rsidR="00283227">
        <w:fldChar w:fldCharType="end"/>
      </w:r>
      <w:r w:rsidR="0053348B" w:rsidRPr="0053348B">
        <w:t xml:space="preserve"> </w:t>
      </w:r>
      <w:r w:rsidR="00283227">
        <w:t>Several</w:t>
      </w:r>
      <w:r w:rsidR="0053348B" w:rsidRPr="0053348B">
        <w:t xml:space="preserve"> of the</w:t>
      </w:r>
      <w:r w:rsidR="00283227">
        <w:t xml:space="preserve">se </w:t>
      </w:r>
      <w:r w:rsidR="0053348B" w:rsidRPr="0053348B">
        <w:t xml:space="preserve">brain regions, especially the </w:t>
      </w:r>
      <w:proofErr w:type="spellStart"/>
      <w:r w:rsidR="0053348B">
        <w:t>precuneus</w:t>
      </w:r>
      <w:proofErr w:type="spellEnd"/>
      <w:r w:rsidR="0053348B">
        <w:t xml:space="preserve"> and posterior cingulate</w:t>
      </w:r>
      <w:r w:rsidR="0053348B" w:rsidRPr="0053348B">
        <w:t xml:space="preserve">, are associated with the default mode network and </w:t>
      </w:r>
      <w:r w:rsidR="0053348B">
        <w:t xml:space="preserve">are </w:t>
      </w:r>
      <w:r w:rsidR="0053348B" w:rsidRPr="0053348B">
        <w:t>affected very early during the AD process by high amyloid-beta burden</w:t>
      </w:r>
      <w:r w:rsidR="00283227">
        <w:t xml:space="preserve">, </w:t>
      </w:r>
      <w:r w:rsidR="00283227">
        <w:fldChar w:fldCharType="begin" w:fldLock="1"/>
      </w:r>
      <w:r w:rsidR="00396C46">
        <w:instrText>ADDIN CSL_CITATION {"citationItems":[{"id":"ITEM-1","itemData":{"DOI":"10.1038/s41467-017-01150-x","ISSN":"20411723","PMID":"29089479","abstract":"It is not known exactly where amyloid-β (Aβ) fibrils begin to accumulate in individuals with Alzheimer’s disease (AD). Recently, we showed that abnormal levels of Aβ42 in cerebrospinal fluid (CSF) can be detected before abnormal amyloid can be detected using PET in individuals with preclinical AD. Using these approaches, here we identify the earliest preclinical AD stage in subjects from the ADNI and BioFINDER cohorts. We show that Aβ accumulation preferentially starts in the precuneus, medial orbitofrontal, and posterior cingulate cortices, i.e., several of the core regions of the default mode network (DMN). This early pattern of Aβ accumulation is already evident in individuals with normal Aβ42 in the CSF and normal amyloid PET who subsequently convert to having abnormal CSF Aβ42. The earliest Aβ accumulation is further associated with hypoconnectivity within the DMN and between the DMN and the frontoparietal network, but not with brain atrophy or glucose hypometabolism. Our results suggest that Aβ fibrils start to accumulate predominantly within certain parts of the DMN in preclinical AD and already then affect brain connectivity.","author":[{"dropping-particle":"","family":"Palmqvist","given":"Sebastian","non-dropping-particle":"","parse-names":false,"suffix":""},{"dropping-particle":"","family":"Schöll","given":"Michael","non-dropping-particle":"","parse-names":false,"suffix":""},{"dropping-particle":"","family":"Strandberg","given":"Olof","non-dropping-particle":"","parse-names":false,"suffix":""},{"dropping-particle":"","family":"Mattsson","given":"Niklas","non-dropping-particle":"","parse-names":false,"suffix":""},{"dropping-particle":"","family":"Stomrud","given":"Erik","non-dropping-particle":"","parse-names":false,"suffix":""},{"dropping-particle":"","family":"Zetterberg","given":"Henrik","non-dropping-particle":"","parse-names":false,"suffix":""},{"dropping-particle":"","family":"Blennow","given":"Kaj","non-dropping-particle":"","parse-names":false,"suffix":""},{"dropping-particle":"","family":"Landau","given":"Susan","non-dropping-particle":"","parse-names":false,"suffix":""},{"dropping-particle":"","family":"Jagust","given":"William","non-dropping-particle":"","parse-names":false,"suffix":""},{"dropping-particle":"","family":"Hansson","given":"Oskar","non-dropping-particle":"","parse-names":false,"suffix":""}],"container-title":"Nature Communications","id":"ITEM-1","issued":{"date-parts":[["2017"]]},"title":"Earliest accumulation of β-amyloid occurs within the default-mode network and concurrently affects brain connectivity","type":"article-journal"},"uris":["http://www.mendeley.com/documents/?uuid=6e8693d6-16b3-424f-bec8-249ab45245fd"]},{"id":"ITEM-2","itemData":{"DOI":"10.1093/brain/aws125","ISBN":"0006-8950","ISSN":"14602156","PMID":"22628162","abstract":"Amyloid-β deposition in Alzheimer's disease is thought to start while individuals are still cognitively unimpaired and it is hypothesized that after an early phase of fast accumulation, a plateau is reached by the time of cognitive decline. However, few longitudinal Pittsburgh compound B-positron emission tomography studies have tested this hypothesis, and with conflicting results. The purpose of this work is to further our understanding of the dynamics of amyloid-β deposition in a large longitudinal cohort. A total of 32 patients with Alzheimer's disease, 49 subjects with mild cognitive impairment and 103 healthy controls underwent two Pittsburgh compound B-positron emission tomography scans 18 months apart. For each participant, a parametric map of Pittsburgh compound B-positron emission tomography rate of change was created [(follow-up scan - baseline scan)/follow-up duration] and entered in a voxelwise three-way analysis of covariance, with clinical status (healthy controls, mild cognitive impairment or Alzheimer's disease), disease progression (clinical conversion from healthy controls to mild cognitive impairment or Alzheimer's disease, or from mild cognitive impairment to Alzheimer's disease) and Pittsburgh compound B status (positive versus negative) as independent factors. Only a significant effect of the Pittsburgh compound B status was found: both Pittsburgh compound B-positive and -negative subjects showed a significant increase in amyloid-β deposition, with this increase being significantly higher in Pittsburgh compound B-positive individuals. This finding suggests either that Pittsburgh compound B-negative individuals have slower rates of amyloid-β accumulation than positive, or that the proportion of individuals showing significant increase in amyloid-β deposition, termed 'Pittsburgh compound B accumulators', is higher within the Pittsburgh compound B-positive group than within the Pittsburgh compound B-negative group. The bimodal distribution of the individual rates of neocortical amyloid-β accumulation observed support the existence of 'Pittsburgh compound B non-accumulators' and 'Pittsburgh compound B accumulators' and different clustering analyses led to a consistent threshold to separate these two subgroups (0.014-0.022 standardized uptake value ratio(pons)/year). The voxelwise three-way analysis of covariance was thus recomputed with the 'Pittsburgh compound B accumulators' only and the results were almost unchanged, with the Pittsb…","author":[{"dropping-particle":"","family":"Villain","given":"Nicolas","non-dropping-particle":"","parse-names":false,"suffix":""},{"dropping-particle":"","family":"Chételat","given":"Gaël","non-dropping-particle":"","parse-names":false,"suffix":""},{"dropping-particle":"","family":"Grassiot","given":"Blandine","non-dropping-particle":"","parse-names":false,"suffix":""},{"dropping-particle":"","family":"Bourgeat","given":"Pierrick","non-dropping-particle":"","parse-names":false,"suffix":""},{"dropping-particle":"","family":"Jones","given":"Gareth","non-dropping-particle":"","parse-names":false,"suffix":""},{"dropping-particle":"","family":"Ellis","given":"Kathryn A.","non-dropping-particle":"","parse-names":false,"suffix":""},{"dropping-particle":"","family":"Ames","given":"David","non-dropping-particle":"","parse-names":false,"suffix":""},{"dropping-particle":"","family":"Martins","given":"Ralph N.","non-dropping-particle":"","parse-names":false,"suffix":""},{"dropping-particle":"","family":"Eustache","given":"Francis","non-dropping-particle":"","parse-names":false,"suffix":""},{"dropping-particle":"","family":"Salvado","given":"Olivier","non-dropping-particle":"","parse-names":false,"suffix":""},{"dropping-particle":"","family":"Masters","given":"Colin L.","non-dropping-particle":"","parse-names":false,"suffix":""},{"dropping-particle":"","family":"Rowe","given":"Christopher C.","non-dropping-particle":"","parse-names":false,"suffix":""},{"dropping-particle":"","family":"Villemagne","given":"Victor L.","non-dropping-particle":"","parse-names":false,"suffix":""}],"container-title":"Brain","id":"ITEM-2","issued":{"date-parts":[["2012"]]},"title":"Regional dynamics of amyloid-β deposition in healthy elderly, mild cognitive impairment and Alzheimer's disease: A voxelwise PiB-PET longitudinal study","type":"article-journal"},"uris":["http://www.mendeley.com/documents/?uuid=d90667e7-9423-48cf-8532-cdf930cafd08"]}],"mendeley":{"formattedCitation":"[23,24]","plainTextFormattedCitation":"[23,24]","previouslyFormattedCitation":"[23,24]"},"properties":{"noteIndex":0},"schema":"https://github.com/citation-style-language/schema/raw/master/csl-citation.json"}</w:instrText>
      </w:r>
      <w:r w:rsidR="00283227">
        <w:fldChar w:fldCharType="separate"/>
      </w:r>
      <w:r w:rsidR="007D3C12" w:rsidRPr="007D3C12">
        <w:rPr>
          <w:noProof/>
        </w:rPr>
        <w:t>[23,24]</w:t>
      </w:r>
      <w:r w:rsidR="00283227">
        <w:fldChar w:fldCharType="end"/>
      </w:r>
      <w:r w:rsidR="00283227">
        <w:t xml:space="preserve"> </w:t>
      </w:r>
      <w:r w:rsidR="0053348B" w:rsidRPr="0053348B">
        <w:t>and disrupted functional connectivity</w:t>
      </w:r>
      <w:r w:rsidR="00283227">
        <w:t>.</w:t>
      </w:r>
      <w:r w:rsidR="00283227">
        <w:fldChar w:fldCharType="begin" w:fldLock="1"/>
      </w:r>
      <w:r w:rsidR="00396C46">
        <w:instrText>ADDIN CSL_CITATION {"citationItems":[{"id":"ITEM-1","itemData":{"DOI":"10.1523/JNEUROSCI.3189-09.2009","ISBN":"1529-2401 (Electronic)\\n0270-6474 (Linking)","ISSN":"1529-2401","PMID":"19812343","abstract":"Amyloid deposition is present in 20-50% of nondemented older adults yet the functional consequences remain unclear. The current study found that amyloid accumulation is correlated with functional disruption of the default network as measured by intrinsic activity correlations. Clinically normal participants (n = 38, aged 60-88 years) were characterized using (11)C-labeled Pittsburgh Compound B positron emission tomography imaging to estimate fibrillar amyloid burden and, separately, underwent functional magnetic resonance imaging (fMRI). The integrity of the default network was estimated by correlating rest-state fMRI time courses extracted from a priori regions including the posterior cingulate, lateral parietal, and medial prefrontal cortices. Clinically normal participants with high amyloid burden displayed significantly reduced functional correlations within the default network relative to participants with low amyloid burden. These reductions were also observed when amyloid burden was treated as a continuous, rather than a dichotomous, measure and when controlling for age and structural atrophy. Whole-brain analyses initiated by seeding the posterior cingulate cortex, a region of high amyloid burden in Alzheimer's disease, revealed significant disruption in the default network including functional disconnection of the hippocampal formation.","author":[{"dropping-particle":"","family":"Hedden","given":"Trey","non-dropping-particle":"","parse-names":false,"suffix":""},{"dropping-particle":"","family":"Dijk","given":"Koene R A","non-dropping-particle":"Van","parse-names":false,"suffix":""},{"dropping-particle":"","family":"Becker","given":"J Alex","non-dropping-particle":"","parse-names":false,"suffix":""},{"dropping-particle":"","family":"Mehta","given":"Angel","non-dropping-particle":"","parse-names":false,"suffix":""},{"dropping-particle":"","family":"Sperling","given":"Reisa A","non-dropping-particle":"","parse-names":false,"suffix":""},{"dropping-particle":"","family":"Johnson","given":"Keith A","non-dropping-particle":"","parse-names":false,"suffix":""},{"dropping-particle":"","family":"Buckner","given":"Randy L","non-dropping-particle":"","parse-names":false,"suffix":""}],"container-title":"The Journal of neuroscience : the official journal of the Society for Neuroscience","id":"ITEM-1","issued":{"date-parts":[["2009"]]},"title":"Disruption of functional connectivity in clinically normal older adults harboring amyloid burden.","type":"article-journal"},"uris":["http://www.mendeley.com/documents/?uuid=e8451ede-76a2-408b-b775-87f83a529a57"]}],"mendeley":{"formattedCitation":"[25]","plainTextFormattedCitation":"[25]","previouslyFormattedCitation":"[25]"},"properties":{"noteIndex":0},"schema":"https://github.com/citation-style-language/schema/raw/master/csl-citation.json"}</w:instrText>
      </w:r>
      <w:r w:rsidR="00283227">
        <w:fldChar w:fldCharType="separate"/>
      </w:r>
      <w:r w:rsidR="007D3C12" w:rsidRPr="007D3C12">
        <w:rPr>
          <w:noProof/>
        </w:rPr>
        <w:t>[25]</w:t>
      </w:r>
      <w:r w:rsidR="00283227">
        <w:fldChar w:fldCharType="end"/>
      </w:r>
      <w:bookmarkEnd w:id="20"/>
    </w:p>
    <w:p w14:paraId="3A125F84" w14:textId="4DE6CA02" w:rsidR="00BB214D" w:rsidRPr="00BB214D" w:rsidRDefault="00BB214D" w:rsidP="00795954">
      <w:r w:rsidRPr="00BB214D">
        <w:t xml:space="preserve">The major limitations of our study are related to the definition of dementia. We studied the effect of all-cause dementia risk on </w:t>
      </w:r>
      <w:r w:rsidR="00417A8F">
        <w:t>IR</w:t>
      </w:r>
      <w:r w:rsidR="00417A8F" w:rsidRPr="00BB214D">
        <w:t xml:space="preserve"> </w:t>
      </w:r>
      <w:r w:rsidRPr="00BB214D">
        <w:t>performance. The study design and assessment measures limited us from examining the effect by dementia subtypes. Most of the dementia cases are presumably due to AD</w:t>
      </w:r>
      <w:r w:rsidR="00022086">
        <w:t>.</w:t>
      </w:r>
      <w:r w:rsidR="0012113F">
        <w:fldChar w:fldCharType="begin" w:fldLock="1"/>
      </w:r>
      <w:r w:rsidR="00396C46">
        <w:instrText>ADDIN CSL_CITATION {"citationItems":[{"id":"ITEM-1","itemData":{"DOI":"10.1016/S0140-6736(00)03589-3","ISBN":"0140-6736 (Print)","ISSN":"0140-6736","PMID":"11213093","abstract":"BACKGROUND We have undertaken a large unselected, community-based neuropathology study in an elderly (70-103 years) UK population in relation to prospectively evaluated dementia status. The study tests the assumption that dementing disorders as defined by current diagnostic protocols underlie this syndrome in the community at large. METHODS Respondents in the Medical Research Council Cognitive Function and Ageing Study were approached for consent to examine the brain at necropsy. Dementia status was assigned by use of the automated geriatric examination for computer-assisted taxonomy algorithm. Neuropathological features were standardised by use of the protocol of the Consortium to Establish a Registry of Alzheimer's Disease, which assesses the severity and distribution of Alzheimer-type pathology, vascular lesions, and other potential causes of dementia. A statistical model of dementia risk related predominantly to Alzheimer-type and vascular pathology was developed by multivariate logistic regression. FINDINGS We report on the first 209 individuals who have come to necropsy. The median age at death was 85 years for men, and 86 years for women. Cerebrovascular (78%) and Alzheimer-type (70%) pathology were common. Dementia was present in 100 (48%), of whom 64% had features indicating probable or definite Alzheimer's disease. However, 33% of the 109 non-demented people had equivalent densities of neocortical neuritic plaques. Some degree of neocortical neurofibrillary pathology was found in 61% of demented and 34% of non-demented individuals. Vascular lesions were equally common in both groups, although the proportion with multiple vascular pathology was higher in the demented group (46% vs 33%). INTERPRETATION Alzheimer-type and vascular pathology were the major pathological correlates of cognitive decline in this elderly sample, as expected, but most patients had mixed disease. There were no clear thresholds of these features that predicted dementia status. The findings therefore challenge conventional dementia diagnostic criteria in this setting. Additional factors must determine whether moderate burdens of cerebral Alzheimer-type pathology and vascular lesions are associated with cognitive failure.","author":[{"dropping-particle":"","family":"Neuropathology Group. Medical Research Council Cognitive Function and Aging Study","given":"ZS","non-dropping-particle":"","parse-names":false,"suffix":""},{"dropping-particle":"","family":"Mirra","given":"SS","non-dropping-particle":"","parse-names":false,"suffix":""},{"dropping-particle":"","family":"Heyman","given":"A","non-dropping-particle":"","parse-names":false,"suffix":""},{"dropping-particle":"","family":"McKeel","given":"D","non-dropping-particle":"","parse-names":false,"suffix":""},{"dropping-particle":"","family":"al.","given":"et","non-dropping-particle":"","parse-names":false,"suffix":""},{"dropping-particle":"","family":"Roman","given":"G","non-dropping-particle":"","parse-names":false,"suffix":""},{"dropping-particle":"","family":"Tatemichi","given":"T","non-dropping-particle":"","parse-names":false,"suffix":""},{"dropping-particle":"","family":"Erkinjuntti","given":"T","non-dropping-particle":"","parse-names":false,"suffix":""},{"dropping-particle":"","family":"al.","given":"et","non-dropping-particle":"","parse-names":false,"suffix":""},{"dropping-particle":"","family":"McKeith","given":"IG","non-dropping-particle":"","parse-names":false,"suffix":""},{"dropping-particle":"","family":"Galasko","given":"D","non-dropping-particle":"","parse-names":false,"suffix":""},{"dropping-particle":"","family":"Kosaka","given":"K","non-dropping-particle":"","parse-names":false,"suffix":""},{"dropping-particle":"","family":"al.","given":"et","non-dropping-particle":"","parse-names":false,"suffix":""},{"dropping-particle":"","family":"Hardy","given":"J","non-dropping-particle":"","parse-names":false,"suffix":""},{"dropping-particle":"","family":"Hansen","given":"LA","non-dropping-particle":"","parse-names":false,"suffix":""},{"dropping-particle":"","family":"Masliah","given":"E","non-dropping-particle":"","parse-names":false,"suffix":""},{"dropping-particle":"","family":"Terry","given":"RD","non-dropping-particle":"","parse-names":false,"suffix":""},{"dropping-particle":"","family":"Mirra","given":"SS","non-dropping-particle":"","parse-names":false,"suffix":""},{"dropping-particle":"","family":"Perry","given":"RH","non-dropping-particle":"","parse-names":false,"suffix":""},{"dropping-particle":"","family":"Irving","given":"D","non-dropping-particle":"","parse-names":false,"suffix":""},{"dropping-particle":"","family":"Blessed","given":"G","non-dropping-particle":"","parse-names":false,"suffix":""},{"dropping-particle":"","family":"Fairbairn","given":"A","non-dropping-particle":"","parse-names":false,"suffix":""},{"dropping-particle":"","family":"Perry","given":"EK","non-dropping-particle":"","parse-names":false,"suffix":""},{"dropping-particle":"","family":"Skoog","given":"I","non-dropping-particle":"","parse-names":false,"suffix":""},{"dropping-particle":"","family":"Nilsson","given":"L","non-dropping-particle":"","parse-names":false,"suffix":""},{"dropping-particle":"","family":"Palmertz","given":"B","non-dropping-particle":"","parse-names":false,"suffix":""},{"dropping-particle":"","family":"al.","given":"et","non-dropping-particle":"","parse-names":false,"suffix":""},{"dropping-particle":"","family":"Polvikoski","given":"T","non-dropping-particle":"","parse-names":false,"suffix":""},{"dropping-particle":"","family":"Sulkava","given":"R","non-dropping-particle":"","parse-names":false,"suffix":""},{"dropping-particle":"","family":"Haltia","given":"M","non-dropping-particle":"","parse-names":false,"suffix":""},{"dropping-particle":"","family":"al.","given":"et","non-dropping-particle":"","parse-names":false,"suffix":""},{"dropping-particle":"","family":"Snowdon","given":"D","non-dropping-particle":"","parse-names":false,"suffix":""},{"dropping-particle":"","family":"Greiner","given":"L","non-dropping-particle":"","parse-names":false,"suffix":""},{"dropping-particle":"","family":"Mortimer","given":"J","non-dropping-particle":"","parse-names":false,"suffix":""},{"dropping-particle":"","family":"Riley","given":"K","non-dropping-particle":"","parse-names":false,"suffix":""},{"dropping-particle":"","family":"Greiner","given":"P","non-dropping-particle":"","parse-names":false,"suffix":""},{"dropping-particle":"","family":"Markesbery","given":"W","non-dropping-particle":"","parse-names":false,"suffix":""},{"dropping-particle":"","family":"MRC","given":"CFAS","non-dropping-particle":"","parse-names":false,"suffix":""},{"dropping-particle":"","family":"Folstein","given":"M","non-dropping-particle":"","parse-names":false,"suffix":""},{"dropping-particle":"","family":"Folstein","given":"S","non-dropping-particle":"","parse-names":false,"suffix":""},{"dropping-particle":"","family":"McHugh","given":"PR","non-dropping-particle":"","parse-names":false,"suffix":""},{"dropping-particle":"","family":"Copeland","given":"J","non-dropping-particle":"","parse-names":false,"suffix":""},{"dropping-particle":"","family":"Dewey","given":"M","non-dropping-particle":"","parse-names":false,"suffix":""},{"dropping-particle":"","family":"Griffiths-Jones","given":"H","non-dropping-particle":"","parse-names":false,"suffix":""},{"dropping-particle":"","family":"Copeland","given":"JRM","non-dropping-particle":"","parse-names":false,"suffix":""},{"dropping-particle":"","family":"Kelleher","given":"MJ","non-dropping-particle":"","parse-names":false,"suffix":""},{"dropping-particle":"","family":"Kellet","given":"JM","non-dropping-particle":"","parse-names":false,"suffix":""},{"dropping-particle":"","family":"al.","given":"et","non-dropping-particle":"","parse-names":false,"suffix":""},{"dropping-particle":"","family":"Kay","given":"D","non-dropping-particle":"","parse-names":false,"suffix":""},{"dropping-particle":"","family":"Dewey","given":"M","non-dropping-particle":"","parse-names":false,"suffix":""},{"dropping-particle":"","family":"McKeith","given":"I","non-dropping-particle":"","parse-names":false,"suffix":""},{"dropping-particle":"","family":"al.","given":"et","non-dropping-particle":"","parse-names":false,"suffix":""},{"dropping-particle":"","family":"Homer","given":"AC","non-dropping-particle":"","parse-names":false,"suffix":""},{"dropping-particle":"","family":"Honavar","given":"M","non-dropping-particle":"","parse-names":false,"suffix":""},{"dropping-particle":"","family":"Lantos","given":"PL","non-dropping-particle":"","parse-names":false,"suffix":""},{"dropping-particle":"","family":"Hastie","given":"IR","non-dropping-particle":"","parse-names":false,"suffix":""},{"dropping-particle":"","family":"Kellet","given":"JM","non-dropping-particle":"","parse-names":false,"suffix":""},{"dropping-particle":"","family":"Millard","given":"PH","non-dropping-particle":"","parse-names":false,"suffix":""},{"dropping-particle":"","family":"Jellinger","given":"KA","non-dropping-particle":"","parse-names":false,"suffix":""},{"dropping-particle":"","family":"Tomlinson","given":"BE","non-dropping-particle":"","parse-names":false,"suffix":""},{"dropping-particle":"","family":"Blessed","given":"G","non-dropping-particle":"","parse-names":false,"suffix":""},{"dropping-particle":"","family":"Roth","given":"M","non-dropping-particle":"","parse-names":false,"suffix":""},{"dropping-particle":"","family":"Davis","given":"D","non-dropping-particle":"","parse-names":false,"suffix":""},{"dropping-particle":"","family":"Scmitt","given":"F","non-dropping-particle":"","parse-names":false,"suffix":""},{"dropping-particle":"","family":"Wekstein","given":"D","non-dropping-particle":"","parse-names":false,"suffix":""},{"dropping-particle":"","family":"Markesbery","given":"W","non-dropping-particle":"","parse-names":false,"suffix":""},{"dropping-particle":"","family":"Braak","given":"H","non-dropping-particle":"","parse-names":false,"suffix":""},{"dropping-particle":"","family":"Braak","given":"E","non-dropping-particle":"","parse-names":false,"suffix":""},{"dropping-particle":"","family":"Esiri","given":"M","non-dropping-particle":"","parse-names":false,"suffix":""},{"dropping-particle":"","family":"Wilcock","given":"GK","non-dropping-particle":"","parse-names":false,"suffix":""},{"dropping-particle":"","family":"Morris","given":"JH","non-dropping-particle":"","parse-names":false,"suffix":""},{"dropping-particle":"","family":"Miller","given":"F DeWolfe","non-dropping-particle":"","parse-names":false,"suffix":""},{"dropping-particle":"","family":"Hicks","given":"SP","non-dropping-particle":"","parse-names":false,"suffix":""},{"dropping-particle":"","family":"D'Amato","given":"CJ","non-dropping-particle":"","parse-names":false,"suffix":""},{"dropping-particle":"","family":"Landis","given":"JR","non-dropping-particle":"","parse-names":false,"suffix":""},{"dropping-particle":"","family":"Xuereb","given":"JH","non-dropping-particle":"","parse-names":false,"suffix":""},{"dropping-particle":"","family":"Brayne","given":"C","non-dropping-particle":"","parse-names":false,"suffix":""},{"dropping-particle":"","family":"DuFoil","given":"C","non-dropping-particle":"","parse-names":false,"suffix":""},{"dropping-particle":"","family":"al.","given":"et","non-dropping-particle":"","parse-names":false,"suffix":""},{"dropping-particle":"","family":"Hardy","given":"J","non-dropping-particle":"","parse-names":false,"suffix":""},{"dropping-particle":"","family":"Duff","given":"K","non-dropping-particle":"","parse-names":false,"suffix":""},{"dropping-particle":"","family":"Hardy","given":"K","non-dropping-particle":"","parse-names":false,"suffix":""},{"dropping-particle":"","family":"Perez-Tur","given":"J","non-dropping-particle":"","parse-names":false,"suffix":""},{"dropping-particle":"","family":"Hutton","given":"M","non-dropping-particle":"","parse-names":false,"suffix":""},{"dropping-particle":"","family":"Letteneur","given":"L","non-dropping-particle":"","parse-names":false,"suffix":""},{"dropping-particle":"","family":"Launer","given":"LJ","non-dropping-particle":"","parse-names":false,"suffix":""},{"dropping-particle":"","family":"Andersen","given":"K","non-dropping-particle":"","parse-names":false,"suffix":""},{"dropping-particle":"","family":"al.","given":"et","non-dropping-particle":"","parse-names":false,"suffix":""},{"dropping-particle":"Del","family":"Ser","given":"T","non-dropping-particle":"","parse-names":false,"suffix":""},{"dropping-particle":"","family":"Hachinski","given":"V","non-dropping-particle":"","parse-names":false,"suffix":""},{"dropping-particle":"","family":"Merskey","given":"H","non-dropping-particle":"","parse-names":false,"suffix":""},{"dropping-particle":"","family":"Munoz","given":"DG","non-dropping-particle":"","parse-names":false,"suffix":""},{"dropping-particle":"","family":"Green","given":"MS","non-dropping-particle":"","parse-names":false,"suffix":""},{"dropping-particle":"","family":"Kaye","given":"JA","non-dropping-particle":"","parse-names":false,"suffix":""},{"dropping-particle":"","family":"Ball","given":"MJ","non-dropping-particle":"","parse-names":false,"suffix":""},{"dropping-particle":"","family":"Brayne","given":"C","non-dropping-particle":"","parse-names":false,"suffix":""},{"dropping-particle":"","family":"Spiegelhalter","given":"DJ","non-dropping-particle":"","parse-names":false,"suffix":""},{"dropping-particle":"","family":"Dufoil","given":"C","non-dropping-particle":"","parse-names":false,"suffix":""},{"dropping-particle":"","family":"al.","given":"et","non-dropping-particle":"","parse-names":false,"suffix":""}],"container-title":"Lancet (London, England)","id":"ITEM-1","issue":"9251","issued":{"date-parts":[["2001"]]},"page":"169-75","title":"Pathological correlates of late-onset dementia in a multicentre, community-based population in England and Wales. Neuropathology Group of the Medical Research Council Cognitive Function and Ageing Study (MRC CFAS).","type":"article-journal","volume":"357"},"uris":["http://www.mendeley.com/documents/?uuid=dfad63ec-5321-4a92-86ed-715348048fe0"]}],"mendeley":{"formattedCitation":"[26]","plainTextFormattedCitation":"[26]","previouslyFormattedCitation":"[26]"},"properties":{"noteIndex":0},"schema":"https://github.com/citation-style-language/schema/raw/master/csl-citation.json"}</w:instrText>
      </w:r>
      <w:r w:rsidR="0012113F">
        <w:fldChar w:fldCharType="separate"/>
      </w:r>
      <w:r w:rsidR="007D3C12" w:rsidRPr="007D3C12">
        <w:rPr>
          <w:noProof/>
        </w:rPr>
        <w:t>[26]</w:t>
      </w:r>
      <w:r w:rsidR="0012113F">
        <w:fldChar w:fldCharType="end"/>
      </w:r>
      <w:r w:rsidRPr="00BB214D">
        <w:t xml:space="preserve"> AD has a long preclinical period and pathophysiological changes in the brain can begin even decades before the disease is </w:t>
      </w:r>
      <w:r w:rsidRPr="00BB214D">
        <w:lastRenderedPageBreak/>
        <w:t>diagnosed</w:t>
      </w:r>
      <w:r w:rsidR="00022086">
        <w:t>.</w:t>
      </w:r>
      <w:r w:rsidR="0012113F">
        <w:fldChar w:fldCharType="begin" w:fldLock="1"/>
      </w:r>
      <w:r w:rsidR="00396C46">
        <w:instrText>ADDIN CSL_CITATION {"citationItems":[{"id":"ITEM-1","itemData":{"DOI":"10.1016/S1474-4422(13)70044-9","ISBN":"1474-4465 (Electronic)\\r1474-4422 (Linking)","ISSN":"14744422","PMID":"23477989","abstract":"Background: Similar to most chronic diseases, Alzheimer's disease (AD) develops slowly from a preclinical phase into a fully expressed clinical syndrome. We aimed to use longitudinal data to calculate the rates of amyloid β (Aβ) deposition, cerebral atrophy, and cognitive decline. Methods: In this prospective cohort study, healthy controls, patients with mild cognitive impairment (MCI), and patients with AD were assessed at enrolment and every 18 months. At every visit, participants underwent neuropsychological examination, MRI, and a carbon-11-labelled Pittsburgh compound B (11C-PiB) PET scan. We included participants with three or more11C-PiB PET follow-up assessments. Aβ burden was expressed as11C-PiB standardised uptake value ratio (SUVR) with the cerebellar cortex as reference region. An SUVR of 1·5 was used to discriminate high from low Aβ burdens. The slope of the regression plots over 3-5 years was used to estimate rates of change for Aβ deposition, MRI volumetrics, and cognition. We included those participants with a positive rate of Aβ deposition to calculate the trajectory of each variable over time. Findings: 200 participants (145 healthy controls, 36 participants with MCI, and 19 participants with AD) were assessed at enrolment and every 18 months for a mean follow-up of 3·8 (95% CI CI 3·6-3·9) years. At baseline, significantly higher Aβ burdens were noted in patients with AD (2·27, SD 0·43) and those with MCI (1·94, 0·64) than in healthy controls (1·38, 0·39). At follow-up, 163 (82%) of the 200 participants showed positive rates of Aβ accumulation. Aβ deposition was estimated to take 19·2 (95% CI 16·8-22·5) years in an almost linear fashion-with a mean increase of 0·043 (95% CI 0·037-0·049) SUVR per year-to go from the threshold of11C-PiB positivity (1·5 SUVR) to the levels observed in AD. It was estimated to take 12·0 (95% CI 10·1-14·9) years from the levels observed in healthy controls with low Aβ deposition (1·2 [SD 0·1] SUVR) to the threshold of11C-PiB positivity. As AD progressed, the rate of Aβ deposition slowed towards a plateau. Our projections suggest a prolonged preclinical phase of AD in which Aβ deposition reaches our threshold of positivity at 17·0 (95% CI 14·9-19·9) years, hippocampal atrophy at 4·2 (3·6-5·1) years, and memory impairment at 3·3 (2·5-4·5) years before the onset of dementia (clinical dementia rating score 1). Interpretation: Aβ deposition is slow and protracted, likely to extend for more than two decades. Such …","author":[{"dropping-particle":"","family":"Villemagne","given":"Victor L.","non-dropping-particle":"","parse-names":false,"suffix":""},{"dropping-particle":"","family":"Burnham","given":"Samantha","non-dropping-particle":"","parse-names":false,"suffix":""},{"dropping-particle":"","family":"Bourgeat","given":"Pierrick","non-dropping-particle":"","parse-names":false,"suffix":""},{"dropping-particle":"","family":"Brown","given":"Belinda","non-dropping-particle":"","parse-names":false,"suffix":""},{"dropping-particle":"","family":"Ellis","given":"Kathryn A.","non-dropping-particle":"","parse-names":false,"suffix":""},{"dropping-particle":"","family":"Salvado","given":"Olivier","non-dropping-particle":"","parse-names":false,"suffix":""},{"dropping-particle":"","family":"Szoeke","given":"Cassandra","non-dropping-particle":"","parse-names":false,"suffix":""},{"dropping-particle":"","family":"Macaulay","given":"S. Lance","non-dropping-particle":"","parse-names":false,"suffix":""},{"dropping-particle":"","family":"Martins","given":"Ralph","non-dropping-particle":"","parse-names":false,"suffix":""},{"dropping-particle":"","family":"Maruff","given":"Paul","non-dropping-particle":"","parse-names":false,"suffix":""},{"dropping-particle":"","family":"Ames","given":"David","non-dropping-particle":"","parse-names":false,"suffix":""},{"dropping-particle":"","family":"Rowe","given":"Christopher C.","non-dropping-particle":"","parse-names":false,"suffix":""},{"dropping-particle":"","family":"Masters","given":"Colin L.","non-dropping-particle":"","parse-names":false,"suffix":""}],"container-title":"The Lancet Neurology","id":"ITEM-1","issue":"4","issued":{"date-parts":[["2013"]]},"page":"357-367","title":"Amyloid β deposition, neurodegeneration, and cognitive decline in sporadic Alzheimer's disease: A prospective cohort study","type":"article-journal","volume":"12"},"uris":["http://www.mendeley.com/documents/?uuid=e67d617a-742a-408e-b2b5-3d541d4a95fe"]}],"mendeley":{"formattedCitation":"[27]","plainTextFormattedCitation":"[27]","previouslyFormattedCitation":"[27]"},"properties":{"noteIndex":0},"schema":"https://github.com/citation-style-language/schema/raw/master/csl-citation.json"}</w:instrText>
      </w:r>
      <w:r w:rsidR="0012113F">
        <w:fldChar w:fldCharType="separate"/>
      </w:r>
      <w:r w:rsidR="007D3C12" w:rsidRPr="007D3C12">
        <w:rPr>
          <w:noProof/>
        </w:rPr>
        <w:t>[27]</w:t>
      </w:r>
      <w:r w:rsidR="0012113F">
        <w:fldChar w:fldCharType="end"/>
      </w:r>
      <w:r w:rsidRPr="00BB214D">
        <w:t xml:space="preserve"> Another important cause for cognitive impairment and dementia in the elderly is cerebrovascular disease including vascular dementia (</w:t>
      </w:r>
      <w:proofErr w:type="spellStart"/>
      <w:r w:rsidRPr="00BB214D">
        <w:t>VaD</w:t>
      </w:r>
      <w:proofErr w:type="spellEnd"/>
      <w:r w:rsidRPr="00BB214D">
        <w:t xml:space="preserve">). </w:t>
      </w:r>
      <w:proofErr w:type="spellStart"/>
      <w:r w:rsidRPr="00BB214D">
        <w:t>VaD</w:t>
      </w:r>
      <w:proofErr w:type="spellEnd"/>
      <w:r w:rsidRPr="00BB214D">
        <w:t xml:space="preserve"> may also have a long preclinical period during which </w:t>
      </w:r>
      <w:r w:rsidR="00C82413">
        <w:t>immediate free recall</w:t>
      </w:r>
      <w:r w:rsidR="00C82413" w:rsidRPr="00BB214D">
        <w:t xml:space="preserve"> </w:t>
      </w:r>
      <w:r w:rsidR="003768EB">
        <w:t xml:space="preserve">performance </w:t>
      </w:r>
      <w:r w:rsidR="00140778">
        <w:t>declines</w:t>
      </w:r>
      <w:r w:rsidR="00022086">
        <w:t>.</w:t>
      </w:r>
      <w:r w:rsidR="0012113F">
        <w:fldChar w:fldCharType="begin" w:fldLock="1"/>
      </w:r>
      <w:r w:rsidR="00396C46">
        <w:instrText>ADDIN CSL_CITATION {"citationItems":[{"id":"ITEM-1","itemData":{"DOI":"10.1017/S1355617711001718","ISBN":"1355-6177","ISSN":"14697661","PMID":"22264384","abstract":"We investigated differences between Alzheimer's disease (AD) and vascular dementia (VaD) from the appearance of the first cognitive symptoms, focusing on both time of onset and rate of accelerated decline for different cognitive functions before dementia diagnosis. Data from a longitudinal population-based study were used, including 914 participants (mean age = 82.0 years, SD = 5.0) tested with a cognitive battery (word recall and recognition, Block Design, category fluency, clock reading) on up to four occasions spanning 10 years. We fit a series of linear mixed effects models with a change point to the cognitive data, contrasting each dementia group to a control group. Significant age-related decline was observed for all five cognitive tasks. Relative to time of diagnosis, the preclinical AD persons deviated from the normal aging curve earlier (up to 9 years) compared to the preclinical VaD persons (up to 6 years). However, once the preclinical VaD persons started to decline, they deteriorated at a faster rate than the preclinical AD persons. The results have important implications for identifying the two dementia disorders at an early stage and for selecting cognitive tasks to evaluate treatment effects for persons at risk of developing AD and VaD.","author":[{"dropping-particle":"","family":"Laukka","given":"Erika J.","non-dropping-particle":"","parse-names":false,"suffix":""},{"dropping-particle":"","family":"MacDonald","given":"Stuart W.S.","non-dropping-particle":"","parse-names":false,"suffix":""},{"dropping-particle":"","family":"Fratiglioni","given":"Laura","non-dropping-particle":"","parse-names":false,"suffix":""},{"dropping-particle":"","family":"Bäckman","given":"Lars","non-dropping-particle":"","parse-names":false,"suffix":""}],"container-title":"Journal of the International Neuropsychological Society","id":"ITEM-1","issue":"2","issued":{"date-parts":[["2012"]]},"page":"191-199","title":"Preclinical cognitive trajectories differ for Alzheimer's disease and vascular dementia","type":"article-journal","volume":"18"},"uris":["http://www.mendeley.com/documents/?uuid=33ef1781-158c-49d0-b28d-498e718c5a75"]}],"mendeley":{"formattedCitation":"[28]","plainTextFormattedCitation":"[28]","previouslyFormattedCitation":"[28]"},"properties":{"noteIndex":0},"schema":"https://github.com/citation-style-language/schema/raw/master/csl-citation.json"}</w:instrText>
      </w:r>
      <w:r w:rsidR="0012113F">
        <w:fldChar w:fldCharType="separate"/>
      </w:r>
      <w:r w:rsidR="007D3C12" w:rsidRPr="007D3C12">
        <w:rPr>
          <w:noProof/>
        </w:rPr>
        <w:t>[28]</w:t>
      </w:r>
      <w:r w:rsidR="0012113F">
        <w:fldChar w:fldCharType="end"/>
      </w:r>
      <w:r w:rsidRPr="00BB214D">
        <w:t xml:space="preserve"> Vascular risk factors are major risk factors for both AD and </w:t>
      </w:r>
      <w:proofErr w:type="spellStart"/>
      <w:r w:rsidRPr="00BB214D">
        <w:t>VaD</w:t>
      </w:r>
      <w:proofErr w:type="spellEnd"/>
      <w:r w:rsidRPr="00BB214D">
        <w:t>.</w:t>
      </w:r>
      <w:r w:rsidR="00170EB3">
        <w:t xml:space="preserve"> </w:t>
      </w:r>
      <w:r w:rsidRPr="00BB214D">
        <w:t>AD-related and cerebrovascular pathologies also show considerable overlap. In fact, for elderly individuals, the presence of a single disease may rather be the exception because AD- and non-AD type pathologies coexist very frequently</w:t>
      </w:r>
      <w:r w:rsidR="00022086">
        <w:t>.</w:t>
      </w:r>
      <w:r w:rsidR="0012113F">
        <w:fldChar w:fldCharType="begin" w:fldLock="1"/>
      </w:r>
      <w:r w:rsidR="00396C46">
        <w:instrText>ADDIN CSL_CITATION {"citationItems":[{"id":"ITEM-1","itemData":{"DOI":"10.1016/S0140-6736(00)03589-3","ISBN":"0140-6736 (Print)","ISSN":"0140-6736","PMID":"11213093","abstract":"BACKGROUND We have undertaken a large unselected, community-based neuropathology study in an elderly (70-103 years) UK population in relation to prospectively evaluated dementia status. The study tests the assumption that dementing disorders as defined by current diagnostic protocols underlie this syndrome in the community at large. METHODS Respondents in the Medical Research Council Cognitive Function and Ageing Study were approached for consent to examine the brain at necropsy. Dementia status was assigned by use of the automated geriatric examination for computer-assisted taxonomy algorithm. Neuropathological features were standardised by use of the protocol of the Consortium to Establish a Registry of Alzheimer's Disease, which assesses the severity and distribution of Alzheimer-type pathology, vascular lesions, and other potential causes of dementia. A statistical model of dementia risk related predominantly to Alzheimer-type and vascular pathology was developed by multivariate logistic regression. FINDINGS We report on the first 209 individuals who have come to necropsy. The median age at death was 85 years for men, and 86 years for women. Cerebrovascular (78%) and Alzheimer-type (70%) pathology were common. Dementia was present in 100 (48%), of whom 64% had features indicating probable or definite Alzheimer's disease. However, 33% of the 109 non-demented people had equivalent densities of neocortical neuritic plaques. Some degree of neocortical neurofibrillary pathology was found in 61% of demented and 34% of non-demented individuals. Vascular lesions were equally common in both groups, although the proportion with multiple vascular pathology was higher in the demented group (46% vs 33%). INTERPRETATION Alzheimer-type and vascular pathology were the major pathological correlates of cognitive decline in this elderly sample, as expected, but most patients had mixed disease. There were no clear thresholds of these features that predicted dementia status. The findings therefore challenge conventional dementia diagnostic criteria in this setting. Additional factors must determine whether moderate burdens of cerebral Alzheimer-type pathology and vascular lesions are associated with cognitive failure.","author":[{"dropping-particle":"","family":"Neuropathology Group. Medical Research Council Cognitive Function and Aging Study","given":"ZS","non-dropping-particle":"","parse-names":false,"suffix":""},{"dropping-particle":"","family":"Mirra","given":"SS","non-dropping-particle":"","parse-names":false,"suffix":""},{"dropping-particle":"","family":"Heyman","given":"A","non-dropping-particle":"","parse-names":false,"suffix":""},{"dropping-particle":"","family":"McKeel","given":"D","non-dropping-particle":"","parse-names":false,"suffix":""},{"dropping-particle":"","family":"al.","given":"et","non-dropping-particle":"","parse-names":false,"suffix":""},{"dropping-particle":"","family":"Roman","given":"G","non-dropping-particle":"","parse-names":false,"suffix":""},{"dropping-particle":"","family":"Tatemichi","given":"T","non-dropping-particle":"","parse-names":false,"suffix":""},{"dropping-particle":"","family":"Erkinjuntti","given":"T","non-dropping-particle":"","parse-names":false,"suffix":""},{"dropping-particle":"","family":"al.","given":"et","non-dropping-particle":"","parse-names":false,"suffix":""},{"dropping-particle":"","family":"McKeith","given":"IG","non-dropping-particle":"","parse-names":false,"suffix":""},{"dropping-particle":"","family":"Galasko","given":"D","non-dropping-particle":"","parse-names":false,"suffix":""},{"dropping-particle":"","family":"Kosaka","given":"K","non-dropping-particle":"","parse-names":false,"suffix":""},{"dropping-particle":"","family":"al.","given":"et","non-dropping-particle":"","parse-names":false,"suffix":""},{"dropping-particle":"","family":"Hardy","given":"J","non-dropping-particle":"","parse-names":false,"suffix":""},{"dropping-particle":"","family":"Hansen","given":"LA","non-dropping-particle":"","parse-names":false,"suffix":""},{"dropping-particle":"","family":"Masliah","given":"E","non-dropping-particle":"","parse-names":false,"suffix":""},{"dropping-particle":"","family":"Terry","given":"RD","non-dropping-particle":"","parse-names":false,"suffix":""},{"dropping-particle":"","family":"Mirra","given":"SS","non-dropping-particle":"","parse-names":false,"suffix":""},{"dropping-particle":"","family":"Perry","given":"RH","non-dropping-particle":"","parse-names":false,"suffix":""},{"dropping-particle":"","family":"Irving","given":"D","non-dropping-particle":"","parse-names":false,"suffix":""},{"dropping-particle":"","family":"Blessed","given":"G","non-dropping-particle":"","parse-names":false,"suffix":""},{"dropping-particle":"","family":"Fairbairn","given":"A","non-dropping-particle":"","parse-names":false,"suffix":""},{"dropping-particle":"","family":"Perry","given":"EK","non-dropping-particle":"","parse-names":false,"suffix":""},{"dropping-particle":"","family":"Skoog","given":"I","non-dropping-particle":"","parse-names":false,"suffix":""},{"dropping-particle":"","family":"Nilsson","given":"L","non-dropping-particle":"","parse-names":false,"suffix":""},{"dropping-particle":"","family":"Palmertz","given":"B","non-dropping-particle":"","parse-names":false,"suffix":""},{"dropping-particle":"","family":"al.","given":"et","non-dropping-particle":"","parse-names":false,"suffix":""},{"dropping-particle":"","family":"Polvikoski","given":"T","non-dropping-particle":"","parse-names":false,"suffix":""},{"dropping-particle":"","family":"Sulkava","given":"R","non-dropping-particle":"","parse-names":false,"suffix":""},{"dropping-particle":"","family":"Haltia","given":"M","non-dropping-particle":"","parse-names":false,"suffix":""},{"dropping-particle":"","family":"al.","given":"et","non-dropping-particle":"","parse-names":false,"suffix":""},{"dropping-particle":"","family":"Snowdon","given":"D","non-dropping-particle":"","parse-names":false,"suffix":""},{"dropping-particle":"","family":"Greiner","given":"L","non-dropping-particle":"","parse-names":false,"suffix":""},{"dropping-particle":"","family":"Mortimer","given":"J","non-dropping-particle":"","parse-names":false,"suffix":""},{"dropping-particle":"","family":"Riley","given":"K","non-dropping-particle":"","parse-names":false,"suffix":""},{"dropping-particle":"","family":"Greiner","given":"P","non-dropping-particle":"","parse-names":false,"suffix":""},{"dropping-particle":"","family":"Markesbery","given":"W","non-dropping-particle":"","parse-names":false,"suffix":""},{"dropping-particle":"","family":"MRC","given":"CFAS","non-dropping-particle":"","parse-names":false,"suffix":""},{"dropping-particle":"","family":"Folstein","given":"M","non-dropping-particle":"","parse-names":false,"suffix":""},{"dropping-particle":"","family":"Folstein","given":"S","non-dropping-particle":"","parse-names":false,"suffix":""},{"dropping-particle":"","family":"McHugh","given":"PR","non-dropping-particle":"","parse-names":false,"suffix":""},{"dropping-particle":"","family":"Copeland","given":"J","non-dropping-particle":"","parse-names":false,"suffix":""},{"dropping-particle":"","family":"Dewey","given":"M","non-dropping-particle":"","parse-names":false,"suffix":""},{"dropping-particle":"","family":"Griffiths-Jones","given":"H","non-dropping-particle":"","parse-names":false,"suffix":""},{"dropping-particle":"","family":"Copeland","given":"JRM","non-dropping-particle":"","parse-names":false,"suffix":""},{"dropping-particle":"","family":"Kelleher","given":"MJ","non-dropping-particle":"","parse-names":false,"suffix":""},{"dropping-particle":"","family":"Kellet","given":"JM","non-dropping-particle":"","parse-names":false,"suffix":""},{"dropping-particle":"","family":"al.","given":"et","non-dropping-particle":"","parse-names":false,"suffix":""},{"dropping-particle":"","family":"Kay","given":"D","non-dropping-particle":"","parse-names":false,"suffix":""},{"dropping-particle":"","family":"Dewey","given":"M","non-dropping-particle":"","parse-names":false,"suffix":""},{"dropping-particle":"","family":"McKeith","given":"I","non-dropping-particle":"","parse-names":false,"suffix":""},{"dropping-particle":"","family":"al.","given":"et","non-dropping-particle":"","parse-names":false,"suffix":""},{"dropping-particle":"","family":"Homer","given":"AC","non-dropping-particle":"","parse-names":false,"suffix":""},{"dropping-particle":"","family":"Honavar","given":"M","non-dropping-particle":"","parse-names":false,"suffix":""},{"dropping-particle":"","family":"Lantos","given":"PL","non-dropping-particle":"","parse-names":false,"suffix":""},{"dropping-particle":"","family":"Hastie","given":"IR","non-dropping-particle":"","parse-names":false,"suffix":""},{"dropping-particle":"","family":"Kellet","given":"JM","non-dropping-particle":"","parse-names":false,"suffix":""},{"dropping-particle":"","family":"Millard","given":"PH","non-dropping-particle":"","parse-names":false,"suffix":""},{"dropping-particle":"","family":"Jellinger","given":"KA","non-dropping-particle":"","parse-names":false,"suffix":""},{"dropping-particle":"","family":"Tomlinson","given":"BE","non-dropping-particle":"","parse-names":false,"suffix":""},{"dropping-particle":"","family":"Blessed","given":"G","non-dropping-particle":"","parse-names":false,"suffix":""},{"dropping-particle":"","family":"Roth","given":"M","non-dropping-particle":"","parse-names":false,"suffix":""},{"dropping-particle":"","family":"Davis","given":"D","non-dropping-particle":"","parse-names":false,"suffix":""},{"dropping-particle":"","family":"Scmitt","given":"F","non-dropping-particle":"","parse-names":false,"suffix":""},{"dropping-particle":"","family":"Wekstein","given":"D","non-dropping-particle":"","parse-names":false,"suffix":""},{"dropping-particle":"","family":"Markesbery","given":"W","non-dropping-particle":"","parse-names":false,"suffix":""},{"dropping-particle":"","family":"Braak","given":"H","non-dropping-particle":"","parse-names":false,"suffix":""},{"dropping-particle":"","family":"Braak","given":"E","non-dropping-particle":"","parse-names":false,"suffix":""},{"dropping-particle":"","family":"Esiri","given":"M","non-dropping-particle":"","parse-names":false,"suffix":""},{"dropping-particle":"","family":"Wilcock","given":"GK","non-dropping-particle":"","parse-names":false,"suffix":""},{"dropping-particle":"","family":"Morris","given":"JH","non-dropping-particle":"","parse-names":false,"suffix":""},{"dropping-particle":"","family":"Miller","given":"F DeWolfe","non-dropping-particle":"","parse-names":false,"suffix":""},{"dropping-particle":"","family":"Hicks","given":"SP","non-dropping-particle":"","parse-names":false,"suffix":""},{"dropping-particle":"","family":"D'Amato","given":"CJ","non-dropping-particle":"","parse-names":false,"suffix":""},{"dropping-particle":"","family":"Landis","given":"JR","non-dropping-particle":"","parse-names":false,"suffix":""},{"dropping-particle":"","family":"Xuereb","given":"JH","non-dropping-particle":"","parse-names":false,"suffix":""},{"dropping-particle":"","family":"Brayne","given":"C","non-dropping-particle":"","parse-names":false,"suffix":""},{"dropping-particle":"","family":"DuFoil","given":"C","non-dropping-particle":"","parse-names":false,"suffix":""},{"dropping-particle":"","family":"al.","given":"et","non-dropping-particle":"","parse-names":false,"suffix":""},{"dropping-particle":"","family":"Hardy","given":"J","non-dropping-particle":"","parse-names":false,"suffix":""},{"dropping-particle":"","family":"Duff","given":"K","non-dropping-particle":"","parse-names":false,"suffix":""},{"dropping-particle":"","family":"Hardy","given":"K","non-dropping-particle":"","parse-names":false,"suffix":""},{"dropping-particle":"","family":"Perez-Tur","given":"J","non-dropping-particle":"","parse-names":false,"suffix":""},{"dropping-particle":"","family":"Hutton","given":"M","non-dropping-particle":"","parse-names":false,"suffix":""},{"dropping-particle":"","family":"Letteneur","given":"L","non-dropping-particle":"","parse-names":false,"suffix":""},{"dropping-particle":"","family":"Launer","given":"LJ","non-dropping-particle":"","parse-names":false,"suffix":""},{"dropping-particle":"","family":"Andersen","given":"K","non-dropping-particle":"","parse-names":false,"suffix":""},{"dropping-particle":"","family":"al.","given":"et","non-dropping-particle":"","parse-names":false,"suffix":""},{"dropping-particle":"Del","family":"Ser","given":"T","non-dropping-particle":"","parse-names":false,"suffix":""},{"dropping-particle":"","family":"Hachinski","given":"V","non-dropping-particle":"","parse-names":false,"suffix":""},{"dropping-particle":"","family":"Merskey","given":"H","non-dropping-particle":"","parse-names":false,"suffix":""},{"dropping-particle":"","family":"Munoz","given":"DG","non-dropping-particle":"","parse-names":false,"suffix":""},{"dropping-particle":"","family":"Green","given":"MS","non-dropping-particle":"","parse-names":false,"suffix":""},{"dropping-particle":"","family":"Kaye","given":"JA","non-dropping-particle":"","parse-names":false,"suffix":""},{"dropping-particle":"","family":"Ball","given":"MJ","non-dropping-particle":"","parse-names":false,"suffix":""},{"dropping-particle":"","family":"Brayne","given":"C","non-dropping-particle":"","parse-names":false,"suffix":""},{"dropping-particle":"","family":"Spiegelhalter","given":"DJ","non-dropping-particle":"","parse-names":false,"suffix":""},{"dropping-particle":"","family":"Dufoil","given":"C","non-dropping-particle":"","parse-names":false,"suffix":""},{"dropping-particle":"","family":"al.","given":"et","non-dropping-particle":"","parse-names":false,"suffix":""}],"container-title":"Lancet (London, England)","id":"ITEM-1","issue":"9251","issued":{"date-parts":[["2001"]]},"page":"169-75","title":"Pathological correlates of late-onset dementia in a multicentre, community-based population in England and Wales. Neuropathology Group of the Medical Research Council Cognitive Function and Ageing Study (MRC CFAS).","type":"article-journal","volume":"357"},"uris":["http://www.mendeley.com/documents/?uuid=dfad63ec-5321-4a92-86ed-715348048fe0"]},{"id":"ITEM-2","itemData":{"DOI":"10.1007/s00702-014-1288-x","ISBN":"0070201412","ISSN":"14351463","PMID":"25091618","abstract":"A major problem in elderly patients is the high incidence of multiple pathologies, referred to as multimorbidity, in the aging brain. It has been increasingly recognized that co-occurrence of neurodegenerative proteinopathies and other pathologies including cerebrovascular disorders is a frequent event in the brains of both cognitively intact and impaired aged subjects. Although clinical and neuropathological diagnostic criteria of the major neurodegenerative diseases have been improved, major challenges arise from cerebral multimorbidity, and the thresholds to cause clinical overt dementia are ill defined. More than 80 % of aged human brains show neurodegenerative non-Alzheimer type proteinopathies and other pathologies which, however, frequently have been missed clinically and are even difficult to identify at neuropathological examination. Autopsy studies differ in selection criteria and the applied evaluation methods. Therefore, irrespective of the clinical symptoms, the frequency of cerebral pathologies vary considerably: Alzheimer-related pathology is seen in 19-100 %, with \"pure\" Alzheimer's disease (AD) in 17-72 %, Lewy pathology in 6-39 % (AD + Lewy disease 9-28 %), vascular pathologies in 28-93 % (10.7-78 % \"pure\" vascular dementia), TDP-43 proteinopathy in 6-39 %, hippocampal sclerosis in 8-1 %, and mixed pathologies in 10-93 %. These data clearly suggest that pathologically deposited proteins in neurodegenerating diseases mutually interact and are influenced by other factors, in particular cardiovascular and cerebrovascular ones, to promote cognitive decline and other clinical symptoms. It is obvious that cognitive and other neuropsychiatric impairment in the aged result from a multimorbid condition in the CNS rather than from a single disease and that the number of complex pathologies progresses with increasing age. These facts have implications for improvement of the clinical diagnosis and prognosis, the development of specific biomarkers, preventive strategies and better treatment of cerebral multimorbidity.","author":[{"dropping-particle":"","family":"Jellinger","given":"Kurt A.","non-dropping-particle":"","parse-names":false,"suffix":""},{"dropping-particle":"","family":"Attems","given":"Johannes","non-dropping-particle":"","parse-names":false,"suffix":""}],"container-title":"Journal of Neural Transmission","id":"ITEM-2","issue":"4","issued":{"date-parts":[["2015"]]},"page":"505-521","title":"Challenges of multimorbidity of the aging brain: a critical update","type":"article","volume":"122"},"uris":["http://www.mendeley.com/documents/?uuid=da96f11f-8250-4cb2-a3e2-413df5e38262"]}],"mendeley":{"formattedCitation":"[26,29]","plainTextFormattedCitation":"[26,29]","previouslyFormattedCitation":"[26,29]"},"properties":{"noteIndex":0},"schema":"https://github.com/citation-style-language/schema/raw/master/csl-citation.json"}</w:instrText>
      </w:r>
      <w:r w:rsidR="0012113F">
        <w:fldChar w:fldCharType="separate"/>
      </w:r>
      <w:r w:rsidR="007D3C12" w:rsidRPr="007D3C12">
        <w:rPr>
          <w:noProof/>
        </w:rPr>
        <w:t>[26,29]</w:t>
      </w:r>
      <w:r w:rsidR="0012113F">
        <w:fldChar w:fldCharType="end"/>
      </w:r>
      <w:r w:rsidR="0012113F">
        <w:rPr>
          <w:vertAlign w:val="superscript"/>
        </w:rPr>
        <w:t xml:space="preserve"> </w:t>
      </w:r>
      <w:r w:rsidRPr="00BB214D">
        <w:t xml:space="preserve">Hence, the assessment of </w:t>
      </w:r>
      <w:r w:rsidR="00411CD7">
        <w:t>dementia risk for any reason</w:t>
      </w:r>
      <w:r w:rsidRPr="00BB214D">
        <w:t>, not only disease-specific, in older adults may be valuable.</w:t>
      </w:r>
    </w:p>
    <w:p w14:paraId="26176A99" w14:textId="575B262F" w:rsidR="00DD4851" w:rsidRDefault="00BB214D" w:rsidP="00795954">
      <w:r w:rsidRPr="00BB214D">
        <w:t>The definition of dementia was done based on a validated instrument TELE that has adequate properties for the screening of dementia</w:t>
      </w:r>
      <w:r w:rsidR="00022086">
        <w:t>.</w:t>
      </w:r>
      <w:r w:rsidR="0012113F">
        <w:fldChar w:fldCharType="begin" w:fldLock="1"/>
      </w:r>
      <w:r w:rsidR="00396C46">
        <w:instrText>ADDIN CSL_CITATION {"citationItems":[{"id":"ITEM-1","itemData":{"DOI":"10.1017/S1041610202008475","ISBN":"1041-6102 (Print)\\r1041-6102 (Linking)","ISSN":"10416102","PMID":"12475088","abstract":"This study examined the utility of the TELE, a telephone assessment for dementia, in a sample of 269 individuals that was not selected on the basis of previous dementia diagnosis. Thus, the conditions of the study reflect the actual situation in which a screening instrument might be employed. Scores on TELE were compared to dementia diagnoses. Using the best cutoff score, sensitivity was .86 and specificity was .90. Longitudinal follow-up established that false positives primarily included those who subsequently developed dementia. Telephone screening for dementia has both clinical and research applications. One recommendation based on our experience is that longitudinal studies should include a telephone interview component for anyone who drops out of the study, to enable characterizing the cognitive status of dropouts.","author":[{"dropping-particle":"","family":"Gatz","given":"Margaret","non-dropping-particle":"","parse-names":false,"suffix":""},{"dropping-particle":"","family":"Reynolds","given":"Chandra A.","non-dropping-particle":"","parse-names":false,"suffix":""},{"dropping-particle":"","family":"John","given":"Richard","non-dropping-particle":"","parse-names":false,"suffix":""},{"dropping-particle":"","family":"Johansson","given":"Boo","non-dropping-particle":"","parse-names":false,"suffix":""},{"dropping-particle":"","family":"Mortimer","given":"James A.","non-dropping-particle":"","parse-names":false,"suffix":""},{"dropping-particle":"","family":"Pedersen","given":"Nancy L.","non-dropping-particle":"","parse-names":false,"suffix":""}],"container-title":"International Psychogeriatrics","id":"ITEM-1","issue":"3","issued":{"date-parts":[["2002"]]},"page":"273-289","title":"Telephone screening to identify potential dementia cases in a population-based sample of older adults","type":"article-journal","volume":"14"},"uris":["http://www.mendeley.com/documents/?uuid=181750d2-bb81-4367-ac22-4028b0712dc4"]},{"id":"ITEM-2","itemData":{"DOI":"10.1159/000048646","ISSN":"14208008","PMID":"11893836","abstract":"We studied 56 subjects, 30 patients with a clinical diagnosis of Alzheimer's disease (AD) and 26 healthy controls, using two telephone screens for cognitive impairment, a self-report interview referred to as the TELE and the Telephone Interview for Cognitive Status (TICS). The sensitivity and specificity of the TELE to differentiate AD patients from healthy controls was 90.0 and 88.5% and those of the TICS were 86.7 and 88.5%, respectively. When receiver operator characteristic curves were constructed, the area under the curve for the TELE was 96.0% (SE 2.4%) and for the TICS 90.3% (SE 4.2%). Pearson's correlation between the TELE and the Mini-Mental State Examination (MMSE) was 0.87 (p &lt; 0.0001) and between the TICS and the MMSE 0.86 (p &lt; 0.0001). The correlation between the TELE and the sum of the boxes of the Clinical Dementia Rating scale (CDR-SB) was -0.71 (p &lt; 0.0001) and -0.75 between the TICS and the CDR-SB (p &lt; 0.0001). These results indicate that both screens are sensitive and specific instruments for differentiating AD patients from healthy controls and have a strong correlation with face-to-face measures of cognitive function.","author":[{"dropping-particle":"","family":"Järvenpää","given":"Tarja","non-dropping-particle":"","parse-names":false,"suffix":""},{"dropping-particle":"","family":"Rinne","given":"Juha O.","non-dropping-particle":"","parse-names":false,"suffix":""},{"dropping-particle":"","family":"Räihä","given":"Ismo","non-dropping-particle":"","parse-names":false,"suffix":""},{"dropping-particle":"","family":"Koskenvuo","given":"Markku","non-dropping-particle":"","parse-names":false,"suffix":""},{"dropping-particle":"","family":"Löppönen","given":"Minna","non-dropping-particle":"","parse-names":false,"suffix":""},{"dropping-particle":"","family":"Hinkka","given":"Susanna","non-dropping-particle":"","parse-names":false,"suffix":""},{"dropping-particle":"","family":"Kaprio","given":"Jaakko","non-dropping-particle":"","parse-names":false,"suffix":""}],"container-title":"Dementia and Geriatric Cognitive Disorders","id":"ITEM-2","issue":"3","issued":{"date-parts":[["2002"]]},"page":"149-155","title":"Characteristics of two telephone screens for cognitive impairment","type":"article-journal","volume":"13"},"uris":["http://www.mendeley.com/documents/?uuid=dbb4927b-de96-4977-b75f-a44d28d2ff08"]}],"mendeley":{"formattedCitation":"[13,15]","plainTextFormattedCitation":"[13,15]","previouslyFormattedCitation":"[13,15]"},"properties":{"noteIndex":0},"schema":"https://github.com/citation-style-language/schema/raw/master/csl-citation.json"}</w:instrText>
      </w:r>
      <w:r w:rsidR="0012113F">
        <w:fldChar w:fldCharType="separate"/>
      </w:r>
      <w:r w:rsidR="007D3C12" w:rsidRPr="007D3C12">
        <w:rPr>
          <w:noProof/>
        </w:rPr>
        <w:t>[13,15]</w:t>
      </w:r>
      <w:r w:rsidR="0012113F">
        <w:fldChar w:fldCharType="end"/>
      </w:r>
      <w:r w:rsidR="0012113F">
        <w:t xml:space="preserve"> </w:t>
      </w:r>
      <w:r w:rsidRPr="00BB214D">
        <w:t>TELE scores have shown high correlation with the Mini-Mental State Examination and Clinical Dementia Rating Scale Sum of Boxes scores</w:t>
      </w:r>
      <w:r w:rsidR="00022086">
        <w:t>.</w:t>
      </w:r>
      <w:r w:rsidR="0012113F">
        <w:fldChar w:fldCharType="begin" w:fldLock="1"/>
      </w:r>
      <w:r w:rsidR="00396C46">
        <w:instrText>ADDIN CSL_CITATION {"citationItems":[{"id":"ITEM-1","itemData":{"DOI":"10.1159/000048646","ISSN":"14208008","PMID":"11893836","abstract":"We studied 56 subjects, 30 patients with a clinical diagnosis of Alzheimer's disease (AD) and 26 healthy controls, using two telephone screens for cognitive impairment, a self-report interview referred to as the TELE and the Telephone Interview for Cognitive Status (TICS). The sensitivity and specificity of the TELE to differentiate AD patients from healthy controls was 90.0 and 88.5% and those of the TICS were 86.7 and 88.5%, respectively. When receiver operator characteristic curves were constructed, the area under the curve for the TELE was 96.0% (SE 2.4%) and for the TICS 90.3% (SE 4.2%). Pearson's correlation between the TELE and the Mini-Mental State Examination (MMSE) was 0.87 (p &lt; 0.0001) and between the TICS and the MMSE 0.86 (p &lt; 0.0001). The correlation between the TELE and the sum of the boxes of the Clinical Dementia Rating scale (CDR-SB) was -0.71 (p &lt; 0.0001) and -0.75 between the TICS and the CDR-SB (p &lt; 0.0001). These results indicate that both screens are sensitive and specific instruments for differentiating AD patients from healthy controls and have a strong correlation with face-to-face measures of cognitive function.","author":[{"dropping-particle":"","family":"Järvenpää","given":"Tarja","non-dropping-particle":"","parse-names":false,"suffix":""},{"dropping-particle":"","family":"Rinne","given":"Juha O.","non-dropping-particle":"","parse-names":false,"suffix":""},{"dropping-particle":"","family":"Räihä","given":"Ismo","non-dropping-particle":"","parse-names":false,"suffix":""},{"dropping-particle":"","family":"Koskenvuo","given":"Markku","non-dropping-particle":"","parse-names":false,"suffix":""},{"dropping-particle":"","family":"Löppönen","given":"Minna","non-dropping-particle":"","parse-names":false,"suffix":""},{"dropping-particle":"","family":"Hinkka","given":"Susanna","non-dropping-particle":"","parse-names":false,"suffix":""},{"dropping-particle":"","family":"Kaprio","given":"Jaakko","non-dropping-particle":"","parse-names":false,"suffix":""}],"container-title":"Dementia and Geriatric Cognitive Disorders","id":"ITEM-1","issue":"3","issued":{"date-parts":[["2002"]]},"page":"149-155","title":"Characteristics of two telephone screens for cognitive impairment","type":"article-journal","volume":"13"},"uris":["http://www.mendeley.com/documents/?uuid=dbb4927b-de96-4977-b75f-a44d28d2ff08"]}],"mendeley":{"formattedCitation":"[15]","plainTextFormattedCitation":"[15]","previouslyFormattedCitation":"[15]"},"properties":{"noteIndex":0},"schema":"https://github.com/citation-style-language/schema/raw/master/csl-citation.json"}</w:instrText>
      </w:r>
      <w:r w:rsidR="0012113F">
        <w:fldChar w:fldCharType="separate"/>
      </w:r>
      <w:r w:rsidR="007D3C12" w:rsidRPr="007D3C12">
        <w:rPr>
          <w:noProof/>
        </w:rPr>
        <w:t>[15]</w:t>
      </w:r>
      <w:r w:rsidR="0012113F">
        <w:fldChar w:fldCharType="end"/>
      </w:r>
      <w:r w:rsidR="0012113F">
        <w:t xml:space="preserve"> </w:t>
      </w:r>
      <w:r w:rsidRPr="00BB214D">
        <w:t>The telephone-based definition of dementia also identifies well those who report having difficulties in daily activities</w:t>
      </w:r>
      <w:r w:rsidR="0012113F">
        <w:t>.</w:t>
      </w:r>
      <w:r w:rsidR="0012113F">
        <w:fldChar w:fldCharType="begin" w:fldLock="1"/>
      </w:r>
      <w:r w:rsidR="00396C46">
        <w:instrText>ADDIN CSL_CITATION {"citationItems":[{"id":"ITEM-1","itemData":{"DOI":"10.1016/j.dadm.2016.08.003","ISSN":"23528729","PMID":"27752535","abstract":"Introduction On the basis of the proxy measures of cognitive reserve, we created a middle age self-report risk score for early prediction of dementia. Methods We used a longitudinal population-based study of 2602 individuals with a replication sample (N = 1011). Risk score at a mean age of 47 years was based on questions on educational and occupational attainments. Cognitive status at a mean age of 74 was determined via two validated telephone instruments. Results The prevalence of dementia was 10% after a mean follow-up of 28 years. Risk score was a good predictor of dementia: area under the curve = 0.77 (95% confidence interval, 0.74–0.80). The risk of dementia decreased as a function of risk score from 36% to 0%. The risk score was significantly associated with cognition after a mean follow-up of 39 years in the replication sample. Discussion Self-report risk score predicted cognitive functioning and dementia risk 20–40 years later.","author":[{"dropping-particle":"","family":"Vuoksimaa","given":"Eero","non-dropping-particle":"","parse-names":false,"suffix":""},{"dropping-particle":"","family":"Rinne","given":"Juha O.","non-dropping-particle":"","parse-names":false,"suffix":""},{"dropping-particle":"","family":"Lindgren","given":"Noora","non-dropping-particle":"","parse-names":false,"suffix":""},{"dropping-particle":"","family":"Heikkilä","given":"Kauko","non-dropping-particle":"","parse-names":false,"suffix":""},{"dropping-particle":"","family":"Koskenvuo","given":"Markku","non-dropping-particle":"","parse-names":false,"suffix":""},{"dropping-particle":"","family":"Kaprio","given":"Jaakko","non-dropping-particle":"","parse-names":false,"suffix":""}],"container-title":"Alzheimer's and Dementia: Diagnosis, Assessment and Disease Monitoring","id":"ITEM-1","issued":{"date-parts":[["2016"]]},"page":"118-125","title":"Middle age self-report risk score predicts cognitive functioning and dementia in 20–40 years","type":"article-journal","volume":"4"},"uris":["http://www.mendeley.com/documents/?uuid=b9913035-2825-4f4f-bfa9-45584ac9b024"]}],"mendeley":{"formattedCitation":"[30]","plainTextFormattedCitation":"[30]","previouslyFormattedCitation":"[30]"},"properties":{"noteIndex":0},"schema":"https://github.com/citation-style-language/schema/raw/master/csl-citation.json"}</w:instrText>
      </w:r>
      <w:r w:rsidR="0012113F">
        <w:fldChar w:fldCharType="separate"/>
      </w:r>
      <w:r w:rsidR="007D3C12" w:rsidRPr="007D3C12">
        <w:rPr>
          <w:noProof/>
        </w:rPr>
        <w:t>[30]</w:t>
      </w:r>
      <w:r w:rsidR="0012113F">
        <w:fldChar w:fldCharType="end"/>
      </w:r>
      <w:r w:rsidRPr="00BB214D">
        <w:t xml:space="preserve"> Nevertheless</w:t>
      </w:r>
      <w:bookmarkStart w:id="21" w:name="_Hlk522733056"/>
      <w:r w:rsidRPr="00BB214D">
        <w:t>, a major limitation of our study is that the definition of dementia is not based on clinical diagnostic criteria</w:t>
      </w:r>
      <w:r w:rsidR="00FE3123">
        <w:t xml:space="preserve"> but on the telephone assessment</w:t>
      </w:r>
      <w:r w:rsidRPr="00BB214D">
        <w:t>. False positive and negative findings are a concern when using any brief cognitive screening instrument and cut-off scores to detect dementia.</w:t>
      </w:r>
      <w:bookmarkEnd w:id="21"/>
      <w:r w:rsidRPr="00BB214D">
        <w:t xml:space="preserve"> The TELE cut-off score for dementia (&lt; 16.0) provides the specificity of 100% and sensitivity of 77% for dementia based on an earlier case-control study</w:t>
      </w:r>
      <w:r w:rsidR="00022086">
        <w:t>.</w:t>
      </w:r>
      <w:r w:rsidR="0012113F">
        <w:fldChar w:fldCharType="begin" w:fldLock="1"/>
      </w:r>
      <w:r w:rsidR="00396C46">
        <w:instrText>ADDIN CSL_CITATION {"citationItems":[{"id":"ITEM-1","itemData":{"DOI":"10.1159/000048646","ISSN":"14208008","PMID":"11893836","abstract":"We studied 56 subjects, 30 patients with a clinical diagnosis of Alzheimer's disease (AD) and 26 healthy controls, using two telephone screens for cognitive impairment, a self-report interview referred to as the TELE and the Telephone Interview for Cognitive Status (TICS). The sensitivity and specificity of the TELE to differentiate AD patients from healthy controls was 90.0 and 88.5% and those of the TICS were 86.7 and 88.5%, respectively. When receiver operator characteristic curves were constructed, the area under the curve for the TELE was 96.0% (SE 2.4%) and for the TICS 90.3% (SE 4.2%). Pearson's correlation between the TELE and the Mini-Mental State Examination (MMSE) was 0.87 (p &lt; 0.0001) and between the TICS and the MMSE 0.86 (p &lt; 0.0001). The correlation between the TELE and the sum of the boxes of the Clinical Dementia Rating scale (CDR-SB) was -0.71 (p &lt; 0.0001) and -0.75 between the TICS and the CDR-SB (p &lt; 0.0001). These results indicate that both screens are sensitive and specific instruments for differentiating AD patients from healthy controls and have a strong correlation with face-to-face measures of cognitive function.","author":[{"dropping-particle":"","family":"Järvenpää","given":"Tarja","non-dropping-particle":"","parse-names":false,"suffix":""},{"dropping-particle":"","family":"Rinne","given":"Juha O.","non-dropping-particle":"","parse-names":false,"suffix":""},{"dropping-particle":"","family":"Räihä","given":"Ismo","non-dropping-particle":"","parse-names":false,"suffix":""},{"dropping-particle":"","family":"Koskenvuo","given":"Markku","non-dropping-particle":"","parse-names":false,"suffix":""},{"dropping-particle":"","family":"Löppönen","given":"Minna","non-dropping-particle":"","parse-names":false,"suffix":""},{"dropping-particle":"","family":"Hinkka","given":"Susanna","non-dropping-particle":"","parse-names":false,"suffix":""},{"dropping-particle":"","family":"Kaprio","given":"Jaakko","non-dropping-particle":"","parse-names":false,"suffix":""}],"container-title":"Dementia and Geriatric Cognitive Disorders","id":"ITEM-1","issue":"3","issued":{"date-parts":[["2002"]]},"page":"149-155","title":"Characteristics of two telephone screens for cognitive impairment","type":"article-journal","volume":"13"},"uris":["http://www.mendeley.com/documents/?uuid=dbb4927b-de96-4977-b75f-a44d28d2ff08"]}],"mendeley":{"formattedCitation":"[15]","plainTextFormattedCitation":"[15]","previouslyFormattedCitation":"[15]"},"properties":{"noteIndex":0},"schema":"https://github.com/citation-style-language/schema/raw/master/csl-citation.json"}</w:instrText>
      </w:r>
      <w:r w:rsidR="0012113F">
        <w:fldChar w:fldCharType="separate"/>
      </w:r>
      <w:r w:rsidR="007D3C12" w:rsidRPr="007D3C12">
        <w:rPr>
          <w:noProof/>
        </w:rPr>
        <w:t>[15]</w:t>
      </w:r>
      <w:r w:rsidR="0012113F">
        <w:fldChar w:fldCharType="end"/>
      </w:r>
      <w:r w:rsidR="0012113F">
        <w:t xml:space="preserve"> </w:t>
      </w:r>
      <w:r w:rsidRPr="00BB214D">
        <w:t>In a population-based study, the cut-off score for dementia (&lt;16.0) showed a lower specificity of 90%</w:t>
      </w:r>
      <w:r w:rsidR="00022086">
        <w:t>.</w:t>
      </w:r>
      <w:r w:rsidR="0012113F">
        <w:fldChar w:fldCharType="begin" w:fldLock="1"/>
      </w:r>
      <w:r w:rsidR="00396C46">
        <w:instrText>ADDIN CSL_CITATION {"citationItems":[{"id":"ITEM-1","itemData":{"DOI":"10.1017/S1041610202008475","ISBN":"1041-6102 (Print)\\r1041-6102 (Linking)","ISSN":"10416102","PMID":"12475088","abstract":"This study examined the utility of the TELE, a telephone assessment for dementia, in a sample of 269 individuals that was not selected on the basis of previous dementia diagnosis. Thus, the conditions of the study reflect the actual situation in which a screening instrument might be employed. Scores on TELE were compared to dementia diagnoses. Using the best cutoff score, sensitivity was .86 and specificity was .90. Longitudinal follow-up established that false positives primarily included those who subsequently developed dementia. Telephone screening for dementia has both clinical and research applications. One recommendation based on our experience is that longitudinal studies should include a telephone interview component for anyone who drops out of the study, to enable characterizing the cognitive status of dropouts.","author":[{"dropping-particle":"","family":"Gatz","given":"Margaret","non-dropping-particle":"","parse-names":false,"suffix":""},{"dropping-particle":"","family":"Reynolds","given":"Chandra A.","non-dropping-particle":"","parse-names":false,"suffix":""},{"dropping-particle":"","family":"John","given":"Richard","non-dropping-particle":"","parse-names":false,"suffix":""},{"dropping-particle":"","family":"Johansson","given":"Boo","non-dropping-particle":"","parse-names":false,"suffix":""},{"dropping-particle":"","family":"Mortimer","given":"James A.","non-dropping-particle":"","parse-names":false,"suffix":""},{"dropping-particle":"","family":"Pedersen","given":"Nancy L.","non-dropping-particle":"","parse-names":false,"suffix":""}],"container-title":"International Psychogeriatrics","id":"ITEM-1","issue":"3","issued":{"date-parts":[["2002"]]},"page":"273-289","title":"Telephone screening to identify potential dementia cases in a population-based sample of older adults","type":"article-journal","volume":"14"},"uris":["http://www.mendeley.com/documents/?uuid=181750d2-bb81-4367-ac22-4028b0712dc4"]}],"mendeley":{"formattedCitation":"[13]","plainTextFormattedCitation":"[13]","previouslyFormattedCitation":"[13]"},"properties":{"noteIndex":0},"schema":"https://github.com/citation-style-language/schema/raw/master/csl-citation.json"}</w:instrText>
      </w:r>
      <w:r w:rsidR="0012113F">
        <w:fldChar w:fldCharType="separate"/>
      </w:r>
      <w:r w:rsidR="007D3C12" w:rsidRPr="007D3C12">
        <w:rPr>
          <w:noProof/>
        </w:rPr>
        <w:t>[13]</w:t>
      </w:r>
      <w:r w:rsidR="0012113F">
        <w:fldChar w:fldCharType="end"/>
      </w:r>
      <w:r w:rsidRPr="00BB214D">
        <w:t xml:space="preserve"> Consequently, it is likely that the demented twins in discordant pairs include false positive participants. Most false positive cases are likely cases that suffer from cognitive impairment and who subsequently develop dementia, but in some cases a low test score may be due to a mental disorder, impaired hearing, low education or low intelligence</w:t>
      </w:r>
      <w:r w:rsidR="00022086">
        <w:t>.</w:t>
      </w:r>
      <w:r w:rsidR="00AF5D77">
        <w:fldChar w:fldCharType="begin" w:fldLock="1"/>
      </w:r>
      <w:r w:rsidR="00396C46">
        <w:instrText>ADDIN CSL_CITATION {"citationItems":[{"id":"ITEM-1","itemData":{"DOI":"10.1017/S1041610202008475","ISBN":"1041-6102 (Print)\\r1041-6102 (Linking)","ISSN":"10416102","PMID":"12475088","abstract":"This study examined the utility of the TELE, a telephone assessment for dementia, in a sample of 269 individuals that was not selected on the basis of previous dementia diagnosis. Thus, the conditions of the study reflect the actual situation in which a screening instrument might be employed. Scores on TELE were compared to dementia diagnoses. Using the best cutoff score, sensitivity was .86 and specificity was .90. Longitudinal follow-up established that false positives primarily included those who subsequently developed dementia. Telephone screening for dementia has both clinical and research applications. One recommendation based on our experience is that longitudinal studies should include a telephone interview component for anyone who drops out of the study, to enable characterizing the cognitive status of dropouts.","author":[{"dropping-particle":"","family":"Gatz","given":"Margaret","non-dropping-particle":"","parse-names":false,"suffix":""},{"dropping-particle":"","family":"Reynolds","given":"Chandra A.","non-dropping-particle":"","parse-names":false,"suffix":""},{"dropping-particle":"","family":"John","given":"Richard","non-dropping-particle":"","parse-names":false,"suffix":""},{"dropping-particle":"","family":"Johansson","given":"Boo","non-dropping-particle":"","parse-names":false,"suffix":""},{"dropping-particle":"","family":"Mortimer","given":"James A.","non-dropping-particle":"","parse-names":false,"suffix":""},{"dropping-particle":"","family":"Pedersen","given":"Nancy L.","non-dropping-particle":"","parse-names":false,"suffix":""}],"container-title":"International Psychogeriatrics","id":"ITEM-1","issue":"3","issued":{"date-parts":[["2002"]]},"page":"273-289","title":"Telephone screening to identify potential dementia cases in a population-based sample of older adults","type":"article-journal","volume":"14"},"uris":["http://www.mendeley.com/documents/?uuid=181750d2-bb81-4367-ac22-4028b0712dc4"]}],"mendeley":{"formattedCitation":"[13]","plainTextFormattedCitation":"[13]","previouslyFormattedCitation":"[13]"},"properties":{"noteIndex":0},"schema":"https://github.com/citation-style-language/schema/raw/master/csl-citation.json"}</w:instrText>
      </w:r>
      <w:r w:rsidR="00AF5D77">
        <w:fldChar w:fldCharType="separate"/>
      </w:r>
      <w:r w:rsidR="007D3C12" w:rsidRPr="007D3C12">
        <w:rPr>
          <w:noProof/>
        </w:rPr>
        <w:t>[13]</w:t>
      </w:r>
      <w:r w:rsidR="00AF5D77">
        <w:fldChar w:fldCharType="end"/>
      </w:r>
      <w:r w:rsidRPr="00BB214D">
        <w:t xml:space="preserve"> The possible inclusion of false positive cases</w:t>
      </w:r>
      <w:r w:rsidR="008B40CD">
        <w:t xml:space="preserve"> may dilute </w:t>
      </w:r>
      <w:r w:rsidRPr="00BB214D">
        <w:t xml:space="preserve">the difference between cognitively </w:t>
      </w:r>
      <w:r w:rsidR="00671E7E">
        <w:t>healthy</w:t>
      </w:r>
      <w:r w:rsidR="00671E7E" w:rsidRPr="00BB214D">
        <w:t xml:space="preserve"> </w:t>
      </w:r>
      <w:r w:rsidRPr="00BB214D">
        <w:t xml:space="preserve">twins with demented co-twins and cognitively </w:t>
      </w:r>
      <w:r w:rsidR="00671E7E">
        <w:t>healthy</w:t>
      </w:r>
      <w:r w:rsidR="00671E7E" w:rsidRPr="00BB214D">
        <w:t xml:space="preserve"> </w:t>
      </w:r>
      <w:r w:rsidRPr="00BB214D">
        <w:t>twins with non-demented co-twins.</w:t>
      </w:r>
      <w:r w:rsidR="00BE5047">
        <w:t xml:space="preserve"> </w:t>
      </w:r>
      <w:r w:rsidR="00BE5047">
        <w:lastRenderedPageBreak/>
        <w:t>On the other hand, it is also possible that the</w:t>
      </w:r>
      <w:r w:rsidR="008D4294">
        <w:t xml:space="preserve"> risk of a </w:t>
      </w:r>
      <w:r w:rsidR="00BE5047" w:rsidRPr="00CE3CD7">
        <w:t>false</w:t>
      </w:r>
      <w:r w:rsidR="008D4294">
        <w:t>-</w:t>
      </w:r>
      <w:r w:rsidR="00BE5047" w:rsidRPr="00CE3CD7">
        <w:t xml:space="preserve">positive </w:t>
      </w:r>
      <w:r w:rsidR="008D4294">
        <w:t xml:space="preserve">result </w:t>
      </w:r>
      <w:r w:rsidR="00BE5047" w:rsidRPr="00CE3CD7">
        <w:t>might b</w:t>
      </w:r>
      <w:r w:rsidR="00BE5047">
        <w:t>e</w:t>
      </w:r>
      <w:r w:rsidR="00BE5047" w:rsidRPr="00CE3CD7">
        <w:t xml:space="preserve"> associated with </w:t>
      </w:r>
      <w:r w:rsidR="00BE5047">
        <w:t>common familial factors</w:t>
      </w:r>
      <w:r w:rsidR="00BE5047" w:rsidRPr="00CE3CD7">
        <w:t>.</w:t>
      </w:r>
      <w:r w:rsidR="00BE5047" w:rsidRPr="00BE5047">
        <w:t xml:space="preserve"> The cut-off score for </w:t>
      </w:r>
      <w:r w:rsidR="00671E7E">
        <w:t>healthy</w:t>
      </w:r>
      <w:r w:rsidR="00671E7E" w:rsidRPr="00BE5047">
        <w:t xml:space="preserve"> </w:t>
      </w:r>
      <w:r w:rsidR="00BE5047" w:rsidRPr="00BE5047">
        <w:t>cognition (&gt; 17.5) has the sensitivity of 97% and specificity of 69%.</w:t>
      </w:r>
      <w:r w:rsidR="003F4129">
        <w:fldChar w:fldCharType="begin" w:fldLock="1"/>
      </w:r>
      <w:r w:rsidR="000E1FF0">
        <w:instrText>ADDIN CSL_CITATION {"citationItems":[{"id":"ITEM-1","itemData":{"DOI":"10.1159/000048646","ISSN":"14208008","PMID":"11893836","abstract":"We studied 56 subjects, 30 patients with a clinical diagnosis of Alzheimer's disease (AD) and 26 healthy controls, using two telephone screens for cognitive impairment, a self-report interview referred to as the TELE and the Telephone Interview for Cognitive Status (TICS). The sensitivity and specificity of the TELE to differentiate AD patients from healthy controls was 90.0 and 88.5% and those of the TICS were 86.7 and 88.5%, respectively. When receiver operator characteristic curves were constructed, the area under the curve for the TELE was 96.0% (SE 2.4%) and for the TICS 90.3% (SE 4.2%). Pearson's correlation between the TELE and the Mini-Mental State Examination (MMSE) was 0.87 (p &lt; 0.0001) and between the TICS and the MMSE 0.86 (p &lt; 0.0001). The correlation between the TELE and the sum of the boxes of the Clinical Dementia Rating scale (CDR-SB) was -0.71 (p &lt; 0.0001) and -0.75 between the TICS and the CDR-SB (p &lt; 0.0001). These results indicate that both screens are sensitive and specific instruments for differentiating AD patients from healthy controls and have a strong correlation with face-to-face measures of cognitive function.","author":[{"dropping-particle":"","family":"Järvenpää","given":"Tarja","non-dropping-particle":"","parse-names":false,"suffix":""},{"dropping-particle":"","family":"Rinne","given":"Juha O.","non-dropping-particle":"","parse-names":false,"suffix":""},{"dropping-particle":"","family":"Räihä","given":"Ismo","non-dropping-particle":"","parse-names":false,"suffix":""},{"dropping-particle":"","family":"Koskenvuo","given":"Markku","non-dropping-particle":"","parse-names":false,"suffix":""},{"dropping-particle":"","family":"Löppönen","given":"Minna","non-dropping-particle":"","parse-names":false,"suffix":""},{"dropping-particle":"","family":"Hinkka","given":"Susanna","non-dropping-particle":"","parse-names":false,"suffix":""},{"dropping-particle":"","family":"Kaprio","given":"Jaakko","non-dropping-particle":"","parse-names":false,"suffix":""}],"container-title":"Dementia and Geriatric Cognitive Disorders","id":"ITEM-1","issue":"3","issued":{"date-parts":[["2002"]]},"page":"149-155","title":"Characteristics of two telephone screens for cognitive impairment","type":"article-journal","volume":"13"},"uris":["http://www.mendeley.com/documents/?uuid=dbb4927b-de96-4977-b75f-a44d28d2ff08"]}],"mendeley":{"formattedCitation":"[15]","plainTextFormattedCitation":"[15]","previouslyFormattedCitation":"[15]"},"properties":{"noteIndex":0},"schema":"https://github.com/citation-style-language/schema/raw/master/csl-citation.json"}</w:instrText>
      </w:r>
      <w:r w:rsidR="003F4129">
        <w:fldChar w:fldCharType="separate"/>
      </w:r>
      <w:r w:rsidR="003F4129" w:rsidRPr="003F4129">
        <w:rPr>
          <w:noProof/>
        </w:rPr>
        <w:t>[15]</w:t>
      </w:r>
      <w:r w:rsidR="003F4129">
        <w:fldChar w:fldCharType="end"/>
      </w:r>
      <w:r w:rsidR="003F4129">
        <w:t xml:space="preserve"> </w:t>
      </w:r>
      <w:r w:rsidR="00281BB7">
        <w:t>Thus, t</w:t>
      </w:r>
      <w:r w:rsidRPr="00BB214D">
        <w:t xml:space="preserve">he twins who are defined as cognitively </w:t>
      </w:r>
      <w:r w:rsidR="00671E7E">
        <w:t>healthy</w:t>
      </w:r>
      <w:r w:rsidR="00671E7E" w:rsidRPr="00BB214D">
        <w:t xml:space="preserve"> </w:t>
      </w:r>
      <w:r w:rsidRPr="00BB214D">
        <w:t xml:space="preserve">in discordant and concordant pairs are likely to include very few demented individuals. </w:t>
      </w:r>
    </w:p>
    <w:p w14:paraId="6DE71A00" w14:textId="23743110" w:rsidR="00BB214D" w:rsidRPr="00BB214D" w:rsidRDefault="00EE7863" w:rsidP="00795954">
      <w:bookmarkStart w:id="22" w:name="_Hlk522824329"/>
      <w:r w:rsidRPr="00EE7863">
        <w:t>The participants were inquired about their hearing problems</w:t>
      </w:r>
      <w:r>
        <w:t xml:space="preserve"> and </w:t>
      </w:r>
      <w:r w:rsidRPr="00EE7863">
        <w:t xml:space="preserve">were asked to confirm that they were in a quiet place and had no external memory aids at the beginning of the interview. Nevertheless, the telephone </w:t>
      </w:r>
      <w:r w:rsidR="007C49F6">
        <w:t>interview</w:t>
      </w:r>
      <w:r w:rsidRPr="00EE7863">
        <w:t xml:space="preserve"> is limited by the restricted control over external distractors</w:t>
      </w:r>
      <w:bookmarkEnd w:id="22"/>
      <w:r w:rsidRPr="00EE7863">
        <w:t>.</w:t>
      </w:r>
      <w:r>
        <w:t xml:space="preserve"> </w:t>
      </w:r>
      <w:r w:rsidR="00BB214D" w:rsidRPr="00BB214D">
        <w:t>The advantages of the telephone-based assessment of cognition included low cost and easy accessibility.</w:t>
      </w:r>
      <w:r w:rsidR="00AB0E1A">
        <w:t xml:space="preserve"> </w:t>
      </w:r>
      <w:r w:rsidR="00BB214D" w:rsidRPr="00BB214D">
        <w:t>The overall strengths of our study are the large population-based sample and the unique dementia-discordant twin pair design.</w:t>
      </w:r>
    </w:p>
    <w:p w14:paraId="55DD640A" w14:textId="579CC70B" w:rsidR="00BB214D" w:rsidRPr="00BB214D" w:rsidRDefault="00BB214D" w:rsidP="00795954">
      <w:r w:rsidRPr="00BB214D">
        <w:t xml:space="preserve">Our results support the use of </w:t>
      </w:r>
      <w:r w:rsidR="00671E7E">
        <w:t>IR</w:t>
      </w:r>
      <w:r w:rsidR="00671E7E" w:rsidRPr="00BB214D">
        <w:t xml:space="preserve"> </w:t>
      </w:r>
      <w:r w:rsidRPr="00BB214D">
        <w:t xml:space="preserve">as an </w:t>
      </w:r>
      <w:proofErr w:type="spellStart"/>
      <w:r w:rsidRPr="00BB214D">
        <w:t>endophenotype</w:t>
      </w:r>
      <w:proofErr w:type="spellEnd"/>
      <w:r w:rsidRPr="00BB214D">
        <w:t xml:space="preserve">. </w:t>
      </w:r>
      <w:proofErr w:type="spellStart"/>
      <w:r w:rsidRPr="00BB214D">
        <w:t>Endophenotypes</w:t>
      </w:r>
      <w:proofErr w:type="spellEnd"/>
      <w:r w:rsidRPr="00BB214D">
        <w:t xml:space="preserve"> are defined as quantitative, subclinical traits that are associated with the illness, are heritable, are state independent, co-segregate with the illness within families, and are found in non-affected family members at a higher rate than in the general population</w:t>
      </w:r>
      <w:r w:rsidR="00022086">
        <w:t>.</w:t>
      </w:r>
      <w:r w:rsidR="000D21E2">
        <w:fldChar w:fldCharType="begin" w:fldLock="1"/>
      </w:r>
      <w:r w:rsidR="00396C46">
        <w:instrText>ADDIN CSL_CITATION {"citationItems":[{"id":"ITEM-1","itemData":{"DOI":"10.1176/appi.ajp.160.4.636","ISBN":"0002-953X (Print)\\r0002-953X (Linking)","ISSN":"0002953X","PMID":"12668349","abstract":"Endophenotypes, measurable compo- nents unseen by the unaided eye along the pathway between disease and distal genotype, have emerged as an important concept in the study of complex neuro- psychiatric diseases. An endophenotype may be neurophysiological, biochemical, endocrinological, neuroanatomical, cog- nitive, or neuropsychological (including configured self-report data) in nature. En- dophenotypes represent simpler clues to genetic underpinnings than the disease syndrome itself, promoting the view that psychiatric diagnoses can be decomposed or deconstructed, which can result in more straightforward—and successful— genetic analysis. However, to be most use- ful, endophenotypes for psychiatric dis- orders must meet certain criteria, includ- ing association with a candidate gene or gene region, heritability that is inferred from relative risk for the disorder in rela- tives, and disease association parameters. In addition to furthering genetic analysis, endophenotypes can clarify classification and diagnosis and foster the develop- ment of animal models. The authors dis- cuss the etymology and strategy behind the use of endophenotypes in neuropsy- chiatric research and, more generally, in research on other diseases with complex genetics.","author":[{"dropping-particle":"","family":"Gottesman","given":"Irving I.","non-dropping-particle":"","parse-names":false,"suffix":""},{"dropping-particle":"","family":"Gould","given":"Todd D.","non-dropping-particle":"","parse-names":false,"suffix":""}],"container-title":"American Journal of Psychiatry","id":"ITEM-1","issue":"4","issued":{"date-parts":[["2003"]]},"page":"636-645","title":"The endophenotype concept in psychiatry: Etymology and strategic intentions","type":"article","volume":"160"},"uris":["http://www.mendeley.com/documents/?uuid=38b1617e-b5c9-4ae1-8352-af7d6b92ac58"]}],"mendeley":{"formattedCitation":"[31]","plainTextFormattedCitation":"[31]","previouslyFormattedCitation":"[31]"},"properties":{"noteIndex":0},"schema":"https://github.com/citation-style-language/schema/raw/master/csl-citation.json"}</w:instrText>
      </w:r>
      <w:r w:rsidR="000D21E2">
        <w:fldChar w:fldCharType="separate"/>
      </w:r>
      <w:r w:rsidR="007D3C12" w:rsidRPr="007D3C12">
        <w:rPr>
          <w:noProof/>
        </w:rPr>
        <w:t>[31]</w:t>
      </w:r>
      <w:r w:rsidR="000D21E2">
        <w:fldChar w:fldCharType="end"/>
      </w:r>
      <w:r w:rsidRPr="00BB214D">
        <w:t xml:space="preserve"> </w:t>
      </w:r>
      <w:r w:rsidR="00671E7E">
        <w:t>IR</w:t>
      </w:r>
      <w:r w:rsidR="00671E7E" w:rsidRPr="00BB214D">
        <w:t xml:space="preserve"> </w:t>
      </w:r>
      <w:r w:rsidRPr="00BB214D">
        <w:t>impairment has a well-known association with dementia, especially with AD</w:t>
      </w:r>
      <w:r w:rsidR="000D21E2">
        <w:t>.</w:t>
      </w:r>
      <w:r w:rsidR="000D21E2">
        <w:fldChar w:fldCharType="begin" w:fldLock="1"/>
      </w:r>
      <w:r w:rsidR="00396C46">
        <w:instrText>ADDIN CSL_CITATION {"citationItems":[{"id":"ITEM-1","itemData":{"DOI":"10.1076/jcen.21.6.816.862","ISBN":"1380-3395 (Print)\\r1380-3395 (Linking)","ISSN":"1380-3395","PMID":"10649536","abstract":"The hypothesis that Alzheimer's disease (AD) and vascular dementia (VaD) differ in the pattern of episodic memory was examined in this study. Demented patients with AD and VaD and normal old adults were assessed on episodic memory tasks, including free recall and recognition of slowly and rapidly presented unrelated words and free and cued recall of organizable words. Results showed a general deficit in both demented groups across all memory variables, although the AD and VaD patients were indistinguishable across all measures. The normal old showed proficient utilization of more study time, organizability, and category cues. By contrast, the AD and VaD patients were able to benefit from cognitive support only when guidance was provided at both encoding and retrieval. In addition, in the normal old, recall of unrelated words was characterized by a relatively equal contribution from primary and secondary memory, whereas the demented patients relied predominantly on primary memory. The results suggests a similarity between AD and VaD patients with regard to the nature of the episodic memory impairment, despite etiologic differences between the diseases.","author":[{"dropping-particle":"","family":"Almkvist","given":"Ove","non-dropping-particle":"","parse-names":false,"suffix":""},{"dropping-particle":"","family":"Fratiglioni","given":"Laura","non-dropping-particle":"","parse-names":false,"suffix":""},{"dropping-particle":"","family":"Agüero-Torres","given":"Hedda","non-dropping-particle":"","parse-names":false,"suffix":""},{"dropping-particle":"","family":"Viitanen","given":"Matti","non-dropping-particle":"","parse-names":false,"suffix":""},{"dropping-particle":"","family":"Bäckman","given":"Lars","non-dropping-particle":"","parse-names":false,"suffix":""}],"container-title":"Journal of Clinical and Experimental Neuropsychology","id":"ITEM-1","issue":"6","issued":{"date-parts":[["1999"]]},"page":"816-830","title":"Cognitive Support at Episodic Encoding and Retrieval: Similar Patterns of Utilization in Community-Based Samples of Alzheimer's Disease and Vascular Dementia Patients","type":"article-journal","volume":"21"},"uris":["http://www.mendeley.com/documents/?uuid=f7388167-64b7-49e1-b84a-18241d9e80ca"]},{"id":"ITEM-2","itemData":{"DOI":"10.1097/WAD.0000000000000089","ISBN":"1546-4156 (Electronic)\\r0893-0341 (Linking)","ISSN":"08930341","PMID":"25730300","abstract":"INTRODUCTION: Differences in episodic memory performance in patients with Alzheimer disease (AD), frontotemporal dementia (FTD), dementia with Lewy bodies (DLB)/Parkinson disease with dementia (PDD) are inconsistent and task dependent. The inconsistencies may be attributed to the different tasks drawing on different memory processes. Few studies have examined episodic memory impairment in the above groups using memory tests that facilitate encoding, to distinguish memory deficits due to impairment of specific processes. METHODS: We examined the memory performance of 106 AD patients, 51 FTD patients, 26 DLB/PDD patients, and 37 controls using the Five-Words Test, a 5-item memory test that facilitates encoding. RESULTS: The patient groups did not differ in modified Mini Mental State Examination scores. AD patients scored lowest on the Five-Words Test overall, and showed the greatest reduction from immediate total recall to delayed free recall relative to the other 2 groups, consistent with a predominantly consolidation deficit. DLB/PDD patients showed the largest improvement from delayed free to delayed total recall relative to the other 2 groups, consistent with a predominantly retrieval deficit. DISCUSSION: Deficits in both consolidation and retrieval underlie the memory impairment of the patients, to different extents, and contribute to the theoretical understanding of the nature of the memory impairment of the patient groups.","author":[{"dropping-particle":"","family":"Economou","given":"Alexandra","non-dropping-particle":"","parse-names":false,"suffix":""},{"dropping-particle":"","family":"Routsis","given":"Christopher","non-dropping-particle":"","parse-names":false,"suffix":""},{"dropping-particle":"","family":"Papageorgiou","given":"Sokratis G.","non-dropping-particle":"","parse-names":false,"suffix":""}],"container-title":"Alzheimer Disease and Associated Disorders","id":"ITEM-2","issue":"1","issued":{"date-parts":[["2016"]]},"page":"47-52","title":"Episodic memory in Alzheimer disease, frontotemporal dementia, and dementia with lewy bodies/Parkinson disease dementia: Disentangling retrieval from consolidation","type":"article-journal","volume":"30"},"uris":["http://www.mendeley.com/documents/?uuid=0831af3f-6f1a-4505-a008-234d59363989"]}],"mendeley":{"formattedCitation":"[32,33]","plainTextFormattedCitation":"[32,33]","previouslyFormattedCitation":"[32,33]"},"properties":{"noteIndex":0},"schema":"https://github.com/citation-style-language/schema/raw/master/csl-citation.json"}</w:instrText>
      </w:r>
      <w:r w:rsidR="000D21E2">
        <w:fldChar w:fldCharType="separate"/>
      </w:r>
      <w:r w:rsidR="007D3C12" w:rsidRPr="007D3C12">
        <w:rPr>
          <w:noProof/>
        </w:rPr>
        <w:t>[32,33]</w:t>
      </w:r>
      <w:r w:rsidR="000D21E2">
        <w:fldChar w:fldCharType="end"/>
      </w:r>
      <w:r w:rsidRPr="00BB214D">
        <w:t xml:space="preserve"> </w:t>
      </w:r>
      <w:proofErr w:type="gramStart"/>
      <w:r w:rsidRPr="00BB214D">
        <w:t>Our</w:t>
      </w:r>
      <w:proofErr w:type="gramEnd"/>
      <w:r w:rsidRPr="00BB214D">
        <w:t xml:space="preserve"> results support the finding that poorer </w:t>
      </w:r>
      <w:r w:rsidR="00140778">
        <w:t>IR</w:t>
      </w:r>
      <w:r w:rsidR="00140778" w:rsidRPr="00BB214D">
        <w:t xml:space="preserve"> </w:t>
      </w:r>
      <w:r w:rsidRPr="00BB214D">
        <w:t xml:space="preserve">performance is found at a higher rate in non-affected family members compared to the general population. An increasing number of genome-wide association studies are employing AD-related </w:t>
      </w:r>
      <w:proofErr w:type="spellStart"/>
      <w:r w:rsidRPr="00BB214D">
        <w:t>endophenotypes</w:t>
      </w:r>
      <w:proofErr w:type="spellEnd"/>
      <w:r w:rsidRPr="00BB214D">
        <w:t>, such as cerebrospinal fluid, imaging, and neuropsychological traits</w:t>
      </w:r>
      <w:r w:rsidR="00022086">
        <w:t>.</w:t>
      </w:r>
      <w:r w:rsidR="000D21E2">
        <w:fldChar w:fldCharType="begin" w:fldLock="1"/>
      </w:r>
      <w:r w:rsidR="00396C46">
        <w:instrText>ADDIN CSL_CITATION {"citationItems":[{"id":"ITEM-1","itemData":{"DOI":"10.1016/j.jalz.2017.11.006","ISSN":"15525260","PMID":"29274321","abstract":"INTRODUCTION Genetic associations for endophenotypes of Alzheimer's disease (AD) in cognitive stages preceding AD have not been thoroughly evaluated. METHODS We conducted genome-wide association studies for AD-related endophenotypes including hippocampal volume, logical memory scores, and cerebrospinal fluid Aβ42 and total/phosphorylated tau in cognitively normal (CN), mild cognitive impairment, and AD dementia subjects from the Alzheimer's Disease Neuroimaging Initiative study. RESULTS In CN subjects, study-wide significant (P &lt; 8.3 × 10−9) loci were identified for total tau near SRRM4 and C14orf79 and for hippocampal volume near MTUS1. In mild cognitive impairment subjects, study-wide significant association was found with SNPs near ZNF804B for logical memory test of delayed recall scores. We found consistent expression patterns of C14orf40 and MTUS1 in carriers with risk alleles of expression SNPs and in brains of AD patients, compared with in the noncarriers and in brains of controls. DISCUSSION Our findings for AD-related brain changes before AD provide insight about early AD-related biological processes.","author":[{"dropping-particle":"","family":"Chung","given":"Jaeyoon","non-dropping-particle":"","parse-names":false,"suffix":""},{"dropping-particle":"","family":"Wang","given":"Xulong","non-dropping-particle":"","parse-names":false,"suffix":""},{"dropping-particle":"","family":"Maruyama","given":"Toru","non-dropping-particle":"","parse-names":false,"suffix":""},{"dropping-particle":"","family":"Ma","given":"Yiyi","non-dropping-particle":"","parse-names":false,"suffix":""},{"dropping-particle":"","family":"Zhang","given":"Xiaoling","non-dropping-particle":"","parse-names":false,"suffix":""},{"dropping-particle":"","family":"Mez","given":"Jesse","non-dropping-particle":"","parse-names":false,"suffix":""},{"dropping-particle":"","family":"Sherva","given":"Richard","non-dropping-particle":"","parse-names":false,"suffix":""},{"dropping-particle":"","family":"Takeyama","given":"Haruko","non-dropping-particle":"","parse-names":false,"suffix":""},{"dropping-particle":"","family":"Lunetta","given":"Kathryn L.","non-dropping-particle":"","parse-names":false,"suffix":""},{"dropping-particle":"","family":"Farrer","given":"Lindsay A.","non-dropping-particle":"","parse-names":false,"suffix":""},{"dropping-particle":"","family":"Jun","given":"Gyungah R.","non-dropping-particle":"","parse-names":false,"suffix":""}],"container-title":"Alzheimer's &amp; Dementia","id":"ITEM-1","issued":{"date-parts":[["2017"]]},"title":"Genome-wide association study of Alzheimer's disease endophenotypes at prediagnosis stages","type":"article-journal"},"uris":["http://www.mendeley.com/documents/?uuid=9749bc03-2059-4a66-ab1c-74c60e0fc58b"]},{"id":"ITEM-2","itemData":{"DOI":"10.1212/WNL.0b013e3182553c48","ISBN":"1526-632X (Electronic)\\r0028-3878 (Linking)","ISSN":"1526632X","PMID":"22539578","abstract":"ABSTRACT Objective: Several genome-wide association studies (GWAS) have associated variants in late- onset Alzheimer disease (LOAD) susceptibility genes; however, these single nucleotide polymor- phisms (SNPs) have very modest effects, suggesting that single SNP approaches may be inadequate to identify genetic risks. An alternative approach is the use of multilocus genotype patterns (MLGPs) that combine SNPs at different susceptibility genes. Methods: Using data from 1,365 subjects in the National Institute on Aging Late-Onset Alzhei- mer’s Disease Family Study, we conducted a family-based association study in which we tabu- lated MLGPs for SNPs at CR1, BIN1, CLU, PICALM, and APOE.We used generalized estimating equations to model episodic memory as the dependent endophenotype of LOAD and the MLGPs as predictors while adjusting for sex, age, and education. Results: Several genotype patterns influenced episodic memory performance. A pattern that in- cluded PICALM and CLU was the strongest genotypic profile for lower memory performance ( ? ? ?0.32, SE?0.19, p?0.021). The effect was stronger after addition of APOE (p?0.016). Two additional patterns involving PICALM, CR1, and APOE and another pattern involving PICALM, BIN1, andAPOEwere also associated with significantly poorer memory performance ( ? ??0.44, SE ? 0.09, p ? 0.009 and ??0.29, SE ? 0.07, p ? 0.012) even after exclusion of patients ? with LOAD. We also identified genotype pattern involving variants in PICALM, CLU, and APOE as a predictor of better memory performance ( ? ?0.26, SE?0.10, p?0.010). Conclusions: MLGPs provide an alternative analytical approach to predict an individual’s genetic risk for episodic memory performance, a surrogate indicator of LOAD. Identifying genotypic pat- terns contributing to the decline of an individual’s cognitive performance may be a critical step along the road to preclinical detection of Alzheimer disease.","author":[{"dropping-particle":"","family":"Barral","given":"S.","non-dropping-particle":"","parse-names":false,"suffix":""},{"dropping-particle":"","family":"Bird","given":"T.","non-dropping-particle":"","parse-names":false,"suffix":""},{"dropping-particle":"","family":"Goate","given":"A.","non-dropping-particle":"","parse-names":false,"suffix":""},{"dropping-particle":"","family":"Farlow","given":"M. R.","non-dropping-particle":"","parse-names":false,"suffix":""},{"dropping-particle":"","family":"Diaz-Arrastia","given":"R.","non-dropping-particle":"","parse-names":false,"suffix":""},{"dropping-particle":"","family":"Bennett","given":"D. A.","non-dropping-particle":"","parse-names":false,"suffix":""},{"dropping-particle":"","family":"Graff-Radford","given":"N.","non-dropping-particle":"","parse-names":false,"suffix":""},{"dropping-particle":"","family":"Boeve","given":"B. F.","non-dropping-particle":"","parse-names":false,"suffix":""},{"dropping-particle":"","family":"Sweet","given":"R. A.","non-dropping-particle":"","parse-names":false,"suffix":""},{"dropping-particle":"","family":"Stern","given":"Y.","non-dropping-particle":"","parse-names":false,"suffix":""},{"dropping-particle":"","family":"Wilson","given":"R. S.","non-dropping-particle":"","parse-names":false,"suffix":""},{"dropping-particle":"","family":"Foroud","given":"T.","non-dropping-particle":"","parse-names":false,"suffix":""},{"dropping-particle":"","family":"Ott","given":"J.","non-dropping-particle":"","parse-names":false,"suffix":""},{"dropping-particle":"","family":"Mayeux","given":"R.","non-dropping-particle":"","parse-names":false,"suffix":""}],"container-title":"Neurology","id":"ITEM-2","issue":"19","issued":{"date-parts":[["2012"]]},"page":"1464-1471","title":"Genotype patterns at PICALM, CR1, BIN1, CLU, and APOE genes are associated with episodic memory","type":"article-journal","volume":"78"},"uris":["http://www.mendeley.com/documents/?uuid=71054b51-bf90-4fe6-9a2f-add41b917843"]}],"mendeley":{"formattedCitation":"[34,35]","plainTextFormattedCitation":"[34,35]","previouslyFormattedCitation":"[34,35]"},"properties":{"noteIndex":0},"schema":"https://github.com/citation-style-language/schema/raw/master/csl-citation.json"}</w:instrText>
      </w:r>
      <w:r w:rsidR="000D21E2">
        <w:fldChar w:fldCharType="separate"/>
      </w:r>
      <w:r w:rsidR="007D3C12" w:rsidRPr="007D3C12">
        <w:rPr>
          <w:noProof/>
        </w:rPr>
        <w:t>[34,35]</w:t>
      </w:r>
      <w:r w:rsidR="000D21E2">
        <w:fldChar w:fldCharType="end"/>
      </w:r>
      <w:r w:rsidR="000D21E2">
        <w:t xml:space="preserve"> </w:t>
      </w:r>
      <w:r w:rsidRPr="00BB214D">
        <w:t xml:space="preserve">Identifying genetic variants that are associated both with </w:t>
      </w:r>
      <w:r w:rsidR="00140778">
        <w:t>IR</w:t>
      </w:r>
      <w:r w:rsidR="00140778" w:rsidRPr="00BB214D">
        <w:t xml:space="preserve"> </w:t>
      </w:r>
      <w:proofErr w:type="spellStart"/>
      <w:r w:rsidRPr="00BB214D">
        <w:t>endophenotype</w:t>
      </w:r>
      <w:proofErr w:type="spellEnd"/>
      <w:r w:rsidRPr="00BB214D">
        <w:t xml:space="preserve"> and increased risk of age-related dementias such as AD may provide a useful approach to disentangle the mechanisms of risk genes</w:t>
      </w:r>
      <w:r w:rsidR="00022086">
        <w:t>.</w:t>
      </w:r>
      <w:r w:rsidR="000D21E2">
        <w:fldChar w:fldCharType="begin" w:fldLock="1"/>
      </w:r>
      <w:r w:rsidR="00396C46">
        <w:instrText>ADDIN CSL_CITATION {"citationItems":[{"id":"ITEM-1","itemData":{"DOI":"10.1212/WNL.0b013e3182553c48","ISBN":"1526-632X (Electronic)\\r0028-3878 (Linking)","ISSN":"1526632X","PMID":"22539578","abstract":"ABSTRACT Objective: Several genome-wide association studies (GWAS) have associated variants in late- onset Alzheimer disease (LOAD) susceptibility genes; however, these single nucleotide polymor- phisms (SNPs) have very modest effects, suggesting that single SNP approaches may be inadequate to identify genetic risks. An alternative approach is the use of multilocus genotype patterns (MLGPs) that combine SNPs at different susceptibility genes. Methods: Using data from 1,365 subjects in the National Institute on Aging Late-Onset Alzhei- mer’s Disease Family Study, we conducted a family-based association study in which we tabu- lated MLGPs for SNPs at CR1, BIN1, CLU, PICALM, and APOE.We used generalized estimating equations to model episodic memory as the dependent endophenotype of LOAD and the MLGPs as predictors while adjusting for sex, age, and education. Results: Several genotype patterns influenced episodic memory performance. A pattern that in- cluded PICALM and CLU was the strongest genotypic profile for lower memory performance ( ? ? ?0.32, SE?0.19, p?0.021). The effect was stronger after addition of APOE (p?0.016). Two additional patterns involving PICALM, CR1, and APOE and another pattern involving PICALM, BIN1, andAPOEwere also associated with significantly poorer memory performance ( ? ??0.44, SE ? 0.09, p ? 0.009 and ??0.29, SE ? 0.07, p ? 0.012) even after exclusion of patients ? with LOAD. We also identified genotype pattern involving variants in PICALM, CLU, and APOE as a predictor of better memory performance ( ? ?0.26, SE?0.10, p?0.010). Conclusions: MLGPs provide an alternative analytical approach to predict an individual’s genetic risk for episodic memory performance, a surrogate indicator of LOAD. Identifying genotypic pat- terns contributing to the decline of an individual’s cognitive performance may be a critical step along the road to preclinical detection of Alzheimer disease.","author":[{"dropping-particle":"","family":"Barral","given":"S.","non-dropping-particle":"","parse-names":false,"suffix":""},{"dropping-particle":"","family":"Bird","given":"T.","non-dropping-particle":"","parse-names":false,"suffix":""},{"dropping-particle":"","family":"Goate","given":"A.","non-dropping-particle":"","parse-names":false,"suffix":""},{"dropping-particle":"","family":"Farlow","given":"M. R.","non-dropping-particle":"","parse-names":false,"suffix":""},{"dropping-particle":"","family":"Diaz-Arrastia","given":"R.","non-dropping-particle":"","parse-names":false,"suffix":""},{"dropping-particle":"","family":"Bennett","given":"D. A.","non-dropping-particle":"","parse-names":false,"suffix":""},{"dropping-particle":"","family":"Graff-Radford","given":"N.","non-dropping-particle":"","parse-names":false,"suffix":""},{"dropping-particle":"","family":"Boeve","given":"B. F.","non-dropping-particle":"","parse-names":false,"suffix":""},{"dropping-particle":"","family":"Sweet","given":"R. A.","non-dropping-particle":"","parse-names":false,"suffix":""},{"dropping-particle":"","family":"Stern","given":"Y.","non-dropping-particle":"","parse-names":false,"suffix":""},{"dropping-particle":"","family":"Wilson","given":"R. S.","non-dropping-particle":"","parse-names":false,"suffix":""},{"dropping-particle":"","family":"Foroud","given":"T.","non-dropping-particle":"","parse-names":false,"suffix":""},{"dropping-particle":"","family":"Ott","given":"J.","non-dropping-particle":"","parse-names":false,"suffix":""},{"dropping-particle":"","family":"Mayeux","given":"R.","non-dropping-particle":"","parse-names":false,"suffix":""}],"container-title":"Neurology","id":"ITEM-1","issue":"19","issued":{"date-parts":[["2012"]]},"page":"1464-1471","title":"Genotype patterns at PICALM, CR1, BIN1, CLU, and APOE genes are associated with episodic memory","type":"article-journal","volume":"78"},"uris":["http://www.mendeley.com/documents/?uuid=71054b51-bf90-4fe6-9a2f-add41b917843"]}],"mendeley":{"formattedCitation":"[35]","plainTextFormattedCitation":"[35]","previouslyFormattedCitation":"[35]"},"properties":{"noteIndex":0},"schema":"https://github.com/citation-style-language/schema/raw/master/csl-citation.json"}</w:instrText>
      </w:r>
      <w:r w:rsidR="000D21E2">
        <w:fldChar w:fldCharType="separate"/>
      </w:r>
      <w:r w:rsidR="007D3C12" w:rsidRPr="007D3C12">
        <w:rPr>
          <w:noProof/>
        </w:rPr>
        <w:t>[35]</w:t>
      </w:r>
      <w:r w:rsidR="000D21E2">
        <w:fldChar w:fldCharType="end"/>
      </w:r>
      <w:r w:rsidR="000D21E2">
        <w:t xml:space="preserve"> </w:t>
      </w:r>
      <w:r w:rsidRPr="00BB214D">
        <w:t>Our results show that even a simple word list learning task administered by telephone may be useful in such studies.</w:t>
      </w:r>
    </w:p>
    <w:p w14:paraId="2953BF28" w14:textId="152722F1" w:rsidR="001E2493" w:rsidRDefault="00BB214D" w:rsidP="00795954">
      <w:r w:rsidRPr="00BB214D">
        <w:lastRenderedPageBreak/>
        <w:t xml:space="preserve">In conclusion, we found that familial risk of </w:t>
      </w:r>
      <w:r w:rsidR="00140778">
        <w:t>cognitive impairment</w:t>
      </w:r>
      <w:r w:rsidR="00140778" w:rsidRPr="00BB214D">
        <w:t xml:space="preserve"> </w:t>
      </w:r>
      <w:r w:rsidRPr="00BB214D">
        <w:t xml:space="preserve">is reflected in the </w:t>
      </w:r>
      <w:r w:rsidR="00140778">
        <w:t>IR</w:t>
      </w:r>
      <w:r w:rsidR="00140778" w:rsidRPr="00BB214D">
        <w:t xml:space="preserve"> </w:t>
      </w:r>
      <w:r w:rsidRPr="00BB214D">
        <w:t xml:space="preserve">performance of older persons who are cognitively </w:t>
      </w:r>
      <w:r w:rsidR="00D01536">
        <w:t>healthy</w:t>
      </w:r>
      <w:r w:rsidR="00140778" w:rsidRPr="00BB214D">
        <w:t xml:space="preserve"> </w:t>
      </w:r>
      <w:r w:rsidRPr="00BB214D">
        <w:t xml:space="preserve">based on a general cognitive measure. </w:t>
      </w:r>
      <w:bookmarkStart w:id="23" w:name="_Hlk522731645"/>
      <w:r w:rsidRPr="00BB214D">
        <w:t xml:space="preserve">Our study also demonstrates the </w:t>
      </w:r>
      <w:r w:rsidR="00140778">
        <w:t xml:space="preserve">possible </w:t>
      </w:r>
      <w:r w:rsidRPr="00BB214D">
        <w:t>utility of a telephone-administered word list learning task.</w:t>
      </w:r>
      <w:bookmarkEnd w:id="23"/>
    </w:p>
    <w:p w14:paraId="0CD92E1D" w14:textId="77777777" w:rsidR="00C743F8" w:rsidRDefault="00C743F8" w:rsidP="00C743F8">
      <w:pPr>
        <w:pStyle w:val="Heading2"/>
      </w:pPr>
    </w:p>
    <w:p w14:paraId="02CAB414" w14:textId="77777777" w:rsidR="00C743F8" w:rsidRPr="00B74F89" w:rsidRDefault="00C743F8" w:rsidP="00C743F8">
      <w:pPr>
        <w:pStyle w:val="Heading2"/>
      </w:pPr>
      <w:r w:rsidRPr="00B74F89">
        <w:t>Acknowledgements</w:t>
      </w:r>
    </w:p>
    <w:p w14:paraId="356B16D1" w14:textId="77777777" w:rsidR="00C743F8" w:rsidRPr="00820275" w:rsidRDefault="00C743F8" w:rsidP="00C743F8">
      <w:pPr>
        <w:spacing w:after="0"/>
      </w:pPr>
      <w:r w:rsidRPr="00820275">
        <w:t xml:space="preserve">We gratefully acknowledge the assistance of the following persons: </w:t>
      </w:r>
      <w:proofErr w:type="spellStart"/>
      <w:r w:rsidRPr="00820275">
        <w:t>Kristiina</w:t>
      </w:r>
      <w:proofErr w:type="spellEnd"/>
      <w:r w:rsidRPr="00820275">
        <w:t xml:space="preserve"> </w:t>
      </w:r>
      <w:proofErr w:type="spellStart"/>
      <w:r w:rsidRPr="00820275">
        <w:t>Saanakorpi</w:t>
      </w:r>
      <w:proofErr w:type="spellEnd"/>
      <w:r w:rsidRPr="00820275">
        <w:t xml:space="preserve"> and Ulla </w:t>
      </w:r>
      <w:proofErr w:type="spellStart"/>
      <w:r w:rsidRPr="00820275">
        <w:t>Kulmala-Gråhn</w:t>
      </w:r>
      <w:proofErr w:type="spellEnd"/>
      <w:r w:rsidRPr="00820275">
        <w:t xml:space="preserve"> for interviewing the participants, Pia </w:t>
      </w:r>
      <w:proofErr w:type="spellStart"/>
      <w:r w:rsidRPr="00820275">
        <w:t>Ruokolinna</w:t>
      </w:r>
      <w:proofErr w:type="spellEnd"/>
      <w:r w:rsidRPr="00820275">
        <w:t xml:space="preserve"> for data entry, and </w:t>
      </w:r>
      <w:proofErr w:type="spellStart"/>
      <w:r w:rsidRPr="00820275">
        <w:t>Kauko</w:t>
      </w:r>
      <w:proofErr w:type="spellEnd"/>
      <w:r w:rsidRPr="00820275">
        <w:t xml:space="preserve"> </w:t>
      </w:r>
      <w:proofErr w:type="spellStart"/>
      <w:r w:rsidRPr="00820275">
        <w:t>Heikkilä</w:t>
      </w:r>
      <w:proofErr w:type="spellEnd"/>
      <w:r w:rsidRPr="00820275">
        <w:t xml:space="preserve"> for data management. We are grateful for all the twins who participated in the Finnish Twin Cohort study. </w:t>
      </w:r>
    </w:p>
    <w:p w14:paraId="68572891" w14:textId="77777777" w:rsidR="00C743F8" w:rsidRDefault="00C743F8" w:rsidP="00B74F89">
      <w:pPr>
        <w:pStyle w:val="Heading2"/>
      </w:pPr>
    </w:p>
    <w:p w14:paraId="72BC2EF2" w14:textId="77777777" w:rsidR="00B74F89" w:rsidRPr="00B74F89" w:rsidRDefault="00B74F89" w:rsidP="00B74F89">
      <w:pPr>
        <w:pStyle w:val="Heading2"/>
      </w:pPr>
      <w:r w:rsidRPr="00B74F89">
        <w:t>Author</w:t>
      </w:r>
      <w:r w:rsidR="00B2431A">
        <w:t xml:space="preserve"> statement</w:t>
      </w:r>
    </w:p>
    <w:p w14:paraId="3861E5D0" w14:textId="77777777" w:rsidR="00B74F89" w:rsidRDefault="00B74F89" w:rsidP="00B74F89">
      <w:pPr>
        <w:spacing w:after="0"/>
      </w:pPr>
      <w:r w:rsidRPr="00645AE6">
        <w:t xml:space="preserve">N. Lindgren: </w:t>
      </w:r>
      <w:r>
        <w:t>d</w:t>
      </w:r>
      <w:r w:rsidRPr="00645AE6">
        <w:t>rafting the manuscript, study concept</w:t>
      </w:r>
      <w:r>
        <w:t xml:space="preserve"> and </w:t>
      </w:r>
      <w:r w:rsidRPr="00645AE6">
        <w:t>design, analysis</w:t>
      </w:r>
      <w:r>
        <w:t xml:space="preserve"> and </w:t>
      </w:r>
      <w:r w:rsidRPr="00645AE6">
        <w:t xml:space="preserve">interpretation of data, acquisition of data, statistical analysis. J. </w:t>
      </w:r>
      <w:proofErr w:type="spellStart"/>
      <w:r w:rsidRPr="00645AE6">
        <w:t>Kaprio</w:t>
      </w:r>
      <w:proofErr w:type="spellEnd"/>
      <w:r w:rsidRPr="00645AE6">
        <w:t xml:space="preserve">: </w:t>
      </w:r>
      <w:r>
        <w:t>r</w:t>
      </w:r>
      <w:r w:rsidRPr="00645AE6">
        <w:t xml:space="preserve">ecruitment of the study cohort, supervision of data collection, interpretation of data. JO. </w:t>
      </w:r>
      <w:proofErr w:type="spellStart"/>
      <w:r w:rsidRPr="00645AE6">
        <w:t>Rinne</w:t>
      </w:r>
      <w:proofErr w:type="spellEnd"/>
      <w:r w:rsidRPr="00645AE6">
        <w:t xml:space="preserve">: </w:t>
      </w:r>
      <w:r>
        <w:t>s</w:t>
      </w:r>
      <w:r w:rsidRPr="00645AE6">
        <w:t>tudy concept</w:t>
      </w:r>
      <w:r>
        <w:t xml:space="preserve"> and </w:t>
      </w:r>
      <w:r w:rsidRPr="00645AE6">
        <w:t xml:space="preserve">design, interpretation of data, revising the manuscript, study supervision, obtaining funding. E. </w:t>
      </w:r>
      <w:proofErr w:type="spellStart"/>
      <w:r w:rsidRPr="00645AE6">
        <w:t>Vuoksimaa</w:t>
      </w:r>
      <w:proofErr w:type="spellEnd"/>
      <w:r w:rsidRPr="00645AE6">
        <w:t xml:space="preserve">: </w:t>
      </w:r>
      <w:r>
        <w:t>d</w:t>
      </w:r>
      <w:r w:rsidRPr="00645AE6">
        <w:t>rafting/revising the manuscript, study concept</w:t>
      </w:r>
      <w:r>
        <w:t xml:space="preserve"> and </w:t>
      </w:r>
      <w:r w:rsidRPr="00645AE6">
        <w:t>design, analysis</w:t>
      </w:r>
      <w:r>
        <w:t xml:space="preserve"> and </w:t>
      </w:r>
      <w:r w:rsidRPr="00645AE6">
        <w:t>interpretation of data, statistical analysis, study supervision. All authors have provided critical comments on the manuscript and approved the final version.</w:t>
      </w:r>
    </w:p>
    <w:p w14:paraId="1EBA259F" w14:textId="77777777" w:rsidR="00B74F89" w:rsidRDefault="00B74F89" w:rsidP="006E40A8"/>
    <w:p w14:paraId="6641FC0F" w14:textId="77777777" w:rsidR="00C743F8" w:rsidRPr="00B74F89" w:rsidRDefault="00C743F8" w:rsidP="00C743F8">
      <w:pPr>
        <w:pStyle w:val="Heading2"/>
      </w:pPr>
      <w:r>
        <w:t>F</w:t>
      </w:r>
      <w:r w:rsidRPr="00B74F89">
        <w:t>unding</w:t>
      </w:r>
    </w:p>
    <w:p w14:paraId="0C6FA73D" w14:textId="77777777" w:rsidR="00C743F8" w:rsidRDefault="00C743F8" w:rsidP="00C743F8">
      <w:r w:rsidRPr="00820275">
        <w:t xml:space="preserve">This work was supported by Sigrid </w:t>
      </w:r>
      <w:proofErr w:type="spellStart"/>
      <w:r w:rsidRPr="00820275">
        <w:t>Juselius</w:t>
      </w:r>
      <w:proofErr w:type="spellEnd"/>
      <w:r w:rsidRPr="00820275">
        <w:t xml:space="preserve"> Foundation and Finnish Governmental Research Funding. N</w:t>
      </w:r>
      <w:r>
        <w:t>.</w:t>
      </w:r>
      <w:r w:rsidRPr="00820275">
        <w:t xml:space="preserve"> Lindgren was supported by </w:t>
      </w:r>
      <w:r>
        <w:t xml:space="preserve">the </w:t>
      </w:r>
      <w:r w:rsidRPr="00820275">
        <w:t xml:space="preserve">Finnish Cultural Foundation, </w:t>
      </w:r>
      <w:proofErr w:type="spellStart"/>
      <w:r w:rsidRPr="00820275">
        <w:t>Yrjö</w:t>
      </w:r>
      <w:proofErr w:type="spellEnd"/>
      <w:r w:rsidRPr="00820275">
        <w:t xml:space="preserve"> </w:t>
      </w:r>
      <w:proofErr w:type="spellStart"/>
      <w:r w:rsidRPr="00820275">
        <w:lastRenderedPageBreak/>
        <w:t>Jahnsson</w:t>
      </w:r>
      <w:proofErr w:type="spellEnd"/>
      <w:r w:rsidRPr="00820275">
        <w:t xml:space="preserve"> Foundation, Turku University Foundation, and Finnish Brain Foundation. J</w:t>
      </w:r>
      <w:r>
        <w:t>.</w:t>
      </w:r>
      <w:r w:rsidRPr="00820275">
        <w:t xml:space="preserve"> </w:t>
      </w:r>
      <w:proofErr w:type="spellStart"/>
      <w:r w:rsidRPr="00820275">
        <w:t>Kaprio</w:t>
      </w:r>
      <w:proofErr w:type="spellEnd"/>
      <w:r w:rsidRPr="00820275">
        <w:t xml:space="preserve"> was supported by the Academy of Finland (grants 265240 &amp; 263278). E</w:t>
      </w:r>
      <w:r>
        <w:t xml:space="preserve">. </w:t>
      </w:r>
      <w:proofErr w:type="spellStart"/>
      <w:r w:rsidRPr="00820275">
        <w:t>Vuoksimaa</w:t>
      </w:r>
      <w:proofErr w:type="spellEnd"/>
      <w:r w:rsidRPr="00820275">
        <w:t xml:space="preserve"> was supported by </w:t>
      </w:r>
      <w:proofErr w:type="spellStart"/>
      <w:r w:rsidRPr="00820275">
        <w:t>Juho</w:t>
      </w:r>
      <w:proofErr w:type="spellEnd"/>
      <w:r w:rsidRPr="00820275">
        <w:t xml:space="preserve"> </w:t>
      </w:r>
      <w:proofErr w:type="spellStart"/>
      <w:r w:rsidRPr="00820275">
        <w:t>Vainio</w:t>
      </w:r>
      <w:proofErr w:type="spellEnd"/>
      <w:r w:rsidRPr="00820275">
        <w:t xml:space="preserve"> Foundation. The funders had no role in study design, data collection, data analysis, data interpretation, or in writing of the report.</w:t>
      </w:r>
    </w:p>
    <w:p w14:paraId="326F9631" w14:textId="77777777" w:rsidR="006E40A8" w:rsidRDefault="006E40A8" w:rsidP="006E40A8"/>
    <w:p w14:paraId="7DE1B721" w14:textId="77777777" w:rsidR="00B74F89" w:rsidRPr="00B74F89" w:rsidRDefault="00B74F89" w:rsidP="00B74F89">
      <w:pPr>
        <w:pStyle w:val="Heading2"/>
      </w:pPr>
      <w:r w:rsidRPr="00B74F89">
        <w:t>Author disclosures</w:t>
      </w:r>
    </w:p>
    <w:p w14:paraId="1E14DF18" w14:textId="77777777" w:rsidR="00766CFE" w:rsidRDefault="00B74F89" w:rsidP="00766CFE">
      <w:pPr>
        <w:spacing w:after="0"/>
      </w:pPr>
      <w:r w:rsidRPr="00820275">
        <w:t>N</w:t>
      </w:r>
      <w:r>
        <w:t>.</w:t>
      </w:r>
      <w:r w:rsidRPr="00820275">
        <w:t xml:space="preserve"> Lindgren, J</w:t>
      </w:r>
      <w:r>
        <w:t>.</w:t>
      </w:r>
      <w:r w:rsidRPr="00820275">
        <w:t xml:space="preserve"> </w:t>
      </w:r>
      <w:proofErr w:type="spellStart"/>
      <w:r w:rsidRPr="00820275">
        <w:t>Kaprio</w:t>
      </w:r>
      <w:proofErr w:type="spellEnd"/>
      <w:r w:rsidRPr="00820275">
        <w:t xml:space="preserve"> and E</w:t>
      </w:r>
      <w:r>
        <w:t>.</w:t>
      </w:r>
      <w:r w:rsidRPr="00820275">
        <w:t xml:space="preserve"> </w:t>
      </w:r>
      <w:proofErr w:type="spellStart"/>
      <w:r w:rsidRPr="00820275">
        <w:t>Vuoksimaa</w:t>
      </w:r>
      <w:proofErr w:type="spellEnd"/>
      <w:r w:rsidRPr="00820275">
        <w:t xml:space="preserve"> report no disclosures. </w:t>
      </w:r>
      <w:r>
        <w:t>JO</w:t>
      </w:r>
      <w:r w:rsidRPr="00820275">
        <w:t xml:space="preserve">. </w:t>
      </w:r>
      <w:proofErr w:type="spellStart"/>
      <w:r w:rsidRPr="00820275">
        <w:t>Rinne</w:t>
      </w:r>
      <w:proofErr w:type="spellEnd"/>
      <w:r w:rsidRPr="00820275">
        <w:t xml:space="preserve"> serves as a neurology consultant for Clinical Research Services Turku (CSRT Oy).</w:t>
      </w:r>
      <w:r w:rsidR="00766CFE" w:rsidRPr="00766CFE">
        <w:t xml:space="preserve"> </w:t>
      </w:r>
    </w:p>
    <w:p w14:paraId="45564B6E" w14:textId="77777777" w:rsidR="00766CFE" w:rsidRDefault="00766CFE" w:rsidP="00766CFE">
      <w:pPr>
        <w:spacing w:after="0"/>
      </w:pPr>
    </w:p>
    <w:p w14:paraId="0A5D0595" w14:textId="09439951" w:rsidR="00766CFE" w:rsidRDefault="00766CFE" w:rsidP="00766CFE">
      <w:pPr>
        <w:pStyle w:val="Heading1"/>
      </w:pPr>
      <w:r>
        <w:t>Data sharing</w:t>
      </w:r>
    </w:p>
    <w:p w14:paraId="573B6B51" w14:textId="67F38C46" w:rsidR="00B74F89" w:rsidRPr="00820275" w:rsidRDefault="00766CFE" w:rsidP="00766CFE">
      <w:pPr>
        <w:spacing w:after="0"/>
      </w:pPr>
      <w:r>
        <w:t>Due to the consent given by study participants and the high degree of identifiability, data cannot be made publicly available. Data are available through the Institute for Molecular Medicine Finland (FIMM) Data Access Committee (DAC) for authorized researchers who have IRB/ethics approval and an institutionally approved study plan. For more details, please contact the FIMM DAC (fimm-dac@helsinki.fi).</w:t>
      </w:r>
    </w:p>
    <w:p w14:paraId="1D90E5DC" w14:textId="4F029ED6" w:rsidR="001A1873" w:rsidRDefault="001A1873" w:rsidP="00766CFE">
      <w:pPr>
        <w:rPr>
          <w:rStyle w:val="Heading1Char"/>
        </w:rPr>
      </w:pPr>
    </w:p>
    <w:p w14:paraId="5ACEDDD2" w14:textId="24DDB3BA" w:rsidR="000200BB" w:rsidRDefault="00B74F89" w:rsidP="000200BB">
      <w:pPr>
        <w:rPr>
          <w:rStyle w:val="Heading1Char"/>
        </w:rPr>
      </w:pPr>
      <w:r w:rsidRPr="00F2707F">
        <w:rPr>
          <w:rStyle w:val="Heading1Char"/>
        </w:rPr>
        <w:t>REFERENCES</w:t>
      </w:r>
    </w:p>
    <w:p w14:paraId="531F7164" w14:textId="77777777" w:rsidR="00F2707F" w:rsidRPr="00396C46" w:rsidRDefault="00F2707F" w:rsidP="00F2707F">
      <w:pPr>
        <w:widowControl w:val="0"/>
        <w:autoSpaceDE w:val="0"/>
        <w:autoSpaceDN w:val="0"/>
        <w:adjustRightInd w:val="0"/>
        <w:ind w:left="640" w:hanging="640"/>
        <w:rPr>
          <w:rFonts w:cs="Arial"/>
          <w:noProof/>
        </w:rPr>
      </w:pPr>
      <w:bookmarkStart w:id="24" w:name="_Hlk524530352"/>
      <w:r w:rsidRPr="00396C46">
        <w:rPr>
          <w:rFonts w:cs="Arial"/>
          <w:noProof/>
        </w:rPr>
        <w:t xml:space="preserve">1 </w:t>
      </w:r>
      <w:r w:rsidRPr="00396C46">
        <w:rPr>
          <w:rFonts w:cs="Arial"/>
          <w:noProof/>
        </w:rPr>
        <w:tab/>
        <w:t xml:space="preserve">Greenaway MC, Lacritz LH, Binegar D, </w:t>
      </w:r>
      <w:r w:rsidRPr="00396C46">
        <w:rPr>
          <w:rFonts w:cs="Arial"/>
          <w:i/>
          <w:iCs/>
          <w:noProof/>
        </w:rPr>
        <w:t>et al.</w:t>
      </w:r>
      <w:r w:rsidRPr="00396C46">
        <w:rPr>
          <w:rFonts w:cs="Arial"/>
          <w:noProof/>
        </w:rPr>
        <w:t xml:space="preserve"> Patterns of verbal memory performance in mild cognitive impairment, Alzheimer disease, and normal aging. </w:t>
      </w:r>
      <w:r w:rsidRPr="00396C46">
        <w:rPr>
          <w:rFonts w:cs="Arial"/>
          <w:i/>
          <w:iCs/>
          <w:noProof/>
        </w:rPr>
        <w:t>Cogn Behav Neurol</w:t>
      </w:r>
      <w:r w:rsidRPr="00396C46">
        <w:rPr>
          <w:rFonts w:cs="Arial"/>
          <w:noProof/>
        </w:rPr>
        <w:t xml:space="preserve"> 2006;</w:t>
      </w:r>
      <w:r w:rsidRPr="00396C46">
        <w:rPr>
          <w:rFonts w:cs="Arial"/>
          <w:bCs/>
          <w:noProof/>
        </w:rPr>
        <w:t>19</w:t>
      </w:r>
      <w:r w:rsidRPr="00396C46">
        <w:rPr>
          <w:rFonts w:cs="Arial"/>
          <w:noProof/>
        </w:rPr>
        <w:t>:79–84. doi:10.1097/01.wnn.0000208290.57370.a3</w:t>
      </w:r>
    </w:p>
    <w:p w14:paraId="784DF8AB" w14:textId="77777777" w:rsidR="00F2707F" w:rsidRPr="00396C46" w:rsidRDefault="00F2707F" w:rsidP="00F2707F">
      <w:pPr>
        <w:widowControl w:val="0"/>
        <w:autoSpaceDE w:val="0"/>
        <w:autoSpaceDN w:val="0"/>
        <w:adjustRightInd w:val="0"/>
        <w:ind w:left="640" w:hanging="640"/>
        <w:rPr>
          <w:rFonts w:cs="Arial"/>
          <w:noProof/>
        </w:rPr>
      </w:pPr>
      <w:r w:rsidRPr="00DE39B9">
        <w:rPr>
          <w:rFonts w:cs="Arial"/>
          <w:noProof/>
        </w:rPr>
        <w:t xml:space="preserve">2 </w:t>
      </w:r>
      <w:r w:rsidRPr="00DE39B9">
        <w:rPr>
          <w:rFonts w:cs="Arial"/>
          <w:noProof/>
        </w:rPr>
        <w:tab/>
        <w:t xml:space="preserve">Bilgel M, An Y, Lang A, </w:t>
      </w:r>
      <w:r w:rsidRPr="00DE39B9">
        <w:rPr>
          <w:rFonts w:cs="Arial"/>
          <w:i/>
          <w:iCs/>
          <w:noProof/>
        </w:rPr>
        <w:t>et al.</w:t>
      </w:r>
      <w:r w:rsidRPr="00DE39B9">
        <w:rPr>
          <w:rFonts w:cs="Arial"/>
          <w:noProof/>
        </w:rPr>
        <w:t xml:space="preserve"> </w:t>
      </w:r>
      <w:r w:rsidRPr="00396C46">
        <w:rPr>
          <w:rFonts w:cs="Arial"/>
          <w:noProof/>
        </w:rPr>
        <w:t xml:space="preserve">Trajectories of Alzheimer disease-related cognitive measures in a longitudinal sample. </w:t>
      </w:r>
      <w:r w:rsidRPr="00396C46">
        <w:rPr>
          <w:rFonts w:cs="Arial"/>
          <w:i/>
          <w:iCs/>
          <w:noProof/>
        </w:rPr>
        <w:t>Alzheimer’s Dement</w:t>
      </w:r>
      <w:r w:rsidRPr="00396C46">
        <w:rPr>
          <w:rFonts w:cs="Arial"/>
          <w:noProof/>
        </w:rPr>
        <w:t xml:space="preserve"> 2014;</w:t>
      </w:r>
      <w:r w:rsidRPr="00396C46">
        <w:rPr>
          <w:rFonts w:cs="Arial"/>
          <w:bCs/>
          <w:noProof/>
        </w:rPr>
        <w:t>10</w:t>
      </w:r>
      <w:r w:rsidRPr="00396C46">
        <w:rPr>
          <w:rFonts w:cs="Arial"/>
          <w:noProof/>
        </w:rPr>
        <w:t>:735–42. doi:10.1016/j.jalz.2014.04.520</w:t>
      </w:r>
    </w:p>
    <w:p w14:paraId="6249B52D"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lastRenderedPageBreak/>
        <w:t xml:space="preserve">3 </w:t>
      </w:r>
      <w:r w:rsidRPr="00396C46">
        <w:rPr>
          <w:rFonts w:cs="Arial"/>
          <w:noProof/>
        </w:rPr>
        <w:tab/>
        <w:t xml:space="preserve">Blacker D, Lee H, Muzikansky A, </w:t>
      </w:r>
      <w:r w:rsidRPr="00396C46">
        <w:rPr>
          <w:rFonts w:cs="Arial"/>
          <w:i/>
          <w:iCs/>
          <w:noProof/>
        </w:rPr>
        <w:t>et al.</w:t>
      </w:r>
      <w:r w:rsidRPr="00396C46">
        <w:rPr>
          <w:rFonts w:cs="Arial"/>
          <w:noProof/>
        </w:rPr>
        <w:t xml:space="preserve"> Neuropsychological measures in normal individuals that predict subsequent cognitive decline. </w:t>
      </w:r>
      <w:r w:rsidRPr="00396C46">
        <w:rPr>
          <w:rFonts w:cs="Arial"/>
          <w:i/>
          <w:iCs/>
          <w:noProof/>
        </w:rPr>
        <w:t>Arch Neurol</w:t>
      </w:r>
      <w:r w:rsidRPr="00396C46">
        <w:rPr>
          <w:rFonts w:cs="Arial"/>
          <w:noProof/>
        </w:rPr>
        <w:t xml:space="preserve"> 2007;64:862-871. doi:10.1001/archneur.64.6.862</w:t>
      </w:r>
    </w:p>
    <w:p w14:paraId="40B85F55" w14:textId="77777777" w:rsidR="00F2707F" w:rsidRPr="00396C46" w:rsidRDefault="00F2707F" w:rsidP="00F2707F">
      <w:pPr>
        <w:widowControl w:val="0"/>
        <w:autoSpaceDE w:val="0"/>
        <w:autoSpaceDN w:val="0"/>
        <w:adjustRightInd w:val="0"/>
        <w:ind w:left="640" w:hanging="640"/>
        <w:rPr>
          <w:rFonts w:cs="Arial"/>
          <w:noProof/>
        </w:rPr>
      </w:pPr>
      <w:r w:rsidRPr="00B979CC">
        <w:rPr>
          <w:rFonts w:cs="Arial"/>
          <w:noProof/>
        </w:rPr>
        <w:t xml:space="preserve">4 </w:t>
      </w:r>
      <w:r w:rsidRPr="00B979CC">
        <w:rPr>
          <w:rFonts w:cs="Arial"/>
          <w:noProof/>
        </w:rPr>
        <w:tab/>
        <w:t xml:space="preserve">Landau SM, Harvey D, Madison CM, </w:t>
      </w:r>
      <w:r w:rsidRPr="00B979CC">
        <w:rPr>
          <w:rFonts w:cs="Arial"/>
          <w:i/>
          <w:iCs/>
          <w:noProof/>
        </w:rPr>
        <w:t>et al.</w:t>
      </w:r>
      <w:r w:rsidRPr="00B979CC">
        <w:rPr>
          <w:rFonts w:cs="Arial"/>
          <w:noProof/>
        </w:rPr>
        <w:t xml:space="preserve"> </w:t>
      </w:r>
      <w:r w:rsidRPr="00396C46">
        <w:rPr>
          <w:rFonts w:cs="Arial"/>
          <w:noProof/>
        </w:rPr>
        <w:t xml:space="preserve">Comparing predictors of conversion and decline in mild cognitive impairment. </w:t>
      </w:r>
      <w:r w:rsidRPr="00396C46">
        <w:rPr>
          <w:rFonts w:cs="Arial"/>
          <w:i/>
          <w:iCs/>
          <w:noProof/>
        </w:rPr>
        <w:t>Neurology</w:t>
      </w:r>
      <w:r w:rsidRPr="00396C46">
        <w:rPr>
          <w:rFonts w:cs="Arial"/>
          <w:noProof/>
        </w:rPr>
        <w:t xml:space="preserve"> 2010;</w:t>
      </w:r>
      <w:r w:rsidRPr="00396C46">
        <w:rPr>
          <w:rFonts w:cs="Arial"/>
          <w:bCs/>
          <w:noProof/>
        </w:rPr>
        <w:t>75</w:t>
      </w:r>
      <w:r w:rsidRPr="00396C46">
        <w:rPr>
          <w:rFonts w:cs="Arial"/>
          <w:noProof/>
        </w:rPr>
        <w:t>:230–8. doi:10.1212/WNL.0b013e3181e8e8b8</w:t>
      </w:r>
    </w:p>
    <w:p w14:paraId="7C2E0D80"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5 </w:t>
      </w:r>
      <w:r w:rsidRPr="00396C46">
        <w:rPr>
          <w:rFonts w:cs="Arial"/>
          <w:noProof/>
        </w:rPr>
        <w:tab/>
        <w:t xml:space="preserve">Tierney MC, Yao C, Kiss A, </w:t>
      </w:r>
      <w:r w:rsidRPr="00396C46">
        <w:rPr>
          <w:rFonts w:cs="Arial"/>
          <w:i/>
          <w:iCs/>
          <w:noProof/>
        </w:rPr>
        <w:t>et al.</w:t>
      </w:r>
      <w:r w:rsidRPr="00396C46">
        <w:rPr>
          <w:rFonts w:cs="Arial"/>
          <w:noProof/>
        </w:rPr>
        <w:t xml:space="preserve"> Neuropsychological tests accurately predict incident Alzheimer disease after 5 and 10 years. </w:t>
      </w:r>
      <w:r w:rsidRPr="00396C46">
        <w:rPr>
          <w:rFonts w:cs="Arial"/>
          <w:i/>
          <w:iCs/>
          <w:noProof/>
        </w:rPr>
        <w:t>Neurology</w:t>
      </w:r>
      <w:r w:rsidRPr="00396C46">
        <w:rPr>
          <w:rFonts w:cs="Arial"/>
          <w:noProof/>
        </w:rPr>
        <w:t xml:space="preserve"> 2005;</w:t>
      </w:r>
      <w:r w:rsidRPr="00396C46">
        <w:rPr>
          <w:rFonts w:cs="Arial"/>
          <w:bCs/>
          <w:noProof/>
        </w:rPr>
        <w:t>64</w:t>
      </w:r>
      <w:r w:rsidRPr="00396C46">
        <w:rPr>
          <w:rFonts w:cs="Arial"/>
          <w:noProof/>
        </w:rPr>
        <w:t>:1853–9. doi:10.1212/01.WNL.0000163773.21794.0B</w:t>
      </w:r>
    </w:p>
    <w:p w14:paraId="0DC8EE99"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6 </w:t>
      </w:r>
      <w:r w:rsidRPr="00396C46">
        <w:rPr>
          <w:rFonts w:cs="Arial"/>
          <w:noProof/>
        </w:rPr>
        <w:tab/>
        <w:t xml:space="preserve">Tierney MC, Moineddin R, McDowell I. Prediction of all-cause dementia using neuropsychological tests within 10 and 5 years of diagnosis in a community-based sample. </w:t>
      </w:r>
      <w:r w:rsidRPr="00396C46">
        <w:rPr>
          <w:rFonts w:cs="Arial"/>
          <w:i/>
          <w:iCs/>
          <w:noProof/>
        </w:rPr>
        <w:t>J Alzheimer’s Dis</w:t>
      </w:r>
      <w:r w:rsidRPr="00396C46">
        <w:rPr>
          <w:rFonts w:cs="Arial"/>
          <w:noProof/>
        </w:rPr>
        <w:t xml:space="preserve"> 2010;</w:t>
      </w:r>
      <w:r w:rsidRPr="00396C46">
        <w:rPr>
          <w:rFonts w:cs="Arial"/>
          <w:bCs/>
          <w:noProof/>
        </w:rPr>
        <w:t>22</w:t>
      </w:r>
      <w:r w:rsidRPr="00396C46">
        <w:rPr>
          <w:rFonts w:cs="Arial"/>
          <w:noProof/>
        </w:rPr>
        <w:t>:1231–40. doi:10.3233/JAD-2010-100516</w:t>
      </w:r>
    </w:p>
    <w:p w14:paraId="70762A3D" w14:textId="77777777" w:rsidR="00F2707F" w:rsidRPr="00F2707F" w:rsidRDefault="00F2707F" w:rsidP="00F2707F">
      <w:pPr>
        <w:widowControl w:val="0"/>
        <w:autoSpaceDE w:val="0"/>
        <w:autoSpaceDN w:val="0"/>
        <w:adjustRightInd w:val="0"/>
        <w:ind w:left="640" w:hanging="640"/>
        <w:rPr>
          <w:rFonts w:cs="Arial"/>
          <w:noProof/>
          <w:lang w:val="nb-NO"/>
        </w:rPr>
      </w:pPr>
      <w:r w:rsidRPr="00396C46">
        <w:rPr>
          <w:rFonts w:cs="Arial"/>
          <w:noProof/>
        </w:rPr>
        <w:t xml:space="preserve">7 </w:t>
      </w:r>
      <w:r w:rsidRPr="00396C46">
        <w:rPr>
          <w:rFonts w:cs="Arial"/>
          <w:noProof/>
        </w:rPr>
        <w:tab/>
        <w:t xml:space="preserve">Rabin LA, Paré N, Saykin AJ, </w:t>
      </w:r>
      <w:r w:rsidRPr="00396C46">
        <w:rPr>
          <w:rFonts w:cs="Arial"/>
          <w:i/>
          <w:iCs/>
          <w:noProof/>
        </w:rPr>
        <w:t>et al.</w:t>
      </w:r>
      <w:r w:rsidRPr="00396C46">
        <w:rPr>
          <w:rFonts w:cs="Arial"/>
          <w:noProof/>
        </w:rPr>
        <w:t xml:space="preserve"> Differential memory test sensitivity for diagnosing amnestic mild cognitive impairment and predicting conversion to Alzheimer’s disease. </w:t>
      </w:r>
      <w:r w:rsidRPr="00F2707F">
        <w:rPr>
          <w:rFonts w:cs="Arial"/>
          <w:i/>
          <w:iCs/>
          <w:noProof/>
          <w:lang w:val="nb-NO"/>
        </w:rPr>
        <w:t>Aging, Neuropsychol Cogn</w:t>
      </w:r>
      <w:r w:rsidRPr="00F2707F">
        <w:rPr>
          <w:rFonts w:cs="Arial"/>
          <w:noProof/>
          <w:lang w:val="nb-NO"/>
        </w:rPr>
        <w:t xml:space="preserve"> 2009;</w:t>
      </w:r>
      <w:r w:rsidRPr="00F2707F">
        <w:rPr>
          <w:rFonts w:cs="Arial"/>
          <w:bCs/>
          <w:noProof/>
          <w:lang w:val="nb-NO"/>
        </w:rPr>
        <w:t>16</w:t>
      </w:r>
      <w:r w:rsidRPr="00F2707F">
        <w:rPr>
          <w:rFonts w:cs="Arial"/>
          <w:noProof/>
          <w:lang w:val="nb-NO"/>
        </w:rPr>
        <w:t>:357–76. doi:10.1080/13825580902825220</w:t>
      </w:r>
    </w:p>
    <w:p w14:paraId="003F4B05" w14:textId="77777777" w:rsidR="00F2707F" w:rsidRPr="00F2707F" w:rsidRDefault="00F2707F" w:rsidP="00F2707F">
      <w:pPr>
        <w:widowControl w:val="0"/>
        <w:autoSpaceDE w:val="0"/>
        <w:autoSpaceDN w:val="0"/>
        <w:adjustRightInd w:val="0"/>
        <w:ind w:left="640" w:hanging="640"/>
        <w:rPr>
          <w:rFonts w:cs="Arial"/>
          <w:noProof/>
          <w:lang w:val="da-DK"/>
        </w:rPr>
      </w:pPr>
      <w:r w:rsidRPr="00F2707F">
        <w:rPr>
          <w:rFonts w:cs="Arial"/>
          <w:noProof/>
          <w:lang w:val="nb-NO"/>
        </w:rPr>
        <w:t xml:space="preserve">8 </w:t>
      </w:r>
      <w:r w:rsidRPr="00F2707F">
        <w:rPr>
          <w:rFonts w:cs="Arial"/>
          <w:noProof/>
          <w:lang w:val="nb-NO"/>
        </w:rPr>
        <w:tab/>
        <w:t xml:space="preserve">Rue A La, Hermann B, Jones JE, </w:t>
      </w:r>
      <w:r w:rsidRPr="00F2707F">
        <w:rPr>
          <w:rFonts w:cs="Arial"/>
          <w:i/>
          <w:iCs/>
          <w:noProof/>
          <w:lang w:val="nb-NO"/>
        </w:rPr>
        <w:t>et al.</w:t>
      </w:r>
      <w:r w:rsidRPr="00F2707F">
        <w:rPr>
          <w:rFonts w:cs="Arial"/>
          <w:noProof/>
          <w:lang w:val="nb-NO"/>
        </w:rPr>
        <w:t xml:space="preserve"> </w:t>
      </w:r>
      <w:r w:rsidRPr="00396C46">
        <w:rPr>
          <w:rFonts w:cs="Arial"/>
          <w:noProof/>
        </w:rPr>
        <w:t xml:space="preserve">Effect of parental family history of Alzheimer’s disease on serial position profiles. </w:t>
      </w:r>
      <w:r w:rsidRPr="00F2707F">
        <w:rPr>
          <w:rFonts w:cs="Arial"/>
          <w:i/>
          <w:iCs/>
          <w:noProof/>
          <w:lang w:val="da-DK"/>
        </w:rPr>
        <w:t>Alzheimer’s Dement</w:t>
      </w:r>
      <w:r w:rsidRPr="00F2707F">
        <w:rPr>
          <w:rFonts w:cs="Arial"/>
          <w:noProof/>
          <w:lang w:val="da-DK"/>
        </w:rPr>
        <w:t xml:space="preserve"> 2008;</w:t>
      </w:r>
      <w:r w:rsidRPr="00F2707F">
        <w:rPr>
          <w:rFonts w:cs="Arial"/>
          <w:bCs/>
          <w:noProof/>
          <w:lang w:val="da-DK"/>
        </w:rPr>
        <w:t>4</w:t>
      </w:r>
      <w:r w:rsidRPr="00F2707F">
        <w:rPr>
          <w:rFonts w:cs="Arial"/>
          <w:noProof/>
          <w:lang w:val="da-DK"/>
        </w:rPr>
        <w:t>:285–90. doi:10.1016/j.jalz.2008.03.009</w:t>
      </w:r>
    </w:p>
    <w:bookmarkEnd w:id="24"/>
    <w:p w14:paraId="172D9ED0" w14:textId="77777777" w:rsidR="00F2707F" w:rsidRPr="00F2707F" w:rsidRDefault="00F2707F" w:rsidP="00F2707F">
      <w:pPr>
        <w:widowControl w:val="0"/>
        <w:autoSpaceDE w:val="0"/>
        <w:autoSpaceDN w:val="0"/>
        <w:adjustRightInd w:val="0"/>
        <w:ind w:left="640" w:hanging="640"/>
        <w:rPr>
          <w:rFonts w:cs="Arial"/>
          <w:noProof/>
          <w:lang w:val="da-DK"/>
        </w:rPr>
      </w:pPr>
      <w:r w:rsidRPr="00F2707F">
        <w:rPr>
          <w:rFonts w:cs="Arial"/>
          <w:noProof/>
          <w:lang w:val="da-DK"/>
        </w:rPr>
        <w:t xml:space="preserve">9 </w:t>
      </w:r>
      <w:r w:rsidRPr="00F2707F">
        <w:rPr>
          <w:rFonts w:cs="Arial"/>
          <w:noProof/>
          <w:lang w:val="da-DK"/>
        </w:rPr>
        <w:tab/>
        <w:t xml:space="preserve">Desikan RS, Fan CC, Wang Y, </w:t>
      </w:r>
      <w:r w:rsidRPr="00F2707F">
        <w:rPr>
          <w:rFonts w:cs="Arial"/>
          <w:i/>
          <w:iCs/>
          <w:noProof/>
          <w:lang w:val="da-DK"/>
        </w:rPr>
        <w:t>et al.</w:t>
      </w:r>
      <w:r w:rsidRPr="00F2707F">
        <w:rPr>
          <w:rFonts w:cs="Arial"/>
          <w:noProof/>
          <w:lang w:val="da-DK"/>
        </w:rPr>
        <w:t xml:space="preserve"> </w:t>
      </w:r>
      <w:r w:rsidRPr="00396C46">
        <w:rPr>
          <w:rFonts w:cs="Arial"/>
          <w:noProof/>
        </w:rPr>
        <w:t xml:space="preserve">Genetic assessment of age-associated Alzheimer disease risk: Development and validation of a polygenic hazard score. </w:t>
      </w:r>
      <w:r w:rsidRPr="00F2707F">
        <w:rPr>
          <w:rFonts w:cs="Arial"/>
          <w:i/>
          <w:iCs/>
          <w:noProof/>
          <w:lang w:val="da-DK"/>
        </w:rPr>
        <w:t>PLoS Med</w:t>
      </w:r>
      <w:r w:rsidRPr="00F2707F">
        <w:rPr>
          <w:rFonts w:cs="Arial"/>
          <w:noProof/>
          <w:lang w:val="da-DK"/>
        </w:rPr>
        <w:t xml:space="preserve"> 2017;</w:t>
      </w:r>
      <w:r w:rsidRPr="00F2707F">
        <w:rPr>
          <w:rFonts w:cs="Arial"/>
          <w:bCs/>
          <w:noProof/>
          <w:lang w:val="da-DK"/>
        </w:rPr>
        <w:t>14</w:t>
      </w:r>
      <w:r w:rsidRPr="00F2707F">
        <w:rPr>
          <w:rFonts w:cs="Arial"/>
          <w:noProof/>
          <w:lang w:val="da-DK"/>
        </w:rPr>
        <w:t>. doi:10.1371/journal.pmed.1002258</w:t>
      </w:r>
    </w:p>
    <w:p w14:paraId="4C325A8B" w14:textId="77777777" w:rsidR="00F2707F" w:rsidRPr="00396C46" w:rsidRDefault="00F2707F" w:rsidP="00F2707F">
      <w:pPr>
        <w:widowControl w:val="0"/>
        <w:autoSpaceDE w:val="0"/>
        <w:autoSpaceDN w:val="0"/>
        <w:adjustRightInd w:val="0"/>
        <w:ind w:left="640" w:hanging="640"/>
        <w:rPr>
          <w:rFonts w:cs="Arial"/>
          <w:noProof/>
        </w:rPr>
      </w:pPr>
      <w:r w:rsidRPr="00F2707F">
        <w:rPr>
          <w:rFonts w:cs="Arial"/>
          <w:noProof/>
          <w:lang w:val="da-DK"/>
        </w:rPr>
        <w:t xml:space="preserve">10 </w:t>
      </w:r>
      <w:r w:rsidRPr="00F2707F">
        <w:rPr>
          <w:rFonts w:cs="Arial"/>
          <w:noProof/>
          <w:lang w:val="da-DK"/>
        </w:rPr>
        <w:tab/>
        <w:t xml:space="preserve">Andrews SJ, Das D, Cherbuin N, </w:t>
      </w:r>
      <w:r w:rsidRPr="00F2707F">
        <w:rPr>
          <w:rFonts w:cs="Arial"/>
          <w:i/>
          <w:iCs/>
          <w:noProof/>
          <w:lang w:val="da-DK"/>
        </w:rPr>
        <w:t>et al.</w:t>
      </w:r>
      <w:r w:rsidRPr="00F2707F">
        <w:rPr>
          <w:rFonts w:cs="Arial"/>
          <w:noProof/>
          <w:lang w:val="da-DK"/>
        </w:rPr>
        <w:t xml:space="preserve"> </w:t>
      </w:r>
      <w:r w:rsidRPr="00396C46">
        <w:rPr>
          <w:rFonts w:cs="Arial"/>
          <w:noProof/>
        </w:rPr>
        <w:t xml:space="preserve">Association of genetic risk factors with </w:t>
      </w:r>
      <w:r w:rsidRPr="00396C46">
        <w:rPr>
          <w:rFonts w:cs="Arial"/>
          <w:noProof/>
        </w:rPr>
        <w:lastRenderedPageBreak/>
        <w:t xml:space="preserve">cognitive decline: The PATH through life project. </w:t>
      </w:r>
      <w:r w:rsidRPr="00396C46">
        <w:rPr>
          <w:rFonts w:cs="Arial"/>
          <w:i/>
          <w:iCs/>
          <w:noProof/>
        </w:rPr>
        <w:t>Neurobiol Aging</w:t>
      </w:r>
      <w:r w:rsidRPr="00396C46">
        <w:rPr>
          <w:rFonts w:cs="Arial"/>
          <w:noProof/>
        </w:rPr>
        <w:t xml:space="preserve"> 2016;</w:t>
      </w:r>
      <w:r w:rsidRPr="00396C46">
        <w:rPr>
          <w:rFonts w:cs="Arial"/>
          <w:bCs/>
          <w:noProof/>
        </w:rPr>
        <w:t>41</w:t>
      </w:r>
      <w:r w:rsidRPr="00396C46">
        <w:rPr>
          <w:rFonts w:cs="Arial"/>
          <w:noProof/>
        </w:rPr>
        <w:t>:150–8. doi:10.1016/j.neurobiolaging.2016.02.016</w:t>
      </w:r>
    </w:p>
    <w:p w14:paraId="42C86B8E"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11 </w:t>
      </w:r>
      <w:r w:rsidRPr="00396C46">
        <w:rPr>
          <w:rFonts w:cs="Arial"/>
          <w:noProof/>
        </w:rPr>
        <w:tab/>
        <w:t xml:space="preserve">Kaprio J, Koskenvuo M. Genetic and environmental factors in complex diseases: The older Finnish Twin Cohort. </w:t>
      </w:r>
      <w:r w:rsidRPr="00396C46">
        <w:rPr>
          <w:rFonts w:cs="Arial"/>
          <w:i/>
          <w:iCs/>
          <w:noProof/>
        </w:rPr>
        <w:t>Twin Res</w:t>
      </w:r>
      <w:r w:rsidRPr="00396C46">
        <w:rPr>
          <w:rFonts w:cs="Arial"/>
          <w:noProof/>
        </w:rPr>
        <w:t xml:space="preserve"> 2002;</w:t>
      </w:r>
      <w:r w:rsidRPr="00396C46">
        <w:rPr>
          <w:rFonts w:cs="Arial"/>
          <w:bCs/>
          <w:noProof/>
        </w:rPr>
        <w:t>5</w:t>
      </w:r>
      <w:r w:rsidRPr="00396C46">
        <w:rPr>
          <w:rFonts w:cs="Arial"/>
          <w:noProof/>
        </w:rPr>
        <w:t>:358–65. doi:10.1375/twin.5.5.358</w:t>
      </w:r>
    </w:p>
    <w:p w14:paraId="1DD30992"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12 </w:t>
      </w:r>
      <w:r w:rsidRPr="00396C46">
        <w:rPr>
          <w:rFonts w:cs="Arial"/>
          <w:noProof/>
        </w:rPr>
        <w:tab/>
        <w:t xml:space="preserve">Sarna S, Kaprio J, Sistonen P, </w:t>
      </w:r>
      <w:r w:rsidRPr="00396C46">
        <w:rPr>
          <w:rFonts w:cs="Arial"/>
          <w:i/>
          <w:iCs/>
          <w:noProof/>
        </w:rPr>
        <w:t>et al.</w:t>
      </w:r>
      <w:r w:rsidRPr="00396C46">
        <w:rPr>
          <w:rFonts w:cs="Arial"/>
          <w:noProof/>
        </w:rPr>
        <w:t xml:space="preserve"> Diagnosis of twin zygosity by mailed questionnaire. </w:t>
      </w:r>
      <w:r w:rsidRPr="00396C46">
        <w:rPr>
          <w:rFonts w:cs="Arial"/>
          <w:i/>
          <w:iCs/>
          <w:noProof/>
        </w:rPr>
        <w:t>Hum Hered</w:t>
      </w:r>
      <w:r w:rsidRPr="00396C46">
        <w:rPr>
          <w:rFonts w:cs="Arial"/>
          <w:noProof/>
        </w:rPr>
        <w:t xml:space="preserve"> 1978;</w:t>
      </w:r>
      <w:r w:rsidRPr="00396C46">
        <w:rPr>
          <w:rFonts w:cs="Arial"/>
          <w:bCs/>
          <w:noProof/>
        </w:rPr>
        <w:t>28</w:t>
      </w:r>
      <w:r w:rsidRPr="00396C46">
        <w:rPr>
          <w:rFonts w:cs="Arial"/>
          <w:noProof/>
        </w:rPr>
        <w:t>:241–54. doi:10.1159/000152964</w:t>
      </w:r>
    </w:p>
    <w:p w14:paraId="4422D77E"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13 </w:t>
      </w:r>
      <w:r w:rsidRPr="00396C46">
        <w:rPr>
          <w:rFonts w:cs="Arial"/>
          <w:noProof/>
        </w:rPr>
        <w:tab/>
        <w:t xml:space="preserve">Gatz M, Reynolds CA, John R, </w:t>
      </w:r>
      <w:r w:rsidRPr="00396C46">
        <w:rPr>
          <w:rFonts w:cs="Arial"/>
          <w:i/>
          <w:iCs/>
          <w:noProof/>
        </w:rPr>
        <w:t>et al.</w:t>
      </w:r>
      <w:r w:rsidRPr="00396C46">
        <w:rPr>
          <w:rFonts w:cs="Arial"/>
          <w:noProof/>
        </w:rPr>
        <w:t xml:space="preserve"> Telephone screening to identify potential dementia cases in a population-based sample of older adults. </w:t>
      </w:r>
      <w:r w:rsidRPr="00396C46">
        <w:rPr>
          <w:rFonts w:cs="Arial"/>
          <w:i/>
          <w:iCs/>
          <w:noProof/>
        </w:rPr>
        <w:t>Int Psychogeriatrics</w:t>
      </w:r>
      <w:r w:rsidRPr="00396C46">
        <w:rPr>
          <w:rFonts w:cs="Arial"/>
          <w:noProof/>
        </w:rPr>
        <w:t xml:space="preserve"> 2002;</w:t>
      </w:r>
      <w:r w:rsidRPr="00396C46">
        <w:rPr>
          <w:rFonts w:cs="Arial"/>
          <w:bCs/>
          <w:noProof/>
        </w:rPr>
        <w:t>14</w:t>
      </w:r>
      <w:r w:rsidRPr="00396C46">
        <w:rPr>
          <w:rFonts w:cs="Arial"/>
          <w:noProof/>
        </w:rPr>
        <w:t>:273–89. doi:10.1017/S1041610202008475</w:t>
      </w:r>
    </w:p>
    <w:p w14:paraId="07B1D21F"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14 </w:t>
      </w:r>
      <w:r w:rsidRPr="00396C46">
        <w:rPr>
          <w:rFonts w:cs="Arial"/>
          <w:noProof/>
        </w:rPr>
        <w:tab/>
        <w:t xml:space="preserve">Brandt J, Spencer M, Folstein M. The telephone interview for cognitive status. </w:t>
      </w:r>
      <w:r w:rsidRPr="00396C46">
        <w:rPr>
          <w:rFonts w:cs="Arial"/>
          <w:i/>
          <w:iCs/>
          <w:noProof/>
        </w:rPr>
        <w:t>Neuropsychiatry Neuropsychol Behav Neurol</w:t>
      </w:r>
      <w:r w:rsidRPr="00396C46">
        <w:rPr>
          <w:rFonts w:cs="Arial"/>
          <w:noProof/>
        </w:rPr>
        <w:t xml:space="preserve"> 1988;</w:t>
      </w:r>
      <w:r w:rsidRPr="00396C46">
        <w:rPr>
          <w:rFonts w:cs="Arial"/>
          <w:bCs/>
          <w:noProof/>
        </w:rPr>
        <w:t>1</w:t>
      </w:r>
      <w:r w:rsidRPr="00396C46">
        <w:rPr>
          <w:rFonts w:cs="Arial"/>
          <w:noProof/>
        </w:rPr>
        <w:t>:111–7.</w:t>
      </w:r>
    </w:p>
    <w:p w14:paraId="4BD69E77"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15 </w:t>
      </w:r>
      <w:r w:rsidRPr="00396C46">
        <w:rPr>
          <w:rFonts w:cs="Arial"/>
          <w:noProof/>
        </w:rPr>
        <w:tab/>
        <w:t xml:space="preserve">Järvenpää T, Rinne JO, Räihä I, </w:t>
      </w:r>
      <w:r w:rsidRPr="00396C46">
        <w:rPr>
          <w:rFonts w:cs="Arial"/>
          <w:i/>
          <w:iCs/>
          <w:noProof/>
        </w:rPr>
        <w:t>et al.</w:t>
      </w:r>
      <w:r w:rsidRPr="00396C46">
        <w:rPr>
          <w:rFonts w:cs="Arial"/>
          <w:noProof/>
        </w:rPr>
        <w:t xml:space="preserve"> Characteristics of two telephone screens for cognitive impairment. </w:t>
      </w:r>
      <w:r w:rsidRPr="00396C46">
        <w:rPr>
          <w:rFonts w:cs="Arial"/>
          <w:i/>
          <w:iCs/>
          <w:noProof/>
        </w:rPr>
        <w:t>Dement Geriatr Cogn Disord</w:t>
      </w:r>
      <w:r w:rsidRPr="00396C46">
        <w:rPr>
          <w:rFonts w:cs="Arial"/>
          <w:noProof/>
        </w:rPr>
        <w:t xml:space="preserve"> 2002;</w:t>
      </w:r>
      <w:r w:rsidRPr="00396C46">
        <w:rPr>
          <w:rFonts w:cs="Arial"/>
          <w:bCs/>
          <w:noProof/>
        </w:rPr>
        <w:t>13</w:t>
      </w:r>
      <w:r w:rsidRPr="00396C46">
        <w:rPr>
          <w:rFonts w:cs="Arial"/>
          <w:noProof/>
        </w:rPr>
        <w:t>:149–55. doi:10.1159/000048646</w:t>
      </w:r>
    </w:p>
    <w:p w14:paraId="038A25B5"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16 </w:t>
      </w:r>
      <w:r w:rsidRPr="00396C46">
        <w:rPr>
          <w:rFonts w:cs="Arial"/>
          <w:noProof/>
        </w:rPr>
        <w:tab/>
        <w:t>Williams RL. A note on robust variance estimation for cluster-correlated data. Biometrics. 2000;</w:t>
      </w:r>
      <w:r w:rsidRPr="00396C46">
        <w:rPr>
          <w:rFonts w:cs="Arial"/>
          <w:bCs/>
          <w:noProof/>
        </w:rPr>
        <w:t>56</w:t>
      </w:r>
      <w:r w:rsidRPr="00396C46">
        <w:rPr>
          <w:rFonts w:cs="Arial"/>
          <w:noProof/>
        </w:rPr>
        <w:t>:645–6. doi:10.1111/j.0006-341X.2000.00645.x</w:t>
      </w:r>
    </w:p>
    <w:p w14:paraId="65D54880" w14:textId="4705EF12"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17 </w:t>
      </w:r>
      <w:r w:rsidRPr="00396C46">
        <w:rPr>
          <w:rFonts w:cs="Arial"/>
          <w:noProof/>
        </w:rPr>
        <w:tab/>
        <w:t xml:space="preserve">Neale M, Cardon L. </w:t>
      </w:r>
      <w:r w:rsidRPr="00396C46">
        <w:rPr>
          <w:rFonts w:cs="Arial"/>
          <w:i/>
          <w:iCs/>
          <w:noProof/>
        </w:rPr>
        <w:t>Methodology for genetic studies of twins and families</w:t>
      </w:r>
      <w:r w:rsidRPr="00396C46">
        <w:rPr>
          <w:rFonts w:cs="Arial"/>
          <w:noProof/>
        </w:rPr>
        <w:t xml:space="preserve">. 1st ed. Dordrecht: Kluwer 1992. </w:t>
      </w:r>
    </w:p>
    <w:p w14:paraId="424B35BC"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18 </w:t>
      </w:r>
      <w:r w:rsidRPr="00396C46">
        <w:rPr>
          <w:rFonts w:cs="Arial"/>
          <w:noProof/>
        </w:rPr>
        <w:tab/>
        <w:t xml:space="preserve">Gatz M, Reynolds CA, Fratiglioni L, </w:t>
      </w:r>
      <w:r w:rsidRPr="00396C46">
        <w:rPr>
          <w:rFonts w:cs="Arial"/>
          <w:i/>
          <w:iCs/>
          <w:noProof/>
        </w:rPr>
        <w:t>et al.</w:t>
      </w:r>
      <w:r w:rsidRPr="00396C46">
        <w:rPr>
          <w:rFonts w:cs="Arial"/>
          <w:noProof/>
        </w:rPr>
        <w:t xml:space="preserve"> Role of genes and environments for explaining Alzheimer disease. </w:t>
      </w:r>
      <w:r w:rsidRPr="00396C46">
        <w:rPr>
          <w:rFonts w:cs="Arial"/>
          <w:i/>
          <w:iCs/>
          <w:noProof/>
        </w:rPr>
        <w:t>Arch Gen Psychiatry</w:t>
      </w:r>
      <w:r w:rsidRPr="00396C46">
        <w:rPr>
          <w:rFonts w:cs="Arial"/>
          <w:noProof/>
        </w:rPr>
        <w:t xml:space="preserve"> 2006;</w:t>
      </w:r>
      <w:r w:rsidRPr="00396C46">
        <w:rPr>
          <w:rFonts w:cs="Arial"/>
          <w:bCs/>
          <w:noProof/>
        </w:rPr>
        <w:t>63</w:t>
      </w:r>
      <w:r w:rsidRPr="00396C46">
        <w:rPr>
          <w:rFonts w:cs="Arial"/>
          <w:noProof/>
        </w:rPr>
        <w:t>:168–74. doi:10.1001/archpsyc.63.2.168</w:t>
      </w:r>
    </w:p>
    <w:p w14:paraId="5A5941F7"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19 </w:t>
      </w:r>
      <w:r w:rsidRPr="00396C46">
        <w:rPr>
          <w:rFonts w:cs="Arial"/>
          <w:noProof/>
        </w:rPr>
        <w:tab/>
        <w:t xml:space="preserve">Cunha C, Guerreiro M, de Mendonca A, </w:t>
      </w:r>
      <w:r w:rsidRPr="00396C46">
        <w:rPr>
          <w:rFonts w:cs="Arial"/>
          <w:i/>
          <w:iCs/>
          <w:noProof/>
        </w:rPr>
        <w:t>et al.</w:t>
      </w:r>
      <w:r w:rsidRPr="00396C46">
        <w:rPr>
          <w:rFonts w:cs="Arial"/>
          <w:noProof/>
        </w:rPr>
        <w:t xml:space="preserve"> Serial position effects in Alzheimer’s </w:t>
      </w:r>
      <w:r w:rsidRPr="00396C46">
        <w:rPr>
          <w:rFonts w:cs="Arial"/>
          <w:noProof/>
        </w:rPr>
        <w:lastRenderedPageBreak/>
        <w:t xml:space="preserve">disease, mild cognitive impairment, and normal aging: predictive value for conversion to dementia. </w:t>
      </w:r>
      <w:r w:rsidRPr="00396C46">
        <w:rPr>
          <w:rFonts w:cs="Arial"/>
          <w:i/>
          <w:iCs/>
          <w:noProof/>
        </w:rPr>
        <w:t>J Clin Exp Neuropsychol</w:t>
      </w:r>
      <w:r w:rsidRPr="00396C46">
        <w:rPr>
          <w:rFonts w:cs="Arial"/>
          <w:noProof/>
        </w:rPr>
        <w:t xml:space="preserve"> 2012;</w:t>
      </w:r>
      <w:r w:rsidRPr="00396C46">
        <w:rPr>
          <w:rFonts w:cs="Arial"/>
          <w:bCs/>
          <w:noProof/>
        </w:rPr>
        <w:t>34</w:t>
      </w:r>
      <w:r w:rsidRPr="00396C46">
        <w:rPr>
          <w:rFonts w:cs="Arial"/>
          <w:noProof/>
        </w:rPr>
        <w:t>:841–52. doi:10.1080/13803395.2012.689814</w:t>
      </w:r>
    </w:p>
    <w:p w14:paraId="2D448450" w14:textId="77777777" w:rsidR="00F2707F" w:rsidRPr="00396C46" w:rsidRDefault="00F2707F" w:rsidP="00F2707F">
      <w:pPr>
        <w:widowControl w:val="0"/>
        <w:autoSpaceDE w:val="0"/>
        <w:autoSpaceDN w:val="0"/>
        <w:adjustRightInd w:val="0"/>
        <w:ind w:left="640" w:hanging="640"/>
        <w:rPr>
          <w:rFonts w:cs="Arial"/>
          <w:noProof/>
        </w:rPr>
      </w:pPr>
      <w:r w:rsidRPr="00B979CC">
        <w:rPr>
          <w:rFonts w:cs="Arial"/>
          <w:noProof/>
        </w:rPr>
        <w:t xml:space="preserve">20 </w:t>
      </w:r>
      <w:r w:rsidRPr="00B979CC">
        <w:rPr>
          <w:rFonts w:cs="Arial"/>
          <w:noProof/>
        </w:rPr>
        <w:tab/>
        <w:t xml:space="preserve">Panizzon MS, Lyons MJ, Jacobson KC, </w:t>
      </w:r>
      <w:r w:rsidRPr="00B979CC">
        <w:rPr>
          <w:rFonts w:cs="Arial"/>
          <w:i/>
          <w:iCs/>
          <w:noProof/>
        </w:rPr>
        <w:t>et al.</w:t>
      </w:r>
      <w:r w:rsidRPr="00B979CC">
        <w:rPr>
          <w:rFonts w:cs="Arial"/>
          <w:noProof/>
        </w:rPr>
        <w:t xml:space="preserve"> </w:t>
      </w:r>
      <w:r w:rsidRPr="00396C46">
        <w:rPr>
          <w:rFonts w:cs="Arial"/>
          <w:noProof/>
        </w:rPr>
        <w:t xml:space="preserve">Genetic Architecture of Learning and Delayed Recall: A Twin Study of Episodic Memory. </w:t>
      </w:r>
      <w:r w:rsidRPr="00396C46">
        <w:rPr>
          <w:rFonts w:cs="Arial"/>
          <w:i/>
          <w:iCs/>
          <w:noProof/>
        </w:rPr>
        <w:t>Neuropsychology</w:t>
      </w:r>
      <w:r w:rsidRPr="00396C46">
        <w:rPr>
          <w:rFonts w:cs="Arial"/>
          <w:noProof/>
        </w:rPr>
        <w:t xml:space="preserve"> </w:t>
      </w:r>
      <w:r>
        <w:rPr>
          <w:rFonts w:cs="Arial"/>
          <w:noProof/>
        </w:rPr>
        <w:t>2011;</w:t>
      </w:r>
      <w:r w:rsidRPr="003F713E">
        <w:rPr>
          <w:rFonts w:cs="Arial"/>
          <w:noProof/>
        </w:rPr>
        <w:t>25(4), 488-498</w:t>
      </w:r>
      <w:r w:rsidRPr="00396C46">
        <w:rPr>
          <w:rFonts w:cs="Arial"/>
          <w:noProof/>
        </w:rPr>
        <w:t>. doi:10.1037/a0022569</w:t>
      </w:r>
    </w:p>
    <w:p w14:paraId="3894B3E6" w14:textId="77777777" w:rsidR="00F2707F" w:rsidRPr="00396C46" w:rsidRDefault="00F2707F" w:rsidP="00F2707F">
      <w:pPr>
        <w:widowControl w:val="0"/>
        <w:autoSpaceDE w:val="0"/>
        <w:autoSpaceDN w:val="0"/>
        <w:adjustRightInd w:val="0"/>
        <w:ind w:left="640" w:hanging="640"/>
        <w:rPr>
          <w:rFonts w:cs="Arial"/>
          <w:noProof/>
        </w:rPr>
      </w:pPr>
      <w:bookmarkStart w:id="25" w:name="_Hlk524530409"/>
      <w:r w:rsidRPr="00396C46">
        <w:rPr>
          <w:rFonts w:cs="Arial"/>
          <w:noProof/>
        </w:rPr>
        <w:t xml:space="preserve">21 </w:t>
      </w:r>
      <w:r w:rsidRPr="00396C46">
        <w:rPr>
          <w:rFonts w:cs="Arial"/>
          <w:noProof/>
        </w:rPr>
        <w:tab/>
        <w:t xml:space="preserve">Kremen WS, Panizzon MS, Franz CE, </w:t>
      </w:r>
      <w:r w:rsidRPr="00396C46">
        <w:rPr>
          <w:rFonts w:cs="Arial"/>
          <w:i/>
          <w:iCs/>
          <w:noProof/>
        </w:rPr>
        <w:t>et al.</w:t>
      </w:r>
      <w:r w:rsidRPr="00396C46">
        <w:rPr>
          <w:rFonts w:cs="Arial"/>
          <w:noProof/>
        </w:rPr>
        <w:t xml:space="preserve"> Genetic complexity of episodic memory: A twin approach to studies of aging. </w:t>
      </w:r>
      <w:r w:rsidRPr="00396C46">
        <w:rPr>
          <w:rFonts w:cs="Arial"/>
          <w:i/>
          <w:iCs/>
          <w:noProof/>
        </w:rPr>
        <w:t>Psychol Aging</w:t>
      </w:r>
      <w:r w:rsidRPr="00396C46">
        <w:rPr>
          <w:rFonts w:cs="Arial"/>
          <w:noProof/>
        </w:rPr>
        <w:t xml:space="preserve"> 2014;</w:t>
      </w:r>
      <w:r w:rsidRPr="00396C46">
        <w:rPr>
          <w:rFonts w:cs="Arial"/>
          <w:bCs/>
          <w:noProof/>
        </w:rPr>
        <w:t>29</w:t>
      </w:r>
      <w:r w:rsidRPr="00396C46">
        <w:rPr>
          <w:rFonts w:cs="Arial"/>
          <w:noProof/>
        </w:rPr>
        <w:t>:404–17. doi:10.1037/a0035962</w:t>
      </w:r>
    </w:p>
    <w:p w14:paraId="3BC6594B"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22 </w:t>
      </w:r>
      <w:r w:rsidRPr="00396C46">
        <w:rPr>
          <w:rFonts w:cs="Arial"/>
          <w:noProof/>
        </w:rPr>
        <w:tab/>
        <w:t xml:space="preserve">Wolk DA, Dickerson BC. Fractionating verbal episodic memory in Alzheimer’s disease. </w:t>
      </w:r>
      <w:r w:rsidRPr="00396C46">
        <w:rPr>
          <w:rFonts w:cs="Arial"/>
          <w:i/>
          <w:iCs/>
          <w:noProof/>
        </w:rPr>
        <w:t>Neuroimage</w:t>
      </w:r>
      <w:r w:rsidRPr="00396C46">
        <w:rPr>
          <w:rFonts w:cs="Arial"/>
          <w:noProof/>
        </w:rPr>
        <w:t xml:space="preserve"> </w:t>
      </w:r>
      <w:r w:rsidRPr="00784C11">
        <w:rPr>
          <w:rFonts w:cs="Arial"/>
          <w:noProof/>
        </w:rPr>
        <w:t>2011;54:1530-9.</w:t>
      </w:r>
      <w:r>
        <w:rPr>
          <w:rFonts w:cs="Arial"/>
          <w:noProof/>
        </w:rPr>
        <w:t xml:space="preserve"> </w:t>
      </w:r>
      <w:r w:rsidRPr="00396C46">
        <w:rPr>
          <w:rFonts w:cs="Arial"/>
          <w:noProof/>
        </w:rPr>
        <w:t>doi:10.1016/j.neuroimage.2010.09.005</w:t>
      </w:r>
    </w:p>
    <w:p w14:paraId="435C6AD0"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23 </w:t>
      </w:r>
      <w:r w:rsidRPr="00396C46">
        <w:rPr>
          <w:rFonts w:cs="Arial"/>
          <w:noProof/>
        </w:rPr>
        <w:tab/>
        <w:t xml:space="preserve">Palmqvist S, Schöll M, Strandberg O, </w:t>
      </w:r>
      <w:r w:rsidRPr="00396C46">
        <w:rPr>
          <w:rFonts w:cs="Arial"/>
          <w:i/>
          <w:iCs/>
          <w:noProof/>
        </w:rPr>
        <w:t>et al.</w:t>
      </w:r>
      <w:r w:rsidRPr="00396C46">
        <w:rPr>
          <w:rFonts w:cs="Arial"/>
          <w:noProof/>
        </w:rPr>
        <w:t xml:space="preserve"> Earliest accumulation of β-amyloid occurs within the default-mode network and concurrently affects brain connectivity. </w:t>
      </w:r>
      <w:r w:rsidRPr="00396C46">
        <w:rPr>
          <w:rFonts w:cs="Arial"/>
          <w:i/>
          <w:iCs/>
          <w:noProof/>
        </w:rPr>
        <w:t>Nat Commun</w:t>
      </w:r>
      <w:r w:rsidRPr="00396C46">
        <w:rPr>
          <w:rFonts w:cs="Arial"/>
          <w:noProof/>
        </w:rPr>
        <w:t xml:space="preserve"> </w:t>
      </w:r>
      <w:r w:rsidRPr="00135C51">
        <w:rPr>
          <w:rFonts w:cs="Arial"/>
          <w:noProof/>
        </w:rPr>
        <w:t>2017</w:t>
      </w:r>
      <w:r>
        <w:rPr>
          <w:rFonts w:cs="Arial"/>
          <w:noProof/>
        </w:rPr>
        <w:t>;</w:t>
      </w:r>
      <w:r w:rsidRPr="00135C51">
        <w:rPr>
          <w:rFonts w:cs="Arial"/>
          <w:noProof/>
        </w:rPr>
        <w:t>8:1214.</w:t>
      </w:r>
      <w:r w:rsidRPr="00396C46">
        <w:rPr>
          <w:rFonts w:cs="Arial"/>
          <w:noProof/>
        </w:rPr>
        <w:t xml:space="preserve"> doi:10.1038/s41467-017-01150-x</w:t>
      </w:r>
    </w:p>
    <w:p w14:paraId="4B7A7BDD" w14:textId="77777777" w:rsidR="00F2707F" w:rsidRPr="00B559B2" w:rsidRDefault="00F2707F" w:rsidP="00F2707F">
      <w:pPr>
        <w:widowControl w:val="0"/>
        <w:autoSpaceDE w:val="0"/>
        <w:autoSpaceDN w:val="0"/>
        <w:adjustRightInd w:val="0"/>
        <w:ind w:left="640" w:hanging="640"/>
        <w:rPr>
          <w:rFonts w:cs="Arial"/>
          <w:noProof/>
          <w:lang w:val="sv-SE"/>
        </w:rPr>
      </w:pPr>
      <w:r w:rsidRPr="00396C46">
        <w:rPr>
          <w:rFonts w:cs="Arial"/>
          <w:noProof/>
        </w:rPr>
        <w:t xml:space="preserve">24 </w:t>
      </w:r>
      <w:r w:rsidRPr="00396C46">
        <w:rPr>
          <w:rFonts w:cs="Arial"/>
          <w:noProof/>
        </w:rPr>
        <w:tab/>
        <w:t xml:space="preserve">Villain N, Chételat G, Grassiot B, </w:t>
      </w:r>
      <w:r w:rsidRPr="00396C46">
        <w:rPr>
          <w:rFonts w:cs="Arial"/>
          <w:i/>
          <w:iCs/>
          <w:noProof/>
        </w:rPr>
        <w:t>et al.</w:t>
      </w:r>
      <w:r w:rsidRPr="00396C46">
        <w:rPr>
          <w:rFonts w:cs="Arial"/>
          <w:noProof/>
        </w:rPr>
        <w:t xml:space="preserve"> Regional dynamics of amyloid-β deposition in healthy elderly, mild cognitive impairment and Alzheimer’s disease: A voxelwise PiB-PET longitudinal study. </w:t>
      </w:r>
      <w:r w:rsidRPr="00B559B2">
        <w:rPr>
          <w:rFonts w:cs="Arial"/>
          <w:i/>
          <w:iCs/>
          <w:noProof/>
          <w:lang w:val="sv-SE"/>
        </w:rPr>
        <w:t>Brain</w:t>
      </w:r>
      <w:r w:rsidRPr="00B559B2">
        <w:rPr>
          <w:rFonts w:cs="Arial"/>
          <w:noProof/>
          <w:lang w:val="sv-SE"/>
        </w:rPr>
        <w:t xml:space="preserve"> 2012;135:2126–2139. doi:10.1093/brain/aws125</w:t>
      </w:r>
    </w:p>
    <w:bookmarkEnd w:id="25"/>
    <w:p w14:paraId="34EEA002" w14:textId="77777777" w:rsidR="00F2707F" w:rsidRPr="00396C46" w:rsidRDefault="00F2707F" w:rsidP="00F2707F">
      <w:pPr>
        <w:widowControl w:val="0"/>
        <w:autoSpaceDE w:val="0"/>
        <w:autoSpaceDN w:val="0"/>
        <w:adjustRightInd w:val="0"/>
        <w:ind w:left="640" w:hanging="640"/>
        <w:rPr>
          <w:rFonts w:cs="Arial"/>
          <w:noProof/>
        </w:rPr>
      </w:pPr>
      <w:r w:rsidRPr="00B559B2">
        <w:rPr>
          <w:rFonts w:cs="Arial"/>
          <w:noProof/>
          <w:lang w:val="sv-SE"/>
        </w:rPr>
        <w:t xml:space="preserve">25 </w:t>
      </w:r>
      <w:r w:rsidRPr="00B559B2">
        <w:rPr>
          <w:rFonts w:cs="Arial"/>
          <w:noProof/>
          <w:lang w:val="sv-SE"/>
        </w:rPr>
        <w:tab/>
        <w:t xml:space="preserve">Hedden T, Van Dijk KRA, Becker JA, </w:t>
      </w:r>
      <w:r w:rsidRPr="00B559B2">
        <w:rPr>
          <w:rFonts w:cs="Arial"/>
          <w:i/>
          <w:iCs/>
          <w:noProof/>
          <w:lang w:val="sv-SE"/>
        </w:rPr>
        <w:t>et al.</w:t>
      </w:r>
      <w:r w:rsidRPr="00B559B2">
        <w:rPr>
          <w:rFonts w:cs="Arial"/>
          <w:noProof/>
          <w:lang w:val="sv-SE"/>
        </w:rPr>
        <w:t xml:space="preserve"> </w:t>
      </w:r>
      <w:r w:rsidRPr="00396C46">
        <w:rPr>
          <w:rFonts w:cs="Arial"/>
          <w:noProof/>
        </w:rPr>
        <w:t xml:space="preserve">Disruption of functional connectivity in clinically normal older adults harboring amyloid burden. </w:t>
      </w:r>
      <w:r w:rsidRPr="00396C46">
        <w:rPr>
          <w:rFonts w:cs="Arial"/>
          <w:i/>
          <w:iCs/>
          <w:noProof/>
        </w:rPr>
        <w:t>J Neurosci</w:t>
      </w:r>
      <w:r w:rsidRPr="00396C46">
        <w:rPr>
          <w:rFonts w:cs="Arial"/>
          <w:noProof/>
        </w:rPr>
        <w:t xml:space="preserve"> 2009</w:t>
      </w:r>
      <w:r w:rsidRPr="003A03A0">
        <w:rPr>
          <w:rFonts w:cs="Arial"/>
          <w:noProof/>
        </w:rPr>
        <w:t>;29:12686-94</w:t>
      </w:r>
      <w:r w:rsidRPr="00396C46">
        <w:rPr>
          <w:rFonts w:cs="Arial"/>
          <w:noProof/>
        </w:rPr>
        <w:t>. doi:10.1523/JNEUROSCI.3189-09.2009</w:t>
      </w:r>
    </w:p>
    <w:p w14:paraId="417D3495"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26 </w:t>
      </w:r>
      <w:r w:rsidRPr="00396C46">
        <w:rPr>
          <w:rFonts w:cs="Arial"/>
          <w:noProof/>
        </w:rPr>
        <w:tab/>
        <w:t xml:space="preserve">Neuropathology Group. Medical Research Council Cognitive Function and Aging Study Z, Mirra S, Heyman A, </w:t>
      </w:r>
      <w:r w:rsidRPr="00396C46">
        <w:rPr>
          <w:rFonts w:cs="Arial"/>
          <w:i/>
          <w:iCs/>
          <w:noProof/>
        </w:rPr>
        <w:t>et al.</w:t>
      </w:r>
      <w:r w:rsidRPr="00396C46">
        <w:rPr>
          <w:rFonts w:cs="Arial"/>
          <w:noProof/>
        </w:rPr>
        <w:t xml:space="preserve"> Pathological correlates of late-onset dementia in a multicentre, community-based population in England and Wales. Neuropathology </w:t>
      </w:r>
      <w:r w:rsidRPr="00396C46">
        <w:rPr>
          <w:rFonts w:cs="Arial"/>
          <w:noProof/>
        </w:rPr>
        <w:lastRenderedPageBreak/>
        <w:t xml:space="preserve">Group of the Medical Research Council Cognitive Function and Ageing Study (MRC CFAS). </w:t>
      </w:r>
      <w:r w:rsidRPr="00396C46">
        <w:rPr>
          <w:rFonts w:cs="Arial"/>
          <w:i/>
          <w:iCs/>
          <w:noProof/>
        </w:rPr>
        <w:t xml:space="preserve">Lancet </w:t>
      </w:r>
      <w:r w:rsidRPr="00396C46">
        <w:rPr>
          <w:rFonts w:cs="Arial"/>
          <w:noProof/>
        </w:rPr>
        <w:t>2001;</w:t>
      </w:r>
      <w:r w:rsidRPr="00396C46">
        <w:rPr>
          <w:rFonts w:cs="Arial"/>
          <w:bCs/>
          <w:noProof/>
        </w:rPr>
        <w:t>357</w:t>
      </w:r>
      <w:r w:rsidRPr="00396C46">
        <w:rPr>
          <w:rFonts w:cs="Arial"/>
          <w:noProof/>
        </w:rPr>
        <w:t>:169–75. doi:10.1016/S0140-6736(00)03589-3</w:t>
      </w:r>
    </w:p>
    <w:p w14:paraId="7B571962" w14:textId="77777777" w:rsidR="00F2707F" w:rsidRPr="00B559B2" w:rsidRDefault="00F2707F" w:rsidP="00F2707F">
      <w:pPr>
        <w:widowControl w:val="0"/>
        <w:autoSpaceDE w:val="0"/>
        <w:autoSpaceDN w:val="0"/>
        <w:adjustRightInd w:val="0"/>
        <w:ind w:left="640" w:hanging="640"/>
        <w:rPr>
          <w:rFonts w:cs="Arial"/>
          <w:noProof/>
          <w:lang w:val="da-DK"/>
        </w:rPr>
      </w:pPr>
      <w:r w:rsidRPr="00396C46">
        <w:rPr>
          <w:rFonts w:cs="Arial"/>
          <w:noProof/>
        </w:rPr>
        <w:t xml:space="preserve">27 </w:t>
      </w:r>
      <w:r w:rsidRPr="00396C46">
        <w:rPr>
          <w:rFonts w:cs="Arial"/>
          <w:noProof/>
        </w:rPr>
        <w:tab/>
        <w:t xml:space="preserve">Villemagne VL, Burnham S, Bourgeat P, </w:t>
      </w:r>
      <w:r w:rsidRPr="00396C46">
        <w:rPr>
          <w:rFonts w:cs="Arial"/>
          <w:i/>
          <w:iCs/>
          <w:noProof/>
        </w:rPr>
        <w:t>et al.</w:t>
      </w:r>
      <w:r w:rsidRPr="00396C46">
        <w:rPr>
          <w:rFonts w:cs="Arial"/>
          <w:noProof/>
        </w:rPr>
        <w:t xml:space="preserve"> Amyloid β deposition, neurodegeneration, and cognitive decline in sporadic Alzheimer’s disease: A prospective cohort study. </w:t>
      </w:r>
      <w:r w:rsidRPr="00B559B2">
        <w:rPr>
          <w:rFonts w:cs="Arial"/>
          <w:i/>
          <w:iCs/>
          <w:noProof/>
          <w:lang w:val="da-DK"/>
        </w:rPr>
        <w:t>Lancet Neurol</w:t>
      </w:r>
      <w:r w:rsidRPr="00B559B2">
        <w:rPr>
          <w:rFonts w:cs="Arial"/>
          <w:noProof/>
          <w:lang w:val="da-DK"/>
        </w:rPr>
        <w:t xml:space="preserve"> 2013;</w:t>
      </w:r>
      <w:r w:rsidRPr="00B559B2">
        <w:rPr>
          <w:rFonts w:cs="Arial"/>
          <w:bCs/>
          <w:noProof/>
          <w:lang w:val="da-DK"/>
        </w:rPr>
        <w:t>12</w:t>
      </w:r>
      <w:r w:rsidRPr="00B559B2">
        <w:rPr>
          <w:rFonts w:cs="Arial"/>
          <w:noProof/>
          <w:lang w:val="da-DK"/>
        </w:rPr>
        <w:t>:357–67. doi:10.1016/S1474-4422(13)70044-9</w:t>
      </w:r>
    </w:p>
    <w:p w14:paraId="5775BBF6" w14:textId="77777777" w:rsidR="00F2707F" w:rsidRPr="00396C46" w:rsidRDefault="00F2707F" w:rsidP="00F2707F">
      <w:pPr>
        <w:widowControl w:val="0"/>
        <w:autoSpaceDE w:val="0"/>
        <w:autoSpaceDN w:val="0"/>
        <w:adjustRightInd w:val="0"/>
        <w:ind w:left="640" w:hanging="640"/>
        <w:rPr>
          <w:rFonts w:cs="Arial"/>
          <w:noProof/>
        </w:rPr>
      </w:pPr>
      <w:r w:rsidRPr="00B559B2">
        <w:rPr>
          <w:rFonts w:cs="Arial"/>
          <w:noProof/>
          <w:lang w:val="da-DK"/>
        </w:rPr>
        <w:t xml:space="preserve">28 </w:t>
      </w:r>
      <w:r w:rsidRPr="00B559B2">
        <w:rPr>
          <w:rFonts w:cs="Arial"/>
          <w:noProof/>
          <w:lang w:val="da-DK"/>
        </w:rPr>
        <w:tab/>
        <w:t xml:space="preserve">Laukka EJ, MacDonald SWS, Fratiglioni L, </w:t>
      </w:r>
      <w:r w:rsidRPr="00B559B2">
        <w:rPr>
          <w:rFonts w:cs="Arial"/>
          <w:i/>
          <w:iCs/>
          <w:noProof/>
          <w:lang w:val="da-DK"/>
        </w:rPr>
        <w:t>et al.</w:t>
      </w:r>
      <w:r w:rsidRPr="00B559B2">
        <w:rPr>
          <w:rFonts w:cs="Arial"/>
          <w:noProof/>
          <w:lang w:val="da-DK"/>
        </w:rPr>
        <w:t xml:space="preserve"> </w:t>
      </w:r>
      <w:r w:rsidRPr="00396C46">
        <w:rPr>
          <w:rFonts w:cs="Arial"/>
          <w:noProof/>
        </w:rPr>
        <w:t xml:space="preserve">Preclinical cognitive trajectories differ for Alzheimer’s disease and vascular dementia. </w:t>
      </w:r>
      <w:r w:rsidRPr="00396C46">
        <w:rPr>
          <w:rFonts w:cs="Arial"/>
          <w:i/>
          <w:iCs/>
          <w:noProof/>
        </w:rPr>
        <w:t>J Int Neuropsychol Soc</w:t>
      </w:r>
      <w:r w:rsidRPr="00396C46">
        <w:rPr>
          <w:rFonts w:cs="Arial"/>
          <w:noProof/>
        </w:rPr>
        <w:t xml:space="preserve"> 2012;</w:t>
      </w:r>
      <w:r w:rsidRPr="00396C46">
        <w:rPr>
          <w:rFonts w:cs="Arial"/>
          <w:bCs/>
          <w:noProof/>
        </w:rPr>
        <w:t>18</w:t>
      </w:r>
      <w:r w:rsidRPr="00396C46">
        <w:rPr>
          <w:rFonts w:cs="Arial"/>
          <w:noProof/>
        </w:rPr>
        <w:t>:191–9. doi:10.1017/S1355617711001718</w:t>
      </w:r>
    </w:p>
    <w:p w14:paraId="5AB8B3D8" w14:textId="77777777" w:rsidR="00F2707F" w:rsidRPr="00933A28" w:rsidRDefault="00F2707F" w:rsidP="00F2707F">
      <w:pPr>
        <w:widowControl w:val="0"/>
        <w:autoSpaceDE w:val="0"/>
        <w:autoSpaceDN w:val="0"/>
        <w:adjustRightInd w:val="0"/>
        <w:ind w:left="640" w:hanging="640"/>
        <w:rPr>
          <w:rFonts w:cs="Arial"/>
          <w:noProof/>
          <w:lang w:val="fi-FI"/>
        </w:rPr>
      </w:pPr>
      <w:r w:rsidRPr="00396C46">
        <w:rPr>
          <w:rFonts w:cs="Arial"/>
          <w:noProof/>
        </w:rPr>
        <w:t xml:space="preserve">29 </w:t>
      </w:r>
      <w:r w:rsidRPr="00396C46">
        <w:rPr>
          <w:rFonts w:cs="Arial"/>
          <w:noProof/>
        </w:rPr>
        <w:tab/>
        <w:t xml:space="preserve">Jellinger KA, Attems J. Challenges of multimorbidity of the aging brain: a critical update. </w:t>
      </w:r>
      <w:r w:rsidRPr="00933A28">
        <w:rPr>
          <w:rFonts w:cs="Arial"/>
          <w:i/>
          <w:noProof/>
          <w:lang w:val="fi-FI"/>
        </w:rPr>
        <w:t>J Neural Transm</w:t>
      </w:r>
      <w:r w:rsidRPr="00933A28">
        <w:rPr>
          <w:rFonts w:cs="Arial"/>
          <w:noProof/>
          <w:lang w:val="fi-FI"/>
        </w:rPr>
        <w:t xml:space="preserve"> 2015;</w:t>
      </w:r>
      <w:r w:rsidRPr="00933A28">
        <w:rPr>
          <w:rFonts w:cs="Arial"/>
          <w:bCs/>
          <w:noProof/>
          <w:lang w:val="fi-FI"/>
        </w:rPr>
        <w:t>122</w:t>
      </w:r>
      <w:r w:rsidRPr="00933A28">
        <w:rPr>
          <w:rFonts w:cs="Arial"/>
          <w:noProof/>
          <w:lang w:val="fi-FI"/>
        </w:rPr>
        <w:t>:505–21. doi:10.1007/s00702-014-1288-x</w:t>
      </w:r>
    </w:p>
    <w:p w14:paraId="7AD83963" w14:textId="77777777" w:rsidR="00F2707F" w:rsidRPr="00396C46" w:rsidRDefault="00F2707F" w:rsidP="00F2707F">
      <w:pPr>
        <w:widowControl w:val="0"/>
        <w:autoSpaceDE w:val="0"/>
        <w:autoSpaceDN w:val="0"/>
        <w:adjustRightInd w:val="0"/>
        <w:ind w:left="640" w:hanging="640"/>
        <w:rPr>
          <w:rFonts w:cs="Arial"/>
          <w:noProof/>
        </w:rPr>
      </w:pPr>
      <w:r w:rsidRPr="00933A28">
        <w:rPr>
          <w:rFonts w:cs="Arial"/>
          <w:noProof/>
          <w:lang w:val="fi-FI"/>
        </w:rPr>
        <w:t xml:space="preserve">30 </w:t>
      </w:r>
      <w:r w:rsidRPr="00933A28">
        <w:rPr>
          <w:rFonts w:cs="Arial"/>
          <w:noProof/>
          <w:lang w:val="fi-FI"/>
        </w:rPr>
        <w:tab/>
        <w:t xml:space="preserve">Vuoksimaa E, Rinne JO, Lindgren N, </w:t>
      </w:r>
      <w:r w:rsidRPr="00933A28">
        <w:rPr>
          <w:rFonts w:cs="Arial"/>
          <w:i/>
          <w:iCs/>
          <w:noProof/>
          <w:lang w:val="fi-FI"/>
        </w:rPr>
        <w:t>et al.</w:t>
      </w:r>
      <w:r w:rsidRPr="00933A28">
        <w:rPr>
          <w:rFonts w:cs="Arial"/>
          <w:noProof/>
          <w:lang w:val="fi-FI"/>
        </w:rPr>
        <w:t xml:space="preserve"> </w:t>
      </w:r>
      <w:r w:rsidRPr="00396C46">
        <w:rPr>
          <w:rFonts w:cs="Arial"/>
          <w:noProof/>
        </w:rPr>
        <w:t xml:space="preserve">Middle age self-report risk score predicts cognitive functioning and dementia in 20–40 years. </w:t>
      </w:r>
      <w:r w:rsidRPr="00396C46">
        <w:rPr>
          <w:rFonts w:cs="Arial"/>
          <w:i/>
          <w:iCs/>
          <w:noProof/>
        </w:rPr>
        <w:t>Alzheimer’s Dement Diagnosis, Assess Dis Monit</w:t>
      </w:r>
      <w:r w:rsidRPr="00396C46">
        <w:rPr>
          <w:rFonts w:cs="Arial"/>
          <w:noProof/>
        </w:rPr>
        <w:t xml:space="preserve"> 2016;</w:t>
      </w:r>
      <w:r w:rsidRPr="00396C46">
        <w:rPr>
          <w:rFonts w:cs="Arial"/>
          <w:bCs/>
          <w:noProof/>
        </w:rPr>
        <w:t>4</w:t>
      </w:r>
      <w:r w:rsidRPr="00396C46">
        <w:rPr>
          <w:rFonts w:cs="Arial"/>
          <w:noProof/>
        </w:rPr>
        <w:t>:118–25. doi:10.1016/j.dadm.2016.08.003</w:t>
      </w:r>
    </w:p>
    <w:p w14:paraId="541E7596"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31 </w:t>
      </w:r>
      <w:r w:rsidRPr="00396C46">
        <w:rPr>
          <w:rFonts w:cs="Arial"/>
          <w:noProof/>
        </w:rPr>
        <w:tab/>
        <w:t xml:space="preserve">Gottesman II, Gould TD. The endophenotype concept in psychiatry: Etymology and strategic intentions. </w:t>
      </w:r>
      <w:r w:rsidRPr="00135C51">
        <w:rPr>
          <w:rFonts w:cs="Arial"/>
          <w:i/>
          <w:noProof/>
        </w:rPr>
        <w:t>Am J Psychiatry</w:t>
      </w:r>
      <w:r w:rsidRPr="00396C46">
        <w:rPr>
          <w:rFonts w:cs="Arial"/>
          <w:noProof/>
        </w:rPr>
        <w:t xml:space="preserve"> 2003;</w:t>
      </w:r>
      <w:r w:rsidRPr="00396C46">
        <w:rPr>
          <w:rFonts w:cs="Arial"/>
          <w:bCs/>
          <w:noProof/>
        </w:rPr>
        <w:t>160</w:t>
      </w:r>
      <w:r w:rsidRPr="00396C46">
        <w:rPr>
          <w:rFonts w:cs="Arial"/>
          <w:noProof/>
        </w:rPr>
        <w:t>:636–45.</w:t>
      </w:r>
      <w:r>
        <w:rPr>
          <w:rFonts w:cs="Arial"/>
          <w:noProof/>
        </w:rPr>
        <w:t xml:space="preserve"> </w:t>
      </w:r>
      <w:r w:rsidRPr="00396C46">
        <w:rPr>
          <w:rFonts w:cs="Arial"/>
          <w:noProof/>
        </w:rPr>
        <w:t>doi:10.1176/appi.ajp.160.4.636</w:t>
      </w:r>
    </w:p>
    <w:p w14:paraId="2F91E79D"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32 </w:t>
      </w:r>
      <w:r w:rsidRPr="00396C46">
        <w:rPr>
          <w:rFonts w:cs="Arial"/>
          <w:noProof/>
        </w:rPr>
        <w:tab/>
        <w:t xml:space="preserve">Almkvist O, Fratiglioni L, Agüero-Torres H, </w:t>
      </w:r>
      <w:r w:rsidRPr="00396C46">
        <w:rPr>
          <w:rFonts w:cs="Arial"/>
          <w:i/>
          <w:iCs/>
          <w:noProof/>
        </w:rPr>
        <w:t>et al.</w:t>
      </w:r>
      <w:r w:rsidRPr="00396C46">
        <w:rPr>
          <w:rFonts w:cs="Arial"/>
          <w:noProof/>
        </w:rPr>
        <w:t xml:space="preserve"> Cognitive Support at Episodic Encoding and Retrieval: Similar Patterns of Utilization in Community-Based Samples of Alzheimer’s Disease and Vascular Dementia Patients. </w:t>
      </w:r>
      <w:r w:rsidRPr="00396C46">
        <w:rPr>
          <w:rFonts w:cs="Arial"/>
          <w:i/>
          <w:iCs/>
          <w:noProof/>
        </w:rPr>
        <w:t>J Clin Exp Neuropsychol</w:t>
      </w:r>
      <w:r w:rsidRPr="00396C46">
        <w:rPr>
          <w:rFonts w:cs="Arial"/>
          <w:noProof/>
        </w:rPr>
        <w:t xml:space="preserve"> 1999;</w:t>
      </w:r>
      <w:r w:rsidRPr="00396C46">
        <w:rPr>
          <w:rFonts w:cs="Arial"/>
          <w:bCs/>
          <w:noProof/>
        </w:rPr>
        <w:t>21</w:t>
      </w:r>
      <w:r w:rsidRPr="00396C46">
        <w:rPr>
          <w:rFonts w:cs="Arial"/>
          <w:noProof/>
        </w:rPr>
        <w:t>:816–30. doi:10.1076/jcen.21.6.816.862</w:t>
      </w:r>
    </w:p>
    <w:p w14:paraId="0B6F5000"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33 </w:t>
      </w:r>
      <w:r w:rsidRPr="00396C46">
        <w:rPr>
          <w:rFonts w:cs="Arial"/>
          <w:noProof/>
        </w:rPr>
        <w:tab/>
        <w:t xml:space="preserve">Economou A, Routsis C, Papageorgiou SG. Episodic memory in Alzheimer disease, frontotemporal dementia, and dementia with lewy bodies/Parkinson disease </w:t>
      </w:r>
      <w:r w:rsidRPr="00396C46">
        <w:rPr>
          <w:rFonts w:cs="Arial"/>
          <w:noProof/>
        </w:rPr>
        <w:lastRenderedPageBreak/>
        <w:t xml:space="preserve">dementia: Disentangling retrieval from consolidation. </w:t>
      </w:r>
      <w:r w:rsidRPr="00396C46">
        <w:rPr>
          <w:rFonts w:cs="Arial"/>
          <w:i/>
          <w:iCs/>
          <w:noProof/>
        </w:rPr>
        <w:t>Alzheimer Dis Assoc Disord</w:t>
      </w:r>
      <w:r w:rsidRPr="00396C46">
        <w:rPr>
          <w:rFonts w:cs="Arial"/>
          <w:noProof/>
        </w:rPr>
        <w:t xml:space="preserve"> 2016;</w:t>
      </w:r>
      <w:r w:rsidRPr="00396C46">
        <w:rPr>
          <w:rFonts w:cs="Arial"/>
          <w:bCs/>
          <w:noProof/>
        </w:rPr>
        <w:t>30</w:t>
      </w:r>
      <w:r w:rsidRPr="00396C46">
        <w:rPr>
          <w:rFonts w:cs="Arial"/>
          <w:noProof/>
        </w:rPr>
        <w:t>:47–52. doi:10.1097/WAD.0000000000000089</w:t>
      </w:r>
    </w:p>
    <w:p w14:paraId="485CBAEF"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34 </w:t>
      </w:r>
      <w:r w:rsidRPr="00396C46">
        <w:rPr>
          <w:rFonts w:cs="Arial"/>
          <w:noProof/>
        </w:rPr>
        <w:tab/>
        <w:t xml:space="preserve">Chung J, Wang X, Maruyama T, </w:t>
      </w:r>
      <w:r w:rsidRPr="00396C46">
        <w:rPr>
          <w:rFonts w:cs="Arial"/>
          <w:i/>
          <w:iCs/>
          <w:noProof/>
        </w:rPr>
        <w:t>et al.</w:t>
      </w:r>
      <w:r w:rsidRPr="00396C46">
        <w:rPr>
          <w:rFonts w:cs="Arial"/>
          <w:noProof/>
        </w:rPr>
        <w:t xml:space="preserve"> Genome-wide association study of Alzheimer’s disease endophenotypes at prediagnosis stages. </w:t>
      </w:r>
      <w:r w:rsidRPr="00396C46">
        <w:rPr>
          <w:rFonts w:cs="Arial"/>
          <w:i/>
          <w:iCs/>
          <w:noProof/>
        </w:rPr>
        <w:t>Alzheimer’s Dement</w:t>
      </w:r>
      <w:r>
        <w:rPr>
          <w:rFonts w:cs="Arial"/>
          <w:noProof/>
        </w:rPr>
        <w:t xml:space="preserve"> </w:t>
      </w:r>
      <w:r w:rsidRPr="00B800FB">
        <w:rPr>
          <w:rFonts w:cs="Arial"/>
          <w:noProof/>
        </w:rPr>
        <w:t>2018;14:623-633</w:t>
      </w:r>
      <w:r w:rsidRPr="00396C46">
        <w:rPr>
          <w:rFonts w:cs="Arial"/>
          <w:noProof/>
        </w:rPr>
        <w:t>. doi:10.1016/j.jalz.2017.11.006</w:t>
      </w:r>
    </w:p>
    <w:p w14:paraId="287C3FBD" w14:textId="77777777" w:rsidR="00F2707F" w:rsidRPr="00396C46" w:rsidRDefault="00F2707F" w:rsidP="00F2707F">
      <w:pPr>
        <w:widowControl w:val="0"/>
        <w:autoSpaceDE w:val="0"/>
        <w:autoSpaceDN w:val="0"/>
        <w:adjustRightInd w:val="0"/>
        <w:ind w:left="640" w:hanging="640"/>
        <w:rPr>
          <w:rFonts w:cs="Arial"/>
          <w:noProof/>
        </w:rPr>
      </w:pPr>
      <w:r w:rsidRPr="00396C46">
        <w:rPr>
          <w:rFonts w:cs="Arial"/>
          <w:noProof/>
        </w:rPr>
        <w:t xml:space="preserve">35 </w:t>
      </w:r>
      <w:r w:rsidRPr="00396C46">
        <w:rPr>
          <w:rFonts w:cs="Arial"/>
          <w:noProof/>
        </w:rPr>
        <w:tab/>
        <w:t xml:space="preserve">Barral S, Bird T, Goate A, </w:t>
      </w:r>
      <w:r w:rsidRPr="00396C46">
        <w:rPr>
          <w:rFonts w:cs="Arial"/>
          <w:i/>
          <w:iCs/>
          <w:noProof/>
        </w:rPr>
        <w:t>et al.</w:t>
      </w:r>
      <w:r w:rsidRPr="00396C46">
        <w:rPr>
          <w:rFonts w:cs="Arial"/>
          <w:noProof/>
        </w:rPr>
        <w:t xml:space="preserve"> Genotype patterns at PICALM, CR1, BIN1, CLU, and APOE genes are associated with episodic memory. </w:t>
      </w:r>
      <w:r w:rsidRPr="00396C46">
        <w:rPr>
          <w:rFonts w:cs="Arial"/>
          <w:i/>
          <w:iCs/>
          <w:noProof/>
        </w:rPr>
        <w:t>Neurology</w:t>
      </w:r>
      <w:r w:rsidRPr="00396C46">
        <w:rPr>
          <w:rFonts w:cs="Arial"/>
          <w:noProof/>
        </w:rPr>
        <w:t xml:space="preserve"> 2012;</w:t>
      </w:r>
      <w:r w:rsidRPr="00396C46">
        <w:rPr>
          <w:rFonts w:cs="Arial"/>
          <w:bCs/>
          <w:noProof/>
        </w:rPr>
        <w:t>78</w:t>
      </w:r>
      <w:r w:rsidRPr="00396C46">
        <w:rPr>
          <w:rFonts w:cs="Arial"/>
          <w:noProof/>
        </w:rPr>
        <w:t>:1464–71. doi:10.1212/WNL.0b013e3182553c48</w:t>
      </w:r>
    </w:p>
    <w:p w14:paraId="6844BED5" w14:textId="4DAB3EBC" w:rsidR="00F2707F" w:rsidRDefault="00F2707F" w:rsidP="000200BB">
      <w:pPr>
        <w:rPr>
          <w:rStyle w:val="Heading1Char"/>
        </w:rPr>
      </w:pPr>
    </w:p>
    <w:p w14:paraId="3D9282FF" w14:textId="0EE8F4B2" w:rsidR="00FF4C77" w:rsidRPr="00F2707F" w:rsidRDefault="00FF4C77" w:rsidP="000200BB">
      <w:pPr>
        <w:rPr>
          <w:rStyle w:val="Heading1Char"/>
        </w:rPr>
      </w:pPr>
      <w:r>
        <w:rPr>
          <w:b/>
          <w:noProof/>
          <w:lang w:val="fi-FI" w:eastAsia="fi-FI"/>
        </w:rPr>
        <w:lastRenderedPageBreak/>
        <w:drawing>
          <wp:inline distT="0" distB="0" distL="0" distR="0" wp14:anchorId="1A00178D" wp14:editId="03F1857C">
            <wp:extent cx="5006711" cy="5291666"/>
            <wp:effectExtent l="0" t="0" r="3810" b="4445"/>
            <wp:docPr id="1" name="Kuva 1" descr="Kuva, joka sisältää kohteen näyttökuva&#10;&#10;Kuvaus luotu automaattise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t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014354" cy="5299744"/>
                    </a:xfrm>
                    <a:prstGeom prst="rect">
                      <a:avLst/>
                    </a:prstGeom>
                  </pic:spPr>
                </pic:pic>
              </a:graphicData>
            </a:graphic>
          </wp:inline>
        </w:drawing>
      </w:r>
    </w:p>
    <w:p w14:paraId="264E3E2C" w14:textId="64833F9C" w:rsidR="00DB7D27" w:rsidRDefault="00DB7D27" w:rsidP="00820275">
      <w:bookmarkStart w:id="26" w:name="_Hlk506798421"/>
      <w:r w:rsidRPr="00CB046C">
        <w:rPr>
          <w:b/>
        </w:rPr>
        <w:t>Fig</w:t>
      </w:r>
      <w:r w:rsidR="00D17479">
        <w:rPr>
          <w:b/>
        </w:rPr>
        <w:t>ure</w:t>
      </w:r>
      <w:r w:rsidRPr="00CB046C">
        <w:rPr>
          <w:b/>
        </w:rPr>
        <w:t xml:space="preserve"> 1</w:t>
      </w:r>
      <w:r w:rsidR="00D17479">
        <w:rPr>
          <w:b/>
        </w:rPr>
        <w:t xml:space="preserve"> </w:t>
      </w:r>
      <w:r w:rsidRPr="00B10548">
        <w:rPr>
          <w:b/>
        </w:rPr>
        <w:t>Flowchart of the study and number of twins included in the analyses</w:t>
      </w:r>
      <w:r>
        <w:rPr>
          <w:b/>
        </w:rPr>
        <w:t xml:space="preserve">. </w:t>
      </w:r>
      <w:r w:rsidRPr="00305CB4">
        <w:t xml:space="preserve">Cognitive status is defined based on </w:t>
      </w:r>
      <w:r>
        <w:t xml:space="preserve">the TELE cut-off scores </w:t>
      </w:r>
      <w:r w:rsidRPr="00305CB4">
        <w:t>(</w:t>
      </w:r>
      <w:r>
        <w:t>dementia</w:t>
      </w:r>
      <w:r w:rsidRPr="00305CB4">
        <w:t xml:space="preserve">: TELE &lt; 16; </w:t>
      </w:r>
      <w:r w:rsidR="00A80E2E">
        <w:t>healthy</w:t>
      </w:r>
      <w:r w:rsidRPr="00305CB4">
        <w:t xml:space="preserve"> cognition TELE &gt; 17.5</w:t>
      </w:r>
      <w:r>
        <w:t>).</w:t>
      </w:r>
      <w:r w:rsidRPr="00F30D29">
        <w:rPr>
          <w:b/>
        </w:rPr>
        <w:t xml:space="preserve"> </w:t>
      </w:r>
      <w:r>
        <w:t xml:space="preserve">Abbreviations: </w:t>
      </w:r>
      <w:r w:rsidRPr="007E2951">
        <w:t>MZ</w:t>
      </w:r>
      <w:r>
        <w:t xml:space="preserve">, monozygotic; </w:t>
      </w:r>
      <w:r w:rsidRPr="007E2951">
        <w:t>DZ</w:t>
      </w:r>
      <w:r>
        <w:t xml:space="preserve">, dizygotic; </w:t>
      </w:r>
      <w:r w:rsidRPr="007E2951">
        <w:t>XZ</w:t>
      </w:r>
      <w:r>
        <w:t xml:space="preserve">, unknown </w:t>
      </w:r>
      <w:proofErr w:type="spellStart"/>
      <w:r>
        <w:t>zygosity</w:t>
      </w:r>
      <w:proofErr w:type="spellEnd"/>
      <w:r>
        <w:t>; TELE, telephone assessment for dementia.</w:t>
      </w:r>
    </w:p>
    <w:p w14:paraId="22B3E4CB" w14:textId="77777777" w:rsidR="001A1873" w:rsidRDefault="001A1873" w:rsidP="00820275">
      <w:pPr>
        <w:rPr>
          <w:b/>
        </w:rPr>
      </w:pPr>
    </w:p>
    <w:p w14:paraId="2EDDB748" w14:textId="77777777" w:rsidR="00FF4C77" w:rsidRDefault="00FF4C77">
      <w:pPr>
        <w:spacing w:after="0" w:line="240" w:lineRule="auto"/>
        <w:rPr>
          <w:rFonts w:cs="Arial"/>
          <w:b/>
        </w:rPr>
      </w:pPr>
      <w:r>
        <w:rPr>
          <w:rFonts w:cs="Arial"/>
          <w:b/>
        </w:rPr>
        <w:br w:type="page"/>
      </w:r>
    </w:p>
    <w:p w14:paraId="12749498" w14:textId="77777777" w:rsidR="00FF4C77" w:rsidRDefault="00FF4C77" w:rsidP="00FF4C77">
      <w:pPr>
        <w:spacing w:after="0"/>
        <w:rPr>
          <w:rFonts w:cs="Arial"/>
          <w:b/>
        </w:rPr>
      </w:pPr>
      <w:r>
        <w:rPr>
          <w:rFonts w:cs="Arial"/>
          <w:b/>
          <w:noProof/>
          <w:lang w:val="fi-FI" w:eastAsia="fi-FI"/>
        </w:rPr>
        <w:lastRenderedPageBreak/>
        <w:drawing>
          <wp:inline distT="0" distB="0" distL="0" distR="0" wp14:anchorId="0F4B045B" wp14:editId="314322EF">
            <wp:extent cx="4216400" cy="4258049"/>
            <wp:effectExtent l="0" t="0" r="0" b="9525"/>
            <wp:docPr id="2" name="Kuva 2" descr="Kuva, joka sisältää kohteen teksti, kartta&#10;&#10;Kuvaus luotu automaattise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tif"/>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232763" cy="4274573"/>
                    </a:xfrm>
                    <a:prstGeom prst="rect">
                      <a:avLst/>
                    </a:prstGeom>
                  </pic:spPr>
                </pic:pic>
              </a:graphicData>
            </a:graphic>
          </wp:inline>
        </w:drawing>
      </w:r>
    </w:p>
    <w:p w14:paraId="6A5D0C2C" w14:textId="73294CCF" w:rsidR="00DB7D27" w:rsidRDefault="00DB7D27" w:rsidP="00820275">
      <w:pPr>
        <w:rPr>
          <w:rFonts w:cs="Arial"/>
        </w:rPr>
      </w:pPr>
      <w:r>
        <w:rPr>
          <w:rFonts w:cs="Arial"/>
          <w:b/>
        </w:rPr>
        <w:t>Fig</w:t>
      </w:r>
      <w:r w:rsidR="00D17479">
        <w:rPr>
          <w:rFonts w:cs="Arial"/>
          <w:b/>
        </w:rPr>
        <w:t>ure</w:t>
      </w:r>
      <w:r>
        <w:rPr>
          <w:rFonts w:cs="Arial"/>
          <w:b/>
        </w:rPr>
        <w:t xml:space="preserve"> 2 </w:t>
      </w:r>
      <w:r w:rsidR="00E35616">
        <w:rPr>
          <w:rFonts w:cs="Arial"/>
          <w:b/>
        </w:rPr>
        <w:t>Immediate recall (IR)</w:t>
      </w:r>
      <w:r w:rsidRPr="0047155E">
        <w:rPr>
          <w:b/>
        </w:rPr>
        <w:t xml:space="preserve"> performance according to sex, cognitive status,</w:t>
      </w:r>
      <w:r>
        <w:rPr>
          <w:b/>
        </w:rPr>
        <w:t xml:space="preserve"> and</w:t>
      </w:r>
      <w:r w:rsidRPr="0047155E">
        <w:rPr>
          <w:b/>
        </w:rPr>
        <w:t xml:space="preserve"> education among the 4,367 participants</w:t>
      </w:r>
      <w:r>
        <w:rPr>
          <w:b/>
        </w:rPr>
        <w:t xml:space="preserve">. </w:t>
      </w:r>
      <w:r>
        <w:t>The b</w:t>
      </w:r>
      <w:r w:rsidRPr="00565B6B">
        <w:t>ars represent</w:t>
      </w:r>
      <w:r>
        <w:t xml:space="preserve"> the</w:t>
      </w:r>
      <w:r w:rsidRPr="00565B6B">
        <w:t xml:space="preserve"> mean number of immediately recalled words with </w:t>
      </w:r>
      <w:r>
        <w:t>+/- SD</w:t>
      </w:r>
      <w:r w:rsidRPr="00565B6B">
        <w:t xml:space="preserve">. </w:t>
      </w:r>
      <w:r>
        <w:t>The d</w:t>
      </w:r>
      <w:r w:rsidRPr="00565B6B">
        <w:t xml:space="preserve">arker gray bars represent men, and </w:t>
      </w:r>
      <w:r>
        <w:t xml:space="preserve">the </w:t>
      </w:r>
      <w:r w:rsidRPr="00565B6B">
        <w:t>lighter gray women.</w:t>
      </w:r>
      <w:r>
        <w:rPr>
          <w:b/>
        </w:rPr>
        <w:t xml:space="preserve"> </w:t>
      </w:r>
      <w:r>
        <w:rPr>
          <w:b/>
          <w:noProof/>
        </w:rPr>
        <w:t xml:space="preserve">A </w:t>
      </w:r>
      <w:r w:rsidRPr="0043159A">
        <w:rPr>
          <w:noProof/>
        </w:rPr>
        <w:t>W</w:t>
      </w:r>
      <w:r>
        <w:rPr>
          <w:noProof/>
        </w:rPr>
        <w:t xml:space="preserve">ord list recall according to sex and cognitive status. </w:t>
      </w:r>
      <w:r w:rsidRPr="00305CB4">
        <w:t>Cognitive status is defined based on</w:t>
      </w:r>
      <w:r>
        <w:t xml:space="preserve"> a</w:t>
      </w:r>
      <w:r w:rsidRPr="00395AC0">
        <w:t xml:space="preserve"> </w:t>
      </w:r>
      <w:r>
        <w:t>telephone assessment for dementia</w:t>
      </w:r>
      <w:r w:rsidRPr="00305CB4">
        <w:t xml:space="preserve"> (</w:t>
      </w:r>
      <w:r>
        <w:t>cut-off score for dementia</w:t>
      </w:r>
      <w:r w:rsidRPr="00305CB4">
        <w:t xml:space="preserve">: TELE &lt; 16; </w:t>
      </w:r>
      <w:r w:rsidR="00A80E2E">
        <w:t>healthy</w:t>
      </w:r>
      <w:r w:rsidRPr="00305CB4">
        <w:t xml:space="preserve"> cognition TELE &gt; 17.5</w:t>
      </w:r>
      <w:r>
        <w:t xml:space="preserve">). </w:t>
      </w:r>
      <w:r>
        <w:rPr>
          <w:rFonts w:cs="Arial"/>
          <w:b/>
        </w:rPr>
        <w:t xml:space="preserve">B </w:t>
      </w:r>
      <w:r w:rsidRPr="009E2F70">
        <w:rPr>
          <w:rFonts w:cs="Arial"/>
        </w:rPr>
        <w:t xml:space="preserve">Proportion of </w:t>
      </w:r>
      <w:r>
        <w:rPr>
          <w:rFonts w:cs="Arial"/>
        </w:rPr>
        <w:t xml:space="preserve">correctly </w:t>
      </w:r>
      <w:r w:rsidRPr="009E2F70">
        <w:rPr>
          <w:rFonts w:cs="Arial"/>
        </w:rPr>
        <w:t>recall</w:t>
      </w:r>
      <w:r>
        <w:rPr>
          <w:rFonts w:cs="Arial"/>
        </w:rPr>
        <w:t>ed</w:t>
      </w:r>
      <w:r w:rsidRPr="009E2F70">
        <w:rPr>
          <w:rFonts w:cs="Arial"/>
        </w:rPr>
        <w:t xml:space="preserve"> </w:t>
      </w:r>
      <w:r>
        <w:rPr>
          <w:rFonts w:cs="Arial"/>
        </w:rPr>
        <w:t>words</w:t>
      </w:r>
      <w:r w:rsidRPr="009E2F70">
        <w:rPr>
          <w:rFonts w:cs="Arial"/>
        </w:rPr>
        <w:t xml:space="preserve"> according to cognitive status</w:t>
      </w:r>
      <w:r>
        <w:rPr>
          <w:rFonts w:cs="Arial"/>
        </w:rPr>
        <w:t xml:space="preserve"> and as a function of serial position</w:t>
      </w:r>
      <w:r w:rsidRPr="009E2F70">
        <w:rPr>
          <w:rFonts w:cs="Arial"/>
        </w:rPr>
        <w:t>.</w:t>
      </w:r>
      <w:r>
        <w:rPr>
          <w:rFonts w:cs="Arial"/>
          <w:b/>
        </w:rPr>
        <w:t xml:space="preserve"> </w:t>
      </w:r>
      <w:r w:rsidRPr="00D40764">
        <w:rPr>
          <w:rFonts w:cs="Arial"/>
        </w:rPr>
        <w:t>T</w:t>
      </w:r>
      <w:r>
        <w:rPr>
          <w:rFonts w:cs="Arial"/>
        </w:rPr>
        <w:t xml:space="preserve">he </w:t>
      </w:r>
      <w:r w:rsidR="00F64DE3">
        <w:rPr>
          <w:rFonts w:cs="Arial"/>
        </w:rPr>
        <w:t xml:space="preserve">circles </w:t>
      </w:r>
      <w:r w:rsidRPr="00D40764">
        <w:rPr>
          <w:rFonts w:cs="Arial"/>
        </w:rPr>
        <w:t xml:space="preserve">represent the </w:t>
      </w:r>
      <w:r>
        <w:rPr>
          <w:rFonts w:cs="Arial"/>
        </w:rPr>
        <w:t xml:space="preserve">serial position curve of those </w:t>
      </w:r>
      <w:r w:rsidRPr="00D40764">
        <w:rPr>
          <w:rFonts w:cs="Arial"/>
        </w:rPr>
        <w:t xml:space="preserve">cognitively </w:t>
      </w:r>
      <w:r w:rsidR="00A80E2E">
        <w:rPr>
          <w:rFonts w:cs="Arial"/>
        </w:rPr>
        <w:t>healthy</w:t>
      </w:r>
      <w:r w:rsidRPr="00D40764">
        <w:rPr>
          <w:rFonts w:cs="Arial"/>
        </w:rPr>
        <w:t xml:space="preserve"> and </w:t>
      </w:r>
      <w:r>
        <w:rPr>
          <w:rFonts w:cs="Arial"/>
        </w:rPr>
        <w:t xml:space="preserve">the </w:t>
      </w:r>
      <w:r w:rsidRPr="00D40764">
        <w:rPr>
          <w:rFonts w:cs="Arial"/>
        </w:rPr>
        <w:t>squares</w:t>
      </w:r>
      <w:r>
        <w:rPr>
          <w:rFonts w:cs="Arial"/>
        </w:rPr>
        <w:t xml:space="preserve"> of those with</w:t>
      </w:r>
      <w:r w:rsidRPr="00D40764">
        <w:rPr>
          <w:rFonts w:cs="Arial"/>
        </w:rPr>
        <w:t xml:space="preserve"> </w:t>
      </w:r>
      <w:r>
        <w:rPr>
          <w:rFonts w:cs="Arial"/>
        </w:rPr>
        <w:t>dementia</w:t>
      </w:r>
      <w:r w:rsidRPr="00D40764">
        <w:rPr>
          <w:rFonts w:cs="Arial"/>
        </w:rPr>
        <w:t xml:space="preserve">. </w:t>
      </w:r>
      <w:r>
        <w:rPr>
          <w:b/>
          <w:noProof/>
        </w:rPr>
        <w:t>C</w:t>
      </w:r>
      <w:r>
        <w:rPr>
          <w:noProof/>
        </w:rPr>
        <w:t xml:space="preserve"> Immediate word list recall according to sex and education categories of 6 years or less, </w:t>
      </w:r>
      <w:r w:rsidRPr="005F1E2C">
        <w:rPr>
          <w:noProof/>
        </w:rPr>
        <w:t xml:space="preserve">7-12 years, and 13 or more years of formal </w:t>
      </w:r>
      <w:r>
        <w:rPr>
          <w:noProof/>
        </w:rPr>
        <w:t>education</w:t>
      </w:r>
      <w:r w:rsidRPr="005F1E2C">
        <w:rPr>
          <w:noProof/>
        </w:rPr>
        <w:t>.</w:t>
      </w:r>
      <w:r>
        <w:rPr>
          <w:noProof/>
        </w:rPr>
        <w:t xml:space="preserve"> </w:t>
      </w:r>
      <w:r>
        <w:rPr>
          <w:rFonts w:cs="Arial"/>
          <w:b/>
        </w:rPr>
        <w:t>D</w:t>
      </w:r>
      <w:r w:rsidRPr="00D40764">
        <w:rPr>
          <w:rFonts w:cs="Arial"/>
        </w:rPr>
        <w:t xml:space="preserve"> </w:t>
      </w:r>
      <w:r w:rsidRPr="009E2F70">
        <w:rPr>
          <w:rFonts w:cs="Arial"/>
        </w:rPr>
        <w:t xml:space="preserve">Proportion of </w:t>
      </w:r>
      <w:r>
        <w:rPr>
          <w:rFonts w:cs="Arial"/>
        </w:rPr>
        <w:t xml:space="preserve">correctly </w:t>
      </w:r>
      <w:r w:rsidRPr="009E2F70">
        <w:rPr>
          <w:rFonts w:cs="Arial"/>
        </w:rPr>
        <w:t>recall</w:t>
      </w:r>
      <w:r>
        <w:rPr>
          <w:rFonts w:cs="Arial"/>
        </w:rPr>
        <w:t>ed</w:t>
      </w:r>
      <w:r w:rsidRPr="009E2F70">
        <w:rPr>
          <w:rFonts w:cs="Arial"/>
        </w:rPr>
        <w:t xml:space="preserve"> </w:t>
      </w:r>
      <w:r>
        <w:rPr>
          <w:rFonts w:cs="Arial"/>
        </w:rPr>
        <w:t>words</w:t>
      </w:r>
      <w:r w:rsidRPr="009E2F70">
        <w:rPr>
          <w:rFonts w:cs="Arial"/>
        </w:rPr>
        <w:t xml:space="preserve"> according to </w:t>
      </w:r>
      <w:r>
        <w:rPr>
          <w:rFonts w:cs="Arial"/>
        </w:rPr>
        <w:t>education category and as a function of serial position</w:t>
      </w:r>
      <w:r w:rsidRPr="009E2F70">
        <w:rPr>
          <w:rFonts w:cs="Arial"/>
        </w:rPr>
        <w:t>.</w:t>
      </w:r>
      <w:r>
        <w:rPr>
          <w:rFonts w:cs="Arial"/>
          <w:b/>
        </w:rPr>
        <w:t xml:space="preserve"> </w:t>
      </w:r>
      <w:r>
        <w:rPr>
          <w:rFonts w:cs="Arial"/>
        </w:rPr>
        <w:t>The s</w:t>
      </w:r>
      <w:r w:rsidRPr="00D40764">
        <w:rPr>
          <w:rFonts w:cs="Arial"/>
        </w:rPr>
        <w:t xml:space="preserve">quares represent the </w:t>
      </w:r>
      <w:r>
        <w:rPr>
          <w:rFonts w:cs="Arial"/>
        </w:rPr>
        <w:t xml:space="preserve">serial position curve of participants with </w:t>
      </w:r>
      <w:r w:rsidRPr="00D40764">
        <w:rPr>
          <w:rFonts w:cs="Arial"/>
        </w:rPr>
        <w:t>6 years or less</w:t>
      </w:r>
      <w:r>
        <w:rPr>
          <w:rFonts w:cs="Arial"/>
        </w:rPr>
        <w:t xml:space="preserve"> of formal education</w:t>
      </w:r>
      <w:r w:rsidRPr="00D40764">
        <w:rPr>
          <w:rFonts w:cs="Arial"/>
        </w:rPr>
        <w:t>, circles</w:t>
      </w:r>
      <w:r>
        <w:rPr>
          <w:rFonts w:cs="Arial"/>
        </w:rPr>
        <w:t xml:space="preserve"> </w:t>
      </w:r>
      <w:r w:rsidRPr="00D40764">
        <w:rPr>
          <w:rFonts w:cs="Arial"/>
        </w:rPr>
        <w:t xml:space="preserve">7-12 years, and triangles 13 or more years. </w:t>
      </w:r>
    </w:p>
    <w:p w14:paraId="0EA8D851" w14:textId="3EA1489A" w:rsidR="001A1873" w:rsidRDefault="00FF4C77" w:rsidP="00FF4C77">
      <w:pPr>
        <w:spacing w:after="0"/>
        <w:rPr>
          <w:b/>
        </w:rPr>
      </w:pPr>
      <w:r>
        <w:rPr>
          <w:b/>
          <w:noProof/>
          <w:lang w:val="fi-FI" w:eastAsia="fi-FI"/>
        </w:rPr>
        <w:lastRenderedPageBreak/>
        <w:drawing>
          <wp:inline distT="0" distB="0" distL="0" distR="0" wp14:anchorId="4C6AFF3B" wp14:editId="23DF9DB4">
            <wp:extent cx="4732866" cy="3036514"/>
            <wp:effectExtent l="0" t="0" r="0" b="0"/>
            <wp:docPr id="3" name="Kuv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tif"/>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749042" cy="3046892"/>
                    </a:xfrm>
                    <a:prstGeom prst="rect">
                      <a:avLst/>
                    </a:prstGeom>
                  </pic:spPr>
                </pic:pic>
              </a:graphicData>
            </a:graphic>
          </wp:inline>
        </w:drawing>
      </w:r>
    </w:p>
    <w:p w14:paraId="7E7F5737" w14:textId="6F3BA8C7" w:rsidR="00C262A7" w:rsidRDefault="002761C3" w:rsidP="000200BB">
      <w:r w:rsidRPr="00D44D33">
        <w:rPr>
          <w:b/>
        </w:rPr>
        <w:t>Fig</w:t>
      </w:r>
      <w:r w:rsidR="00D17479">
        <w:rPr>
          <w:b/>
        </w:rPr>
        <w:t>ure</w:t>
      </w:r>
      <w:r w:rsidRPr="00D44D33">
        <w:rPr>
          <w:b/>
        </w:rPr>
        <w:t xml:space="preserve"> 3</w:t>
      </w:r>
      <w:r w:rsidR="00D17479">
        <w:rPr>
          <w:b/>
        </w:rPr>
        <w:t xml:space="preserve"> </w:t>
      </w:r>
      <w:r w:rsidR="00E35616">
        <w:rPr>
          <w:rFonts w:cs="Arial"/>
          <w:b/>
        </w:rPr>
        <w:t>Immediate recall (IR)</w:t>
      </w:r>
      <w:r w:rsidRPr="0047155E">
        <w:rPr>
          <w:b/>
        </w:rPr>
        <w:t xml:space="preserve"> performance </w:t>
      </w:r>
      <w:r w:rsidR="001D34AF">
        <w:rPr>
          <w:b/>
        </w:rPr>
        <w:t xml:space="preserve">of twins </w:t>
      </w:r>
      <w:r w:rsidRPr="00035F63">
        <w:rPr>
          <w:b/>
        </w:rPr>
        <w:t xml:space="preserve">in cognitively discordant pairs and cognitively </w:t>
      </w:r>
      <w:r w:rsidR="00A80E2E">
        <w:rPr>
          <w:b/>
        </w:rPr>
        <w:t>healthy</w:t>
      </w:r>
      <w:r w:rsidRPr="00035F63">
        <w:rPr>
          <w:b/>
        </w:rPr>
        <w:t xml:space="preserve"> pairs</w:t>
      </w:r>
      <w:r w:rsidR="000F0AD8">
        <w:rPr>
          <w:b/>
        </w:rPr>
        <w:t xml:space="preserve">. </w:t>
      </w:r>
      <w:r w:rsidR="00E35616">
        <w:t>IR</w:t>
      </w:r>
      <w:r w:rsidR="00E35616" w:rsidRPr="00395AC0">
        <w:t xml:space="preserve"> </w:t>
      </w:r>
      <w:r w:rsidRPr="00395AC0">
        <w:t xml:space="preserve">is measured with immediate free recall of </w:t>
      </w:r>
      <w:r>
        <w:t xml:space="preserve">a </w:t>
      </w:r>
      <w:r w:rsidRPr="00395AC0">
        <w:t>10-word list.</w:t>
      </w:r>
      <w:r w:rsidRPr="00D44D33">
        <w:t xml:space="preserve"> </w:t>
      </w:r>
      <w:bookmarkStart w:id="27" w:name="_Hlk499846807"/>
      <w:proofErr w:type="gramStart"/>
      <w:r w:rsidRPr="00395AC0">
        <w:rPr>
          <w:b/>
        </w:rPr>
        <w:t>A</w:t>
      </w:r>
      <w:proofErr w:type="gramEnd"/>
      <w:r>
        <w:t xml:space="preserve"> </w:t>
      </w:r>
      <w:r w:rsidRPr="00990CF5">
        <w:t>Age, sex and education adjusted</w:t>
      </w:r>
      <w:r>
        <w:t xml:space="preserve"> means</w:t>
      </w:r>
      <w:r w:rsidRPr="00D44D33">
        <w:t xml:space="preserve"> </w:t>
      </w:r>
      <w:bookmarkEnd w:id="27"/>
      <w:r w:rsidRPr="00D44D33">
        <w:t xml:space="preserve">of recalled words with 95% </w:t>
      </w:r>
      <w:r w:rsidR="005C2C69">
        <w:t>CIs</w:t>
      </w:r>
      <w:r w:rsidRPr="00D44D33">
        <w:t xml:space="preserve"> for the </w:t>
      </w:r>
      <w:r>
        <w:t xml:space="preserve">demented </w:t>
      </w:r>
      <w:r w:rsidRPr="00D44D33">
        <w:t xml:space="preserve">twins, their cognitively </w:t>
      </w:r>
      <w:r w:rsidR="00A80E2E">
        <w:t>healthy</w:t>
      </w:r>
      <w:r w:rsidRPr="00D44D33">
        <w:t xml:space="preserve"> co-twins, and cognitively </w:t>
      </w:r>
      <w:r w:rsidR="00A80E2E">
        <w:t>healthy</w:t>
      </w:r>
      <w:r w:rsidRPr="00D44D33">
        <w:t xml:space="preserve"> twins with </w:t>
      </w:r>
      <w:r w:rsidR="00A80E2E">
        <w:t>healthy</w:t>
      </w:r>
      <w:r w:rsidRPr="00D44D33">
        <w:t xml:space="preserve"> co-twins. </w:t>
      </w:r>
      <w:r w:rsidRPr="00D44D33">
        <w:rPr>
          <w:b/>
        </w:rPr>
        <w:t xml:space="preserve">B </w:t>
      </w:r>
      <w:r>
        <w:rPr>
          <w:rFonts w:cs="Arial"/>
        </w:rPr>
        <w:t>P</w:t>
      </w:r>
      <w:r w:rsidRPr="009E2F70">
        <w:rPr>
          <w:rFonts w:cs="Arial"/>
        </w:rPr>
        <w:t xml:space="preserve">roportion of </w:t>
      </w:r>
      <w:r>
        <w:rPr>
          <w:rFonts w:cs="Arial"/>
        </w:rPr>
        <w:t xml:space="preserve">correctly </w:t>
      </w:r>
      <w:r w:rsidRPr="009E2F70">
        <w:rPr>
          <w:rFonts w:cs="Arial"/>
        </w:rPr>
        <w:t>recall</w:t>
      </w:r>
      <w:r>
        <w:rPr>
          <w:rFonts w:cs="Arial"/>
        </w:rPr>
        <w:t>ed</w:t>
      </w:r>
      <w:r w:rsidRPr="009E2F70">
        <w:rPr>
          <w:rFonts w:cs="Arial"/>
        </w:rPr>
        <w:t xml:space="preserve"> </w:t>
      </w:r>
      <w:r>
        <w:rPr>
          <w:rFonts w:cs="Arial"/>
        </w:rPr>
        <w:t>words</w:t>
      </w:r>
      <w:r w:rsidRPr="009E2F70">
        <w:rPr>
          <w:rFonts w:cs="Arial"/>
        </w:rPr>
        <w:t xml:space="preserve"> </w:t>
      </w:r>
      <w:r>
        <w:rPr>
          <w:rFonts w:cs="Arial"/>
        </w:rPr>
        <w:t>as a function of serial position</w:t>
      </w:r>
      <w:r w:rsidRPr="009E2F70">
        <w:rPr>
          <w:rFonts w:cs="Arial"/>
        </w:rPr>
        <w:t>.</w:t>
      </w:r>
      <w:r>
        <w:rPr>
          <w:rFonts w:cs="Arial"/>
          <w:b/>
        </w:rPr>
        <w:t xml:space="preserve"> </w:t>
      </w:r>
      <w:bookmarkEnd w:id="26"/>
      <w:r w:rsidRPr="00C823D7">
        <w:t xml:space="preserve">Closed squares represent the group of demented twins, open circles the group of cognitively </w:t>
      </w:r>
      <w:r w:rsidR="00A80E2E">
        <w:t>healthy</w:t>
      </w:r>
      <w:r w:rsidRPr="00C823D7">
        <w:t xml:space="preserve"> twins with demented co-twins, and closed triangles the cognitively </w:t>
      </w:r>
      <w:r w:rsidR="00A80E2E">
        <w:t>healthy</w:t>
      </w:r>
      <w:r w:rsidRPr="00C823D7">
        <w:t xml:space="preserve"> twins with </w:t>
      </w:r>
      <w:r w:rsidR="00A80E2E">
        <w:t>healthy</w:t>
      </w:r>
      <w:r w:rsidRPr="00C823D7">
        <w:t xml:space="preserve"> co-twins.</w:t>
      </w:r>
      <w:bookmarkEnd w:id="1"/>
    </w:p>
    <w:p w14:paraId="4AEFFE5E" w14:textId="1DF2757C" w:rsidR="00933A28" w:rsidRDefault="00933A28" w:rsidP="000200BB">
      <w:pPr>
        <w:rPr>
          <w:sz w:val="20"/>
          <w:szCs w:val="20"/>
        </w:rPr>
      </w:pPr>
      <w:r>
        <w:rPr>
          <w:sz w:val="20"/>
          <w:szCs w:val="20"/>
        </w:rPr>
        <w:br/>
        <w:t>“This article has been accepted fo</w:t>
      </w:r>
      <w:r>
        <w:rPr>
          <w:sz w:val="20"/>
          <w:szCs w:val="20"/>
        </w:rPr>
        <w:t xml:space="preserve">r publication in </w:t>
      </w:r>
      <w:r>
        <w:rPr>
          <w:rFonts w:cs="Arial"/>
          <w:color w:val="333333"/>
          <w:sz w:val="21"/>
          <w:szCs w:val="21"/>
          <w:shd w:val="clear" w:color="auto" w:fill="FFFFFF"/>
        </w:rPr>
        <w:t>Journal of Neurology, Neurosurgery and Psychiatry</w:t>
      </w:r>
      <w:r>
        <w:rPr>
          <w:rFonts w:cs="Arial"/>
          <w:color w:val="333333"/>
          <w:sz w:val="21"/>
          <w:szCs w:val="21"/>
          <w:shd w:val="clear" w:color="auto" w:fill="FFFFFF"/>
        </w:rPr>
        <w:t xml:space="preserve"> (2019)</w:t>
      </w:r>
      <w:r>
        <w:rPr>
          <w:sz w:val="20"/>
          <w:szCs w:val="20"/>
        </w:rPr>
        <w:t xml:space="preserve"> following peer review, and the Version of Record can be accessed online </w:t>
      </w:r>
      <w:r>
        <w:rPr>
          <w:sz w:val="20"/>
          <w:szCs w:val="20"/>
        </w:rPr>
        <w:t xml:space="preserve">at </w:t>
      </w:r>
      <w:r w:rsidRPr="00933A28">
        <w:rPr>
          <w:sz w:val="20"/>
          <w:szCs w:val="20"/>
        </w:rPr>
        <w:t>ht</w:t>
      </w:r>
      <w:r>
        <w:rPr>
          <w:sz w:val="20"/>
          <w:szCs w:val="20"/>
        </w:rPr>
        <w:t>tp://dx.doi.org/</w:t>
      </w:r>
      <w:r w:rsidRPr="00933A28">
        <w:rPr>
          <w:sz w:val="20"/>
          <w:szCs w:val="20"/>
        </w:rPr>
        <w:t>10.1136/jnnp-2018-319122</w:t>
      </w:r>
      <w:r>
        <w:rPr>
          <w:sz w:val="20"/>
          <w:szCs w:val="20"/>
        </w:rPr>
        <w:br/>
      </w:r>
      <w:r>
        <w:rPr>
          <w:sz w:val="20"/>
          <w:szCs w:val="20"/>
        </w:rPr>
        <w:t xml:space="preserve">© Authors (or their employer(s)) </w:t>
      </w:r>
      <w:r>
        <w:rPr>
          <w:sz w:val="20"/>
          <w:szCs w:val="20"/>
        </w:rPr>
        <w:t>2019</w:t>
      </w:r>
      <w:bookmarkStart w:id="28" w:name="_GoBack"/>
      <w:bookmarkEnd w:id="28"/>
      <w:r>
        <w:rPr>
          <w:sz w:val="20"/>
          <w:szCs w:val="20"/>
        </w:rPr>
        <w:t>.</w:t>
      </w:r>
    </w:p>
    <w:p w14:paraId="0641F831" w14:textId="73FE2D25" w:rsidR="00933A28" w:rsidRDefault="00933A28" w:rsidP="000200BB">
      <w:r>
        <w:rPr>
          <w:sz w:val="20"/>
          <w:szCs w:val="20"/>
        </w:rPr>
        <w:t xml:space="preserve">Reuse of this manuscript version (excluding any databases, tables, diagrams, photographs and other images or illustrative material included where a another copyright owner is identified) is permitted strictly pursuant to </w:t>
      </w:r>
      <w:proofErr w:type="gramStart"/>
      <w:r>
        <w:rPr>
          <w:sz w:val="20"/>
          <w:szCs w:val="20"/>
        </w:rPr>
        <w:t>the</w:t>
      </w:r>
      <w:proofErr w:type="gramEnd"/>
      <w:r>
        <w:rPr>
          <w:sz w:val="20"/>
          <w:szCs w:val="20"/>
        </w:rPr>
        <w:t xml:space="preserve"> terms of the Creative Commons Attribution-Non Commercial 4.0 International (CC-BY-NC 4.0) </w:t>
      </w:r>
      <w:hyperlink r:id="rId13" w:tgtFrame="_blank" w:history="1">
        <w:r>
          <w:rPr>
            <w:rStyle w:val="Hyperlink"/>
            <w:sz w:val="20"/>
            <w:szCs w:val="20"/>
          </w:rPr>
          <w:t>http://creativecommons.org</w:t>
        </w:r>
      </w:hyperlink>
    </w:p>
    <w:sectPr w:rsidR="00933A28" w:rsidSect="00747CF2">
      <w:headerReference w:type="default" r:id="rId14"/>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66D4BC5" w14:textId="77777777" w:rsidR="0002530F" w:rsidRDefault="0002530F" w:rsidP="00820275">
      <w:r>
        <w:separator/>
      </w:r>
    </w:p>
  </w:endnote>
  <w:endnote w:type="continuationSeparator" w:id="0">
    <w:p w14:paraId="6E5D976D" w14:textId="77777777" w:rsidR="0002530F" w:rsidRDefault="0002530F" w:rsidP="008202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CC1D43" w14:textId="77777777" w:rsidR="0002530F" w:rsidRDefault="0002530F" w:rsidP="00820275">
      <w:r>
        <w:separator/>
      </w:r>
    </w:p>
  </w:footnote>
  <w:footnote w:type="continuationSeparator" w:id="0">
    <w:p w14:paraId="437ECDB8" w14:textId="77777777" w:rsidR="0002530F" w:rsidRDefault="0002530F" w:rsidP="008202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67FEBE" w14:textId="77777777" w:rsidR="00DE39B9" w:rsidRDefault="00DE39B9" w:rsidP="00820275">
    <w:pPr>
      <w:pStyle w:val="Header"/>
      <w:spacing w:line="240" w:lineRule="auto"/>
      <w:jc w:val="right"/>
    </w:pPr>
    <w:r>
      <w:t xml:space="preserve">Lindgren </w:t>
    </w:r>
    <w:r>
      <w:fldChar w:fldCharType="begin"/>
    </w:r>
    <w:r>
      <w:instrText>PAGE   \* MERGEFORMAT</w:instrText>
    </w:r>
    <w:r>
      <w:fldChar w:fldCharType="separate"/>
    </w:r>
    <w:r w:rsidR="00933A28">
      <w:rPr>
        <w:noProof/>
      </w:rPr>
      <w:t>12</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FE549E" w14:textId="77777777" w:rsidR="00DE39B9" w:rsidRDefault="00DE39B9" w:rsidP="00820275">
    <w:pPr>
      <w:pStyle w:val="Header"/>
      <w:spacing w:line="240" w:lineRule="auto"/>
      <w:jc w:val="right"/>
    </w:pPr>
    <w:r>
      <w:t xml:space="preserve">Lindgren </w:t>
    </w:r>
    <w:r>
      <w:fldChar w:fldCharType="begin"/>
    </w:r>
    <w:r>
      <w:instrText>PAGE   \* MERGEFORMAT</w:instrText>
    </w:r>
    <w:r>
      <w:fldChar w:fldCharType="separate"/>
    </w:r>
    <w:r w:rsidR="00933A28">
      <w:rPr>
        <w:noProof/>
      </w:rPr>
      <w:t>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15192"/>
    <w:multiLevelType w:val="hybridMultilevel"/>
    <w:tmpl w:val="4950E52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0B7B2400"/>
    <w:multiLevelType w:val="hybridMultilevel"/>
    <w:tmpl w:val="5422ED0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1E765301"/>
    <w:multiLevelType w:val="hybridMultilevel"/>
    <w:tmpl w:val="B14C5E38"/>
    <w:lvl w:ilvl="0" w:tplc="2D1E49E8">
      <w:start w:val="8"/>
      <w:numFmt w:val="decimal"/>
      <w:lvlText w:val="%1."/>
      <w:lvlJc w:val="left"/>
      <w:pPr>
        <w:ind w:left="644" w:hanging="360"/>
      </w:pPr>
      <w:rPr>
        <w:rFonts w:hint="default"/>
      </w:rPr>
    </w:lvl>
    <w:lvl w:ilvl="1" w:tplc="040B0019" w:tentative="1">
      <w:start w:val="1"/>
      <w:numFmt w:val="lowerLetter"/>
      <w:lvlText w:val="%2."/>
      <w:lvlJc w:val="left"/>
      <w:pPr>
        <w:ind w:left="1364" w:hanging="360"/>
      </w:pPr>
    </w:lvl>
    <w:lvl w:ilvl="2" w:tplc="040B001B" w:tentative="1">
      <w:start w:val="1"/>
      <w:numFmt w:val="lowerRoman"/>
      <w:lvlText w:val="%3."/>
      <w:lvlJc w:val="right"/>
      <w:pPr>
        <w:ind w:left="2084" w:hanging="180"/>
      </w:pPr>
    </w:lvl>
    <w:lvl w:ilvl="3" w:tplc="040B000F" w:tentative="1">
      <w:start w:val="1"/>
      <w:numFmt w:val="decimal"/>
      <w:lvlText w:val="%4."/>
      <w:lvlJc w:val="left"/>
      <w:pPr>
        <w:ind w:left="2804" w:hanging="360"/>
      </w:pPr>
    </w:lvl>
    <w:lvl w:ilvl="4" w:tplc="040B0019" w:tentative="1">
      <w:start w:val="1"/>
      <w:numFmt w:val="lowerLetter"/>
      <w:lvlText w:val="%5."/>
      <w:lvlJc w:val="left"/>
      <w:pPr>
        <w:ind w:left="3524" w:hanging="360"/>
      </w:pPr>
    </w:lvl>
    <w:lvl w:ilvl="5" w:tplc="040B001B" w:tentative="1">
      <w:start w:val="1"/>
      <w:numFmt w:val="lowerRoman"/>
      <w:lvlText w:val="%6."/>
      <w:lvlJc w:val="right"/>
      <w:pPr>
        <w:ind w:left="4244" w:hanging="180"/>
      </w:pPr>
    </w:lvl>
    <w:lvl w:ilvl="6" w:tplc="040B000F" w:tentative="1">
      <w:start w:val="1"/>
      <w:numFmt w:val="decimal"/>
      <w:lvlText w:val="%7."/>
      <w:lvlJc w:val="left"/>
      <w:pPr>
        <w:ind w:left="4964" w:hanging="360"/>
      </w:pPr>
    </w:lvl>
    <w:lvl w:ilvl="7" w:tplc="040B0019" w:tentative="1">
      <w:start w:val="1"/>
      <w:numFmt w:val="lowerLetter"/>
      <w:lvlText w:val="%8."/>
      <w:lvlJc w:val="left"/>
      <w:pPr>
        <w:ind w:left="5684" w:hanging="360"/>
      </w:pPr>
    </w:lvl>
    <w:lvl w:ilvl="8" w:tplc="040B001B" w:tentative="1">
      <w:start w:val="1"/>
      <w:numFmt w:val="lowerRoman"/>
      <w:lvlText w:val="%9."/>
      <w:lvlJc w:val="right"/>
      <w:pPr>
        <w:ind w:left="6404" w:hanging="180"/>
      </w:pPr>
    </w:lvl>
  </w:abstractNum>
  <w:abstractNum w:abstractNumId="3" w15:restartNumberingAfterBreak="0">
    <w:nsid w:val="1F3A27A9"/>
    <w:multiLevelType w:val="hybridMultilevel"/>
    <w:tmpl w:val="C59CACC4"/>
    <w:lvl w:ilvl="0" w:tplc="040B000F">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abstractNum w:abstractNumId="4" w15:restartNumberingAfterBreak="0">
    <w:nsid w:val="2E6C2E48"/>
    <w:multiLevelType w:val="hybridMultilevel"/>
    <w:tmpl w:val="D1BA873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5" w15:restartNumberingAfterBreak="0">
    <w:nsid w:val="2F546BEC"/>
    <w:multiLevelType w:val="hybridMultilevel"/>
    <w:tmpl w:val="BAAE3B08"/>
    <w:lvl w:ilvl="0" w:tplc="040B0015">
      <w:start w:val="1"/>
      <w:numFmt w:val="upperLetter"/>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30F73D07"/>
    <w:multiLevelType w:val="hybridMultilevel"/>
    <w:tmpl w:val="D39ED010"/>
    <w:lvl w:ilvl="0" w:tplc="2C68D5CE">
      <w:numFmt w:val="bullet"/>
      <w:lvlText w:val="-"/>
      <w:lvlJc w:val="left"/>
      <w:pPr>
        <w:ind w:left="720" w:hanging="360"/>
      </w:pPr>
      <w:rPr>
        <w:rFonts w:ascii="Helvetica" w:eastAsia="Calibri" w:hAnsi="Helvetica" w:cs="Helvetica"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40820DB5"/>
    <w:multiLevelType w:val="hybridMultilevel"/>
    <w:tmpl w:val="5D0E7C76"/>
    <w:lvl w:ilvl="0" w:tplc="85AA5506">
      <w:start w:val="18"/>
      <w:numFmt w:val="decimal"/>
      <w:lvlText w:val="%1."/>
      <w:lvlJc w:val="left"/>
      <w:pPr>
        <w:ind w:left="644" w:hanging="360"/>
      </w:pPr>
      <w:rPr>
        <w:rFonts w:hint="default"/>
      </w:rPr>
    </w:lvl>
    <w:lvl w:ilvl="1" w:tplc="040B0019" w:tentative="1">
      <w:start w:val="1"/>
      <w:numFmt w:val="lowerLetter"/>
      <w:lvlText w:val="%2."/>
      <w:lvlJc w:val="left"/>
      <w:pPr>
        <w:ind w:left="1364" w:hanging="360"/>
      </w:pPr>
    </w:lvl>
    <w:lvl w:ilvl="2" w:tplc="040B001B" w:tentative="1">
      <w:start w:val="1"/>
      <w:numFmt w:val="lowerRoman"/>
      <w:lvlText w:val="%3."/>
      <w:lvlJc w:val="right"/>
      <w:pPr>
        <w:ind w:left="2084" w:hanging="180"/>
      </w:pPr>
    </w:lvl>
    <w:lvl w:ilvl="3" w:tplc="040B000F" w:tentative="1">
      <w:start w:val="1"/>
      <w:numFmt w:val="decimal"/>
      <w:lvlText w:val="%4."/>
      <w:lvlJc w:val="left"/>
      <w:pPr>
        <w:ind w:left="2804" w:hanging="360"/>
      </w:pPr>
    </w:lvl>
    <w:lvl w:ilvl="4" w:tplc="040B0019" w:tentative="1">
      <w:start w:val="1"/>
      <w:numFmt w:val="lowerLetter"/>
      <w:lvlText w:val="%5."/>
      <w:lvlJc w:val="left"/>
      <w:pPr>
        <w:ind w:left="3524" w:hanging="360"/>
      </w:pPr>
    </w:lvl>
    <w:lvl w:ilvl="5" w:tplc="040B001B" w:tentative="1">
      <w:start w:val="1"/>
      <w:numFmt w:val="lowerRoman"/>
      <w:lvlText w:val="%6."/>
      <w:lvlJc w:val="right"/>
      <w:pPr>
        <w:ind w:left="4244" w:hanging="180"/>
      </w:pPr>
    </w:lvl>
    <w:lvl w:ilvl="6" w:tplc="040B000F" w:tentative="1">
      <w:start w:val="1"/>
      <w:numFmt w:val="decimal"/>
      <w:lvlText w:val="%7."/>
      <w:lvlJc w:val="left"/>
      <w:pPr>
        <w:ind w:left="4964" w:hanging="360"/>
      </w:pPr>
    </w:lvl>
    <w:lvl w:ilvl="7" w:tplc="040B0019" w:tentative="1">
      <w:start w:val="1"/>
      <w:numFmt w:val="lowerLetter"/>
      <w:lvlText w:val="%8."/>
      <w:lvlJc w:val="left"/>
      <w:pPr>
        <w:ind w:left="5684" w:hanging="360"/>
      </w:pPr>
    </w:lvl>
    <w:lvl w:ilvl="8" w:tplc="040B001B" w:tentative="1">
      <w:start w:val="1"/>
      <w:numFmt w:val="lowerRoman"/>
      <w:lvlText w:val="%9."/>
      <w:lvlJc w:val="right"/>
      <w:pPr>
        <w:ind w:left="6404" w:hanging="180"/>
      </w:pPr>
    </w:lvl>
  </w:abstractNum>
  <w:abstractNum w:abstractNumId="8" w15:restartNumberingAfterBreak="0">
    <w:nsid w:val="54E808A2"/>
    <w:multiLevelType w:val="hybridMultilevel"/>
    <w:tmpl w:val="8626E2F0"/>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 w15:restartNumberingAfterBreak="0">
    <w:nsid w:val="687C3C55"/>
    <w:multiLevelType w:val="hybridMultilevel"/>
    <w:tmpl w:val="11B8FFA8"/>
    <w:lvl w:ilvl="0" w:tplc="040B000F">
      <w:start w:val="1"/>
      <w:numFmt w:val="decimal"/>
      <w:lvlText w:val="%1."/>
      <w:lvlJc w:val="left"/>
      <w:pPr>
        <w:ind w:left="644"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 w15:restartNumberingAfterBreak="0">
    <w:nsid w:val="78F92F45"/>
    <w:multiLevelType w:val="hybridMultilevel"/>
    <w:tmpl w:val="2B62962C"/>
    <w:lvl w:ilvl="0" w:tplc="040B000F">
      <w:start w:val="1"/>
      <w:numFmt w:val="decimal"/>
      <w:lvlText w:val="%1."/>
      <w:lvlJc w:val="left"/>
      <w:pPr>
        <w:ind w:left="360" w:hanging="360"/>
      </w:pPr>
      <w:rPr>
        <w:rFonts w:hint="default"/>
      </w:rPr>
    </w:lvl>
    <w:lvl w:ilvl="1" w:tplc="040B0019" w:tentative="1">
      <w:start w:val="1"/>
      <w:numFmt w:val="lowerLetter"/>
      <w:lvlText w:val="%2."/>
      <w:lvlJc w:val="left"/>
      <w:pPr>
        <w:ind w:left="1080" w:hanging="360"/>
      </w:pPr>
    </w:lvl>
    <w:lvl w:ilvl="2" w:tplc="040B001B" w:tentative="1">
      <w:start w:val="1"/>
      <w:numFmt w:val="lowerRoman"/>
      <w:lvlText w:val="%3."/>
      <w:lvlJc w:val="right"/>
      <w:pPr>
        <w:ind w:left="1800" w:hanging="180"/>
      </w:pPr>
    </w:lvl>
    <w:lvl w:ilvl="3" w:tplc="040B000F" w:tentative="1">
      <w:start w:val="1"/>
      <w:numFmt w:val="decimal"/>
      <w:lvlText w:val="%4."/>
      <w:lvlJc w:val="left"/>
      <w:pPr>
        <w:ind w:left="2520" w:hanging="360"/>
      </w:pPr>
    </w:lvl>
    <w:lvl w:ilvl="4" w:tplc="040B0019" w:tentative="1">
      <w:start w:val="1"/>
      <w:numFmt w:val="lowerLetter"/>
      <w:lvlText w:val="%5."/>
      <w:lvlJc w:val="left"/>
      <w:pPr>
        <w:ind w:left="3240" w:hanging="360"/>
      </w:pPr>
    </w:lvl>
    <w:lvl w:ilvl="5" w:tplc="040B001B" w:tentative="1">
      <w:start w:val="1"/>
      <w:numFmt w:val="lowerRoman"/>
      <w:lvlText w:val="%6."/>
      <w:lvlJc w:val="right"/>
      <w:pPr>
        <w:ind w:left="3960" w:hanging="180"/>
      </w:pPr>
    </w:lvl>
    <w:lvl w:ilvl="6" w:tplc="040B000F" w:tentative="1">
      <w:start w:val="1"/>
      <w:numFmt w:val="decimal"/>
      <w:lvlText w:val="%7."/>
      <w:lvlJc w:val="left"/>
      <w:pPr>
        <w:ind w:left="4680" w:hanging="360"/>
      </w:pPr>
    </w:lvl>
    <w:lvl w:ilvl="7" w:tplc="040B0019" w:tentative="1">
      <w:start w:val="1"/>
      <w:numFmt w:val="lowerLetter"/>
      <w:lvlText w:val="%8."/>
      <w:lvlJc w:val="left"/>
      <w:pPr>
        <w:ind w:left="5400" w:hanging="360"/>
      </w:pPr>
    </w:lvl>
    <w:lvl w:ilvl="8" w:tplc="040B001B" w:tentative="1">
      <w:start w:val="1"/>
      <w:numFmt w:val="lowerRoman"/>
      <w:lvlText w:val="%9."/>
      <w:lvlJc w:val="right"/>
      <w:pPr>
        <w:ind w:left="6120" w:hanging="180"/>
      </w:pPr>
    </w:lvl>
  </w:abstractNum>
  <w:num w:numId="1">
    <w:abstractNumId w:val="9"/>
  </w:num>
  <w:num w:numId="2">
    <w:abstractNumId w:val="6"/>
  </w:num>
  <w:num w:numId="3">
    <w:abstractNumId w:val="5"/>
  </w:num>
  <w:num w:numId="4">
    <w:abstractNumId w:val="8"/>
  </w:num>
  <w:num w:numId="5">
    <w:abstractNumId w:val="3"/>
  </w:num>
  <w:num w:numId="6">
    <w:abstractNumId w:val="0"/>
  </w:num>
  <w:num w:numId="7">
    <w:abstractNumId w:val="10"/>
  </w:num>
  <w:num w:numId="8">
    <w:abstractNumId w:val="1"/>
  </w:num>
  <w:num w:numId="9">
    <w:abstractNumId w:val="4"/>
  </w:num>
  <w:num w:numId="10">
    <w:abstractNumId w:val="2"/>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C24"/>
    <w:rsid w:val="0000104B"/>
    <w:rsid w:val="00001067"/>
    <w:rsid w:val="000018EB"/>
    <w:rsid w:val="00003A47"/>
    <w:rsid w:val="00005E2D"/>
    <w:rsid w:val="00006D04"/>
    <w:rsid w:val="00006D2A"/>
    <w:rsid w:val="000115B8"/>
    <w:rsid w:val="00011C95"/>
    <w:rsid w:val="00011DCB"/>
    <w:rsid w:val="00012048"/>
    <w:rsid w:val="00012354"/>
    <w:rsid w:val="00012517"/>
    <w:rsid w:val="00013468"/>
    <w:rsid w:val="0001364D"/>
    <w:rsid w:val="000139F9"/>
    <w:rsid w:val="00013DB8"/>
    <w:rsid w:val="000144B1"/>
    <w:rsid w:val="000146DC"/>
    <w:rsid w:val="00016633"/>
    <w:rsid w:val="00016686"/>
    <w:rsid w:val="000166A3"/>
    <w:rsid w:val="00016C93"/>
    <w:rsid w:val="00016DE3"/>
    <w:rsid w:val="000200BB"/>
    <w:rsid w:val="0002039E"/>
    <w:rsid w:val="00021547"/>
    <w:rsid w:val="00022086"/>
    <w:rsid w:val="000225D7"/>
    <w:rsid w:val="000227FA"/>
    <w:rsid w:val="000233A7"/>
    <w:rsid w:val="0002387F"/>
    <w:rsid w:val="00024B1F"/>
    <w:rsid w:val="0002530F"/>
    <w:rsid w:val="000259CE"/>
    <w:rsid w:val="00025B46"/>
    <w:rsid w:val="000264D4"/>
    <w:rsid w:val="00026ACF"/>
    <w:rsid w:val="000274B5"/>
    <w:rsid w:val="00027C1B"/>
    <w:rsid w:val="00027C63"/>
    <w:rsid w:val="000300E2"/>
    <w:rsid w:val="000301A4"/>
    <w:rsid w:val="0003030B"/>
    <w:rsid w:val="000316B4"/>
    <w:rsid w:val="00032B14"/>
    <w:rsid w:val="000337B5"/>
    <w:rsid w:val="00033C81"/>
    <w:rsid w:val="00035980"/>
    <w:rsid w:val="00035B3E"/>
    <w:rsid w:val="000364E3"/>
    <w:rsid w:val="00036F6B"/>
    <w:rsid w:val="00037D44"/>
    <w:rsid w:val="00042BA9"/>
    <w:rsid w:val="00042BB4"/>
    <w:rsid w:val="00042BDD"/>
    <w:rsid w:val="00043826"/>
    <w:rsid w:val="000439CC"/>
    <w:rsid w:val="00043AC4"/>
    <w:rsid w:val="00045450"/>
    <w:rsid w:val="000456E9"/>
    <w:rsid w:val="00045E74"/>
    <w:rsid w:val="000470EB"/>
    <w:rsid w:val="00047458"/>
    <w:rsid w:val="00047D38"/>
    <w:rsid w:val="000506CD"/>
    <w:rsid w:val="00051596"/>
    <w:rsid w:val="00051BAE"/>
    <w:rsid w:val="00052B28"/>
    <w:rsid w:val="00054BEB"/>
    <w:rsid w:val="00054EB0"/>
    <w:rsid w:val="00057C6C"/>
    <w:rsid w:val="00060015"/>
    <w:rsid w:val="00060787"/>
    <w:rsid w:val="00061108"/>
    <w:rsid w:val="000649DC"/>
    <w:rsid w:val="000656C8"/>
    <w:rsid w:val="00065988"/>
    <w:rsid w:val="00067224"/>
    <w:rsid w:val="00067FD7"/>
    <w:rsid w:val="00071149"/>
    <w:rsid w:val="0007139F"/>
    <w:rsid w:val="000720FA"/>
    <w:rsid w:val="00072C69"/>
    <w:rsid w:val="00075148"/>
    <w:rsid w:val="00075B49"/>
    <w:rsid w:val="00077240"/>
    <w:rsid w:val="000775E5"/>
    <w:rsid w:val="0008380A"/>
    <w:rsid w:val="00083FD1"/>
    <w:rsid w:val="000851FE"/>
    <w:rsid w:val="000865AC"/>
    <w:rsid w:val="00087202"/>
    <w:rsid w:val="00087A77"/>
    <w:rsid w:val="000902C0"/>
    <w:rsid w:val="00090312"/>
    <w:rsid w:val="000905EE"/>
    <w:rsid w:val="00090CF3"/>
    <w:rsid w:val="0009192E"/>
    <w:rsid w:val="00091964"/>
    <w:rsid w:val="00092557"/>
    <w:rsid w:val="00092935"/>
    <w:rsid w:val="00093406"/>
    <w:rsid w:val="00094187"/>
    <w:rsid w:val="0009435C"/>
    <w:rsid w:val="0009455A"/>
    <w:rsid w:val="000955EC"/>
    <w:rsid w:val="00096037"/>
    <w:rsid w:val="00096A36"/>
    <w:rsid w:val="00096F0B"/>
    <w:rsid w:val="00097761"/>
    <w:rsid w:val="000A1D61"/>
    <w:rsid w:val="000A2C24"/>
    <w:rsid w:val="000A2DA3"/>
    <w:rsid w:val="000A3513"/>
    <w:rsid w:val="000A35B1"/>
    <w:rsid w:val="000A3679"/>
    <w:rsid w:val="000A3985"/>
    <w:rsid w:val="000A56B9"/>
    <w:rsid w:val="000A58B6"/>
    <w:rsid w:val="000A6298"/>
    <w:rsid w:val="000B07E7"/>
    <w:rsid w:val="000B31EB"/>
    <w:rsid w:val="000B471E"/>
    <w:rsid w:val="000B48ED"/>
    <w:rsid w:val="000B5CAA"/>
    <w:rsid w:val="000B6C78"/>
    <w:rsid w:val="000B7CBE"/>
    <w:rsid w:val="000C0951"/>
    <w:rsid w:val="000C2FD6"/>
    <w:rsid w:val="000C3190"/>
    <w:rsid w:val="000C38A9"/>
    <w:rsid w:val="000C3D5F"/>
    <w:rsid w:val="000C43DC"/>
    <w:rsid w:val="000C4BD6"/>
    <w:rsid w:val="000C4F89"/>
    <w:rsid w:val="000C5DD7"/>
    <w:rsid w:val="000C6C8B"/>
    <w:rsid w:val="000C6F05"/>
    <w:rsid w:val="000C768F"/>
    <w:rsid w:val="000D1028"/>
    <w:rsid w:val="000D13E3"/>
    <w:rsid w:val="000D21DF"/>
    <w:rsid w:val="000D21E2"/>
    <w:rsid w:val="000D2C2F"/>
    <w:rsid w:val="000D2E2D"/>
    <w:rsid w:val="000D4062"/>
    <w:rsid w:val="000D4EB0"/>
    <w:rsid w:val="000D5FAC"/>
    <w:rsid w:val="000D60B4"/>
    <w:rsid w:val="000D622B"/>
    <w:rsid w:val="000D6437"/>
    <w:rsid w:val="000E1030"/>
    <w:rsid w:val="000E1E57"/>
    <w:rsid w:val="000E1FF0"/>
    <w:rsid w:val="000E201C"/>
    <w:rsid w:val="000E3B75"/>
    <w:rsid w:val="000E417C"/>
    <w:rsid w:val="000E455B"/>
    <w:rsid w:val="000E4ADA"/>
    <w:rsid w:val="000E4F8E"/>
    <w:rsid w:val="000E544D"/>
    <w:rsid w:val="000E5785"/>
    <w:rsid w:val="000E5CB0"/>
    <w:rsid w:val="000E5F17"/>
    <w:rsid w:val="000E6DAE"/>
    <w:rsid w:val="000E7203"/>
    <w:rsid w:val="000F0AD8"/>
    <w:rsid w:val="000F265F"/>
    <w:rsid w:val="000F337D"/>
    <w:rsid w:val="000F3C45"/>
    <w:rsid w:val="000F4502"/>
    <w:rsid w:val="000F4880"/>
    <w:rsid w:val="000F499C"/>
    <w:rsid w:val="000F580D"/>
    <w:rsid w:val="000F7D2C"/>
    <w:rsid w:val="00100255"/>
    <w:rsid w:val="0010057A"/>
    <w:rsid w:val="00103ABD"/>
    <w:rsid w:val="00103F20"/>
    <w:rsid w:val="001049A4"/>
    <w:rsid w:val="00104DE9"/>
    <w:rsid w:val="00106CC9"/>
    <w:rsid w:val="001074E0"/>
    <w:rsid w:val="001104F0"/>
    <w:rsid w:val="001117AA"/>
    <w:rsid w:val="00111D6C"/>
    <w:rsid w:val="00111E5C"/>
    <w:rsid w:val="00112050"/>
    <w:rsid w:val="00112D21"/>
    <w:rsid w:val="00116263"/>
    <w:rsid w:val="00116CEC"/>
    <w:rsid w:val="0012113F"/>
    <w:rsid w:val="00123563"/>
    <w:rsid w:val="001271AA"/>
    <w:rsid w:val="0012761B"/>
    <w:rsid w:val="00132BDA"/>
    <w:rsid w:val="001338D4"/>
    <w:rsid w:val="00133F9D"/>
    <w:rsid w:val="001341E8"/>
    <w:rsid w:val="0013426E"/>
    <w:rsid w:val="0013459E"/>
    <w:rsid w:val="00135C51"/>
    <w:rsid w:val="00135EF9"/>
    <w:rsid w:val="00135F22"/>
    <w:rsid w:val="00136242"/>
    <w:rsid w:val="00137256"/>
    <w:rsid w:val="00137401"/>
    <w:rsid w:val="001376A7"/>
    <w:rsid w:val="00137F89"/>
    <w:rsid w:val="001404BA"/>
    <w:rsid w:val="00140778"/>
    <w:rsid w:val="00141246"/>
    <w:rsid w:val="00141904"/>
    <w:rsid w:val="00143B5A"/>
    <w:rsid w:val="00144689"/>
    <w:rsid w:val="00145362"/>
    <w:rsid w:val="00146154"/>
    <w:rsid w:val="00147069"/>
    <w:rsid w:val="00150157"/>
    <w:rsid w:val="00150C80"/>
    <w:rsid w:val="00152445"/>
    <w:rsid w:val="001532F9"/>
    <w:rsid w:val="00153B31"/>
    <w:rsid w:val="00154685"/>
    <w:rsid w:val="00155304"/>
    <w:rsid w:val="001559B8"/>
    <w:rsid w:val="00155F0D"/>
    <w:rsid w:val="00156999"/>
    <w:rsid w:val="00157DDB"/>
    <w:rsid w:val="00161460"/>
    <w:rsid w:val="00161A99"/>
    <w:rsid w:val="001623CB"/>
    <w:rsid w:val="00163E9A"/>
    <w:rsid w:val="001643F0"/>
    <w:rsid w:val="00164D5C"/>
    <w:rsid w:val="00166F8A"/>
    <w:rsid w:val="00167353"/>
    <w:rsid w:val="00167449"/>
    <w:rsid w:val="0017062A"/>
    <w:rsid w:val="00170EB3"/>
    <w:rsid w:val="00171B5B"/>
    <w:rsid w:val="00172FFE"/>
    <w:rsid w:val="00175455"/>
    <w:rsid w:val="00175A3F"/>
    <w:rsid w:val="00176D66"/>
    <w:rsid w:val="00177C4D"/>
    <w:rsid w:val="00180484"/>
    <w:rsid w:val="00180C53"/>
    <w:rsid w:val="0018133D"/>
    <w:rsid w:val="00181EFF"/>
    <w:rsid w:val="001822B7"/>
    <w:rsid w:val="00183797"/>
    <w:rsid w:val="0018509C"/>
    <w:rsid w:val="00186651"/>
    <w:rsid w:val="00190223"/>
    <w:rsid w:val="001914D1"/>
    <w:rsid w:val="00191A9B"/>
    <w:rsid w:val="00191F32"/>
    <w:rsid w:val="001923E5"/>
    <w:rsid w:val="00192CE5"/>
    <w:rsid w:val="00194A74"/>
    <w:rsid w:val="00196362"/>
    <w:rsid w:val="001963CD"/>
    <w:rsid w:val="00197465"/>
    <w:rsid w:val="001A0537"/>
    <w:rsid w:val="001A05DA"/>
    <w:rsid w:val="001A094A"/>
    <w:rsid w:val="001A1286"/>
    <w:rsid w:val="001A1873"/>
    <w:rsid w:val="001A1EA4"/>
    <w:rsid w:val="001A23C8"/>
    <w:rsid w:val="001A25E6"/>
    <w:rsid w:val="001A2E0D"/>
    <w:rsid w:val="001A323E"/>
    <w:rsid w:val="001A333B"/>
    <w:rsid w:val="001A3457"/>
    <w:rsid w:val="001A37B2"/>
    <w:rsid w:val="001A4819"/>
    <w:rsid w:val="001A4C6F"/>
    <w:rsid w:val="001A4CCD"/>
    <w:rsid w:val="001A52F4"/>
    <w:rsid w:val="001A72A1"/>
    <w:rsid w:val="001A7C7C"/>
    <w:rsid w:val="001B0B2D"/>
    <w:rsid w:val="001B1F77"/>
    <w:rsid w:val="001B2349"/>
    <w:rsid w:val="001B4205"/>
    <w:rsid w:val="001B4D78"/>
    <w:rsid w:val="001B65F8"/>
    <w:rsid w:val="001B7B4D"/>
    <w:rsid w:val="001C0760"/>
    <w:rsid w:val="001C0A1D"/>
    <w:rsid w:val="001C0FAA"/>
    <w:rsid w:val="001C16F2"/>
    <w:rsid w:val="001C2B56"/>
    <w:rsid w:val="001C333F"/>
    <w:rsid w:val="001C45DB"/>
    <w:rsid w:val="001C5192"/>
    <w:rsid w:val="001C543C"/>
    <w:rsid w:val="001C5697"/>
    <w:rsid w:val="001C678D"/>
    <w:rsid w:val="001C7397"/>
    <w:rsid w:val="001D2E77"/>
    <w:rsid w:val="001D34AF"/>
    <w:rsid w:val="001D4815"/>
    <w:rsid w:val="001D493F"/>
    <w:rsid w:val="001D4E53"/>
    <w:rsid w:val="001D540B"/>
    <w:rsid w:val="001D5641"/>
    <w:rsid w:val="001D61D7"/>
    <w:rsid w:val="001D6648"/>
    <w:rsid w:val="001D77CF"/>
    <w:rsid w:val="001D7F87"/>
    <w:rsid w:val="001E01CB"/>
    <w:rsid w:val="001E0830"/>
    <w:rsid w:val="001E2493"/>
    <w:rsid w:val="001E2F06"/>
    <w:rsid w:val="001E333F"/>
    <w:rsid w:val="001E3361"/>
    <w:rsid w:val="001E3734"/>
    <w:rsid w:val="001E388B"/>
    <w:rsid w:val="001E4A03"/>
    <w:rsid w:val="001E4DCB"/>
    <w:rsid w:val="001E6540"/>
    <w:rsid w:val="001E6F2B"/>
    <w:rsid w:val="001E6F93"/>
    <w:rsid w:val="001F0872"/>
    <w:rsid w:val="001F1DAD"/>
    <w:rsid w:val="001F23E2"/>
    <w:rsid w:val="001F2839"/>
    <w:rsid w:val="001F2C04"/>
    <w:rsid w:val="001F3688"/>
    <w:rsid w:val="001F5403"/>
    <w:rsid w:val="001F5B15"/>
    <w:rsid w:val="001F6D0C"/>
    <w:rsid w:val="00200903"/>
    <w:rsid w:val="00201CD3"/>
    <w:rsid w:val="002033BF"/>
    <w:rsid w:val="0020470B"/>
    <w:rsid w:val="00204935"/>
    <w:rsid w:val="00204940"/>
    <w:rsid w:val="00204CEE"/>
    <w:rsid w:val="002051AC"/>
    <w:rsid w:val="002066C9"/>
    <w:rsid w:val="00206B23"/>
    <w:rsid w:val="002072DF"/>
    <w:rsid w:val="0020762E"/>
    <w:rsid w:val="0021172B"/>
    <w:rsid w:val="002123CA"/>
    <w:rsid w:val="00212712"/>
    <w:rsid w:val="0021375F"/>
    <w:rsid w:val="0021427F"/>
    <w:rsid w:val="00214435"/>
    <w:rsid w:val="002144C2"/>
    <w:rsid w:val="002145F1"/>
    <w:rsid w:val="002159BE"/>
    <w:rsid w:val="00216B52"/>
    <w:rsid w:val="002176BD"/>
    <w:rsid w:val="002204FB"/>
    <w:rsid w:val="00221D07"/>
    <w:rsid w:val="00221F89"/>
    <w:rsid w:val="00222B43"/>
    <w:rsid w:val="002238AD"/>
    <w:rsid w:val="00223B43"/>
    <w:rsid w:val="00223E44"/>
    <w:rsid w:val="0022534F"/>
    <w:rsid w:val="002256D6"/>
    <w:rsid w:val="00227020"/>
    <w:rsid w:val="00230A90"/>
    <w:rsid w:val="00230E46"/>
    <w:rsid w:val="00230F97"/>
    <w:rsid w:val="00232AC7"/>
    <w:rsid w:val="00235D07"/>
    <w:rsid w:val="00236A43"/>
    <w:rsid w:val="00236A53"/>
    <w:rsid w:val="002407C2"/>
    <w:rsid w:val="002418C0"/>
    <w:rsid w:val="00243800"/>
    <w:rsid w:val="00243C35"/>
    <w:rsid w:val="002448B5"/>
    <w:rsid w:val="00244927"/>
    <w:rsid w:val="00246ED9"/>
    <w:rsid w:val="00252933"/>
    <w:rsid w:val="00253AE7"/>
    <w:rsid w:val="00255690"/>
    <w:rsid w:val="0026251E"/>
    <w:rsid w:val="00262AAC"/>
    <w:rsid w:val="00262ADB"/>
    <w:rsid w:val="002673F9"/>
    <w:rsid w:val="0027011B"/>
    <w:rsid w:val="00270C09"/>
    <w:rsid w:val="002717C8"/>
    <w:rsid w:val="00273569"/>
    <w:rsid w:val="00273B09"/>
    <w:rsid w:val="00273EA8"/>
    <w:rsid w:val="00274519"/>
    <w:rsid w:val="00274D63"/>
    <w:rsid w:val="002754A5"/>
    <w:rsid w:val="002761C3"/>
    <w:rsid w:val="00276238"/>
    <w:rsid w:val="0027630B"/>
    <w:rsid w:val="0027725C"/>
    <w:rsid w:val="002774A2"/>
    <w:rsid w:val="00280310"/>
    <w:rsid w:val="00280387"/>
    <w:rsid w:val="00280FE6"/>
    <w:rsid w:val="00281BB7"/>
    <w:rsid w:val="00282B65"/>
    <w:rsid w:val="00282D3E"/>
    <w:rsid w:val="00283227"/>
    <w:rsid w:val="0028355A"/>
    <w:rsid w:val="0028389E"/>
    <w:rsid w:val="00284BA7"/>
    <w:rsid w:val="00284DC0"/>
    <w:rsid w:val="00285679"/>
    <w:rsid w:val="00285C79"/>
    <w:rsid w:val="00290F79"/>
    <w:rsid w:val="00291314"/>
    <w:rsid w:val="00291C41"/>
    <w:rsid w:val="00291DE5"/>
    <w:rsid w:val="00292B1F"/>
    <w:rsid w:val="002942FB"/>
    <w:rsid w:val="002956AE"/>
    <w:rsid w:val="00296827"/>
    <w:rsid w:val="00297635"/>
    <w:rsid w:val="00297DB3"/>
    <w:rsid w:val="002A0B7C"/>
    <w:rsid w:val="002A1DE8"/>
    <w:rsid w:val="002A2129"/>
    <w:rsid w:val="002A22E0"/>
    <w:rsid w:val="002A27EB"/>
    <w:rsid w:val="002A319B"/>
    <w:rsid w:val="002A376C"/>
    <w:rsid w:val="002A432E"/>
    <w:rsid w:val="002A665C"/>
    <w:rsid w:val="002A6B9D"/>
    <w:rsid w:val="002A6CBB"/>
    <w:rsid w:val="002B0938"/>
    <w:rsid w:val="002B11F5"/>
    <w:rsid w:val="002B1522"/>
    <w:rsid w:val="002B3CC5"/>
    <w:rsid w:val="002B5761"/>
    <w:rsid w:val="002B5A3D"/>
    <w:rsid w:val="002B6B67"/>
    <w:rsid w:val="002C0D55"/>
    <w:rsid w:val="002C0E66"/>
    <w:rsid w:val="002C1FBD"/>
    <w:rsid w:val="002C3D04"/>
    <w:rsid w:val="002C4708"/>
    <w:rsid w:val="002C5376"/>
    <w:rsid w:val="002C598A"/>
    <w:rsid w:val="002C5EB3"/>
    <w:rsid w:val="002C6257"/>
    <w:rsid w:val="002C6C2C"/>
    <w:rsid w:val="002C7E15"/>
    <w:rsid w:val="002D01F7"/>
    <w:rsid w:val="002D0F61"/>
    <w:rsid w:val="002D2ABD"/>
    <w:rsid w:val="002D3FFF"/>
    <w:rsid w:val="002D43F8"/>
    <w:rsid w:val="002D6A64"/>
    <w:rsid w:val="002E0A10"/>
    <w:rsid w:val="002E1F0D"/>
    <w:rsid w:val="002E1F49"/>
    <w:rsid w:val="002E24F7"/>
    <w:rsid w:val="002E264E"/>
    <w:rsid w:val="002E2C37"/>
    <w:rsid w:val="002E2E4D"/>
    <w:rsid w:val="002E3190"/>
    <w:rsid w:val="002E4871"/>
    <w:rsid w:val="002E59EB"/>
    <w:rsid w:val="002E6FC9"/>
    <w:rsid w:val="002E78F0"/>
    <w:rsid w:val="002F2B16"/>
    <w:rsid w:val="002F3844"/>
    <w:rsid w:val="002F40FE"/>
    <w:rsid w:val="002F543D"/>
    <w:rsid w:val="002F60AB"/>
    <w:rsid w:val="002F6301"/>
    <w:rsid w:val="002F6884"/>
    <w:rsid w:val="002F7BAB"/>
    <w:rsid w:val="003005D7"/>
    <w:rsid w:val="00301085"/>
    <w:rsid w:val="00301B61"/>
    <w:rsid w:val="00301D8A"/>
    <w:rsid w:val="0030279A"/>
    <w:rsid w:val="00304644"/>
    <w:rsid w:val="003048CA"/>
    <w:rsid w:val="00305CB4"/>
    <w:rsid w:val="00305D56"/>
    <w:rsid w:val="00306699"/>
    <w:rsid w:val="00307E71"/>
    <w:rsid w:val="003102EF"/>
    <w:rsid w:val="00310841"/>
    <w:rsid w:val="00310EB7"/>
    <w:rsid w:val="0031132A"/>
    <w:rsid w:val="00311F79"/>
    <w:rsid w:val="00312542"/>
    <w:rsid w:val="00312763"/>
    <w:rsid w:val="0031289A"/>
    <w:rsid w:val="0031332F"/>
    <w:rsid w:val="00313505"/>
    <w:rsid w:val="00314260"/>
    <w:rsid w:val="003147E9"/>
    <w:rsid w:val="003158EE"/>
    <w:rsid w:val="00317BFC"/>
    <w:rsid w:val="00320718"/>
    <w:rsid w:val="00320C28"/>
    <w:rsid w:val="003214DB"/>
    <w:rsid w:val="003222CA"/>
    <w:rsid w:val="0032250D"/>
    <w:rsid w:val="00322762"/>
    <w:rsid w:val="003236B2"/>
    <w:rsid w:val="00323B27"/>
    <w:rsid w:val="00324AB6"/>
    <w:rsid w:val="00325D46"/>
    <w:rsid w:val="00326629"/>
    <w:rsid w:val="00327BD8"/>
    <w:rsid w:val="00332597"/>
    <w:rsid w:val="003337C7"/>
    <w:rsid w:val="0033596E"/>
    <w:rsid w:val="003360C6"/>
    <w:rsid w:val="0033637A"/>
    <w:rsid w:val="00336396"/>
    <w:rsid w:val="00336977"/>
    <w:rsid w:val="00336EF5"/>
    <w:rsid w:val="00342324"/>
    <w:rsid w:val="003426C2"/>
    <w:rsid w:val="00342D58"/>
    <w:rsid w:val="0034351E"/>
    <w:rsid w:val="003448C4"/>
    <w:rsid w:val="00344C2B"/>
    <w:rsid w:val="0034744F"/>
    <w:rsid w:val="003509C2"/>
    <w:rsid w:val="003509CF"/>
    <w:rsid w:val="00350F89"/>
    <w:rsid w:val="0035251F"/>
    <w:rsid w:val="00352817"/>
    <w:rsid w:val="00353158"/>
    <w:rsid w:val="0035332A"/>
    <w:rsid w:val="00353564"/>
    <w:rsid w:val="00353ED5"/>
    <w:rsid w:val="00355C8E"/>
    <w:rsid w:val="0035620E"/>
    <w:rsid w:val="003563F6"/>
    <w:rsid w:val="003568BA"/>
    <w:rsid w:val="003570C0"/>
    <w:rsid w:val="00357D3F"/>
    <w:rsid w:val="0036043E"/>
    <w:rsid w:val="0036082B"/>
    <w:rsid w:val="0036245B"/>
    <w:rsid w:val="00364781"/>
    <w:rsid w:val="00364BB8"/>
    <w:rsid w:val="0036533A"/>
    <w:rsid w:val="00365875"/>
    <w:rsid w:val="00365A8F"/>
    <w:rsid w:val="00366A0A"/>
    <w:rsid w:val="00367369"/>
    <w:rsid w:val="00367628"/>
    <w:rsid w:val="00367AE5"/>
    <w:rsid w:val="0037091A"/>
    <w:rsid w:val="00372038"/>
    <w:rsid w:val="00372842"/>
    <w:rsid w:val="0037382B"/>
    <w:rsid w:val="00373A94"/>
    <w:rsid w:val="003749D1"/>
    <w:rsid w:val="003768EB"/>
    <w:rsid w:val="00376A3B"/>
    <w:rsid w:val="00377C46"/>
    <w:rsid w:val="00380B88"/>
    <w:rsid w:val="00381552"/>
    <w:rsid w:val="00382006"/>
    <w:rsid w:val="00384E43"/>
    <w:rsid w:val="003850AF"/>
    <w:rsid w:val="00386C56"/>
    <w:rsid w:val="00387AEC"/>
    <w:rsid w:val="00390FEE"/>
    <w:rsid w:val="003913B6"/>
    <w:rsid w:val="003932E2"/>
    <w:rsid w:val="00393394"/>
    <w:rsid w:val="003934AD"/>
    <w:rsid w:val="00394435"/>
    <w:rsid w:val="0039557A"/>
    <w:rsid w:val="003955CC"/>
    <w:rsid w:val="00396A45"/>
    <w:rsid w:val="00396C46"/>
    <w:rsid w:val="00396EC0"/>
    <w:rsid w:val="00397837"/>
    <w:rsid w:val="00397DD8"/>
    <w:rsid w:val="00397EDA"/>
    <w:rsid w:val="003A03A0"/>
    <w:rsid w:val="003A1619"/>
    <w:rsid w:val="003A1A71"/>
    <w:rsid w:val="003A2D84"/>
    <w:rsid w:val="003A4170"/>
    <w:rsid w:val="003A4B81"/>
    <w:rsid w:val="003A5038"/>
    <w:rsid w:val="003A573B"/>
    <w:rsid w:val="003A5E35"/>
    <w:rsid w:val="003A6535"/>
    <w:rsid w:val="003A70DF"/>
    <w:rsid w:val="003B1646"/>
    <w:rsid w:val="003B22DC"/>
    <w:rsid w:val="003B3D6D"/>
    <w:rsid w:val="003B4AB4"/>
    <w:rsid w:val="003B4C93"/>
    <w:rsid w:val="003B636E"/>
    <w:rsid w:val="003B6DD2"/>
    <w:rsid w:val="003B7195"/>
    <w:rsid w:val="003C0165"/>
    <w:rsid w:val="003C0C6D"/>
    <w:rsid w:val="003C1AFD"/>
    <w:rsid w:val="003C39FB"/>
    <w:rsid w:val="003C4A03"/>
    <w:rsid w:val="003C56EC"/>
    <w:rsid w:val="003C651F"/>
    <w:rsid w:val="003C676C"/>
    <w:rsid w:val="003C6A43"/>
    <w:rsid w:val="003C6CE8"/>
    <w:rsid w:val="003D0C48"/>
    <w:rsid w:val="003D127C"/>
    <w:rsid w:val="003D2828"/>
    <w:rsid w:val="003D3D35"/>
    <w:rsid w:val="003D4A4F"/>
    <w:rsid w:val="003D50DB"/>
    <w:rsid w:val="003D5979"/>
    <w:rsid w:val="003D5FE5"/>
    <w:rsid w:val="003D67F3"/>
    <w:rsid w:val="003D7417"/>
    <w:rsid w:val="003D7445"/>
    <w:rsid w:val="003E0147"/>
    <w:rsid w:val="003E06CE"/>
    <w:rsid w:val="003E0ACE"/>
    <w:rsid w:val="003E25A5"/>
    <w:rsid w:val="003E2C8A"/>
    <w:rsid w:val="003E2D33"/>
    <w:rsid w:val="003E3085"/>
    <w:rsid w:val="003E3679"/>
    <w:rsid w:val="003E38E5"/>
    <w:rsid w:val="003E3A0C"/>
    <w:rsid w:val="003E3A75"/>
    <w:rsid w:val="003E6101"/>
    <w:rsid w:val="003E7292"/>
    <w:rsid w:val="003E733A"/>
    <w:rsid w:val="003F02D0"/>
    <w:rsid w:val="003F2ACB"/>
    <w:rsid w:val="003F36A0"/>
    <w:rsid w:val="003F4129"/>
    <w:rsid w:val="003F4F27"/>
    <w:rsid w:val="003F54C4"/>
    <w:rsid w:val="003F713E"/>
    <w:rsid w:val="003F7835"/>
    <w:rsid w:val="0040039C"/>
    <w:rsid w:val="00401C70"/>
    <w:rsid w:val="00403384"/>
    <w:rsid w:val="00404249"/>
    <w:rsid w:val="00405654"/>
    <w:rsid w:val="004057E8"/>
    <w:rsid w:val="00405A7E"/>
    <w:rsid w:val="00406309"/>
    <w:rsid w:val="004075FF"/>
    <w:rsid w:val="00407D42"/>
    <w:rsid w:val="004100BD"/>
    <w:rsid w:val="004112E0"/>
    <w:rsid w:val="00411CD7"/>
    <w:rsid w:val="00414E51"/>
    <w:rsid w:val="00416390"/>
    <w:rsid w:val="0041690F"/>
    <w:rsid w:val="0041699F"/>
    <w:rsid w:val="00416C1E"/>
    <w:rsid w:val="004175C4"/>
    <w:rsid w:val="004179B4"/>
    <w:rsid w:val="00417A8F"/>
    <w:rsid w:val="00417C25"/>
    <w:rsid w:val="004201B1"/>
    <w:rsid w:val="004205A9"/>
    <w:rsid w:val="00420C8E"/>
    <w:rsid w:val="00421026"/>
    <w:rsid w:val="0042115A"/>
    <w:rsid w:val="004215DB"/>
    <w:rsid w:val="00421AE6"/>
    <w:rsid w:val="00422204"/>
    <w:rsid w:val="0042279A"/>
    <w:rsid w:val="00422F81"/>
    <w:rsid w:val="0042360E"/>
    <w:rsid w:val="00423613"/>
    <w:rsid w:val="00423980"/>
    <w:rsid w:val="004246EB"/>
    <w:rsid w:val="00424793"/>
    <w:rsid w:val="00425AB1"/>
    <w:rsid w:val="00426EA9"/>
    <w:rsid w:val="004317EE"/>
    <w:rsid w:val="00431A2B"/>
    <w:rsid w:val="004327F1"/>
    <w:rsid w:val="00432F23"/>
    <w:rsid w:val="00435A58"/>
    <w:rsid w:val="004368BD"/>
    <w:rsid w:val="00437553"/>
    <w:rsid w:val="00437574"/>
    <w:rsid w:val="00440413"/>
    <w:rsid w:val="00440E9D"/>
    <w:rsid w:val="00441D26"/>
    <w:rsid w:val="00442638"/>
    <w:rsid w:val="00442928"/>
    <w:rsid w:val="00442E91"/>
    <w:rsid w:val="00443918"/>
    <w:rsid w:val="0044487F"/>
    <w:rsid w:val="00444EE4"/>
    <w:rsid w:val="00445708"/>
    <w:rsid w:val="00445E32"/>
    <w:rsid w:val="004473EB"/>
    <w:rsid w:val="00447B0E"/>
    <w:rsid w:val="00447C5B"/>
    <w:rsid w:val="0045195C"/>
    <w:rsid w:val="00451EA5"/>
    <w:rsid w:val="00453BD2"/>
    <w:rsid w:val="004544E6"/>
    <w:rsid w:val="00454BB7"/>
    <w:rsid w:val="00456E8E"/>
    <w:rsid w:val="00456ED3"/>
    <w:rsid w:val="004607FB"/>
    <w:rsid w:val="00462F15"/>
    <w:rsid w:val="00463B84"/>
    <w:rsid w:val="00464437"/>
    <w:rsid w:val="004655E6"/>
    <w:rsid w:val="004675DE"/>
    <w:rsid w:val="004702EB"/>
    <w:rsid w:val="004703E0"/>
    <w:rsid w:val="00470657"/>
    <w:rsid w:val="0047155E"/>
    <w:rsid w:val="00472B0A"/>
    <w:rsid w:val="00473266"/>
    <w:rsid w:val="00475DAB"/>
    <w:rsid w:val="004763F5"/>
    <w:rsid w:val="004764C0"/>
    <w:rsid w:val="0047680E"/>
    <w:rsid w:val="00476E0C"/>
    <w:rsid w:val="00477C78"/>
    <w:rsid w:val="00477CF7"/>
    <w:rsid w:val="00477E2B"/>
    <w:rsid w:val="004808D8"/>
    <w:rsid w:val="00480A8B"/>
    <w:rsid w:val="00480DA0"/>
    <w:rsid w:val="004821D8"/>
    <w:rsid w:val="004827FD"/>
    <w:rsid w:val="0048335D"/>
    <w:rsid w:val="004847A9"/>
    <w:rsid w:val="00485394"/>
    <w:rsid w:val="00485850"/>
    <w:rsid w:val="0048667C"/>
    <w:rsid w:val="00487AB0"/>
    <w:rsid w:val="00490843"/>
    <w:rsid w:val="00492344"/>
    <w:rsid w:val="00492D4F"/>
    <w:rsid w:val="00493237"/>
    <w:rsid w:val="004933BE"/>
    <w:rsid w:val="004944C3"/>
    <w:rsid w:val="004965E6"/>
    <w:rsid w:val="0049672F"/>
    <w:rsid w:val="0049675A"/>
    <w:rsid w:val="004974BA"/>
    <w:rsid w:val="004A09DE"/>
    <w:rsid w:val="004A14A0"/>
    <w:rsid w:val="004A1D1F"/>
    <w:rsid w:val="004A1D96"/>
    <w:rsid w:val="004A2436"/>
    <w:rsid w:val="004A2717"/>
    <w:rsid w:val="004A2B5B"/>
    <w:rsid w:val="004A3E65"/>
    <w:rsid w:val="004A4E40"/>
    <w:rsid w:val="004A5208"/>
    <w:rsid w:val="004A5231"/>
    <w:rsid w:val="004A66AC"/>
    <w:rsid w:val="004A7A1E"/>
    <w:rsid w:val="004B37EC"/>
    <w:rsid w:val="004B5302"/>
    <w:rsid w:val="004B5480"/>
    <w:rsid w:val="004B586F"/>
    <w:rsid w:val="004B5D36"/>
    <w:rsid w:val="004B72F8"/>
    <w:rsid w:val="004C0150"/>
    <w:rsid w:val="004C0F0B"/>
    <w:rsid w:val="004C186A"/>
    <w:rsid w:val="004C1AB6"/>
    <w:rsid w:val="004C259A"/>
    <w:rsid w:val="004C58ED"/>
    <w:rsid w:val="004C6608"/>
    <w:rsid w:val="004C75D3"/>
    <w:rsid w:val="004D066B"/>
    <w:rsid w:val="004D1D71"/>
    <w:rsid w:val="004D2AA7"/>
    <w:rsid w:val="004D3A43"/>
    <w:rsid w:val="004D4167"/>
    <w:rsid w:val="004D55BE"/>
    <w:rsid w:val="004D61A6"/>
    <w:rsid w:val="004D664F"/>
    <w:rsid w:val="004D6989"/>
    <w:rsid w:val="004D7A81"/>
    <w:rsid w:val="004E30DB"/>
    <w:rsid w:val="004E3B21"/>
    <w:rsid w:val="004E4590"/>
    <w:rsid w:val="004E5108"/>
    <w:rsid w:val="004E526E"/>
    <w:rsid w:val="004E5D0A"/>
    <w:rsid w:val="004E5EEB"/>
    <w:rsid w:val="004E5FB4"/>
    <w:rsid w:val="004E670A"/>
    <w:rsid w:val="004E73A3"/>
    <w:rsid w:val="004F01AF"/>
    <w:rsid w:val="004F28AE"/>
    <w:rsid w:val="004F3748"/>
    <w:rsid w:val="004F3BB8"/>
    <w:rsid w:val="004F4138"/>
    <w:rsid w:val="004F5169"/>
    <w:rsid w:val="004F5ADA"/>
    <w:rsid w:val="00500565"/>
    <w:rsid w:val="005009EA"/>
    <w:rsid w:val="00502DB3"/>
    <w:rsid w:val="00504018"/>
    <w:rsid w:val="00504CA8"/>
    <w:rsid w:val="0050552E"/>
    <w:rsid w:val="00505F69"/>
    <w:rsid w:val="00511B54"/>
    <w:rsid w:val="00511BF8"/>
    <w:rsid w:val="005124E3"/>
    <w:rsid w:val="0051271D"/>
    <w:rsid w:val="005131FD"/>
    <w:rsid w:val="0051335B"/>
    <w:rsid w:val="00514BD8"/>
    <w:rsid w:val="00515F44"/>
    <w:rsid w:val="00516102"/>
    <w:rsid w:val="0051678B"/>
    <w:rsid w:val="00517984"/>
    <w:rsid w:val="00517DE6"/>
    <w:rsid w:val="00517F7F"/>
    <w:rsid w:val="00522664"/>
    <w:rsid w:val="00522AFB"/>
    <w:rsid w:val="005232BA"/>
    <w:rsid w:val="00523A71"/>
    <w:rsid w:val="0052592B"/>
    <w:rsid w:val="00526B6F"/>
    <w:rsid w:val="00526C94"/>
    <w:rsid w:val="0052768C"/>
    <w:rsid w:val="00527DC2"/>
    <w:rsid w:val="00530796"/>
    <w:rsid w:val="00530810"/>
    <w:rsid w:val="00531EA9"/>
    <w:rsid w:val="00532299"/>
    <w:rsid w:val="00532DEE"/>
    <w:rsid w:val="00533070"/>
    <w:rsid w:val="005332B5"/>
    <w:rsid w:val="0053348B"/>
    <w:rsid w:val="0053436F"/>
    <w:rsid w:val="00535019"/>
    <w:rsid w:val="005367A7"/>
    <w:rsid w:val="0053708D"/>
    <w:rsid w:val="005370C9"/>
    <w:rsid w:val="00540208"/>
    <w:rsid w:val="00541CE8"/>
    <w:rsid w:val="0054296F"/>
    <w:rsid w:val="00542EE1"/>
    <w:rsid w:val="005431E6"/>
    <w:rsid w:val="005441F0"/>
    <w:rsid w:val="00544FB6"/>
    <w:rsid w:val="00545C12"/>
    <w:rsid w:val="00545C9A"/>
    <w:rsid w:val="00546E3A"/>
    <w:rsid w:val="00547B09"/>
    <w:rsid w:val="0055035C"/>
    <w:rsid w:val="00550D9B"/>
    <w:rsid w:val="00551B14"/>
    <w:rsid w:val="00551B30"/>
    <w:rsid w:val="005525B2"/>
    <w:rsid w:val="00554F67"/>
    <w:rsid w:val="005557BC"/>
    <w:rsid w:val="00556E33"/>
    <w:rsid w:val="0055741A"/>
    <w:rsid w:val="00557662"/>
    <w:rsid w:val="0055771A"/>
    <w:rsid w:val="00557A5C"/>
    <w:rsid w:val="005625EF"/>
    <w:rsid w:val="00563215"/>
    <w:rsid w:val="00563626"/>
    <w:rsid w:val="00563A1E"/>
    <w:rsid w:val="00563CD6"/>
    <w:rsid w:val="005640C9"/>
    <w:rsid w:val="00564676"/>
    <w:rsid w:val="005646C8"/>
    <w:rsid w:val="00566170"/>
    <w:rsid w:val="00566320"/>
    <w:rsid w:val="00566B48"/>
    <w:rsid w:val="005670B3"/>
    <w:rsid w:val="005678E3"/>
    <w:rsid w:val="00570133"/>
    <w:rsid w:val="0057035C"/>
    <w:rsid w:val="005719EF"/>
    <w:rsid w:val="005734E9"/>
    <w:rsid w:val="00575BB3"/>
    <w:rsid w:val="005769ED"/>
    <w:rsid w:val="0057705D"/>
    <w:rsid w:val="00577CA3"/>
    <w:rsid w:val="00582734"/>
    <w:rsid w:val="00584017"/>
    <w:rsid w:val="00584EDB"/>
    <w:rsid w:val="00585475"/>
    <w:rsid w:val="00585F71"/>
    <w:rsid w:val="00586AB9"/>
    <w:rsid w:val="00586E14"/>
    <w:rsid w:val="00586FFD"/>
    <w:rsid w:val="00587AA7"/>
    <w:rsid w:val="00587FFB"/>
    <w:rsid w:val="00590670"/>
    <w:rsid w:val="0059076E"/>
    <w:rsid w:val="00592360"/>
    <w:rsid w:val="00592EE6"/>
    <w:rsid w:val="005936AD"/>
    <w:rsid w:val="0059442E"/>
    <w:rsid w:val="005962C8"/>
    <w:rsid w:val="00596A75"/>
    <w:rsid w:val="00596B64"/>
    <w:rsid w:val="00596FD9"/>
    <w:rsid w:val="005A1597"/>
    <w:rsid w:val="005A1B85"/>
    <w:rsid w:val="005A2974"/>
    <w:rsid w:val="005A2994"/>
    <w:rsid w:val="005A3907"/>
    <w:rsid w:val="005A440D"/>
    <w:rsid w:val="005A4603"/>
    <w:rsid w:val="005A4860"/>
    <w:rsid w:val="005A48C8"/>
    <w:rsid w:val="005A7184"/>
    <w:rsid w:val="005B2D7C"/>
    <w:rsid w:val="005B47CD"/>
    <w:rsid w:val="005B5551"/>
    <w:rsid w:val="005B5B57"/>
    <w:rsid w:val="005B684A"/>
    <w:rsid w:val="005B7189"/>
    <w:rsid w:val="005B78BE"/>
    <w:rsid w:val="005C1CCE"/>
    <w:rsid w:val="005C2336"/>
    <w:rsid w:val="005C2C69"/>
    <w:rsid w:val="005C3224"/>
    <w:rsid w:val="005C3460"/>
    <w:rsid w:val="005C5185"/>
    <w:rsid w:val="005C6238"/>
    <w:rsid w:val="005C6E86"/>
    <w:rsid w:val="005C782F"/>
    <w:rsid w:val="005D06E3"/>
    <w:rsid w:val="005D2A51"/>
    <w:rsid w:val="005D39BA"/>
    <w:rsid w:val="005D3D61"/>
    <w:rsid w:val="005D46E7"/>
    <w:rsid w:val="005E0BC5"/>
    <w:rsid w:val="005E0F8F"/>
    <w:rsid w:val="005E2A16"/>
    <w:rsid w:val="005E512F"/>
    <w:rsid w:val="005E553B"/>
    <w:rsid w:val="005F00FD"/>
    <w:rsid w:val="005F2667"/>
    <w:rsid w:val="005F42BF"/>
    <w:rsid w:val="005F4FDB"/>
    <w:rsid w:val="005F6BEC"/>
    <w:rsid w:val="005F787A"/>
    <w:rsid w:val="006007CE"/>
    <w:rsid w:val="00600F58"/>
    <w:rsid w:val="0060346F"/>
    <w:rsid w:val="00604099"/>
    <w:rsid w:val="006046BC"/>
    <w:rsid w:val="00605441"/>
    <w:rsid w:val="0060544A"/>
    <w:rsid w:val="00605D52"/>
    <w:rsid w:val="00606178"/>
    <w:rsid w:val="006065FD"/>
    <w:rsid w:val="006077CE"/>
    <w:rsid w:val="00610B96"/>
    <w:rsid w:val="00613FB0"/>
    <w:rsid w:val="006148C6"/>
    <w:rsid w:val="006164DE"/>
    <w:rsid w:val="00617664"/>
    <w:rsid w:val="00617C2A"/>
    <w:rsid w:val="00620EC8"/>
    <w:rsid w:val="00621619"/>
    <w:rsid w:val="00621FE6"/>
    <w:rsid w:val="00622329"/>
    <w:rsid w:val="00623D31"/>
    <w:rsid w:val="0062444F"/>
    <w:rsid w:val="0062557A"/>
    <w:rsid w:val="00625728"/>
    <w:rsid w:val="006269A0"/>
    <w:rsid w:val="00627799"/>
    <w:rsid w:val="00630DC7"/>
    <w:rsid w:val="00636C81"/>
    <w:rsid w:val="00641026"/>
    <w:rsid w:val="006413E9"/>
    <w:rsid w:val="006438D2"/>
    <w:rsid w:val="00645763"/>
    <w:rsid w:val="006459D5"/>
    <w:rsid w:val="00645AE6"/>
    <w:rsid w:val="00646EF5"/>
    <w:rsid w:val="0065377A"/>
    <w:rsid w:val="00654D87"/>
    <w:rsid w:val="0065554C"/>
    <w:rsid w:val="00656242"/>
    <w:rsid w:val="0065685F"/>
    <w:rsid w:val="00656DBE"/>
    <w:rsid w:val="00662BF6"/>
    <w:rsid w:val="00662E3B"/>
    <w:rsid w:val="00663238"/>
    <w:rsid w:val="00664353"/>
    <w:rsid w:val="00664DB4"/>
    <w:rsid w:val="00671E7E"/>
    <w:rsid w:val="00672DD1"/>
    <w:rsid w:val="00674763"/>
    <w:rsid w:val="00677D8F"/>
    <w:rsid w:val="00680F89"/>
    <w:rsid w:val="00683E50"/>
    <w:rsid w:val="0068510B"/>
    <w:rsid w:val="00685C44"/>
    <w:rsid w:val="00686446"/>
    <w:rsid w:val="0068678C"/>
    <w:rsid w:val="00686DB8"/>
    <w:rsid w:val="006900CF"/>
    <w:rsid w:val="00693060"/>
    <w:rsid w:val="00693078"/>
    <w:rsid w:val="00693D78"/>
    <w:rsid w:val="006963C4"/>
    <w:rsid w:val="00697168"/>
    <w:rsid w:val="006A155C"/>
    <w:rsid w:val="006A2618"/>
    <w:rsid w:val="006A5444"/>
    <w:rsid w:val="006A566C"/>
    <w:rsid w:val="006A566F"/>
    <w:rsid w:val="006A56E8"/>
    <w:rsid w:val="006A5AB0"/>
    <w:rsid w:val="006A6FD1"/>
    <w:rsid w:val="006A79E8"/>
    <w:rsid w:val="006B00F1"/>
    <w:rsid w:val="006B0A48"/>
    <w:rsid w:val="006B1A8D"/>
    <w:rsid w:val="006B2AAB"/>
    <w:rsid w:val="006B32B8"/>
    <w:rsid w:val="006B38FC"/>
    <w:rsid w:val="006B3F22"/>
    <w:rsid w:val="006B4FB3"/>
    <w:rsid w:val="006B5700"/>
    <w:rsid w:val="006B5DE6"/>
    <w:rsid w:val="006B67BF"/>
    <w:rsid w:val="006B7AD6"/>
    <w:rsid w:val="006C057D"/>
    <w:rsid w:val="006C15FE"/>
    <w:rsid w:val="006C2380"/>
    <w:rsid w:val="006C29E3"/>
    <w:rsid w:val="006C2D07"/>
    <w:rsid w:val="006C3503"/>
    <w:rsid w:val="006C436C"/>
    <w:rsid w:val="006C4842"/>
    <w:rsid w:val="006C5A2E"/>
    <w:rsid w:val="006C5C5F"/>
    <w:rsid w:val="006C5F69"/>
    <w:rsid w:val="006C6C88"/>
    <w:rsid w:val="006C6D9E"/>
    <w:rsid w:val="006C7285"/>
    <w:rsid w:val="006D0447"/>
    <w:rsid w:val="006D075A"/>
    <w:rsid w:val="006D312B"/>
    <w:rsid w:val="006D3A49"/>
    <w:rsid w:val="006D3BDC"/>
    <w:rsid w:val="006D46C3"/>
    <w:rsid w:val="006D5448"/>
    <w:rsid w:val="006D6C1A"/>
    <w:rsid w:val="006D7950"/>
    <w:rsid w:val="006D7E22"/>
    <w:rsid w:val="006E02E7"/>
    <w:rsid w:val="006E04C1"/>
    <w:rsid w:val="006E1380"/>
    <w:rsid w:val="006E3A04"/>
    <w:rsid w:val="006E40A8"/>
    <w:rsid w:val="006E42AF"/>
    <w:rsid w:val="006E4330"/>
    <w:rsid w:val="006E53A1"/>
    <w:rsid w:val="006E6B21"/>
    <w:rsid w:val="006E72C4"/>
    <w:rsid w:val="006E76E9"/>
    <w:rsid w:val="006E79B6"/>
    <w:rsid w:val="006E7D43"/>
    <w:rsid w:val="006E7FBE"/>
    <w:rsid w:val="006F0814"/>
    <w:rsid w:val="006F2065"/>
    <w:rsid w:val="006F2757"/>
    <w:rsid w:val="006F381A"/>
    <w:rsid w:val="006F7770"/>
    <w:rsid w:val="006F7E63"/>
    <w:rsid w:val="006F7E82"/>
    <w:rsid w:val="006F7EBD"/>
    <w:rsid w:val="007003EB"/>
    <w:rsid w:val="007014FF"/>
    <w:rsid w:val="00701DE3"/>
    <w:rsid w:val="00702BBE"/>
    <w:rsid w:val="00702FDE"/>
    <w:rsid w:val="0070362A"/>
    <w:rsid w:val="007059AF"/>
    <w:rsid w:val="00705B70"/>
    <w:rsid w:val="007065F4"/>
    <w:rsid w:val="00706BD2"/>
    <w:rsid w:val="00707D0C"/>
    <w:rsid w:val="00707D29"/>
    <w:rsid w:val="00707FB6"/>
    <w:rsid w:val="0071085F"/>
    <w:rsid w:val="00710A97"/>
    <w:rsid w:val="00710D98"/>
    <w:rsid w:val="00710E4D"/>
    <w:rsid w:val="00711B5D"/>
    <w:rsid w:val="00712066"/>
    <w:rsid w:val="007127F6"/>
    <w:rsid w:val="00712EA2"/>
    <w:rsid w:val="00713B3D"/>
    <w:rsid w:val="007162F6"/>
    <w:rsid w:val="007168FD"/>
    <w:rsid w:val="007169A2"/>
    <w:rsid w:val="00717680"/>
    <w:rsid w:val="007177C3"/>
    <w:rsid w:val="00717A6B"/>
    <w:rsid w:val="00720796"/>
    <w:rsid w:val="00720D7B"/>
    <w:rsid w:val="0072111D"/>
    <w:rsid w:val="00722213"/>
    <w:rsid w:val="007226DE"/>
    <w:rsid w:val="00723751"/>
    <w:rsid w:val="00724D52"/>
    <w:rsid w:val="007250EF"/>
    <w:rsid w:val="00726393"/>
    <w:rsid w:val="007263C7"/>
    <w:rsid w:val="007265D7"/>
    <w:rsid w:val="00726709"/>
    <w:rsid w:val="00726948"/>
    <w:rsid w:val="00726ABE"/>
    <w:rsid w:val="007310AE"/>
    <w:rsid w:val="00732456"/>
    <w:rsid w:val="0073266B"/>
    <w:rsid w:val="00732F77"/>
    <w:rsid w:val="007332B9"/>
    <w:rsid w:val="00734592"/>
    <w:rsid w:val="00734C03"/>
    <w:rsid w:val="00735675"/>
    <w:rsid w:val="00736FAE"/>
    <w:rsid w:val="0073759F"/>
    <w:rsid w:val="00741A90"/>
    <w:rsid w:val="007423E3"/>
    <w:rsid w:val="00742B63"/>
    <w:rsid w:val="00742E92"/>
    <w:rsid w:val="00744418"/>
    <w:rsid w:val="00745985"/>
    <w:rsid w:val="00745BBD"/>
    <w:rsid w:val="00745EDF"/>
    <w:rsid w:val="00747328"/>
    <w:rsid w:val="00747CF2"/>
    <w:rsid w:val="00750159"/>
    <w:rsid w:val="00751BB6"/>
    <w:rsid w:val="00752395"/>
    <w:rsid w:val="00752C31"/>
    <w:rsid w:val="007534D1"/>
    <w:rsid w:val="00753C64"/>
    <w:rsid w:val="00753E01"/>
    <w:rsid w:val="00754168"/>
    <w:rsid w:val="0075431C"/>
    <w:rsid w:val="0076335B"/>
    <w:rsid w:val="00763634"/>
    <w:rsid w:val="00764A77"/>
    <w:rsid w:val="00765C09"/>
    <w:rsid w:val="007660B5"/>
    <w:rsid w:val="00766CFE"/>
    <w:rsid w:val="00770067"/>
    <w:rsid w:val="0077091E"/>
    <w:rsid w:val="00770B33"/>
    <w:rsid w:val="0077358F"/>
    <w:rsid w:val="00773F25"/>
    <w:rsid w:val="00774D81"/>
    <w:rsid w:val="00776306"/>
    <w:rsid w:val="00780C61"/>
    <w:rsid w:val="00781102"/>
    <w:rsid w:val="00781DB4"/>
    <w:rsid w:val="007835C5"/>
    <w:rsid w:val="007836DB"/>
    <w:rsid w:val="00784C11"/>
    <w:rsid w:val="00785E40"/>
    <w:rsid w:val="007863E9"/>
    <w:rsid w:val="00787B7E"/>
    <w:rsid w:val="00790286"/>
    <w:rsid w:val="00791BC6"/>
    <w:rsid w:val="00792925"/>
    <w:rsid w:val="007934CC"/>
    <w:rsid w:val="007936FE"/>
    <w:rsid w:val="0079513D"/>
    <w:rsid w:val="00795548"/>
    <w:rsid w:val="00795954"/>
    <w:rsid w:val="00795EC8"/>
    <w:rsid w:val="00796347"/>
    <w:rsid w:val="00797061"/>
    <w:rsid w:val="007A1DD2"/>
    <w:rsid w:val="007A2F81"/>
    <w:rsid w:val="007A5144"/>
    <w:rsid w:val="007A6008"/>
    <w:rsid w:val="007A7DA0"/>
    <w:rsid w:val="007B0439"/>
    <w:rsid w:val="007B084A"/>
    <w:rsid w:val="007B29E4"/>
    <w:rsid w:val="007B2EDF"/>
    <w:rsid w:val="007B3A14"/>
    <w:rsid w:val="007B4271"/>
    <w:rsid w:val="007B5BEB"/>
    <w:rsid w:val="007B76C7"/>
    <w:rsid w:val="007B793D"/>
    <w:rsid w:val="007C0CF2"/>
    <w:rsid w:val="007C2EA9"/>
    <w:rsid w:val="007C33A1"/>
    <w:rsid w:val="007C49F6"/>
    <w:rsid w:val="007C4A2A"/>
    <w:rsid w:val="007C544B"/>
    <w:rsid w:val="007C5517"/>
    <w:rsid w:val="007D1B80"/>
    <w:rsid w:val="007D1F89"/>
    <w:rsid w:val="007D2214"/>
    <w:rsid w:val="007D3C12"/>
    <w:rsid w:val="007D3D22"/>
    <w:rsid w:val="007D421F"/>
    <w:rsid w:val="007D4439"/>
    <w:rsid w:val="007D4C0E"/>
    <w:rsid w:val="007D4F83"/>
    <w:rsid w:val="007D5098"/>
    <w:rsid w:val="007D5213"/>
    <w:rsid w:val="007E033D"/>
    <w:rsid w:val="007E0592"/>
    <w:rsid w:val="007E0E0C"/>
    <w:rsid w:val="007E2951"/>
    <w:rsid w:val="007E3549"/>
    <w:rsid w:val="007E5208"/>
    <w:rsid w:val="007E6120"/>
    <w:rsid w:val="007E6756"/>
    <w:rsid w:val="007E7EF2"/>
    <w:rsid w:val="007F015C"/>
    <w:rsid w:val="007F2F85"/>
    <w:rsid w:val="007F47C3"/>
    <w:rsid w:val="007F5C3F"/>
    <w:rsid w:val="007F7E13"/>
    <w:rsid w:val="0080020E"/>
    <w:rsid w:val="00801FD6"/>
    <w:rsid w:val="00802BF8"/>
    <w:rsid w:val="008046A4"/>
    <w:rsid w:val="00804FA0"/>
    <w:rsid w:val="008064F5"/>
    <w:rsid w:val="00806E8A"/>
    <w:rsid w:val="00807709"/>
    <w:rsid w:val="00807895"/>
    <w:rsid w:val="008104C7"/>
    <w:rsid w:val="00811112"/>
    <w:rsid w:val="008118B8"/>
    <w:rsid w:val="008125D5"/>
    <w:rsid w:val="008129FE"/>
    <w:rsid w:val="00813C51"/>
    <w:rsid w:val="00813E7C"/>
    <w:rsid w:val="00813FA0"/>
    <w:rsid w:val="00815493"/>
    <w:rsid w:val="00817411"/>
    <w:rsid w:val="00820275"/>
    <w:rsid w:val="00821BD5"/>
    <w:rsid w:val="00822708"/>
    <w:rsid w:val="0082342B"/>
    <w:rsid w:val="0082381E"/>
    <w:rsid w:val="008238B7"/>
    <w:rsid w:val="008251BF"/>
    <w:rsid w:val="008259FF"/>
    <w:rsid w:val="00825CE0"/>
    <w:rsid w:val="00826AC1"/>
    <w:rsid w:val="00827482"/>
    <w:rsid w:val="008276D0"/>
    <w:rsid w:val="008316AC"/>
    <w:rsid w:val="0083254E"/>
    <w:rsid w:val="008343DE"/>
    <w:rsid w:val="00834513"/>
    <w:rsid w:val="00834708"/>
    <w:rsid w:val="008361DC"/>
    <w:rsid w:val="0084042B"/>
    <w:rsid w:val="0084100A"/>
    <w:rsid w:val="0084123D"/>
    <w:rsid w:val="008422A0"/>
    <w:rsid w:val="0084268F"/>
    <w:rsid w:val="00842BD4"/>
    <w:rsid w:val="008461A0"/>
    <w:rsid w:val="00846AAA"/>
    <w:rsid w:val="00847C52"/>
    <w:rsid w:val="00850AA9"/>
    <w:rsid w:val="00850D27"/>
    <w:rsid w:val="00851674"/>
    <w:rsid w:val="00852B48"/>
    <w:rsid w:val="00852CB6"/>
    <w:rsid w:val="00853A27"/>
    <w:rsid w:val="00854361"/>
    <w:rsid w:val="008546AB"/>
    <w:rsid w:val="00856834"/>
    <w:rsid w:val="00856C90"/>
    <w:rsid w:val="00857B14"/>
    <w:rsid w:val="0086127B"/>
    <w:rsid w:val="00861D80"/>
    <w:rsid w:val="00862DB0"/>
    <w:rsid w:val="00865F15"/>
    <w:rsid w:val="00866F95"/>
    <w:rsid w:val="00870762"/>
    <w:rsid w:val="00872AFC"/>
    <w:rsid w:val="00872B90"/>
    <w:rsid w:val="00872F02"/>
    <w:rsid w:val="00873471"/>
    <w:rsid w:val="0087375F"/>
    <w:rsid w:val="00873BDB"/>
    <w:rsid w:val="00874665"/>
    <w:rsid w:val="00875B29"/>
    <w:rsid w:val="0087685D"/>
    <w:rsid w:val="008771DF"/>
    <w:rsid w:val="008777F6"/>
    <w:rsid w:val="00880012"/>
    <w:rsid w:val="00881899"/>
    <w:rsid w:val="00881945"/>
    <w:rsid w:val="00883368"/>
    <w:rsid w:val="0088427B"/>
    <w:rsid w:val="00886255"/>
    <w:rsid w:val="00886591"/>
    <w:rsid w:val="00886600"/>
    <w:rsid w:val="00890C38"/>
    <w:rsid w:val="00891785"/>
    <w:rsid w:val="008920B5"/>
    <w:rsid w:val="00893128"/>
    <w:rsid w:val="00894AD6"/>
    <w:rsid w:val="00894BE7"/>
    <w:rsid w:val="00894C30"/>
    <w:rsid w:val="00896B37"/>
    <w:rsid w:val="008A080C"/>
    <w:rsid w:val="008A1892"/>
    <w:rsid w:val="008A260E"/>
    <w:rsid w:val="008A26F9"/>
    <w:rsid w:val="008A404B"/>
    <w:rsid w:val="008A41F6"/>
    <w:rsid w:val="008A4900"/>
    <w:rsid w:val="008A5D3D"/>
    <w:rsid w:val="008A6703"/>
    <w:rsid w:val="008A703E"/>
    <w:rsid w:val="008A7235"/>
    <w:rsid w:val="008A7B47"/>
    <w:rsid w:val="008B0C3D"/>
    <w:rsid w:val="008B18C6"/>
    <w:rsid w:val="008B1B91"/>
    <w:rsid w:val="008B2329"/>
    <w:rsid w:val="008B2F5A"/>
    <w:rsid w:val="008B40CD"/>
    <w:rsid w:val="008B5A47"/>
    <w:rsid w:val="008B6334"/>
    <w:rsid w:val="008B6690"/>
    <w:rsid w:val="008B6B85"/>
    <w:rsid w:val="008B704C"/>
    <w:rsid w:val="008B795A"/>
    <w:rsid w:val="008C074E"/>
    <w:rsid w:val="008C101D"/>
    <w:rsid w:val="008C1A21"/>
    <w:rsid w:val="008C33B4"/>
    <w:rsid w:val="008C4254"/>
    <w:rsid w:val="008C4337"/>
    <w:rsid w:val="008C50B5"/>
    <w:rsid w:val="008C623E"/>
    <w:rsid w:val="008C62DF"/>
    <w:rsid w:val="008C6641"/>
    <w:rsid w:val="008C7267"/>
    <w:rsid w:val="008C7751"/>
    <w:rsid w:val="008C79DC"/>
    <w:rsid w:val="008D0C05"/>
    <w:rsid w:val="008D0C6F"/>
    <w:rsid w:val="008D30C3"/>
    <w:rsid w:val="008D3DC9"/>
    <w:rsid w:val="008D4116"/>
    <w:rsid w:val="008D4174"/>
    <w:rsid w:val="008D4294"/>
    <w:rsid w:val="008D4E16"/>
    <w:rsid w:val="008D5811"/>
    <w:rsid w:val="008D5DFC"/>
    <w:rsid w:val="008D6D3A"/>
    <w:rsid w:val="008E08BE"/>
    <w:rsid w:val="008E10F4"/>
    <w:rsid w:val="008E2211"/>
    <w:rsid w:val="008E271A"/>
    <w:rsid w:val="008E32EC"/>
    <w:rsid w:val="008E36AB"/>
    <w:rsid w:val="008E3AB9"/>
    <w:rsid w:val="008E448A"/>
    <w:rsid w:val="008E6387"/>
    <w:rsid w:val="008E6E50"/>
    <w:rsid w:val="008E7403"/>
    <w:rsid w:val="008E7594"/>
    <w:rsid w:val="008E76F9"/>
    <w:rsid w:val="008F0A58"/>
    <w:rsid w:val="008F1821"/>
    <w:rsid w:val="008F255E"/>
    <w:rsid w:val="008F35D4"/>
    <w:rsid w:val="008F3613"/>
    <w:rsid w:val="008F39A0"/>
    <w:rsid w:val="008F3E1A"/>
    <w:rsid w:val="008F7209"/>
    <w:rsid w:val="00902DFF"/>
    <w:rsid w:val="00904448"/>
    <w:rsid w:val="00904944"/>
    <w:rsid w:val="00904BC1"/>
    <w:rsid w:val="00904C9F"/>
    <w:rsid w:val="00905BA8"/>
    <w:rsid w:val="00906836"/>
    <w:rsid w:val="0090790A"/>
    <w:rsid w:val="00910018"/>
    <w:rsid w:val="00910536"/>
    <w:rsid w:val="00911863"/>
    <w:rsid w:val="00911F43"/>
    <w:rsid w:val="00912E62"/>
    <w:rsid w:val="00913482"/>
    <w:rsid w:val="00913914"/>
    <w:rsid w:val="00916F08"/>
    <w:rsid w:val="0091728E"/>
    <w:rsid w:val="00917CAE"/>
    <w:rsid w:val="00920355"/>
    <w:rsid w:val="00921162"/>
    <w:rsid w:val="009216A6"/>
    <w:rsid w:val="00921B27"/>
    <w:rsid w:val="00923797"/>
    <w:rsid w:val="00923FE2"/>
    <w:rsid w:val="0092475F"/>
    <w:rsid w:val="00924854"/>
    <w:rsid w:val="0092499D"/>
    <w:rsid w:val="00926AD0"/>
    <w:rsid w:val="00926F13"/>
    <w:rsid w:val="00927875"/>
    <w:rsid w:val="00927F41"/>
    <w:rsid w:val="009303C7"/>
    <w:rsid w:val="009305DC"/>
    <w:rsid w:val="0093340E"/>
    <w:rsid w:val="00933619"/>
    <w:rsid w:val="00933A28"/>
    <w:rsid w:val="00934844"/>
    <w:rsid w:val="00934BEE"/>
    <w:rsid w:val="009350E0"/>
    <w:rsid w:val="00935977"/>
    <w:rsid w:val="0093788A"/>
    <w:rsid w:val="00937A61"/>
    <w:rsid w:val="00937E16"/>
    <w:rsid w:val="0094060C"/>
    <w:rsid w:val="00940F70"/>
    <w:rsid w:val="00941AD1"/>
    <w:rsid w:val="00943E47"/>
    <w:rsid w:val="00944207"/>
    <w:rsid w:val="00945AE6"/>
    <w:rsid w:val="00946207"/>
    <w:rsid w:val="0094675F"/>
    <w:rsid w:val="00950426"/>
    <w:rsid w:val="0095062E"/>
    <w:rsid w:val="00950F43"/>
    <w:rsid w:val="009515EF"/>
    <w:rsid w:val="009529E0"/>
    <w:rsid w:val="00953B28"/>
    <w:rsid w:val="00953C5C"/>
    <w:rsid w:val="0095472E"/>
    <w:rsid w:val="00954C68"/>
    <w:rsid w:val="00954D6A"/>
    <w:rsid w:val="009553F2"/>
    <w:rsid w:val="00955E6B"/>
    <w:rsid w:val="009563A9"/>
    <w:rsid w:val="0095666B"/>
    <w:rsid w:val="00957046"/>
    <w:rsid w:val="00961FA1"/>
    <w:rsid w:val="0096255A"/>
    <w:rsid w:val="009626FF"/>
    <w:rsid w:val="009627B7"/>
    <w:rsid w:val="00962D14"/>
    <w:rsid w:val="00963BBD"/>
    <w:rsid w:val="00964B13"/>
    <w:rsid w:val="00965F66"/>
    <w:rsid w:val="009660AC"/>
    <w:rsid w:val="00966E65"/>
    <w:rsid w:val="00970C39"/>
    <w:rsid w:val="00971649"/>
    <w:rsid w:val="00971C5F"/>
    <w:rsid w:val="00972BF1"/>
    <w:rsid w:val="009737A6"/>
    <w:rsid w:val="009744D9"/>
    <w:rsid w:val="009755F7"/>
    <w:rsid w:val="00975640"/>
    <w:rsid w:val="00977F50"/>
    <w:rsid w:val="009802EE"/>
    <w:rsid w:val="00985AA5"/>
    <w:rsid w:val="00985C35"/>
    <w:rsid w:val="00985E6A"/>
    <w:rsid w:val="009905B9"/>
    <w:rsid w:val="00990AE6"/>
    <w:rsid w:val="00990CF5"/>
    <w:rsid w:val="00992CD1"/>
    <w:rsid w:val="0099369C"/>
    <w:rsid w:val="00993836"/>
    <w:rsid w:val="0099394B"/>
    <w:rsid w:val="009942ED"/>
    <w:rsid w:val="00994421"/>
    <w:rsid w:val="00994FA9"/>
    <w:rsid w:val="0099528F"/>
    <w:rsid w:val="00997398"/>
    <w:rsid w:val="00997D0B"/>
    <w:rsid w:val="009A1AF4"/>
    <w:rsid w:val="009A1E61"/>
    <w:rsid w:val="009A2903"/>
    <w:rsid w:val="009A3CDB"/>
    <w:rsid w:val="009A48AC"/>
    <w:rsid w:val="009A4A80"/>
    <w:rsid w:val="009A50CF"/>
    <w:rsid w:val="009A5555"/>
    <w:rsid w:val="009A5A20"/>
    <w:rsid w:val="009A63BD"/>
    <w:rsid w:val="009A7080"/>
    <w:rsid w:val="009B21A8"/>
    <w:rsid w:val="009B24C5"/>
    <w:rsid w:val="009B2849"/>
    <w:rsid w:val="009B2B3E"/>
    <w:rsid w:val="009B2E6F"/>
    <w:rsid w:val="009B3828"/>
    <w:rsid w:val="009B3AF3"/>
    <w:rsid w:val="009B424C"/>
    <w:rsid w:val="009B4289"/>
    <w:rsid w:val="009B6A84"/>
    <w:rsid w:val="009B74C5"/>
    <w:rsid w:val="009C12E4"/>
    <w:rsid w:val="009C1CB6"/>
    <w:rsid w:val="009C1D59"/>
    <w:rsid w:val="009C2F70"/>
    <w:rsid w:val="009C33A5"/>
    <w:rsid w:val="009C3BFE"/>
    <w:rsid w:val="009C407F"/>
    <w:rsid w:val="009C4616"/>
    <w:rsid w:val="009C4F59"/>
    <w:rsid w:val="009C50F2"/>
    <w:rsid w:val="009C5BDB"/>
    <w:rsid w:val="009C76AD"/>
    <w:rsid w:val="009C7DAB"/>
    <w:rsid w:val="009C7F8F"/>
    <w:rsid w:val="009D01CD"/>
    <w:rsid w:val="009D0863"/>
    <w:rsid w:val="009D1771"/>
    <w:rsid w:val="009D1790"/>
    <w:rsid w:val="009D1D31"/>
    <w:rsid w:val="009D32D1"/>
    <w:rsid w:val="009D418C"/>
    <w:rsid w:val="009D637F"/>
    <w:rsid w:val="009D64ED"/>
    <w:rsid w:val="009D7617"/>
    <w:rsid w:val="009E3521"/>
    <w:rsid w:val="009E358E"/>
    <w:rsid w:val="009E4EF7"/>
    <w:rsid w:val="009E5133"/>
    <w:rsid w:val="009E565D"/>
    <w:rsid w:val="009E5B8D"/>
    <w:rsid w:val="009E5EA7"/>
    <w:rsid w:val="009E6182"/>
    <w:rsid w:val="009E6FD8"/>
    <w:rsid w:val="009F0361"/>
    <w:rsid w:val="009F09BE"/>
    <w:rsid w:val="009F5C77"/>
    <w:rsid w:val="009F6041"/>
    <w:rsid w:val="009F631A"/>
    <w:rsid w:val="00A00E31"/>
    <w:rsid w:val="00A0152A"/>
    <w:rsid w:val="00A01C99"/>
    <w:rsid w:val="00A02638"/>
    <w:rsid w:val="00A0331A"/>
    <w:rsid w:val="00A04000"/>
    <w:rsid w:val="00A046BA"/>
    <w:rsid w:val="00A057D6"/>
    <w:rsid w:val="00A06AF8"/>
    <w:rsid w:val="00A06D73"/>
    <w:rsid w:val="00A0712C"/>
    <w:rsid w:val="00A077A1"/>
    <w:rsid w:val="00A10690"/>
    <w:rsid w:val="00A1099A"/>
    <w:rsid w:val="00A11918"/>
    <w:rsid w:val="00A12CC3"/>
    <w:rsid w:val="00A148BE"/>
    <w:rsid w:val="00A14AF6"/>
    <w:rsid w:val="00A14F96"/>
    <w:rsid w:val="00A15936"/>
    <w:rsid w:val="00A164F8"/>
    <w:rsid w:val="00A16FD6"/>
    <w:rsid w:val="00A17AC7"/>
    <w:rsid w:val="00A20D64"/>
    <w:rsid w:val="00A226F2"/>
    <w:rsid w:val="00A23014"/>
    <w:rsid w:val="00A2375A"/>
    <w:rsid w:val="00A238C2"/>
    <w:rsid w:val="00A23CAF"/>
    <w:rsid w:val="00A24503"/>
    <w:rsid w:val="00A25AFB"/>
    <w:rsid w:val="00A308F0"/>
    <w:rsid w:val="00A30F28"/>
    <w:rsid w:val="00A32F90"/>
    <w:rsid w:val="00A3306A"/>
    <w:rsid w:val="00A333A7"/>
    <w:rsid w:val="00A3562B"/>
    <w:rsid w:val="00A35698"/>
    <w:rsid w:val="00A36E3B"/>
    <w:rsid w:val="00A40437"/>
    <w:rsid w:val="00A40CFF"/>
    <w:rsid w:val="00A43AC9"/>
    <w:rsid w:val="00A4449D"/>
    <w:rsid w:val="00A44616"/>
    <w:rsid w:val="00A4464D"/>
    <w:rsid w:val="00A44926"/>
    <w:rsid w:val="00A451D6"/>
    <w:rsid w:val="00A45B08"/>
    <w:rsid w:val="00A467CE"/>
    <w:rsid w:val="00A46800"/>
    <w:rsid w:val="00A4699C"/>
    <w:rsid w:val="00A4793C"/>
    <w:rsid w:val="00A51C16"/>
    <w:rsid w:val="00A527AD"/>
    <w:rsid w:val="00A53365"/>
    <w:rsid w:val="00A540F5"/>
    <w:rsid w:val="00A55937"/>
    <w:rsid w:val="00A55A89"/>
    <w:rsid w:val="00A605C8"/>
    <w:rsid w:val="00A6302B"/>
    <w:rsid w:val="00A63369"/>
    <w:rsid w:val="00A658D3"/>
    <w:rsid w:val="00A65A87"/>
    <w:rsid w:val="00A65FE9"/>
    <w:rsid w:val="00A673FE"/>
    <w:rsid w:val="00A7010D"/>
    <w:rsid w:val="00A7058C"/>
    <w:rsid w:val="00A70597"/>
    <w:rsid w:val="00A70B92"/>
    <w:rsid w:val="00A7169A"/>
    <w:rsid w:val="00A718BA"/>
    <w:rsid w:val="00A727EA"/>
    <w:rsid w:val="00A73CE9"/>
    <w:rsid w:val="00A73D81"/>
    <w:rsid w:val="00A75110"/>
    <w:rsid w:val="00A75701"/>
    <w:rsid w:val="00A75BA7"/>
    <w:rsid w:val="00A77D9B"/>
    <w:rsid w:val="00A80718"/>
    <w:rsid w:val="00A8077C"/>
    <w:rsid w:val="00A80E2E"/>
    <w:rsid w:val="00A81A01"/>
    <w:rsid w:val="00A81E48"/>
    <w:rsid w:val="00A820E8"/>
    <w:rsid w:val="00A82A17"/>
    <w:rsid w:val="00A82E3F"/>
    <w:rsid w:val="00A82FDE"/>
    <w:rsid w:val="00A83C0C"/>
    <w:rsid w:val="00A84432"/>
    <w:rsid w:val="00A8494F"/>
    <w:rsid w:val="00A849CE"/>
    <w:rsid w:val="00A85697"/>
    <w:rsid w:val="00A85EF1"/>
    <w:rsid w:val="00A87B25"/>
    <w:rsid w:val="00A90282"/>
    <w:rsid w:val="00A9279A"/>
    <w:rsid w:val="00A92E84"/>
    <w:rsid w:val="00A932A5"/>
    <w:rsid w:val="00A94520"/>
    <w:rsid w:val="00A94640"/>
    <w:rsid w:val="00A954C3"/>
    <w:rsid w:val="00A9660E"/>
    <w:rsid w:val="00A9689F"/>
    <w:rsid w:val="00A96ECB"/>
    <w:rsid w:val="00A9710F"/>
    <w:rsid w:val="00A972CD"/>
    <w:rsid w:val="00AA08A8"/>
    <w:rsid w:val="00AA0E47"/>
    <w:rsid w:val="00AA1D1C"/>
    <w:rsid w:val="00AA255D"/>
    <w:rsid w:val="00AA2788"/>
    <w:rsid w:val="00AA2AA1"/>
    <w:rsid w:val="00AA4509"/>
    <w:rsid w:val="00AA47AD"/>
    <w:rsid w:val="00AA5350"/>
    <w:rsid w:val="00AA54E5"/>
    <w:rsid w:val="00AB0E1A"/>
    <w:rsid w:val="00AB2D10"/>
    <w:rsid w:val="00AB30A3"/>
    <w:rsid w:val="00AB3C62"/>
    <w:rsid w:val="00AB4D47"/>
    <w:rsid w:val="00AB5546"/>
    <w:rsid w:val="00AB556F"/>
    <w:rsid w:val="00AB7194"/>
    <w:rsid w:val="00AC1548"/>
    <w:rsid w:val="00AC2341"/>
    <w:rsid w:val="00AC390E"/>
    <w:rsid w:val="00AC4B99"/>
    <w:rsid w:val="00AC554F"/>
    <w:rsid w:val="00AC6442"/>
    <w:rsid w:val="00AC7ABB"/>
    <w:rsid w:val="00AC7B94"/>
    <w:rsid w:val="00AD0B31"/>
    <w:rsid w:val="00AD11CE"/>
    <w:rsid w:val="00AD21DB"/>
    <w:rsid w:val="00AD2E5E"/>
    <w:rsid w:val="00AD38BF"/>
    <w:rsid w:val="00AD4A48"/>
    <w:rsid w:val="00AD66D3"/>
    <w:rsid w:val="00AD6A0F"/>
    <w:rsid w:val="00AD70CB"/>
    <w:rsid w:val="00AD7989"/>
    <w:rsid w:val="00AE0011"/>
    <w:rsid w:val="00AE225D"/>
    <w:rsid w:val="00AE264F"/>
    <w:rsid w:val="00AE2904"/>
    <w:rsid w:val="00AE306A"/>
    <w:rsid w:val="00AE3405"/>
    <w:rsid w:val="00AE3657"/>
    <w:rsid w:val="00AE38D3"/>
    <w:rsid w:val="00AE4BDF"/>
    <w:rsid w:val="00AE5159"/>
    <w:rsid w:val="00AE5517"/>
    <w:rsid w:val="00AE568B"/>
    <w:rsid w:val="00AE6E7D"/>
    <w:rsid w:val="00AE79A7"/>
    <w:rsid w:val="00AF08D5"/>
    <w:rsid w:val="00AF368F"/>
    <w:rsid w:val="00AF36B8"/>
    <w:rsid w:val="00AF4B2D"/>
    <w:rsid w:val="00AF4C17"/>
    <w:rsid w:val="00AF5CD4"/>
    <w:rsid w:val="00AF5D77"/>
    <w:rsid w:val="00B01083"/>
    <w:rsid w:val="00B02573"/>
    <w:rsid w:val="00B02C73"/>
    <w:rsid w:val="00B02DEE"/>
    <w:rsid w:val="00B02F72"/>
    <w:rsid w:val="00B03254"/>
    <w:rsid w:val="00B062D5"/>
    <w:rsid w:val="00B063C3"/>
    <w:rsid w:val="00B065A4"/>
    <w:rsid w:val="00B06DFF"/>
    <w:rsid w:val="00B07E67"/>
    <w:rsid w:val="00B10548"/>
    <w:rsid w:val="00B10E3C"/>
    <w:rsid w:val="00B119FA"/>
    <w:rsid w:val="00B15125"/>
    <w:rsid w:val="00B15262"/>
    <w:rsid w:val="00B15394"/>
    <w:rsid w:val="00B157DD"/>
    <w:rsid w:val="00B15F43"/>
    <w:rsid w:val="00B16A6D"/>
    <w:rsid w:val="00B16EA5"/>
    <w:rsid w:val="00B17FCA"/>
    <w:rsid w:val="00B21D80"/>
    <w:rsid w:val="00B21F7A"/>
    <w:rsid w:val="00B22208"/>
    <w:rsid w:val="00B2256E"/>
    <w:rsid w:val="00B231A9"/>
    <w:rsid w:val="00B232F4"/>
    <w:rsid w:val="00B23BB5"/>
    <w:rsid w:val="00B23E36"/>
    <w:rsid w:val="00B23EF5"/>
    <w:rsid w:val="00B2431A"/>
    <w:rsid w:val="00B25751"/>
    <w:rsid w:val="00B2637B"/>
    <w:rsid w:val="00B26B25"/>
    <w:rsid w:val="00B27E2B"/>
    <w:rsid w:val="00B32042"/>
    <w:rsid w:val="00B3266B"/>
    <w:rsid w:val="00B33246"/>
    <w:rsid w:val="00B348D2"/>
    <w:rsid w:val="00B35097"/>
    <w:rsid w:val="00B35CE7"/>
    <w:rsid w:val="00B36DE0"/>
    <w:rsid w:val="00B36FEB"/>
    <w:rsid w:val="00B37CAD"/>
    <w:rsid w:val="00B37D08"/>
    <w:rsid w:val="00B4007F"/>
    <w:rsid w:val="00B40F8B"/>
    <w:rsid w:val="00B41186"/>
    <w:rsid w:val="00B420B4"/>
    <w:rsid w:val="00B43758"/>
    <w:rsid w:val="00B43C62"/>
    <w:rsid w:val="00B4525D"/>
    <w:rsid w:val="00B46A9C"/>
    <w:rsid w:val="00B50210"/>
    <w:rsid w:val="00B509F9"/>
    <w:rsid w:val="00B51945"/>
    <w:rsid w:val="00B526EF"/>
    <w:rsid w:val="00B52E11"/>
    <w:rsid w:val="00B53EA1"/>
    <w:rsid w:val="00B552F8"/>
    <w:rsid w:val="00B554B6"/>
    <w:rsid w:val="00B55CE6"/>
    <w:rsid w:val="00B56097"/>
    <w:rsid w:val="00B56B28"/>
    <w:rsid w:val="00B61127"/>
    <w:rsid w:val="00B63F41"/>
    <w:rsid w:val="00B650BF"/>
    <w:rsid w:val="00B653A8"/>
    <w:rsid w:val="00B6556B"/>
    <w:rsid w:val="00B65631"/>
    <w:rsid w:val="00B66C8F"/>
    <w:rsid w:val="00B7000E"/>
    <w:rsid w:val="00B70F53"/>
    <w:rsid w:val="00B73344"/>
    <w:rsid w:val="00B73462"/>
    <w:rsid w:val="00B73E77"/>
    <w:rsid w:val="00B74374"/>
    <w:rsid w:val="00B74F89"/>
    <w:rsid w:val="00B75888"/>
    <w:rsid w:val="00B77E5F"/>
    <w:rsid w:val="00B800BA"/>
    <w:rsid w:val="00B800FB"/>
    <w:rsid w:val="00B80AEC"/>
    <w:rsid w:val="00B814A5"/>
    <w:rsid w:val="00B815D4"/>
    <w:rsid w:val="00B81675"/>
    <w:rsid w:val="00B83620"/>
    <w:rsid w:val="00B84646"/>
    <w:rsid w:val="00B84D4E"/>
    <w:rsid w:val="00B94BDA"/>
    <w:rsid w:val="00B94EFC"/>
    <w:rsid w:val="00B953AA"/>
    <w:rsid w:val="00B962BF"/>
    <w:rsid w:val="00B962D8"/>
    <w:rsid w:val="00B979CC"/>
    <w:rsid w:val="00BA0664"/>
    <w:rsid w:val="00BA081B"/>
    <w:rsid w:val="00BA0E1B"/>
    <w:rsid w:val="00BA107C"/>
    <w:rsid w:val="00BA1F64"/>
    <w:rsid w:val="00BA2939"/>
    <w:rsid w:val="00BA3011"/>
    <w:rsid w:val="00BA345B"/>
    <w:rsid w:val="00BA3518"/>
    <w:rsid w:val="00BA3BE4"/>
    <w:rsid w:val="00BA64EF"/>
    <w:rsid w:val="00BA7727"/>
    <w:rsid w:val="00BA7A52"/>
    <w:rsid w:val="00BB00D5"/>
    <w:rsid w:val="00BB0E2D"/>
    <w:rsid w:val="00BB19BC"/>
    <w:rsid w:val="00BB1B78"/>
    <w:rsid w:val="00BB214D"/>
    <w:rsid w:val="00BB2241"/>
    <w:rsid w:val="00BB241E"/>
    <w:rsid w:val="00BB2945"/>
    <w:rsid w:val="00BB2E5C"/>
    <w:rsid w:val="00BB346E"/>
    <w:rsid w:val="00BB3B92"/>
    <w:rsid w:val="00BB6E9A"/>
    <w:rsid w:val="00BB70F1"/>
    <w:rsid w:val="00BB74D9"/>
    <w:rsid w:val="00BB7F77"/>
    <w:rsid w:val="00BC0071"/>
    <w:rsid w:val="00BC05AB"/>
    <w:rsid w:val="00BC0698"/>
    <w:rsid w:val="00BC201B"/>
    <w:rsid w:val="00BC2060"/>
    <w:rsid w:val="00BC2728"/>
    <w:rsid w:val="00BC3977"/>
    <w:rsid w:val="00BC4911"/>
    <w:rsid w:val="00BC494B"/>
    <w:rsid w:val="00BC532C"/>
    <w:rsid w:val="00BC564D"/>
    <w:rsid w:val="00BC6930"/>
    <w:rsid w:val="00BC6D78"/>
    <w:rsid w:val="00BD08A4"/>
    <w:rsid w:val="00BD0C65"/>
    <w:rsid w:val="00BD2416"/>
    <w:rsid w:val="00BD38FA"/>
    <w:rsid w:val="00BD4F4A"/>
    <w:rsid w:val="00BD5FE7"/>
    <w:rsid w:val="00BD623F"/>
    <w:rsid w:val="00BE0263"/>
    <w:rsid w:val="00BE11DE"/>
    <w:rsid w:val="00BE1E54"/>
    <w:rsid w:val="00BE3AE2"/>
    <w:rsid w:val="00BE5047"/>
    <w:rsid w:val="00BE6BCD"/>
    <w:rsid w:val="00BE722A"/>
    <w:rsid w:val="00BE7A3C"/>
    <w:rsid w:val="00BF125B"/>
    <w:rsid w:val="00BF4B24"/>
    <w:rsid w:val="00C01705"/>
    <w:rsid w:val="00C03E26"/>
    <w:rsid w:val="00C052D7"/>
    <w:rsid w:val="00C05934"/>
    <w:rsid w:val="00C06238"/>
    <w:rsid w:val="00C06A40"/>
    <w:rsid w:val="00C06E1E"/>
    <w:rsid w:val="00C10C42"/>
    <w:rsid w:val="00C10DF8"/>
    <w:rsid w:val="00C15739"/>
    <w:rsid w:val="00C15966"/>
    <w:rsid w:val="00C165A1"/>
    <w:rsid w:val="00C17778"/>
    <w:rsid w:val="00C17AA4"/>
    <w:rsid w:val="00C17EEF"/>
    <w:rsid w:val="00C2075F"/>
    <w:rsid w:val="00C21B8D"/>
    <w:rsid w:val="00C22481"/>
    <w:rsid w:val="00C23C3F"/>
    <w:rsid w:val="00C25459"/>
    <w:rsid w:val="00C25933"/>
    <w:rsid w:val="00C262A7"/>
    <w:rsid w:val="00C302A7"/>
    <w:rsid w:val="00C312E0"/>
    <w:rsid w:val="00C31977"/>
    <w:rsid w:val="00C338D8"/>
    <w:rsid w:val="00C34737"/>
    <w:rsid w:val="00C34B59"/>
    <w:rsid w:val="00C35438"/>
    <w:rsid w:val="00C35566"/>
    <w:rsid w:val="00C357B6"/>
    <w:rsid w:val="00C358C4"/>
    <w:rsid w:val="00C36E5E"/>
    <w:rsid w:val="00C40144"/>
    <w:rsid w:val="00C4112A"/>
    <w:rsid w:val="00C4278C"/>
    <w:rsid w:val="00C42845"/>
    <w:rsid w:val="00C42F9A"/>
    <w:rsid w:val="00C44557"/>
    <w:rsid w:val="00C464AA"/>
    <w:rsid w:val="00C50C03"/>
    <w:rsid w:val="00C51922"/>
    <w:rsid w:val="00C51E29"/>
    <w:rsid w:val="00C532A0"/>
    <w:rsid w:val="00C54826"/>
    <w:rsid w:val="00C54C9F"/>
    <w:rsid w:val="00C571E7"/>
    <w:rsid w:val="00C57CAB"/>
    <w:rsid w:val="00C609B6"/>
    <w:rsid w:val="00C621AD"/>
    <w:rsid w:val="00C634D9"/>
    <w:rsid w:val="00C63933"/>
    <w:rsid w:val="00C64955"/>
    <w:rsid w:val="00C6561B"/>
    <w:rsid w:val="00C66A04"/>
    <w:rsid w:val="00C67A84"/>
    <w:rsid w:val="00C720DD"/>
    <w:rsid w:val="00C73885"/>
    <w:rsid w:val="00C743F8"/>
    <w:rsid w:val="00C749E4"/>
    <w:rsid w:val="00C75410"/>
    <w:rsid w:val="00C7683F"/>
    <w:rsid w:val="00C76C55"/>
    <w:rsid w:val="00C77A76"/>
    <w:rsid w:val="00C81B73"/>
    <w:rsid w:val="00C81BAF"/>
    <w:rsid w:val="00C82337"/>
    <w:rsid w:val="00C823D7"/>
    <w:rsid w:val="00C82413"/>
    <w:rsid w:val="00C82808"/>
    <w:rsid w:val="00C842B4"/>
    <w:rsid w:val="00C84790"/>
    <w:rsid w:val="00C84A72"/>
    <w:rsid w:val="00C856A4"/>
    <w:rsid w:val="00C86434"/>
    <w:rsid w:val="00C870DC"/>
    <w:rsid w:val="00C8713D"/>
    <w:rsid w:val="00C902C8"/>
    <w:rsid w:val="00C91F4A"/>
    <w:rsid w:val="00C93C5E"/>
    <w:rsid w:val="00C94A00"/>
    <w:rsid w:val="00C966DB"/>
    <w:rsid w:val="00CA1DDB"/>
    <w:rsid w:val="00CA1E33"/>
    <w:rsid w:val="00CA2D3C"/>
    <w:rsid w:val="00CA42CF"/>
    <w:rsid w:val="00CA4B0B"/>
    <w:rsid w:val="00CA5068"/>
    <w:rsid w:val="00CA52EE"/>
    <w:rsid w:val="00CA765D"/>
    <w:rsid w:val="00CB000B"/>
    <w:rsid w:val="00CB046C"/>
    <w:rsid w:val="00CB0D85"/>
    <w:rsid w:val="00CB2480"/>
    <w:rsid w:val="00CB2671"/>
    <w:rsid w:val="00CB294A"/>
    <w:rsid w:val="00CB30A3"/>
    <w:rsid w:val="00CB4117"/>
    <w:rsid w:val="00CB5A33"/>
    <w:rsid w:val="00CB61B5"/>
    <w:rsid w:val="00CB779C"/>
    <w:rsid w:val="00CC139E"/>
    <w:rsid w:val="00CC51DF"/>
    <w:rsid w:val="00CC540E"/>
    <w:rsid w:val="00CC6258"/>
    <w:rsid w:val="00CC6AD5"/>
    <w:rsid w:val="00CD091B"/>
    <w:rsid w:val="00CD2447"/>
    <w:rsid w:val="00CD2723"/>
    <w:rsid w:val="00CD2ACD"/>
    <w:rsid w:val="00CD4B9B"/>
    <w:rsid w:val="00CD5606"/>
    <w:rsid w:val="00CD61F0"/>
    <w:rsid w:val="00CE2171"/>
    <w:rsid w:val="00CE2C07"/>
    <w:rsid w:val="00CE3CD7"/>
    <w:rsid w:val="00CE3F80"/>
    <w:rsid w:val="00CE4629"/>
    <w:rsid w:val="00CE6447"/>
    <w:rsid w:val="00CE776D"/>
    <w:rsid w:val="00CF004B"/>
    <w:rsid w:val="00CF0B0D"/>
    <w:rsid w:val="00CF1F82"/>
    <w:rsid w:val="00CF2333"/>
    <w:rsid w:val="00CF2DAB"/>
    <w:rsid w:val="00CF3781"/>
    <w:rsid w:val="00CF4120"/>
    <w:rsid w:val="00CF4A54"/>
    <w:rsid w:val="00CF56B1"/>
    <w:rsid w:val="00CF623D"/>
    <w:rsid w:val="00CF6728"/>
    <w:rsid w:val="00CF6C8F"/>
    <w:rsid w:val="00CF7B17"/>
    <w:rsid w:val="00D000FB"/>
    <w:rsid w:val="00D002EF"/>
    <w:rsid w:val="00D0122D"/>
    <w:rsid w:val="00D01536"/>
    <w:rsid w:val="00D02867"/>
    <w:rsid w:val="00D04EE3"/>
    <w:rsid w:val="00D04F32"/>
    <w:rsid w:val="00D05606"/>
    <w:rsid w:val="00D062A1"/>
    <w:rsid w:val="00D06781"/>
    <w:rsid w:val="00D07A7E"/>
    <w:rsid w:val="00D10074"/>
    <w:rsid w:val="00D103FB"/>
    <w:rsid w:val="00D12A81"/>
    <w:rsid w:val="00D12AE6"/>
    <w:rsid w:val="00D1680A"/>
    <w:rsid w:val="00D16B44"/>
    <w:rsid w:val="00D16DA9"/>
    <w:rsid w:val="00D17479"/>
    <w:rsid w:val="00D22A50"/>
    <w:rsid w:val="00D23137"/>
    <w:rsid w:val="00D24AF8"/>
    <w:rsid w:val="00D2634D"/>
    <w:rsid w:val="00D27A4C"/>
    <w:rsid w:val="00D31E2E"/>
    <w:rsid w:val="00D32075"/>
    <w:rsid w:val="00D34AC6"/>
    <w:rsid w:val="00D35408"/>
    <w:rsid w:val="00D354F2"/>
    <w:rsid w:val="00D35549"/>
    <w:rsid w:val="00D40332"/>
    <w:rsid w:val="00D41B2F"/>
    <w:rsid w:val="00D42408"/>
    <w:rsid w:val="00D42533"/>
    <w:rsid w:val="00D433CE"/>
    <w:rsid w:val="00D435FD"/>
    <w:rsid w:val="00D4659E"/>
    <w:rsid w:val="00D468D1"/>
    <w:rsid w:val="00D46C3A"/>
    <w:rsid w:val="00D50496"/>
    <w:rsid w:val="00D505A0"/>
    <w:rsid w:val="00D50612"/>
    <w:rsid w:val="00D51C77"/>
    <w:rsid w:val="00D54235"/>
    <w:rsid w:val="00D554FB"/>
    <w:rsid w:val="00D5558B"/>
    <w:rsid w:val="00D56C90"/>
    <w:rsid w:val="00D57B77"/>
    <w:rsid w:val="00D60253"/>
    <w:rsid w:val="00D61075"/>
    <w:rsid w:val="00D61C57"/>
    <w:rsid w:val="00D63352"/>
    <w:rsid w:val="00D63522"/>
    <w:rsid w:val="00D639D8"/>
    <w:rsid w:val="00D6503B"/>
    <w:rsid w:val="00D70B40"/>
    <w:rsid w:val="00D71D17"/>
    <w:rsid w:val="00D72E49"/>
    <w:rsid w:val="00D73BF0"/>
    <w:rsid w:val="00D75127"/>
    <w:rsid w:val="00D75B58"/>
    <w:rsid w:val="00D75C93"/>
    <w:rsid w:val="00D75F71"/>
    <w:rsid w:val="00D77BC0"/>
    <w:rsid w:val="00D77F22"/>
    <w:rsid w:val="00D8129B"/>
    <w:rsid w:val="00D8218C"/>
    <w:rsid w:val="00D82305"/>
    <w:rsid w:val="00D826FA"/>
    <w:rsid w:val="00D82DC7"/>
    <w:rsid w:val="00D85C74"/>
    <w:rsid w:val="00D86C75"/>
    <w:rsid w:val="00D86F87"/>
    <w:rsid w:val="00D873A3"/>
    <w:rsid w:val="00D87B03"/>
    <w:rsid w:val="00D9007E"/>
    <w:rsid w:val="00D90295"/>
    <w:rsid w:val="00D90478"/>
    <w:rsid w:val="00D906AE"/>
    <w:rsid w:val="00D90C20"/>
    <w:rsid w:val="00D91076"/>
    <w:rsid w:val="00D92D0B"/>
    <w:rsid w:val="00D94F79"/>
    <w:rsid w:val="00D95296"/>
    <w:rsid w:val="00D9545D"/>
    <w:rsid w:val="00D96CB7"/>
    <w:rsid w:val="00D9734D"/>
    <w:rsid w:val="00D97989"/>
    <w:rsid w:val="00DA280C"/>
    <w:rsid w:val="00DA2DEE"/>
    <w:rsid w:val="00DA385C"/>
    <w:rsid w:val="00DA5387"/>
    <w:rsid w:val="00DA6682"/>
    <w:rsid w:val="00DA6E37"/>
    <w:rsid w:val="00DA7417"/>
    <w:rsid w:val="00DA7B14"/>
    <w:rsid w:val="00DB136A"/>
    <w:rsid w:val="00DB2158"/>
    <w:rsid w:val="00DB21FB"/>
    <w:rsid w:val="00DB3485"/>
    <w:rsid w:val="00DB3D6D"/>
    <w:rsid w:val="00DB4606"/>
    <w:rsid w:val="00DB4972"/>
    <w:rsid w:val="00DB5635"/>
    <w:rsid w:val="00DB5A2D"/>
    <w:rsid w:val="00DB64ED"/>
    <w:rsid w:val="00DB6B98"/>
    <w:rsid w:val="00DB7368"/>
    <w:rsid w:val="00DB7D27"/>
    <w:rsid w:val="00DC0E96"/>
    <w:rsid w:val="00DC128C"/>
    <w:rsid w:val="00DC1752"/>
    <w:rsid w:val="00DC1A73"/>
    <w:rsid w:val="00DC26C1"/>
    <w:rsid w:val="00DC2D5F"/>
    <w:rsid w:val="00DC3B2A"/>
    <w:rsid w:val="00DC4311"/>
    <w:rsid w:val="00DD0BCF"/>
    <w:rsid w:val="00DD1182"/>
    <w:rsid w:val="00DD38C7"/>
    <w:rsid w:val="00DD3D9D"/>
    <w:rsid w:val="00DD4851"/>
    <w:rsid w:val="00DD4D59"/>
    <w:rsid w:val="00DD585B"/>
    <w:rsid w:val="00DD65B5"/>
    <w:rsid w:val="00DD6A9E"/>
    <w:rsid w:val="00DD6C2B"/>
    <w:rsid w:val="00DD7105"/>
    <w:rsid w:val="00DD7157"/>
    <w:rsid w:val="00DD7688"/>
    <w:rsid w:val="00DE0875"/>
    <w:rsid w:val="00DE2244"/>
    <w:rsid w:val="00DE2623"/>
    <w:rsid w:val="00DE2A79"/>
    <w:rsid w:val="00DE2F0A"/>
    <w:rsid w:val="00DE3200"/>
    <w:rsid w:val="00DE39B9"/>
    <w:rsid w:val="00DE4B2A"/>
    <w:rsid w:val="00DE5166"/>
    <w:rsid w:val="00DE56B3"/>
    <w:rsid w:val="00DE5897"/>
    <w:rsid w:val="00DE6F01"/>
    <w:rsid w:val="00DE7674"/>
    <w:rsid w:val="00DF03F0"/>
    <w:rsid w:val="00DF099D"/>
    <w:rsid w:val="00DF1E64"/>
    <w:rsid w:val="00DF3A24"/>
    <w:rsid w:val="00DF3EA3"/>
    <w:rsid w:val="00DF5E24"/>
    <w:rsid w:val="00DF672B"/>
    <w:rsid w:val="00DF78A9"/>
    <w:rsid w:val="00DF7C46"/>
    <w:rsid w:val="00DF7F4C"/>
    <w:rsid w:val="00E0036D"/>
    <w:rsid w:val="00E00EDF"/>
    <w:rsid w:val="00E025FE"/>
    <w:rsid w:val="00E026F1"/>
    <w:rsid w:val="00E0476B"/>
    <w:rsid w:val="00E07498"/>
    <w:rsid w:val="00E10F92"/>
    <w:rsid w:val="00E11594"/>
    <w:rsid w:val="00E1175B"/>
    <w:rsid w:val="00E13001"/>
    <w:rsid w:val="00E17DCA"/>
    <w:rsid w:val="00E21E17"/>
    <w:rsid w:val="00E23E17"/>
    <w:rsid w:val="00E24E1F"/>
    <w:rsid w:val="00E24F85"/>
    <w:rsid w:val="00E24FBD"/>
    <w:rsid w:val="00E2599D"/>
    <w:rsid w:val="00E259F5"/>
    <w:rsid w:val="00E25BCB"/>
    <w:rsid w:val="00E279F8"/>
    <w:rsid w:val="00E30560"/>
    <w:rsid w:val="00E32E31"/>
    <w:rsid w:val="00E35616"/>
    <w:rsid w:val="00E35DC2"/>
    <w:rsid w:val="00E376FB"/>
    <w:rsid w:val="00E41219"/>
    <w:rsid w:val="00E417A4"/>
    <w:rsid w:val="00E4188C"/>
    <w:rsid w:val="00E41CBE"/>
    <w:rsid w:val="00E42100"/>
    <w:rsid w:val="00E43310"/>
    <w:rsid w:val="00E434F5"/>
    <w:rsid w:val="00E44470"/>
    <w:rsid w:val="00E459C2"/>
    <w:rsid w:val="00E465C7"/>
    <w:rsid w:val="00E503D7"/>
    <w:rsid w:val="00E5178A"/>
    <w:rsid w:val="00E5345C"/>
    <w:rsid w:val="00E536AE"/>
    <w:rsid w:val="00E54490"/>
    <w:rsid w:val="00E54731"/>
    <w:rsid w:val="00E54949"/>
    <w:rsid w:val="00E5757C"/>
    <w:rsid w:val="00E57894"/>
    <w:rsid w:val="00E61395"/>
    <w:rsid w:val="00E614FE"/>
    <w:rsid w:val="00E61D03"/>
    <w:rsid w:val="00E634A8"/>
    <w:rsid w:val="00E6495C"/>
    <w:rsid w:val="00E657A0"/>
    <w:rsid w:val="00E70525"/>
    <w:rsid w:val="00E70CD5"/>
    <w:rsid w:val="00E70E36"/>
    <w:rsid w:val="00E71A07"/>
    <w:rsid w:val="00E7291F"/>
    <w:rsid w:val="00E72A88"/>
    <w:rsid w:val="00E7614E"/>
    <w:rsid w:val="00E76205"/>
    <w:rsid w:val="00E7645B"/>
    <w:rsid w:val="00E766C8"/>
    <w:rsid w:val="00E77A77"/>
    <w:rsid w:val="00E806B0"/>
    <w:rsid w:val="00E80D70"/>
    <w:rsid w:val="00E81149"/>
    <w:rsid w:val="00E82133"/>
    <w:rsid w:val="00E825F1"/>
    <w:rsid w:val="00E83246"/>
    <w:rsid w:val="00E853BC"/>
    <w:rsid w:val="00E866CE"/>
    <w:rsid w:val="00E86D20"/>
    <w:rsid w:val="00E901F2"/>
    <w:rsid w:val="00E915D1"/>
    <w:rsid w:val="00E9283E"/>
    <w:rsid w:val="00E92DBD"/>
    <w:rsid w:val="00E9334B"/>
    <w:rsid w:val="00E939D4"/>
    <w:rsid w:val="00E94731"/>
    <w:rsid w:val="00E94F28"/>
    <w:rsid w:val="00E95160"/>
    <w:rsid w:val="00E953E0"/>
    <w:rsid w:val="00EA2EEC"/>
    <w:rsid w:val="00EA77AF"/>
    <w:rsid w:val="00EB056F"/>
    <w:rsid w:val="00EB05E2"/>
    <w:rsid w:val="00EB0EE0"/>
    <w:rsid w:val="00EB14C4"/>
    <w:rsid w:val="00EB207A"/>
    <w:rsid w:val="00EB2575"/>
    <w:rsid w:val="00EB2753"/>
    <w:rsid w:val="00EB3C75"/>
    <w:rsid w:val="00EB4370"/>
    <w:rsid w:val="00EB47CB"/>
    <w:rsid w:val="00EB5111"/>
    <w:rsid w:val="00EC10CB"/>
    <w:rsid w:val="00EC1756"/>
    <w:rsid w:val="00EC33C8"/>
    <w:rsid w:val="00EC37A3"/>
    <w:rsid w:val="00EC68EE"/>
    <w:rsid w:val="00EC6D6E"/>
    <w:rsid w:val="00EC7EDA"/>
    <w:rsid w:val="00ED0ED6"/>
    <w:rsid w:val="00ED12BE"/>
    <w:rsid w:val="00ED14F3"/>
    <w:rsid w:val="00ED293E"/>
    <w:rsid w:val="00ED2BF7"/>
    <w:rsid w:val="00ED3BA3"/>
    <w:rsid w:val="00ED49A0"/>
    <w:rsid w:val="00ED49E3"/>
    <w:rsid w:val="00ED558E"/>
    <w:rsid w:val="00ED5959"/>
    <w:rsid w:val="00ED5B44"/>
    <w:rsid w:val="00ED5FF2"/>
    <w:rsid w:val="00ED63E1"/>
    <w:rsid w:val="00ED67A2"/>
    <w:rsid w:val="00ED7FAB"/>
    <w:rsid w:val="00EE0225"/>
    <w:rsid w:val="00EE058B"/>
    <w:rsid w:val="00EE10E5"/>
    <w:rsid w:val="00EE2F86"/>
    <w:rsid w:val="00EE3708"/>
    <w:rsid w:val="00EE3A7F"/>
    <w:rsid w:val="00EE3DC4"/>
    <w:rsid w:val="00EE3DF4"/>
    <w:rsid w:val="00EE42F1"/>
    <w:rsid w:val="00EE5D8B"/>
    <w:rsid w:val="00EE6D5C"/>
    <w:rsid w:val="00EE7863"/>
    <w:rsid w:val="00EE78E7"/>
    <w:rsid w:val="00EF0548"/>
    <w:rsid w:val="00EF1DEC"/>
    <w:rsid w:val="00EF42C4"/>
    <w:rsid w:val="00EF4B62"/>
    <w:rsid w:val="00EF4DD2"/>
    <w:rsid w:val="00EF56CB"/>
    <w:rsid w:val="00EF57DD"/>
    <w:rsid w:val="00EF5DC5"/>
    <w:rsid w:val="00EF6675"/>
    <w:rsid w:val="00EF6F2B"/>
    <w:rsid w:val="00F012CA"/>
    <w:rsid w:val="00F01635"/>
    <w:rsid w:val="00F0244C"/>
    <w:rsid w:val="00F03047"/>
    <w:rsid w:val="00F04086"/>
    <w:rsid w:val="00F04F6A"/>
    <w:rsid w:val="00F07112"/>
    <w:rsid w:val="00F07BF3"/>
    <w:rsid w:val="00F07D23"/>
    <w:rsid w:val="00F10B9E"/>
    <w:rsid w:val="00F1200F"/>
    <w:rsid w:val="00F12670"/>
    <w:rsid w:val="00F137F4"/>
    <w:rsid w:val="00F166FB"/>
    <w:rsid w:val="00F16E21"/>
    <w:rsid w:val="00F1726C"/>
    <w:rsid w:val="00F17883"/>
    <w:rsid w:val="00F2042E"/>
    <w:rsid w:val="00F21003"/>
    <w:rsid w:val="00F224DC"/>
    <w:rsid w:val="00F226B1"/>
    <w:rsid w:val="00F2286B"/>
    <w:rsid w:val="00F22ECB"/>
    <w:rsid w:val="00F2430B"/>
    <w:rsid w:val="00F26611"/>
    <w:rsid w:val="00F2707F"/>
    <w:rsid w:val="00F2714A"/>
    <w:rsid w:val="00F31363"/>
    <w:rsid w:val="00F31C9A"/>
    <w:rsid w:val="00F31CEA"/>
    <w:rsid w:val="00F320DF"/>
    <w:rsid w:val="00F32FEB"/>
    <w:rsid w:val="00F32FF1"/>
    <w:rsid w:val="00F334F0"/>
    <w:rsid w:val="00F3369B"/>
    <w:rsid w:val="00F35C3E"/>
    <w:rsid w:val="00F36C92"/>
    <w:rsid w:val="00F3756A"/>
    <w:rsid w:val="00F41043"/>
    <w:rsid w:val="00F41895"/>
    <w:rsid w:val="00F41913"/>
    <w:rsid w:val="00F42403"/>
    <w:rsid w:val="00F428DA"/>
    <w:rsid w:val="00F434A2"/>
    <w:rsid w:val="00F43860"/>
    <w:rsid w:val="00F4387C"/>
    <w:rsid w:val="00F46387"/>
    <w:rsid w:val="00F46515"/>
    <w:rsid w:val="00F46BAB"/>
    <w:rsid w:val="00F51CD9"/>
    <w:rsid w:val="00F54CD6"/>
    <w:rsid w:val="00F54F9B"/>
    <w:rsid w:val="00F5524A"/>
    <w:rsid w:val="00F55DCA"/>
    <w:rsid w:val="00F607B1"/>
    <w:rsid w:val="00F610DD"/>
    <w:rsid w:val="00F6111F"/>
    <w:rsid w:val="00F61878"/>
    <w:rsid w:val="00F61C11"/>
    <w:rsid w:val="00F635F5"/>
    <w:rsid w:val="00F63E9E"/>
    <w:rsid w:val="00F64DE3"/>
    <w:rsid w:val="00F650B3"/>
    <w:rsid w:val="00F66436"/>
    <w:rsid w:val="00F678BE"/>
    <w:rsid w:val="00F70BC7"/>
    <w:rsid w:val="00F70C82"/>
    <w:rsid w:val="00F72879"/>
    <w:rsid w:val="00F73636"/>
    <w:rsid w:val="00F73AEE"/>
    <w:rsid w:val="00F760EF"/>
    <w:rsid w:val="00F76B77"/>
    <w:rsid w:val="00F76C58"/>
    <w:rsid w:val="00F7791D"/>
    <w:rsid w:val="00F77FC9"/>
    <w:rsid w:val="00F8010E"/>
    <w:rsid w:val="00F8058C"/>
    <w:rsid w:val="00F812AE"/>
    <w:rsid w:val="00F817DD"/>
    <w:rsid w:val="00F84023"/>
    <w:rsid w:val="00F8491B"/>
    <w:rsid w:val="00F849FF"/>
    <w:rsid w:val="00F85495"/>
    <w:rsid w:val="00F859F1"/>
    <w:rsid w:val="00F86738"/>
    <w:rsid w:val="00F87108"/>
    <w:rsid w:val="00F87D5F"/>
    <w:rsid w:val="00F87F55"/>
    <w:rsid w:val="00F90D9F"/>
    <w:rsid w:val="00F913F1"/>
    <w:rsid w:val="00F91609"/>
    <w:rsid w:val="00F936F1"/>
    <w:rsid w:val="00F95AD5"/>
    <w:rsid w:val="00F95F89"/>
    <w:rsid w:val="00F9607C"/>
    <w:rsid w:val="00F96396"/>
    <w:rsid w:val="00F96B5E"/>
    <w:rsid w:val="00F9786D"/>
    <w:rsid w:val="00F979C7"/>
    <w:rsid w:val="00F97F18"/>
    <w:rsid w:val="00FA0089"/>
    <w:rsid w:val="00FA20AD"/>
    <w:rsid w:val="00FA2B6F"/>
    <w:rsid w:val="00FA358B"/>
    <w:rsid w:val="00FA52B2"/>
    <w:rsid w:val="00FA671F"/>
    <w:rsid w:val="00FA787C"/>
    <w:rsid w:val="00FB0A6E"/>
    <w:rsid w:val="00FB1BE4"/>
    <w:rsid w:val="00FB1C4D"/>
    <w:rsid w:val="00FB2743"/>
    <w:rsid w:val="00FB311E"/>
    <w:rsid w:val="00FB3224"/>
    <w:rsid w:val="00FB478A"/>
    <w:rsid w:val="00FB4843"/>
    <w:rsid w:val="00FB4A19"/>
    <w:rsid w:val="00FB5714"/>
    <w:rsid w:val="00FB75DE"/>
    <w:rsid w:val="00FC129B"/>
    <w:rsid w:val="00FC50A7"/>
    <w:rsid w:val="00FC6D3C"/>
    <w:rsid w:val="00FC6FD8"/>
    <w:rsid w:val="00FD022F"/>
    <w:rsid w:val="00FD0587"/>
    <w:rsid w:val="00FD247B"/>
    <w:rsid w:val="00FD38B7"/>
    <w:rsid w:val="00FD3924"/>
    <w:rsid w:val="00FD4477"/>
    <w:rsid w:val="00FD44C1"/>
    <w:rsid w:val="00FD48B1"/>
    <w:rsid w:val="00FD5A1C"/>
    <w:rsid w:val="00FE0309"/>
    <w:rsid w:val="00FE05D2"/>
    <w:rsid w:val="00FE11E6"/>
    <w:rsid w:val="00FE30F2"/>
    <w:rsid w:val="00FE3123"/>
    <w:rsid w:val="00FE32E7"/>
    <w:rsid w:val="00FE34AB"/>
    <w:rsid w:val="00FE357A"/>
    <w:rsid w:val="00FE50D5"/>
    <w:rsid w:val="00FE5D44"/>
    <w:rsid w:val="00FE72A8"/>
    <w:rsid w:val="00FE79E4"/>
    <w:rsid w:val="00FF0830"/>
    <w:rsid w:val="00FF2B49"/>
    <w:rsid w:val="00FF2F82"/>
    <w:rsid w:val="00FF349F"/>
    <w:rsid w:val="00FF4AB9"/>
    <w:rsid w:val="00FF4C77"/>
    <w:rsid w:val="00FF4EEB"/>
    <w:rsid w:val="00FF554D"/>
    <w:rsid w:val="00FF5EB0"/>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CB8776"/>
  <w15:docId w15:val="{9C29CB6B-FB02-4FEA-8C9A-AE225F01A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0275"/>
    <w:pPr>
      <w:spacing w:after="200" w:line="480" w:lineRule="auto"/>
    </w:pPr>
    <w:rPr>
      <w:rFonts w:ascii="Arial" w:hAnsi="Arial" w:cs="Helvetica"/>
      <w:sz w:val="24"/>
      <w:szCs w:val="24"/>
      <w:lang w:val="en-US" w:eastAsia="en-US"/>
    </w:rPr>
  </w:style>
  <w:style w:type="paragraph" w:styleId="Heading1">
    <w:name w:val="heading 1"/>
    <w:basedOn w:val="Normal"/>
    <w:next w:val="Normal"/>
    <w:link w:val="Heading1Char"/>
    <w:uiPriority w:val="9"/>
    <w:qFormat/>
    <w:rsid w:val="001E2493"/>
    <w:pPr>
      <w:outlineLvl w:val="0"/>
    </w:pPr>
    <w:rPr>
      <w:b/>
    </w:rPr>
  </w:style>
  <w:style w:type="paragraph" w:styleId="Heading2">
    <w:name w:val="heading 2"/>
    <w:basedOn w:val="Normal"/>
    <w:next w:val="Normal"/>
    <w:link w:val="Heading2Char"/>
    <w:uiPriority w:val="9"/>
    <w:unhideWhenUsed/>
    <w:qFormat/>
    <w:rsid w:val="00820275"/>
    <w:pPr>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0A2C24"/>
    <w:rPr>
      <w:color w:val="0000FF"/>
      <w:u w:val="single"/>
    </w:rPr>
  </w:style>
  <w:style w:type="paragraph" w:styleId="Header">
    <w:name w:val="header"/>
    <w:basedOn w:val="Normal"/>
    <w:link w:val="HeaderChar"/>
    <w:uiPriority w:val="99"/>
    <w:unhideWhenUsed/>
    <w:rsid w:val="000A2C24"/>
    <w:pPr>
      <w:tabs>
        <w:tab w:val="center" w:pos="4819"/>
        <w:tab w:val="right" w:pos="9638"/>
      </w:tabs>
    </w:pPr>
  </w:style>
  <w:style w:type="character" w:customStyle="1" w:styleId="HeaderChar">
    <w:name w:val="Header Char"/>
    <w:link w:val="Header"/>
    <w:uiPriority w:val="99"/>
    <w:rsid w:val="000A2C24"/>
    <w:rPr>
      <w:sz w:val="22"/>
      <w:szCs w:val="22"/>
      <w:lang w:eastAsia="en-US"/>
    </w:rPr>
  </w:style>
  <w:style w:type="paragraph" w:styleId="Footer">
    <w:name w:val="footer"/>
    <w:basedOn w:val="Normal"/>
    <w:link w:val="FooterChar"/>
    <w:uiPriority w:val="99"/>
    <w:unhideWhenUsed/>
    <w:rsid w:val="000A2C24"/>
    <w:pPr>
      <w:tabs>
        <w:tab w:val="center" w:pos="4819"/>
        <w:tab w:val="right" w:pos="9638"/>
      </w:tabs>
    </w:pPr>
  </w:style>
  <w:style w:type="character" w:customStyle="1" w:styleId="FooterChar">
    <w:name w:val="Footer Char"/>
    <w:link w:val="Footer"/>
    <w:uiPriority w:val="99"/>
    <w:rsid w:val="000A2C24"/>
    <w:rPr>
      <w:sz w:val="22"/>
      <w:szCs w:val="22"/>
      <w:lang w:eastAsia="en-US"/>
    </w:rPr>
  </w:style>
  <w:style w:type="paragraph" w:styleId="ListParagraph">
    <w:name w:val="List Paragraph"/>
    <w:basedOn w:val="Normal"/>
    <w:uiPriority w:val="34"/>
    <w:qFormat/>
    <w:rsid w:val="0042279A"/>
    <w:pPr>
      <w:ind w:left="720"/>
      <w:contextualSpacing/>
    </w:pPr>
  </w:style>
  <w:style w:type="character" w:styleId="CommentReference">
    <w:name w:val="annotation reference"/>
    <w:uiPriority w:val="99"/>
    <w:semiHidden/>
    <w:unhideWhenUsed/>
    <w:rsid w:val="00096A36"/>
    <w:rPr>
      <w:sz w:val="16"/>
      <w:szCs w:val="16"/>
    </w:rPr>
  </w:style>
  <w:style w:type="paragraph" w:styleId="CommentText">
    <w:name w:val="annotation text"/>
    <w:basedOn w:val="Normal"/>
    <w:link w:val="CommentTextChar"/>
    <w:uiPriority w:val="99"/>
    <w:unhideWhenUsed/>
    <w:rsid w:val="00096A36"/>
    <w:pPr>
      <w:spacing w:line="240" w:lineRule="auto"/>
    </w:pPr>
    <w:rPr>
      <w:sz w:val="20"/>
      <w:szCs w:val="20"/>
    </w:rPr>
  </w:style>
  <w:style w:type="character" w:customStyle="1" w:styleId="CommentTextChar">
    <w:name w:val="Comment Text Char"/>
    <w:link w:val="CommentText"/>
    <w:uiPriority w:val="99"/>
    <w:rsid w:val="00096A36"/>
    <w:rPr>
      <w:rFonts w:ascii="Helvetica" w:hAnsi="Helvetica" w:cs="Helvetica"/>
      <w:color w:val="403838"/>
      <w:lang w:val="en" w:eastAsia="en-US"/>
    </w:rPr>
  </w:style>
  <w:style w:type="paragraph" w:styleId="CommentSubject">
    <w:name w:val="annotation subject"/>
    <w:basedOn w:val="CommentText"/>
    <w:next w:val="CommentText"/>
    <w:link w:val="CommentSubjectChar"/>
    <w:uiPriority w:val="99"/>
    <w:semiHidden/>
    <w:unhideWhenUsed/>
    <w:rsid w:val="00096A36"/>
    <w:rPr>
      <w:b/>
      <w:bCs/>
    </w:rPr>
  </w:style>
  <w:style w:type="character" w:customStyle="1" w:styleId="CommentSubjectChar">
    <w:name w:val="Comment Subject Char"/>
    <w:link w:val="CommentSubject"/>
    <w:uiPriority w:val="99"/>
    <w:semiHidden/>
    <w:rsid w:val="00096A36"/>
    <w:rPr>
      <w:rFonts w:ascii="Helvetica" w:hAnsi="Helvetica" w:cs="Helvetica"/>
      <w:b/>
      <w:bCs/>
      <w:color w:val="403838"/>
      <w:lang w:val="en" w:eastAsia="en-US"/>
    </w:rPr>
  </w:style>
  <w:style w:type="paragraph" w:styleId="BalloonText">
    <w:name w:val="Balloon Text"/>
    <w:basedOn w:val="Normal"/>
    <w:link w:val="BalloonTextChar"/>
    <w:uiPriority w:val="99"/>
    <w:semiHidden/>
    <w:unhideWhenUsed/>
    <w:rsid w:val="00096A36"/>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096A36"/>
    <w:rPr>
      <w:rFonts w:ascii="Segoe UI" w:hAnsi="Segoe UI" w:cs="Segoe UI"/>
      <w:color w:val="403838"/>
      <w:sz w:val="18"/>
      <w:szCs w:val="18"/>
      <w:lang w:val="en" w:eastAsia="en-US"/>
    </w:rPr>
  </w:style>
  <w:style w:type="paragraph" w:styleId="NormalWeb">
    <w:name w:val="Normal (Web)"/>
    <w:basedOn w:val="Normal"/>
    <w:uiPriority w:val="99"/>
    <w:unhideWhenUsed/>
    <w:rsid w:val="00042BDD"/>
    <w:pPr>
      <w:spacing w:before="100" w:beforeAutospacing="1" w:after="100" w:afterAutospacing="1" w:line="240" w:lineRule="auto"/>
    </w:pPr>
    <w:rPr>
      <w:rFonts w:ascii="Times New Roman" w:eastAsia="Times New Roman" w:hAnsi="Times New Roman" w:cs="Times New Roman"/>
      <w:lang w:val="fi-FI" w:eastAsia="fi-FI"/>
    </w:rPr>
  </w:style>
  <w:style w:type="paragraph" w:styleId="Revision">
    <w:name w:val="Revision"/>
    <w:hidden/>
    <w:uiPriority w:val="99"/>
    <w:semiHidden/>
    <w:rsid w:val="00734C03"/>
    <w:rPr>
      <w:rFonts w:ascii="Helvetica" w:hAnsi="Helvetica" w:cs="Helvetica"/>
      <w:color w:val="403838"/>
      <w:sz w:val="24"/>
      <w:szCs w:val="24"/>
      <w:lang w:val="en" w:eastAsia="en-US"/>
    </w:rPr>
  </w:style>
  <w:style w:type="table" w:styleId="TableGrid">
    <w:name w:val="Table Grid"/>
    <w:basedOn w:val="TableNormal"/>
    <w:uiPriority w:val="59"/>
    <w:rsid w:val="00C338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tkaisematonmaininta1">
    <w:name w:val="Ratkaisematon maininta1"/>
    <w:uiPriority w:val="99"/>
    <w:semiHidden/>
    <w:unhideWhenUsed/>
    <w:rsid w:val="000656C8"/>
    <w:rPr>
      <w:color w:val="808080"/>
      <w:shd w:val="clear" w:color="auto" w:fill="E6E6E6"/>
    </w:rPr>
  </w:style>
  <w:style w:type="character" w:customStyle="1" w:styleId="fulltext-it">
    <w:name w:val="fulltext-it"/>
    <w:basedOn w:val="DefaultParagraphFont"/>
    <w:rsid w:val="002A27EB"/>
  </w:style>
  <w:style w:type="character" w:customStyle="1" w:styleId="UnresolvedMention1">
    <w:name w:val="Unresolved Mention1"/>
    <w:uiPriority w:val="99"/>
    <w:rsid w:val="00912E62"/>
    <w:rPr>
      <w:color w:val="808080"/>
      <w:shd w:val="clear" w:color="auto" w:fill="E6E6E6"/>
    </w:rPr>
  </w:style>
  <w:style w:type="paragraph" w:styleId="FootnoteText">
    <w:name w:val="footnote text"/>
    <w:basedOn w:val="Normal"/>
    <w:link w:val="FootnoteTextChar"/>
    <w:uiPriority w:val="99"/>
    <w:semiHidden/>
    <w:unhideWhenUsed/>
    <w:rsid w:val="005525B2"/>
    <w:pPr>
      <w:spacing w:after="0" w:line="240" w:lineRule="auto"/>
    </w:pPr>
    <w:rPr>
      <w:sz w:val="20"/>
      <w:szCs w:val="20"/>
    </w:rPr>
  </w:style>
  <w:style w:type="character" w:customStyle="1" w:styleId="FootnoteTextChar">
    <w:name w:val="Footnote Text Char"/>
    <w:link w:val="FootnoteText"/>
    <w:uiPriority w:val="99"/>
    <w:semiHidden/>
    <w:rsid w:val="005525B2"/>
    <w:rPr>
      <w:rFonts w:ascii="Arial" w:hAnsi="Arial" w:cs="Helvetica"/>
      <w:lang w:val="en" w:eastAsia="en-US"/>
    </w:rPr>
  </w:style>
  <w:style w:type="character" w:styleId="FootnoteReference">
    <w:name w:val="footnote reference"/>
    <w:uiPriority w:val="99"/>
    <w:semiHidden/>
    <w:unhideWhenUsed/>
    <w:rsid w:val="005525B2"/>
    <w:rPr>
      <w:vertAlign w:val="superscript"/>
    </w:rPr>
  </w:style>
  <w:style w:type="character" w:customStyle="1" w:styleId="Heading1Char">
    <w:name w:val="Heading 1 Char"/>
    <w:link w:val="Heading1"/>
    <w:uiPriority w:val="9"/>
    <w:rsid w:val="001E2493"/>
    <w:rPr>
      <w:rFonts w:ascii="Arial" w:hAnsi="Arial" w:cs="Helvetica"/>
      <w:b/>
      <w:sz w:val="24"/>
      <w:szCs w:val="24"/>
      <w:lang w:val="en-US" w:eastAsia="en-US"/>
    </w:rPr>
  </w:style>
  <w:style w:type="character" w:customStyle="1" w:styleId="Heading2Char">
    <w:name w:val="Heading 2 Char"/>
    <w:link w:val="Heading2"/>
    <w:uiPriority w:val="9"/>
    <w:rsid w:val="00820275"/>
    <w:rPr>
      <w:rFonts w:ascii="Arial" w:hAnsi="Arial" w:cs="Helvetica"/>
      <w:b/>
      <w:sz w:val="24"/>
      <w:szCs w:val="24"/>
      <w:lang w:val="en-US" w:eastAsia="en-US"/>
    </w:rPr>
  </w:style>
  <w:style w:type="character" w:customStyle="1" w:styleId="highlight">
    <w:name w:val="highlight"/>
    <w:rsid w:val="0014615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518611">
      <w:bodyDiv w:val="1"/>
      <w:marLeft w:val="0"/>
      <w:marRight w:val="0"/>
      <w:marTop w:val="0"/>
      <w:marBottom w:val="0"/>
      <w:divBdr>
        <w:top w:val="none" w:sz="0" w:space="0" w:color="auto"/>
        <w:left w:val="none" w:sz="0" w:space="0" w:color="auto"/>
        <w:bottom w:val="none" w:sz="0" w:space="0" w:color="auto"/>
        <w:right w:val="none" w:sz="0" w:space="0" w:color="auto"/>
      </w:divBdr>
    </w:div>
    <w:div w:id="35132394">
      <w:bodyDiv w:val="1"/>
      <w:marLeft w:val="0"/>
      <w:marRight w:val="0"/>
      <w:marTop w:val="0"/>
      <w:marBottom w:val="0"/>
      <w:divBdr>
        <w:top w:val="none" w:sz="0" w:space="0" w:color="auto"/>
        <w:left w:val="none" w:sz="0" w:space="0" w:color="auto"/>
        <w:bottom w:val="none" w:sz="0" w:space="0" w:color="auto"/>
        <w:right w:val="none" w:sz="0" w:space="0" w:color="auto"/>
      </w:divBdr>
    </w:div>
    <w:div w:id="35324479">
      <w:bodyDiv w:val="1"/>
      <w:marLeft w:val="0"/>
      <w:marRight w:val="0"/>
      <w:marTop w:val="0"/>
      <w:marBottom w:val="0"/>
      <w:divBdr>
        <w:top w:val="none" w:sz="0" w:space="0" w:color="auto"/>
        <w:left w:val="none" w:sz="0" w:space="0" w:color="auto"/>
        <w:bottom w:val="none" w:sz="0" w:space="0" w:color="auto"/>
        <w:right w:val="none" w:sz="0" w:space="0" w:color="auto"/>
      </w:divBdr>
      <w:divsChild>
        <w:div w:id="443841248">
          <w:marLeft w:val="0"/>
          <w:marRight w:val="1"/>
          <w:marTop w:val="0"/>
          <w:marBottom w:val="0"/>
          <w:divBdr>
            <w:top w:val="none" w:sz="0" w:space="0" w:color="auto"/>
            <w:left w:val="none" w:sz="0" w:space="0" w:color="auto"/>
            <w:bottom w:val="none" w:sz="0" w:space="0" w:color="auto"/>
            <w:right w:val="none" w:sz="0" w:space="0" w:color="auto"/>
          </w:divBdr>
          <w:divsChild>
            <w:div w:id="1706633620">
              <w:marLeft w:val="0"/>
              <w:marRight w:val="0"/>
              <w:marTop w:val="0"/>
              <w:marBottom w:val="0"/>
              <w:divBdr>
                <w:top w:val="none" w:sz="0" w:space="0" w:color="auto"/>
                <w:left w:val="none" w:sz="0" w:space="0" w:color="auto"/>
                <w:bottom w:val="none" w:sz="0" w:space="0" w:color="auto"/>
                <w:right w:val="none" w:sz="0" w:space="0" w:color="auto"/>
              </w:divBdr>
              <w:divsChild>
                <w:div w:id="281806838">
                  <w:marLeft w:val="0"/>
                  <w:marRight w:val="1"/>
                  <w:marTop w:val="0"/>
                  <w:marBottom w:val="0"/>
                  <w:divBdr>
                    <w:top w:val="none" w:sz="0" w:space="0" w:color="auto"/>
                    <w:left w:val="none" w:sz="0" w:space="0" w:color="auto"/>
                    <w:bottom w:val="none" w:sz="0" w:space="0" w:color="auto"/>
                    <w:right w:val="none" w:sz="0" w:space="0" w:color="auto"/>
                  </w:divBdr>
                  <w:divsChild>
                    <w:div w:id="2114476342">
                      <w:marLeft w:val="0"/>
                      <w:marRight w:val="0"/>
                      <w:marTop w:val="0"/>
                      <w:marBottom w:val="0"/>
                      <w:divBdr>
                        <w:top w:val="none" w:sz="0" w:space="0" w:color="auto"/>
                        <w:left w:val="none" w:sz="0" w:space="0" w:color="auto"/>
                        <w:bottom w:val="none" w:sz="0" w:space="0" w:color="auto"/>
                        <w:right w:val="none" w:sz="0" w:space="0" w:color="auto"/>
                      </w:divBdr>
                      <w:divsChild>
                        <w:div w:id="976034818">
                          <w:marLeft w:val="0"/>
                          <w:marRight w:val="0"/>
                          <w:marTop w:val="0"/>
                          <w:marBottom w:val="0"/>
                          <w:divBdr>
                            <w:top w:val="none" w:sz="0" w:space="0" w:color="auto"/>
                            <w:left w:val="none" w:sz="0" w:space="0" w:color="auto"/>
                            <w:bottom w:val="none" w:sz="0" w:space="0" w:color="auto"/>
                            <w:right w:val="none" w:sz="0" w:space="0" w:color="auto"/>
                          </w:divBdr>
                          <w:divsChild>
                            <w:div w:id="156189302">
                              <w:marLeft w:val="0"/>
                              <w:marRight w:val="0"/>
                              <w:marTop w:val="120"/>
                              <w:marBottom w:val="360"/>
                              <w:divBdr>
                                <w:top w:val="none" w:sz="0" w:space="0" w:color="auto"/>
                                <w:left w:val="none" w:sz="0" w:space="0" w:color="auto"/>
                                <w:bottom w:val="none" w:sz="0" w:space="0" w:color="auto"/>
                                <w:right w:val="none" w:sz="0" w:space="0" w:color="auto"/>
                              </w:divBdr>
                              <w:divsChild>
                                <w:div w:id="1256865179">
                                  <w:marLeft w:val="0"/>
                                  <w:marRight w:val="0"/>
                                  <w:marTop w:val="0"/>
                                  <w:marBottom w:val="0"/>
                                  <w:divBdr>
                                    <w:top w:val="none" w:sz="0" w:space="0" w:color="auto"/>
                                    <w:left w:val="none" w:sz="0" w:space="0" w:color="auto"/>
                                    <w:bottom w:val="none" w:sz="0" w:space="0" w:color="auto"/>
                                    <w:right w:val="none" w:sz="0" w:space="0" w:color="auto"/>
                                  </w:divBdr>
                                </w:div>
                                <w:div w:id="1550024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4979382">
      <w:bodyDiv w:val="1"/>
      <w:marLeft w:val="0"/>
      <w:marRight w:val="0"/>
      <w:marTop w:val="0"/>
      <w:marBottom w:val="0"/>
      <w:divBdr>
        <w:top w:val="none" w:sz="0" w:space="0" w:color="auto"/>
        <w:left w:val="none" w:sz="0" w:space="0" w:color="auto"/>
        <w:bottom w:val="none" w:sz="0" w:space="0" w:color="auto"/>
        <w:right w:val="none" w:sz="0" w:space="0" w:color="auto"/>
      </w:divBdr>
      <w:divsChild>
        <w:div w:id="44524387">
          <w:marLeft w:val="0"/>
          <w:marRight w:val="0"/>
          <w:marTop w:val="0"/>
          <w:marBottom w:val="0"/>
          <w:divBdr>
            <w:top w:val="none" w:sz="0" w:space="0" w:color="auto"/>
            <w:left w:val="none" w:sz="0" w:space="0" w:color="auto"/>
            <w:bottom w:val="none" w:sz="0" w:space="0" w:color="auto"/>
            <w:right w:val="none" w:sz="0" w:space="0" w:color="auto"/>
          </w:divBdr>
          <w:divsChild>
            <w:div w:id="1154761125">
              <w:marLeft w:val="0"/>
              <w:marRight w:val="0"/>
              <w:marTop w:val="0"/>
              <w:marBottom w:val="0"/>
              <w:divBdr>
                <w:top w:val="none" w:sz="0" w:space="0" w:color="auto"/>
                <w:left w:val="none" w:sz="0" w:space="0" w:color="auto"/>
                <w:bottom w:val="none" w:sz="0" w:space="0" w:color="auto"/>
                <w:right w:val="none" w:sz="0" w:space="0" w:color="auto"/>
              </w:divBdr>
              <w:divsChild>
                <w:div w:id="953757481">
                  <w:marLeft w:val="0"/>
                  <w:marRight w:val="0"/>
                  <w:marTop w:val="0"/>
                  <w:marBottom w:val="0"/>
                  <w:divBdr>
                    <w:top w:val="none" w:sz="0" w:space="0" w:color="auto"/>
                    <w:left w:val="none" w:sz="0" w:space="0" w:color="auto"/>
                    <w:bottom w:val="none" w:sz="0" w:space="0" w:color="auto"/>
                    <w:right w:val="none" w:sz="0" w:space="0" w:color="auto"/>
                  </w:divBdr>
                  <w:divsChild>
                    <w:div w:id="971012950">
                      <w:marLeft w:val="0"/>
                      <w:marRight w:val="0"/>
                      <w:marTop w:val="0"/>
                      <w:marBottom w:val="0"/>
                      <w:divBdr>
                        <w:top w:val="none" w:sz="0" w:space="0" w:color="auto"/>
                        <w:left w:val="none" w:sz="0" w:space="0" w:color="auto"/>
                        <w:bottom w:val="none" w:sz="0" w:space="0" w:color="auto"/>
                        <w:right w:val="none" w:sz="0" w:space="0" w:color="auto"/>
                      </w:divBdr>
                      <w:divsChild>
                        <w:div w:id="1912694349">
                          <w:marLeft w:val="0"/>
                          <w:marRight w:val="0"/>
                          <w:marTop w:val="0"/>
                          <w:marBottom w:val="0"/>
                          <w:divBdr>
                            <w:top w:val="none" w:sz="0" w:space="0" w:color="auto"/>
                            <w:left w:val="none" w:sz="0" w:space="0" w:color="auto"/>
                            <w:bottom w:val="none" w:sz="0" w:space="0" w:color="auto"/>
                            <w:right w:val="none" w:sz="0" w:space="0" w:color="auto"/>
                          </w:divBdr>
                          <w:divsChild>
                            <w:div w:id="705914673">
                              <w:marLeft w:val="15"/>
                              <w:marRight w:val="195"/>
                              <w:marTop w:val="0"/>
                              <w:marBottom w:val="0"/>
                              <w:divBdr>
                                <w:top w:val="none" w:sz="0" w:space="0" w:color="auto"/>
                                <w:left w:val="none" w:sz="0" w:space="0" w:color="auto"/>
                                <w:bottom w:val="none" w:sz="0" w:space="0" w:color="auto"/>
                                <w:right w:val="none" w:sz="0" w:space="0" w:color="auto"/>
                              </w:divBdr>
                              <w:divsChild>
                                <w:div w:id="638152806">
                                  <w:marLeft w:val="0"/>
                                  <w:marRight w:val="0"/>
                                  <w:marTop w:val="0"/>
                                  <w:marBottom w:val="0"/>
                                  <w:divBdr>
                                    <w:top w:val="none" w:sz="0" w:space="0" w:color="auto"/>
                                    <w:left w:val="none" w:sz="0" w:space="0" w:color="auto"/>
                                    <w:bottom w:val="none" w:sz="0" w:space="0" w:color="auto"/>
                                    <w:right w:val="none" w:sz="0" w:space="0" w:color="auto"/>
                                  </w:divBdr>
                                  <w:divsChild>
                                    <w:div w:id="546920312">
                                      <w:marLeft w:val="0"/>
                                      <w:marRight w:val="0"/>
                                      <w:marTop w:val="0"/>
                                      <w:marBottom w:val="0"/>
                                      <w:divBdr>
                                        <w:top w:val="none" w:sz="0" w:space="0" w:color="auto"/>
                                        <w:left w:val="none" w:sz="0" w:space="0" w:color="auto"/>
                                        <w:bottom w:val="none" w:sz="0" w:space="0" w:color="auto"/>
                                        <w:right w:val="none" w:sz="0" w:space="0" w:color="auto"/>
                                      </w:divBdr>
                                      <w:divsChild>
                                        <w:div w:id="797989618">
                                          <w:marLeft w:val="0"/>
                                          <w:marRight w:val="0"/>
                                          <w:marTop w:val="0"/>
                                          <w:marBottom w:val="0"/>
                                          <w:divBdr>
                                            <w:top w:val="none" w:sz="0" w:space="0" w:color="auto"/>
                                            <w:left w:val="none" w:sz="0" w:space="0" w:color="auto"/>
                                            <w:bottom w:val="none" w:sz="0" w:space="0" w:color="auto"/>
                                            <w:right w:val="none" w:sz="0" w:space="0" w:color="auto"/>
                                          </w:divBdr>
                                          <w:divsChild>
                                            <w:div w:id="1368220940">
                                              <w:marLeft w:val="0"/>
                                              <w:marRight w:val="0"/>
                                              <w:marTop w:val="0"/>
                                              <w:marBottom w:val="0"/>
                                              <w:divBdr>
                                                <w:top w:val="none" w:sz="0" w:space="0" w:color="auto"/>
                                                <w:left w:val="none" w:sz="0" w:space="0" w:color="auto"/>
                                                <w:bottom w:val="none" w:sz="0" w:space="0" w:color="auto"/>
                                                <w:right w:val="none" w:sz="0" w:space="0" w:color="auto"/>
                                              </w:divBdr>
                                              <w:divsChild>
                                                <w:div w:id="1487744355">
                                                  <w:marLeft w:val="0"/>
                                                  <w:marRight w:val="0"/>
                                                  <w:marTop w:val="0"/>
                                                  <w:marBottom w:val="0"/>
                                                  <w:divBdr>
                                                    <w:top w:val="none" w:sz="0" w:space="0" w:color="auto"/>
                                                    <w:left w:val="none" w:sz="0" w:space="0" w:color="auto"/>
                                                    <w:bottom w:val="none" w:sz="0" w:space="0" w:color="auto"/>
                                                    <w:right w:val="none" w:sz="0" w:space="0" w:color="auto"/>
                                                  </w:divBdr>
                                                  <w:divsChild>
                                                    <w:div w:id="1541672323">
                                                      <w:marLeft w:val="0"/>
                                                      <w:marRight w:val="0"/>
                                                      <w:marTop w:val="0"/>
                                                      <w:marBottom w:val="0"/>
                                                      <w:divBdr>
                                                        <w:top w:val="none" w:sz="0" w:space="0" w:color="auto"/>
                                                        <w:left w:val="none" w:sz="0" w:space="0" w:color="auto"/>
                                                        <w:bottom w:val="none" w:sz="0" w:space="0" w:color="auto"/>
                                                        <w:right w:val="none" w:sz="0" w:space="0" w:color="auto"/>
                                                      </w:divBdr>
                                                      <w:divsChild>
                                                        <w:div w:id="1102647763">
                                                          <w:marLeft w:val="0"/>
                                                          <w:marRight w:val="0"/>
                                                          <w:marTop w:val="0"/>
                                                          <w:marBottom w:val="0"/>
                                                          <w:divBdr>
                                                            <w:top w:val="none" w:sz="0" w:space="0" w:color="auto"/>
                                                            <w:left w:val="none" w:sz="0" w:space="0" w:color="auto"/>
                                                            <w:bottom w:val="none" w:sz="0" w:space="0" w:color="auto"/>
                                                            <w:right w:val="none" w:sz="0" w:space="0" w:color="auto"/>
                                                          </w:divBdr>
                                                          <w:divsChild>
                                                            <w:div w:id="2083024989">
                                                              <w:marLeft w:val="0"/>
                                                              <w:marRight w:val="0"/>
                                                              <w:marTop w:val="0"/>
                                                              <w:marBottom w:val="0"/>
                                                              <w:divBdr>
                                                                <w:top w:val="none" w:sz="0" w:space="0" w:color="auto"/>
                                                                <w:left w:val="none" w:sz="0" w:space="0" w:color="auto"/>
                                                                <w:bottom w:val="none" w:sz="0" w:space="0" w:color="auto"/>
                                                                <w:right w:val="none" w:sz="0" w:space="0" w:color="auto"/>
                                                              </w:divBdr>
                                                              <w:divsChild>
                                                                <w:div w:id="283268338">
                                                                  <w:marLeft w:val="0"/>
                                                                  <w:marRight w:val="0"/>
                                                                  <w:marTop w:val="0"/>
                                                                  <w:marBottom w:val="0"/>
                                                                  <w:divBdr>
                                                                    <w:top w:val="none" w:sz="0" w:space="0" w:color="auto"/>
                                                                    <w:left w:val="none" w:sz="0" w:space="0" w:color="auto"/>
                                                                    <w:bottom w:val="none" w:sz="0" w:space="0" w:color="auto"/>
                                                                    <w:right w:val="none" w:sz="0" w:space="0" w:color="auto"/>
                                                                  </w:divBdr>
                                                                  <w:divsChild>
                                                                    <w:div w:id="576482722">
                                                                      <w:marLeft w:val="405"/>
                                                                      <w:marRight w:val="0"/>
                                                                      <w:marTop w:val="0"/>
                                                                      <w:marBottom w:val="0"/>
                                                                      <w:divBdr>
                                                                        <w:top w:val="none" w:sz="0" w:space="0" w:color="auto"/>
                                                                        <w:left w:val="none" w:sz="0" w:space="0" w:color="auto"/>
                                                                        <w:bottom w:val="none" w:sz="0" w:space="0" w:color="auto"/>
                                                                        <w:right w:val="none" w:sz="0" w:space="0" w:color="auto"/>
                                                                      </w:divBdr>
                                                                      <w:divsChild>
                                                                        <w:div w:id="1894195690">
                                                                          <w:marLeft w:val="0"/>
                                                                          <w:marRight w:val="0"/>
                                                                          <w:marTop w:val="0"/>
                                                                          <w:marBottom w:val="0"/>
                                                                          <w:divBdr>
                                                                            <w:top w:val="none" w:sz="0" w:space="0" w:color="auto"/>
                                                                            <w:left w:val="none" w:sz="0" w:space="0" w:color="auto"/>
                                                                            <w:bottom w:val="none" w:sz="0" w:space="0" w:color="auto"/>
                                                                            <w:right w:val="none" w:sz="0" w:space="0" w:color="auto"/>
                                                                          </w:divBdr>
                                                                          <w:divsChild>
                                                                            <w:div w:id="1865097885">
                                                                              <w:marLeft w:val="0"/>
                                                                              <w:marRight w:val="0"/>
                                                                              <w:marTop w:val="0"/>
                                                                              <w:marBottom w:val="0"/>
                                                                              <w:divBdr>
                                                                                <w:top w:val="none" w:sz="0" w:space="0" w:color="auto"/>
                                                                                <w:left w:val="none" w:sz="0" w:space="0" w:color="auto"/>
                                                                                <w:bottom w:val="none" w:sz="0" w:space="0" w:color="auto"/>
                                                                                <w:right w:val="none" w:sz="0" w:space="0" w:color="auto"/>
                                                                              </w:divBdr>
                                                                              <w:divsChild>
                                                                                <w:div w:id="1586112738">
                                                                                  <w:marLeft w:val="0"/>
                                                                                  <w:marRight w:val="0"/>
                                                                                  <w:marTop w:val="0"/>
                                                                                  <w:marBottom w:val="0"/>
                                                                                  <w:divBdr>
                                                                                    <w:top w:val="none" w:sz="0" w:space="0" w:color="auto"/>
                                                                                    <w:left w:val="none" w:sz="0" w:space="0" w:color="auto"/>
                                                                                    <w:bottom w:val="none" w:sz="0" w:space="0" w:color="auto"/>
                                                                                    <w:right w:val="none" w:sz="0" w:space="0" w:color="auto"/>
                                                                                  </w:divBdr>
                                                                                  <w:divsChild>
                                                                                    <w:div w:id="476609450">
                                                                                      <w:marLeft w:val="0"/>
                                                                                      <w:marRight w:val="0"/>
                                                                                      <w:marTop w:val="0"/>
                                                                                      <w:marBottom w:val="0"/>
                                                                                      <w:divBdr>
                                                                                        <w:top w:val="none" w:sz="0" w:space="0" w:color="auto"/>
                                                                                        <w:left w:val="none" w:sz="0" w:space="0" w:color="auto"/>
                                                                                        <w:bottom w:val="none" w:sz="0" w:space="0" w:color="auto"/>
                                                                                        <w:right w:val="none" w:sz="0" w:space="0" w:color="auto"/>
                                                                                      </w:divBdr>
                                                                                      <w:divsChild>
                                                                                        <w:div w:id="1981419919">
                                                                                          <w:marLeft w:val="0"/>
                                                                                          <w:marRight w:val="0"/>
                                                                                          <w:marTop w:val="0"/>
                                                                                          <w:marBottom w:val="0"/>
                                                                                          <w:divBdr>
                                                                                            <w:top w:val="none" w:sz="0" w:space="0" w:color="auto"/>
                                                                                            <w:left w:val="none" w:sz="0" w:space="0" w:color="auto"/>
                                                                                            <w:bottom w:val="none" w:sz="0" w:space="0" w:color="auto"/>
                                                                                            <w:right w:val="none" w:sz="0" w:space="0" w:color="auto"/>
                                                                                          </w:divBdr>
                                                                                          <w:divsChild>
                                                                                            <w:div w:id="1405445737">
                                                                                              <w:marLeft w:val="0"/>
                                                                                              <w:marRight w:val="0"/>
                                                                                              <w:marTop w:val="0"/>
                                                                                              <w:marBottom w:val="0"/>
                                                                                              <w:divBdr>
                                                                                                <w:top w:val="none" w:sz="0" w:space="0" w:color="auto"/>
                                                                                                <w:left w:val="none" w:sz="0" w:space="0" w:color="auto"/>
                                                                                                <w:bottom w:val="none" w:sz="0" w:space="0" w:color="auto"/>
                                                                                                <w:right w:val="none" w:sz="0" w:space="0" w:color="auto"/>
                                                                                              </w:divBdr>
                                                                                              <w:divsChild>
                                                                                                <w:div w:id="764618420">
                                                                                                  <w:marLeft w:val="0"/>
                                                                                                  <w:marRight w:val="0"/>
                                                                                                  <w:marTop w:val="15"/>
                                                                                                  <w:marBottom w:val="0"/>
                                                                                                  <w:divBdr>
                                                                                                    <w:top w:val="none" w:sz="0" w:space="0" w:color="auto"/>
                                                                                                    <w:left w:val="none" w:sz="0" w:space="0" w:color="auto"/>
                                                                                                    <w:bottom w:val="single" w:sz="6" w:space="15" w:color="auto"/>
                                                                                                    <w:right w:val="none" w:sz="0" w:space="0" w:color="auto"/>
                                                                                                  </w:divBdr>
                                                                                                  <w:divsChild>
                                                                                                    <w:div w:id="900487299">
                                                                                                      <w:marLeft w:val="900"/>
                                                                                                      <w:marRight w:val="0"/>
                                                                                                      <w:marTop w:val="180"/>
                                                                                                      <w:marBottom w:val="0"/>
                                                                                                      <w:divBdr>
                                                                                                        <w:top w:val="none" w:sz="0" w:space="0" w:color="auto"/>
                                                                                                        <w:left w:val="none" w:sz="0" w:space="0" w:color="auto"/>
                                                                                                        <w:bottom w:val="none" w:sz="0" w:space="0" w:color="auto"/>
                                                                                                        <w:right w:val="none" w:sz="0" w:space="0" w:color="auto"/>
                                                                                                      </w:divBdr>
                                                                                                      <w:divsChild>
                                                                                                        <w:div w:id="1227718199">
                                                                                                          <w:marLeft w:val="0"/>
                                                                                                          <w:marRight w:val="0"/>
                                                                                                          <w:marTop w:val="0"/>
                                                                                                          <w:marBottom w:val="0"/>
                                                                                                          <w:divBdr>
                                                                                                            <w:top w:val="none" w:sz="0" w:space="0" w:color="auto"/>
                                                                                                            <w:left w:val="none" w:sz="0" w:space="0" w:color="auto"/>
                                                                                                            <w:bottom w:val="none" w:sz="0" w:space="0" w:color="auto"/>
                                                                                                            <w:right w:val="none" w:sz="0" w:space="0" w:color="auto"/>
                                                                                                          </w:divBdr>
                                                                                                          <w:divsChild>
                                                                                                            <w:div w:id="965738891">
                                                                                                              <w:marLeft w:val="0"/>
                                                                                                              <w:marRight w:val="0"/>
                                                                                                              <w:marTop w:val="0"/>
                                                                                                              <w:marBottom w:val="0"/>
                                                                                                              <w:divBdr>
                                                                                                                <w:top w:val="none" w:sz="0" w:space="0" w:color="auto"/>
                                                                                                                <w:left w:val="none" w:sz="0" w:space="0" w:color="auto"/>
                                                                                                                <w:bottom w:val="none" w:sz="0" w:space="0" w:color="auto"/>
                                                                                                                <w:right w:val="none" w:sz="0" w:space="0" w:color="auto"/>
                                                                                                              </w:divBdr>
                                                                                                              <w:divsChild>
                                                                                                                <w:div w:id="1754621470">
                                                                                                                  <w:marLeft w:val="0"/>
                                                                                                                  <w:marRight w:val="0"/>
                                                                                                                  <w:marTop w:val="30"/>
                                                                                                                  <w:marBottom w:val="0"/>
                                                                                                                  <w:divBdr>
                                                                                                                    <w:top w:val="none" w:sz="0" w:space="0" w:color="auto"/>
                                                                                                                    <w:left w:val="none" w:sz="0" w:space="0" w:color="auto"/>
                                                                                                                    <w:bottom w:val="none" w:sz="0" w:space="0" w:color="auto"/>
                                                                                                                    <w:right w:val="none" w:sz="0" w:space="0" w:color="auto"/>
                                                                                                                  </w:divBdr>
                                                                                                                  <w:divsChild>
                                                                                                                    <w:div w:id="1514605822">
                                                                                                                      <w:marLeft w:val="0"/>
                                                                                                                      <w:marRight w:val="0"/>
                                                                                                                      <w:marTop w:val="0"/>
                                                                                                                      <w:marBottom w:val="0"/>
                                                                                                                      <w:divBdr>
                                                                                                                        <w:top w:val="none" w:sz="0" w:space="0" w:color="auto"/>
                                                                                                                        <w:left w:val="none" w:sz="0" w:space="0" w:color="auto"/>
                                                                                                                        <w:bottom w:val="none" w:sz="0" w:space="0" w:color="auto"/>
                                                                                                                        <w:right w:val="none" w:sz="0" w:space="0" w:color="auto"/>
                                                                                                                      </w:divBdr>
                                                                                                                      <w:divsChild>
                                                                                                                        <w:div w:id="1454323398">
                                                                                                                          <w:marLeft w:val="0"/>
                                                                                                                          <w:marRight w:val="0"/>
                                                                                                                          <w:marTop w:val="0"/>
                                                                                                                          <w:marBottom w:val="0"/>
                                                                                                                          <w:divBdr>
                                                                                                                            <w:top w:val="none" w:sz="0" w:space="0" w:color="auto"/>
                                                                                                                            <w:left w:val="none" w:sz="0" w:space="0" w:color="auto"/>
                                                                                                                            <w:bottom w:val="none" w:sz="0" w:space="0" w:color="auto"/>
                                                                                                                            <w:right w:val="none" w:sz="0" w:space="0" w:color="auto"/>
                                                                                                                          </w:divBdr>
                                                                                                                          <w:divsChild>
                                                                                                                            <w:div w:id="875659115">
                                                                                                                              <w:marLeft w:val="0"/>
                                                                                                                              <w:marRight w:val="0"/>
                                                                                                                              <w:marTop w:val="0"/>
                                                                                                                              <w:marBottom w:val="0"/>
                                                                                                                              <w:divBdr>
                                                                                                                                <w:top w:val="none" w:sz="0" w:space="0" w:color="auto"/>
                                                                                                                                <w:left w:val="none" w:sz="0" w:space="0" w:color="auto"/>
                                                                                                                                <w:bottom w:val="none" w:sz="0" w:space="0" w:color="auto"/>
                                                                                                                                <w:right w:val="none" w:sz="0" w:space="0" w:color="auto"/>
                                                                                                                              </w:divBdr>
                                                                                                                              <w:divsChild>
                                                                                                                                <w:div w:id="1172529450">
                                                                                                                                  <w:marLeft w:val="0"/>
                                                                                                                                  <w:marRight w:val="0"/>
                                                                                                                                  <w:marTop w:val="0"/>
                                                                                                                                  <w:marBottom w:val="0"/>
                                                                                                                                  <w:divBdr>
                                                                                                                                    <w:top w:val="none" w:sz="0" w:space="0" w:color="auto"/>
                                                                                                                                    <w:left w:val="none" w:sz="0" w:space="0" w:color="auto"/>
                                                                                                                                    <w:bottom w:val="none" w:sz="0" w:space="0" w:color="auto"/>
                                                                                                                                    <w:right w:val="none" w:sz="0" w:space="0" w:color="auto"/>
                                                                                                                                  </w:divBdr>
                                                                                                                                  <w:divsChild>
                                                                                                                                    <w:div w:id="17531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63754825">
      <w:bodyDiv w:val="1"/>
      <w:marLeft w:val="0"/>
      <w:marRight w:val="0"/>
      <w:marTop w:val="0"/>
      <w:marBottom w:val="0"/>
      <w:divBdr>
        <w:top w:val="none" w:sz="0" w:space="0" w:color="auto"/>
        <w:left w:val="none" w:sz="0" w:space="0" w:color="auto"/>
        <w:bottom w:val="none" w:sz="0" w:space="0" w:color="auto"/>
        <w:right w:val="none" w:sz="0" w:space="0" w:color="auto"/>
      </w:divBdr>
    </w:div>
    <w:div w:id="726685307">
      <w:bodyDiv w:val="1"/>
      <w:marLeft w:val="0"/>
      <w:marRight w:val="0"/>
      <w:marTop w:val="0"/>
      <w:marBottom w:val="0"/>
      <w:divBdr>
        <w:top w:val="none" w:sz="0" w:space="0" w:color="auto"/>
        <w:left w:val="none" w:sz="0" w:space="0" w:color="auto"/>
        <w:bottom w:val="none" w:sz="0" w:space="0" w:color="auto"/>
        <w:right w:val="none" w:sz="0" w:space="0" w:color="auto"/>
      </w:divBdr>
    </w:div>
    <w:div w:id="990982917">
      <w:bodyDiv w:val="1"/>
      <w:marLeft w:val="0"/>
      <w:marRight w:val="0"/>
      <w:marTop w:val="0"/>
      <w:marBottom w:val="0"/>
      <w:divBdr>
        <w:top w:val="none" w:sz="0" w:space="0" w:color="auto"/>
        <w:left w:val="none" w:sz="0" w:space="0" w:color="auto"/>
        <w:bottom w:val="none" w:sz="0" w:space="0" w:color="auto"/>
        <w:right w:val="none" w:sz="0" w:space="0" w:color="auto"/>
      </w:divBdr>
    </w:div>
    <w:div w:id="1055081938">
      <w:bodyDiv w:val="1"/>
      <w:marLeft w:val="0"/>
      <w:marRight w:val="0"/>
      <w:marTop w:val="0"/>
      <w:marBottom w:val="0"/>
      <w:divBdr>
        <w:top w:val="none" w:sz="0" w:space="0" w:color="auto"/>
        <w:left w:val="none" w:sz="0" w:space="0" w:color="auto"/>
        <w:bottom w:val="none" w:sz="0" w:space="0" w:color="auto"/>
        <w:right w:val="none" w:sz="0" w:space="0" w:color="auto"/>
      </w:divBdr>
    </w:div>
    <w:div w:id="1504279059">
      <w:bodyDiv w:val="1"/>
      <w:marLeft w:val="0"/>
      <w:marRight w:val="0"/>
      <w:marTop w:val="0"/>
      <w:marBottom w:val="0"/>
      <w:divBdr>
        <w:top w:val="none" w:sz="0" w:space="0" w:color="auto"/>
        <w:left w:val="none" w:sz="0" w:space="0" w:color="auto"/>
        <w:bottom w:val="none" w:sz="0" w:space="0" w:color="auto"/>
        <w:right w:val="none" w:sz="0" w:space="0" w:color="auto"/>
      </w:divBdr>
    </w:div>
    <w:div w:id="1733311363">
      <w:bodyDiv w:val="1"/>
      <w:marLeft w:val="0"/>
      <w:marRight w:val="0"/>
      <w:marTop w:val="0"/>
      <w:marBottom w:val="0"/>
      <w:divBdr>
        <w:top w:val="none" w:sz="0" w:space="0" w:color="auto"/>
        <w:left w:val="none" w:sz="0" w:space="0" w:color="auto"/>
        <w:bottom w:val="none" w:sz="0" w:space="0" w:color="auto"/>
        <w:right w:val="none" w:sz="0" w:space="0" w:color="auto"/>
      </w:divBdr>
    </w:div>
    <w:div w:id="1838227200">
      <w:bodyDiv w:val="1"/>
      <w:marLeft w:val="0"/>
      <w:marRight w:val="0"/>
      <w:marTop w:val="0"/>
      <w:marBottom w:val="0"/>
      <w:divBdr>
        <w:top w:val="none" w:sz="0" w:space="0" w:color="auto"/>
        <w:left w:val="none" w:sz="0" w:space="0" w:color="auto"/>
        <w:bottom w:val="none" w:sz="0" w:space="0" w:color="auto"/>
        <w:right w:val="none" w:sz="0" w:space="0" w:color="auto"/>
      </w:divBdr>
    </w:div>
    <w:div w:id="1873838071">
      <w:bodyDiv w:val="1"/>
      <w:marLeft w:val="0"/>
      <w:marRight w:val="0"/>
      <w:marTop w:val="0"/>
      <w:marBottom w:val="0"/>
      <w:divBdr>
        <w:top w:val="none" w:sz="0" w:space="0" w:color="auto"/>
        <w:left w:val="none" w:sz="0" w:space="0" w:color="auto"/>
        <w:bottom w:val="none" w:sz="0" w:space="0" w:color="auto"/>
        <w:right w:val="none" w:sz="0" w:space="0" w:color="auto"/>
      </w:divBdr>
    </w:div>
    <w:div w:id="2012488505">
      <w:bodyDiv w:val="1"/>
      <w:marLeft w:val="0"/>
      <w:marRight w:val="0"/>
      <w:marTop w:val="0"/>
      <w:marBottom w:val="0"/>
      <w:divBdr>
        <w:top w:val="none" w:sz="0" w:space="0" w:color="auto"/>
        <w:left w:val="none" w:sz="0" w:space="0" w:color="auto"/>
        <w:bottom w:val="none" w:sz="0" w:space="0" w:color="auto"/>
        <w:right w:val="none" w:sz="0" w:space="0" w:color="auto"/>
      </w:divBdr>
      <w:divsChild>
        <w:div w:id="538399019">
          <w:marLeft w:val="0"/>
          <w:marRight w:val="0"/>
          <w:marTop w:val="0"/>
          <w:marBottom w:val="0"/>
          <w:divBdr>
            <w:top w:val="single" w:sz="2" w:space="0" w:color="2E2E2E"/>
            <w:left w:val="single" w:sz="2" w:space="0" w:color="2E2E2E"/>
            <w:bottom w:val="single" w:sz="2" w:space="0" w:color="2E2E2E"/>
            <w:right w:val="single" w:sz="2" w:space="0" w:color="2E2E2E"/>
          </w:divBdr>
          <w:divsChild>
            <w:div w:id="389353757">
              <w:marLeft w:val="0"/>
              <w:marRight w:val="0"/>
              <w:marTop w:val="0"/>
              <w:marBottom w:val="0"/>
              <w:divBdr>
                <w:top w:val="single" w:sz="6" w:space="0" w:color="C9C9C9"/>
                <w:left w:val="none" w:sz="0" w:space="0" w:color="auto"/>
                <w:bottom w:val="none" w:sz="0" w:space="0" w:color="auto"/>
                <w:right w:val="none" w:sz="0" w:space="0" w:color="auto"/>
              </w:divBdr>
              <w:divsChild>
                <w:div w:id="582029427">
                  <w:marLeft w:val="0"/>
                  <w:marRight w:val="0"/>
                  <w:marTop w:val="0"/>
                  <w:marBottom w:val="0"/>
                  <w:divBdr>
                    <w:top w:val="none" w:sz="0" w:space="0" w:color="auto"/>
                    <w:left w:val="none" w:sz="0" w:space="0" w:color="auto"/>
                    <w:bottom w:val="none" w:sz="0" w:space="0" w:color="auto"/>
                    <w:right w:val="none" w:sz="0" w:space="0" w:color="auto"/>
                  </w:divBdr>
                  <w:divsChild>
                    <w:div w:id="1281376802">
                      <w:marLeft w:val="0"/>
                      <w:marRight w:val="0"/>
                      <w:marTop w:val="0"/>
                      <w:marBottom w:val="0"/>
                      <w:divBdr>
                        <w:top w:val="none" w:sz="0" w:space="0" w:color="auto"/>
                        <w:left w:val="none" w:sz="0" w:space="0" w:color="auto"/>
                        <w:bottom w:val="none" w:sz="0" w:space="0" w:color="auto"/>
                        <w:right w:val="none" w:sz="0" w:space="0" w:color="auto"/>
                      </w:divBdr>
                      <w:divsChild>
                        <w:div w:id="2049648338">
                          <w:marLeft w:val="0"/>
                          <w:marRight w:val="0"/>
                          <w:marTop w:val="0"/>
                          <w:marBottom w:val="0"/>
                          <w:divBdr>
                            <w:top w:val="none" w:sz="0" w:space="0" w:color="auto"/>
                            <w:left w:val="none" w:sz="0" w:space="0" w:color="auto"/>
                            <w:bottom w:val="none" w:sz="0" w:space="0" w:color="auto"/>
                            <w:right w:val="none" w:sz="0" w:space="0" w:color="auto"/>
                          </w:divBdr>
                          <w:divsChild>
                            <w:div w:id="1986082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4882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136/jnnp-2018-319122" TargetMode="External"/><Relationship Id="rId13" Type="http://schemas.openxmlformats.org/officeDocument/2006/relationships/hyperlink" Target="https://mail.utu.fi/owa/kimmo.niukko@utu.fi/redir.aspx?REF=kW6w39TZAbVN1yrW_zC0lGp7HEci8Wn6u0-KQpGkz-sY7LAuNWfWCAFodHRwOi8vY3JlYXRpdmVjb21tb25zLm9yZw.."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tif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tif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2.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09A1B1-0C23-43B9-89AA-C0B71CAA0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28</Pages>
  <Words>21911</Words>
  <Characters>177480</Characters>
  <Application>Microsoft Office Word</Application>
  <DocSecurity>0</DocSecurity>
  <Lines>1479</Lines>
  <Paragraphs>397</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Varsiani-Suomen Sairaanhoitopiiri</Company>
  <LinksUpToDate>false</LinksUpToDate>
  <CharactersWithSpaces>198994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Salmi Noora Hannele</dc:creator>
  <cp:keywords/>
  <dc:description/>
  <cp:lastModifiedBy>Kimmo Niukko</cp:lastModifiedBy>
  <cp:revision>3</cp:revision>
  <dcterms:created xsi:type="dcterms:W3CDTF">2018-12-21T11:12:00Z</dcterms:created>
  <dcterms:modified xsi:type="dcterms:W3CDTF">2018-12-21T11:18:00Z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http://www.zotero.org/styles/alzheimers-and-dementia-the-journal-of-the-alzheimers-association</vt:lpwstr>
  </property>
  <property fmtid="{D5CDD505-2E9C-101B-9397-08002B2CF9AE}" pid="3" name="Mendeley Recent Style Name 0_1">
    <vt:lpwstr>Alzheimer's &amp; Dementia: The Journal of the Alzheimer's Association</vt:lpwstr>
  </property>
  <property fmtid="{D5CDD505-2E9C-101B-9397-08002B2CF9AE}" pid="4" name="Mendeley Recent Style Id 1_1">
    <vt:lpwstr>http://www.zotero.org/styles/bmj</vt:lpwstr>
  </property>
  <property fmtid="{D5CDD505-2E9C-101B-9397-08002B2CF9AE}" pid="5" name="Mendeley Recent Style Name 1_1">
    <vt:lpwstr>BMJ</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10th edition - Harvard</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http://www.zotero.org/styles/journal-of-neurology</vt:lpwstr>
  </property>
  <property fmtid="{D5CDD505-2E9C-101B-9397-08002B2CF9AE}" pid="13" name="Mendeley Recent Style Name 5_1">
    <vt:lpwstr>Journal of Neurology</vt:lpwstr>
  </property>
  <property fmtid="{D5CDD505-2E9C-101B-9397-08002B2CF9AE}" pid="14" name="Mendeley Recent Style Id 6_1">
    <vt:lpwstr>http://www.zotero.org/styles/journal-of-neurology-neurosurgery-and-psychiatry</vt:lpwstr>
  </property>
  <property fmtid="{D5CDD505-2E9C-101B-9397-08002B2CF9AE}" pid="15" name="Mendeley Recent Style Name 6_1">
    <vt:lpwstr>Journal of Neurology, Neurosurgery, and Psychiatry</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4bae92f7-0dfb-3607-94af-94f28db61996</vt:lpwstr>
  </property>
  <property fmtid="{D5CDD505-2E9C-101B-9397-08002B2CF9AE}" pid="24" name="Mendeley Citation Style_1">
    <vt:lpwstr>http://www.zotero.org/styles/journal-of-neurology-neurosurgery-and-psychiatry</vt:lpwstr>
  </property>
</Properties>
</file>