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FD1D8E" w14:textId="5E3D7FE7" w:rsidR="00FE08E5" w:rsidRPr="00FE08E5" w:rsidRDefault="00FE08E5" w:rsidP="00FE08E5">
      <w:pPr>
        <w:spacing w:after="0" w:line="480" w:lineRule="auto"/>
        <w:rPr>
          <w:rFonts w:ascii="Times New Roman" w:hAnsi="Times New Roman" w:cs="Times New Roman"/>
          <w:sz w:val="24"/>
          <w:szCs w:val="24"/>
          <w:lang w:val="en-US"/>
        </w:rPr>
      </w:pPr>
      <w:r w:rsidRPr="00FE08E5">
        <w:rPr>
          <w:rFonts w:ascii="Times New Roman" w:hAnsi="Times New Roman" w:cs="Times New Roman"/>
          <w:sz w:val="24"/>
          <w:szCs w:val="24"/>
          <w:lang w:val="en-US"/>
        </w:rPr>
        <w:t xml:space="preserve">Author’s Manuscript. </w:t>
      </w:r>
      <w:r>
        <w:rPr>
          <w:rFonts w:ascii="Times New Roman" w:hAnsi="Times New Roman" w:cs="Times New Roman"/>
          <w:sz w:val="24"/>
          <w:szCs w:val="24"/>
          <w:lang w:val="en-US"/>
        </w:rPr>
        <w:t xml:space="preserve">Published in </w:t>
      </w:r>
      <w:r>
        <w:rPr>
          <w:rFonts w:ascii="Times New Roman" w:hAnsi="Times New Roman" w:cs="Times New Roman"/>
          <w:i/>
          <w:sz w:val="24"/>
          <w:szCs w:val="24"/>
          <w:lang w:val="en-US"/>
        </w:rPr>
        <w:t xml:space="preserve">The European Journal of Philosophy. </w:t>
      </w:r>
      <w:r w:rsidRPr="00FE08E5">
        <w:rPr>
          <w:rFonts w:ascii="Times New Roman" w:hAnsi="Times New Roman" w:cs="Times New Roman"/>
          <w:sz w:val="24"/>
          <w:szCs w:val="24"/>
          <w:lang w:val="en-US"/>
        </w:rPr>
        <w:t>Publisher’s early view available at: http://onlinelibrary.wiley.com/doi/10.1111/ejop.12324/full</w:t>
      </w:r>
    </w:p>
    <w:p w14:paraId="4D55882E" w14:textId="79BCD5ED" w:rsidR="00FE08E5" w:rsidRDefault="00FE08E5" w:rsidP="00FE08E5">
      <w:pPr>
        <w:spacing w:after="0" w:line="480" w:lineRule="auto"/>
        <w:jc w:val="center"/>
        <w:rPr>
          <w:rFonts w:ascii="Times New Roman" w:hAnsi="Times New Roman" w:cs="Times New Roman"/>
          <w:b/>
          <w:sz w:val="24"/>
          <w:szCs w:val="24"/>
          <w:lang w:val="en-US"/>
        </w:rPr>
      </w:pPr>
    </w:p>
    <w:p w14:paraId="5C67E513" w14:textId="77777777" w:rsidR="00FE08E5" w:rsidRDefault="00FE08E5" w:rsidP="00FE08E5">
      <w:pPr>
        <w:spacing w:after="0" w:line="480" w:lineRule="auto"/>
        <w:jc w:val="center"/>
        <w:rPr>
          <w:rFonts w:ascii="Times New Roman" w:hAnsi="Times New Roman" w:cs="Times New Roman"/>
          <w:b/>
          <w:sz w:val="24"/>
          <w:szCs w:val="24"/>
          <w:lang w:val="en-US"/>
        </w:rPr>
      </w:pPr>
    </w:p>
    <w:p w14:paraId="101616C1" w14:textId="6C888B51" w:rsidR="00A16562" w:rsidRDefault="00C129D2" w:rsidP="00FE08E5">
      <w:pPr>
        <w:spacing w:after="0" w:line="480" w:lineRule="auto"/>
        <w:jc w:val="center"/>
        <w:rPr>
          <w:rFonts w:ascii="Times New Roman" w:hAnsi="Times New Roman" w:cs="Times New Roman"/>
          <w:b/>
          <w:sz w:val="24"/>
          <w:szCs w:val="24"/>
          <w:lang w:val="en-US"/>
        </w:rPr>
      </w:pPr>
      <w:r w:rsidRPr="00CC4476">
        <w:rPr>
          <w:rFonts w:ascii="Times New Roman" w:hAnsi="Times New Roman" w:cs="Times New Roman"/>
          <w:b/>
          <w:sz w:val="24"/>
          <w:szCs w:val="24"/>
          <w:lang w:val="en-US"/>
        </w:rPr>
        <w:t xml:space="preserve">Wittgenstein on the </w:t>
      </w:r>
      <w:r w:rsidR="006A346C">
        <w:rPr>
          <w:rFonts w:ascii="Times New Roman" w:hAnsi="Times New Roman" w:cs="Times New Roman"/>
          <w:b/>
          <w:sz w:val="24"/>
          <w:szCs w:val="24"/>
          <w:lang w:val="en-US"/>
        </w:rPr>
        <w:t>g</w:t>
      </w:r>
      <w:r w:rsidRPr="00CC4476">
        <w:rPr>
          <w:rFonts w:ascii="Times New Roman" w:hAnsi="Times New Roman" w:cs="Times New Roman"/>
          <w:b/>
          <w:sz w:val="24"/>
          <w:szCs w:val="24"/>
          <w:lang w:val="en-US"/>
        </w:rPr>
        <w:t xml:space="preserve">rounds of </w:t>
      </w:r>
      <w:r w:rsidR="006A346C">
        <w:rPr>
          <w:rFonts w:ascii="Times New Roman" w:hAnsi="Times New Roman" w:cs="Times New Roman"/>
          <w:b/>
          <w:sz w:val="24"/>
          <w:szCs w:val="24"/>
          <w:lang w:val="en-US"/>
        </w:rPr>
        <w:t>r</w:t>
      </w:r>
      <w:r w:rsidR="000A39A5">
        <w:rPr>
          <w:rFonts w:ascii="Times New Roman" w:hAnsi="Times New Roman" w:cs="Times New Roman"/>
          <w:b/>
          <w:sz w:val="24"/>
          <w:szCs w:val="24"/>
          <w:lang w:val="en-US"/>
        </w:rPr>
        <w:t xml:space="preserve">eligious </w:t>
      </w:r>
      <w:r w:rsidR="006A346C">
        <w:rPr>
          <w:rFonts w:ascii="Times New Roman" w:hAnsi="Times New Roman" w:cs="Times New Roman"/>
          <w:b/>
          <w:sz w:val="24"/>
          <w:szCs w:val="24"/>
          <w:lang w:val="en-US"/>
        </w:rPr>
        <w:t>f</w:t>
      </w:r>
      <w:r w:rsidRPr="00CC4476">
        <w:rPr>
          <w:rFonts w:ascii="Times New Roman" w:hAnsi="Times New Roman" w:cs="Times New Roman"/>
          <w:b/>
          <w:sz w:val="24"/>
          <w:szCs w:val="24"/>
          <w:lang w:val="en-US"/>
        </w:rPr>
        <w:t>aith</w:t>
      </w:r>
      <w:r w:rsidR="000A39A5">
        <w:rPr>
          <w:rFonts w:ascii="Times New Roman" w:hAnsi="Times New Roman" w:cs="Times New Roman"/>
          <w:b/>
          <w:sz w:val="24"/>
          <w:szCs w:val="24"/>
          <w:lang w:val="en-US"/>
        </w:rPr>
        <w:t xml:space="preserve">: A Kantian </w:t>
      </w:r>
      <w:r w:rsidR="006A346C">
        <w:rPr>
          <w:rFonts w:ascii="Times New Roman" w:hAnsi="Times New Roman" w:cs="Times New Roman"/>
          <w:b/>
          <w:sz w:val="24"/>
          <w:szCs w:val="24"/>
          <w:lang w:val="en-US"/>
        </w:rPr>
        <w:t>p</w:t>
      </w:r>
      <w:r w:rsidR="000A39A5">
        <w:rPr>
          <w:rFonts w:ascii="Times New Roman" w:hAnsi="Times New Roman" w:cs="Times New Roman"/>
          <w:b/>
          <w:sz w:val="24"/>
          <w:szCs w:val="24"/>
          <w:lang w:val="en-US"/>
        </w:rPr>
        <w:t>roposal</w:t>
      </w:r>
    </w:p>
    <w:p w14:paraId="43595F61" w14:textId="1B0B8370" w:rsidR="00FE08E5" w:rsidRPr="00FE08E5" w:rsidRDefault="00FE08E5" w:rsidP="00FE08E5">
      <w:pPr>
        <w:spacing w:after="0" w:line="48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Hanne Appelqvist</w:t>
      </w:r>
    </w:p>
    <w:p w14:paraId="3A739A38" w14:textId="77777777" w:rsidR="00B505A2" w:rsidRDefault="00B505A2" w:rsidP="002D19B5">
      <w:pPr>
        <w:spacing w:after="0" w:line="480" w:lineRule="auto"/>
        <w:rPr>
          <w:rFonts w:ascii="Times New Roman" w:hAnsi="Times New Roman" w:cs="Times New Roman"/>
          <w:i/>
          <w:sz w:val="24"/>
          <w:szCs w:val="24"/>
          <w:lang w:val="en-US"/>
        </w:rPr>
      </w:pPr>
    </w:p>
    <w:p w14:paraId="7FF02158" w14:textId="77777777" w:rsidR="0050763F" w:rsidRDefault="000A6D0F" w:rsidP="002D19B5">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1. </w:t>
      </w:r>
      <w:r w:rsidR="00FF6407">
        <w:rPr>
          <w:rFonts w:ascii="Times New Roman" w:hAnsi="Times New Roman" w:cs="Times New Roman"/>
          <w:i/>
          <w:sz w:val="24"/>
          <w:szCs w:val="24"/>
          <w:lang w:val="en-US"/>
        </w:rPr>
        <w:t xml:space="preserve">Religion in Wittgenstein’s </w:t>
      </w:r>
      <w:r w:rsidR="006A346C">
        <w:rPr>
          <w:rFonts w:ascii="Times New Roman" w:hAnsi="Times New Roman" w:cs="Times New Roman"/>
          <w:i/>
          <w:sz w:val="24"/>
          <w:szCs w:val="24"/>
          <w:lang w:val="en-US"/>
        </w:rPr>
        <w:t>e</w:t>
      </w:r>
      <w:r w:rsidR="00FF6407">
        <w:rPr>
          <w:rFonts w:ascii="Times New Roman" w:hAnsi="Times New Roman" w:cs="Times New Roman"/>
          <w:i/>
          <w:sz w:val="24"/>
          <w:szCs w:val="24"/>
          <w:lang w:val="en-US"/>
        </w:rPr>
        <w:t xml:space="preserve">arly </w:t>
      </w:r>
      <w:r w:rsidR="006A346C">
        <w:rPr>
          <w:rFonts w:ascii="Times New Roman" w:hAnsi="Times New Roman" w:cs="Times New Roman"/>
          <w:i/>
          <w:sz w:val="24"/>
          <w:szCs w:val="24"/>
          <w:lang w:val="en-US"/>
        </w:rPr>
        <w:t>t</w:t>
      </w:r>
      <w:r w:rsidR="0053764D">
        <w:rPr>
          <w:rFonts w:ascii="Times New Roman" w:hAnsi="Times New Roman" w:cs="Times New Roman"/>
          <w:i/>
          <w:sz w:val="24"/>
          <w:szCs w:val="24"/>
          <w:lang w:val="en-US"/>
        </w:rPr>
        <w:t>hought</w:t>
      </w:r>
    </w:p>
    <w:p w14:paraId="3A3C265A" w14:textId="77777777" w:rsidR="00F22C02" w:rsidRDefault="00F22C02" w:rsidP="002D19B5">
      <w:pPr>
        <w:spacing w:after="0" w:line="480" w:lineRule="auto"/>
        <w:rPr>
          <w:rFonts w:ascii="Times New Roman" w:hAnsi="Times New Roman" w:cs="Times New Roman"/>
          <w:i/>
          <w:sz w:val="24"/>
          <w:szCs w:val="24"/>
          <w:lang w:val="en-US"/>
        </w:rPr>
      </w:pPr>
    </w:p>
    <w:p w14:paraId="30982E6D" w14:textId="77777777" w:rsidR="00F22C02" w:rsidRDefault="004338C2" w:rsidP="002D19B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In his early work, </w:t>
      </w:r>
      <w:r>
        <w:rPr>
          <w:rFonts w:ascii="Times New Roman" w:hAnsi="Times New Roman" w:cs="Times New Roman"/>
          <w:i/>
          <w:sz w:val="24"/>
          <w:szCs w:val="24"/>
          <w:lang w:val="en-US"/>
        </w:rPr>
        <w:t>Tractatus</w:t>
      </w:r>
      <w:r w:rsidR="003529B1">
        <w:rPr>
          <w:rFonts w:ascii="Times New Roman" w:hAnsi="Times New Roman" w:cs="Times New Roman"/>
          <w:i/>
          <w:sz w:val="24"/>
          <w:szCs w:val="24"/>
          <w:lang w:val="en-US"/>
        </w:rPr>
        <w:t xml:space="preserve"> </w:t>
      </w:r>
      <w:r w:rsidR="00FA1568">
        <w:rPr>
          <w:rFonts w:ascii="Times New Roman" w:hAnsi="Times New Roman" w:cs="Times New Roman"/>
          <w:i/>
          <w:sz w:val="24"/>
          <w:szCs w:val="24"/>
          <w:lang w:val="en-US"/>
        </w:rPr>
        <w:t>L</w:t>
      </w:r>
      <w:r w:rsidR="003529B1">
        <w:rPr>
          <w:rFonts w:ascii="Times New Roman" w:hAnsi="Times New Roman" w:cs="Times New Roman"/>
          <w:i/>
          <w:sz w:val="24"/>
          <w:szCs w:val="24"/>
          <w:lang w:val="en-US"/>
        </w:rPr>
        <w:t>ogico-</w:t>
      </w:r>
      <w:r w:rsidR="00FA1568">
        <w:rPr>
          <w:rFonts w:ascii="Times New Roman" w:hAnsi="Times New Roman" w:cs="Times New Roman"/>
          <w:i/>
          <w:sz w:val="24"/>
          <w:szCs w:val="24"/>
          <w:lang w:val="en-US"/>
        </w:rPr>
        <w:t>P</w:t>
      </w:r>
      <w:r w:rsidR="003529B1">
        <w:rPr>
          <w:rFonts w:ascii="Times New Roman" w:hAnsi="Times New Roman" w:cs="Times New Roman"/>
          <w:i/>
          <w:sz w:val="24"/>
          <w:szCs w:val="24"/>
          <w:lang w:val="en-US"/>
        </w:rPr>
        <w:t>hilosophicus</w:t>
      </w:r>
      <w:r>
        <w:rPr>
          <w:rFonts w:ascii="Times New Roman" w:hAnsi="Times New Roman" w:cs="Times New Roman"/>
          <w:sz w:val="24"/>
          <w:szCs w:val="24"/>
          <w:lang w:val="en-US"/>
        </w:rPr>
        <w:t xml:space="preserve">, </w:t>
      </w:r>
      <w:r w:rsidR="003529B1">
        <w:rPr>
          <w:rFonts w:ascii="Times New Roman" w:hAnsi="Times New Roman" w:cs="Times New Roman"/>
          <w:sz w:val="24"/>
          <w:szCs w:val="24"/>
          <w:lang w:val="en-US"/>
        </w:rPr>
        <w:t xml:space="preserve">Ludwig </w:t>
      </w:r>
      <w:r>
        <w:rPr>
          <w:rFonts w:ascii="Times New Roman" w:hAnsi="Times New Roman" w:cs="Times New Roman"/>
          <w:sz w:val="24"/>
          <w:szCs w:val="24"/>
          <w:lang w:val="en-US"/>
        </w:rPr>
        <w:t xml:space="preserve">Wittgenstein writes: </w:t>
      </w:r>
    </w:p>
    <w:p w14:paraId="5939DC5F" w14:textId="77777777" w:rsidR="004338C2" w:rsidRDefault="00385922" w:rsidP="00385922">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w:t>
      </w:r>
      <w:r w:rsidR="004338C2">
        <w:rPr>
          <w:rFonts w:ascii="Times New Roman" w:hAnsi="Times New Roman" w:cs="Times New Roman"/>
          <w:sz w:val="24"/>
          <w:szCs w:val="24"/>
          <w:lang w:val="en-US"/>
        </w:rPr>
        <w:t xml:space="preserve">Not only is there no guarantee of the temporal immortality of the human soul, that is to say of its eternal survival after death; but, in any case, this assumption completely fails to accomplish the purpose for which it has always been intended. Or is some riddle solved by my surviving for ever? Is not this eternal life itself as much of a riddle as our present life? The solution of the riddle of life in space and time lies </w:t>
      </w:r>
      <w:r w:rsidR="004338C2">
        <w:rPr>
          <w:rFonts w:ascii="Times New Roman" w:hAnsi="Times New Roman" w:cs="Times New Roman"/>
          <w:i/>
          <w:sz w:val="24"/>
          <w:szCs w:val="24"/>
          <w:lang w:val="en-US"/>
        </w:rPr>
        <w:t xml:space="preserve">outside </w:t>
      </w:r>
      <w:r w:rsidR="004338C2">
        <w:rPr>
          <w:rFonts w:ascii="Times New Roman" w:hAnsi="Times New Roman" w:cs="Times New Roman"/>
          <w:sz w:val="24"/>
          <w:szCs w:val="24"/>
          <w:lang w:val="en-US"/>
        </w:rPr>
        <w:t>space and time.</w:t>
      </w:r>
    </w:p>
    <w:p w14:paraId="1BC7FB03" w14:textId="77777777" w:rsidR="004338C2" w:rsidRDefault="004338C2" w:rsidP="004338C2">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(It is certainly not the solution of any problems of natural science that is required.)</w:t>
      </w:r>
      <w:r w:rsidR="00385922">
        <w:rPr>
          <w:rFonts w:ascii="Times New Roman" w:hAnsi="Times New Roman" w:cs="Times New Roman"/>
          <w:sz w:val="24"/>
          <w:szCs w:val="24"/>
          <w:lang w:val="en-US"/>
        </w:rPr>
        <w:t>’</w:t>
      </w:r>
      <w:r>
        <w:rPr>
          <w:rFonts w:ascii="Times New Roman" w:hAnsi="Times New Roman" w:cs="Times New Roman"/>
          <w:sz w:val="24"/>
          <w:szCs w:val="24"/>
          <w:lang w:val="en-US"/>
        </w:rPr>
        <w:t xml:space="preserve"> (TLP 6.4312.)</w:t>
      </w:r>
    </w:p>
    <w:p w14:paraId="61F5550A" w14:textId="77777777" w:rsidR="007E5DDA" w:rsidRDefault="00E64D3D" w:rsidP="007E5DDA">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This quote brings to </w:t>
      </w:r>
      <w:r w:rsidR="00A668E0">
        <w:rPr>
          <w:rFonts w:ascii="Times New Roman" w:hAnsi="Times New Roman" w:cs="Times New Roman"/>
          <w:sz w:val="24"/>
          <w:szCs w:val="24"/>
          <w:lang w:val="en-US"/>
        </w:rPr>
        <w:t>fore</w:t>
      </w:r>
      <w:r>
        <w:rPr>
          <w:rFonts w:ascii="Times New Roman" w:hAnsi="Times New Roman" w:cs="Times New Roman"/>
          <w:sz w:val="24"/>
          <w:szCs w:val="24"/>
          <w:lang w:val="en-US"/>
        </w:rPr>
        <w:t xml:space="preserve"> three features that together character</w:t>
      </w:r>
      <w:r w:rsidR="00500489">
        <w:rPr>
          <w:rFonts w:ascii="Times New Roman" w:hAnsi="Times New Roman" w:cs="Times New Roman"/>
          <w:sz w:val="24"/>
          <w:szCs w:val="24"/>
          <w:lang w:val="en-US"/>
        </w:rPr>
        <w:t>ize Wittgenstein’s early philosophy of</w:t>
      </w:r>
      <w:r>
        <w:rPr>
          <w:rFonts w:ascii="Times New Roman" w:hAnsi="Times New Roman" w:cs="Times New Roman"/>
          <w:sz w:val="24"/>
          <w:szCs w:val="24"/>
          <w:lang w:val="en-US"/>
        </w:rPr>
        <w:t xml:space="preserve"> religion. These are, first, Wittgenstein’s critical stance on methodological naturalism, namely, the view that philosophy is on a par with natural sciences and deals with problems similar to those trea</w:t>
      </w:r>
      <w:r w:rsidR="00FC7DC6">
        <w:rPr>
          <w:rFonts w:ascii="Times New Roman" w:hAnsi="Times New Roman" w:cs="Times New Roman"/>
          <w:sz w:val="24"/>
          <w:szCs w:val="24"/>
          <w:lang w:val="en-US"/>
        </w:rPr>
        <w:t xml:space="preserve">ted by empirical investigation. </w:t>
      </w:r>
      <w:r>
        <w:rPr>
          <w:rFonts w:ascii="Times New Roman" w:hAnsi="Times New Roman" w:cs="Times New Roman"/>
          <w:sz w:val="24"/>
          <w:szCs w:val="24"/>
          <w:lang w:val="en-US"/>
        </w:rPr>
        <w:t xml:space="preserve">Second, </w:t>
      </w:r>
      <w:r w:rsidR="003529B1">
        <w:rPr>
          <w:rFonts w:ascii="Times New Roman" w:hAnsi="Times New Roman" w:cs="Times New Roman"/>
          <w:sz w:val="24"/>
          <w:szCs w:val="24"/>
          <w:lang w:val="en-US"/>
        </w:rPr>
        <w:t>Wittgenstein’s view that</w:t>
      </w:r>
      <w:r>
        <w:rPr>
          <w:rFonts w:ascii="Times New Roman" w:hAnsi="Times New Roman" w:cs="Times New Roman"/>
          <w:sz w:val="24"/>
          <w:szCs w:val="24"/>
          <w:lang w:val="en-US"/>
        </w:rPr>
        <w:t xml:space="preserve"> religion</w:t>
      </w:r>
      <w:r w:rsidR="002C7DB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is </w:t>
      </w:r>
      <w:r w:rsidR="002C7DBE">
        <w:rPr>
          <w:rFonts w:ascii="Times New Roman" w:hAnsi="Times New Roman" w:cs="Times New Roman"/>
          <w:sz w:val="24"/>
          <w:szCs w:val="24"/>
          <w:lang w:val="en-US"/>
        </w:rPr>
        <w:t>related to and arises as a response to what he calls the riddle or problem of life. This is the problem of seeing one’s life a</w:t>
      </w:r>
      <w:r w:rsidR="009C0011">
        <w:rPr>
          <w:rFonts w:ascii="Times New Roman" w:hAnsi="Times New Roman" w:cs="Times New Roman"/>
          <w:sz w:val="24"/>
          <w:szCs w:val="24"/>
          <w:lang w:val="en-US"/>
        </w:rPr>
        <w:t>s</w:t>
      </w:r>
      <w:r w:rsidR="002C7DBE">
        <w:rPr>
          <w:rFonts w:ascii="Times New Roman" w:hAnsi="Times New Roman" w:cs="Times New Roman"/>
          <w:sz w:val="24"/>
          <w:szCs w:val="24"/>
          <w:lang w:val="en-US"/>
        </w:rPr>
        <w:t xml:space="preserve"> meaningful, valuable, or purposive in the face of its apparent lack of any objective value or purpose. Third, the quote evokes the</w:t>
      </w:r>
      <w:r w:rsidR="00AC5F8F">
        <w:rPr>
          <w:rFonts w:ascii="Times New Roman" w:hAnsi="Times New Roman" w:cs="Times New Roman"/>
          <w:sz w:val="24"/>
          <w:szCs w:val="24"/>
          <w:lang w:val="en-US"/>
        </w:rPr>
        <w:t xml:space="preserve"> idea</w:t>
      </w:r>
      <w:r w:rsidR="002C7DBE">
        <w:rPr>
          <w:rFonts w:ascii="Times New Roman" w:hAnsi="Times New Roman" w:cs="Times New Roman"/>
          <w:sz w:val="24"/>
          <w:szCs w:val="24"/>
          <w:lang w:val="en-US"/>
        </w:rPr>
        <w:t xml:space="preserve"> </w:t>
      </w:r>
      <w:r w:rsidR="00AC5F8F">
        <w:rPr>
          <w:rFonts w:ascii="Times New Roman" w:hAnsi="Times New Roman" w:cs="Times New Roman"/>
          <w:sz w:val="24"/>
          <w:szCs w:val="24"/>
          <w:lang w:val="en-US"/>
        </w:rPr>
        <w:t>of the transcendentality of space and time</w:t>
      </w:r>
      <w:r w:rsidR="002C7DBE">
        <w:rPr>
          <w:rFonts w:ascii="Times New Roman" w:hAnsi="Times New Roman" w:cs="Times New Roman"/>
          <w:sz w:val="24"/>
          <w:szCs w:val="24"/>
          <w:lang w:val="en-US"/>
        </w:rPr>
        <w:t>, familiar from Kan</w:t>
      </w:r>
      <w:r w:rsidR="00AC5F8F">
        <w:rPr>
          <w:rFonts w:ascii="Times New Roman" w:hAnsi="Times New Roman" w:cs="Times New Roman"/>
          <w:sz w:val="24"/>
          <w:szCs w:val="24"/>
          <w:lang w:val="en-US"/>
        </w:rPr>
        <w:t>t’s transcendental philosophy</w:t>
      </w:r>
      <w:r w:rsidR="002C7DBE">
        <w:rPr>
          <w:rFonts w:ascii="Times New Roman" w:hAnsi="Times New Roman" w:cs="Times New Roman"/>
          <w:sz w:val="24"/>
          <w:szCs w:val="24"/>
          <w:lang w:val="en-US"/>
        </w:rPr>
        <w:t xml:space="preserve">. </w:t>
      </w:r>
      <w:r w:rsidR="00FC7DC6">
        <w:rPr>
          <w:rFonts w:ascii="Times New Roman" w:hAnsi="Times New Roman" w:cs="Times New Roman"/>
          <w:sz w:val="24"/>
          <w:szCs w:val="24"/>
          <w:lang w:val="en-US"/>
        </w:rPr>
        <w:t>For Kant,</w:t>
      </w:r>
      <w:r w:rsidR="00FA6523">
        <w:rPr>
          <w:rFonts w:ascii="Times New Roman" w:hAnsi="Times New Roman" w:cs="Times New Roman"/>
          <w:sz w:val="24"/>
          <w:szCs w:val="24"/>
          <w:lang w:val="en-US"/>
        </w:rPr>
        <w:t xml:space="preserve"> s</w:t>
      </w:r>
      <w:r w:rsidR="001C7A01">
        <w:rPr>
          <w:rFonts w:ascii="Times New Roman" w:hAnsi="Times New Roman" w:cs="Times New Roman"/>
          <w:sz w:val="24"/>
          <w:szCs w:val="24"/>
          <w:lang w:val="en-US"/>
        </w:rPr>
        <w:t xml:space="preserve">pace and time are not properties of the world </w:t>
      </w:r>
      <w:r w:rsidR="001C7A01">
        <w:rPr>
          <w:rFonts w:ascii="Times New Roman" w:hAnsi="Times New Roman" w:cs="Times New Roman"/>
          <w:sz w:val="24"/>
          <w:szCs w:val="24"/>
          <w:lang w:val="en-US"/>
        </w:rPr>
        <w:lastRenderedPageBreak/>
        <w:t xml:space="preserve">understood independently of our way of encountering that world, but </w:t>
      </w:r>
      <w:r w:rsidR="007709CB">
        <w:rPr>
          <w:rFonts w:ascii="Times New Roman" w:hAnsi="Times New Roman" w:cs="Times New Roman"/>
          <w:sz w:val="24"/>
          <w:szCs w:val="24"/>
          <w:lang w:val="en-US"/>
        </w:rPr>
        <w:t xml:space="preserve">like the </w:t>
      </w:r>
      <w:r w:rsidR="007709CB" w:rsidRPr="007709CB">
        <w:rPr>
          <w:rFonts w:ascii="Times New Roman" w:hAnsi="Times New Roman" w:cs="Times New Roman"/>
          <w:i/>
          <w:sz w:val="24"/>
          <w:szCs w:val="24"/>
          <w:lang w:val="en-US"/>
        </w:rPr>
        <w:t>a priori</w:t>
      </w:r>
      <w:r w:rsidR="00FC7DC6">
        <w:rPr>
          <w:rFonts w:ascii="Times New Roman" w:hAnsi="Times New Roman" w:cs="Times New Roman"/>
          <w:sz w:val="24"/>
          <w:szCs w:val="24"/>
          <w:lang w:val="en-US"/>
        </w:rPr>
        <w:t xml:space="preserve"> concepts of understanding</w:t>
      </w:r>
      <w:r w:rsidR="007709CB">
        <w:rPr>
          <w:rFonts w:ascii="Times New Roman" w:hAnsi="Times New Roman" w:cs="Times New Roman"/>
          <w:sz w:val="24"/>
          <w:szCs w:val="24"/>
          <w:lang w:val="en-US"/>
        </w:rPr>
        <w:t xml:space="preserve"> </w:t>
      </w:r>
      <w:r w:rsidR="001C7A01">
        <w:rPr>
          <w:rFonts w:ascii="Times New Roman" w:hAnsi="Times New Roman" w:cs="Times New Roman"/>
          <w:sz w:val="24"/>
          <w:szCs w:val="24"/>
          <w:lang w:val="en-US"/>
        </w:rPr>
        <w:t xml:space="preserve">depend on the transcendental subject to whom that world is given. </w:t>
      </w:r>
      <w:r w:rsidR="00FC7DC6">
        <w:rPr>
          <w:rFonts w:ascii="Times New Roman" w:hAnsi="Times New Roman" w:cs="Times New Roman"/>
          <w:sz w:val="24"/>
          <w:szCs w:val="24"/>
          <w:lang w:val="en-US"/>
        </w:rPr>
        <w:t>In accordance with Kant’s</w:t>
      </w:r>
      <w:r w:rsidR="00F52CB4">
        <w:rPr>
          <w:rFonts w:ascii="Times New Roman" w:hAnsi="Times New Roman" w:cs="Times New Roman"/>
          <w:sz w:val="24"/>
          <w:szCs w:val="24"/>
          <w:lang w:val="en-US"/>
        </w:rPr>
        <w:t xml:space="preserve"> view, the early Wittgenstein treats space and time as </w:t>
      </w:r>
      <w:r w:rsidR="00B14A49">
        <w:rPr>
          <w:rFonts w:ascii="Times New Roman" w:hAnsi="Times New Roman" w:cs="Times New Roman"/>
          <w:sz w:val="24"/>
          <w:szCs w:val="24"/>
          <w:lang w:val="en-US"/>
        </w:rPr>
        <w:t>features</w:t>
      </w:r>
      <w:r w:rsidR="00F52CB4">
        <w:rPr>
          <w:rFonts w:ascii="Times New Roman" w:hAnsi="Times New Roman" w:cs="Times New Roman"/>
          <w:sz w:val="24"/>
          <w:szCs w:val="24"/>
          <w:lang w:val="en-US"/>
        </w:rPr>
        <w:t xml:space="preserve"> of </w:t>
      </w:r>
      <w:r w:rsidR="00B14A49">
        <w:rPr>
          <w:rFonts w:ascii="Times New Roman" w:hAnsi="Times New Roman" w:cs="Times New Roman"/>
          <w:sz w:val="24"/>
          <w:szCs w:val="24"/>
          <w:lang w:val="en-US"/>
        </w:rPr>
        <w:t xml:space="preserve">the </w:t>
      </w:r>
      <w:r w:rsidR="00F52CB4">
        <w:rPr>
          <w:rFonts w:ascii="Times New Roman" w:hAnsi="Times New Roman" w:cs="Times New Roman"/>
          <w:sz w:val="24"/>
          <w:szCs w:val="24"/>
          <w:lang w:val="en-US"/>
        </w:rPr>
        <w:t xml:space="preserve">empirically given reality that are </w:t>
      </w:r>
      <w:r w:rsidR="00B14A49">
        <w:rPr>
          <w:rFonts w:ascii="Times New Roman" w:hAnsi="Times New Roman" w:cs="Times New Roman"/>
          <w:sz w:val="24"/>
          <w:szCs w:val="24"/>
          <w:lang w:val="en-US"/>
        </w:rPr>
        <w:t xml:space="preserve">however, </w:t>
      </w:r>
      <w:r w:rsidR="00F52CB4">
        <w:rPr>
          <w:rFonts w:ascii="Times New Roman" w:hAnsi="Times New Roman" w:cs="Times New Roman"/>
          <w:sz w:val="24"/>
          <w:szCs w:val="24"/>
          <w:lang w:val="en-US"/>
        </w:rPr>
        <w:t>transcended in</w:t>
      </w:r>
      <w:r w:rsidR="00C57A1D">
        <w:rPr>
          <w:rFonts w:ascii="Times New Roman" w:hAnsi="Times New Roman" w:cs="Times New Roman"/>
          <w:sz w:val="24"/>
          <w:szCs w:val="24"/>
          <w:lang w:val="en-US"/>
        </w:rPr>
        <w:t xml:space="preserve"> </w:t>
      </w:r>
      <w:r w:rsidR="00453426">
        <w:rPr>
          <w:rFonts w:ascii="Times New Roman" w:hAnsi="Times New Roman" w:cs="Times New Roman"/>
          <w:sz w:val="24"/>
          <w:szCs w:val="24"/>
          <w:lang w:val="en-US"/>
        </w:rPr>
        <w:t>experiences of value</w:t>
      </w:r>
      <w:r w:rsidR="00F52CB4">
        <w:rPr>
          <w:rFonts w:ascii="Times New Roman" w:hAnsi="Times New Roman" w:cs="Times New Roman"/>
          <w:sz w:val="24"/>
          <w:szCs w:val="24"/>
          <w:lang w:val="en-US"/>
        </w:rPr>
        <w:t xml:space="preserve">. </w:t>
      </w:r>
    </w:p>
    <w:p w14:paraId="1BCC4E41" w14:textId="77777777" w:rsidR="00385922" w:rsidRDefault="002C7DBE" w:rsidP="007E5DDA">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I will start by discussing each aspect of Wittgenstein’s early </w:t>
      </w:r>
      <w:r w:rsidR="002C4ABF">
        <w:rPr>
          <w:rFonts w:ascii="Times New Roman" w:hAnsi="Times New Roman" w:cs="Times New Roman"/>
          <w:sz w:val="24"/>
          <w:szCs w:val="24"/>
          <w:lang w:val="en-US"/>
        </w:rPr>
        <w:t>view</w:t>
      </w:r>
      <w:r>
        <w:rPr>
          <w:rFonts w:ascii="Times New Roman" w:hAnsi="Times New Roman" w:cs="Times New Roman"/>
          <w:sz w:val="24"/>
          <w:szCs w:val="24"/>
          <w:lang w:val="en-US"/>
        </w:rPr>
        <w:t xml:space="preserve"> </w:t>
      </w:r>
      <w:r w:rsidR="00275D51">
        <w:rPr>
          <w:rFonts w:ascii="Times New Roman" w:hAnsi="Times New Roman" w:cs="Times New Roman"/>
          <w:sz w:val="24"/>
          <w:szCs w:val="24"/>
          <w:lang w:val="en-US"/>
        </w:rPr>
        <w:t>in light of the Kantian interpretation of his philosophy</w:t>
      </w:r>
      <w:r>
        <w:rPr>
          <w:rFonts w:ascii="Times New Roman" w:hAnsi="Times New Roman" w:cs="Times New Roman"/>
          <w:sz w:val="24"/>
          <w:szCs w:val="24"/>
          <w:lang w:val="en-US"/>
        </w:rPr>
        <w:t>.</w:t>
      </w:r>
      <w:r w:rsidR="00385922" w:rsidRPr="00B14A49">
        <w:rPr>
          <w:rStyle w:val="Loppuviitteenviite"/>
          <w:rFonts w:ascii="Times New Roman" w:hAnsi="Times New Roman" w:cs="Times New Roman"/>
          <w:sz w:val="20"/>
          <w:szCs w:val="20"/>
          <w:lang w:val="en-US"/>
        </w:rPr>
        <w:endnoteReference w:id="1"/>
      </w:r>
      <w:r w:rsidR="00385922">
        <w:rPr>
          <w:rFonts w:ascii="Times New Roman" w:hAnsi="Times New Roman" w:cs="Times New Roman"/>
          <w:sz w:val="24"/>
          <w:szCs w:val="24"/>
          <w:lang w:val="en-US"/>
        </w:rPr>
        <w:t xml:space="preserve"> I will argue that Wittgenstein’s way of bringing together ethics, aesthetics, and religion under the label </w:t>
      </w:r>
      <w:r w:rsidR="00A27D6B">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mystical’ echoes Kant’s mature strategy of dealing with the grounds of religious faith, presented in his </w:t>
      </w:r>
      <w:r w:rsidR="00385922">
        <w:rPr>
          <w:rFonts w:ascii="Times New Roman" w:hAnsi="Times New Roman" w:cs="Times New Roman"/>
          <w:i/>
          <w:sz w:val="24"/>
          <w:szCs w:val="24"/>
          <w:lang w:val="en-US"/>
        </w:rPr>
        <w:t>Critique of the Power of Judgment</w:t>
      </w:r>
      <w:r w:rsidR="00385922">
        <w:rPr>
          <w:rFonts w:ascii="Times New Roman" w:hAnsi="Times New Roman" w:cs="Times New Roman"/>
          <w:sz w:val="24"/>
          <w:szCs w:val="24"/>
          <w:lang w:val="en-US"/>
        </w:rPr>
        <w:t xml:space="preserve">. The overall goal of this paper is to argue that, in spite of the many changes that occur in Wittgenstein developing thought from the 1930s onward, his stance towards religion retains these three aspects that may be read as echoing the Kantian undertones of his early thought. </w:t>
      </w:r>
    </w:p>
    <w:p w14:paraId="07E2E37E" w14:textId="77777777" w:rsidR="00385922" w:rsidRDefault="00385922" w:rsidP="00F72240">
      <w:pPr>
        <w:spacing w:after="0" w:line="480" w:lineRule="auto"/>
        <w:rPr>
          <w:rFonts w:ascii="Times New Roman" w:hAnsi="Times New Roman" w:cs="Times New Roman"/>
          <w:sz w:val="24"/>
          <w:szCs w:val="24"/>
          <w:lang w:val="en-US"/>
        </w:rPr>
      </w:pPr>
    </w:p>
    <w:p w14:paraId="263DFE04" w14:textId="77777777" w:rsidR="00385922" w:rsidRPr="00F72240" w:rsidRDefault="00385922" w:rsidP="00F72240">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1.1. </w:t>
      </w:r>
      <w:r w:rsidR="00A27D6B">
        <w:rPr>
          <w:rFonts w:ascii="Times New Roman" w:hAnsi="Times New Roman" w:cs="Times New Roman"/>
          <w:i/>
          <w:sz w:val="24"/>
          <w:szCs w:val="24"/>
          <w:lang w:val="en-US"/>
        </w:rPr>
        <w:t>‘</w:t>
      </w:r>
      <w:r>
        <w:rPr>
          <w:rFonts w:ascii="Times New Roman" w:hAnsi="Times New Roman" w:cs="Times New Roman"/>
          <w:i/>
          <w:sz w:val="24"/>
          <w:szCs w:val="24"/>
          <w:lang w:val="en-US"/>
        </w:rPr>
        <w:t xml:space="preserve">The </w:t>
      </w:r>
      <w:r w:rsidR="006A346C">
        <w:rPr>
          <w:rFonts w:ascii="Times New Roman" w:hAnsi="Times New Roman" w:cs="Times New Roman"/>
          <w:i/>
          <w:sz w:val="24"/>
          <w:szCs w:val="24"/>
          <w:lang w:val="en-US"/>
        </w:rPr>
        <w:t>r</w:t>
      </w:r>
      <w:r>
        <w:rPr>
          <w:rFonts w:ascii="Times New Roman" w:hAnsi="Times New Roman" w:cs="Times New Roman"/>
          <w:i/>
          <w:sz w:val="24"/>
          <w:szCs w:val="24"/>
          <w:lang w:val="en-US"/>
        </w:rPr>
        <w:t xml:space="preserve">ight sort of </w:t>
      </w:r>
      <w:r w:rsidR="006A346C">
        <w:rPr>
          <w:rFonts w:ascii="Times New Roman" w:hAnsi="Times New Roman" w:cs="Times New Roman"/>
          <w:i/>
          <w:sz w:val="24"/>
          <w:szCs w:val="24"/>
          <w:lang w:val="en-US"/>
        </w:rPr>
        <w:t>a</w:t>
      </w:r>
      <w:r>
        <w:rPr>
          <w:rFonts w:ascii="Times New Roman" w:hAnsi="Times New Roman" w:cs="Times New Roman"/>
          <w:i/>
          <w:sz w:val="24"/>
          <w:szCs w:val="24"/>
          <w:lang w:val="en-US"/>
        </w:rPr>
        <w:t xml:space="preserve">pproach’ in </w:t>
      </w:r>
      <w:r w:rsidR="006A346C">
        <w:rPr>
          <w:rFonts w:ascii="Times New Roman" w:hAnsi="Times New Roman" w:cs="Times New Roman"/>
          <w:i/>
          <w:sz w:val="24"/>
          <w:szCs w:val="24"/>
          <w:lang w:val="en-US"/>
        </w:rPr>
        <w:t>p</w:t>
      </w:r>
      <w:r>
        <w:rPr>
          <w:rFonts w:ascii="Times New Roman" w:hAnsi="Times New Roman" w:cs="Times New Roman"/>
          <w:i/>
          <w:sz w:val="24"/>
          <w:szCs w:val="24"/>
          <w:lang w:val="en-US"/>
        </w:rPr>
        <w:t>hilosophy</w:t>
      </w:r>
    </w:p>
    <w:p w14:paraId="33469D7F" w14:textId="77777777" w:rsidR="00385922" w:rsidRDefault="00385922" w:rsidP="00F72240">
      <w:pPr>
        <w:spacing w:after="0" w:line="480" w:lineRule="auto"/>
        <w:rPr>
          <w:rFonts w:ascii="Times New Roman" w:hAnsi="Times New Roman" w:cs="Times New Roman"/>
          <w:sz w:val="24"/>
          <w:szCs w:val="24"/>
          <w:lang w:val="en-US"/>
        </w:rPr>
      </w:pPr>
    </w:p>
    <w:p w14:paraId="3714D3E6" w14:textId="77777777" w:rsidR="00385922" w:rsidRDefault="00385922" w:rsidP="00F72240">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In the early 1930s</w:t>
      </w:r>
      <w:r w:rsidRPr="00AD137B">
        <w:rPr>
          <w:rFonts w:ascii="Times New Roman" w:hAnsi="Times New Roman" w:cs="Times New Roman"/>
          <w:sz w:val="24"/>
          <w:szCs w:val="24"/>
          <w:lang w:val="en-US"/>
        </w:rPr>
        <w:t>, Wittgenst</w:t>
      </w:r>
      <w:r>
        <w:rPr>
          <w:rFonts w:ascii="Times New Roman" w:hAnsi="Times New Roman" w:cs="Times New Roman"/>
          <w:sz w:val="24"/>
          <w:szCs w:val="24"/>
          <w:lang w:val="en-US"/>
        </w:rPr>
        <w:t xml:space="preserve">ein describes Kant’s method as </w:t>
      </w:r>
      <w:r w:rsidR="00A27D6B">
        <w:rPr>
          <w:rFonts w:ascii="Times New Roman" w:hAnsi="Times New Roman" w:cs="Times New Roman"/>
          <w:sz w:val="24"/>
          <w:szCs w:val="24"/>
          <w:lang w:val="en-US"/>
        </w:rPr>
        <w:t>‘</w:t>
      </w:r>
      <w:r>
        <w:rPr>
          <w:rFonts w:ascii="Times New Roman" w:hAnsi="Times New Roman" w:cs="Times New Roman"/>
          <w:sz w:val="24"/>
          <w:szCs w:val="24"/>
          <w:lang w:val="en-US"/>
        </w:rPr>
        <w:t>the right sort of approach’ in philosophy (LWL</w:t>
      </w:r>
      <w:r w:rsidR="007E5DDA">
        <w:rPr>
          <w:rFonts w:ascii="Times New Roman" w:hAnsi="Times New Roman" w:cs="Times New Roman"/>
          <w:sz w:val="24"/>
          <w:szCs w:val="24"/>
          <w:lang w:val="en-US"/>
        </w:rPr>
        <w:t>:</w:t>
      </w:r>
      <w:r>
        <w:rPr>
          <w:rFonts w:ascii="Times New Roman" w:hAnsi="Times New Roman" w:cs="Times New Roman"/>
          <w:sz w:val="24"/>
          <w:szCs w:val="24"/>
          <w:lang w:val="en-US"/>
        </w:rPr>
        <w:t xml:space="preserve"> 73). Moreover, at the same time, he connects what he calls the Kantian solution of the problem of philosophy to the idea of a limit of language (CV</w:t>
      </w:r>
      <w:r w:rsidR="007E5DDA">
        <w:rPr>
          <w:rFonts w:ascii="Times New Roman" w:hAnsi="Times New Roman" w:cs="Times New Roman"/>
          <w:sz w:val="24"/>
          <w:szCs w:val="24"/>
          <w:lang w:val="en-US"/>
        </w:rPr>
        <w:t>:</w:t>
      </w:r>
      <w:r>
        <w:rPr>
          <w:rFonts w:ascii="Times New Roman" w:hAnsi="Times New Roman" w:cs="Times New Roman"/>
          <w:sz w:val="24"/>
          <w:szCs w:val="24"/>
          <w:lang w:val="en-US"/>
        </w:rPr>
        <w:t xml:space="preserve"> 13). For Kant, philosophy is an enterprise qualitatively different from that of the natural sciences. Instead of producing new information about empirical facts, the goal of his critical philosophy is to determine the limits and legitimate application of different types of judgments, namely, cognitive, moral, and reflective judgments. Kant famously describes his project as an attempt to answer three questions that together are meant to give an account of what a human being is. These questions pertain to what I can know, what I should do, and what I may hope (CPR A805/B</w:t>
      </w:r>
      <w:r w:rsidR="00CC7DC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833). </w:t>
      </w:r>
    </w:p>
    <w:p w14:paraId="3511F253" w14:textId="77777777" w:rsidR="00385922" w:rsidRDefault="00385922" w:rsidP="0029178F">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In the </w:t>
      </w:r>
      <w:r>
        <w:rPr>
          <w:rFonts w:ascii="Times New Roman" w:hAnsi="Times New Roman" w:cs="Times New Roman"/>
          <w:i/>
          <w:sz w:val="24"/>
          <w:szCs w:val="24"/>
          <w:lang w:val="en-US"/>
        </w:rPr>
        <w:t>Critique of Pure Reason</w:t>
      </w:r>
      <w:r>
        <w:rPr>
          <w:rFonts w:ascii="Times New Roman" w:hAnsi="Times New Roman" w:cs="Times New Roman"/>
          <w:sz w:val="24"/>
          <w:szCs w:val="24"/>
          <w:lang w:val="en-US"/>
        </w:rPr>
        <w:t xml:space="preserve">, Kant attempts to answer the first of these questions. He argues that the possibility of theoretical knowledge about the facts of nature rests on the </w:t>
      </w:r>
      <w:r>
        <w:rPr>
          <w:rFonts w:ascii="Times New Roman" w:hAnsi="Times New Roman" w:cs="Times New Roman"/>
          <w:i/>
          <w:sz w:val="24"/>
          <w:szCs w:val="24"/>
          <w:lang w:val="en-US"/>
        </w:rPr>
        <w:t xml:space="preserve">a priori </w:t>
      </w:r>
      <w:r>
        <w:rPr>
          <w:rFonts w:ascii="Times New Roman" w:hAnsi="Times New Roman" w:cs="Times New Roman"/>
          <w:sz w:val="24"/>
          <w:szCs w:val="24"/>
          <w:lang w:val="en-US"/>
        </w:rPr>
        <w:lastRenderedPageBreak/>
        <w:t xml:space="preserve">categories of understanding. </w:t>
      </w:r>
      <w:r w:rsidRPr="006C1DB2">
        <w:rPr>
          <w:rFonts w:ascii="Times New Roman" w:hAnsi="Times New Roman" w:cs="Times New Roman"/>
          <w:sz w:val="24"/>
          <w:szCs w:val="24"/>
          <w:lang w:val="en-US"/>
        </w:rPr>
        <w:t>We can have knowledge of the facts of the world, because the</w:t>
      </w:r>
      <w:r w:rsidR="00D430E7" w:rsidRPr="006C1DB2">
        <w:rPr>
          <w:rFonts w:ascii="Times New Roman" w:hAnsi="Times New Roman" w:cs="Times New Roman"/>
          <w:sz w:val="24"/>
          <w:szCs w:val="24"/>
          <w:lang w:val="en-US"/>
        </w:rPr>
        <w:t xml:space="preserve"> form of our own understanding</w:t>
      </w:r>
      <w:r w:rsidRPr="006C1DB2">
        <w:rPr>
          <w:rFonts w:ascii="Times New Roman" w:hAnsi="Times New Roman" w:cs="Times New Roman"/>
          <w:sz w:val="24"/>
          <w:szCs w:val="24"/>
          <w:lang w:val="en-US"/>
        </w:rPr>
        <w:t xml:space="preserve"> has an </w:t>
      </w:r>
      <w:r w:rsidRPr="006C1DB2">
        <w:rPr>
          <w:rFonts w:ascii="Times New Roman" w:hAnsi="Times New Roman" w:cs="Times New Roman"/>
          <w:i/>
          <w:sz w:val="24"/>
          <w:szCs w:val="24"/>
          <w:lang w:val="en-US"/>
        </w:rPr>
        <w:t>a priori</w:t>
      </w:r>
      <w:r w:rsidRPr="006C1DB2">
        <w:rPr>
          <w:rFonts w:ascii="Times New Roman" w:hAnsi="Times New Roman" w:cs="Times New Roman"/>
          <w:sz w:val="24"/>
          <w:szCs w:val="24"/>
          <w:lang w:val="en-US"/>
        </w:rPr>
        <w:t xml:space="preserve"> </w:t>
      </w:r>
      <w:r w:rsidR="00AD68EF" w:rsidRPr="006C1DB2">
        <w:rPr>
          <w:rFonts w:ascii="Times New Roman" w:hAnsi="Times New Roman" w:cs="Times New Roman"/>
          <w:sz w:val="24"/>
          <w:szCs w:val="24"/>
          <w:lang w:val="en-US"/>
        </w:rPr>
        <w:t>relation to</w:t>
      </w:r>
      <w:r w:rsidRPr="006C1DB2">
        <w:rPr>
          <w:rFonts w:ascii="Times New Roman" w:hAnsi="Times New Roman" w:cs="Times New Roman"/>
          <w:sz w:val="24"/>
          <w:szCs w:val="24"/>
          <w:lang w:val="en-US"/>
        </w:rPr>
        <w:t xml:space="preserve"> </w:t>
      </w:r>
      <w:r w:rsidR="00D430E7" w:rsidRPr="006C1DB2">
        <w:rPr>
          <w:rFonts w:ascii="Times New Roman" w:hAnsi="Times New Roman" w:cs="Times New Roman"/>
          <w:sz w:val="24"/>
          <w:szCs w:val="24"/>
          <w:lang w:val="en-US"/>
        </w:rPr>
        <w:t>the form of the world</w:t>
      </w:r>
      <w:r w:rsidR="00D430E7">
        <w:rPr>
          <w:rFonts w:ascii="Times New Roman" w:hAnsi="Times New Roman" w:cs="Times New Roman"/>
          <w:sz w:val="24"/>
          <w:szCs w:val="24"/>
          <w:lang w:val="en-US"/>
        </w:rPr>
        <w:t xml:space="preserve"> </w:t>
      </w:r>
      <w:r w:rsidR="00CC7DCA">
        <w:rPr>
          <w:rFonts w:ascii="Times New Roman" w:hAnsi="Times New Roman" w:cs="Times New Roman"/>
          <w:sz w:val="24"/>
          <w:szCs w:val="24"/>
          <w:lang w:val="en-US"/>
        </w:rPr>
        <w:t>(CPR A57/B</w:t>
      </w:r>
      <w:r>
        <w:rPr>
          <w:rFonts w:ascii="Times New Roman" w:hAnsi="Times New Roman" w:cs="Times New Roman"/>
          <w:sz w:val="24"/>
          <w:szCs w:val="24"/>
          <w:lang w:val="en-US"/>
        </w:rPr>
        <w:t>81–82). In cognitive judgments, sensible content is subsumed under concepts of understanding, thereby yielding empirical knowledge</w:t>
      </w:r>
      <w:r w:rsidRPr="008B039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(CPR A51). However, in Kant’s account, the realm of theoretical knowledge thus understood excludes notions that pertain, for example, to freedom, God, and eternity. Indeed, as he states in the Preface to his </w:t>
      </w:r>
      <w:r>
        <w:rPr>
          <w:rFonts w:ascii="Times New Roman" w:hAnsi="Times New Roman" w:cs="Times New Roman"/>
          <w:i/>
          <w:sz w:val="24"/>
          <w:szCs w:val="24"/>
          <w:lang w:val="en-US"/>
        </w:rPr>
        <w:t>First Critique</w:t>
      </w:r>
      <w:r>
        <w:rPr>
          <w:rFonts w:ascii="Times New Roman" w:hAnsi="Times New Roman" w:cs="Times New Roman"/>
          <w:sz w:val="24"/>
          <w:szCs w:val="24"/>
          <w:lang w:val="en-US"/>
        </w:rPr>
        <w:t>, he found it necessary to limit the sphere of knowledge to make room for faith (CPR Bxxx). But this just means that, for Kant, the realm of theoretical knowledge leaves untouched equally valid questions that we, as practical agents and as sensible creatures capable of judgments of purposiveness, inevitably encounter in our lives. Hence, in Kant’s critical philosophy the question of knowledge is complemented with the two other questions to be treated by his practical philosophy, aesthetics, and teleology.</w:t>
      </w:r>
    </w:p>
    <w:p w14:paraId="0C8A36D8" w14:textId="77777777" w:rsidR="00385922" w:rsidRDefault="00385922" w:rsidP="00C63E5F">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As argued originally by Erik Stenius, the project of Wittgenstein’s early </w:t>
      </w:r>
      <w:r>
        <w:rPr>
          <w:rFonts w:ascii="Times New Roman" w:hAnsi="Times New Roman" w:cs="Times New Roman"/>
          <w:i/>
          <w:sz w:val="24"/>
          <w:szCs w:val="24"/>
          <w:lang w:val="en-US"/>
        </w:rPr>
        <w:t xml:space="preserve">Tractatus </w:t>
      </w:r>
      <w:r>
        <w:rPr>
          <w:rFonts w:ascii="Times New Roman" w:hAnsi="Times New Roman" w:cs="Times New Roman"/>
          <w:sz w:val="24"/>
          <w:szCs w:val="24"/>
          <w:lang w:val="en-US"/>
        </w:rPr>
        <w:t>is relevantly similar to Kant’s project thus described (Stenius</w:t>
      </w:r>
      <w:r w:rsidR="007E5DDA">
        <w:rPr>
          <w:rFonts w:ascii="Times New Roman" w:hAnsi="Times New Roman" w:cs="Times New Roman"/>
          <w:sz w:val="24"/>
          <w:szCs w:val="24"/>
          <w:lang w:val="en-US"/>
        </w:rPr>
        <w:t>,</w:t>
      </w:r>
      <w:r>
        <w:rPr>
          <w:rFonts w:ascii="Times New Roman" w:hAnsi="Times New Roman" w:cs="Times New Roman"/>
          <w:sz w:val="24"/>
          <w:szCs w:val="24"/>
          <w:lang w:val="en-US"/>
        </w:rPr>
        <w:t xml:space="preserve"> 1960</w:t>
      </w:r>
      <w:r w:rsidR="007E5DDA">
        <w:rPr>
          <w:rFonts w:ascii="Times New Roman" w:hAnsi="Times New Roman" w:cs="Times New Roman"/>
          <w:sz w:val="24"/>
          <w:szCs w:val="24"/>
          <w:lang w:val="en-US"/>
        </w:rPr>
        <w:t>:</w:t>
      </w:r>
      <w:r>
        <w:rPr>
          <w:rFonts w:ascii="Times New Roman" w:hAnsi="Times New Roman" w:cs="Times New Roman"/>
          <w:sz w:val="24"/>
          <w:szCs w:val="24"/>
          <w:lang w:val="en-US"/>
        </w:rPr>
        <w:t xml:space="preserve"> ch.11). For Kant, the transcendental categories of understanding are constitutive of both empirical facts and cognitive judgments made of those facts. In this sense, the categories limit the legitimate application of c</w:t>
      </w:r>
      <w:r w:rsidR="00CC7DCA">
        <w:rPr>
          <w:rFonts w:ascii="Times New Roman" w:hAnsi="Times New Roman" w:cs="Times New Roman"/>
          <w:sz w:val="24"/>
          <w:szCs w:val="24"/>
          <w:lang w:val="en-US"/>
        </w:rPr>
        <w:t>ognitive judgments (CPR A57, B</w:t>
      </w:r>
      <w:r>
        <w:rPr>
          <w:rFonts w:ascii="Times New Roman" w:hAnsi="Times New Roman" w:cs="Times New Roman"/>
          <w:sz w:val="24"/>
          <w:szCs w:val="24"/>
          <w:lang w:val="en-US"/>
        </w:rPr>
        <w:t xml:space="preserve">81–81). In a similar vein, Wittgenstein limits meaningful language to the realm of facts and treats logical form as a condition of both (TLP 2.18, 3.032, 4.1, 5.61). According to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xml:space="preserve">, every meaningful proposition is a picture of a state of affairs. This means that, for a proposition to be meaningful, it must conform to the general propositional form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This is how things stand’ (TLP 4.5). What makes such picturing possible is the logical form shared by the proposition and the state of affairs pictured by it (TLP 2.17). Accordingly, meaningful language is limited to the picturing of facts. Hence, Wittgenstein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 totality of true propositions is the whole of natural science’ (TLP 4.11). </w:t>
      </w:r>
    </w:p>
    <w:p w14:paraId="2D66A408" w14:textId="6C1E0D8F" w:rsidR="00385922" w:rsidRDefault="00385922" w:rsidP="00DE00F4">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However, for Wittgenstein, philosophy itself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is not one of the natural sciences’ (TLP 4.111). Instead, Wittgenstein states,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philosophy sets limits to the much disputed sphere of natural </w:t>
      </w:r>
      <w:r>
        <w:rPr>
          <w:rFonts w:ascii="Times New Roman" w:hAnsi="Times New Roman" w:cs="Times New Roman"/>
          <w:sz w:val="24"/>
          <w:szCs w:val="24"/>
          <w:lang w:val="en-US"/>
        </w:rPr>
        <w:lastRenderedPageBreak/>
        <w:t xml:space="preserve">science’ (TLP 4.113). Logic – that is, the chief interest of philosophy as understood by the early Wittgenstein – is not among the facts expressible by meaningful propositions (TLP 2.172, 4.121). This is because logical form is the necessary condition for anything to be a fact in the first place or a sentence thereof (TLP 2.18). According to the Kantian interpretation of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xml:space="preserve">, this is what Wittgenstein means by stating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logic is transcendental’ and </w:t>
      </w:r>
      <w:r w:rsidRPr="007709CB">
        <w:rPr>
          <w:rFonts w:ascii="Times New Roman" w:hAnsi="Times New Roman" w:cs="Times New Roman"/>
          <w:i/>
          <w:sz w:val="24"/>
          <w:szCs w:val="24"/>
          <w:lang w:val="en-US"/>
        </w:rPr>
        <w:t xml:space="preserve">a priori </w:t>
      </w:r>
      <w:r w:rsidR="00CC7DCA">
        <w:rPr>
          <w:rFonts w:ascii="Times New Roman" w:hAnsi="Times New Roman" w:cs="Times New Roman"/>
          <w:sz w:val="24"/>
          <w:szCs w:val="24"/>
          <w:lang w:val="en-US"/>
        </w:rPr>
        <w:t>(TLP 6.13, 5.4731;</w:t>
      </w:r>
      <w:r>
        <w:rPr>
          <w:rFonts w:ascii="Times New Roman" w:hAnsi="Times New Roman" w:cs="Times New Roman"/>
          <w:sz w:val="24"/>
          <w:szCs w:val="24"/>
          <w:lang w:val="en-US"/>
        </w:rPr>
        <w:t xml:space="preserve"> see CPR</w:t>
      </w:r>
      <w:r w:rsidR="00CC7DCA">
        <w:rPr>
          <w:rFonts w:ascii="Times New Roman" w:hAnsi="Times New Roman" w:cs="Times New Roman"/>
          <w:sz w:val="24"/>
          <w:szCs w:val="24"/>
          <w:lang w:val="en-US"/>
        </w:rPr>
        <w:t xml:space="preserve"> A</w:t>
      </w:r>
      <w:r w:rsidRPr="008E37E6">
        <w:rPr>
          <w:rFonts w:ascii="Times New Roman" w:hAnsi="Times New Roman" w:cs="Times New Roman"/>
          <w:sz w:val="24"/>
          <w:szCs w:val="24"/>
          <w:lang w:val="en-US"/>
        </w:rPr>
        <w:t>55–57</w:t>
      </w:r>
      <w:r>
        <w:rPr>
          <w:rFonts w:ascii="Times New Roman" w:hAnsi="Times New Roman" w:cs="Times New Roman"/>
          <w:sz w:val="24"/>
          <w:szCs w:val="24"/>
          <w:lang w:val="en-US"/>
        </w:rPr>
        <w:t>/B79–82). Logical form is the form constitutive of our thought and in this sense a limiting condition of thought (TLP 5.473–5.4733). The main difference between Kant and Wittgenstein arises from Wittgenstein’s equation between language and thought. While for Kant, the categories of understanding, as well as such ideas of reason as God that do not correspond to anything in empirical reality, may be thought and expressed, for Wittgenstein, the limits of language are simultaneously the limits of thought (</w:t>
      </w:r>
      <w:r w:rsidRPr="000D175B">
        <w:rPr>
          <w:rFonts w:ascii="Times New Roman" w:hAnsi="Times New Roman" w:cs="Times New Roman"/>
          <w:sz w:val="24"/>
          <w:szCs w:val="24"/>
          <w:lang w:val="en-US"/>
        </w:rPr>
        <w:t xml:space="preserve">CPR </w:t>
      </w:r>
      <w:r w:rsidRPr="0029178F">
        <w:rPr>
          <w:rFonts w:ascii="Times New Roman" w:hAnsi="Times New Roman" w:cs="Times New Roman"/>
          <w:sz w:val="24"/>
          <w:szCs w:val="24"/>
          <w:lang w:val="en-US"/>
        </w:rPr>
        <w:t xml:space="preserve">A334–336/B391–394; </w:t>
      </w:r>
      <w:r w:rsidRPr="000D175B">
        <w:rPr>
          <w:rFonts w:ascii="Times New Roman" w:hAnsi="Times New Roman" w:cs="Times New Roman"/>
          <w:sz w:val="24"/>
          <w:szCs w:val="24"/>
          <w:lang w:val="en-US"/>
        </w:rPr>
        <w:t>TLP</w:t>
      </w:r>
      <w:r>
        <w:rPr>
          <w:rFonts w:ascii="Times New Roman" w:hAnsi="Times New Roman" w:cs="Times New Roman"/>
          <w:sz w:val="24"/>
          <w:szCs w:val="24"/>
          <w:lang w:val="en-US"/>
        </w:rPr>
        <w:t xml:space="preserve"> 3, 3.03). Hence, the domain of meaningful language and thought in the </w:t>
      </w:r>
      <w:r>
        <w:rPr>
          <w:rFonts w:ascii="Times New Roman" w:hAnsi="Times New Roman" w:cs="Times New Roman"/>
          <w:i/>
          <w:sz w:val="24"/>
          <w:szCs w:val="24"/>
          <w:lang w:val="en-US"/>
        </w:rPr>
        <w:t xml:space="preserve">Tractatus </w:t>
      </w:r>
      <w:r>
        <w:rPr>
          <w:rFonts w:ascii="Times New Roman" w:hAnsi="Times New Roman" w:cs="Times New Roman"/>
          <w:sz w:val="24"/>
          <w:szCs w:val="24"/>
          <w:lang w:val="en-US"/>
        </w:rPr>
        <w:t xml:space="preserve">parallels Kant’s domain of </w:t>
      </w:r>
      <w:r w:rsidR="0040321D">
        <w:rPr>
          <w:rFonts w:ascii="Times New Roman" w:hAnsi="Times New Roman" w:cs="Times New Roman"/>
          <w:sz w:val="24"/>
          <w:szCs w:val="24"/>
          <w:lang w:val="en-US"/>
        </w:rPr>
        <w:t>theoretical knowledge</w:t>
      </w:r>
      <w:r>
        <w:rPr>
          <w:rFonts w:ascii="Times New Roman" w:hAnsi="Times New Roman" w:cs="Times New Roman"/>
          <w:sz w:val="24"/>
          <w:szCs w:val="24"/>
          <w:lang w:val="en-US"/>
        </w:rPr>
        <w:t xml:space="preserve">, leaving philosophy itself in the position of being an activity rather than a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body of doctrine’ (TLP 4.112). But while Wittgenstein states that the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correct method of philosophy would really be […] to say nothing except what can be said, i.e. propositions of natural science’, in the </w:t>
      </w:r>
      <w:r>
        <w:rPr>
          <w:rFonts w:ascii="Times New Roman" w:hAnsi="Times New Roman" w:cs="Times New Roman"/>
          <w:i/>
          <w:sz w:val="24"/>
          <w:szCs w:val="24"/>
          <w:lang w:val="en-US"/>
        </w:rPr>
        <w:t xml:space="preserve">Tractatus </w:t>
      </w:r>
      <w:r>
        <w:rPr>
          <w:rFonts w:ascii="Times New Roman" w:hAnsi="Times New Roman" w:cs="Times New Roman"/>
          <w:sz w:val="24"/>
          <w:szCs w:val="24"/>
          <w:lang w:val="en-US"/>
        </w:rPr>
        <w:t xml:space="preserve">he himself does not abide by this dictum (TLP 6.53). In fact, he continues the previous statement by adding paradoxically that the propositions of natural science are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something that has nothing to do with philosophy’ (TLP 6.53). </w:t>
      </w:r>
    </w:p>
    <w:p w14:paraId="55AF9D26" w14:textId="77777777" w:rsidR="00385922" w:rsidRDefault="00385922" w:rsidP="00DA5974">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The practice of philosophy is not the only phenomenon that cannot, in Wittgenstein’s early view, be captured by means of factual language. Already Stenius points out that, in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xml:space="preserve">, there are a number of notions that cannot according to its own dictates be expressed in language. Such ineffabilia mentioned in the </w:t>
      </w:r>
      <w:r>
        <w:rPr>
          <w:rFonts w:ascii="Times New Roman" w:hAnsi="Times New Roman" w:cs="Times New Roman"/>
          <w:i/>
          <w:sz w:val="24"/>
          <w:szCs w:val="24"/>
          <w:lang w:val="en-US"/>
        </w:rPr>
        <w:t xml:space="preserve">Tractatus </w:t>
      </w:r>
      <w:r>
        <w:rPr>
          <w:rFonts w:ascii="Times New Roman" w:hAnsi="Times New Roman" w:cs="Times New Roman"/>
          <w:sz w:val="24"/>
          <w:szCs w:val="24"/>
          <w:lang w:val="en-US"/>
        </w:rPr>
        <w:t xml:space="preserve">include ethics and aesthetics, the metaphysical subject, the correct insight of solipsism, the ethical will, God, the sense of the world, the world as a whole, as well as the already mentioned logical form (TLP 6.421, 5.632, 5.62, 6.423, 6.432, 6.41, 6.45, 6.13). The attempt to put such ideas into words will inevitably lead to nonsense, i.e., to </w:t>
      </w:r>
      <w:r>
        <w:rPr>
          <w:rFonts w:ascii="Times New Roman" w:hAnsi="Times New Roman" w:cs="Times New Roman"/>
          <w:sz w:val="24"/>
          <w:szCs w:val="24"/>
          <w:lang w:val="en-US"/>
        </w:rPr>
        <w:lastRenderedPageBreak/>
        <w:t xml:space="preserve">propositional signs that fail to have factual and as such the only possible semantic content that language can have. Nevertheless, it is important to notice that the list of the Tractarian ineffabilia is in striking parallel with the notions that for Kant remain outside the bounds of theoretical cognition and figure in his treatment of religious faith. </w:t>
      </w:r>
      <w:r w:rsidRPr="00DC02A1">
        <w:rPr>
          <w:rFonts w:ascii="Times New Roman" w:hAnsi="Times New Roman" w:cs="Times New Roman"/>
          <w:sz w:val="24"/>
          <w:szCs w:val="24"/>
          <w:lang w:val="en-US"/>
        </w:rPr>
        <w:t>(Stenius</w:t>
      </w:r>
      <w:r w:rsidR="00FC607E">
        <w:rPr>
          <w:rFonts w:ascii="Times New Roman" w:hAnsi="Times New Roman" w:cs="Times New Roman"/>
          <w:sz w:val="24"/>
          <w:szCs w:val="24"/>
          <w:lang w:val="en-US"/>
        </w:rPr>
        <w:t>,</w:t>
      </w:r>
      <w:r w:rsidRPr="00DC02A1">
        <w:rPr>
          <w:rFonts w:ascii="Times New Roman" w:hAnsi="Times New Roman" w:cs="Times New Roman"/>
          <w:sz w:val="24"/>
          <w:szCs w:val="24"/>
          <w:lang w:val="en-US"/>
        </w:rPr>
        <w:t xml:space="preserve"> 1960</w:t>
      </w:r>
      <w:r w:rsidR="00FC607E">
        <w:rPr>
          <w:rFonts w:ascii="Times New Roman" w:hAnsi="Times New Roman" w:cs="Times New Roman"/>
          <w:sz w:val="24"/>
          <w:szCs w:val="24"/>
          <w:lang w:val="en-US"/>
        </w:rPr>
        <w:t>:</w:t>
      </w:r>
      <w:r w:rsidRPr="00DC02A1">
        <w:rPr>
          <w:rFonts w:ascii="Times New Roman" w:hAnsi="Times New Roman" w:cs="Times New Roman"/>
          <w:sz w:val="24"/>
          <w:szCs w:val="24"/>
          <w:lang w:val="en-US"/>
        </w:rPr>
        <w:t xml:space="preserve"> 22</w:t>
      </w:r>
      <w:r>
        <w:rPr>
          <w:rFonts w:ascii="Times New Roman" w:hAnsi="Times New Roman" w:cs="Times New Roman"/>
          <w:sz w:val="24"/>
          <w:szCs w:val="24"/>
          <w:lang w:val="en-US"/>
        </w:rPr>
        <w:t>2–224</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see also Moore</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2013</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251–253.)</w:t>
      </w:r>
    </w:p>
    <w:p w14:paraId="4D2C9744" w14:textId="77777777" w:rsidR="00385922" w:rsidRDefault="00385922" w:rsidP="00F72240">
      <w:pPr>
        <w:spacing w:after="0" w:line="480" w:lineRule="auto"/>
        <w:rPr>
          <w:rFonts w:ascii="Times New Roman" w:hAnsi="Times New Roman" w:cs="Times New Roman"/>
          <w:sz w:val="24"/>
          <w:szCs w:val="24"/>
          <w:lang w:val="en-US"/>
        </w:rPr>
      </w:pPr>
    </w:p>
    <w:p w14:paraId="42B3EB16" w14:textId="77777777" w:rsidR="00385922" w:rsidRPr="00F72240" w:rsidRDefault="00385922" w:rsidP="00F72240">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1.2. Two </w:t>
      </w:r>
      <w:r w:rsidR="006A346C">
        <w:rPr>
          <w:rFonts w:ascii="Times New Roman" w:hAnsi="Times New Roman" w:cs="Times New Roman"/>
          <w:i/>
          <w:sz w:val="24"/>
          <w:szCs w:val="24"/>
          <w:lang w:val="en-US"/>
        </w:rPr>
        <w:t>p</w:t>
      </w:r>
      <w:r>
        <w:rPr>
          <w:rFonts w:ascii="Times New Roman" w:hAnsi="Times New Roman" w:cs="Times New Roman"/>
          <w:i/>
          <w:sz w:val="24"/>
          <w:szCs w:val="24"/>
          <w:lang w:val="en-US"/>
        </w:rPr>
        <w:t xml:space="preserve">erspectives on the </w:t>
      </w:r>
      <w:r w:rsidR="006A346C">
        <w:rPr>
          <w:rFonts w:ascii="Times New Roman" w:hAnsi="Times New Roman" w:cs="Times New Roman"/>
          <w:i/>
          <w:sz w:val="24"/>
          <w:szCs w:val="24"/>
          <w:lang w:val="en-US"/>
        </w:rPr>
        <w:t>w</w:t>
      </w:r>
      <w:r>
        <w:rPr>
          <w:rFonts w:ascii="Times New Roman" w:hAnsi="Times New Roman" w:cs="Times New Roman"/>
          <w:i/>
          <w:sz w:val="24"/>
          <w:szCs w:val="24"/>
          <w:lang w:val="en-US"/>
        </w:rPr>
        <w:t>orld</w:t>
      </w:r>
    </w:p>
    <w:p w14:paraId="0B4E8D9A" w14:textId="77777777" w:rsidR="00385922" w:rsidRDefault="00385922" w:rsidP="00F72240">
      <w:pPr>
        <w:spacing w:after="0" w:line="480" w:lineRule="auto"/>
        <w:rPr>
          <w:rFonts w:ascii="Times New Roman" w:hAnsi="Times New Roman" w:cs="Times New Roman"/>
          <w:sz w:val="24"/>
          <w:szCs w:val="24"/>
          <w:lang w:val="en-US"/>
        </w:rPr>
      </w:pPr>
    </w:p>
    <w:p w14:paraId="5F9B01EB" w14:textId="77777777" w:rsidR="00385922" w:rsidRDefault="00385922" w:rsidP="000A39A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According to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xml:space="preserve">, the facts of the world are devoid of value, and the propositions picturing such facts are all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of equal value’ (TLP 6.4). Hence, Wittgenstein writes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propositions can express nothing that is higher’ (TLP 6.42). In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xml:space="preserve">, Wittgenstein expresses this point also by reference to God: </w:t>
      </w:r>
      <w:r w:rsidR="00A27D6B">
        <w:rPr>
          <w:rFonts w:ascii="Times New Roman" w:hAnsi="Times New Roman" w:cs="Times New Roman"/>
          <w:sz w:val="24"/>
          <w:szCs w:val="24"/>
          <w:lang w:val="en-US"/>
        </w:rPr>
        <w:t>‘</w:t>
      </w:r>
      <w:r>
        <w:rPr>
          <w:rFonts w:ascii="Times New Roman" w:hAnsi="Times New Roman" w:cs="Times New Roman"/>
          <w:i/>
          <w:sz w:val="24"/>
          <w:szCs w:val="24"/>
          <w:lang w:val="en-US"/>
        </w:rPr>
        <w:t xml:space="preserve">How </w:t>
      </w:r>
      <w:r>
        <w:rPr>
          <w:rFonts w:ascii="Times New Roman" w:hAnsi="Times New Roman" w:cs="Times New Roman"/>
          <w:sz w:val="24"/>
          <w:szCs w:val="24"/>
          <w:lang w:val="en-US"/>
        </w:rPr>
        <w:t xml:space="preserve">things are in the world is a matter of complete indifference for what is higher. God does not reveal himself </w:t>
      </w:r>
      <w:r>
        <w:rPr>
          <w:rFonts w:ascii="Times New Roman" w:hAnsi="Times New Roman" w:cs="Times New Roman"/>
          <w:i/>
          <w:sz w:val="24"/>
          <w:szCs w:val="24"/>
          <w:lang w:val="en-US"/>
        </w:rPr>
        <w:t xml:space="preserve">in </w:t>
      </w:r>
      <w:r>
        <w:rPr>
          <w:rFonts w:ascii="Times New Roman" w:hAnsi="Times New Roman" w:cs="Times New Roman"/>
          <w:sz w:val="24"/>
          <w:szCs w:val="24"/>
          <w:lang w:val="en-US"/>
        </w:rPr>
        <w:t xml:space="preserve">the world’ (TLP 6.432). Given that natural sciences are in the business of cataloguing contingent facts, Wittgenstein claims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We feel that even when all </w:t>
      </w:r>
      <w:r>
        <w:rPr>
          <w:rFonts w:ascii="Times New Roman" w:hAnsi="Times New Roman" w:cs="Times New Roman"/>
          <w:i/>
          <w:sz w:val="24"/>
          <w:szCs w:val="24"/>
          <w:lang w:val="en-US"/>
        </w:rPr>
        <w:t xml:space="preserve">possible </w:t>
      </w:r>
      <w:r w:rsidRPr="003A6FF4">
        <w:rPr>
          <w:rFonts w:ascii="Times New Roman" w:hAnsi="Times New Roman" w:cs="Times New Roman"/>
          <w:sz w:val="24"/>
          <w:szCs w:val="24"/>
          <w:lang w:val="en-US"/>
        </w:rPr>
        <w:t>scientific questions have been answered</w:t>
      </w:r>
      <w:r>
        <w:rPr>
          <w:rFonts w:ascii="Times New Roman" w:hAnsi="Times New Roman" w:cs="Times New Roman"/>
          <w:sz w:val="24"/>
          <w:szCs w:val="24"/>
          <w:lang w:val="en-US"/>
        </w:rPr>
        <w:t xml:space="preserve">, the problems of life remain completely untouched’ (TLP 6.52). This view echoes Kant’s position that we cannot have empirical knowledge of matters related to ethics or religion. Moreover, Wittgenstein’s motivation to treat ethics as ineffable reflects Kant’s move to limit knowledge to make room for faith. In his letter to Ludwig von Ficker, Wittgenstein famously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For the Ethical is delimited from within, as it were, by my book; and I’m confident that </w:t>
      </w:r>
      <w:r>
        <w:rPr>
          <w:rFonts w:ascii="Times New Roman" w:hAnsi="Times New Roman" w:cs="Times New Roman"/>
          <w:i/>
          <w:sz w:val="24"/>
          <w:szCs w:val="24"/>
          <w:lang w:val="en-US"/>
        </w:rPr>
        <w:t xml:space="preserve">strictly </w:t>
      </w:r>
      <w:r>
        <w:rPr>
          <w:rFonts w:ascii="Times New Roman" w:hAnsi="Times New Roman" w:cs="Times New Roman"/>
          <w:sz w:val="24"/>
          <w:szCs w:val="24"/>
          <w:lang w:val="en-US"/>
        </w:rPr>
        <w:t>speaking, it can ONLY be delimited in this way’ (Luckhardt</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1979</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94–95). The view underlying this move arises out of a conception of the contingency of the facts of the world on the one hand and the absoluteness of ethics on the other. What can be expressed by means of propositions is just contingent facts that cannot, precisely because they are contingent, have the kind of normative force Wittgenstein seems to assign to </w:t>
      </w:r>
      <w:r>
        <w:rPr>
          <w:rFonts w:ascii="Times New Roman" w:hAnsi="Times New Roman" w:cs="Times New Roman"/>
          <w:sz w:val="24"/>
          <w:szCs w:val="24"/>
          <w:lang w:val="en-US"/>
        </w:rPr>
        <w:lastRenderedPageBreak/>
        <w:t xml:space="preserve">ethics. As Wittgenstein states in his 1929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Lecture on Ethics’: </w:t>
      </w:r>
      <w:r w:rsidR="00A27D6B">
        <w:rPr>
          <w:rFonts w:ascii="Times New Roman" w:hAnsi="Times New Roman" w:cs="Times New Roman"/>
          <w:sz w:val="24"/>
          <w:szCs w:val="24"/>
          <w:lang w:val="en-US"/>
        </w:rPr>
        <w:t>‘</w:t>
      </w:r>
      <w:r>
        <w:rPr>
          <w:rFonts w:ascii="Times New Roman" w:hAnsi="Times New Roman" w:cs="Times New Roman"/>
          <w:sz w:val="24"/>
          <w:szCs w:val="24"/>
          <w:lang w:val="en-US"/>
        </w:rPr>
        <w:t>No state of affairs has, in itself, […] the coersive power of an absolute judge’ (E</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7).</w:t>
      </w:r>
    </w:p>
    <w:p w14:paraId="58A57E52" w14:textId="77777777" w:rsidR="00385922" w:rsidRDefault="00385922" w:rsidP="004709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However, while denying that value may be found among the facts of the world, Wittgenstein does not deny the possibility of an </w:t>
      </w:r>
      <w:r w:rsidRPr="00F3685A">
        <w:rPr>
          <w:rFonts w:ascii="Times New Roman" w:hAnsi="Times New Roman" w:cs="Times New Roman"/>
          <w:i/>
          <w:sz w:val="24"/>
          <w:szCs w:val="24"/>
          <w:lang w:val="en-US"/>
        </w:rPr>
        <w:t>experience</w:t>
      </w:r>
      <w:r>
        <w:rPr>
          <w:rFonts w:ascii="Times New Roman" w:hAnsi="Times New Roman" w:cs="Times New Roman"/>
          <w:sz w:val="24"/>
          <w:szCs w:val="24"/>
          <w:lang w:val="en-US"/>
        </w:rPr>
        <w:t xml:space="preserve"> of value, only its reducibility to the facts of the world. He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 world of the happy man is a different one from that of the unhappy man’ (TLP 6.43). The difference between the two worlds is not a difference in facts, for the good or bad exercise of the will cannot alter the facts. And yet, the effect of the exercise of the will is that the world whose facts remain the same becomes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an altogether different world’ (TLP 6.43). Moreover, in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xml:space="preserve">, ethics – the relevant viewpoint on the problem of life – is characterized as transcendental and ineffable, just like logic. We read: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It is clear that ethics cannot be put into words. Ethics is transcendental. (Ethics and aesthetics are one and the same.)’ (TLP 6.421.) In the </w:t>
      </w:r>
      <w:r>
        <w:rPr>
          <w:rFonts w:ascii="Times New Roman" w:hAnsi="Times New Roman" w:cs="Times New Roman"/>
          <w:i/>
          <w:sz w:val="24"/>
          <w:szCs w:val="24"/>
          <w:lang w:val="en-US"/>
        </w:rPr>
        <w:t>Notebooks</w:t>
      </w:r>
      <w:r>
        <w:rPr>
          <w:rFonts w:ascii="Times New Roman" w:hAnsi="Times New Roman" w:cs="Times New Roman"/>
          <w:sz w:val="24"/>
          <w:szCs w:val="24"/>
          <w:lang w:val="en-US"/>
        </w:rPr>
        <w:t>,</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 xml:space="preserve">Wittgenstein connects ethics and logic by writing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[e]thics must be a condition of the world, like logic’ (NB</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77).  </w:t>
      </w:r>
    </w:p>
    <w:p w14:paraId="5FEBE37B" w14:textId="77777777" w:rsidR="00385922" w:rsidRDefault="00385922" w:rsidP="0047098D">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I have argued elsewhere that Wittgenstein’s use of the term transcendental in relation to ethics-cum-aesthetics ought to be understood in the same sense as the transcendentality of the Tractarian </w:t>
      </w:r>
      <w:r w:rsidRPr="00DC02A1">
        <w:rPr>
          <w:rFonts w:ascii="Times New Roman" w:hAnsi="Times New Roman" w:cs="Times New Roman"/>
          <w:sz w:val="24"/>
          <w:szCs w:val="24"/>
          <w:lang w:val="en-US"/>
        </w:rPr>
        <w:t>logic (</w:t>
      </w:r>
      <w:r w:rsidRPr="00F33973">
        <w:rPr>
          <w:rFonts w:ascii="Times New Roman" w:hAnsi="Times New Roman" w:cs="Times New Roman"/>
          <w:sz w:val="24"/>
          <w:szCs w:val="24"/>
          <w:lang w:val="en-US"/>
        </w:rPr>
        <w:t>Appelqvist</w:t>
      </w:r>
      <w:r w:rsidR="00CC7DCA">
        <w:rPr>
          <w:rFonts w:ascii="Times New Roman" w:hAnsi="Times New Roman" w:cs="Times New Roman"/>
          <w:sz w:val="24"/>
          <w:szCs w:val="24"/>
          <w:lang w:val="en-US"/>
        </w:rPr>
        <w:t>,</w:t>
      </w:r>
      <w:r w:rsidRPr="00F33973">
        <w:rPr>
          <w:rFonts w:ascii="Times New Roman" w:hAnsi="Times New Roman" w:cs="Times New Roman"/>
          <w:sz w:val="24"/>
          <w:szCs w:val="24"/>
          <w:lang w:val="en-US"/>
        </w:rPr>
        <w:t xml:space="preserve"> 2013 and 2016</w:t>
      </w:r>
      <w:r w:rsidRPr="00DC02A1">
        <w:rPr>
          <w:rFonts w:ascii="Times New Roman" w:hAnsi="Times New Roman" w:cs="Times New Roman"/>
          <w:sz w:val="24"/>
          <w:szCs w:val="24"/>
          <w:lang w:val="en-US"/>
        </w:rPr>
        <w:t>).</w:t>
      </w:r>
      <w:r>
        <w:rPr>
          <w:rFonts w:ascii="Times New Roman" w:hAnsi="Times New Roman" w:cs="Times New Roman"/>
          <w:sz w:val="24"/>
          <w:szCs w:val="24"/>
          <w:lang w:val="en-US"/>
        </w:rPr>
        <w:t xml:space="preserve"> Like logic, which does not handle the empirical content of facts but only their necessary form, ethics does not treat of the facts of the world, for they all reside on an evaluatively neutral level (TLP 6.1–6.12, 6.4–6.42). Instead, the essence of ethics is a </w:t>
      </w:r>
      <w:r w:rsidRPr="00384CB1">
        <w:rPr>
          <w:rFonts w:ascii="Times New Roman" w:hAnsi="Times New Roman" w:cs="Times New Roman"/>
          <w:sz w:val="24"/>
          <w:szCs w:val="24"/>
          <w:lang w:val="en-US"/>
        </w:rPr>
        <w:t xml:space="preserve">form </w:t>
      </w:r>
      <w:r>
        <w:rPr>
          <w:rFonts w:ascii="Times New Roman" w:hAnsi="Times New Roman" w:cs="Times New Roman"/>
          <w:sz w:val="24"/>
          <w:szCs w:val="24"/>
          <w:lang w:val="en-US"/>
        </w:rPr>
        <w:t xml:space="preserve">of a feeling. Wittgenstein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To view the world sub specie aeterni is to view it as a whole – a limited whole. Feeling the world as a limited whole – it is this that is mystical’ (TLP 6.45). That Wittgenstein calls the mystical a feeling rather than a thought is not incidental. In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xml:space="preserve">, the term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thought’ indicates a proposition with factual content, which cannot have any value (TLP 3, 3.5). It is equally important to notice that the feeling in question is not a mere psychological state. As Wittgenstein notes,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 will as a phenomenon is of interest only to psychology’, which in turn deals with contingent facts. Rather, the mystical is a </w:t>
      </w:r>
      <w:r w:rsidRPr="0029178F">
        <w:rPr>
          <w:rFonts w:ascii="Times New Roman" w:hAnsi="Times New Roman" w:cs="Times New Roman"/>
          <w:i/>
          <w:sz w:val="24"/>
          <w:szCs w:val="24"/>
          <w:lang w:val="en-US"/>
        </w:rPr>
        <w:t>form</w:t>
      </w:r>
      <w:r>
        <w:rPr>
          <w:rFonts w:ascii="Times New Roman" w:hAnsi="Times New Roman" w:cs="Times New Roman"/>
          <w:sz w:val="24"/>
          <w:szCs w:val="24"/>
          <w:lang w:val="en-US"/>
        </w:rPr>
        <w:t xml:space="preserve"> of a feeling. </w:t>
      </w:r>
      <w:r>
        <w:rPr>
          <w:rFonts w:ascii="Times New Roman" w:hAnsi="Times New Roman" w:cs="Times New Roman"/>
          <w:sz w:val="24"/>
          <w:szCs w:val="24"/>
          <w:lang w:val="en-US"/>
        </w:rPr>
        <w:lastRenderedPageBreak/>
        <w:t>Accordingly, the sub specie aeterni perspective may be adopted, not just towards the world, but towards any given empirical thing. This is evident from Wittgenstein’s remark from 1916:</w:t>
      </w:r>
      <w:r w:rsidRPr="009255C0">
        <w:rPr>
          <w:rFonts w:ascii="Times New Roman" w:hAnsi="Times New Roman" w:cs="Times New Roman"/>
          <w:sz w:val="24"/>
          <w:szCs w:val="24"/>
          <w:lang w:val="en-US"/>
        </w:rPr>
        <w:t xml:space="preserve"> </w:t>
      </w:r>
    </w:p>
    <w:p w14:paraId="7782E1C3" w14:textId="77777777" w:rsidR="00385922" w:rsidRDefault="00A27D6B" w:rsidP="008A3421">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w:t>
      </w:r>
      <w:r w:rsidR="00385922" w:rsidRPr="009255C0">
        <w:rPr>
          <w:rFonts w:ascii="Times New Roman" w:hAnsi="Times New Roman" w:cs="Times New Roman"/>
          <w:sz w:val="24"/>
          <w:szCs w:val="24"/>
          <w:lang w:val="en-US"/>
        </w:rPr>
        <w:t>As a thing among things, each thing is equally insignificant; as a world each one equally significant</w:t>
      </w:r>
      <w:r w:rsidR="00385922">
        <w:rPr>
          <w:rFonts w:ascii="Times New Roman" w:hAnsi="Times New Roman" w:cs="Times New Roman"/>
          <w:sz w:val="24"/>
          <w:szCs w:val="24"/>
          <w:lang w:val="en-US"/>
        </w:rPr>
        <w:t>.</w:t>
      </w:r>
    </w:p>
    <w:p w14:paraId="731BEE3F" w14:textId="77777777" w:rsidR="00385922" w:rsidRDefault="00385922" w:rsidP="008A3421">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 xml:space="preserve">If I have been contemplating the stove, and then am told: but now all you know is the stove, my result does indeed seem trivial. For this represents the matter as if I had studied the stove as one among the many things in the world. But if I was contemplating the stove </w:t>
      </w:r>
      <w:r>
        <w:rPr>
          <w:rFonts w:ascii="Times New Roman" w:hAnsi="Times New Roman" w:cs="Times New Roman"/>
          <w:i/>
          <w:sz w:val="24"/>
          <w:szCs w:val="24"/>
          <w:lang w:val="en-US"/>
        </w:rPr>
        <w:t xml:space="preserve">it </w:t>
      </w:r>
      <w:r>
        <w:rPr>
          <w:rFonts w:ascii="Times New Roman" w:hAnsi="Times New Roman" w:cs="Times New Roman"/>
          <w:sz w:val="24"/>
          <w:szCs w:val="24"/>
          <w:lang w:val="en-US"/>
        </w:rPr>
        <w:t>was my world, and everything else colourless by contrast with it.’</w:t>
      </w:r>
      <w:r w:rsidRPr="009255C0">
        <w:rPr>
          <w:rFonts w:ascii="Times New Roman" w:hAnsi="Times New Roman" w:cs="Times New Roman"/>
          <w:sz w:val="24"/>
          <w:szCs w:val="24"/>
          <w:lang w:val="en-US"/>
        </w:rPr>
        <w:t xml:space="preserve"> (NB</w:t>
      </w:r>
      <w:r w:rsidR="00FC607E">
        <w:rPr>
          <w:rFonts w:ascii="Times New Roman" w:hAnsi="Times New Roman" w:cs="Times New Roman"/>
          <w:sz w:val="24"/>
          <w:szCs w:val="24"/>
          <w:lang w:val="en-US"/>
        </w:rPr>
        <w:t>:</w:t>
      </w:r>
      <w:r w:rsidRPr="009255C0">
        <w:rPr>
          <w:rFonts w:ascii="Times New Roman" w:hAnsi="Times New Roman" w:cs="Times New Roman"/>
          <w:sz w:val="24"/>
          <w:szCs w:val="24"/>
          <w:lang w:val="en-US"/>
        </w:rPr>
        <w:t xml:space="preserve"> 83</w:t>
      </w:r>
      <w:r>
        <w:rPr>
          <w:rFonts w:ascii="Times New Roman" w:hAnsi="Times New Roman" w:cs="Times New Roman"/>
          <w:sz w:val="24"/>
          <w:szCs w:val="24"/>
          <w:lang w:val="en-US"/>
        </w:rPr>
        <w:t xml:space="preserve">.) </w:t>
      </w:r>
    </w:p>
    <w:p w14:paraId="118FE332" w14:textId="00F5B1BF" w:rsidR="00385922" w:rsidRDefault="00385922" w:rsidP="0029178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point is that as a fact any given thing, like a stove, is devoid of value. But it is possible to adopt a contemplative attitude towards the very same thing that shows it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as a limited whole’ or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as a world’. While the fact itself remains the same, the sub specie aeterni perspective renders the fact meaningful or significant by relating it to my feeling. It renders the individual fact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my world’ instead of locating the fact </w:t>
      </w:r>
      <w:r>
        <w:rPr>
          <w:rFonts w:ascii="Times New Roman" w:hAnsi="Times New Roman" w:cs="Times New Roman"/>
          <w:i/>
          <w:sz w:val="24"/>
          <w:szCs w:val="24"/>
          <w:lang w:val="en-US"/>
        </w:rPr>
        <w:t>in</w:t>
      </w:r>
      <w:r>
        <w:rPr>
          <w:rFonts w:ascii="Times New Roman" w:hAnsi="Times New Roman" w:cs="Times New Roman"/>
          <w:sz w:val="24"/>
          <w:szCs w:val="24"/>
          <w:lang w:val="en-US"/>
        </w:rPr>
        <w:t xml:space="preserve"> the world as </w:t>
      </w:r>
      <w:r w:rsidR="00FC607E">
        <w:rPr>
          <w:rFonts w:ascii="Times New Roman" w:hAnsi="Times New Roman" w:cs="Times New Roman"/>
          <w:sz w:val="24"/>
          <w:szCs w:val="24"/>
          <w:lang w:val="en-US"/>
        </w:rPr>
        <w:t>the</w:t>
      </w:r>
      <w:r>
        <w:rPr>
          <w:rFonts w:ascii="Times New Roman" w:hAnsi="Times New Roman" w:cs="Times New Roman"/>
          <w:sz w:val="24"/>
          <w:szCs w:val="24"/>
          <w:lang w:val="en-US"/>
        </w:rPr>
        <w:t xml:space="preserve"> totality of all the facts (see TLP 1.11–1.12).</w:t>
      </w:r>
    </w:p>
    <w:p w14:paraId="580BB5D3" w14:textId="77777777" w:rsidR="00385922" w:rsidRDefault="00385922" w:rsidP="0029178F">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 xml:space="preserve">The idea of seeing a trivial thing as meaningful brings us to the second aspect of Wittgenstein’s treatment of religion, </w:t>
      </w:r>
      <w:r w:rsidR="00FC607E">
        <w:rPr>
          <w:rFonts w:ascii="Times New Roman" w:hAnsi="Times New Roman" w:cs="Times New Roman"/>
          <w:sz w:val="24"/>
          <w:szCs w:val="24"/>
          <w:lang w:val="en-US"/>
        </w:rPr>
        <w:t>namely,</w:t>
      </w:r>
      <w:r>
        <w:rPr>
          <w:rFonts w:ascii="Times New Roman" w:hAnsi="Times New Roman" w:cs="Times New Roman"/>
          <w:sz w:val="24"/>
          <w:szCs w:val="24"/>
          <w:lang w:val="en-US"/>
        </w:rPr>
        <w:t xml:space="preserve"> </w:t>
      </w:r>
      <w:r w:rsidRPr="009634B4">
        <w:rPr>
          <w:rFonts w:ascii="Times New Roman" w:hAnsi="Times New Roman" w:cs="Times New Roman"/>
          <w:sz w:val="24"/>
          <w:szCs w:val="24"/>
          <w:lang w:val="en-US"/>
        </w:rPr>
        <w:t>to the problem of life</w:t>
      </w:r>
      <w:r>
        <w:rPr>
          <w:rFonts w:ascii="Times New Roman" w:hAnsi="Times New Roman" w:cs="Times New Roman"/>
          <w:sz w:val="24"/>
          <w:szCs w:val="24"/>
          <w:lang w:val="en-US"/>
        </w:rPr>
        <w:t>. This is the problem of seeing one’s life as meaningful or purposive despite the fact that understood as a collection of facts it has no meaning or purpose. In 1916, Wittgenstein writes:</w:t>
      </w:r>
    </w:p>
    <w:p w14:paraId="544B567D"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What do I know about God and the purpose of life?</w:t>
      </w:r>
    </w:p>
    <w:p w14:paraId="6941D665"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I know that this world exists.</w:t>
      </w:r>
    </w:p>
    <w:p w14:paraId="1DCACA7E"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That I am placed in it like an eye in its visual field.</w:t>
      </w:r>
    </w:p>
    <w:p w14:paraId="07C70989"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That something about it is problematic, which we call its sense.</w:t>
      </w:r>
    </w:p>
    <w:p w14:paraId="79C5845D" w14:textId="4FD4C8BE"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That this se</w:t>
      </w:r>
      <w:r w:rsidR="004C572D">
        <w:rPr>
          <w:rFonts w:ascii="Times New Roman" w:hAnsi="Times New Roman" w:cs="Times New Roman"/>
          <w:sz w:val="24"/>
          <w:szCs w:val="24"/>
          <w:lang w:val="en-US"/>
        </w:rPr>
        <w:t xml:space="preserve">nse does not lie in it but </w:t>
      </w:r>
      <w:r>
        <w:rPr>
          <w:rFonts w:ascii="Times New Roman" w:hAnsi="Times New Roman" w:cs="Times New Roman"/>
          <w:sz w:val="24"/>
          <w:szCs w:val="24"/>
          <w:lang w:val="en-US"/>
        </w:rPr>
        <w:t>outside it.</w:t>
      </w:r>
    </w:p>
    <w:p w14:paraId="2973DB73"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That life is the world.</w:t>
      </w:r>
    </w:p>
    <w:p w14:paraId="5CB68166"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 xml:space="preserve">That my will penetrates the world. </w:t>
      </w:r>
    </w:p>
    <w:p w14:paraId="608F0FDA"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t>That my will is good or evil.</w:t>
      </w:r>
    </w:p>
    <w:p w14:paraId="6B600A51" w14:textId="77777777" w:rsidR="00385922" w:rsidRDefault="00385922" w:rsidP="0029178F">
      <w:pPr>
        <w:spacing w:after="0" w:line="480" w:lineRule="auto"/>
        <w:ind w:left="567"/>
        <w:rPr>
          <w:rFonts w:ascii="Times New Roman" w:hAnsi="Times New Roman" w:cs="Times New Roman"/>
          <w:sz w:val="24"/>
          <w:szCs w:val="24"/>
          <w:lang w:val="en-US"/>
        </w:rPr>
      </w:pPr>
      <w:r>
        <w:rPr>
          <w:rFonts w:ascii="Times New Roman" w:hAnsi="Times New Roman" w:cs="Times New Roman"/>
          <w:sz w:val="24"/>
          <w:szCs w:val="24"/>
          <w:lang w:val="en-US"/>
        </w:rPr>
        <w:lastRenderedPageBreak/>
        <w:t>Therefore that good and evil are somehow connected with the sense of the world. (NB</w:t>
      </w:r>
      <w:r w:rsidR="00FC607E">
        <w:rPr>
          <w:rFonts w:ascii="Times New Roman" w:hAnsi="Times New Roman" w:cs="Times New Roman"/>
          <w:sz w:val="24"/>
          <w:szCs w:val="24"/>
          <w:lang w:val="en-US"/>
        </w:rPr>
        <w:t>:</w:t>
      </w:r>
      <w:r>
        <w:rPr>
          <w:rFonts w:ascii="Times New Roman" w:hAnsi="Times New Roman" w:cs="Times New Roman"/>
          <w:sz w:val="24"/>
          <w:szCs w:val="24"/>
          <w:lang w:val="en-US"/>
        </w:rPr>
        <w:t xml:space="preserve"> 72– 73.</w:t>
      </w:r>
      <w:r w:rsidRPr="0029178F">
        <w:rPr>
          <w:rStyle w:val="Loppuviitteenviite"/>
          <w:rFonts w:ascii="Times New Roman" w:hAnsi="Times New Roman" w:cs="Times New Roman"/>
          <w:sz w:val="20"/>
          <w:szCs w:val="20"/>
          <w:lang w:val="en-US"/>
        </w:rPr>
        <w:endnoteReference w:id="2"/>
      </w:r>
      <w:r>
        <w:rPr>
          <w:rFonts w:ascii="Times New Roman" w:hAnsi="Times New Roman" w:cs="Times New Roman"/>
          <w:sz w:val="24"/>
          <w:szCs w:val="24"/>
          <w:lang w:val="en-US"/>
        </w:rPr>
        <w:t>)</w:t>
      </w:r>
    </w:p>
    <w:p w14:paraId="5E78A362" w14:textId="77777777" w:rsidR="00385922" w:rsidRDefault="00385922" w:rsidP="0029178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Given his characterization of ethics as transcendental, it would be natural to assume that Wittgenstein would look for an answer to the problem of life in the realm of ethics understood as an investigation into what one should do or how one ought to act. For Kant, it is primarily our practical knowledge of ourselves as agents bound by an apodictically commanding moral law that gives rise to the postulates of practical reason. Kant’s point is, roughly, that the absoluteness of the moral demand forces me to think of myself as free. Moreover, the dramatic contrast between the absolute moral command on the one hand and the imperfections and injustice of the empirical reality on the other gives us grounds to think, if not have knowledge, of the soul as immortal and of God as existing. In short, my experience of myself as a moral being gives me a practical justification to hope for the realization of the highest good, i.e., the moral development of the subject and the ultimately just distribution of happiness based on moral worth. While there is no objective necessity, i.e. duty, to assume that the soul is eternal and that God exists, there is a subjective necessity, i.e. a </w:t>
      </w:r>
      <w:r>
        <w:rPr>
          <w:rFonts w:ascii="Times New Roman" w:hAnsi="Times New Roman" w:cs="Times New Roman"/>
          <w:i/>
          <w:sz w:val="24"/>
          <w:szCs w:val="24"/>
          <w:lang w:val="en-US"/>
        </w:rPr>
        <w:t>need</w:t>
      </w:r>
      <w:r>
        <w:rPr>
          <w:rFonts w:ascii="Times New Roman" w:hAnsi="Times New Roman" w:cs="Times New Roman"/>
          <w:sz w:val="24"/>
          <w:szCs w:val="24"/>
          <w:lang w:val="en-US"/>
        </w:rPr>
        <w:t>, arising from the absolute command of the moral law to think that this is the case (CPrR</w:t>
      </w:r>
      <w:r w:rsidR="00CC7DCA">
        <w:rPr>
          <w:rFonts w:ascii="Times New Roman" w:hAnsi="Times New Roman" w:cs="Times New Roman"/>
          <w:sz w:val="24"/>
          <w:szCs w:val="24"/>
          <w:lang w:val="en-US"/>
        </w:rPr>
        <w:t xml:space="preserve"> 5:</w:t>
      </w:r>
      <w:r>
        <w:rPr>
          <w:rFonts w:ascii="Times New Roman" w:hAnsi="Times New Roman" w:cs="Times New Roman"/>
          <w:sz w:val="24"/>
          <w:szCs w:val="24"/>
          <w:lang w:val="en-US"/>
        </w:rPr>
        <w:t>125; see CPrR 5:122–132).</w:t>
      </w:r>
    </w:p>
    <w:p w14:paraId="5520DE69" w14:textId="6995B4C6" w:rsidR="00385922" w:rsidRDefault="00385922" w:rsidP="005D1085">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However, by contrast to Kant, whose categorical imperative not only commands respect but also determines what empirical acts are in conformity with the moral law, the early Wittgenstein turns away from the view of ethics as essentially connected with the specific content of actions to be tested against an explicit principle such as the c</w:t>
      </w:r>
      <w:r w:rsidR="00610FD2">
        <w:rPr>
          <w:rFonts w:ascii="Times New Roman" w:hAnsi="Times New Roman" w:cs="Times New Roman"/>
          <w:sz w:val="24"/>
          <w:szCs w:val="24"/>
          <w:lang w:val="en-US"/>
        </w:rPr>
        <w:t>ategorical imperative (see G 4:</w:t>
      </w:r>
      <w:r>
        <w:rPr>
          <w:rFonts w:ascii="Times New Roman" w:hAnsi="Times New Roman" w:cs="Times New Roman"/>
          <w:sz w:val="24"/>
          <w:szCs w:val="24"/>
          <w:lang w:val="en-US"/>
        </w:rPr>
        <w:t>400). He writes:</w:t>
      </w:r>
    </w:p>
    <w:p w14:paraId="69014CFD" w14:textId="77777777" w:rsidR="00385922" w:rsidRPr="000B33B3" w:rsidRDefault="00A27D6B" w:rsidP="000B33B3">
      <w:pPr>
        <w:spacing w:after="0" w:line="480" w:lineRule="auto"/>
        <w:ind w:left="850"/>
        <w:rPr>
          <w:rFonts w:ascii="Times New Roman" w:hAnsi="Times New Roman" w:cs="Times New Roman"/>
          <w:i/>
          <w:sz w:val="24"/>
          <w:szCs w:val="24"/>
          <w:lang w:val="en-US"/>
        </w:rPr>
      </w:pP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When an ethical law of the form, ‘Thou shalt…’, is laid down, one’s first thought is, ‘And what if I do not do it?’ It is clear, however, that ethics has nothing to do with punishment and reward in the usual sense of the terms. So our question about the </w:t>
      </w:r>
      <w:r w:rsidR="00385922">
        <w:rPr>
          <w:rFonts w:ascii="Times New Roman" w:hAnsi="Times New Roman" w:cs="Times New Roman"/>
          <w:i/>
          <w:sz w:val="24"/>
          <w:szCs w:val="24"/>
          <w:lang w:val="en-US"/>
        </w:rPr>
        <w:t>consequences</w:t>
      </w:r>
      <w:r w:rsidR="00385922" w:rsidRPr="000B33B3">
        <w:rPr>
          <w:rFonts w:ascii="Times New Roman" w:hAnsi="Times New Roman" w:cs="Times New Roman"/>
          <w:sz w:val="24"/>
          <w:szCs w:val="24"/>
          <w:lang w:val="en-US"/>
        </w:rPr>
        <w:t xml:space="preserve"> of </w:t>
      </w:r>
      <w:r w:rsidR="00385922">
        <w:rPr>
          <w:rFonts w:ascii="Times New Roman" w:hAnsi="Times New Roman" w:cs="Times New Roman"/>
          <w:sz w:val="24"/>
          <w:szCs w:val="24"/>
          <w:lang w:val="en-US"/>
        </w:rPr>
        <w:t xml:space="preserve">an </w:t>
      </w:r>
      <w:r w:rsidR="00385922" w:rsidRPr="000B33B3">
        <w:rPr>
          <w:rFonts w:ascii="Times New Roman" w:hAnsi="Times New Roman" w:cs="Times New Roman"/>
          <w:sz w:val="24"/>
          <w:szCs w:val="24"/>
          <w:lang w:val="en-US"/>
        </w:rPr>
        <w:t>action must be unimportant</w:t>
      </w:r>
      <w:r w:rsidR="00385922">
        <w:rPr>
          <w:rFonts w:ascii="Times New Roman" w:hAnsi="Times New Roman" w:cs="Times New Roman"/>
          <w:sz w:val="24"/>
          <w:szCs w:val="24"/>
          <w:lang w:val="en-US"/>
        </w:rPr>
        <w:t>.’ (TLP 6.422.)</w:t>
      </w:r>
    </w:p>
    <w:p w14:paraId="71F386DC" w14:textId="77777777" w:rsidR="00385922" w:rsidRDefault="00385922" w:rsidP="000B33B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lastRenderedPageBreak/>
        <w:t>Here, Wittgenstein joins Kant in rejecting the consequences of an action as irrel</w:t>
      </w:r>
      <w:r w:rsidR="00CC7DCA">
        <w:rPr>
          <w:rFonts w:ascii="Times New Roman" w:hAnsi="Times New Roman" w:cs="Times New Roman"/>
          <w:sz w:val="24"/>
          <w:szCs w:val="24"/>
          <w:lang w:val="en-US"/>
        </w:rPr>
        <w:t>evant for its moral value (G 4:</w:t>
      </w:r>
      <w:r>
        <w:rPr>
          <w:rFonts w:ascii="Times New Roman" w:hAnsi="Times New Roman" w:cs="Times New Roman"/>
          <w:sz w:val="24"/>
          <w:szCs w:val="24"/>
          <w:lang w:val="en-US"/>
        </w:rPr>
        <w:t>394). But by contrast to Kant, he denies that any ethical law could have the kind of apodictic force that Kant attributes to the moral law that is supposed to command actions unconditionally</w:t>
      </w:r>
      <w:r w:rsidR="00CC7DCA">
        <w:rPr>
          <w:rFonts w:ascii="Times New Roman" w:hAnsi="Times New Roman" w:cs="Times New Roman"/>
          <w:sz w:val="24"/>
          <w:szCs w:val="24"/>
          <w:lang w:val="en-US"/>
        </w:rPr>
        <w:t xml:space="preserve"> purely based on its form (G 4:</w:t>
      </w:r>
      <w:r>
        <w:rPr>
          <w:rFonts w:ascii="Times New Roman" w:hAnsi="Times New Roman" w:cs="Times New Roman"/>
          <w:sz w:val="24"/>
          <w:szCs w:val="24"/>
          <w:lang w:val="en-US"/>
        </w:rPr>
        <w:t xml:space="preserve">414–415). In fact, Wittgenstein takes the view further by suggesting that any act understood as an empirical fact and even any attitude understood as a psychological state, is as contingent and value-neutral as any other fact of the world. Even murder, he claims, taken as a fact, is </w:t>
      </w:r>
      <w:r w:rsidR="00A27D6B">
        <w:rPr>
          <w:rFonts w:ascii="Times New Roman" w:hAnsi="Times New Roman" w:cs="Times New Roman"/>
          <w:sz w:val="24"/>
          <w:szCs w:val="24"/>
          <w:lang w:val="en-US"/>
        </w:rPr>
        <w:t>‘</w:t>
      </w:r>
      <w:r>
        <w:rPr>
          <w:rFonts w:ascii="Times New Roman" w:hAnsi="Times New Roman" w:cs="Times New Roman"/>
          <w:sz w:val="24"/>
          <w:szCs w:val="24"/>
          <w:lang w:val="en-US"/>
        </w:rPr>
        <w:t>exactly at the same level with any other event’ (E</w:t>
      </w:r>
      <w:r w:rsidR="00294689">
        <w:rPr>
          <w:rFonts w:ascii="Times New Roman" w:hAnsi="Times New Roman" w:cs="Times New Roman"/>
          <w:sz w:val="24"/>
          <w:szCs w:val="24"/>
          <w:lang w:val="en-US"/>
        </w:rPr>
        <w:t>:</w:t>
      </w:r>
      <w:r>
        <w:rPr>
          <w:rFonts w:ascii="Times New Roman" w:hAnsi="Times New Roman" w:cs="Times New Roman"/>
          <w:sz w:val="24"/>
          <w:szCs w:val="24"/>
          <w:lang w:val="en-US"/>
        </w:rPr>
        <w:t xml:space="preserve"> 6). And as if this were not enough, Wittgenstein claims that the world is independent of my will: </w:t>
      </w:r>
      <w:r w:rsidR="00A27D6B">
        <w:rPr>
          <w:rFonts w:ascii="Times New Roman" w:hAnsi="Times New Roman" w:cs="Times New Roman"/>
          <w:sz w:val="24"/>
          <w:szCs w:val="24"/>
          <w:lang w:val="en-US"/>
        </w:rPr>
        <w:t>‘</w:t>
      </w:r>
      <w:r>
        <w:rPr>
          <w:rFonts w:ascii="Times New Roman" w:hAnsi="Times New Roman" w:cs="Times New Roman"/>
          <w:sz w:val="24"/>
          <w:szCs w:val="24"/>
          <w:lang w:val="en-US"/>
        </w:rPr>
        <w:t>Even if everything that we want were to happen, this would still only be, so to speak, a grace of fate’ (NB</w:t>
      </w:r>
      <w:r w:rsidR="00294689">
        <w:rPr>
          <w:rFonts w:ascii="Times New Roman" w:hAnsi="Times New Roman" w:cs="Times New Roman"/>
          <w:sz w:val="24"/>
          <w:szCs w:val="24"/>
          <w:lang w:val="en-US"/>
        </w:rPr>
        <w:t>:</w:t>
      </w:r>
      <w:r>
        <w:rPr>
          <w:rFonts w:ascii="Times New Roman" w:hAnsi="Times New Roman" w:cs="Times New Roman"/>
          <w:sz w:val="24"/>
          <w:szCs w:val="24"/>
          <w:lang w:val="en-US"/>
        </w:rPr>
        <w:t xml:space="preserve"> 73</w:t>
      </w:r>
      <w:r w:rsidR="00294689">
        <w:rPr>
          <w:rFonts w:ascii="Times New Roman" w:hAnsi="Times New Roman" w:cs="Times New Roman"/>
          <w:sz w:val="24"/>
          <w:szCs w:val="24"/>
          <w:lang w:val="en-US"/>
        </w:rPr>
        <w:t>;</w:t>
      </w:r>
      <w:r>
        <w:rPr>
          <w:rFonts w:ascii="Times New Roman" w:hAnsi="Times New Roman" w:cs="Times New Roman"/>
          <w:sz w:val="24"/>
          <w:szCs w:val="24"/>
          <w:lang w:val="en-US"/>
        </w:rPr>
        <w:t xml:space="preserve"> see TLP 6.373).</w:t>
      </w:r>
      <w:r w:rsidRPr="000243FA">
        <w:rPr>
          <w:rStyle w:val="Loppuviitteenviite"/>
          <w:rFonts w:ascii="Times New Roman" w:hAnsi="Times New Roman" w:cs="Times New Roman"/>
          <w:sz w:val="20"/>
          <w:szCs w:val="20"/>
          <w:lang w:val="en-US"/>
        </w:rPr>
        <w:endnoteReference w:id="3"/>
      </w:r>
      <w:r>
        <w:rPr>
          <w:rFonts w:ascii="Times New Roman" w:hAnsi="Times New Roman" w:cs="Times New Roman"/>
          <w:sz w:val="24"/>
          <w:szCs w:val="24"/>
          <w:lang w:val="en-US"/>
        </w:rPr>
        <w:t xml:space="preserve"> Hence, while he makes a distinction between good and bad willing – and in so doing follows Kant rather than Schopenhauer, who is often mentioned as the source of the Kantian features of Wittgenstein’s early thought</w:t>
      </w:r>
      <w:r w:rsidRPr="007005A5">
        <w:rPr>
          <w:rStyle w:val="Loppuviitteenviite"/>
          <w:rFonts w:ascii="Times New Roman" w:hAnsi="Times New Roman" w:cs="Times New Roman"/>
          <w:sz w:val="20"/>
          <w:szCs w:val="20"/>
          <w:lang w:val="en-US"/>
        </w:rPr>
        <w:endnoteReference w:id="4"/>
      </w:r>
      <w:r>
        <w:rPr>
          <w:rFonts w:ascii="Times New Roman" w:hAnsi="Times New Roman" w:cs="Times New Roman"/>
          <w:sz w:val="24"/>
          <w:szCs w:val="24"/>
          <w:lang w:val="en-US"/>
        </w:rPr>
        <w:t xml:space="preserve"> – Wittgenstein denies the connection between my willing and the facts of the world. He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If good and evil willing affects the world it can only affect the boundaries of the world, not the facts, not what can be expressed by means of language’ (TLP 6.43). These two commitments, namely, the denial of the value of any facts and the independence of the world of my will, effectively block the route to an understanding of Wittgenstein’s early ethics as answering Kant’s practical question of what I should do. Accordingly, they also undermine the possibility of treating eternity and God in a fashion similar to Kant’s postulates of practical reason. </w:t>
      </w:r>
    </w:p>
    <w:p w14:paraId="268996EA" w14:textId="77777777" w:rsidR="00385922" w:rsidRDefault="00385922" w:rsidP="00A5179C">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Nevertheless, I would like to argue that Wittgenstein’s solution to the problem of life still draws on Kant’s philosophy. However, it does this by evoking a train of thought familiar from Kant’s mature treatment of the question of what I may hope. In the </w:t>
      </w:r>
      <w:r>
        <w:rPr>
          <w:rFonts w:ascii="Times New Roman" w:hAnsi="Times New Roman" w:cs="Times New Roman"/>
          <w:i/>
          <w:sz w:val="24"/>
          <w:szCs w:val="24"/>
          <w:lang w:val="en-US"/>
        </w:rPr>
        <w:t>Critique of the Power of Judgment</w:t>
      </w:r>
      <w:r>
        <w:rPr>
          <w:rFonts w:ascii="Times New Roman" w:hAnsi="Times New Roman" w:cs="Times New Roman"/>
          <w:sz w:val="24"/>
          <w:szCs w:val="24"/>
          <w:lang w:val="en-US"/>
        </w:rPr>
        <w:t xml:space="preserve">, Kant addresses the question of hope in terms that differ from his treatment of the topic as part of moral philosophy. Here, in the </w:t>
      </w:r>
      <w:r>
        <w:rPr>
          <w:rFonts w:ascii="Times New Roman" w:hAnsi="Times New Roman" w:cs="Times New Roman"/>
          <w:i/>
          <w:sz w:val="24"/>
          <w:szCs w:val="24"/>
          <w:lang w:val="en-US"/>
        </w:rPr>
        <w:t>Third Critique</w:t>
      </w:r>
      <w:r>
        <w:rPr>
          <w:rFonts w:ascii="Times New Roman" w:hAnsi="Times New Roman" w:cs="Times New Roman"/>
          <w:sz w:val="24"/>
          <w:szCs w:val="24"/>
          <w:lang w:val="en-US"/>
        </w:rPr>
        <w:t xml:space="preserve">, Kant distinguishes between two mutually exclusive but equally important perspectives on nature, arguing that the distinction will help in building a bridge between the deterministic domain of nature and the domain of freedom (CPJ </w:t>
      </w:r>
      <w:r>
        <w:rPr>
          <w:rFonts w:ascii="Times New Roman" w:hAnsi="Times New Roman" w:cs="Times New Roman"/>
          <w:sz w:val="24"/>
          <w:szCs w:val="24"/>
          <w:lang w:val="en-US"/>
        </w:rPr>
        <w:lastRenderedPageBreak/>
        <w:t xml:space="preserve">5:171–179). The first perspective on nature stems from cognitive judgments that Kant now calls determining, given that they subsume particulars under conceptual rules and thereby yield objectively valid empirical cognition. This determining perspective shows nature and its organisms as </w:t>
      </w:r>
      <w:r w:rsidR="00A27D6B">
        <w:rPr>
          <w:rFonts w:ascii="Times New Roman" w:hAnsi="Times New Roman" w:cs="Times New Roman"/>
          <w:sz w:val="24"/>
          <w:szCs w:val="24"/>
          <w:lang w:val="en-US"/>
        </w:rPr>
        <w:t>‘</w:t>
      </w:r>
      <w:r>
        <w:rPr>
          <w:rFonts w:ascii="Times New Roman" w:hAnsi="Times New Roman" w:cs="Times New Roman"/>
          <w:sz w:val="24"/>
          <w:szCs w:val="24"/>
          <w:lang w:val="en-US"/>
        </w:rPr>
        <w:t>mere aggregates’ of facts, a</w:t>
      </w:r>
      <w:r w:rsidR="00CC7DCA">
        <w:rPr>
          <w:rFonts w:ascii="Times New Roman" w:hAnsi="Times New Roman" w:cs="Times New Roman"/>
          <w:sz w:val="24"/>
          <w:szCs w:val="24"/>
          <w:lang w:val="en-US"/>
        </w:rPr>
        <w:t>s something mechanical (CPJ 20:</w:t>
      </w:r>
      <w:r>
        <w:rPr>
          <w:rFonts w:ascii="Times New Roman" w:hAnsi="Times New Roman" w:cs="Times New Roman"/>
          <w:sz w:val="24"/>
          <w:szCs w:val="24"/>
          <w:lang w:val="en-US"/>
        </w:rPr>
        <w:t>217). But now Kant argues that there is another perspective on nature, which arises from the reflective use of the power of judgment and shows the very same organisms and eventually the entire nature as unified organ</w:t>
      </w:r>
      <w:r w:rsidR="00CC7DCA">
        <w:rPr>
          <w:rFonts w:ascii="Times New Roman" w:hAnsi="Times New Roman" w:cs="Times New Roman"/>
          <w:sz w:val="24"/>
          <w:szCs w:val="24"/>
          <w:lang w:val="en-US"/>
        </w:rPr>
        <w:t>ized systems (CPJ 5:</w:t>
      </w:r>
      <w:r>
        <w:rPr>
          <w:rFonts w:ascii="Times New Roman" w:hAnsi="Times New Roman" w:cs="Times New Roman"/>
          <w:sz w:val="24"/>
          <w:szCs w:val="24"/>
          <w:lang w:val="en-US"/>
        </w:rPr>
        <w:t xml:space="preserve">373). While we may look at a natural organism, like a tree, from the determining perspective of discursive reasoning and explain the tree by subsuming it under conceptual principles (e.g. by explaining how it </w:t>
      </w:r>
      <w:r w:rsidR="00294689">
        <w:rPr>
          <w:rFonts w:ascii="Times New Roman" w:hAnsi="Times New Roman" w:cs="Times New Roman"/>
          <w:sz w:val="24"/>
          <w:szCs w:val="24"/>
          <w:lang w:val="en-US"/>
        </w:rPr>
        <w:t>falls under certain</w:t>
      </w:r>
      <w:r>
        <w:rPr>
          <w:rFonts w:ascii="Times New Roman" w:hAnsi="Times New Roman" w:cs="Times New Roman"/>
          <w:sz w:val="24"/>
          <w:szCs w:val="24"/>
          <w:lang w:val="en-US"/>
        </w:rPr>
        <w:t xml:space="preserve"> mechanistic laws of nature), we may also see the organism as purposive, see, for example, the green of the leaves as if intended for a certain function within the system of the tree. Indeed, according to Kant we cannot help but look at the tree also in this way </w:t>
      </w:r>
      <w:r w:rsidR="00CC7DCA">
        <w:rPr>
          <w:rFonts w:ascii="Times New Roman" w:hAnsi="Times New Roman" w:cs="Times New Roman"/>
          <w:sz w:val="24"/>
          <w:szCs w:val="24"/>
          <w:lang w:val="en-US"/>
        </w:rPr>
        <w:t>(CPJ 5:</w:t>
      </w:r>
      <w:r>
        <w:rPr>
          <w:rFonts w:ascii="Times New Roman" w:hAnsi="Times New Roman" w:cs="Times New Roman"/>
          <w:sz w:val="24"/>
          <w:szCs w:val="24"/>
          <w:lang w:val="en-US"/>
        </w:rPr>
        <w:t xml:space="preserve">360, 365). </w:t>
      </w:r>
      <w:r>
        <w:rPr>
          <w:rFonts w:ascii="Times New Roman" w:hAnsi="Times New Roman" w:cs="Times New Roman"/>
          <w:sz w:val="24"/>
          <w:szCs w:val="24"/>
          <w:lang w:val="en-US"/>
        </w:rPr>
        <w:tab/>
      </w:r>
    </w:p>
    <w:p w14:paraId="076F658E" w14:textId="77777777" w:rsidR="00385922" w:rsidRDefault="00385922" w:rsidP="00A5179C">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Moreover, Kant claims that in approaching nature from the reflective perspective as purposive and unified, we are </w:t>
      </w:r>
      <w:r w:rsidR="00A27D6B">
        <w:rPr>
          <w:rFonts w:ascii="Times New Roman" w:hAnsi="Times New Roman" w:cs="Times New Roman"/>
          <w:sz w:val="24"/>
          <w:szCs w:val="24"/>
          <w:lang w:val="en-US"/>
        </w:rPr>
        <w:t>‘</w:t>
      </w:r>
      <w:r>
        <w:rPr>
          <w:rFonts w:ascii="Times New Roman" w:hAnsi="Times New Roman" w:cs="Times New Roman"/>
          <w:sz w:val="24"/>
          <w:szCs w:val="24"/>
          <w:lang w:val="en-US"/>
        </w:rPr>
        <w:t>strictly speaki</w:t>
      </w:r>
      <w:r w:rsidR="00CC7DCA">
        <w:rPr>
          <w:rFonts w:ascii="Times New Roman" w:hAnsi="Times New Roman" w:cs="Times New Roman"/>
          <w:sz w:val="24"/>
          <w:szCs w:val="24"/>
          <w:lang w:val="en-US"/>
        </w:rPr>
        <w:t>ng, relieved of a need’ (CPJ 5:</w:t>
      </w:r>
      <w:r>
        <w:rPr>
          <w:rFonts w:ascii="Times New Roman" w:hAnsi="Times New Roman" w:cs="Times New Roman"/>
          <w:sz w:val="24"/>
          <w:szCs w:val="24"/>
          <w:lang w:val="en-US"/>
        </w:rPr>
        <w:t>184). This need is not unconnected from the need (i.e. subjective necessity) that Kant brings up in his discussion of the postul</w:t>
      </w:r>
      <w:r w:rsidR="00CC7DCA">
        <w:rPr>
          <w:rFonts w:ascii="Times New Roman" w:hAnsi="Times New Roman" w:cs="Times New Roman"/>
          <w:sz w:val="24"/>
          <w:szCs w:val="24"/>
          <w:lang w:val="en-US"/>
        </w:rPr>
        <w:t>ate of God’s existence (CPrR 5:</w:t>
      </w:r>
      <w:r>
        <w:rPr>
          <w:rFonts w:ascii="Times New Roman" w:hAnsi="Times New Roman" w:cs="Times New Roman"/>
          <w:sz w:val="24"/>
          <w:szCs w:val="24"/>
          <w:lang w:val="en-US"/>
        </w:rPr>
        <w:t xml:space="preserve">125). For both discussions point to the </w:t>
      </w:r>
      <w:r w:rsidR="00A27D6B">
        <w:rPr>
          <w:rFonts w:ascii="Times New Roman" w:hAnsi="Times New Roman" w:cs="Times New Roman"/>
          <w:sz w:val="24"/>
          <w:szCs w:val="24"/>
          <w:lang w:val="en-US"/>
        </w:rPr>
        <w:t>‘</w:t>
      </w:r>
      <w:r>
        <w:rPr>
          <w:rFonts w:ascii="Times New Roman" w:hAnsi="Times New Roman" w:cs="Times New Roman"/>
          <w:sz w:val="24"/>
          <w:szCs w:val="24"/>
          <w:lang w:val="en-US"/>
        </w:rPr>
        <w:t>transcendental concept of reason of the supersensible’, even if the grounds for assuming such a concept differ in the case reflective judgment from the grounds that our experience of</w:t>
      </w:r>
      <w:r w:rsidR="00CC7DCA">
        <w:rPr>
          <w:rFonts w:ascii="Times New Roman" w:hAnsi="Times New Roman" w:cs="Times New Roman"/>
          <w:sz w:val="24"/>
          <w:szCs w:val="24"/>
          <w:lang w:val="en-US"/>
        </w:rPr>
        <w:t xml:space="preserve"> moral obligation gives (CPJ 5:</w:t>
      </w:r>
      <w:r>
        <w:rPr>
          <w:rFonts w:ascii="Times New Roman" w:hAnsi="Times New Roman" w:cs="Times New Roman"/>
          <w:sz w:val="24"/>
          <w:szCs w:val="24"/>
          <w:lang w:val="en-US"/>
        </w:rPr>
        <w:t>339). Kant argues that when perceived as a unified purposive whole, nature may be compared t</w:t>
      </w:r>
      <w:r w:rsidR="00CC7DCA">
        <w:rPr>
          <w:rFonts w:ascii="Times New Roman" w:hAnsi="Times New Roman" w:cs="Times New Roman"/>
          <w:sz w:val="24"/>
          <w:szCs w:val="24"/>
          <w:lang w:val="en-US"/>
        </w:rPr>
        <w:t>o art or to life itself (CPJ 5:</w:t>
      </w:r>
      <w:r>
        <w:rPr>
          <w:rFonts w:ascii="Times New Roman" w:hAnsi="Times New Roman" w:cs="Times New Roman"/>
          <w:sz w:val="24"/>
          <w:szCs w:val="24"/>
          <w:lang w:val="en-US"/>
        </w:rPr>
        <w:t xml:space="preserve">374; cf. TLP 5.621). The reflective judgment shows the organism and its parts </w:t>
      </w:r>
      <w:r w:rsidRPr="000E30B2">
        <w:rPr>
          <w:rFonts w:ascii="Times New Roman" w:hAnsi="Times New Roman" w:cs="Times New Roman"/>
          <w:i/>
          <w:sz w:val="24"/>
          <w:szCs w:val="24"/>
          <w:lang w:val="en-US"/>
        </w:rPr>
        <w:t>as if</w:t>
      </w:r>
      <w:r>
        <w:rPr>
          <w:rFonts w:ascii="Times New Roman" w:hAnsi="Times New Roman" w:cs="Times New Roman"/>
          <w:sz w:val="24"/>
          <w:szCs w:val="24"/>
          <w:lang w:val="en-US"/>
        </w:rPr>
        <w:t xml:space="preserve"> they were intended for a certain purpose even when it may turn out to be impossible to expla</w:t>
      </w:r>
      <w:r w:rsidR="00CC7DCA">
        <w:rPr>
          <w:rFonts w:ascii="Times New Roman" w:hAnsi="Times New Roman" w:cs="Times New Roman"/>
          <w:sz w:val="24"/>
          <w:szCs w:val="24"/>
          <w:lang w:val="en-US"/>
        </w:rPr>
        <w:t>in what that purpose is (CPJ 5:</w:t>
      </w:r>
      <w:r>
        <w:rPr>
          <w:rFonts w:ascii="Times New Roman" w:hAnsi="Times New Roman" w:cs="Times New Roman"/>
          <w:sz w:val="24"/>
          <w:szCs w:val="24"/>
          <w:lang w:val="en-US"/>
        </w:rPr>
        <w:t xml:space="preserve">220). Hence, the reflective perspective evokes the idea of a will (of a creator) that has designed the world in accordance with a particular purpose, even if the determining use of the power of judgments does not warrant the attribution of </w:t>
      </w:r>
      <w:r w:rsidR="00CC7DCA">
        <w:rPr>
          <w:rFonts w:ascii="Times New Roman" w:hAnsi="Times New Roman" w:cs="Times New Roman"/>
          <w:sz w:val="24"/>
          <w:szCs w:val="24"/>
          <w:lang w:val="en-US"/>
        </w:rPr>
        <w:t xml:space="preserve">such purposes to </w:t>
      </w:r>
      <w:bookmarkStart w:id="0" w:name="_GoBack"/>
      <w:r w:rsidR="00CC7DCA">
        <w:rPr>
          <w:rFonts w:ascii="Times New Roman" w:hAnsi="Times New Roman" w:cs="Times New Roman"/>
          <w:sz w:val="24"/>
          <w:szCs w:val="24"/>
          <w:lang w:val="en-US"/>
        </w:rPr>
        <w:t>nature (CPJ 5:</w:t>
      </w:r>
      <w:r>
        <w:rPr>
          <w:rFonts w:ascii="Times New Roman" w:hAnsi="Times New Roman" w:cs="Times New Roman"/>
          <w:sz w:val="24"/>
          <w:szCs w:val="24"/>
          <w:lang w:val="en-US"/>
        </w:rPr>
        <w:t xml:space="preserve">398). In Kant’s view, this means that reflective judgments do not warrant scientific </w:t>
      </w:r>
      <w:bookmarkEnd w:id="0"/>
      <w:r>
        <w:rPr>
          <w:rFonts w:ascii="Times New Roman" w:hAnsi="Times New Roman" w:cs="Times New Roman"/>
          <w:sz w:val="24"/>
          <w:szCs w:val="24"/>
          <w:lang w:val="en-US"/>
        </w:rPr>
        <w:lastRenderedPageBreak/>
        <w:t>explanations but only eluci</w:t>
      </w:r>
      <w:r w:rsidR="00CC7DCA">
        <w:rPr>
          <w:rFonts w:ascii="Times New Roman" w:hAnsi="Times New Roman" w:cs="Times New Roman"/>
          <w:sz w:val="24"/>
          <w:szCs w:val="24"/>
          <w:lang w:val="en-US"/>
        </w:rPr>
        <w:t>dations or descriptions (CPJ 5:</w:t>
      </w:r>
      <w:r>
        <w:rPr>
          <w:rFonts w:ascii="Times New Roman" w:hAnsi="Times New Roman" w:cs="Times New Roman"/>
          <w:sz w:val="24"/>
          <w:szCs w:val="24"/>
          <w:lang w:val="en-US"/>
        </w:rPr>
        <w:t>412, 417).</w:t>
      </w:r>
      <w:r w:rsidRPr="00AC23BC">
        <w:rPr>
          <w:rStyle w:val="Loppuviitteenviite"/>
          <w:rFonts w:ascii="Times New Roman" w:hAnsi="Times New Roman" w:cs="Times New Roman"/>
          <w:sz w:val="20"/>
          <w:szCs w:val="20"/>
          <w:lang w:val="en-US"/>
        </w:rPr>
        <w:endnoteReference w:id="5"/>
      </w:r>
      <w:r>
        <w:rPr>
          <w:rFonts w:ascii="Times New Roman" w:hAnsi="Times New Roman" w:cs="Times New Roman"/>
          <w:sz w:val="24"/>
          <w:szCs w:val="24"/>
          <w:lang w:val="en-US"/>
        </w:rPr>
        <w:t xml:space="preserve"> This is because they rest upon a principle that the power of judgment gives </w:t>
      </w:r>
      <w:r w:rsidRPr="008415B0">
        <w:rPr>
          <w:rFonts w:ascii="Times New Roman" w:hAnsi="Times New Roman" w:cs="Times New Roman"/>
          <w:i/>
          <w:sz w:val="24"/>
          <w:szCs w:val="24"/>
          <w:lang w:val="en-US"/>
        </w:rPr>
        <w:t>to itself</w:t>
      </w:r>
      <w:r>
        <w:rPr>
          <w:rFonts w:ascii="Times New Roman" w:hAnsi="Times New Roman" w:cs="Times New Roman"/>
          <w:sz w:val="24"/>
          <w:szCs w:val="24"/>
          <w:lang w:val="en-US"/>
        </w:rPr>
        <w:t xml:space="preserve"> in its reflective use without having a legitimate domain of application outside its own reflective use. Kant writes:  </w:t>
      </w:r>
    </w:p>
    <w:p w14:paraId="5797A431" w14:textId="77777777" w:rsidR="00385922" w:rsidRDefault="00A27D6B" w:rsidP="007F2C4D">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w:t>
      </w:r>
      <w:r w:rsidR="00385922">
        <w:rPr>
          <w:rFonts w:ascii="Times New Roman" w:hAnsi="Times New Roman" w:cs="Times New Roman"/>
          <w:sz w:val="24"/>
          <w:szCs w:val="24"/>
          <w:lang w:val="en-US"/>
        </w:rPr>
        <w:t>Objectively, therefore, we cannot establish the proposition that there is an intelligent original being; we can establish it only subjectively for the use of our power of judgment in its reflection upon the ends of nature, which cannot be conceived in accordance with any other principle than that of an intentional causal</w:t>
      </w:r>
      <w:r w:rsidR="00CC7DCA">
        <w:rPr>
          <w:rFonts w:ascii="Times New Roman" w:hAnsi="Times New Roman" w:cs="Times New Roman"/>
          <w:sz w:val="24"/>
          <w:szCs w:val="24"/>
          <w:lang w:val="en-US"/>
        </w:rPr>
        <w:t>ity of a highest cause’ (CPJ 5:</w:t>
      </w:r>
      <w:r w:rsidR="00385922">
        <w:rPr>
          <w:rFonts w:ascii="Times New Roman" w:hAnsi="Times New Roman" w:cs="Times New Roman"/>
          <w:sz w:val="24"/>
          <w:szCs w:val="24"/>
          <w:lang w:val="en-US"/>
        </w:rPr>
        <w:t>399).</w:t>
      </w:r>
    </w:p>
    <w:p w14:paraId="6F82E110" w14:textId="77777777" w:rsidR="00385922" w:rsidRDefault="00385922" w:rsidP="005233E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Nevertheless, while we cannot </w:t>
      </w:r>
      <w:r w:rsidRPr="00A5179C">
        <w:rPr>
          <w:rFonts w:ascii="Times New Roman" w:hAnsi="Times New Roman" w:cs="Times New Roman"/>
          <w:i/>
          <w:sz w:val="24"/>
          <w:szCs w:val="24"/>
          <w:lang w:val="en-US"/>
        </w:rPr>
        <w:t>know</w:t>
      </w:r>
      <w:r>
        <w:rPr>
          <w:rFonts w:ascii="Times New Roman" w:hAnsi="Times New Roman" w:cs="Times New Roman"/>
          <w:sz w:val="24"/>
          <w:szCs w:val="24"/>
          <w:lang w:val="en-US"/>
        </w:rPr>
        <w:t xml:space="preserve"> that the world is purposive, the reflective judgment itself suffices to strengthen our hope in an intentionality underlying the world. </w:t>
      </w:r>
    </w:p>
    <w:p w14:paraId="0B0106EC" w14:textId="77777777" w:rsidR="00385922" w:rsidRPr="0029178F" w:rsidRDefault="00385922" w:rsidP="006702AE">
      <w:pPr>
        <w:spacing w:after="0" w:line="480" w:lineRule="auto"/>
        <w:ind w:firstLine="851"/>
        <w:rPr>
          <w:rFonts w:ascii="Times New Roman" w:hAnsi="Times New Roman" w:cs="Times New Roman"/>
          <w:i/>
          <w:sz w:val="24"/>
          <w:szCs w:val="24"/>
          <w:lang w:val="en-US"/>
        </w:rPr>
      </w:pPr>
      <w:r>
        <w:rPr>
          <w:rFonts w:ascii="Times New Roman" w:hAnsi="Times New Roman" w:cs="Times New Roman"/>
          <w:sz w:val="24"/>
          <w:szCs w:val="24"/>
          <w:lang w:val="en-US"/>
        </w:rPr>
        <w:t>Interestingly enough, Kant claims that we are familiar with the grounds of such hope, namely, with the principle of formal purposiveness, from a judgment of beauty. This is because a judgment of beauty is merely reflective, as it rests on the judging subject’s feeling in the contemplation of an object as a purposive whole for which no conceptually determinable purpose may be identified (CPJ</w:t>
      </w:r>
      <w:r w:rsidR="00CC7DCA">
        <w:rPr>
          <w:rFonts w:ascii="Times New Roman" w:hAnsi="Times New Roman" w:cs="Times New Roman"/>
          <w:sz w:val="24"/>
          <w:szCs w:val="24"/>
          <w:lang w:val="en-US"/>
        </w:rPr>
        <w:t xml:space="preserve"> 5:</w:t>
      </w:r>
      <w:r w:rsidRPr="005D51F9">
        <w:rPr>
          <w:rFonts w:ascii="Times New Roman" w:hAnsi="Times New Roman" w:cs="Times New Roman"/>
          <w:sz w:val="24"/>
          <w:szCs w:val="24"/>
          <w:lang w:val="en-US"/>
        </w:rPr>
        <w:t>194</w:t>
      </w:r>
      <w:r>
        <w:rPr>
          <w:rFonts w:ascii="Times New Roman" w:hAnsi="Times New Roman" w:cs="Times New Roman"/>
          <w:sz w:val="24"/>
          <w:szCs w:val="24"/>
          <w:lang w:val="en-US"/>
        </w:rPr>
        <w:t xml:space="preserve">). By contrast to teleological judgments about the purposiveness of nature that give rise to concepts, the judgment of beauty is neither based on concepts, nor leads to any concepts. Instead, it rests on my personal feeling of pleasure in the face of a representation I judge to be </w:t>
      </w:r>
      <w:r w:rsidR="00294689">
        <w:rPr>
          <w:rFonts w:ascii="Times New Roman" w:hAnsi="Times New Roman" w:cs="Times New Roman"/>
          <w:sz w:val="24"/>
          <w:szCs w:val="24"/>
          <w:lang w:val="en-US"/>
        </w:rPr>
        <w:t>beautiful</w:t>
      </w:r>
      <w:r>
        <w:rPr>
          <w:rFonts w:ascii="Times New Roman" w:hAnsi="Times New Roman" w:cs="Times New Roman"/>
          <w:sz w:val="24"/>
          <w:szCs w:val="24"/>
          <w:lang w:val="en-US"/>
        </w:rPr>
        <w:t>. But in spite of its ground in a feeling Kant argues that the judgment of beauty makes a claim to necessity. I claim that the feeling of pleasure I feel is one that you ought to feel as well, even if I cannot force you to accept my judgment by appealing to co</w:t>
      </w:r>
      <w:r w:rsidR="00CC7DCA">
        <w:rPr>
          <w:rFonts w:ascii="Times New Roman" w:hAnsi="Times New Roman" w:cs="Times New Roman"/>
          <w:sz w:val="24"/>
          <w:szCs w:val="24"/>
          <w:lang w:val="en-US"/>
        </w:rPr>
        <w:t>nceptual justifications (CPJ 5:</w:t>
      </w:r>
      <w:r>
        <w:rPr>
          <w:rFonts w:ascii="Times New Roman" w:hAnsi="Times New Roman" w:cs="Times New Roman"/>
          <w:sz w:val="24"/>
          <w:szCs w:val="24"/>
          <w:lang w:val="en-US"/>
        </w:rPr>
        <w:t>237).</w:t>
      </w:r>
      <w:r w:rsidRPr="006365A5">
        <w:rPr>
          <w:rStyle w:val="Loppuviitteenviite"/>
          <w:rFonts w:ascii="Times New Roman" w:hAnsi="Times New Roman" w:cs="Times New Roman"/>
          <w:sz w:val="20"/>
          <w:szCs w:val="20"/>
          <w:lang w:val="en-US"/>
        </w:rPr>
        <w:endnoteReference w:id="6"/>
      </w:r>
      <w:r>
        <w:rPr>
          <w:rFonts w:ascii="Times New Roman" w:hAnsi="Times New Roman" w:cs="Times New Roman"/>
          <w:sz w:val="24"/>
          <w:szCs w:val="24"/>
          <w:lang w:val="en-US"/>
        </w:rPr>
        <w:t xml:space="preserve"> Indeed, the entire argument of the </w:t>
      </w:r>
      <w:r>
        <w:rPr>
          <w:rFonts w:ascii="Times New Roman" w:hAnsi="Times New Roman" w:cs="Times New Roman"/>
          <w:i/>
          <w:sz w:val="24"/>
          <w:szCs w:val="24"/>
          <w:lang w:val="en-US"/>
        </w:rPr>
        <w:t xml:space="preserve">Third Critique </w:t>
      </w:r>
      <w:r w:rsidRPr="0029178F">
        <w:rPr>
          <w:rFonts w:ascii="Times New Roman" w:hAnsi="Times New Roman" w:cs="Times New Roman"/>
          <w:sz w:val="24"/>
          <w:szCs w:val="24"/>
          <w:lang w:val="en-US"/>
        </w:rPr>
        <w:t>is intended to show that a subjectively based judgment</w:t>
      </w:r>
      <w:r>
        <w:rPr>
          <w:rFonts w:ascii="Times New Roman" w:hAnsi="Times New Roman" w:cs="Times New Roman"/>
          <w:sz w:val="24"/>
          <w:szCs w:val="24"/>
          <w:lang w:val="en-US"/>
        </w:rPr>
        <w:t xml:space="preserve"> may be treated as universally valid and making a rightful claim to necessity. </w:t>
      </w:r>
      <w:r>
        <w:rPr>
          <w:rFonts w:ascii="Times New Roman" w:hAnsi="Times New Roman" w:cs="Times New Roman"/>
          <w:i/>
          <w:sz w:val="24"/>
          <w:szCs w:val="24"/>
          <w:lang w:val="en-US"/>
        </w:rPr>
        <w:t xml:space="preserve"> </w:t>
      </w:r>
    </w:p>
    <w:p w14:paraId="4173329F" w14:textId="77777777" w:rsidR="00385922" w:rsidRPr="0029178F" w:rsidRDefault="00385922" w:rsidP="0029178F">
      <w:pPr>
        <w:spacing w:after="0" w:line="480" w:lineRule="auto"/>
        <w:ind w:firstLine="851"/>
        <w:rPr>
          <w:rFonts w:ascii="Times New Roman" w:eastAsia="Times New Roman" w:hAnsi="Times New Roman" w:cs="Times New Roman"/>
          <w:sz w:val="24"/>
          <w:szCs w:val="24"/>
          <w:lang w:val="en-US" w:eastAsia="fi-FI"/>
        </w:rPr>
      </w:pPr>
      <w:r w:rsidRPr="00B9300D">
        <w:rPr>
          <w:rFonts w:ascii="Times New Roman" w:hAnsi="Times New Roman" w:cs="Times New Roman"/>
          <w:sz w:val="24"/>
          <w:szCs w:val="24"/>
          <w:lang w:val="en-US"/>
        </w:rPr>
        <w:t xml:space="preserve">I would like to suggest that these two perspectives introduced in Kant’s </w:t>
      </w:r>
      <w:r w:rsidRPr="00B9300D">
        <w:rPr>
          <w:rFonts w:ascii="Times New Roman" w:hAnsi="Times New Roman" w:cs="Times New Roman"/>
          <w:i/>
          <w:sz w:val="24"/>
          <w:szCs w:val="24"/>
          <w:lang w:val="en-US"/>
        </w:rPr>
        <w:t>Third Critique</w:t>
      </w:r>
      <w:r w:rsidRPr="00B9300D">
        <w:rPr>
          <w:rFonts w:ascii="Times New Roman" w:hAnsi="Times New Roman" w:cs="Times New Roman"/>
          <w:sz w:val="24"/>
          <w:szCs w:val="24"/>
          <w:lang w:val="en-US"/>
        </w:rPr>
        <w:t xml:space="preserve"> –</w:t>
      </w:r>
      <w:r w:rsidRPr="0089619D">
        <w:rPr>
          <w:rFonts w:ascii="Times New Roman" w:hAnsi="Times New Roman" w:cs="Times New Roman"/>
          <w:sz w:val="24"/>
          <w:szCs w:val="24"/>
          <w:lang w:val="en-US"/>
        </w:rPr>
        <w:t xml:space="preserve"> the determining perspective of cognitive judgments and the reflective perspective on </w:t>
      </w:r>
      <w:r>
        <w:rPr>
          <w:rFonts w:ascii="Times New Roman" w:hAnsi="Times New Roman" w:cs="Times New Roman"/>
          <w:sz w:val="24"/>
          <w:szCs w:val="24"/>
          <w:lang w:val="en-US"/>
        </w:rPr>
        <w:t xml:space="preserve">the </w:t>
      </w:r>
      <w:r w:rsidRPr="00027735">
        <w:rPr>
          <w:rFonts w:ascii="Times New Roman" w:hAnsi="Times New Roman" w:cs="Times New Roman"/>
          <w:sz w:val="24"/>
          <w:szCs w:val="24"/>
          <w:lang w:val="en-US"/>
        </w:rPr>
        <w:t>purposiveness</w:t>
      </w:r>
      <w:r>
        <w:rPr>
          <w:rFonts w:ascii="Times New Roman" w:hAnsi="Times New Roman" w:cs="Times New Roman"/>
          <w:sz w:val="24"/>
          <w:szCs w:val="24"/>
          <w:lang w:val="en-US"/>
        </w:rPr>
        <w:t xml:space="preserve"> of nature</w:t>
      </w:r>
      <w:r w:rsidRPr="00C03338">
        <w:rPr>
          <w:rFonts w:ascii="Times New Roman" w:hAnsi="Times New Roman" w:cs="Times New Roman"/>
          <w:sz w:val="24"/>
          <w:szCs w:val="24"/>
          <w:lang w:val="en-US"/>
        </w:rPr>
        <w:t xml:space="preserve"> – </w:t>
      </w:r>
      <w:r w:rsidRPr="00B9300D">
        <w:rPr>
          <w:rFonts w:ascii="Times New Roman" w:hAnsi="Times New Roman" w:cs="Times New Roman"/>
          <w:sz w:val="24"/>
          <w:szCs w:val="24"/>
          <w:lang w:val="en-US"/>
        </w:rPr>
        <w:t xml:space="preserve">are echoed in Wittgenstein’s early philosophy. The determining </w:t>
      </w:r>
      <w:r w:rsidRPr="00B9300D">
        <w:rPr>
          <w:rFonts w:ascii="Times New Roman" w:hAnsi="Times New Roman" w:cs="Times New Roman"/>
          <w:sz w:val="24"/>
          <w:szCs w:val="24"/>
          <w:lang w:val="en-US"/>
        </w:rPr>
        <w:lastRenderedPageBreak/>
        <w:t xml:space="preserve">perspective of cognitive judgments corresponds to the Tractarian world as the totality of contingent and mutually independent facts, describable by meaningful language and yielding empirical science as the </w:t>
      </w:r>
      <w:r w:rsidR="00A27D6B">
        <w:rPr>
          <w:rFonts w:ascii="Times New Roman" w:hAnsi="Times New Roman" w:cs="Times New Roman"/>
          <w:sz w:val="24"/>
          <w:szCs w:val="24"/>
          <w:lang w:val="en-US"/>
        </w:rPr>
        <w:t>‘</w:t>
      </w:r>
      <w:r w:rsidRPr="00B9300D">
        <w:rPr>
          <w:rFonts w:ascii="Times New Roman" w:hAnsi="Times New Roman" w:cs="Times New Roman"/>
          <w:sz w:val="24"/>
          <w:szCs w:val="24"/>
          <w:lang w:val="en-US"/>
        </w:rPr>
        <w:t>totality of true propositions</w:t>
      </w:r>
      <w:r>
        <w:rPr>
          <w:rFonts w:ascii="Times New Roman" w:hAnsi="Times New Roman" w:cs="Times New Roman"/>
          <w:sz w:val="24"/>
          <w:szCs w:val="24"/>
          <w:lang w:val="en-US"/>
        </w:rPr>
        <w:t>’</w:t>
      </w:r>
      <w:r w:rsidRPr="00B9300D">
        <w:rPr>
          <w:rFonts w:ascii="Times New Roman" w:hAnsi="Times New Roman" w:cs="Times New Roman"/>
          <w:sz w:val="24"/>
          <w:szCs w:val="24"/>
          <w:lang w:val="en-US"/>
        </w:rPr>
        <w:t xml:space="preserve"> (TLP 4.11). When for Kant, the conditions for theoretical cognition are the transcendental categories of understanding, for Wittgenstein the world of facts is conditioned and limited by the transcendental logical form (TLP 1.1, 2.061, 4.26, 5.134). Moreover, in accordance with Kant, Wittgenstein denies that the</w:t>
      </w:r>
      <w:r>
        <w:rPr>
          <w:rFonts w:ascii="Times New Roman" w:hAnsi="Times New Roman" w:cs="Times New Roman"/>
          <w:sz w:val="24"/>
          <w:szCs w:val="24"/>
          <w:lang w:val="en-US"/>
        </w:rPr>
        <w:t xml:space="preserve"> </w:t>
      </w:r>
      <w:r w:rsidRPr="00B9300D">
        <w:rPr>
          <w:rFonts w:ascii="Times New Roman" w:hAnsi="Times New Roman" w:cs="Times New Roman"/>
          <w:sz w:val="24"/>
          <w:szCs w:val="24"/>
          <w:lang w:val="en-US"/>
        </w:rPr>
        <w:t xml:space="preserve">perspective employed by the natural sciences can address the question of the purposiveness we may nonetheless experience in the world – purposiveness that Wittgenstein describes as the mystical </w:t>
      </w:r>
      <w:r w:rsidR="00A27D6B">
        <w:rPr>
          <w:rFonts w:ascii="Times New Roman" w:hAnsi="Times New Roman" w:cs="Times New Roman"/>
          <w:sz w:val="24"/>
          <w:szCs w:val="24"/>
          <w:lang w:val="en-US"/>
        </w:rPr>
        <w:t>‘</w:t>
      </w:r>
      <w:r w:rsidRPr="00B9300D">
        <w:rPr>
          <w:rFonts w:ascii="Times New Roman" w:hAnsi="Times New Roman" w:cs="Times New Roman"/>
          <w:sz w:val="24"/>
          <w:szCs w:val="24"/>
          <w:lang w:val="en-US"/>
        </w:rPr>
        <w:t>feeling of the world as a limited whole</w:t>
      </w:r>
      <w:r>
        <w:rPr>
          <w:rFonts w:ascii="Times New Roman" w:hAnsi="Times New Roman" w:cs="Times New Roman"/>
          <w:sz w:val="24"/>
          <w:szCs w:val="24"/>
          <w:lang w:val="en-US"/>
        </w:rPr>
        <w:t>’</w:t>
      </w:r>
      <w:r w:rsidRPr="00B9300D">
        <w:rPr>
          <w:rFonts w:ascii="Times New Roman" w:hAnsi="Times New Roman" w:cs="Times New Roman"/>
          <w:sz w:val="24"/>
          <w:szCs w:val="24"/>
          <w:lang w:val="en-US"/>
        </w:rPr>
        <w:t xml:space="preserve"> (TLP 6.45).</w:t>
      </w:r>
      <w:r w:rsidRPr="0029178F">
        <w:rPr>
          <w:rStyle w:val="Loppuviitteenviite"/>
          <w:rFonts w:ascii="Times New Roman" w:hAnsi="Times New Roman" w:cs="Times New Roman"/>
          <w:sz w:val="24"/>
          <w:szCs w:val="24"/>
          <w:lang w:val="en-US"/>
        </w:rPr>
        <w:endnoteReference w:id="7"/>
      </w:r>
      <w:r w:rsidRPr="00B9300D">
        <w:rPr>
          <w:rFonts w:ascii="Times New Roman" w:hAnsi="Times New Roman" w:cs="Times New Roman"/>
          <w:sz w:val="24"/>
          <w:szCs w:val="24"/>
          <w:lang w:val="en-US"/>
        </w:rPr>
        <w:t xml:space="preserve"> And yet, it is precisely this question of the </w:t>
      </w:r>
      <w:r w:rsidR="00A27D6B">
        <w:rPr>
          <w:rFonts w:ascii="Times New Roman" w:hAnsi="Times New Roman" w:cs="Times New Roman"/>
          <w:sz w:val="24"/>
          <w:szCs w:val="24"/>
          <w:lang w:val="en-US"/>
        </w:rPr>
        <w:t>‘</w:t>
      </w:r>
      <w:r w:rsidRPr="00B9300D">
        <w:rPr>
          <w:rFonts w:ascii="Times New Roman" w:hAnsi="Times New Roman" w:cs="Times New Roman"/>
          <w:sz w:val="24"/>
          <w:szCs w:val="24"/>
          <w:lang w:val="en-US"/>
        </w:rPr>
        <w:t>sense of the world</w:t>
      </w:r>
      <w:r>
        <w:rPr>
          <w:rFonts w:ascii="Times New Roman" w:hAnsi="Times New Roman" w:cs="Times New Roman"/>
          <w:sz w:val="24"/>
          <w:szCs w:val="24"/>
          <w:lang w:val="en-US"/>
        </w:rPr>
        <w:t>’</w:t>
      </w:r>
      <w:r w:rsidRPr="00B9300D">
        <w:rPr>
          <w:rFonts w:ascii="Times New Roman" w:hAnsi="Times New Roman" w:cs="Times New Roman"/>
          <w:sz w:val="24"/>
          <w:szCs w:val="24"/>
          <w:lang w:val="en-US"/>
        </w:rPr>
        <w:t xml:space="preserve"> that Wit</w:t>
      </w:r>
      <w:r>
        <w:rPr>
          <w:rFonts w:ascii="Times New Roman" w:hAnsi="Times New Roman" w:cs="Times New Roman"/>
          <w:sz w:val="24"/>
          <w:szCs w:val="24"/>
          <w:lang w:val="en-US"/>
        </w:rPr>
        <w:t>tgenstein mentions as one of his</w:t>
      </w:r>
      <w:r w:rsidRPr="00B9300D">
        <w:rPr>
          <w:rFonts w:ascii="Times New Roman" w:hAnsi="Times New Roman" w:cs="Times New Roman"/>
          <w:sz w:val="24"/>
          <w:szCs w:val="24"/>
          <w:lang w:val="en-US"/>
        </w:rPr>
        <w:t xml:space="preserve"> unquestionable starting points (NB</w:t>
      </w:r>
      <w:r w:rsidR="0047166A">
        <w:rPr>
          <w:rFonts w:ascii="Times New Roman" w:hAnsi="Times New Roman" w:cs="Times New Roman"/>
          <w:sz w:val="24"/>
          <w:szCs w:val="24"/>
          <w:lang w:val="en-US"/>
        </w:rPr>
        <w:t>:</w:t>
      </w:r>
      <w:r w:rsidRPr="00B9300D">
        <w:rPr>
          <w:rFonts w:ascii="Times New Roman" w:hAnsi="Times New Roman" w:cs="Times New Roman"/>
          <w:sz w:val="24"/>
          <w:szCs w:val="24"/>
          <w:lang w:val="en-US"/>
        </w:rPr>
        <w:t xml:space="preserve"> 73). </w:t>
      </w:r>
      <w:r w:rsidRPr="0089619D">
        <w:rPr>
          <w:rFonts w:ascii="Times New Roman" w:hAnsi="Times New Roman" w:cs="Times New Roman"/>
          <w:sz w:val="24"/>
          <w:szCs w:val="24"/>
          <w:lang w:val="en-US"/>
        </w:rPr>
        <w:t xml:space="preserve">In the </w:t>
      </w:r>
      <w:r w:rsidRPr="0089619D">
        <w:rPr>
          <w:rFonts w:ascii="Times New Roman" w:hAnsi="Times New Roman" w:cs="Times New Roman"/>
          <w:i/>
          <w:sz w:val="24"/>
          <w:szCs w:val="24"/>
          <w:lang w:val="en-US"/>
        </w:rPr>
        <w:t>Tractatus</w:t>
      </w:r>
      <w:r w:rsidRPr="0089619D">
        <w:rPr>
          <w:rFonts w:ascii="Times New Roman" w:hAnsi="Times New Roman" w:cs="Times New Roman"/>
          <w:sz w:val="24"/>
          <w:szCs w:val="24"/>
          <w:lang w:val="en-US"/>
        </w:rPr>
        <w:t xml:space="preserve">, </w:t>
      </w:r>
      <w:r w:rsidRPr="00E46032">
        <w:rPr>
          <w:rFonts w:ascii="Times New Roman" w:hAnsi="Times New Roman" w:cs="Times New Roman"/>
          <w:sz w:val="24"/>
          <w:szCs w:val="24"/>
          <w:lang w:val="en-US"/>
        </w:rPr>
        <w:t xml:space="preserve">then, the perspective resulting from the application of transcendental logic is complemented by the equally transcendental perspective of ethics-cum-aesthetics. </w:t>
      </w:r>
      <w:r w:rsidRPr="00027735">
        <w:rPr>
          <w:rFonts w:ascii="Times New Roman" w:hAnsi="Times New Roman" w:cs="Times New Roman"/>
          <w:sz w:val="24"/>
          <w:szCs w:val="24"/>
          <w:lang w:val="en-US"/>
        </w:rPr>
        <w:t xml:space="preserve">Ethics-cum-aesthetics occupies a perspective that shows one’s life from the viewpoint of eternity in the </w:t>
      </w:r>
      <w:r w:rsidRPr="00C03338">
        <w:rPr>
          <w:rFonts w:ascii="Times New Roman" w:hAnsi="Times New Roman" w:cs="Times New Roman"/>
          <w:sz w:val="24"/>
          <w:szCs w:val="24"/>
          <w:lang w:val="en-US"/>
        </w:rPr>
        <w:t>same sense as we may approach a work of art as a meaningful and purposive whole even when we cannot say what it is that makes it meaningful</w:t>
      </w:r>
      <w:r>
        <w:rPr>
          <w:rFonts w:ascii="Times New Roman" w:hAnsi="Times New Roman" w:cs="Times New Roman"/>
          <w:sz w:val="24"/>
          <w:szCs w:val="24"/>
          <w:lang w:val="en-US"/>
        </w:rPr>
        <w:t xml:space="preserve"> (see NB</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40; cf. BB</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166–167; PI §§ 527, 531)</w:t>
      </w:r>
      <w:r w:rsidRPr="00C03338">
        <w:rPr>
          <w:rFonts w:ascii="Times New Roman" w:hAnsi="Times New Roman" w:cs="Times New Roman"/>
          <w:sz w:val="24"/>
          <w:szCs w:val="24"/>
          <w:lang w:val="en-US"/>
        </w:rPr>
        <w:t>. This is to say that</w:t>
      </w:r>
      <w:r>
        <w:rPr>
          <w:rFonts w:ascii="Times New Roman" w:hAnsi="Times New Roman" w:cs="Times New Roman"/>
          <w:sz w:val="24"/>
          <w:szCs w:val="24"/>
          <w:lang w:val="en-US"/>
        </w:rPr>
        <w:t>,</w:t>
      </w:r>
      <w:r w:rsidRPr="0089619D">
        <w:rPr>
          <w:rFonts w:ascii="Times New Roman" w:hAnsi="Times New Roman" w:cs="Times New Roman"/>
          <w:sz w:val="24"/>
          <w:szCs w:val="24"/>
          <w:lang w:val="en-US"/>
        </w:rPr>
        <w:t xml:space="preserve"> i</w:t>
      </w:r>
      <w:r>
        <w:rPr>
          <w:rFonts w:ascii="Times New Roman" w:hAnsi="Times New Roman" w:cs="Times New Roman"/>
          <w:sz w:val="24"/>
          <w:szCs w:val="24"/>
          <w:lang w:val="en-US"/>
        </w:rPr>
        <w:t xml:space="preserve">n accordance with Kant who treats the judgment of beauty as the paradigm example of a reflective judgment, Wittgenstein takes the essence of all valuation, whether ethical or aesthetic, to reside in the reflective perspective: </w:t>
      </w:r>
      <w:r w:rsidR="00A27D6B">
        <w:rPr>
          <w:rFonts w:ascii="Times New Roman" w:hAnsi="Times New Roman" w:cs="Times New Roman"/>
          <w:sz w:val="24"/>
          <w:szCs w:val="24"/>
          <w:lang w:val="en-US"/>
        </w:rPr>
        <w:t>‘</w:t>
      </w:r>
      <w:r w:rsidRPr="0029178F">
        <w:rPr>
          <w:rFonts w:ascii="Times New Roman" w:eastAsia="Times New Roman" w:hAnsi="Times New Roman" w:cs="Times New Roman"/>
          <w:sz w:val="24"/>
          <w:szCs w:val="24"/>
          <w:lang w:val="en-US" w:eastAsia="fi-FI"/>
        </w:rPr>
        <w:t xml:space="preserve">The work of art is the object seen </w:t>
      </w:r>
      <w:r w:rsidRPr="0029178F">
        <w:rPr>
          <w:rFonts w:ascii="Times New Roman" w:eastAsia="Times New Roman" w:hAnsi="Times New Roman" w:cs="Times New Roman"/>
          <w:i/>
          <w:sz w:val="24"/>
          <w:szCs w:val="24"/>
          <w:lang w:val="en-US" w:eastAsia="fi-FI"/>
        </w:rPr>
        <w:t>sub specie aeternitatis</w:t>
      </w:r>
      <w:r w:rsidRPr="0029178F">
        <w:rPr>
          <w:rFonts w:ascii="Times New Roman" w:eastAsia="Times New Roman" w:hAnsi="Times New Roman" w:cs="Times New Roman"/>
          <w:sz w:val="24"/>
          <w:szCs w:val="24"/>
          <w:lang w:val="en-US" w:eastAsia="fi-FI"/>
        </w:rPr>
        <w:t xml:space="preserve">; and the good life is the world seen </w:t>
      </w:r>
      <w:r w:rsidRPr="0029178F">
        <w:rPr>
          <w:rFonts w:ascii="Times New Roman" w:eastAsia="Times New Roman" w:hAnsi="Times New Roman" w:cs="Times New Roman"/>
          <w:i/>
          <w:sz w:val="24"/>
          <w:szCs w:val="24"/>
          <w:lang w:val="en-US" w:eastAsia="fi-FI"/>
        </w:rPr>
        <w:t>sub specie aeternitatis</w:t>
      </w:r>
      <w:r w:rsidRPr="0029178F">
        <w:rPr>
          <w:rFonts w:ascii="Times New Roman" w:eastAsia="Times New Roman" w:hAnsi="Times New Roman" w:cs="Times New Roman"/>
          <w:sz w:val="24"/>
          <w:szCs w:val="24"/>
          <w:lang w:val="en-US" w:eastAsia="fi-FI"/>
        </w:rPr>
        <w:t>. This is the connexion be</w:t>
      </w:r>
      <w:r>
        <w:rPr>
          <w:rFonts w:ascii="Times New Roman" w:eastAsia="Times New Roman" w:hAnsi="Times New Roman" w:cs="Times New Roman"/>
          <w:sz w:val="24"/>
          <w:szCs w:val="24"/>
          <w:lang w:val="en-US" w:eastAsia="fi-FI"/>
        </w:rPr>
        <w:t>tween art and ethics.’ (NB</w:t>
      </w:r>
      <w:r w:rsidR="0047166A">
        <w:rPr>
          <w:rFonts w:ascii="Times New Roman" w:eastAsia="Times New Roman" w:hAnsi="Times New Roman" w:cs="Times New Roman"/>
          <w:sz w:val="24"/>
          <w:szCs w:val="24"/>
          <w:lang w:val="en-US" w:eastAsia="fi-FI"/>
        </w:rPr>
        <w:t>:</w:t>
      </w:r>
      <w:r>
        <w:rPr>
          <w:rFonts w:ascii="Times New Roman" w:eastAsia="Times New Roman" w:hAnsi="Times New Roman" w:cs="Times New Roman"/>
          <w:sz w:val="24"/>
          <w:szCs w:val="24"/>
          <w:lang w:val="en-US" w:eastAsia="fi-FI"/>
        </w:rPr>
        <w:t xml:space="preserve"> 83.)</w:t>
      </w:r>
      <w:r w:rsidRPr="0029178F">
        <w:rPr>
          <w:rFonts w:ascii="Times New Roman" w:eastAsia="Times New Roman" w:hAnsi="Times New Roman" w:cs="Times New Roman"/>
          <w:sz w:val="24"/>
          <w:szCs w:val="24"/>
          <w:lang w:val="en-US" w:eastAsia="fi-FI"/>
        </w:rPr>
        <w:t xml:space="preserve"> </w:t>
      </w:r>
    </w:p>
    <w:p w14:paraId="7B69E203" w14:textId="77777777" w:rsidR="00385922" w:rsidRDefault="00385922" w:rsidP="00F72240">
      <w:pPr>
        <w:spacing w:after="0" w:line="480" w:lineRule="auto"/>
        <w:rPr>
          <w:rFonts w:ascii="Times New Roman" w:hAnsi="Times New Roman" w:cs="Times New Roman"/>
          <w:sz w:val="24"/>
          <w:szCs w:val="24"/>
          <w:lang w:val="en-US"/>
        </w:rPr>
      </w:pPr>
    </w:p>
    <w:p w14:paraId="28108EA5" w14:textId="77777777" w:rsidR="00385922" w:rsidRPr="00F72240" w:rsidRDefault="00385922" w:rsidP="00F72240">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1.3. The </w:t>
      </w:r>
      <w:r w:rsidR="006A346C">
        <w:rPr>
          <w:rFonts w:ascii="Times New Roman" w:hAnsi="Times New Roman" w:cs="Times New Roman"/>
          <w:i/>
          <w:sz w:val="24"/>
          <w:szCs w:val="24"/>
          <w:lang w:val="en-US"/>
        </w:rPr>
        <w:t>v</w:t>
      </w:r>
      <w:r>
        <w:rPr>
          <w:rFonts w:ascii="Times New Roman" w:hAnsi="Times New Roman" w:cs="Times New Roman"/>
          <w:i/>
          <w:sz w:val="24"/>
          <w:szCs w:val="24"/>
          <w:lang w:val="en-US"/>
        </w:rPr>
        <w:t xml:space="preserve">iew from </w:t>
      </w:r>
      <w:r w:rsidR="006A346C">
        <w:rPr>
          <w:rFonts w:ascii="Times New Roman" w:hAnsi="Times New Roman" w:cs="Times New Roman"/>
          <w:i/>
          <w:sz w:val="24"/>
          <w:szCs w:val="24"/>
          <w:lang w:val="en-US"/>
        </w:rPr>
        <w:t>e</w:t>
      </w:r>
      <w:r>
        <w:rPr>
          <w:rFonts w:ascii="Times New Roman" w:hAnsi="Times New Roman" w:cs="Times New Roman"/>
          <w:i/>
          <w:sz w:val="24"/>
          <w:szCs w:val="24"/>
          <w:lang w:val="en-US"/>
        </w:rPr>
        <w:t>ternity</w:t>
      </w:r>
    </w:p>
    <w:p w14:paraId="1E3D05AB" w14:textId="77777777" w:rsidR="00385922" w:rsidRDefault="00385922" w:rsidP="00F72240">
      <w:pPr>
        <w:spacing w:after="0" w:line="480" w:lineRule="auto"/>
        <w:rPr>
          <w:rFonts w:ascii="Times New Roman" w:hAnsi="Times New Roman" w:cs="Times New Roman"/>
          <w:sz w:val="24"/>
          <w:szCs w:val="24"/>
          <w:lang w:val="en-US"/>
        </w:rPr>
      </w:pPr>
    </w:p>
    <w:p w14:paraId="260F2DAA" w14:textId="77777777" w:rsidR="00385922" w:rsidRDefault="00385922" w:rsidP="0029178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Pr="00BB0F21">
        <w:rPr>
          <w:rFonts w:ascii="Times New Roman" w:hAnsi="Times New Roman" w:cs="Times New Roman"/>
          <w:sz w:val="24"/>
          <w:szCs w:val="24"/>
          <w:lang w:val="en-US"/>
        </w:rPr>
        <w:t xml:space="preserve">he reflective perspective </w:t>
      </w:r>
      <w:r>
        <w:rPr>
          <w:rFonts w:ascii="Times New Roman" w:hAnsi="Times New Roman" w:cs="Times New Roman"/>
          <w:sz w:val="24"/>
          <w:szCs w:val="24"/>
          <w:lang w:val="en-US"/>
        </w:rPr>
        <w:t>brings to the fore</w:t>
      </w:r>
      <w:r w:rsidRPr="00BB0F21">
        <w:rPr>
          <w:rFonts w:ascii="Times New Roman" w:hAnsi="Times New Roman" w:cs="Times New Roman"/>
          <w:sz w:val="24"/>
          <w:szCs w:val="24"/>
          <w:lang w:val="en-US"/>
        </w:rPr>
        <w:t xml:space="preserve"> th</w:t>
      </w:r>
      <w:r w:rsidRPr="009634B4">
        <w:rPr>
          <w:rFonts w:ascii="Times New Roman" w:hAnsi="Times New Roman" w:cs="Times New Roman"/>
          <w:sz w:val="24"/>
          <w:szCs w:val="24"/>
          <w:lang w:val="en-US"/>
        </w:rPr>
        <w:t>e transcendentality of space and time</w:t>
      </w:r>
      <w:r>
        <w:rPr>
          <w:rFonts w:ascii="Times New Roman" w:hAnsi="Times New Roman" w:cs="Times New Roman"/>
          <w:sz w:val="24"/>
          <w:szCs w:val="24"/>
          <w:lang w:val="en-US"/>
        </w:rPr>
        <w:t xml:space="preserve"> in Wittgenstein’s early thought. Up to now, I have treated the transcendentality of logic and of ethics in terms of a form – whether logical or reflective – that is necessary for the possibility of factual </w:t>
      </w:r>
      <w:r>
        <w:rPr>
          <w:rFonts w:ascii="Times New Roman" w:hAnsi="Times New Roman" w:cs="Times New Roman"/>
          <w:sz w:val="24"/>
          <w:szCs w:val="24"/>
          <w:lang w:val="en-US"/>
        </w:rPr>
        <w:lastRenderedPageBreak/>
        <w:t xml:space="preserve">propositions or value judgments respectively. But in the remark quoted at the very beginning of this paper, Wittgenstein claims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 solution of the riddle of life in space and time lies outside outside space and time’ (TLP 6.4312). This suggests that Wittgenstein takes space and time to be constitutive of the factual viewpoint. And indeed, in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space and time are mentioned as forms of objects that are the unalterable and subsistent constituents of facts (TLP 2.021, 2.023, 2.0251).</w:t>
      </w:r>
      <w:r>
        <w:rPr>
          <w:rStyle w:val="Loppuviitteenviite"/>
          <w:rFonts w:ascii="Times New Roman" w:hAnsi="Times New Roman" w:cs="Times New Roman"/>
          <w:sz w:val="24"/>
          <w:szCs w:val="24"/>
          <w:lang w:val="en-US"/>
        </w:rPr>
        <w:endnoteReference w:id="8"/>
      </w:r>
      <w:r>
        <w:rPr>
          <w:rFonts w:ascii="Times New Roman" w:hAnsi="Times New Roman" w:cs="Times New Roman"/>
          <w:sz w:val="24"/>
          <w:szCs w:val="24"/>
          <w:lang w:val="en-US"/>
        </w:rPr>
        <w:t xml:space="preserve"> </w:t>
      </w:r>
    </w:p>
    <w:p w14:paraId="2F57A39B" w14:textId="77777777" w:rsidR="00385922" w:rsidRDefault="00385922" w:rsidP="007B49ED">
      <w:pPr>
        <w:spacing w:after="0" w:line="480" w:lineRule="auto"/>
        <w:ind w:firstLine="850"/>
        <w:rPr>
          <w:rFonts w:ascii="Times New Roman" w:hAnsi="Times New Roman" w:cs="Times New Roman"/>
          <w:sz w:val="24"/>
          <w:szCs w:val="24"/>
          <w:lang w:val="en-US"/>
        </w:rPr>
      </w:pPr>
      <w:r>
        <w:rPr>
          <w:rFonts w:ascii="Times New Roman" w:hAnsi="Times New Roman" w:cs="Times New Roman"/>
          <w:sz w:val="24"/>
          <w:szCs w:val="24"/>
          <w:lang w:val="en-US"/>
        </w:rPr>
        <w:t>However, as I have argued, this factual viewpoint may be set aside while engaged in the contemplation of an object or the world as a limited whole.</w:t>
      </w:r>
      <w:r w:rsidRPr="009736CE">
        <w:rPr>
          <w:rStyle w:val="Loppuviitteenviite"/>
          <w:rFonts w:ascii="Times New Roman" w:hAnsi="Times New Roman" w:cs="Times New Roman"/>
          <w:sz w:val="20"/>
          <w:szCs w:val="20"/>
          <w:lang w:val="en-US"/>
        </w:rPr>
        <w:endnoteReference w:id="9"/>
      </w:r>
      <w:r>
        <w:rPr>
          <w:rFonts w:ascii="Times New Roman" w:hAnsi="Times New Roman" w:cs="Times New Roman"/>
          <w:sz w:val="24"/>
          <w:szCs w:val="24"/>
          <w:lang w:val="en-US"/>
        </w:rPr>
        <w:t xml:space="preserve"> The resulting change in the perspective on the world is manifest in my experience of the spatio-temporality of the world as well. In his 1916 notes, Wittgenstein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 usual way of looking at things sees objects as it were from the midst of them, the view </w:t>
      </w:r>
      <w:r>
        <w:rPr>
          <w:rFonts w:ascii="Times New Roman" w:hAnsi="Times New Roman" w:cs="Times New Roman"/>
          <w:i/>
          <w:sz w:val="24"/>
          <w:szCs w:val="24"/>
          <w:lang w:val="en-US"/>
        </w:rPr>
        <w:t xml:space="preserve">sub specie aeternitatis </w:t>
      </w:r>
      <w:r>
        <w:rPr>
          <w:rFonts w:ascii="Times New Roman" w:hAnsi="Times New Roman" w:cs="Times New Roman"/>
          <w:sz w:val="24"/>
          <w:szCs w:val="24"/>
          <w:lang w:val="en-US"/>
        </w:rPr>
        <w:t xml:space="preserve">from outside. In such a way that they have the whole world as background. Is this it perhaps – in this view the object is seen </w:t>
      </w:r>
      <w:r>
        <w:rPr>
          <w:rFonts w:ascii="Times New Roman" w:hAnsi="Times New Roman" w:cs="Times New Roman"/>
          <w:i/>
          <w:sz w:val="24"/>
          <w:szCs w:val="24"/>
          <w:lang w:val="en-US"/>
        </w:rPr>
        <w:t xml:space="preserve">together with </w:t>
      </w:r>
      <w:r w:rsidRPr="00B433F2">
        <w:rPr>
          <w:rFonts w:ascii="Times New Roman" w:hAnsi="Times New Roman" w:cs="Times New Roman"/>
          <w:sz w:val="24"/>
          <w:szCs w:val="24"/>
          <w:lang w:val="en-US"/>
        </w:rPr>
        <w:t>space and time instead of</w:t>
      </w:r>
      <w:r>
        <w:rPr>
          <w:rFonts w:ascii="Times New Roman" w:hAnsi="Times New Roman" w:cs="Times New Roman"/>
          <w:i/>
          <w:sz w:val="24"/>
          <w:szCs w:val="24"/>
          <w:lang w:val="en-US"/>
        </w:rPr>
        <w:t xml:space="preserve"> in</w:t>
      </w:r>
      <w:r>
        <w:rPr>
          <w:rFonts w:ascii="Times New Roman" w:hAnsi="Times New Roman" w:cs="Times New Roman"/>
          <w:sz w:val="24"/>
          <w:szCs w:val="24"/>
          <w:lang w:val="en-US"/>
        </w:rPr>
        <w:t xml:space="preserve"> space and time?’ (NB</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83). T</w:t>
      </w:r>
      <w:r w:rsidRPr="00BB0F21">
        <w:rPr>
          <w:rFonts w:ascii="Times New Roman" w:hAnsi="Times New Roman" w:cs="Times New Roman"/>
          <w:sz w:val="24"/>
          <w:szCs w:val="24"/>
          <w:lang w:val="en-US"/>
        </w:rPr>
        <w:t xml:space="preserve">o view the world </w:t>
      </w:r>
      <w:r w:rsidRPr="00BB0F21">
        <w:rPr>
          <w:rFonts w:ascii="Times New Roman" w:hAnsi="Times New Roman" w:cs="Times New Roman"/>
          <w:i/>
          <w:sz w:val="24"/>
          <w:szCs w:val="24"/>
          <w:lang w:val="en-US"/>
        </w:rPr>
        <w:t>sub specie aeterni</w:t>
      </w:r>
      <w:r>
        <w:rPr>
          <w:rFonts w:ascii="Times New Roman" w:hAnsi="Times New Roman" w:cs="Times New Roman"/>
          <w:sz w:val="24"/>
          <w:szCs w:val="24"/>
          <w:lang w:val="en-US"/>
        </w:rPr>
        <w:t xml:space="preserve"> is to view it</w:t>
      </w:r>
      <w:r w:rsidRPr="00BB0F21">
        <w:rPr>
          <w:rFonts w:ascii="Times New Roman" w:hAnsi="Times New Roman" w:cs="Times New Roman"/>
          <w:sz w:val="24"/>
          <w:szCs w:val="24"/>
          <w:lang w:val="en-US"/>
        </w:rPr>
        <w:t xml:space="preserve"> from the viewpoint of eternity. </w:t>
      </w:r>
      <w:r>
        <w:rPr>
          <w:rFonts w:ascii="Times New Roman" w:hAnsi="Times New Roman" w:cs="Times New Roman"/>
          <w:sz w:val="24"/>
          <w:szCs w:val="24"/>
          <w:lang w:val="en-US"/>
        </w:rPr>
        <w:t xml:space="preserve">But it does not follow that we need to understand eternity as an infinite duration of time. Rather, the reflective perspective on life as a purposive whole means overcoming the factual perspective and temporality itself as a formal feature of experience. Wittgenstein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if we take eternity to mean not infinite temporal duration but timelessness, then eternal life belongs to those who live in the present’ (TLP 6.4311). It belongs to those who pause to contemplate life itself as a limited whole. </w:t>
      </w:r>
    </w:p>
    <w:p w14:paraId="502C4AC6" w14:textId="77777777" w:rsidR="00385922" w:rsidRDefault="00385922" w:rsidP="00C03338">
      <w:pPr>
        <w:spacing w:after="0" w:line="480" w:lineRule="auto"/>
        <w:ind w:firstLine="850"/>
        <w:rPr>
          <w:rFonts w:ascii="Times New Roman" w:hAnsi="Times New Roman" w:cs="Times New Roman"/>
          <w:sz w:val="24"/>
          <w:szCs w:val="24"/>
          <w:lang w:val="en-US"/>
        </w:rPr>
      </w:pPr>
      <w:r>
        <w:rPr>
          <w:rFonts w:ascii="Times New Roman" w:hAnsi="Times New Roman" w:cs="Times New Roman"/>
          <w:sz w:val="24"/>
          <w:szCs w:val="24"/>
          <w:lang w:val="en-US"/>
        </w:rPr>
        <w:t xml:space="preserve">For Kant, the judgment of beauty as a merely reflective (nonconceptual) judgment differs from moral judgments by being disinterested. While a moral judgment is not based on the consequences of an action, it nevertheless gives rise to an interest in the realization of the highest good. In a judgment of beauty, however, all interest in the existence of its object is set aside, and the feeling of pleasure arises from a disinterested and free contemplation of the purposive form of the representation of the object. As explained above, Wittgenstein has blocked the availability of any </w:t>
      </w:r>
      <w:r>
        <w:rPr>
          <w:rFonts w:ascii="Times New Roman" w:hAnsi="Times New Roman" w:cs="Times New Roman"/>
          <w:sz w:val="24"/>
          <w:szCs w:val="24"/>
          <w:lang w:val="en-US"/>
        </w:rPr>
        <w:lastRenderedPageBreak/>
        <w:t xml:space="preserve">interest in ethics by claiming that the facts of the world are devoid of value and independent of my will. Not surprisingly, then, his descriptions of the sub specie aeterni viewpoint stress its disinterested character. </w:t>
      </w:r>
      <w:r w:rsidRPr="00027735">
        <w:rPr>
          <w:rFonts w:ascii="Times New Roman" w:hAnsi="Times New Roman" w:cs="Times New Roman"/>
          <w:sz w:val="24"/>
          <w:szCs w:val="24"/>
          <w:lang w:val="en-US"/>
        </w:rPr>
        <w:t xml:space="preserve">Wittgenstein writes: </w:t>
      </w:r>
      <w:r w:rsidR="00A27D6B">
        <w:rPr>
          <w:rFonts w:ascii="Times New Roman" w:hAnsi="Times New Roman" w:cs="Times New Roman"/>
          <w:sz w:val="24"/>
          <w:szCs w:val="24"/>
          <w:lang w:val="en-US"/>
        </w:rPr>
        <w:t>‘</w:t>
      </w:r>
      <w:r w:rsidRPr="0029178F">
        <w:rPr>
          <w:rFonts w:ascii="Times New Roman" w:hAnsi="Times New Roman" w:cs="Times New Roman"/>
          <w:sz w:val="24"/>
          <w:szCs w:val="24"/>
          <w:lang w:val="en-US"/>
        </w:rPr>
        <w:t>Whoever lives in the present lives without fear and hope</w:t>
      </w:r>
      <w:r>
        <w:rPr>
          <w:rFonts w:ascii="Times New Roman" w:hAnsi="Times New Roman" w:cs="Times New Roman"/>
          <w:sz w:val="24"/>
          <w:szCs w:val="24"/>
          <w:lang w:val="en-US"/>
        </w:rPr>
        <w:t>’</w:t>
      </w:r>
      <w:r w:rsidRPr="0029178F">
        <w:rPr>
          <w:rFonts w:ascii="Times New Roman" w:hAnsi="Times New Roman" w:cs="Times New Roman"/>
          <w:sz w:val="24"/>
          <w:szCs w:val="24"/>
          <w:lang w:val="en-US"/>
        </w:rPr>
        <w:t xml:space="preserve"> (NB</w:t>
      </w:r>
      <w:r w:rsidR="0047166A">
        <w:rPr>
          <w:rFonts w:ascii="Times New Roman" w:hAnsi="Times New Roman" w:cs="Times New Roman"/>
          <w:sz w:val="24"/>
          <w:szCs w:val="24"/>
          <w:lang w:val="en-US"/>
        </w:rPr>
        <w:t>:</w:t>
      </w:r>
      <w:r w:rsidRPr="0029178F">
        <w:rPr>
          <w:rFonts w:ascii="Times New Roman" w:hAnsi="Times New Roman" w:cs="Times New Roman"/>
          <w:sz w:val="24"/>
          <w:szCs w:val="24"/>
          <w:lang w:val="en-US"/>
        </w:rPr>
        <w:t xml:space="preserve"> 76). And again, </w:t>
      </w:r>
      <w:r w:rsidR="00A27D6B">
        <w:rPr>
          <w:rFonts w:ascii="Times New Roman" w:hAnsi="Times New Roman" w:cs="Times New Roman"/>
          <w:sz w:val="24"/>
          <w:szCs w:val="24"/>
          <w:lang w:val="en-US"/>
        </w:rPr>
        <w:t>‘</w:t>
      </w:r>
      <w:r w:rsidRPr="0029178F">
        <w:rPr>
          <w:rFonts w:ascii="Times New Roman" w:hAnsi="Times New Roman" w:cs="Times New Roman"/>
          <w:sz w:val="24"/>
          <w:szCs w:val="24"/>
          <w:lang w:val="en-US"/>
        </w:rPr>
        <w:t>The only life that is happy is the life that can renounce the amenities of the world</w:t>
      </w:r>
      <w:r w:rsidR="0047166A">
        <w:rPr>
          <w:rFonts w:ascii="Times New Roman" w:hAnsi="Times New Roman" w:cs="Times New Roman"/>
          <w:sz w:val="24"/>
          <w:szCs w:val="24"/>
          <w:lang w:val="en-US"/>
        </w:rPr>
        <w:t>’</w:t>
      </w:r>
      <w:r w:rsidRPr="0029178F">
        <w:rPr>
          <w:rFonts w:ascii="Times New Roman" w:hAnsi="Times New Roman" w:cs="Times New Roman"/>
          <w:sz w:val="24"/>
          <w:szCs w:val="24"/>
          <w:lang w:val="en-US"/>
        </w:rPr>
        <w:t xml:space="preserve"> (NB</w:t>
      </w:r>
      <w:r w:rsidR="0047166A">
        <w:rPr>
          <w:rFonts w:ascii="Times New Roman" w:hAnsi="Times New Roman" w:cs="Times New Roman"/>
          <w:sz w:val="24"/>
          <w:szCs w:val="24"/>
          <w:lang w:val="en-US"/>
        </w:rPr>
        <w:t>:</w:t>
      </w:r>
      <w:r w:rsidRPr="0029178F">
        <w:rPr>
          <w:rFonts w:ascii="Times New Roman" w:hAnsi="Times New Roman" w:cs="Times New Roman"/>
          <w:sz w:val="24"/>
          <w:szCs w:val="24"/>
          <w:lang w:val="en-US"/>
        </w:rPr>
        <w:t xml:space="preserve"> 81). </w:t>
      </w:r>
    </w:p>
    <w:p w14:paraId="4E3D631F" w14:textId="77777777" w:rsidR="00385922" w:rsidRDefault="00385922" w:rsidP="0014072D">
      <w:pPr>
        <w:spacing w:after="0" w:line="480" w:lineRule="auto"/>
        <w:ind w:firstLine="850"/>
        <w:rPr>
          <w:rFonts w:ascii="Times New Roman" w:hAnsi="Times New Roman" w:cs="Times New Roman"/>
          <w:sz w:val="24"/>
          <w:szCs w:val="24"/>
          <w:lang w:val="en-US"/>
        </w:rPr>
      </w:pPr>
      <w:r>
        <w:rPr>
          <w:rFonts w:ascii="Times New Roman" w:hAnsi="Times New Roman" w:cs="Times New Roman"/>
          <w:sz w:val="24"/>
          <w:szCs w:val="24"/>
          <w:lang w:val="en-US"/>
        </w:rPr>
        <w:t>We have seen that no facts delivered by the empirical sciences can succeed in answering the problem of life, because the problem of life is not a factual problem to begin with. And by proposing temporal immortality as an answer to the ethical problem of seeing one’s life as meaningful it assimilates – mistakenly in Wittgenstein’s view – the ethically relevant perspective on one’s life with the spatio-temporal, empirical conception on life. Rather, the solution to the problem of life lies in my ability to see the empirical reality in such a way that it ceases to be problematic, from a timeless perspective. And it is this insight of the irreducibility of value to facts and the availability of the reflective perspective that Wittgenstein attributes to religious faith and indeed treats as its core:</w:t>
      </w:r>
    </w:p>
    <w:p w14:paraId="24108A42" w14:textId="77777777" w:rsidR="00385922" w:rsidRDefault="00A27D6B" w:rsidP="00BC40D2">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To believe in a God means to understand the question about the sense of life. </w:t>
      </w:r>
    </w:p>
    <w:p w14:paraId="2994D255" w14:textId="77777777" w:rsidR="00385922" w:rsidRDefault="00385922" w:rsidP="00BC40D2">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To believe in a God means to see that the facts of the world are not the end of the matter.</w:t>
      </w:r>
    </w:p>
    <w:p w14:paraId="4D55BDE0" w14:textId="77777777" w:rsidR="00385922" w:rsidRDefault="00385922" w:rsidP="00BC40D2">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To believe in God means to see that life has sense.’ (NB</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74.</w:t>
      </w:r>
      <w:r w:rsidRPr="000A36C2">
        <w:rPr>
          <w:rStyle w:val="Loppuviitteenviite"/>
          <w:rFonts w:ascii="Times New Roman" w:hAnsi="Times New Roman" w:cs="Times New Roman"/>
          <w:sz w:val="20"/>
          <w:szCs w:val="20"/>
          <w:lang w:val="en-US"/>
        </w:rPr>
        <w:endnoteReference w:id="10"/>
      </w:r>
      <w:r>
        <w:rPr>
          <w:rFonts w:ascii="Times New Roman" w:hAnsi="Times New Roman" w:cs="Times New Roman"/>
          <w:sz w:val="24"/>
          <w:szCs w:val="24"/>
          <w:lang w:val="en-US"/>
        </w:rPr>
        <w:t>)</w:t>
      </w:r>
    </w:p>
    <w:p w14:paraId="6D6220A6" w14:textId="77777777" w:rsidR="00385922" w:rsidRDefault="00385922" w:rsidP="002D19B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Hence, by contrast to the traditional understanding of </w:t>
      </w:r>
      <w:r w:rsidR="00A27D6B">
        <w:rPr>
          <w:rFonts w:ascii="Times New Roman" w:hAnsi="Times New Roman" w:cs="Times New Roman"/>
          <w:sz w:val="24"/>
          <w:szCs w:val="24"/>
          <w:lang w:val="en-US"/>
        </w:rPr>
        <w:t>‘</w:t>
      </w:r>
      <w:r>
        <w:rPr>
          <w:rFonts w:ascii="Times New Roman" w:hAnsi="Times New Roman" w:cs="Times New Roman"/>
          <w:sz w:val="24"/>
          <w:szCs w:val="24"/>
          <w:lang w:val="en-US"/>
        </w:rPr>
        <w:t>seeing that the facts of the world are not the end of the matter’, cashed out in terms of an idea of the Last Judgment occurring in temporally understood eternity, Wittgenstein locates the core of religious faith in the very rejection of the factual perspective on the world as the only available perspective. In this respect, i.e., by locating the ground of religious faith in an experience of the purposiveness of one’s life rather than knowledge, Wittgenstein may still be read as following in Kant’s footsteps.</w:t>
      </w:r>
    </w:p>
    <w:p w14:paraId="688B7E2F" w14:textId="77777777" w:rsidR="00385922" w:rsidRDefault="00385922" w:rsidP="002D19B5">
      <w:pPr>
        <w:spacing w:after="0" w:line="480" w:lineRule="auto"/>
        <w:rPr>
          <w:rFonts w:ascii="Times New Roman" w:hAnsi="Times New Roman" w:cs="Times New Roman"/>
          <w:sz w:val="24"/>
          <w:szCs w:val="24"/>
          <w:lang w:val="en-US"/>
        </w:rPr>
      </w:pPr>
    </w:p>
    <w:p w14:paraId="4A74B0E8" w14:textId="77777777" w:rsidR="00385922" w:rsidRDefault="00385922" w:rsidP="002D19B5">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2. The </w:t>
      </w:r>
      <w:r w:rsidR="006A346C">
        <w:rPr>
          <w:rFonts w:ascii="Times New Roman" w:hAnsi="Times New Roman" w:cs="Times New Roman"/>
          <w:i/>
          <w:sz w:val="24"/>
          <w:szCs w:val="24"/>
          <w:lang w:val="en-US"/>
        </w:rPr>
        <w:t>l</w:t>
      </w:r>
      <w:r>
        <w:rPr>
          <w:rFonts w:ascii="Times New Roman" w:hAnsi="Times New Roman" w:cs="Times New Roman"/>
          <w:i/>
          <w:sz w:val="24"/>
          <w:szCs w:val="24"/>
          <w:lang w:val="en-US"/>
        </w:rPr>
        <w:t xml:space="preserve">ater Wittgenstein on </w:t>
      </w:r>
      <w:r w:rsidR="006A346C">
        <w:rPr>
          <w:rFonts w:ascii="Times New Roman" w:hAnsi="Times New Roman" w:cs="Times New Roman"/>
          <w:i/>
          <w:sz w:val="24"/>
          <w:szCs w:val="24"/>
          <w:lang w:val="en-US"/>
        </w:rPr>
        <w:t>r</w:t>
      </w:r>
      <w:r>
        <w:rPr>
          <w:rFonts w:ascii="Times New Roman" w:hAnsi="Times New Roman" w:cs="Times New Roman"/>
          <w:i/>
          <w:sz w:val="24"/>
          <w:szCs w:val="24"/>
          <w:lang w:val="en-US"/>
        </w:rPr>
        <w:t xml:space="preserve">eligious </w:t>
      </w:r>
      <w:r w:rsidR="006A346C">
        <w:rPr>
          <w:rFonts w:ascii="Times New Roman" w:hAnsi="Times New Roman" w:cs="Times New Roman"/>
          <w:i/>
          <w:sz w:val="24"/>
          <w:szCs w:val="24"/>
          <w:lang w:val="en-US"/>
        </w:rPr>
        <w:t>f</w:t>
      </w:r>
      <w:r>
        <w:rPr>
          <w:rFonts w:ascii="Times New Roman" w:hAnsi="Times New Roman" w:cs="Times New Roman"/>
          <w:i/>
          <w:sz w:val="24"/>
          <w:szCs w:val="24"/>
          <w:lang w:val="en-US"/>
        </w:rPr>
        <w:t>aith</w:t>
      </w:r>
    </w:p>
    <w:p w14:paraId="79B39A55" w14:textId="77777777" w:rsidR="00385922" w:rsidRDefault="00385922" w:rsidP="002D19B5">
      <w:pPr>
        <w:spacing w:after="0" w:line="480" w:lineRule="auto"/>
        <w:rPr>
          <w:rFonts w:ascii="Times New Roman" w:hAnsi="Times New Roman" w:cs="Times New Roman"/>
          <w:i/>
          <w:sz w:val="24"/>
          <w:szCs w:val="24"/>
          <w:lang w:val="en-US"/>
        </w:rPr>
      </w:pPr>
    </w:p>
    <w:p w14:paraId="7A3497DA" w14:textId="77777777" w:rsidR="00385922" w:rsidRPr="0029178F" w:rsidRDefault="00385922" w:rsidP="002D19B5">
      <w:pPr>
        <w:spacing w:after="0" w:line="480" w:lineRule="auto"/>
        <w:rPr>
          <w:rFonts w:ascii="Times New Roman" w:hAnsi="Times New Roman" w:cs="Times New Roman"/>
          <w:sz w:val="24"/>
          <w:szCs w:val="24"/>
          <w:lang w:val="en-US"/>
        </w:rPr>
      </w:pPr>
      <w:r>
        <w:rPr>
          <w:rFonts w:ascii="Times New Roman" w:hAnsi="Times New Roman" w:cs="Times New Roman"/>
          <w:i/>
          <w:sz w:val="24"/>
          <w:szCs w:val="24"/>
          <w:lang w:val="en-US"/>
        </w:rPr>
        <w:t xml:space="preserve">2.1. </w:t>
      </w:r>
      <w:r w:rsidR="00A27D6B">
        <w:rPr>
          <w:rFonts w:ascii="Times New Roman" w:hAnsi="Times New Roman" w:cs="Times New Roman"/>
          <w:i/>
          <w:sz w:val="24"/>
          <w:szCs w:val="24"/>
          <w:lang w:val="en-US"/>
        </w:rPr>
        <w:t>‘</w:t>
      </w:r>
      <w:r>
        <w:rPr>
          <w:rFonts w:ascii="Times New Roman" w:hAnsi="Times New Roman" w:cs="Times New Roman"/>
          <w:i/>
          <w:sz w:val="24"/>
          <w:szCs w:val="24"/>
          <w:lang w:val="en-US"/>
        </w:rPr>
        <w:t>Our inquiry is therefore a grammatical one’</w:t>
      </w:r>
      <w:r w:rsidR="006A346C">
        <w:rPr>
          <w:rFonts w:ascii="Times New Roman" w:hAnsi="Times New Roman" w:cs="Times New Roman"/>
          <w:i/>
          <w:sz w:val="24"/>
          <w:szCs w:val="24"/>
          <w:lang w:val="en-US"/>
        </w:rPr>
        <w:t xml:space="preserve"> </w:t>
      </w:r>
      <w:r>
        <w:rPr>
          <w:rFonts w:ascii="Times New Roman" w:hAnsi="Times New Roman" w:cs="Times New Roman"/>
          <w:i/>
          <w:sz w:val="24"/>
          <w:szCs w:val="24"/>
          <w:lang w:val="en-US"/>
        </w:rPr>
        <w:t>(PI § 90).</w:t>
      </w:r>
    </w:p>
    <w:p w14:paraId="4EB27277" w14:textId="77777777" w:rsidR="00385922" w:rsidRPr="002B53E8" w:rsidRDefault="00385922" w:rsidP="002B53E8">
      <w:pPr>
        <w:spacing w:after="0" w:line="480" w:lineRule="auto"/>
        <w:ind w:firstLine="851"/>
        <w:rPr>
          <w:rFonts w:ascii="Times New Roman" w:hAnsi="Times New Roman" w:cs="Times New Roman"/>
          <w:sz w:val="24"/>
          <w:szCs w:val="24"/>
          <w:lang w:val="en-US"/>
        </w:rPr>
      </w:pPr>
    </w:p>
    <w:p w14:paraId="2EDE2B34" w14:textId="77777777" w:rsidR="00385922" w:rsidRDefault="00385922" w:rsidP="00F3377D">
      <w:pPr>
        <w:tabs>
          <w:tab w:val="left" w:pos="0"/>
        </w:tabs>
        <w:spacing w:line="480" w:lineRule="auto"/>
        <w:rPr>
          <w:rFonts w:ascii="Times New Roman" w:hAnsi="Times New Roman"/>
          <w:color w:val="000000"/>
          <w:sz w:val="24"/>
          <w:lang w:val="en-US"/>
        </w:rPr>
      </w:pPr>
      <w:r>
        <w:rPr>
          <w:rFonts w:ascii="Times New Roman" w:hAnsi="Times New Roman"/>
          <w:color w:val="000000"/>
          <w:sz w:val="24"/>
          <w:lang w:val="en-US"/>
        </w:rPr>
        <w:t xml:space="preserve">When Wittgenstein returns to philosophy in the 1930s, he quickly assumes a critical stance towards his earlier account of language. The main target of his criticism is the idea that every meaningful sentence must conform to the general propositional form </w:t>
      </w:r>
      <w:r w:rsidR="00A27D6B">
        <w:rPr>
          <w:rFonts w:ascii="Times New Roman" w:hAnsi="Times New Roman"/>
          <w:color w:val="000000"/>
          <w:sz w:val="24"/>
          <w:lang w:val="en-US"/>
        </w:rPr>
        <w:t>‘</w:t>
      </w:r>
      <w:r>
        <w:rPr>
          <w:rFonts w:ascii="Times New Roman" w:hAnsi="Times New Roman"/>
          <w:color w:val="000000"/>
          <w:sz w:val="24"/>
          <w:lang w:val="en-US"/>
        </w:rPr>
        <w:t>This is how things stand’, grounded in the forms of unalterable objects (</w:t>
      </w:r>
      <w:r w:rsidR="00940589">
        <w:rPr>
          <w:rFonts w:ascii="Times New Roman" w:hAnsi="Times New Roman" w:cs="Times New Roman"/>
          <w:sz w:val="24"/>
          <w:szCs w:val="24"/>
          <w:lang w:val="en-US"/>
        </w:rPr>
        <w:t>M 5:30, 7:39, 7:88, 7:</w:t>
      </w:r>
      <w:r>
        <w:rPr>
          <w:rFonts w:ascii="Times New Roman" w:hAnsi="Times New Roman" w:cs="Times New Roman"/>
          <w:sz w:val="24"/>
          <w:szCs w:val="24"/>
          <w:lang w:val="en-US"/>
        </w:rPr>
        <w:t>92; PI §§ 65, 114, 134–136</w:t>
      </w:r>
      <w:r>
        <w:rPr>
          <w:rFonts w:ascii="Times New Roman" w:hAnsi="Times New Roman"/>
          <w:color w:val="000000"/>
          <w:sz w:val="24"/>
          <w:lang w:val="en-US"/>
        </w:rPr>
        <w:t xml:space="preserve">). According to his later view, there are multiple ways of using language each constituted by their own respective sets of grammatical rules (PI §§ 23, 108). But in spite of this important difference, there is also an important point of continuity in Wittgenstein thought, pertaining to his </w:t>
      </w:r>
      <w:r w:rsidRPr="009634B4">
        <w:rPr>
          <w:rFonts w:ascii="Times New Roman" w:hAnsi="Times New Roman"/>
          <w:color w:val="000000"/>
          <w:sz w:val="24"/>
          <w:lang w:val="en-US"/>
        </w:rPr>
        <w:t>rejection of methodological naturalism</w:t>
      </w:r>
      <w:r>
        <w:rPr>
          <w:rFonts w:ascii="Times New Roman" w:hAnsi="Times New Roman"/>
          <w:color w:val="000000"/>
          <w:sz w:val="24"/>
          <w:lang w:val="en-US"/>
        </w:rPr>
        <w:t xml:space="preserve">. This continuity finds expression in Wittgenstein’s mature remark in the </w:t>
      </w:r>
      <w:r>
        <w:rPr>
          <w:rFonts w:ascii="Times New Roman" w:hAnsi="Times New Roman"/>
          <w:i/>
          <w:color w:val="000000"/>
          <w:sz w:val="24"/>
          <w:lang w:val="en-US"/>
        </w:rPr>
        <w:t>Philosophical Investigations</w:t>
      </w:r>
      <w:r>
        <w:rPr>
          <w:rFonts w:ascii="Times New Roman" w:hAnsi="Times New Roman"/>
          <w:color w:val="000000"/>
          <w:sz w:val="24"/>
          <w:lang w:val="en-US"/>
        </w:rPr>
        <w:t>:</w:t>
      </w:r>
    </w:p>
    <w:p w14:paraId="1C2C39EB" w14:textId="77777777" w:rsidR="00385922" w:rsidRPr="00F533AC" w:rsidRDefault="00A27D6B" w:rsidP="00A04438">
      <w:pPr>
        <w:tabs>
          <w:tab w:val="left" w:pos="0"/>
        </w:tabs>
        <w:spacing w:line="480" w:lineRule="auto"/>
        <w:ind w:left="567"/>
        <w:rPr>
          <w:rFonts w:ascii="Times New Roman" w:hAnsi="Times New Roman"/>
          <w:color w:val="000000"/>
          <w:sz w:val="24"/>
          <w:lang w:val="en-US"/>
        </w:rPr>
      </w:pPr>
      <w:r>
        <w:rPr>
          <w:rFonts w:ascii="Times New Roman" w:hAnsi="Times New Roman"/>
          <w:color w:val="000000"/>
          <w:sz w:val="24"/>
          <w:lang w:val="en-US"/>
        </w:rPr>
        <w:t>‘</w:t>
      </w:r>
      <w:r w:rsidR="00385922">
        <w:rPr>
          <w:rFonts w:ascii="Times New Roman" w:hAnsi="Times New Roman"/>
          <w:color w:val="000000"/>
          <w:sz w:val="24"/>
          <w:lang w:val="en-US"/>
        </w:rPr>
        <w:t xml:space="preserve">It was correct to say that our considerations must not be scientific ones. The feeling </w:t>
      </w:r>
      <w:r w:rsidR="0047166A">
        <w:rPr>
          <w:rFonts w:ascii="Times New Roman" w:hAnsi="Times New Roman"/>
          <w:color w:val="000000"/>
          <w:sz w:val="24"/>
          <w:lang w:val="en-US"/>
        </w:rPr>
        <w:t>“</w:t>
      </w:r>
      <w:r w:rsidR="00385922">
        <w:rPr>
          <w:rFonts w:ascii="Times New Roman" w:hAnsi="Times New Roman"/>
          <w:color w:val="000000"/>
          <w:sz w:val="24"/>
          <w:lang w:val="en-US"/>
        </w:rPr>
        <w:t>that it is possible, contrary to our preconceived ideas, to think this or that</w:t>
      </w:r>
      <w:r w:rsidR="0047166A">
        <w:rPr>
          <w:rFonts w:ascii="Times New Roman" w:hAnsi="Times New Roman"/>
          <w:color w:val="000000"/>
          <w:sz w:val="24"/>
          <w:lang w:val="en-US"/>
        </w:rPr>
        <w:t>”</w:t>
      </w:r>
      <w:r w:rsidR="00385922">
        <w:rPr>
          <w:rFonts w:ascii="Times New Roman" w:hAnsi="Times New Roman"/>
          <w:color w:val="000000"/>
          <w:sz w:val="24"/>
          <w:lang w:val="en-US"/>
        </w:rPr>
        <w:t xml:space="preserve"> – whatever that may mean – could be of no interest to us. […] And we may not advance any kind of theory. There must not be anything hypothetical in our considerations. All </w:t>
      </w:r>
      <w:r w:rsidR="00385922">
        <w:rPr>
          <w:rFonts w:ascii="Times New Roman" w:hAnsi="Times New Roman"/>
          <w:i/>
          <w:color w:val="000000"/>
          <w:sz w:val="24"/>
          <w:lang w:val="en-US"/>
        </w:rPr>
        <w:t xml:space="preserve">explanation </w:t>
      </w:r>
      <w:r w:rsidR="00385922">
        <w:rPr>
          <w:rFonts w:ascii="Times New Roman" w:hAnsi="Times New Roman"/>
          <w:color w:val="000000"/>
          <w:sz w:val="24"/>
          <w:lang w:val="en-US"/>
        </w:rPr>
        <w:t xml:space="preserve">must disappear, and description alone must take its place. And this description gets its light – that is to say, its purpose – from the philosophical problems. These are, of course, not empirical problems […]’ (PI § 109.) </w:t>
      </w:r>
    </w:p>
    <w:p w14:paraId="67B69F8C" w14:textId="77777777" w:rsidR="00385922" w:rsidRDefault="00385922" w:rsidP="00B36806">
      <w:pPr>
        <w:tabs>
          <w:tab w:val="left" w:pos="0"/>
        </w:tabs>
        <w:spacing w:after="0" w:line="480" w:lineRule="auto"/>
        <w:rPr>
          <w:rFonts w:ascii="Times New Roman" w:hAnsi="Times New Roman"/>
          <w:color w:val="000000"/>
          <w:sz w:val="24"/>
          <w:lang w:val="en-US"/>
        </w:rPr>
      </w:pPr>
      <w:r>
        <w:rPr>
          <w:rFonts w:ascii="Times New Roman" w:hAnsi="Times New Roman"/>
          <w:color w:val="000000"/>
          <w:sz w:val="24"/>
          <w:lang w:val="en-US"/>
        </w:rPr>
        <w:t>The contrast drawn here between philosophical description on the one hand and empirical explanation on the other is a recurring theme in Wittgenstein’s later work (</w:t>
      </w:r>
      <w:r>
        <w:rPr>
          <w:rFonts w:ascii="Times New Roman" w:hAnsi="Times New Roman" w:cs="Times New Roman"/>
          <w:sz w:val="24"/>
          <w:szCs w:val="24"/>
          <w:lang w:val="en-US"/>
        </w:rPr>
        <w:t>TLP 3.33, 5.552, 6.111; PI §§ 90, 109, 251, 295, 458)</w:t>
      </w:r>
      <w:r>
        <w:rPr>
          <w:rFonts w:ascii="Times New Roman" w:hAnsi="Times New Roman"/>
          <w:color w:val="000000"/>
          <w:sz w:val="24"/>
          <w:lang w:val="en-US"/>
        </w:rPr>
        <w:t xml:space="preserve">. The proper method of philosophy, recommended by the later Wittgenstein, is to </w:t>
      </w:r>
      <w:r w:rsidR="00A27D6B">
        <w:rPr>
          <w:rFonts w:ascii="Times New Roman" w:hAnsi="Times New Roman"/>
          <w:color w:val="000000"/>
          <w:sz w:val="24"/>
          <w:lang w:val="en-US"/>
        </w:rPr>
        <w:t>‘</w:t>
      </w:r>
      <w:r>
        <w:rPr>
          <w:rFonts w:ascii="Times New Roman" w:hAnsi="Times New Roman"/>
          <w:color w:val="000000"/>
          <w:sz w:val="24"/>
          <w:lang w:val="en-US"/>
        </w:rPr>
        <w:t xml:space="preserve">leave everything as it is’, and to just describe the actual uses of language (PI § 124). While these uses are, in Wittgenstein’s later account, historically and culturally variable and practice-laden, they are nonetheless structured by grammatical rules (PI §§ 83, 108). These rules are </w:t>
      </w:r>
      <w:r>
        <w:rPr>
          <w:rFonts w:ascii="Times New Roman" w:hAnsi="Times New Roman"/>
          <w:color w:val="000000"/>
          <w:sz w:val="24"/>
          <w:lang w:val="en-US"/>
        </w:rPr>
        <w:lastRenderedPageBreak/>
        <w:t>not regulative rules, but constitutive of the ways in which language is actually used, like the rules of chess without which we could not play the game of chess. The rules are also autonomous in that they cannot be justified by appeal to anything extralinguistic, like empirical facts (PI § 497). Still, grammatical rules are essential for the possibility of linguistic communication. Unless we agree on the rules of grammar, our possibility of agree</w:t>
      </w:r>
      <w:r w:rsidR="00F07ECB">
        <w:rPr>
          <w:rFonts w:ascii="Times New Roman" w:hAnsi="Times New Roman"/>
          <w:color w:val="000000"/>
          <w:sz w:val="24"/>
          <w:lang w:val="en-US"/>
        </w:rPr>
        <w:t>ing</w:t>
      </w:r>
      <w:r>
        <w:rPr>
          <w:rFonts w:ascii="Times New Roman" w:hAnsi="Times New Roman"/>
          <w:color w:val="000000"/>
          <w:sz w:val="24"/>
          <w:lang w:val="en-US"/>
        </w:rPr>
        <w:t xml:space="preserve"> </w:t>
      </w:r>
      <w:r w:rsidR="00F07ECB">
        <w:rPr>
          <w:rFonts w:ascii="Times New Roman" w:hAnsi="Times New Roman"/>
          <w:color w:val="000000"/>
          <w:sz w:val="24"/>
          <w:lang w:val="en-US"/>
        </w:rPr>
        <w:t xml:space="preserve">or even disagreeing </w:t>
      </w:r>
      <w:r>
        <w:rPr>
          <w:rFonts w:ascii="Times New Roman" w:hAnsi="Times New Roman"/>
          <w:color w:val="000000"/>
          <w:sz w:val="24"/>
          <w:lang w:val="en-US"/>
        </w:rPr>
        <w:t>on matters of empirical fact and opinion quickly dissolves (PI §§ 240–242). Hence, one could argue that even the later Wittgenstein treats the form of language as a condition for the possibility of saying something in the first place and in this sense akin to his early logic.</w:t>
      </w:r>
    </w:p>
    <w:p w14:paraId="64139A05" w14:textId="77777777" w:rsidR="00385922" w:rsidRDefault="00385922" w:rsidP="00B36806">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Part of Wittgenstein’s later conception of linguistic communication is the </w:t>
      </w:r>
      <w:r w:rsidR="0047166A">
        <w:rPr>
          <w:rFonts w:ascii="Times New Roman" w:hAnsi="Times New Roman" w:cs="Times New Roman"/>
          <w:sz w:val="24"/>
          <w:szCs w:val="24"/>
          <w:lang w:val="en-US"/>
        </w:rPr>
        <w:t>notion</w:t>
      </w:r>
      <w:r>
        <w:rPr>
          <w:rFonts w:ascii="Times New Roman" w:hAnsi="Times New Roman" w:cs="Times New Roman"/>
          <w:sz w:val="24"/>
          <w:szCs w:val="24"/>
          <w:lang w:val="en-US"/>
        </w:rPr>
        <w:t xml:space="preserve"> of understanding as a normative issue. To use a symbol commits the user to follow the grammatical rules. Part of this commitment is the speaker’s ability to justify her application of the rule by giving reasons. However, while there are cases in which I can justify my application of a rule, I will soon out run out of such justifications (PI § 217). Interestingly, the point where reason-giving ends still lies, in Wittgenstein’s imagery, at the limit of language: </w:t>
      </w:r>
      <w:r w:rsidR="00A27D6B">
        <w:rPr>
          <w:rFonts w:ascii="Times New Roman" w:hAnsi="Times New Roman" w:cs="Times New Roman"/>
          <w:sz w:val="24"/>
          <w:szCs w:val="24"/>
          <w:lang w:val="en-US"/>
        </w:rPr>
        <w:t>‘</w:t>
      </w:r>
      <w:r w:rsidRPr="007929A2">
        <w:rPr>
          <w:rFonts w:ascii="Times New Roman" w:hAnsi="Times New Roman" w:cs="Times New Roman"/>
          <w:sz w:val="24"/>
          <w:szCs w:val="24"/>
          <w:lang w:val="en-US"/>
        </w:rPr>
        <w:t xml:space="preserve">A reason can only be given within a game. The links of a chain of reasons come to an end, at the boundary of </w:t>
      </w:r>
      <w:r>
        <w:rPr>
          <w:rFonts w:ascii="Times New Roman" w:hAnsi="Times New Roman" w:cs="Times New Roman"/>
          <w:sz w:val="24"/>
          <w:szCs w:val="24"/>
          <w:lang w:val="en-US"/>
        </w:rPr>
        <w:t>the game’ (</w:t>
      </w:r>
      <w:r w:rsidRPr="005D51F9">
        <w:rPr>
          <w:rFonts w:ascii="Times New Roman" w:hAnsi="Times New Roman" w:cs="Times New Roman"/>
          <w:sz w:val="24"/>
          <w:szCs w:val="24"/>
          <w:lang w:val="en-US"/>
        </w:rPr>
        <w:t>PG</w:t>
      </w:r>
      <w:r w:rsidR="00940589">
        <w:rPr>
          <w:rFonts w:ascii="Times New Roman" w:hAnsi="Times New Roman" w:cs="Times New Roman"/>
          <w:sz w:val="24"/>
          <w:szCs w:val="24"/>
          <w:lang w:val="en-US"/>
        </w:rPr>
        <w:t>:</w:t>
      </w:r>
      <w:r w:rsidRPr="005D51F9">
        <w:rPr>
          <w:rFonts w:ascii="Times New Roman" w:hAnsi="Times New Roman" w:cs="Times New Roman"/>
          <w:sz w:val="24"/>
          <w:szCs w:val="24"/>
          <w:lang w:val="en-US"/>
        </w:rPr>
        <w:t xml:space="preserve"> 97</w:t>
      </w:r>
      <w:r>
        <w:rPr>
          <w:rFonts w:ascii="Times New Roman" w:hAnsi="Times New Roman" w:cs="Times New Roman"/>
          <w:sz w:val="24"/>
          <w:szCs w:val="24"/>
          <w:lang w:val="en-US"/>
        </w:rPr>
        <w:t xml:space="preserve">; see PI §§ 326, 482, 485). Moreover, Wittgenstein continues to connect the practice of philosophy, now understood as grammatical investigation, to the idea of a limit of language (PI § 119). However, while the mature Wittgenstein still treats grammar as that which excludes </w:t>
      </w:r>
      <w:r w:rsidRPr="002F2324">
        <w:rPr>
          <w:rFonts w:ascii="Times New Roman" w:hAnsi="Times New Roman" w:cs="Times New Roman"/>
          <w:sz w:val="24"/>
          <w:szCs w:val="24"/>
          <w:lang w:val="en-US"/>
        </w:rPr>
        <w:t>nonsense</w:t>
      </w:r>
      <w:r>
        <w:rPr>
          <w:rFonts w:ascii="Times New Roman" w:hAnsi="Times New Roman" w:cs="Times New Roman"/>
          <w:sz w:val="24"/>
          <w:szCs w:val="24"/>
          <w:lang w:val="en-US"/>
        </w:rPr>
        <w:t xml:space="preserve">, he now emphasizes that such limits are always drawn for a particular purpose: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To say ‘This combination of words has no sense’ excludes it from the sphere of language, and thereby bounds the domain of language. But when one draws a boundary, it may be for various kinds of reasons.’ (PI § 499.) </w:t>
      </w:r>
    </w:p>
    <w:p w14:paraId="5F089BB0" w14:textId="77777777" w:rsidR="00385922" w:rsidRDefault="00385922" w:rsidP="00B36806">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An important difference between Wittgenstein’s early conception of logical form and his later notion of grammar is that while logical form is strictly speaking ineffable, grammatical rules may be formulated. However, grammatical rules are akin to logical form in the sense that they do not have empirical content: they are not </w:t>
      </w:r>
      <w:r w:rsidRPr="0029178F">
        <w:rPr>
          <w:rFonts w:ascii="Times New Roman" w:hAnsi="Times New Roman" w:cs="Times New Roman"/>
          <w:i/>
          <w:sz w:val="24"/>
          <w:szCs w:val="24"/>
          <w:lang w:val="en-US"/>
        </w:rPr>
        <w:t>used</w:t>
      </w:r>
      <w:r>
        <w:rPr>
          <w:rFonts w:ascii="Times New Roman" w:hAnsi="Times New Roman" w:cs="Times New Roman"/>
          <w:sz w:val="24"/>
          <w:szCs w:val="24"/>
          <w:lang w:val="en-US"/>
        </w:rPr>
        <w:t xml:space="preserve"> as statements of facts but rather taken for granted </w:t>
      </w:r>
      <w:r>
        <w:rPr>
          <w:rFonts w:ascii="Times New Roman" w:hAnsi="Times New Roman" w:cs="Times New Roman"/>
          <w:sz w:val="24"/>
          <w:szCs w:val="24"/>
          <w:lang w:val="en-US"/>
        </w:rPr>
        <w:lastRenderedPageBreak/>
        <w:t xml:space="preserve">without justification thus making the justification of ordinary statements possible. </w:t>
      </w:r>
      <w:r w:rsidRPr="006C1DB2">
        <w:rPr>
          <w:rFonts w:ascii="Times New Roman" w:hAnsi="Times New Roman" w:cs="Times New Roman"/>
          <w:sz w:val="24"/>
          <w:szCs w:val="24"/>
          <w:lang w:val="en-US"/>
        </w:rPr>
        <w:t>Wittgenstein even claims that uttering basic certainties, akin to grammatical sentences in that they form the foundation of our language-games, amounts to nonsense (OC §§ 32–35, 401, 403).</w:t>
      </w:r>
      <w:r>
        <w:rPr>
          <w:rFonts w:ascii="Times New Roman" w:hAnsi="Times New Roman" w:cs="Times New Roman"/>
          <w:sz w:val="24"/>
          <w:szCs w:val="24"/>
          <w:lang w:val="en-US"/>
        </w:rPr>
        <w:t xml:space="preserve"> (See McGinn</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1999</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502, 512; Moyal-Sharrock</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2007</w:t>
      </w:r>
      <w:r w:rsidR="0047166A">
        <w:rPr>
          <w:rFonts w:ascii="Times New Roman" w:hAnsi="Times New Roman" w:cs="Times New Roman"/>
          <w:sz w:val="24"/>
          <w:szCs w:val="24"/>
          <w:lang w:val="en-US"/>
        </w:rPr>
        <w:t>:</w:t>
      </w:r>
      <w:r>
        <w:rPr>
          <w:rFonts w:ascii="Times New Roman" w:hAnsi="Times New Roman" w:cs="Times New Roman"/>
          <w:sz w:val="24"/>
          <w:szCs w:val="24"/>
          <w:lang w:val="en-US"/>
        </w:rPr>
        <w:t xml:space="preserve"> 157.)</w:t>
      </w:r>
    </w:p>
    <w:p w14:paraId="6849A206" w14:textId="77777777" w:rsidR="00385922" w:rsidRPr="00B36806" w:rsidRDefault="00385922" w:rsidP="0029178F">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In Wittgenstein’s later view, then, the limits of language are reached at the boundary of a language-game, where justifications have been exhausted and we simply take for granted the grammatical rules themselves. At this boundary or bedrock, we can only act or else, for purposes of philosophical clarification, describe the game in question (PI §§ 217, 261). Moreover, just like in the </w:t>
      </w:r>
      <w:r>
        <w:rPr>
          <w:rFonts w:ascii="Times New Roman" w:hAnsi="Times New Roman" w:cs="Times New Roman"/>
          <w:i/>
          <w:sz w:val="24"/>
          <w:szCs w:val="24"/>
          <w:lang w:val="en-US"/>
        </w:rPr>
        <w:t>Tractatus</w:t>
      </w:r>
      <w:r>
        <w:rPr>
          <w:rFonts w:ascii="Times New Roman" w:hAnsi="Times New Roman" w:cs="Times New Roman"/>
          <w:sz w:val="24"/>
          <w:szCs w:val="24"/>
          <w:lang w:val="en-US"/>
        </w:rPr>
        <w:t>, where the limit of language indicated logic but also ethics, aesthetics and religion, in the 1930s too Wittgenstein places aesthetics, ethics and religion as well as philosophy itself on this boundary of language where empirical justifications come to an end and the only method left available is description.</w:t>
      </w:r>
    </w:p>
    <w:p w14:paraId="6BD9C061" w14:textId="77777777" w:rsidR="00385922" w:rsidRDefault="00385922" w:rsidP="00F72240">
      <w:pPr>
        <w:spacing w:after="0" w:line="480" w:lineRule="auto"/>
        <w:rPr>
          <w:rFonts w:ascii="Times New Roman" w:hAnsi="Times New Roman" w:cs="Times New Roman"/>
          <w:sz w:val="24"/>
          <w:szCs w:val="24"/>
          <w:lang w:val="en-US"/>
        </w:rPr>
      </w:pPr>
    </w:p>
    <w:p w14:paraId="1BB64147" w14:textId="77777777" w:rsidR="00385922" w:rsidRPr="00F72240" w:rsidRDefault="00385922" w:rsidP="00F72240">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2.2. </w:t>
      </w:r>
      <w:r w:rsidR="00A27D6B">
        <w:rPr>
          <w:rFonts w:ascii="Times New Roman" w:hAnsi="Times New Roman" w:cs="Times New Roman"/>
          <w:i/>
          <w:sz w:val="24"/>
          <w:szCs w:val="24"/>
          <w:lang w:val="en-US"/>
        </w:rPr>
        <w:t>‘</w:t>
      </w:r>
      <w:r>
        <w:rPr>
          <w:rFonts w:ascii="Times New Roman" w:hAnsi="Times New Roman" w:cs="Times New Roman"/>
          <w:i/>
          <w:sz w:val="24"/>
          <w:szCs w:val="24"/>
          <w:lang w:val="en-US"/>
        </w:rPr>
        <w:t>The edge of the abyss’ (CV</w:t>
      </w:r>
      <w:r w:rsidR="0047166A">
        <w:rPr>
          <w:rFonts w:ascii="Times New Roman" w:hAnsi="Times New Roman" w:cs="Times New Roman"/>
          <w:i/>
          <w:sz w:val="24"/>
          <w:szCs w:val="24"/>
          <w:lang w:val="en-US"/>
        </w:rPr>
        <w:t>:</w:t>
      </w:r>
      <w:r>
        <w:rPr>
          <w:rFonts w:ascii="Times New Roman" w:hAnsi="Times New Roman" w:cs="Times New Roman"/>
          <w:i/>
          <w:sz w:val="24"/>
          <w:szCs w:val="24"/>
          <w:lang w:val="en-US"/>
        </w:rPr>
        <w:t xml:space="preserve"> 34)</w:t>
      </w:r>
    </w:p>
    <w:p w14:paraId="39F2F3F8" w14:textId="77777777" w:rsidR="00385922" w:rsidRDefault="00385922" w:rsidP="00F72240">
      <w:pPr>
        <w:spacing w:after="0" w:line="480" w:lineRule="auto"/>
        <w:rPr>
          <w:rFonts w:ascii="Times New Roman" w:hAnsi="Times New Roman" w:cs="Times New Roman"/>
          <w:sz w:val="24"/>
          <w:szCs w:val="24"/>
          <w:lang w:val="en-US"/>
        </w:rPr>
      </w:pPr>
    </w:p>
    <w:p w14:paraId="38864D42" w14:textId="77777777" w:rsidR="00385922" w:rsidRDefault="00385922" w:rsidP="00AA242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In the early 1930s Wittgenstein says: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Philosophy may expect to arrive at fundamental propositions. But great event to which we come is the coming to the </w:t>
      </w:r>
      <w:r w:rsidRPr="001B4918">
        <w:rPr>
          <w:rFonts w:ascii="Times New Roman" w:hAnsi="Times New Roman" w:cs="Times New Roman"/>
          <w:sz w:val="24"/>
          <w:szCs w:val="24"/>
          <w:lang w:val="en-US"/>
        </w:rPr>
        <w:t xml:space="preserve">boundary </w:t>
      </w:r>
      <w:r>
        <w:rPr>
          <w:rFonts w:ascii="Times New Roman" w:hAnsi="Times New Roman" w:cs="Times New Roman"/>
          <w:sz w:val="24"/>
          <w:szCs w:val="24"/>
          <w:lang w:val="en-US"/>
        </w:rPr>
        <w:t>of language: there we ca</w:t>
      </w:r>
      <w:r w:rsidR="00940589">
        <w:rPr>
          <w:rFonts w:ascii="Times New Roman" w:hAnsi="Times New Roman" w:cs="Times New Roman"/>
          <w:sz w:val="24"/>
          <w:szCs w:val="24"/>
          <w:lang w:val="en-US"/>
        </w:rPr>
        <w:t>n’t ask anything further’ (M 5:</w:t>
      </w:r>
      <w:r>
        <w:rPr>
          <w:rFonts w:ascii="Times New Roman" w:hAnsi="Times New Roman" w:cs="Times New Roman"/>
          <w:sz w:val="24"/>
          <w:szCs w:val="24"/>
          <w:lang w:val="en-US"/>
        </w:rPr>
        <w:t xml:space="preserve">28). A particularly poignant example of an end, where the understanding of a sentence cannot be cashed out simply in terms of definitions and rules of grammar upon which all members of the linguistic community agree, surfaces in Wittgenstein’s treatment of </w:t>
      </w:r>
      <w:r w:rsidRPr="00BB7BE9">
        <w:rPr>
          <w:rFonts w:ascii="Times New Roman" w:hAnsi="Times New Roman" w:cs="Times New Roman"/>
          <w:sz w:val="24"/>
          <w:szCs w:val="24"/>
          <w:lang w:val="en-US"/>
        </w:rPr>
        <w:t>religious belief.</w:t>
      </w:r>
      <w:r>
        <w:rPr>
          <w:rFonts w:ascii="Times New Roman" w:hAnsi="Times New Roman" w:cs="Times New Roman"/>
          <w:sz w:val="24"/>
          <w:szCs w:val="24"/>
          <w:lang w:val="en-US"/>
        </w:rPr>
        <w:t xml:space="preserve"> In 1938, he discusses the possibility of an understanding between someone who believes in the Last Judgment and </w:t>
      </w:r>
      <w:r w:rsidRPr="00CC4522">
        <w:rPr>
          <w:rFonts w:ascii="Times New Roman" w:hAnsi="Times New Roman" w:cs="Times New Roman"/>
          <w:sz w:val="24"/>
          <w:szCs w:val="24"/>
          <w:lang w:val="en-US"/>
        </w:rPr>
        <w:t>himself,</w:t>
      </w:r>
      <w:r>
        <w:rPr>
          <w:rFonts w:ascii="Times New Roman" w:hAnsi="Times New Roman" w:cs="Times New Roman"/>
          <w:sz w:val="24"/>
          <w:szCs w:val="24"/>
          <w:lang w:val="en-US"/>
        </w:rPr>
        <w:t xml:space="preserve"> Wittgenstein, as someone who does not. He starts the discussion by envisioning a conversation started by the believer who asks him,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Wittgenstein, do you believe in this [i.e. in Last judgment]?’ Wittgenstein claims he would say no. But what follows shows that the case is anything but straightforward. For Wittgenstein claims that, in explaining his own view, he </w:t>
      </w:r>
      <w:r>
        <w:rPr>
          <w:rFonts w:ascii="Times New Roman" w:hAnsi="Times New Roman" w:cs="Times New Roman"/>
          <w:sz w:val="24"/>
          <w:szCs w:val="24"/>
          <w:lang w:val="en-US"/>
        </w:rPr>
        <w:lastRenderedPageBreak/>
        <w:t xml:space="preserve">would not say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I believe in the opposite’. Nor would he say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There is no reason to suppose such a thing.’ (LC</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53). According to Wittgenstein, to adopt the second line, namely,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there is no reason to suppose such a thing’, is to miss the whole point of the religious claim. Quite stunningly, Wittgenstein states that he cannot contradict the religious person:</w:t>
      </w:r>
    </w:p>
    <w:p w14:paraId="134EA07D" w14:textId="77777777" w:rsidR="00385922" w:rsidRDefault="00A27D6B" w:rsidP="0029178F">
      <w:pPr>
        <w:spacing w:after="0" w:line="480" w:lineRule="auto"/>
        <w:ind w:left="851" w:right="567"/>
        <w:rPr>
          <w:rFonts w:ascii="Times New Roman" w:hAnsi="Times New Roman" w:cs="Times New Roman"/>
          <w:sz w:val="24"/>
          <w:szCs w:val="24"/>
          <w:lang w:val="en-US"/>
        </w:rPr>
      </w:pP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In one sense, I understand all he says – the English words </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God</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etc. I understand. I could say: </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I don’t believe in this</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 and this would be true, meaning I haven’t got these thoughts or anything that hangs together with them. But not that I could contradict the thing.</w:t>
      </w:r>
    </w:p>
    <w:p w14:paraId="4A6FA823" w14:textId="77777777" w:rsidR="00385922" w:rsidRDefault="00385922" w:rsidP="0029178F">
      <w:pPr>
        <w:spacing w:after="0" w:line="480" w:lineRule="auto"/>
        <w:ind w:left="851" w:right="567" w:firstLine="284"/>
        <w:rPr>
          <w:rFonts w:ascii="Times New Roman" w:hAnsi="Times New Roman" w:cs="Times New Roman"/>
          <w:sz w:val="24"/>
          <w:szCs w:val="24"/>
          <w:lang w:val="en-US"/>
        </w:rPr>
      </w:pPr>
      <w:r>
        <w:rPr>
          <w:rFonts w:ascii="Times New Roman" w:hAnsi="Times New Roman" w:cs="Times New Roman"/>
          <w:sz w:val="24"/>
          <w:szCs w:val="24"/>
          <w:lang w:val="en-US"/>
        </w:rPr>
        <w:t xml:space="preserve">You might say: </w:t>
      </w:r>
      <w:r w:rsidR="00F07ECB">
        <w:rPr>
          <w:rFonts w:ascii="Times New Roman" w:hAnsi="Times New Roman" w:cs="Times New Roman"/>
          <w:sz w:val="24"/>
          <w:szCs w:val="24"/>
          <w:lang w:val="en-US"/>
        </w:rPr>
        <w:t>“</w:t>
      </w:r>
      <w:r>
        <w:rPr>
          <w:rFonts w:ascii="Times New Roman" w:hAnsi="Times New Roman" w:cs="Times New Roman"/>
          <w:sz w:val="24"/>
          <w:szCs w:val="24"/>
          <w:lang w:val="en-US"/>
        </w:rPr>
        <w:t>Well, if you can’t contradict him, that means you don’t understand him. If you did understand him, then you might.</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That again is Greek to me. My normal technique of language leaves me. I don’t know whether to say they unde</w:t>
      </w:r>
      <w:r w:rsidR="00940589">
        <w:rPr>
          <w:rFonts w:ascii="Times New Roman" w:hAnsi="Times New Roman" w:cs="Times New Roman"/>
          <w:sz w:val="24"/>
          <w:szCs w:val="24"/>
          <w:lang w:val="en-US"/>
        </w:rPr>
        <w:t>rstand one another or not.’ (LC:</w:t>
      </w:r>
      <w:r>
        <w:rPr>
          <w:rFonts w:ascii="Times New Roman" w:hAnsi="Times New Roman" w:cs="Times New Roman"/>
          <w:sz w:val="24"/>
          <w:szCs w:val="24"/>
          <w:lang w:val="en-US"/>
        </w:rPr>
        <w:t xml:space="preserve"> 55.)</w:t>
      </w:r>
    </w:p>
    <w:p w14:paraId="3892208E" w14:textId="2F44F276" w:rsidR="00385922" w:rsidRDefault="00385922" w:rsidP="00011917">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w:t>
      </w:r>
      <w:r w:rsidRPr="0029178F">
        <w:rPr>
          <w:rFonts w:ascii="Times New Roman" w:hAnsi="Times New Roman" w:cs="Times New Roman"/>
          <w:sz w:val="24"/>
          <w:szCs w:val="24"/>
          <w:lang w:val="en-US"/>
        </w:rPr>
        <w:t>h</w:t>
      </w:r>
      <w:r>
        <w:rPr>
          <w:rFonts w:ascii="Times New Roman" w:hAnsi="Times New Roman" w:cs="Times New Roman"/>
          <w:sz w:val="24"/>
          <w:szCs w:val="24"/>
          <w:lang w:val="en-US"/>
        </w:rPr>
        <w:t>is remark suggests that, in Wittgenstein’s view, th</w:t>
      </w:r>
      <w:r w:rsidRPr="0029178F">
        <w:rPr>
          <w:rFonts w:ascii="Times New Roman" w:hAnsi="Times New Roman" w:cs="Times New Roman"/>
          <w:sz w:val="24"/>
          <w:szCs w:val="24"/>
          <w:lang w:val="en-US"/>
        </w:rPr>
        <w:t xml:space="preserve">e disagreement between </w:t>
      </w:r>
      <w:r>
        <w:rPr>
          <w:rFonts w:ascii="Times New Roman" w:hAnsi="Times New Roman" w:cs="Times New Roman"/>
          <w:sz w:val="24"/>
          <w:szCs w:val="24"/>
          <w:lang w:val="en-US"/>
        </w:rPr>
        <w:t xml:space="preserve">him and </w:t>
      </w:r>
      <w:r w:rsidRPr="0029178F">
        <w:rPr>
          <w:rFonts w:ascii="Times New Roman" w:hAnsi="Times New Roman" w:cs="Times New Roman"/>
          <w:sz w:val="24"/>
          <w:szCs w:val="24"/>
          <w:lang w:val="en-US"/>
        </w:rPr>
        <w:t xml:space="preserve">the believer </w:t>
      </w:r>
      <w:r>
        <w:rPr>
          <w:rFonts w:ascii="Times New Roman" w:hAnsi="Times New Roman" w:cs="Times New Roman"/>
          <w:sz w:val="24"/>
          <w:szCs w:val="24"/>
          <w:lang w:val="en-US"/>
        </w:rPr>
        <w:t>does not depend on</w:t>
      </w:r>
      <w:r w:rsidRPr="0029178F">
        <w:rPr>
          <w:rFonts w:ascii="Times New Roman" w:hAnsi="Times New Roman" w:cs="Times New Roman"/>
          <w:sz w:val="24"/>
          <w:szCs w:val="24"/>
          <w:lang w:val="en-US"/>
        </w:rPr>
        <w:t xml:space="preserve"> a lack of linguistic competence on </w:t>
      </w:r>
      <w:r>
        <w:rPr>
          <w:rFonts w:ascii="Times New Roman" w:hAnsi="Times New Roman" w:cs="Times New Roman"/>
          <w:sz w:val="24"/>
          <w:szCs w:val="24"/>
          <w:lang w:val="en-US"/>
        </w:rPr>
        <w:t>his part</w:t>
      </w:r>
      <w:r w:rsidRPr="00F57A9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He </w:t>
      </w:r>
      <w:r w:rsidRPr="0029178F">
        <w:rPr>
          <w:rFonts w:ascii="Times New Roman" w:hAnsi="Times New Roman" w:cs="Times New Roman"/>
          <w:sz w:val="24"/>
          <w:szCs w:val="24"/>
          <w:lang w:val="en-US"/>
        </w:rPr>
        <w:t xml:space="preserve">may </w:t>
      </w:r>
      <w:r>
        <w:rPr>
          <w:rFonts w:ascii="Times New Roman" w:hAnsi="Times New Roman" w:cs="Times New Roman"/>
          <w:sz w:val="24"/>
          <w:szCs w:val="24"/>
          <w:lang w:val="en-US"/>
        </w:rPr>
        <w:t>understand</w:t>
      </w:r>
      <w:r w:rsidRPr="0029178F">
        <w:rPr>
          <w:rFonts w:ascii="Times New Roman" w:hAnsi="Times New Roman" w:cs="Times New Roman"/>
          <w:sz w:val="24"/>
          <w:szCs w:val="24"/>
          <w:lang w:val="en-US"/>
        </w:rPr>
        <w:t xml:space="preserve"> the word </w:t>
      </w:r>
      <w:r w:rsidR="00A27D6B">
        <w:rPr>
          <w:rFonts w:ascii="Times New Roman" w:hAnsi="Times New Roman" w:cs="Times New Roman"/>
          <w:sz w:val="24"/>
          <w:szCs w:val="24"/>
          <w:lang w:val="en-US"/>
        </w:rPr>
        <w:t>‘</w:t>
      </w:r>
      <w:r w:rsidRPr="0029178F">
        <w:rPr>
          <w:rFonts w:ascii="Times New Roman" w:hAnsi="Times New Roman" w:cs="Times New Roman"/>
          <w:sz w:val="24"/>
          <w:szCs w:val="24"/>
          <w:lang w:val="en-US"/>
        </w:rPr>
        <w:t>God</w:t>
      </w:r>
      <w:r>
        <w:rPr>
          <w:rFonts w:ascii="Times New Roman" w:hAnsi="Times New Roman" w:cs="Times New Roman"/>
          <w:sz w:val="24"/>
          <w:szCs w:val="24"/>
          <w:lang w:val="en-US"/>
        </w:rPr>
        <w:t xml:space="preserve">’ </w:t>
      </w:r>
      <w:r w:rsidR="00A27D6B">
        <w:rPr>
          <w:rFonts w:ascii="Times New Roman" w:hAnsi="Times New Roman" w:cs="Times New Roman"/>
          <w:sz w:val="24"/>
          <w:szCs w:val="24"/>
          <w:lang w:val="en-US"/>
        </w:rPr>
        <w:t>‘</w:t>
      </w:r>
      <w:r>
        <w:rPr>
          <w:rFonts w:ascii="Times New Roman" w:hAnsi="Times New Roman" w:cs="Times New Roman"/>
          <w:sz w:val="24"/>
          <w:szCs w:val="24"/>
          <w:lang w:val="en-US"/>
        </w:rPr>
        <w:t>in one sense’, as Wittgenstein says; for example,</w:t>
      </w:r>
      <w:r w:rsidRPr="0029178F">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he may have knowledge </w:t>
      </w:r>
      <w:r w:rsidRPr="0029178F">
        <w:rPr>
          <w:rFonts w:ascii="Times New Roman" w:hAnsi="Times New Roman" w:cs="Times New Roman"/>
          <w:sz w:val="24"/>
          <w:szCs w:val="24"/>
          <w:lang w:val="en-US"/>
        </w:rPr>
        <w:t xml:space="preserve">about the ways in which God is characterized in the </w:t>
      </w:r>
      <w:r w:rsidRPr="00F07ECB">
        <w:rPr>
          <w:rFonts w:ascii="Times New Roman" w:hAnsi="Times New Roman" w:cs="Times New Roman"/>
          <w:i/>
          <w:sz w:val="24"/>
          <w:szCs w:val="24"/>
          <w:lang w:val="en-US"/>
        </w:rPr>
        <w:t>Bible</w:t>
      </w:r>
      <w:r w:rsidRPr="0029178F">
        <w:rPr>
          <w:rFonts w:ascii="Times New Roman" w:hAnsi="Times New Roman" w:cs="Times New Roman"/>
          <w:sz w:val="24"/>
          <w:szCs w:val="24"/>
          <w:lang w:val="en-US"/>
        </w:rPr>
        <w:t xml:space="preserve"> and in the Christian tradition</w:t>
      </w:r>
      <w:r>
        <w:rPr>
          <w:rFonts w:ascii="Times New Roman" w:hAnsi="Times New Roman" w:cs="Times New Roman"/>
          <w:sz w:val="24"/>
          <w:szCs w:val="24"/>
          <w:lang w:val="en-US"/>
        </w:rPr>
        <w:t xml:space="preserve"> and in this sense master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theology as grammar’ (PI § 373). Yet, something is amiss for the possibility for Wittgenstein to fully comprehend the religious claim, to understand it in a sense relevant for religious faith. His </w:t>
      </w:r>
      <w:r w:rsidR="00A27D6B">
        <w:rPr>
          <w:rFonts w:ascii="Times New Roman" w:hAnsi="Times New Roman" w:cs="Times New Roman"/>
          <w:sz w:val="24"/>
          <w:szCs w:val="24"/>
          <w:lang w:val="en-US"/>
        </w:rPr>
        <w:t>‘</w:t>
      </w:r>
      <w:r>
        <w:rPr>
          <w:rFonts w:ascii="Times New Roman" w:hAnsi="Times New Roman" w:cs="Times New Roman"/>
          <w:sz w:val="24"/>
          <w:szCs w:val="24"/>
          <w:lang w:val="en-US"/>
        </w:rPr>
        <w:t>normal technique of language leaves’ him here, as he says</w:t>
      </w:r>
      <w:r w:rsidR="00610FD2">
        <w:rPr>
          <w:rFonts w:ascii="Times New Roman" w:hAnsi="Times New Roman" w:cs="Times New Roman"/>
          <w:sz w:val="24"/>
          <w:szCs w:val="24"/>
          <w:lang w:val="en-US"/>
        </w:rPr>
        <w:t xml:space="preserve"> (LC: 55)</w:t>
      </w:r>
      <w:r>
        <w:rPr>
          <w:rFonts w:ascii="Times New Roman" w:hAnsi="Times New Roman" w:cs="Times New Roman"/>
          <w:sz w:val="24"/>
          <w:szCs w:val="24"/>
          <w:lang w:val="en-US"/>
        </w:rPr>
        <w:t xml:space="preserve">. </w:t>
      </w:r>
    </w:p>
    <w:p w14:paraId="58F7B942" w14:textId="77777777" w:rsidR="00385922" w:rsidRDefault="00385922" w:rsidP="00712C42">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 xml:space="preserve">To shed light on the difficulty, Wittgenstein draws a contrast between the religious controversy on the Last Judgment with an ordinary empirical disagreement. According to him, if one says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There’s a German aeroplane overhead’ and the other says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Possibly, I’m not sure’, the two are relatively close to one another. However, if the believer says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There is Last Judgment.’ and someone responds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Well, I’m not sure. Possibly.’, there is an enormous gulf between the two. By contrast to the empirical case, where we can play the game of assigning probabilities to empirical </w:t>
      </w:r>
      <w:r>
        <w:rPr>
          <w:rFonts w:ascii="Times New Roman" w:hAnsi="Times New Roman" w:cs="Times New Roman"/>
          <w:sz w:val="24"/>
          <w:szCs w:val="24"/>
          <w:lang w:val="en-US"/>
        </w:rPr>
        <w:lastRenderedPageBreak/>
        <w:t xml:space="preserve">statements without losing much and have a shared understanding of how the statement could (at least in principle) be confirmed, the religious belief in Last Judgment cannot be corroborated with evidence. Not with evidence of the standard empirical variety anyway. Nor do people of faith subject religious statements to the kinds of doubt that they would normally apply or treat religious statements as a matter of reasonability. In this respect, religious people treat religious statements in a manner that resembles the way in which Wittgenstein takes us to </w:t>
      </w:r>
      <w:r w:rsidRPr="006C1DB2">
        <w:rPr>
          <w:rFonts w:ascii="Times New Roman" w:hAnsi="Times New Roman" w:cs="Times New Roman"/>
          <w:sz w:val="24"/>
          <w:szCs w:val="24"/>
          <w:lang w:val="en-US"/>
        </w:rPr>
        <w:t>treat basic certainties.</w:t>
      </w:r>
      <w:r>
        <w:rPr>
          <w:rFonts w:ascii="Times New Roman" w:hAnsi="Times New Roman" w:cs="Times New Roman"/>
          <w:sz w:val="24"/>
          <w:szCs w:val="24"/>
          <w:lang w:val="en-US"/>
        </w:rPr>
        <w:t xml:space="preserve"> Indeed, Wittgenstein uses the term </w:t>
      </w:r>
      <w:r w:rsidR="00A27D6B">
        <w:rPr>
          <w:rFonts w:ascii="Times New Roman" w:hAnsi="Times New Roman" w:cs="Times New Roman"/>
          <w:sz w:val="24"/>
          <w:szCs w:val="24"/>
          <w:lang w:val="en-US"/>
        </w:rPr>
        <w:t>‘</w:t>
      </w:r>
      <w:r>
        <w:rPr>
          <w:rFonts w:ascii="Times New Roman" w:hAnsi="Times New Roman" w:cs="Times New Roman"/>
          <w:sz w:val="24"/>
          <w:szCs w:val="24"/>
          <w:lang w:val="en-US"/>
        </w:rPr>
        <w:t>certainty’ in relation to religious faith and points out that it sounds odd to call religious beliefs opinions or knowledge (CV</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38; LC</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57; cf. PI § 241).  </w:t>
      </w:r>
    </w:p>
    <w:p w14:paraId="328AF25E" w14:textId="77777777" w:rsidR="00385922" w:rsidRDefault="00385922" w:rsidP="0027145A">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Moreover, while Christianity is related to historical events, in Wittgenstein’s view it is not based on a historical truth. In his personal notes at the time of the lectures on religious belief, Wittgenstein writes:</w:t>
      </w:r>
    </w:p>
    <w:p w14:paraId="1780CE60" w14:textId="77777777" w:rsidR="00385922" w:rsidRDefault="00A27D6B" w:rsidP="0052793D">
      <w:pPr>
        <w:spacing w:after="0" w:line="480" w:lineRule="auto"/>
        <w:ind w:left="567" w:right="567"/>
        <w:rPr>
          <w:rFonts w:ascii="Times New Roman" w:hAnsi="Times New Roman" w:cs="Times New Roman"/>
          <w:sz w:val="24"/>
          <w:szCs w:val="24"/>
          <w:lang w:val="en-US"/>
        </w:rPr>
      </w:pP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Queer as it sounds: the historical accounts of the Gospels might, in the historical sense, be demonstrably false, &amp; yet belief would lose nothing trough this: but </w:t>
      </w:r>
      <w:r w:rsidR="00385922">
        <w:rPr>
          <w:rFonts w:ascii="Times New Roman" w:hAnsi="Times New Roman" w:cs="Times New Roman"/>
          <w:i/>
          <w:sz w:val="24"/>
          <w:szCs w:val="24"/>
          <w:lang w:val="en-US"/>
        </w:rPr>
        <w:t xml:space="preserve">not </w:t>
      </w:r>
      <w:r w:rsidR="00385922">
        <w:rPr>
          <w:rFonts w:ascii="Times New Roman" w:hAnsi="Times New Roman" w:cs="Times New Roman"/>
          <w:sz w:val="24"/>
          <w:szCs w:val="24"/>
          <w:lang w:val="en-US"/>
        </w:rPr>
        <w:t xml:space="preserve">because it has to do with </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universal truths of reason</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rather, because historical proof (the historical proof-game) is irrelevant to belief. This message (the Gospels) is seized on by a human being believingly (i.e. lovingly): </w:t>
      </w:r>
      <w:r w:rsidR="00385922">
        <w:rPr>
          <w:rFonts w:ascii="Times New Roman" w:hAnsi="Times New Roman" w:cs="Times New Roman"/>
          <w:i/>
          <w:sz w:val="24"/>
          <w:szCs w:val="24"/>
          <w:lang w:val="en-US"/>
        </w:rPr>
        <w:t xml:space="preserve">That </w:t>
      </w:r>
      <w:r w:rsidR="00385922">
        <w:rPr>
          <w:rFonts w:ascii="Times New Roman" w:hAnsi="Times New Roman" w:cs="Times New Roman"/>
          <w:sz w:val="24"/>
          <w:szCs w:val="24"/>
          <w:lang w:val="en-US"/>
        </w:rPr>
        <w:t xml:space="preserve">is the certainty of this </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taking-for-true</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nothing </w:t>
      </w:r>
      <w:r w:rsidR="00385922">
        <w:rPr>
          <w:rFonts w:ascii="Times New Roman" w:hAnsi="Times New Roman" w:cs="Times New Roman"/>
          <w:i/>
          <w:sz w:val="24"/>
          <w:szCs w:val="24"/>
          <w:lang w:val="en-US"/>
        </w:rPr>
        <w:t>else</w:t>
      </w:r>
      <w:r w:rsidR="00385922">
        <w:rPr>
          <w:rFonts w:ascii="Times New Roman" w:hAnsi="Times New Roman" w:cs="Times New Roman"/>
          <w:sz w:val="24"/>
          <w:szCs w:val="24"/>
          <w:lang w:val="en-US"/>
        </w:rPr>
        <w:t>.’ (CV</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37–38, see also LC</w:t>
      </w:r>
      <w:r w:rsidR="00F07ECB">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57.)</w:t>
      </w:r>
    </w:p>
    <w:p w14:paraId="437A04A1" w14:textId="77777777" w:rsidR="00385922" w:rsidRPr="003A43A8" w:rsidRDefault="00385922" w:rsidP="0052793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Instead of basing itself on historical truth, Christianity </w:t>
      </w:r>
      <w:r w:rsidR="00A27D6B">
        <w:rPr>
          <w:rFonts w:ascii="Times New Roman" w:hAnsi="Times New Roman" w:cs="Times New Roman"/>
          <w:sz w:val="24"/>
          <w:szCs w:val="24"/>
          <w:lang w:val="en-US"/>
        </w:rPr>
        <w:t>‘</w:t>
      </w:r>
      <w:r>
        <w:rPr>
          <w:rFonts w:ascii="Times New Roman" w:hAnsi="Times New Roman" w:cs="Times New Roman"/>
          <w:sz w:val="24"/>
          <w:szCs w:val="24"/>
          <w:lang w:val="en-US"/>
        </w:rPr>
        <w:t>presents us with a (historical) narrative &amp; says Now believe!’ (CV</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37). But one is not supposed to believe the narrative of Christianity as one would believe a historical report. Instead, the force of the narrative is different. Wittgenstein writes: </w:t>
      </w:r>
      <w:r w:rsidR="00A27D6B">
        <w:rPr>
          <w:rFonts w:ascii="Times New Roman" w:hAnsi="Times New Roman" w:cs="Times New Roman"/>
          <w:sz w:val="24"/>
          <w:szCs w:val="24"/>
          <w:lang w:val="en-US"/>
        </w:rPr>
        <w:t>‘</w:t>
      </w:r>
      <w:r>
        <w:rPr>
          <w:rFonts w:ascii="Times New Roman" w:hAnsi="Times New Roman" w:cs="Times New Roman"/>
          <w:i/>
          <w:sz w:val="24"/>
          <w:szCs w:val="24"/>
          <w:lang w:val="en-US"/>
        </w:rPr>
        <w:t xml:space="preserve">Here you have a message! – don’t treat it as you would another historical message! </w:t>
      </w:r>
      <w:r>
        <w:rPr>
          <w:rFonts w:ascii="Times New Roman" w:hAnsi="Times New Roman" w:cs="Times New Roman"/>
          <w:sz w:val="24"/>
          <w:szCs w:val="24"/>
          <w:lang w:val="en-US"/>
        </w:rPr>
        <w:t xml:space="preserve">Make a </w:t>
      </w:r>
      <w:r>
        <w:rPr>
          <w:rFonts w:ascii="Times New Roman" w:hAnsi="Times New Roman" w:cs="Times New Roman"/>
          <w:i/>
          <w:sz w:val="24"/>
          <w:szCs w:val="24"/>
          <w:lang w:val="en-US"/>
        </w:rPr>
        <w:t xml:space="preserve">quite different </w:t>
      </w:r>
      <w:r>
        <w:rPr>
          <w:rFonts w:ascii="Times New Roman" w:hAnsi="Times New Roman" w:cs="Times New Roman"/>
          <w:sz w:val="24"/>
          <w:szCs w:val="24"/>
          <w:lang w:val="en-US"/>
        </w:rPr>
        <w:t>place for it in your life.’ (CV</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37). </w:t>
      </w:r>
      <w:r w:rsidRPr="006329C5">
        <w:rPr>
          <w:rFonts w:ascii="Times New Roman" w:hAnsi="Times New Roman" w:cs="Times New Roman"/>
          <w:sz w:val="24"/>
          <w:szCs w:val="24"/>
          <w:lang w:val="en-US"/>
        </w:rPr>
        <w:t>For no fact, no</w:t>
      </w:r>
      <w:r>
        <w:rPr>
          <w:rFonts w:ascii="Times New Roman" w:hAnsi="Times New Roman" w:cs="Times New Roman"/>
          <w:sz w:val="24"/>
          <w:szCs w:val="24"/>
          <w:lang w:val="en-US"/>
        </w:rPr>
        <w:t xml:space="preserve"> matter how well established or even indubitable, </w:t>
      </w:r>
      <w:r w:rsidR="00A27D6B">
        <w:rPr>
          <w:rFonts w:ascii="Times New Roman" w:hAnsi="Times New Roman" w:cs="Times New Roman"/>
          <w:sz w:val="24"/>
          <w:szCs w:val="24"/>
          <w:lang w:val="en-US"/>
        </w:rPr>
        <w:t>‘</w:t>
      </w:r>
      <w:r>
        <w:rPr>
          <w:rFonts w:ascii="Times New Roman" w:hAnsi="Times New Roman" w:cs="Times New Roman"/>
          <w:sz w:val="24"/>
          <w:szCs w:val="24"/>
          <w:lang w:val="en-US"/>
        </w:rPr>
        <w:t>would be enough to make me change my whole life’ (LC</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57). Hence, when it comes to religious belief </w:t>
      </w:r>
      <w:r w:rsidR="00A27D6B">
        <w:rPr>
          <w:rFonts w:ascii="Times New Roman" w:hAnsi="Times New Roman" w:cs="Times New Roman"/>
          <w:sz w:val="24"/>
          <w:szCs w:val="24"/>
          <w:lang w:val="en-US"/>
        </w:rPr>
        <w:t>‘</w:t>
      </w:r>
      <w:r>
        <w:rPr>
          <w:rFonts w:ascii="Times New Roman" w:hAnsi="Times New Roman" w:cs="Times New Roman"/>
          <w:sz w:val="24"/>
          <w:szCs w:val="24"/>
          <w:lang w:val="en-US"/>
        </w:rPr>
        <w:t>the best scientific evidence is just nothing’ (LC</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56). Rather than knowledge or opinion, the taking-for-true is, in the case of the Gospels, </w:t>
      </w:r>
      <w:r w:rsidRPr="00230BD3">
        <w:rPr>
          <w:rFonts w:ascii="Times New Roman" w:hAnsi="Times New Roman" w:cs="Times New Roman"/>
          <w:sz w:val="24"/>
          <w:szCs w:val="24"/>
          <w:lang w:val="en-US"/>
        </w:rPr>
        <w:t>love.</w:t>
      </w:r>
      <w:r>
        <w:rPr>
          <w:rFonts w:ascii="Times New Roman" w:hAnsi="Times New Roman" w:cs="Times New Roman"/>
          <w:sz w:val="24"/>
          <w:szCs w:val="24"/>
          <w:lang w:val="en-US"/>
        </w:rPr>
        <w:t xml:space="preserve"> It is not that the Gospel is not taken-</w:t>
      </w:r>
      <w:r>
        <w:rPr>
          <w:rFonts w:ascii="Times New Roman" w:hAnsi="Times New Roman" w:cs="Times New Roman"/>
          <w:sz w:val="24"/>
          <w:szCs w:val="24"/>
          <w:lang w:val="en-US"/>
        </w:rPr>
        <w:lastRenderedPageBreak/>
        <w:t>for-true by the believer, but rather that truth in the religious case is not explained by reference to the historical or scientific proof game.</w:t>
      </w:r>
      <w:r w:rsidRPr="0029178F">
        <w:rPr>
          <w:rStyle w:val="Loppuviitteenviite"/>
          <w:rFonts w:ascii="Times New Roman" w:hAnsi="Times New Roman" w:cs="Times New Roman"/>
          <w:sz w:val="20"/>
          <w:szCs w:val="20"/>
          <w:lang w:val="en-US"/>
        </w:rPr>
        <w:endnoteReference w:id="11"/>
      </w:r>
      <w:r>
        <w:rPr>
          <w:rFonts w:ascii="Times New Roman" w:hAnsi="Times New Roman" w:cs="Times New Roman"/>
          <w:sz w:val="24"/>
          <w:szCs w:val="24"/>
          <w:lang w:val="en-US"/>
        </w:rPr>
        <w:t xml:space="preserve"> Wittgenstein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Religion says: </w:t>
      </w:r>
      <w:r>
        <w:rPr>
          <w:rFonts w:ascii="Times New Roman" w:hAnsi="Times New Roman" w:cs="Times New Roman"/>
          <w:i/>
          <w:sz w:val="24"/>
          <w:szCs w:val="24"/>
          <w:lang w:val="en-US"/>
        </w:rPr>
        <w:t xml:space="preserve">Do this! – Think like that! </w:t>
      </w:r>
      <w:r>
        <w:rPr>
          <w:rFonts w:ascii="Times New Roman" w:hAnsi="Times New Roman" w:cs="Times New Roman"/>
          <w:sz w:val="24"/>
          <w:szCs w:val="24"/>
          <w:lang w:val="en-US"/>
        </w:rPr>
        <w:t>but it cannot justify this and it only need try to do so to become repugnant; since for every reason it gives there is a cogent counter-reason’ (CV</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34). Rather, Wittgenstein states,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Religious similes can be said to move on the edge of the abyss’ (CV</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34).  </w:t>
      </w:r>
    </w:p>
    <w:p w14:paraId="3B106077" w14:textId="77777777" w:rsidR="00385922" w:rsidRPr="00576B25" w:rsidRDefault="00385922" w:rsidP="00576B25">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 xml:space="preserve">To be sure, there are those who treat religious beliefs on a par with ordinary empirical and everyday beliefs. Religious evidentialists and scientistic atheists alike start from the assumption that religious doctrines may be supported or rejected based on evidence relevantly similar to the evidence given for empirical statements. They both start by assuming that the standard of rationality we employ in relation to ordinary everyday beliefs and to scientific hypotheses applies straightforwardly to the religious case as well. Wittgenstein knew this too, as he brings up Father O’Hara as an example of a person who makes religion into a question of science. However, Wittgenstein claims that such a move just makes religion into mere superstition. According to him, </w:t>
      </w:r>
      <w:r w:rsidR="00A27D6B">
        <w:rPr>
          <w:rFonts w:ascii="Times New Roman" w:hAnsi="Times New Roman" w:cs="Times New Roman"/>
          <w:sz w:val="24"/>
          <w:szCs w:val="24"/>
          <w:lang w:val="en-US"/>
        </w:rPr>
        <w:t>‘</w:t>
      </w:r>
      <w:r>
        <w:rPr>
          <w:rFonts w:ascii="Times New Roman" w:hAnsi="Times New Roman" w:cs="Times New Roman"/>
          <w:sz w:val="24"/>
          <w:szCs w:val="24"/>
          <w:lang w:val="en-US"/>
        </w:rPr>
        <w:t>Not only is [religion] not reasonable. It does not pretend to be’ (LC</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58). So again, in accordance with his early view, Wittgenstein directs his criticism against the assumption that we could make sense of the wealth of human experience by reducing it to the perspective employed by natural sciences. Rather, just like Kant before him, Wittgenstein is careful to distinguish religious faith from knowledge and opinions by pointing out that the grounds for faith are qualitatively different from the grounds we evoke in the case of knowledge </w:t>
      </w:r>
      <w:r w:rsidRPr="007E2416">
        <w:rPr>
          <w:rFonts w:ascii="Times New Roman" w:hAnsi="Times New Roman" w:cs="Times New Roman"/>
          <w:sz w:val="24"/>
          <w:szCs w:val="24"/>
          <w:lang w:val="en-US"/>
        </w:rPr>
        <w:t>(</w:t>
      </w:r>
      <w:r w:rsidR="00940589">
        <w:rPr>
          <w:rFonts w:ascii="Times New Roman" w:hAnsi="Times New Roman" w:cs="Times New Roman"/>
          <w:sz w:val="24"/>
          <w:szCs w:val="24"/>
          <w:lang w:val="en-US"/>
        </w:rPr>
        <w:t>see CPR A820–827/ B</w:t>
      </w:r>
      <w:r>
        <w:rPr>
          <w:rFonts w:ascii="Times New Roman" w:hAnsi="Times New Roman" w:cs="Times New Roman"/>
          <w:sz w:val="24"/>
          <w:szCs w:val="24"/>
          <w:lang w:val="en-US"/>
        </w:rPr>
        <w:t>848–855</w:t>
      </w:r>
      <w:r w:rsidRPr="007E2416">
        <w:rPr>
          <w:rFonts w:ascii="Times New Roman" w:hAnsi="Times New Roman" w:cs="Times New Roman"/>
          <w:sz w:val="24"/>
          <w:szCs w:val="24"/>
          <w:lang w:val="en-US"/>
        </w:rPr>
        <w:t>).</w:t>
      </w:r>
      <w:r>
        <w:rPr>
          <w:rFonts w:ascii="Times New Roman" w:hAnsi="Times New Roman" w:cs="Times New Roman"/>
          <w:sz w:val="24"/>
          <w:szCs w:val="24"/>
          <w:lang w:val="en-US"/>
        </w:rPr>
        <w:t xml:space="preserve"> </w:t>
      </w:r>
    </w:p>
    <w:p w14:paraId="7E51961C" w14:textId="77777777" w:rsidR="00385922" w:rsidRDefault="00385922" w:rsidP="009D3F1A">
      <w:pPr>
        <w:spacing w:after="0" w:line="480" w:lineRule="auto"/>
        <w:rPr>
          <w:rFonts w:ascii="Times New Roman" w:hAnsi="Times New Roman" w:cs="Times New Roman"/>
          <w:i/>
          <w:sz w:val="24"/>
          <w:szCs w:val="24"/>
          <w:lang w:val="en-US"/>
        </w:rPr>
      </w:pPr>
    </w:p>
    <w:p w14:paraId="1AF8AB0F" w14:textId="77777777" w:rsidR="00385922" w:rsidRPr="009D3F1A" w:rsidRDefault="00385922" w:rsidP="009D3F1A">
      <w:pPr>
        <w:spacing w:after="0" w:line="480" w:lineRule="auto"/>
        <w:rPr>
          <w:rFonts w:ascii="Times New Roman" w:hAnsi="Times New Roman" w:cs="Times New Roman"/>
          <w:i/>
          <w:sz w:val="24"/>
          <w:szCs w:val="24"/>
          <w:lang w:val="en-US"/>
        </w:rPr>
      </w:pPr>
      <w:r>
        <w:rPr>
          <w:rFonts w:ascii="Times New Roman" w:hAnsi="Times New Roman" w:cs="Times New Roman"/>
          <w:i/>
          <w:sz w:val="24"/>
          <w:szCs w:val="24"/>
          <w:lang w:val="en-US"/>
        </w:rPr>
        <w:t xml:space="preserve">2.3. Reasons in </w:t>
      </w:r>
      <w:r w:rsidR="006A346C">
        <w:rPr>
          <w:rFonts w:ascii="Times New Roman" w:hAnsi="Times New Roman" w:cs="Times New Roman"/>
          <w:i/>
          <w:sz w:val="24"/>
          <w:szCs w:val="24"/>
          <w:lang w:val="en-US"/>
        </w:rPr>
        <w:t>r</w:t>
      </w:r>
      <w:r>
        <w:rPr>
          <w:rFonts w:ascii="Times New Roman" w:hAnsi="Times New Roman" w:cs="Times New Roman"/>
          <w:i/>
          <w:sz w:val="24"/>
          <w:szCs w:val="24"/>
          <w:lang w:val="en-US"/>
        </w:rPr>
        <w:t>eligion?</w:t>
      </w:r>
    </w:p>
    <w:p w14:paraId="50C70DBA" w14:textId="77777777" w:rsidR="00385922" w:rsidRDefault="00385922" w:rsidP="009D3F1A">
      <w:pPr>
        <w:spacing w:after="0" w:line="480" w:lineRule="auto"/>
        <w:rPr>
          <w:rFonts w:ascii="Times New Roman" w:hAnsi="Times New Roman" w:cs="Times New Roman"/>
          <w:sz w:val="24"/>
          <w:szCs w:val="24"/>
          <w:lang w:val="en-US"/>
        </w:rPr>
      </w:pPr>
    </w:p>
    <w:p w14:paraId="7F668A02" w14:textId="77777777" w:rsidR="00385922" w:rsidRDefault="00385922" w:rsidP="009D3F1A">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It is often claimed that Wittgenstein’s rejection of the evidentialist understanding of religious faith reflects his inaccurate view of how religious people sometimes as a matter of fact think. However, as argued by Severin Schroeder, Wittgenstein’s description of some aspects of religious faith does </w:t>
      </w:r>
      <w:r>
        <w:rPr>
          <w:rFonts w:ascii="Times New Roman" w:hAnsi="Times New Roman" w:cs="Times New Roman"/>
          <w:sz w:val="24"/>
          <w:szCs w:val="24"/>
          <w:lang w:val="en-US"/>
        </w:rPr>
        <w:lastRenderedPageBreak/>
        <w:t xml:space="preserve">not fall prey to this all too common criticism. Instead, as Schroeder points out, Wittgenstein seems to be more concerned with outlining the kind of faith he himself found appealing,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 kind of faith he would have liked to have’, faith that acknowledges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the arguments from natural theology are unconvincing’. (Schroeder</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2007</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443–445, 459.)</w:t>
      </w:r>
      <w:r w:rsidRPr="0034745D">
        <w:rPr>
          <w:rStyle w:val="Loppuviitteenviite"/>
          <w:rFonts w:ascii="Times New Roman" w:hAnsi="Times New Roman" w:cs="Times New Roman"/>
          <w:sz w:val="20"/>
          <w:szCs w:val="20"/>
          <w:lang w:val="en-US"/>
        </w:rPr>
        <w:endnoteReference w:id="12"/>
      </w:r>
      <w:r>
        <w:rPr>
          <w:rFonts w:ascii="Times New Roman" w:hAnsi="Times New Roman" w:cs="Times New Roman"/>
          <w:sz w:val="24"/>
          <w:szCs w:val="24"/>
          <w:lang w:val="en-US"/>
        </w:rPr>
        <w:t xml:space="preserve"> In this respect, Wittgenstein’s discussion of religion in the 1930s may be seen as a continuation of a personal search that had begun already during the First World War, when he declared that </w:t>
      </w:r>
      <w:r w:rsidR="00A27D6B">
        <w:rPr>
          <w:rFonts w:ascii="Times New Roman" w:hAnsi="Times New Roman" w:cs="Times New Roman"/>
          <w:sz w:val="24"/>
          <w:szCs w:val="24"/>
          <w:lang w:val="en-US"/>
        </w:rPr>
        <w:t>‘</w:t>
      </w:r>
      <w:r>
        <w:rPr>
          <w:rFonts w:ascii="Times New Roman" w:hAnsi="Times New Roman" w:cs="Times New Roman"/>
          <w:sz w:val="24"/>
          <w:szCs w:val="24"/>
          <w:lang w:val="en-US"/>
        </w:rPr>
        <w:t>to believe in God means to see that the facts of the world are not the end of the matter’ (NB</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74). </w:t>
      </w:r>
    </w:p>
    <w:p w14:paraId="1BC96F15" w14:textId="77777777" w:rsidR="00385922" w:rsidRDefault="00385922" w:rsidP="00530121">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 xml:space="preserve">Indeed, what still motivates Wittgenstein’s rejection of empirical evidence as relevantly grounding religious faith is the assumption we have encountered already in his early treatment of ethics. While the facts of the world are contingent and hence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a matter of complete indifference for what is higher’, the ethical demand as understood by Wittgenstein is absolute. If religious faith were a matter of forming informed opinions based on evidence of the kind that we use in the justification of scientific and everyday statements, then one ought to abandon that faith in light of possible counterevidence. Yet, as John Hyman acutely summarizes it, </w:t>
      </w:r>
      <w:r w:rsidR="00A27D6B">
        <w:rPr>
          <w:rFonts w:ascii="Times New Roman" w:hAnsi="Times New Roman" w:cs="Times New Roman"/>
          <w:sz w:val="24"/>
          <w:szCs w:val="24"/>
          <w:lang w:val="en-US"/>
        </w:rPr>
        <w:t>‘</w:t>
      </w:r>
      <w:r>
        <w:rPr>
          <w:rFonts w:ascii="Times New Roman" w:hAnsi="Times New Roman" w:cs="Times New Roman"/>
          <w:sz w:val="24"/>
          <w:szCs w:val="24"/>
          <w:lang w:val="en-US"/>
        </w:rPr>
        <w:t>Wittgenstein defends the view that religious beliefs are […] immune from falsification and from verification’ (Hyman</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2001</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7). The role that religious faith plays in the lives of those who endorse it is more fundamental than that. According to Wittgenstein, for a person who has faith, that faith is a matter of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unshakeable belief’ that manifests itself, </w:t>
      </w:r>
      <w:r w:rsidR="00A27D6B">
        <w:rPr>
          <w:rFonts w:ascii="Times New Roman" w:hAnsi="Times New Roman" w:cs="Times New Roman"/>
          <w:sz w:val="24"/>
          <w:szCs w:val="24"/>
          <w:lang w:val="en-US"/>
        </w:rPr>
        <w:t>‘</w:t>
      </w:r>
      <w:r>
        <w:rPr>
          <w:rFonts w:ascii="Times New Roman" w:hAnsi="Times New Roman" w:cs="Times New Roman"/>
          <w:sz w:val="24"/>
          <w:szCs w:val="24"/>
          <w:lang w:val="en-US"/>
        </w:rPr>
        <w:t>not by reasoning or by appeal to ordinary grounds for belief, but rather by regulating for in all his life’ (LC</w:t>
      </w:r>
      <w:r w:rsidR="00F07ECB">
        <w:rPr>
          <w:rFonts w:ascii="Times New Roman" w:hAnsi="Times New Roman" w:cs="Times New Roman"/>
          <w:sz w:val="24"/>
          <w:szCs w:val="24"/>
          <w:lang w:val="en-US"/>
        </w:rPr>
        <w:t>:</w:t>
      </w:r>
      <w:r>
        <w:rPr>
          <w:rFonts w:ascii="Times New Roman" w:hAnsi="Times New Roman" w:cs="Times New Roman"/>
          <w:sz w:val="24"/>
          <w:szCs w:val="24"/>
          <w:lang w:val="en-US"/>
        </w:rPr>
        <w:t xml:space="preserve"> 54). </w:t>
      </w:r>
    </w:p>
    <w:p w14:paraId="19B731F4" w14:textId="26A36430" w:rsidR="00385922" w:rsidRDefault="00385922" w:rsidP="00EC5011">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 xml:space="preserve">The question is, then, whether religious people have any grounds for their faith? What can compel someone to let faith </w:t>
      </w:r>
      <w:r w:rsidR="00A27D6B">
        <w:rPr>
          <w:rFonts w:ascii="Times New Roman" w:hAnsi="Times New Roman" w:cs="Times New Roman"/>
          <w:sz w:val="24"/>
          <w:szCs w:val="24"/>
          <w:lang w:val="en-US"/>
        </w:rPr>
        <w:t>‘</w:t>
      </w:r>
      <w:r>
        <w:rPr>
          <w:rFonts w:ascii="Times New Roman" w:hAnsi="Times New Roman" w:cs="Times New Roman"/>
          <w:sz w:val="24"/>
          <w:szCs w:val="24"/>
          <w:lang w:val="en-US"/>
        </w:rPr>
        <w:t>regulate for in all his life’? Wittgenstein mentions two examples that are quite extraordinary. The first example is from Kierkegaard, who describes a childhood memory of his father setting him a task. The weight of the duty and his sense of responsibility was so heavy, he claimed, that he realized that not even death could take away the responsibility of fulfilling this task. And this experience of duty was, in a way, a proof of the</w:t>
      </w:r>
      <w:r w:rsidR="00260EB3">
        <w:rPr>
          <w:rFonts w:ascii="Times New Roman" w:hAnsi="Times New Roman" w:cs="Times New Roman"/>
          <w:sz w:val="24"/>
          <w:szCs w:val="24"/>
          <w:lang w:val="en-US"/>
        </w:rPr>
        <w:t xml:space="preserve"> immortality of the soul. (M 7:</w:t>
      </w:r>
      <w:r>
        <w:rPr>
          <w:rFonts w:ascii="Times New Roman" w:hAnsi="Times New Roman" w:cs="Times New Roman"/>
          <w:sz w:val="24"/>
          <w:szCs w:val="24"/>
          <w:lang w:val="en-US"/>
        </w:rPr>
        <w:t xml:space="preserve">79) </w:t>
      </w:r>
      <w:r>
        <w:rPr>
          <w:rFonts w:ascii="Times New Roman" w:hAnsi="Times New Roman" w:cs="Times New Roman"/>
          <w:sz w:val="24"/>
          <w:szCs w:val="24"/>
          <w:lang w:val="en-US"/>
        </w:rPr>
        <w:lastRenderedPageBreak/>
        <w:t xml:space="preserve">While the view expressed here resembles Kant’s postulate of immortality as based on moral duty and thus rests on the contrast between the moral demand and the contingency of nature, it need not lead to a postulate of immortality understood in a temporal sense. Rather, the absoluteness of the moral demand indicates that the empirical perspective on one’s life, now understood as the ways in which people as a matter of fact talk, act, and live, does not fully capture the normative force of the ethical demand. </w:t>
      </w:r>
    </w:p>
    <w:p w14:paraId="24040F65" w14:textId="77777777" w:rsidR="00385922" w:rsidRDefault="00385922" w:rsidP="0029178F">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 xml:space="preserve">Another example given by Wittgenstein is a dream someone has about the Last Judgment and then makes it instructive for his life. Comparing the case to an obvious miscalculation performed on a blackboard, Wittgenstein says: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There are cases where I’d say he is mad, or he’s making fun.’ But interestingly, he continues: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Then there might be cases where I look for an entirely different interpretation altogether. In order to see what the explanation is I should have to see the sum, to see in what way it is done, what he makes follow from it, what are the different circumstances under which he does it, etc.’ (LC</w:t>
      </w:r>
      <w:r w:rsidR="00F86CE7">
        <w:rPr>
          <w:rFonts w:ascii="Times New Roman" w:hAnsi="Times New Roman" w:cs="Times New Roman"/>
          <w:sz w:val="24"/>
          <w:szCs w:val="24"/>
          <w:lang w:val="en-US"/>
        </w:rPr>
        <w:t>:</w:t>
      </w:r>
      <w:r>
        <w:rPr>
          <w:rFonts w:ascii="Times New Roman" w:hAnsi="Times New Roman" w:cs="Times New Roman"/>
          <w:sz w:val="24"/>
          <w:szCs w:val="24"/>
          <w:lang w:val="en-US"/>
        </w:rPr>
        <w:t xml:space="preserve"> 62). Applied to the religious case, this would mean to look for what role </w:t>
      </w:r>
      <w:r w:rsidRPr="006C1DB2">
        <w:rPr>
          <w:rFonts w:ascii="Times New Roman" w:hAnsi="Times New Roman" w:cs="Times New Roman"/>
          <w:sz w:val="24"/>
          <w:szCs w:val="24"/>
          <w:lang w:val="en-US"/>
        </w:rPr>
        <w:t>the religious person gives to religious faith in his or her entire life, what kinds of choices the person makes based on it, and how these choices shape the person’s life as a whole.</w:t>
      </w:r>
      <w:r>
        <w:rPr>
          <w:rFonts w:ascii="Times New Roman" w:hAnsi="Times New Roman" w:cs="Times New Roman"/>
          <w:sz w:val="24"/>
          <w:szCs w:val="24"/>
          <w:lang w:val="en-US"/>
        </w:rPr>
        <w:t xml:space="preserve"> While phrased in terminology different from Wittgenstein’s early position, the view is not altogether different from that expressed in the </w:t>
      </w:r>
      <w:r>
        <w:rPr>
          <w:rFonts w:ascii="Times New Roman" w:hAnsi="Times New Roman" w:cs="Times New Roman"/>
          <w:i/>
          <w:sz w:val="24"/>
          <w:szCs w:val="24"/>
          <w:lang w:val="en-US"/>
        </w:rPr>
        <w:t xml:space="preserve">Tractatus </w:t>
      </w:r>
      <w:r>
        <w:rPr>
          <w:rFonts w:ascii="Times New Roman" w:hAnsi="Times New Roman" w:cs="Times New Roman"/>
          <w:sz w:val="24"/>
          <w:szCs w:val="24"/>
          <w:lang w:val="en-US"/>
        </w:rPr>
        <w:t xml:space="preserve">by reference to the difference between the worlds of the happy and the unhappy man, between one who sees one’s life as meaningful and the other who fails to see it as such. </w:t>
      </w:r>
    </w:p>
    <w:p w14:paraId="4ACF608B" w14:textId="77777777" w:rsidR="00385922" w:rsidRDefault="00385922" w:rsidP="0029178F">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The force of these examples as grounds for religious faith lies in the contextual understanding of the phenomenon. The explanation of a religious belief does not appeal to a principle or fact independent of the</w:t>
      </w:r>
      <w:r>
        <w:rPr>
          <w:rFonts w:ascii="Times New Roman" w:hAnsi="Times New Roman" w:cs="Times New Roman"/>
          <w:i/>
          <w:sz w:val="24"/>
          <w:szCs w:val="24"/>
          <w:lang w:val="en-US"/>
        </w:rPr>
        <w:t xml:space="preserve"> </w:t>
      </w:r>
      <w:r w:rsidRPr="0029178F">
        <w:rPr>
          <w:rFonts w:ascii="Times New Roman" w:hAnsi="Times New Roman" w:cs="Times New Roman"/>
          <w:sz w:val="24"/>
          <w:szCs w:val="24"/>
          <w:lang w:val="en-US"/>
        </w:rPr>
        <w:t>belief</w:t>
      </w:r>
      <w:r w:rsidRPr="0059719E">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itself, but rather aims at understanding it by placing it into a system – a mathematical system or a narrative of a life – within which it has a purpose. Hence, Wittgenstein claims: </w:t>
      </w:r>
      <w:r w:rsidR="00A27D6B">
        <w:rPr>
          <w:rFonts w:ascii="Times New Roman" w:hAnsi="Times New Roman" w:cs="Times New Roman"/>
          <w:sz w:val="24"/>
          <w:szCs w:val="24"/>
          <w:lang w:val="en-US"/>
        </w:rPr>
        <w:t>‘</w:t>
      </w:r>
      <w:r>
        <w:rPr>
          <w:rFonts w:ascii="Times New Roman" w:hAnsi="Times New Roman" w:cs="Times New Roman"/>
          <w:sz w:val="24"/>
          <w:szCs w:val="24"/>
          <w:lang w:val="en-US"/>
        </w:rPr>
        <w:t>If they do something very like one of our blunders, I would say, I don’t know. It depends on further surroundings of it’ (LC</w:t>
      </w:r>
      <w:r w:rsidR="00F86CE7">
        <w:rPr>
          <w:rFonts w:ascii="Times New Roman" w:hAnsi="Times New Roman" w:cs="Times New Roman"/>
          <w:sz w:val="24"/>
          <w:szCs w:val="24"/>
          <w:lang w:val="en-US"/>
        </w:rPr>
        <w:t>:</w:t>
      </w:r>
      <w:r>
        <w:rPr>
          <w:rFonts w:ascii="Times New Roman" w:hAnsi="Times New Roman" w:cs="Times New Roman"/>
          <w:sz w:val="24"/>
          <w:szCs w:val="24"/>
          <w:lang w:val="en-US"/>
        </w:rPr>
        <w:t xml:space="preserve"> 59). Moreover, in suggesting that the grounds for religious faith </w:t>
      </w:r>
      <w:r>
        <w:rPr>
          <w:rFonts w:ascii="Times New Roman" w:hAnsi="Times New Roman" w:cs="Times New Roman"/>
          <w:sz w:val="24"/>
          <w:szCs w:val="24"/>
          <w:lang w:val="en-US"/>
        </w:rPr>
        <w:lastRenderedPageBreak/>
        <w:t>arise out of the role the religious beliefs have in the believer’s life, Wittgenstein is in fact appealing to a model he evokes in relation to aesthetic judgments. In Wittgenstein’s view, aesthetic judgments are treated as normative in the sense that they are not mere subjective responses but make a claim to correctness or ev</w:t>
      </w:r>
      <w:r w:rsidR="00940589">
        <w:rPr>
          <w:rFonts w:ascii="Times New Roman" w:hAnsi="Times New Roman" w:cs="Times New Roman"/>
          <w:sz w:val="24"/>
          <w:szCs w:val="24"/>
          <w:lang w:val="en-US"/>
        </w:rPr>
        <w:t>en necessity (LC I: 8, 15; M 9:</w:t>
      </w:r>
      <w:r>
        <w:rPr>
          <w:rFonts w:ascii="Times New Roman" w:hAnsi="Times New Roman" w:cs="Times New Roman"/>
          <w:sz w:val="24"/>
          <w:szCs w:val="24"/>
          <w:lang w:val="en-US"/>
        </w:rPr>
        <w:t>39; CV</w:t>
      </w:r>
      <w:r w:rsidR="00F86CE7">
        <w:rPr>
          <w:rFonts w:ascii="Times New Roman" w:hAnsi="Times New Roman" w:cs="Times New Roman"/>
          <w:sz w:val="24"/>
          <w:szCs w:val="24"/>
          <w:lang w:val="en-US"/>
        </w:rPr>
        <w:t>:</w:t>
      </w:r>
      <w:r>
        <w:rPr>
          <w:rFonts w:ascii="Times New Roman" w:hAnsi="Times New Roman" w:cs="Times New Roman"/>
          <w:sz w:val="24"/>
          <w:szCs w:val="24"/>
          <w:lang w:val="en-US"/>
        </w:rPr>
        <w:t xml:space="preserve"> 65). However, while the rules of a given aesthetic field (like music) are constitutive for the possibility of the meaning and the understanding of music and may be evoked in aesthetic explanations and serve as standards of correctness, the aesthetic judgment cannot be exhaustively explained by reference to these rules. This is because in addition to being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drilled in harmony and counterpoint’, the possibility of aesthetic judgments also requires that one has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developed a feeling for the rules’ (LC I: 15, 17, II: 10–16; PI § 535). </w:t>
      </w:r>
    </w:p>
    <w:p w14:paraId="10B79FF2" w14:textId="19035CF6" w:rsidR="00385922" w:rsidRDefault="00385922" w:rsidP="0029178F">
      <w:pPr>
        <w:spacing w:after="0" w:line="480" w:lineRule="auto"/>
        <w:ind w:firstLine="567"/>
        <w:rPr>
          <w:rFonts w:ascii="Times New Roman" w:hAnsi="Times New Roman" w:cs="Times New Roman"/>
          <w:sz w:val="24"/>
          <w:szCs w:val="24"/>
          <w:lang w:val="en-US"/>
        </w:rPr>
      </w:pPr>
      <w:r>
        <w:rPr>
          <w:rFonts w:ascii="Times New Roman" w:hAnsi="Times New Roman" w:cs="Times New Roman"/>
          <w:sz w:val="24"/>
          <w:szCs w:val="24"/>
          <w:lang w:val="en-US"/>
        </w:rPr>
        <w:t>In Wittgenstein’s account, aesthetic explanations are not empirical</w:t>
      </w:r>
      <w:r w:rsidRPr="006C1DB2">
        <w:rPr>
          <w:rFonts w:ascii="Times New Roman" w:hAnsi="Times New Roman" w:cs="Times New Roman"/>
          <w:sz w:val="24"/>
          <w:szCs w:val="24"/>
          <w:lang w:val="en-US"/>
        </w:rPr>
        <w:t xml:space="preserve">, but </w:t>
      </w:r>
      <w:r w:rsidR="00A27D6B" w:rsidRPr="006C1DB2">
        <w:rPr>
          <w:rFonts w:ascii="Times New Roman" w:hAnsi="Times New Roman" w:cs="Times New Roman"/>
          <w:sz w:val="24"/>
          <w:szCs w:val="24"/>
          <w:lang w:val="en-US"/>
        </w:rPr>
        <w:t>‘</w:t>
      </w:r>
      <w:r w:rsidRPr="006C1DB2">
        <w:rPr>
          <w:rFonts w:ascii="Times New Roman" w:hAnsi="Times New Roman" w:cs="Times New Roman"/>
          <w:sz w:val="24"/>
          <w:szCs w:val="24"/>
          <w:lang w:val="en-US"/>
        </w:rPr>
        <w:t>grammatical’</w:t>
      </w:r>
      <w:r>
        <w:rPr>
          <w:rFonts w:ascii="Times New Roman" w:hAnsi="Times New Roman" w:cs="Times New Roman"/>
          <w:sz w:val="24"/>
          <w:szCs w:val="24"/>
          <w:lang w:val="en-US"/>
        </w:rPr>
        <w:t xml:space="preserve"> (LC II: 17–19, III: 7). They aim at showing how the pieces of an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aesthetic puzzle’ </w:t>
      </w:r>
      <w:r w:rsidR="00A27D6B">
        <w:rPr>
          <w:rFonts w:ascii="Times New Roman" w:hAnsi="Times New Roman" w:cs="Times New Roman"/>
          <w:sz w:val="24"/>
          <w:szCs w:val="24"/>
          <w:lang w:val="en-US"/>
        </w:rPr>
        <w:t>‘</w:t>
      </w:r>
      <w:r>
        <w:rPr>
          <w:rFonts w:ascii="Times New Roman" w:hAnsi="Times New Roman" w:cs="Times New Roman"/>
          <w:sz w:val="24"/>
          <w:szCs w:val="24"/>
          <w:lang w:val="en-US"/>
        </w:rPr>
        <w:t>click into place’ in such a way that one is satisfied (LC III: 1, 4). Hence, the kinds of reasons given in aesthetics are of the nature of further descriptions of the aesthetic system that aim at showing why the pieces of the aesthetic puzzle fit togethe</w:t>
      </w:r>
      <w:r w:rsidR="00940589">
        <w:rPr>
          <w:rFonts w:ascii="Times New Roman" w:hAnsi="Times New Roman" w:cs="Times New Roman"/>
          <w:sz w:val="24"/>
          <w:szCs w:val="24"/>
          <w:lang w:val="en-US"/>
        </w:rPr>
        <w:t>r to form a unified whole (M 9:30, 9:33–34, 9:40, 9:</w:t>
      </w:r>
      <w:r>
        <w:rPr>
          <w:rFonts w:ascii="Times New Roman" w:hAnsi="Times New Roman" w:cs="Times New Roman"/>
          <w:sz w:val="24"/>
          <w:szCs w:val="24"/>
          <w:lang w:val="en-US"/>
        </w:rPr>
        <w:t>47; LC III: 1–5).</w:t>
      </w:r>
      <w:r w:rsidRPr="00B73430">
        <w:rPr>
          <w:rStyle w:val="Loppuviitteenviite"/>
          <w:rFonts w:ascii="Times New Roman" w:hAnsi="Times New Roman" w:cs="Times New Roman"/>
          <w:sz w:val="20"/>
          <w:szCs w:val="20"/>
          <w:lang w:val="en-US"/>
        </w:rPr>
        <w:endnoteReference w:id="13"/>
      </w:r>
      <w:r>
        <w:rPr>
          <w:rFonts w:ascii="Times New Roman" w:hAnsi="Times New Roman" w:cs="Times New Roman"/>
          <w:sz w:val="24"/>
          <w:szCs w:val="24"/>
          <w:lang w:val="en-US"/>
        </w:rPr>
        <w:t xml:space="preserve"> Wittgenstein gives the following example: </w:t>
      </w:r>
      <w:r w:rsidR="00A27D6B">
        <w:rPr>
          <w:rFonts w:ascii="Times New Roman" w:hAnsi="Times New Roman" w:cs="Times New Roman"/>
          <w:sz w:val="24"/>
          <w:szCs w:val="24"/>
          <w:lang w:val="en-US"/>
        </w:rPr>
        <w:t>‘</w:t>
      </w:r>
      <w:r w:rsidR="00F86CE7">
        <w:rPr>
          <w:rFonts w:ascii="Times New Roman" w:hAnsi="Times New Roman" w:cs="Times New Roman"/>
          <w:sz w:val="24"/>
          <w:szCs w:val="24"/>
          <w:lang w:val="en-US"/>
        </w:rPr>
        <w:t>“</w:t>
      </w:r>
      <w:r>
        <w:rPr>
          <w:rFonts w:ascii="Times New Roman" w:hAnsi="Times New Roman" w:cs="Times New Roman"/>
          <w:sz w:val="24"/>
          <w:szCs w:val="24"/>
          <w:lang w:val="en-US"/>
        </w:rPr>
        <w:t>Why is this note absolutely necessary?</w:t>
      </w:r>
      <w:r w:rsidR="00F86CE7">
        <w:rPr>
          <w:rFonts w:ascii="Times New Roman" w:hAnsi="Times New Roman" w:cs="Times New Roman"/>
          <w:sz w:val="24"/>
          <w:szCs w:val="24"/>
          <w:lang w:val="en-US"/>
        </w:rPr>
        <w:t>”</w:t>
      </w:r>
      <w:r>
        <w:rPr>
          <w:rFonts w:ascii="Times New Roman" w:hAnsi="Times New Roman" w:cs="Times New Roman"/>
          <w:sz w:val="24"/>
          <w:szCs w:val="24"/>
          <w:lang w:val="en-US"/>
        </w:rPr>
        <w:t xml:space="preserve"> Explanation would look like this: If you wrote out the tune in chords, you would see to which chord the note belongs. I.e. it hints at placing side by side with the</w:t>
      </w:r>
      <w:r w:rsidR="00940589">
        <w:rPr>
          <w:rFonts w:ascii="Times New Roman" w:hAnsi="Times New Roman" w:cs="Times New Roman"/>
          <w:sz w:val="24"/>
          <w:szCs w:val="24"/>
          <w:lang w:val="en-US"/>
        </w:rPr>
        <w:t xml:space="preserve"> tune a certain chorale.’ (M 9:</w:t>
      </w:r>
      <w:r>
        <w:rPr>
          <w:rFonts w:ascii="Times New Roman" w:hAnsi="Times New Roman" w:cs="Times New Roman"/>
          <w:sz w:val="24"/>
          <w:szCs w:val="24"/>
          <w:lang w:val="en-US"/>
        </w:rPr>
        <w:t>39.) The aesthetic explanations given by comparison</w:t>
      </w:r>
      <w:r w:rsidR="003C4E3E">
        <w:rPr>
          <w:rFonts w:ascii="Times New Roman" w:hAnsi="Times New Roman" w:cs="Times New Roman"/>
          <w:sz w:val="24"/>
          <w:szCs w:val="24"/>
          <w:lang w:val="en-US"/>
        </w:rPr>
        <w:t>s</w:t>
      </w:r>
      <w:r>
        <w:rPr>
          <w:rFonts w:ascii="Times New Roman" w:hAnsi="Times New Roman" w:cs="Times New Roman"/>
          <w:sz w:val="24"/>
          <w:szCs w:val="24"/>
          <w:lang w:val="en-US"/>
        </w:rPr>
        <w:t xml:space="preserve"> and further descriptions thus aim at showing how the note completes the chord or how a church</w:t>
      </w:r>
      <w:r w:rsidR="00940589">
        <w:rPr>
          <w:rFonts w:ascii="Times New Roman" w:hAnsi="Times New Roman" w:cs="Times New Roman"/>
          <w:sz w:val="24"/>
          <w:szCs w:val="24"/>
          <w:lang w:val="en-US"/>
        </w:rPr>
        <w:t xml:space="preserve"> mode comes to an end (see M 9:</w:t>
      </w:r>
      <w:r>
        <w:rPr>
          <w:rFonts w:ascii="Times New Roman" w:hAnsi="Times New Roman" w:cs="Times New Roman"/>
          <w:sz w:val="24"/>
          <w:szCs w:val="24"/>
          <w:lang w:val="en-US"/>
        </w:rPr>
        <w:t xml:space="preserve">41; PI § 535). </w:t>
      </w:r>
      <w:bookmarkStart w:id="1" w:name="_Hlk485372656"/>
      <w:r>
        <w:rPr>
          <w:rFonts w:ascii="Times New Roman" w:hAnsi="Times New Roman" w:cs="Times New Roman"/>
          <w:sz w:val="24"/>
          <w:szCs w:val="24"/>
          <w:lang w:val="en-US"/>
        </w:rPr>
        <w:t xml:space="preserve">In fact, in the 1930s, Wittgenstein suggests that, in addition to approaching meaning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discursively’ as a calculus that may be taught to another, there is also an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intuitive’ way of approaching meaning. This means </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taking something in as a whole at a glance’, </w:t>
      </w:r>
      <w:r w:rsidR="00A27D6B">
        <w:rPr>
          <w:rFonts w:ascii="Times New Roman" w:hAnsi="Times New Roman" w:cs="Times New Roman"/>
          <w:sz w:val="24"/>
          <w:szCs w:val="24"/>
          <w:lang w:val="en-US"/>
        </w:rPr>
        <w:t>‘</w:t>
      </w:r>
      <w:r>
        <w:rPr>
          <w:rFonts w:ascii="Times New Roman" w:hAnsi="Times New Roman" w:cs="Times New Roman"/>
          <w:sz w:val="24"/>
          <w:szCs w:val="24"/>
          <w:lang w:val="en-US"/>
        </w:rPr>
        <w:t>overlook</w:t>
      </w:r>
      <w:r w:rsidR="00940589">
        <w:rPr>
          <w:rFonts w:ascii="Times New Roman" w:hAnsi="Times New Roman" w:cs="Times New Roman"/>
          <w:sz w:val="24"/>
          <w:szCs w:val="24"/>
          <w:lang w:val="en-US"/>
        </w:rPr>
        <w:t>ing a system at a glance’ (M 8:59, 9:</w:t>
      </w:r>
      <w:r>
        <w:rPr>
          <w:rFonts w:ascii="Times New Roman" w:hAnsi="Times New Roman" w:cs="Times New Roman"/>
          <w:sz w:val="24"/>
          <w:szCs w:val="24"/>
          <w:lang w:val="en-US"/>
        </w:rPr>
        <w:t>38). Moreover, while the majority of examples of this latter perspective deal with grammatical system</w:t>
      </w:r>
      <w:r w:rsidR="003C4E3E">
        <w:rPr>
          <w:rFonts w:ascii="Times New Roman" w:hAnsi="Times New Roman" w:cs="Times New Roman"/>
          <w:sz w:val="24"/>
          <w:szCs w:val="24"/>
          <w:lang w:val="en-US"/>
        </w:rPr>
        <w:t>s</w:t>
      </w:r>
      <w:r>
        <w:rPr>
          <w:rFonts w:ascii="Times New Roman" w:hAnsi="Times New Roman" w:cs="Times New Roman"/>
          <w:sz w:val="24"/>
          <w:szCs w:val="24"/>
          <w:lang w:val="en-US"/>
        </w:rPr>
        <w:t xml:space="preserve">, Wittgenstein evokes the notion of a system and the possibility of </w:t>
      </w:r>
      <w:r w:rsidR="00A27D6B">
        <w:rPr>
          <w:rFonts w:ascii="Times New Roman" w:hAnsi="Times New Roman" w:cs="Times New Roman"/>
          <w:sz w:val="24"/>
          <w:szCs w:val="24"/>
          <w:lang w:val="en-US"/>
        </w:rPr>
        <w:t>‘</w:t>
      </w:r>
      <w:r>
        <w:rPr>
          <w:rFonts w:ascii="Times New Roman" w:hAnsi="Times New Roman" w:cs="Times New Roman"/>
          <w:sz w:val="24"/>
          <w:szCs w:val="24"/>
          <w:lang w:val="en-US"/>
        </w:rPr>
        <w:t>overlooking’ it in relation to aestheti</w:t>
      </w:r>
      <w:r w:rsidR="00940589">
        <w:rPr>
          <w:rFonts w:ascii="Times New Roman" w:hAnsi="Times New Roman" w:cs="Times New Roman"/>
          <w:sz w:val="24"/>
          <w:szCs w:val="24"/>
          <w:lang w:val="en-US"/>
        </w:rPr>
        <w:t>c judgements as well (M 9:</w:t>
      </w:r>
      <w:r>
        <w:rPr>
          <w:rFonts w:ascii="Times New Roman" w:hAnsi="Times New Roman" w:cs="Times New Roman"/>
          <w:sz w:val="24"/>
          <w:szCs w:val="24"/>
          <w:lang w:val="en-US"/>
        </w:rPr>
        <w:t>33, 9:40).</w:t>
      </w:r>
      <w:bookmarkEnd w:id="1"/>
    </w:p>
    <w:p w14:paraId="6F7FCC85" w14:textId="77777777" w:rsidR="00385922" w:rsidRPr="00F473BE" w:rsidRDefault="00385922" w:rsidP="0029178F">
      <w:pPr>
        <w:spacing w:after="0" w:line="480" w:lineRule="auto"/>
        <w:ind w:firstLine="567"/>
        <w:rPr>
          <w:rFonts w:ascii="Times New Roman" w:hAnsi="Times New Roman" w:cs="Times New Roman"/>
          <w:b/>
          <w:sz w:val="24"/>
          <w:szCs w:val="24"/>
          <w:lang w:val="en-US"/>
        </w:rPr>
      </w:pPr>
      <w:r>
        <w:rPr>
          <w:rFonts w:ascii="Times New Roman" w:hAnsi="Times New Roman" w:cs="Times New Roman"/>
          <w:sz w:val="24"/>
          <w:szCs w:val="24"/>
          <w:lang w:val="en-US"/>
        </w:rPr>
        <w:lastRenderedPageBreak/>
        <w:t xml:space="preserve">Interestingly, however, Wittgenstein writes: </w:t>
      </w:r>
      <w:r w:rsidR="00A27D6B">
        <w:rPr>
          <w:rFonts w:ascii="Times New Roman" w:hAnsi="Times New Roman" w:cs="Times New Roman"/>
          <w:sz w:val="24"/>
          <w:szCs w:val="24"/>
          <w:lang w:val="en-US"/>
        </w:rPr>
        <w:t>‘</w:t>
      </w:r>
      <w:r>
        <w:rPr>
          <w:rFonts w:ascii="Times New Roman" w:hAnsi="Times New Roman" w:cs="Times New Roman"/>
          <w:sz w:val="24"/>
          <w:szCs w:val="24"/>
          <w:lang w:val="en-US"/>
        </w:rPr>
        <w:t>We are again and again using this simile of something clicking and fitting, when really there is nothing that clicks or that fits anything’ (LC III: 5). One way to understand this remark is to take it as a variation of the Kantian principle of purposiveness without objective purpose, which I suggested is the core of Wittgenstein’s early solution to the problem of life, namely, the sub specie aeternitatis perspective shared by ethics and aesthetics. W</w:t>
      </w:r>
      <w:r w:rsidRPr="0029178F">
        <w:rPr>
          <w:rFonts w:ascii="Times New Roman" w:hAnsi="Times New Roman" w:cs="Times New Roman"/>
          <w:sz w:val="24"/>
          <w:szCs w:val="24"/>
          <w:lang w:val="en-US"/>
        </w:rPr>
        <w:t xml:space="preserve">hile it is possible to appeal to the rules of an aesthetic system in explaining one’s aesthetic judgment </w:t>
      </w:r>
      <w:r>
        <w:rPr>
          <w:rFonts w:ascii="Times New Roman" w:hAnsi="Times New Roman" w:cs="Times New Roman"/>
          <w:sz w:val="24"/>
          <w:szCs w:val="24"/>
          <w:lang w:val="en-US"/>
        </w:rPr>
        <w:t xml:space="preserve">– </w:t>
      </w:r>
      <w:r w:rsidRPr="0029178F">
        <w:rPr>
          <w:rFonts w:ascii="Times New Roman" w:hAnsi="Times New Roman" w:cs="Times New Roman"/>
          <w:sz w:val="24"/>
          <w:szCs w:val="24"/>
          <w:lang w:val="en-US"/>
        </w:rPr>
        <w:t xml:space="preserve">just as the believer may cite the creed or quote </w:t>
      </w:r>
      <w:r>
        <w:rPr>
          <w:rFonts w:ascii="Times New Roman" w:hAnsi="Times New Roman" w:cs="Times New Roman"/>
          <w:sz w:val="24"/>
          <w:szCs w:val="24"/>
          <w:lang w:val="en-US"/>
        </w:rPr>
        <w:t>the</w:t>
      </w:r>
      <w:r w:rsidRPr="0029178F">
        <w:rPr>
          <w:rFonts w:ascii="Times New Roman" w:hAnsi="Times New Roman" w:cs="Times New Roman"/>
          <w:sz w:val="24"/>
          <w:szCs w:val="24"/>
          <w:lang w:val="en-US"/>
        </w:rPr>
        <w:t xml:space="preserve"> Church </w:t>
      </w:r>
      <w:r>
        <w:rPr>
          <w:rFonts w:ascii="Times New Roman" w:hAnsi="Times New Roman" w:cs="Times New Roman"/>
          <w:sz w:val="24"/>
          <w:szCs w:val="24"/>
          <w:lang w:val="en-US"/>
        </w:rPr>
        <w:t>F</w:t>
      </w:r>
      <w:r w:rsidRPr="0029178F">
        <w:rPr>
          <w:rFonts w:ascii="Times New Roman" w:hAnsi="Times New Roman" w:cs="Times New Roman"/>
          <w:sz w:val="24"/>
          <w:szCs w:val="24"/>
          <w:lang w:val="en-US"/>
        </w:rPr>
        <w:t>ather</w:t>
      </w:r>
      <w:r>
        <w:rPr>
          <w:rFonts w:ascii="Times New Roman" w:hAnsi="Times New Roman" w:cs="Times New Roman"/>
          <w:sz w:val="24"/>
          <w:szCs w:val="24"/>
          <w:lang w:val="en-US"/>
        </w:rPr>
        <w:t>s to explain her religious beliefs –</w:t>
      </w:r>
      <w:r w:rsidRPr="0029178F">
        <w:rPr>
          <w:rFonts w:ascii="Times New Roman" w:hAnsi="Times New Roman" w:cs="Times New Roman"/>
          <w:sz w:val="24"/>
          <w:szCs w:val="24"/>
          <w:lang w:val="en-US"/>
        </w:rPr>
        <w:t xml:space="preserve"> or explain one’s judgment by comparing it with something else, these explanations do not force another person to accept the judgment. As Wittgenstein writes: </w:t>
      </w:r>
      <w:r w:rsidR="00A27D6B">
        <w:rPr>
          <w:rFonts w:ascii="Times New Roman" w:hAnsi="Times New Roman" w:cs="Times New Roman"/>
          <w:sz w:val="24"/>
          <w:szCs w:val="24"/>
          <w:lang w:val="en-US"/>
        </w:rPr>
        <w:t>‘</w:t>
      </w:r>
      <w:r w:rsidRPr="0029178F">
        <w:rPr>
          <w:rFonts w:ascii="Times New Roman" w:hAnsi="Times New Roman" w:cs="Times New Roman"/>
          <w:sz w:val="24"/>
          <w:szCs w:val="24"/>
          <w:lang w:val="en-US"/>
        </w:rPr>
        <w:t xml:space="preserve">Above all he did not have to </w:t>
      </w:r>
      <w:r w:rsidRPr="0029178F">
        <w:rPr>
          <w:rFonts w:ascii="Times New Roman" w:hAnsi="Times New Roman" w:cs="Times New Roman"/>
          <w:i/>
          <w:sz w:val="24"/>
          <w:szCs w:val="24"/>
          <w:lang w:val="en-US"/>
        </w:rPr>
        <w:t>accept</w:t>
      </w:r>
      <w:r w:rsidRPr="0029178F">
        <w:rPr>
          <w:rFonts w:ascii="Times New Roman" w:hAnsi="Times New Roman" w:cs="Times New Roman"/>
          <w:sz w:val="24"/>
          <w:szCs w:val="24"/>
          <w:lang w:val="en-US"/>
        </w:rPr>
        <w:t xml:space="preserve"> the explanation; it is not after all as though I had given him compelling reasons for comparing this passage with this &amp; that</w:t>
      </w:r>
      <w:r>
        <w:rPr>
          <w:rFonts w:ascii="Times New Roman" w:hAnsi="Times New Roman" w:cs="Times New Roman"/>
          <w:sz w:val="24"/>
          <w:szCs w:val="24"/>
          <w:lang w:val="en-US"/>
        </w:rPr>
        <w:t>’</w:t>
      </w:r>
      <w:r w:rsidRPr="0029178F">
        <w:rPr>
          <w:rFonts w:ascii="Times New Roman" w:hAnsi="Times New Roman" w:cs="Times New Roman"/>
          <w:sz w:val="24"/>
          <w:szCs w:val="24"/>
          <w:lang w:val="en-US"/>
        </w:rPr>
        <w:t xml:space="preserve"> (CV</w:t>
      </w:r>
      <w:r w:rsidR="00F86CE7">
        <w:rPr>
          <w:rFonts w:ascii="Times New Roman" w:hAnsi="Times New Roman" w:cs="Times New Roman"/>
          <w:sz w:val="24"/>
          <w:szCs w:val="24"/>
          <w:lang w:val="en-US"/>
        </w:rPr>
        <w:t>:</w:t>
      </w:r>
      <w:r w:rsidRPr="0029178F">
        <w:rPr>
          <w:rFonts w:ascii="Times New Roman" w:hAnsi="Times New Roman" w:cs="Times New Roman"/>
          <w:sz w:val="24"/>
          <w:szCs w:val="24"/>
          <w:lang w:val="en-US"/>
        </w:rPr>
        <w:t xml:space="preserve"> 79). </w:t>
      </w:r>
      <w:r w:rsidRPr="00F473BE">
        <w:rPr>
          <w:rFonts w:ascii="Times New Roman" w:hAnsi="Times New Roman" w:cs="Times New Roman"/>
          <w:sz w:val="24"/>
          <w:szCs w:val="24"/>
          <w:lang w:val="en-US"/>
        </w:rPr>
        <w:t>A</w:t>
      </w:r>
      <w:r>
        <w:rPr>
          <w:rFonts w:ascii="Times New Roman" w:hAnsi="Times New Roman" w:cs="Times New Roman"/>
          <w:sz w:val="24"/>
          <w:szCs w:val="24"/>
          <w:lang w:val="en-US"/>
        </w:rPr>
        <w:t>nd a</w:t>
      </w:r>
      <w:r w:rsidRPr="00F473BE">
        <w:rPr>
          <w:rFonts w:ascii="Times New Roman" w:hAnsi="Times New Roman" w:cs="Times New Roman"/>
          <w:sz w:val="24"/>
          <w:szCs w:val="24"/>
          <w:lang w:val="en-US"/>
        </w:rPr>
        <w:t xml:space="preserve">gain: </w:t>
      </w:r>
      <w:r w:rsidR="00A27D6B">
        <w:rPr>
          <w:rFonts w:ascii="Times New Roman" w:hAnsi="Times New Roman" w:cs="Times New Roman"/>
          <w:sz w:val="24"/>
          <w:szCs w:val="24"/>
          <w:lang w:val="en-US"/>
        </w:rPr>
        <w:t>‘</w:t>
      </w:r>
      <w:r w:rsidRPr="00F473BE">
        <w:rPr>
          <w:rFonts w:ascii="Times New Roman" w:hAnsi="Times New Roman" w:cs="Times New Roman"/>
          <w:sz w:val="24"/>
          <w:szCs w:val="24"/>
          <w:lang w:val="en-US"/>
        </w:rPr>
        <w:t>A solution must speak for itself. If when I’ve made you see what I see, it doesn’t appeal to y</w:t>
      </w:r>
      <w:r w:rsidR="00940589">
        <w:rPr>
          <w:rFonts w:ascii="Times New Roman" w:hAnsi="Times New Roman" w:cs="Times New Roman"/>
          <w:sz w:val="24"/>
          <w:szCs w:val="24"/>
          <w:lang w:val="en-US"/>
        </w:rPr>
        <w:t>ou, there is an end.’ (M 9:</w:t>
      </w:r>
      <w:r>
        <w:rPr>
          <w:rFonts w:ascii="Times New Roman" w:hAnsi="Times New Roman" w:cs="Times New Roman"/>
          <w:sz w:val="24"/>
          <w:szCs w:val="24"/>
          <w:lang w:val="en-US"/>
        </w:rPr>
        <w:t>31.)</w:t>
      </w:r>
    </w:p>
    <w:p w14:paraId="14D600B5" w14:textId="77777777" w:rsidR="00385922" w:rsidRDefault="00F86CE7" w:rsidP="00520F75">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T</w:t>
      </w:r>
      <w:r w:rsidR="00385922">
        <w:rPr>
          <w:rFonts w:ascii="Times New Roman" w:hAnsi="Times New Roman" w:cs="Times New Roman"/>
          <w:sz w:val="24"/>
          <w:szCs w:val="24"/>
          <w:lang w:val="en-US"/>
        </w:rPr>
        <w:t xml:space="preserve">he point seems to be that, while one cannot justify the necessity of the note discursively, say, by appeal to a principle independent of the musical system itself, one may nonetheless </w:t>
      </w:r>
      <w:r w:rsidR="00385922" w:rsidRPr="008B5E3A">
        <w:rPr>
          <w:rFonts w:ascii="Times New Roman" w:hAnsi="Times New Roman" w:cs="Times New Roman"/>
          <w:i/>
          <w:sz w:val="24"/>
          <w:szCs w:val="24"/>
          <w:lang w:val="en-US"/>
        </w:rPr>
        <w:t>feel</w:t>
      </w:r>
      <w:r w:rsidR="00385922">
        <w:rPr>
          <w:rFonts w:ascii="Times New Roman" w:hAnsi="Times New Roman" w:cs="Times New Roman"/>
          <w:sz w:val="24"/>
          <w:szCs w:val="24"/>
          <w:lang w:val="en-US"/>
        </w:rPr>
        <w:t xml:space="preserve"> its necessity when heard in the context of the musical theme as an organized whole (LC I: 15; PI § 535). Similarly, in order to see how faith may indeed </w:t>
      </w:r>
      <w:r w:rsidR="00A27D6B">
        <w:rPr>
          <w:rFonts w:ascii="Times New Roman" w:hAnsi="Times New Roman" w:cs="Times New Roman"/>
          <w:sz w:val="24"/>
          <w:szCs w:val="24"/>
          <w:lang w:val="en-US"/>
        </w:rPr>
        <w:t>‘</w:t>
      </w:r>
      <w:r w:rsidR="00385922">
        <w:rPr>
          <w:rFonts w:ascii="Times New Roman" w:hAnsi="Times New Roman" w:cs="Times New Roman"/>
          <w:sz w:val="24"/>
          <w:szCs w:val="24"/>
          <w:lang w:val="en-US"/>
        </w:rPr>
        <w:t>regulate for all in [one’s] life’ in spite of lacking an empirical or historical foundation, we have to place it in the context of a life (LC</w:t>
      </w: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54). Wittgenstein writes, </w:t>
      </w:r>
      <w:r w:rsidR="00A27D6B">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religious belief could only be (something like) passionately committing oneself to a </w:t>
      </w:r>
      <w:r w:rsidR="00385922" w:rsidRPr="00C133F8">
        <w:rPr>
          <w:rFonts w:ascii="Times New Roman" w:hAnsi="Times New Roman" w:cs="Times New Roman"/>
          <w:i/>
          <w:sz w:val="24"/>
          <w:szCs w:val="24"/>
          <w:lang w:val="en-US"/>
        </w:rPr>
        <w:t>system</w:t>
      </w:r>
      <w:r w:rsidR="00385922">
        <w:rPr>
          <w:rFonts w:ascii="Times New Roman" w:hAnsi="Times New Roman" w:cs="Times New Roman"/>
          <w:sz w:val="24"/>
          <w:szCs w:val="24"/>
          <w:lang w:val="en-US"/>
        </w:rPr>
        <w:t xml:space="preserve"> of coordinates. Hence, although it’s belief, it’s really a way of living, or </w:t>
      </w:r>
      <w:r w:rsidR="00385922" w:rsidRPr="00CB252E">
        <w:rPr>
          <w:rFonts w:ascii="Times New Roman" w:hAnsi="Times New Roman" w:cs="Times New Roman"/>
          <w:i/>
          <w:sz w:val="24"/>
          <w:szCs w:val="24"/>
          <w:lang w:val="en-US"/>
        </w:rPr>
        <w:t>a way of judging life</w:t>
      </w:r>
      <w:r w:rsidR="00385922">
        <w:rPr>
          <w:rFonts w:ascii="Times New Roman" w:hAnsi="Times New Roman" w:cs="Times New Roman"/>
          <w:sz w:val="24"/>
          <w:szCs w:val="24"/>
          <w:lang w:val="en-US"/>
        </w:rPr>
        <w:t>’ (CV</w:t>
      </w: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73, emphases added). The way of judging life in question, i.e., the sense of understanding Wittgenstein claims he himself is missing, takes the form of reflective judgment as outlined by Kant and evoked by the early Wittgenstein (cf. LC</w:t>
      </w: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55). This is to say that the grounds for faith arise out of a perspective on one’s life as a limited whole, a perspective that the early Wittgenstein described as one that shows life </w:t>
      </w:r>
      <w:r w:rsidR="00385922">
        <w:rPr>
          <w:rFonts w:ascii="Times New Roman" w:hAnsi="Times New Roman" w:cs="Times New Roman"/>
          <w:i/>
          <w:sz w:val="24"/>
          <w:szCs w:val="24"/>
          <w:lang w:val="en-US"/>
        </w:rPr>
        <w:t xml:space="preserve">sub specie aeternitatis </w:t>
      </w:r>
      <w:r w:rsidR="00385922">
        <w:rPr>
          <w:rFonts w:ascii="Times New Roman" w:hAnsi="Times New Roman" w:cs="Times New Roman"/>
          <w:sz w:val="24"/>
          <w:szCs w:val="24"/>
          <w:lang w:val="en-US"/>
        </w:rPr>
        <w:t>and identified as the common core of ethics, aesthetics, and religion (NB</w:t>
      </w: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83; TLP 6.45</w:t>
      </w:r>
      <w:r w:rsidR="00385922" w:rsidRPr="008B5E3A">
        <w:rPr>
          <w:rStyle w:val="Loppuviitteenviite"/>
          <w:rFonts w:ascii="Times New Roman" w:hAnsi="Times New Roman" w:cs="Times New Roman"/>
          <w:sz w:val="20"/>
          <w:szCs w:val="20"/>
          <w:lang w:val="en-US"/>
        </w:rPr>
        <w:endnoteReference w:id="14"/>
      </w:r>
      <w:r w:rsidR="00385922">
        <w:rPr>
          <w:rFonts w:ascii="Times New Roman" w:hAnsi="Times New Roman" w:cs="Times New Roman"/>
          <w:sz w:val="24"/>
          <w:szCs w:val="24"/>
          <w:lang w:val="en-US"/>
        </w:rPr>
        <w:t xml:space="preserve">). </w:t>
      </w:r>
    </w:p>
    <w:p w14:paraId="70E5D2ED" w14:textId="77777777" w:rsidR="00385922" w:rsidRDefault="00385922" w:rsidP="00A82D84">
      <w:pPr>
        <w:spacing w:after="0" w:line="480" w:lineRule="auto"/>
        <w:ind w:firstLine="850"/>
        <w:rPr>
          <w:rFonts w:ascii="Times New Roman" w:hAnsi="Times New Roman" w:cs="Times New Roman"/>
          <w:sz w:val="24"/>
          <w:szCs w:val="24"/>
          <w:lang w:val="en-US"/>
        </w:rPr>
      </w:pPr>
      <w:r>
        <w:rPr>
          <w:rFonts w:ascii="Times New Roman" w:hAnsi="Times New Roman" w:cs="Times New Roman"/>
          <w:sz w:val="24"/>
          <w:szCs w:val="24"/>
          <w:lang w:val="en-US"/>
        </w:rPr>
        <w:lastRenderedPageBreak/>
        <w:t>Consider Wittgenstein personal diary note from 1930:</w:t>
      </w:r>
    </w:p>
    <w:p w14:paraId="3BD9D0A0" w14:textId="77777777" w:rsidR="00385922" w:rsidRDefault="00A27D6B">
      <w:pPr>
        <w:spacing w:after="0" w:line="480" w:lineRule="auto"/>
        <w:ind w:left="850"/>
        <w:rPr>
          <w:rFonts w:ascii="Times New Roman" w:hAnsi="Times New Roman" w:cs="Times New Roman"/>
          <w:sz w:val="24"/>
          <w:szCs w:val="24"/>
          <w:lang w:val="en-US"/>
        </w:rPr>
      </w:pPr>
      <w:r>
        <w:rPr>
          <w:rFonts w:ascii="Times New Roman" w:hAnsi="Times New Roman" w:cs="Times New Roman"/>
          <w:sz w:val="24"/>
          <w:szCs w:val="24"/>
          <w:lang w:val="en-US"/>
        </w:rPr>
        <w:t>‘</w:t>
      </w:r>
      <w:r w:rsidR="00385922">
        <w:rPr>
          <w:rFonts w:ascii="Times New Roman" w:hAnsi="Times New Roman" w:cs="Times New Roman"/>
          <w:sz w:val="24"/>
          <w:szCs w:val="24"/>
          <w:lang w:val="en-US"/>
        </w:rPr>
        <w:t>Engelmann told me that when he rummages round at home in a drawer full of his own manuscripts, they strike him as so glorious that he thinks they would be worth presenting to other people. But when he imagines a selection of them published he said that the whole business loses its charm &amp; value &amp; becomes impossible.’</w:t>
      </w:r>
    </w:p>
    <w:p w14:paraId="2E254DC9" w14:textId="77777777" w:rsidR="00385922" w:rsidRDefault="00385922" w:rsidP="0029178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According to Wittgenstein, the case is as follows: </w:t>
      </w:r>
    </w:p>
    <w:p w14:paraId="6825F2AE" w14:textId="77777777" w:rsidR="00385922" w:rsidRDefault="00A27D6B" w:rsidP="0029178F">
      <w:pPr>
        <w:spacing w:after="0" w:line="480" w:lineRule="auto"/>
        <w:ind w:left="850"/>
        <w:rPr>
          <w:rFonts w:ascii="Times New Roman" w:hAnsi="Times New Roman" w:cs="Times New Roman"/>
          <w:b/>
          <w:sz w:val="24"/>
          <w:szCs w:val="24"/>
          <w:lang w:val="en-US"/>
        </w:rPr>
      </w:pPr>
      <w:r>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When Engelmann looks at his writings and finds them splendid … he is seeing his life as God’s work of art &amp; and as such it is certainly worth contemplating, as is every life &amp; everything whatever. But only the artist can represent the individual thing so that it appears to us as a work of art; those manuscripts </w:t>
      </w:r>
      <w:r w:rsidR="00385922">
        <w:rPr>
          <w:rFonts w:ascii="Times New Roman" w:hAnsi="Times New Roman" w:cs="Times New Roman"/>
          <w:i/>
          <w:sz w:val="24"/>
          <w:szCs w:val="24"/>
          <w:lang w:val="en-US"/>
        </w:rPr>
        <w:t xml:space="preserve">rightly </w:t>
      </w:r>
      <w:r w:rsidR="00385922">
        <w:rPr>
          <w:rFonts w:ascii="Times New Roman" w:hAnsi="Times New Roman" w:cs="Times New Roman"/>
          <w:sz w:val="24"/>
          <w:szCs w:val="24"/>
          <w:lang w:val="en-US"/>
        </w:rPr>
        <w:t xml:space="preserve">lose their value if we contemplate them singly &amp; in any case without </w:t>
      </w:r>
      <w:r w:rsidR="00385922">
        <w:rPr>
          <w:rFonts w:ascii="Times New Roman" w:hAnsi="Times New Roman" w:cs="Times New Roman"/>
          <w:i/>
          <w:sz w:val="24"/>
          <w:szCs w:val="24"/>
          <w:lang w:val="en-US"/>
        </w:rPr>
        <w:t>prejudice</w:t>
      </w:r>
      <w:r w:rsidR="00385922">
        <w:rPr>
          <w:rFonts w:ascii="Times New Roman" w:hAnsi="Times New Roman" w:cs="Times New Roman"/>
          <w:sz w:val="24"/>
          <w:szCs w:val="24"/>
          <w:lang w:val="en-US"/>
        </w:rPr>
        <w:t xml:space="preserve">, i.e. without being enthusiastic about them in advance. The work of art compels us – as one might say – to see it in the </w:t>
      </w:r>
      <w:r w:rsidR="00385922">
        <w:rPr>
          <w:rFonts w:ascii="Times New Roman" w:hAnsi="Times New Roman" w:cs="Times New Roman"/>
          <w:i/>
          <w:sz w:val="24"/>
          <w:szCs w:val="24"/>
          <w:lang w:val="en-US"/>
        </w:rPr>
        <w:t xml:space="preserve">right </w:t>
      </w:r>
      <w:r w:rsidR="00385922">
        <w:rPr>
          <w:rFonts w:ascii="Times New Roman" w:hAnsi="Times New Roman" w:cs="Times New Roman"/>
          <w:sz w:val="24"/>
          <w:szCs w:val="24"/>
          <w:lang w:val="en-US"/>
        </w:rPr>
        <w:t xml:space="preserve">perspective, but without art the object is a piece of nature like any other &amp; the fact that </w:t>
      </w:r>
      <w:r w:rsidR="00385922">
        <w:rPr>
          <w:rFonts w:ascii="Times New Roman" w:hAnsi="Times New Roman" w:cs="Times New Roman"/>
          <w:i/>
          <w:sz w:val="24"/>
          <w:szCs w:val="24"/>
          <w:lang w:val="en-US"/>
        </w:rPr>
        <w:t xml:space="preserve">we </w:t>
      </w:r>
      <w:r w:rsidR="00385922">
        <w:rPr>
          <w:rFonts w:ascii="Times New Roman" w:hAnsi="Times New Roman" w:cs="Times New Roman"/>
          <w:sz w:val="24"/>
          <w:szCs w:val="24"/>
          <w:lang w:val="en-US"/>
        </w:rPr>
        <w:t>may exalt it through our enthusiasm does not give anyone the right to display it to us.’ (CV</w:t>
      </w:r>
      <w:r w:rsidR="00F86CE7">
        <w:rPr>
          <w:rFonts w:ascii="Times New Roman" w:hAnsi="Times New Roman" w:cs="Times New Roman"/>
          <w:sz w:val="24"/>
          <w:szCs w:val="24"/>
          <w:lang w:val="en-US"/>
        </w:rPr>
        <w:t>:</w:t>
      </w:r>
      <w:r w:rsidR="00385922">
        <w:rPr>
          <w:rFonts w:ascii="Times New Roman" w:hAnsi="Times New Roman" w:cs="Times New Roman"/>
          <w:sz w:val="24"/>
          <w:szCs w:val="24"/>
          <w:lang w:val="en-US"/>
        </w:rPr>
        <w:t xml:space="preserve"> 6–7.)</w:t>
      </w:r>
    </w:p>
    <w:p w14:paraId="12DBF52D" w14:textId="77777777" w:rsidR="00385922" w:rsidRDefault="00385922" w:rsidP="0029178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Here, Wittgenstein is explicitly appealing to the aesthetic perspective as the</w:t>
      </w:r>
      <w:r w:rsidRPr="003B3A78">
        <w:rPr>
          <w:rFonts w:ascii="Times New Roman" w:hAnsi="Times New Roman" w:cs="Times New Roman"/>
          <w:sz w:val="24"/>
          <w:szCs w:val="24"/>
          <w:lang w:val="en-US"/>
        </w:rPr>
        <w:t xml:space="preserve"> </w:t>
      </w:r>
      <w:r w:rsidR="00A27D6B">
        <w:rPr>
          <w:rFonts w:ascii="Times New Roman" w:hAnsi="Times New Roman" w:cs="Times New Roman"/>
          <w:sz w:val="24"/>
          <w:szCs w:val="24"/>
          <w:lang w:val="en-US"/>
        </w:rPr>
        <w:t>‘</w:t>
      </w:r>
      <w:r w:rsidRPr="003B3A78">
        <w:rPr>
          <w:rFonts w:ascii="Times New Roman" w:hAnsi="Times New Roman" w:cs="Times New Roman"/>
          <w:sz w:val="24"/>
          <w:szCs w:val="24"/>
          <w:lang w:val="en-US"/>
        </w:rPr>
        <w:t>right</w:t>
      </w:r>
      <w:r>
        <w:rPr>
          <w:rFonts w:ascii="Times New Roman" w:hAnsi="Times New Roman" w:cs="Times New Roman"/>
          <w:sz w:val="24"/>
          <w:szCs w:val="24"/>
          <w:lang w:val="en-US"/>
        </w:rPr>
        <w:t>’</w:t>
      </w:r>
      <w:r w:rsidRPr="003B3A78">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perspective on life, which allows us to overcome the facts constituting that life as mere facts. Seen as an aggregate of natural facts, life has no value. However, it is possible to see the very same facts as a worth contemplating, as if their totality were God’s work of art, a purposive whole even when we cannot state what that purpose might be. </w:t>
      </w:r>
    </w:p>
    <w:p w14:paraId="1B596B68" w14:textId="77777777" w:rsidR="00F66E76" w:rsidRDefault="00385922" w:rsidP="00F66E76">
      <w:pPr>
        <w:spacing w:after="0" w:line="480" w:lineRule="auto"/>
        <w:ind w:firstLine="851"/>
        <w:rPr>
          <w:rFonts w:ascii="Times New Roman" w:hAnsi="Times New Roman" w:cs="Times New Roman"/>
          <w:sz w:val="24"/>
          <w:szCs w:val="24"/>
          <w:lang w:val="en-US"/>
        </w:rPr>
      </w:pPr>
      <w:r>
        <w:rPr>
          <w:rFonts w:ascii="Times New Roman" w:hAnsi="Times New Roman" w:cs="Times New Roman"/>
          <w:sz w:val="24"/>
          <w:szCs w:val="24"/>
          <w:lang w:val="en-US"/>
        </w:rPr>
        <w:t xml:space="preserve">Recall the contrast I attributed to Wittgenstein’s early philosophy between the two ways of approaching the world. The first sees the world as an aggregate of empirical facts describable by natural sciences, the second shows the same world as a limited whole and as such meaningful. I argued that this contrast corresponds to Kant’s distinction between determining and reflective judgments. In my reading, the later Wittgenstein still adheres to the distinction, drawing a contrast between empirical, causal explanations and the kinds of explanations given in aesthetics, i.e., </w:t>
      </w:r>
      <w:r>
        <w:rPr>
          <w:rFonts w:ascii="Times New Roman" w:hAnsi="Times New Roman" w:cs="Times New Roman"/>
          <w:sz w:val="24"/>
          <w:szCs w:val="24"/>
          <w:lang w:val="en-US"/>
        </w:rPr>
        <w:lastRenderedPageBreak/>
        <w:t xml:space="preserve">explanations taking the form of further descriptions or comparisons that only aim at showing a grammatical, mathematical, or aesthetic system as a whole. It is this latter reflective perspective that lies underneath Wittgenstein’s remarks on religious belief. If one believes in the Last Judgment based on a </w:t>
      </w:r>
      <w:r w:rsidRPr="004035AC">
        <w:rPr>
          <w:rFonts w:ascii="Times New Roman" w:hAnsi="Times New Roman" w:cs="Times New Roman"/>
          <w:i/>
          <w:sz w:val="24"/>
          <w:szCs w:val="24"/>
          <w:lang w:val="en-US"/>
        </w:rPr>
        <w:t>narrative</w:t>
      </w:r>
      <w:r>
        <w:rPr>
          <w:rFonts w:ascii="Times New Roman" w:hAnsi="Times New Roman" w:cs="Times New Roman"/>
          <w:sz w:val="24"/>
          <w:szCs w:val="24"/>
          <w:lang w:val="en-US"/>
        </w:rPr>
        <w:t xml:space="preserve"> with no more than moderate historical plausibility, if one believes based on an </w:t>
      </w:r>
      <w:r w:rsidRPr="004035AC">
        <w:rPr>
          <w:rFonts w:ascii="Times New Roman" w:hAnsi="Times New Roman" w:cs="Times New Roman"/>
          <w:i/>
          <w:sz w:val="24"/>
          <w:szCs w:val="24"/>
          <w:lang w:val="en-US"/>
        </w:rPr>
        <w:t>experience</w:t>
      </w:r>
      <w:r>
        <w:rPr>
          <w:rFonts w:ascii="Times New Roman" w:hAnsi="Times New Roman" w:cs="Times New Roman"/>
          <w:sz w:val="24"/>
          <w:szCs w:val="24"/>
          <w:lang w:val="en-US"/>
        </w:rPr>
        <w:t xml:space="preserve"> of an absolute moral duty, or based on a </w:t>
      </w:r>
      <w:r w:rsidRPr="004035AC">
        <w:rPr>
          <w:rFonts w:ascii="Times New Roman" w:hAnsi="Times New Roman" w:cs="Times New Roman"/>
          <w:i/>
          <w:sz w:val="24"/>
          <w:szCs w:val="24"/>
          <w:lang w:val="en-US"/>
        </w:rPr>
        <w:t>dream</w:t>
      </w:r>
      <w:r>
        <w:rPr>
          <w:rFonts w:ascii="Times New Roman" w:hAnsi="Times New Roman" w:cs="Times New Roman"/>
          <w:sz w:val="24"/>
          <w:szCs w:val="24"/>
          <w:lang w:val="en-US"/>
        </w:rPr>
        <w:t xml:space="preserve">, then the reason one has is not of the discursive variety at all. Instead, the reason one has for one’s religious conviction arises from the light the narrative, dream, or experience sheds on one’s life. Again, the operative notion of life here is not life as understood by empirical sciences. Rather, it is life seen as a complete whole, in other words, life seen from the reflective perspective. </w:t>
      </w:r>
      <w:r w:rsidRPr="0029178F">
        <w:rPr>
          <w:rFonts w:ascii="Times New Roman" w:hAnsi="Times New Roman" w:cs="Times New Roman"/>
          <w:sz w:val="24"/>
          <w:szCs w:val="24"/>
          <w:lang w:val="en-US"/>
        </w:rPr>
        <w:t>This perspectiv</w:t>
      </w:r>
      <w:r w:rsidRPr="00912A4C">
        <w:rPr>
          <w:rFonts w:ascii="Times New Roman" w:hAnsi="Times New Roman" w:cs="Times New Roman"/>
          <w:sz w:val="24"/>
          <w:szCs w:val="24"/>
          <w:lang w:val="en-US"/>
        </w:rPr>
        <w:t>e</w:t>
      </w:r>
      <w:r>
        <w:rPr>
          <w:rFonts w:ascii="Times New Roman" w:hAnsi="Times New Roman" w:cs="Times New Roman"/>
          <w:sz w:val="24"/>
          <w:szCs w:val="24"/>
          <w:lang w:val="en-US"/>
        </w:rPr>
        <w:t xml:space="preserve"> brings together the three features I started by identifying as the core of Wittgenstein early remarks on religion, namely, the rejection of methodological naturalism, the view of religion as arising out of the problem of life, and the possibility of overcoming the empirical perspective as the solution to that problem.</w:t>
      </w:r>
      <w:r w:rsidRPr="00674138">
        <w:rPr>
          <w:rStyle w:val="Loppuviitteenviite"/>
          <w:rFonts w:ascii="Times New Roman" w:hAnsi="Times New Roman" w:cs="Times New Roman"/>
          <w:sz w:val="20"/>
          <w:szCs w:val="20"/>
          <w:lang w:val="en-US"/>
        </w:rPr>
        <w:endnoteReference w:id="15"/>
      </w:r>
      <w:r w:rsidRPr="00674138">
        <w:rPr>
          <w:rFonts w:ascii="Times New Roman" w:hAnsi="Times New Roman" w:cs="Times New Roman"/>
          <w:sz w:val="20"/>
          <w:szCs w:val="20"/>
          <w:lang w:val="en-US"/>
        </w:rPr>
        <w:t xml:space="preserve"> </w:t>
      </w:r>
    </w:p>
    <w:p w14:paraId="507A4720" w14:textId="77777777" w:rsidR="00442C18" w:rsidRDefault="00442C18" w:rsidP="00ED6A7D">
      <w:pPr>
        <w:spacing w:after="0" w:line="480" w:lineRule="auto"/>
        <w:rPr>
          <w:rFonts w:ascii="Times New Roman" w:hAnsi="Times New Roman" w:cs="Times New Roman"/>
          <w:b/>
          <w:sz w:val="24"/>
          <w:szCs w:val="24"/>
          <w:lang w:val="en-US"/>
        </w:rPr>
      </w:pPr>
    </w:p>
    <w:p w14:paraId="7E07885D" w14:textId="77777777" w:rsidR="009E06EB" w:rsidRDefault="009E06EB" w:rsidP="00ED6A7D">
      <w:pPr>
        <w:spacing w:after="0" w:line="480" w:lineRule="auto"/>
        <w:rPr>
          <w:rFonts w:ascii="Times New Roman" w:hAnsi="Times New Roman" w:cs="Times New Roman"/>
          <w:b/>
          <w:sz w:val="24"/>
          <w:szCs w:val="24"/>
          <w:lang w:val="en-US"/>
        </w:rPr>
      </w:pPr>
    </w:p>
    <w:p w14:paraId="02074DA7" w14:textId="77777777" w:rsidR="00B14A49" w:rsidRDefault="00A27D6B" w:rsidP="00ED6A7D">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6D3AA880" w14:textId="77777777" w:rsidR="00AB100F" w:rsidRDefault="00AB100F" w:rsidP="00ED6A7D">
      <w:pPr>
        <w:spacing w:after="0" w:line="480" w:lineRule="auto"/>
        <w:rPr>
          <w:rFonts w:ascii="Times New Roman" w:hAnsi="Times New Roman" w:cs="Times New Roman"/>
          <w:sz w:val="24"/>
          <w:szCs w:val="24"/>
          <w:lang w:val="en-US"/>
        </w:rPr>
      </w:pPr>
    </w:p>
    <w:p w14:paraId="7E5F367A" w14:textId="77777777" w:rsidR="00AB100F" w:rsidRDefault="00AB100F" w:rsidP="00AB100F">
      <w:pPr>
        <w:spacing w:after="0" w:line="480" w:lineRule="auto"/>
        <w:jc w:val="both"/>
        <w:rPr>
          <w:rFonts w:ascii="Times New Roman" w:hAnsi="Times New Roman" w:cs="Times New Roman"/>
          <w:b/>
          <w:color w:val="000000"/>
          <w:sz w:val="24"/>
          <w:szCs w:val="24"/>
          <w:lang w:val="en-GB"/>
        </w:rPr>
      </w:pPr>
      <w:r>
        <w:rPr>
          <w:rFonts w:ascii="Times New Roman" w:hAnsi="Times New Roman" w:cs="Times New Roman"/>
          <w:b/>
          <w:color w:val="000000"/>
          <w:sz w:val="24"/>
          <w:szCs w:val="24"/>
          <w:lang w:val="en-GB"/>
        </w:rPr>
        <w:t>Works cited by abbreviation</w:t>
      </w:r>
    </w:p>
    <w:p w14:paraId="25B9E088" w14:textId="77777777" w:rsidR="00AB100F" w:rsidRDefault="00AB100F" w:rsidP="00AB100F">
      <w:pPr>
        <w:spacing w:after="0" w:line="480" w:lineRule="auto"/>
        <w:rPr>
          <w:rFonts w:ascii="Times New Roman" w:hAnsi="Times New Roman" w:cs="Times New Roman"/>
          <w:i/>
          <w:sz w:val="24"/>
          <w:szCs w:val="24"/>
          <w:lang w:val="en-US"/>
        </w:rPr>
      </w:pPr>
    </w:p>
    <w:p w14:paraId="66E77EC5" w14:textId="77777777" w:rsidR="005A4EEA" w:rsidRDefault="005A4EEA" w:rsidP="005A4EEA">
      <w:pPr>
        <w:pStyle w:val="Alaviitteenteksti"/>
        <w:spacing w:line="480" w:lineRule="auto"/>
        <w:ind w:left="1304" w:hanging="1304"/>
        <w:rPr>
          <w:rFonts w:ascii="Times New Roman" w:hAnsi="Times New Roman" w:cs="Times New Roman"/>
          <w:sz w:val="24"/>
          <w:szCs w:val="24"/>
          <w:lang w:val="en-GB"/>
        </w:rPr>
      </w:pPr>
      <w:r>
        <w:rPr>
          <w:rFonts w:ascii="Times New Roman" w:hAnsi="Times New Roman" w:cs="Times New Roman"/>
          <w:sz w:val="24"/>
          <w:szCs w:val="24"/>
          <w:lang w:val="en-GB"/>
        </w:rPr>
        <w:t xml:space="preserve">CPJ </w:t>
      </w:r>
      <w:r>
        <w:rPr>
          <w:rFonts w:ascii="Times New Roman" w:hAnsi="Times New Roman" w:cs="Times New Roman"/>
          <w:sz w:val="24"/>
          <w:szCs w:val="24"/>
          <w:lang w:val="en-GB"/>
        </w:rPr>
        <w:tab/>
        <w:t xml:space="preserve">Kant, I. </w:t>
      </w:r>
      <w:r w:rsidRPr="00835B25">
        <w:rPr>
          <w:rFonts w:ascii="Times New Roman" w:hAnsi="Times New Roman" w:cs="Times New Roman"/>
          <w:sz w:val="24"/>
          <w:szCs w:val="24"/>
          <w:lang w:val="en-GB"/>
        </w:rPr>
        <w:t>(2000)</w:t>
      </w:r>
      <w:r>
        <w:rPr>
          <w:rFonts w:ascii="Times New Roman" w:hAnsi="Times New Roman" w:cs="Times New Roman"/>
          <w:sz w:val="24"/>
          <w:szCs w:val="24"/>
          <w:lang w:val="en-GB"/>
        </w:rPr>
        <w:t>.</w:t>
      </w:r>
      <w:r w:rsidRPr="00835B25">
        <w:rPr>
          <w:rFonts w:ascii="Times New Roman" w:hAnsi="Times New Roman" w:cs="Times New Roman"/>
          <w:sz w:val="24"/>
          <w:szCs w:val="24"/>
          <w:lang w:val="en-GB"/>
        </w:rPr>
        <w:t xml:space="preserve"> </w:t>
      </w:r>
      <w:r w:rsidRPr="00835B25">
        <w:rPr>
          <w:rFonts w:ascii="Times New Roman" w:hAnsi="Times New Roman" w:cs="Times New Roman"/>
          <w:i/>
          <w:sz w:val="24"/>
          <w:szCs w:val="24"/>
          <w:lang w:val="en-GB"/>
        </w:rPr>
        <w:t xml:space="preserve">Critique of the </w:t>
      </w:r>
      <w:r w:rsidR="006A346C">
        <w:rPr>
          <w:rFonts w:ascii="Times New Roman" w:hAnsi="Times New Roman" w:cs="Times New Roman"/>
          <w:i/>
          <w:sz w:val="24"/>
          <w:szCs w:val="24"/>
          <w:lang w:val="en-GB"/>
        </w:rPr>
        <w:t>P</w:t>
      </w:r>
      <w:r w:rsidRPr="00835B25">
        <w:rPr>
          <w:rFonts w:ascii="Times New Roman" w:hAnsi="Times New Roman" w:cs="Times New Roman"/>
          <w:i/>
          <w:sz w:val="24"/>
          <w:szCs w:val="24"/>
          <w:lang w:val="en-GB"/>
        </w:rPr>
        <w:t xml:space="preserve">ower of </w:t>
      </w:r>
      <w:r w:rsidR="006A346C">
        <w:rPr>
          <w:rFonts w:ascii="Times New Roman" w:hAnsi="Times New Roman" w:cs="Times New Roman"/>
          <w:i/>
          <w:sz w:val="24"/>
          <w:szCs w:val="24"/>
          <w:lang w:val="en-GB"/>
        </w:rPr>
        <w:t>J</w:t>
      </w:r>
      <w:r w:rsidRPr="00835B25">
        <w:rPr>
          <w:rFonts w:ascii="Times New Roman" w:hAnsi="Times New Roman" w:cs="Times New Roman"/>
          <w:i/>
          <w:sz w:val="24"/>
          <w:szCs w:val="24"/>
          <w:lang w:val="en-GB"/>
        </w:rPr>
        <w:t>udgment</w:t>
      </w:r>
      <w:r>
        <w:rPr>
          <w:rFonts w:ascii="Times New Roman" w:hAnsi="Times New Roman" w:cs="Times New Roman"/>
          <w:sz w:val="24"/>
          <w:szCs w:val="24"/>
          <w:lang w:val="en-GB"/>
        </w:rPr>
        <w:t>.</w:t>
      </w:r>
      <w:r w:rsidRPr="00835B25">
        <w:rPr>
          <w:rFonts w:ascii="Times New Roman" w:hAnsi="Times New Roman" w:cs="Times New Roman"/>
          <w:sz w:val="24"/>
          <w:szCs w:val="24"/>
          <w:lang w:val="en-GB"/>
        </w:rPr>
        <w:t xml:space="preserve"> P. Guyer (</w:t>
      </w:r>
      <w:r>
        <w:rPr>
          <w:rFonts w:ascii="Times New Roman" w:hAnsi="Times New Roman" w:cs="Times New Roman"/>
          <w:sz w:val="24"/>
          <w:szCs w:val="24"/>
          <w:lang w:val="en-GB"/>
        </w:rPr>
        <w:t>E</w:t>
      </w:r>
      <w:r w:rsidRPr="00835B25">
        <w:rPr>
          <w:rFonts w:ascii="Times New Roman" w:hAnsi="Times New Roman" w:cs="Times New Roman"/>
          <w:sz w:val="24"/>
          <w:szCs w:val="24"/>
          <w:lang w:val="en-GB"/>
        </w:rPr>
        <w:t>d</w:t>
      </w:r>
      <w:r>
        <w:rPr>
          <w:rFonts w:ascii="Times New Roman" w:hAnsi="Times New Roman" w:cs="Times New Roman"/>
          <w:sz w:val="24"/>
          <w:szCs w:val="24"/>
          <w:lang w:val="en-GB"/>
        </w:rPr>
        <w:t>.</w:t>
      </w:r>
      <w:r w:rsidRPr="00835B25">
        <w:rPr>
          <w:rFonts w:ascii="Times New Roman" w:hAnsi="Times New Roman" w:cs="Times New Roman"/>
          <w:sz w:val="24"/>
          <w:szCs w:val="24"/>
          <w:lang w:val="en-GB"/>
        </w:rPr>
        <w:t>), P. Guyer &amp; E. Matthews (</w:t>
      </w:r>
      <w:r>
        <w:rPr>
          <w:rFonts w:ascii="Times New Roman" w:hAnsi="Times New Roman" w:cs="Times New Roman"/>
          <w:sz w:val="24"/>
          <w:szCs w:val="24"/>
          <w:lang w:val="en-GB"/>
        </w:rPr>
        <w:t>T</w:t>
      </w:r>
      <w:r w:rsidRPr="00835B25">
        <w:rPr>
          <w:rFonts w:ascii="Times New Roman" w:hAnsi="Times New Roman" w:cs="Times New Roman"/>
          <w:sz w:val="24"/>
          <w:szCs w:val="24"/>
          <w:lang w:val="en-GB"/>
        </w:rPr>
        <w:t>r</w:t>
      </w:r>
      <w:r>
        <w:rPr>
          <w:rFonts w:ascii="Times New Roman" w:hAnsi="Times New Roman" w:cs="Times New Roman"/>
          <w:sz w:val="24"/>
          <w:szCs w:val="24"/>
          <w:lang w:val="en-GB"/>
        </w:rPr>
        <w:t>.</w:t>
      </w:r>
      <w:r w:rsidRPr="00835B25">
        <w:rPr>
          <w:rFonts w:ascii="Times New Roman" w:hAnsi="Times New Roman" w:cs="Times New Roman"/>
          <w:sz w:val="24"/>
          <w:szCs w:val="24"/>
          <w:lang w:val="en-GB"/>
        </w:rPr>
        <w:t>). Cambridge: Cambridge University Press.</w:t>
      </w:r>
    </w:p>
    <w:p w14:paraId="59F742B3" w14:textId="77777777" w:rsidR="005A4EEA" w:rsidRPr="005A4EEA" w:rsidRDefault="005A4EEA" w:rsidP="005A4EEA">
      <w:pPr>
        <w:pStyle w:val="Alaviitteenteksti"/>
        <w:spacing w:line="480" w:lineRule="auto"/>
        <w:ind w:left="1304" w:hanging="1304"/>
        <w:rPr>
          <w:rFonts w:ascii="Times New Roman" w:hAnsi="Times New Roman" w:cs="Times New Roman"/>
          <w:sz w:val="24"/>
          <w:szCs w:val="24"/>
          <w:lang w:val="en-GB"/>
        </w:rPr>
      </w:pPr>
    </w:p>
    <w:p w14:paraId="7DC6C5E2" w14:textId="77777777" w:rsidR="005A4EEA" w:rsidRPr="005A4EEA" w:rsidRDefault="005A4EEA" w:rsidP="005A4EEA">
      <w:pPr>
        <w:pStyle w:val="Alaviitteenteksti"/>
        <w:spacing w:line="480" w:lineRule="auto"/>
        <w:ind w:left="1304" w:hanging="1304"/>
        <w:rPr>
          <w:rFonts w:ascii="Times New Roman" w:hAnsi="Times New Roman" w:cs="Times New Roman"/>
          <w:sz w:val="24"/>
          <w:szCs w:val="24"/>
          <w:lang w:val="en-GB"/>
        </w:rPr>
      </w:pPr>
      <w:r>
        <w:rPr>
          <w:rFonts w:ascii="Times New Roman" w:hAnsi="Times New Roman" w:cs="Times New Roman"/>
          <w:sz w:val="24"/>
          <w:szCs w:val="24"/>
          <w:lang w:val="en-US"/>
        </w:rPr>
        <w:t xml:space="preserve">CPR </w:t>
      </w:r>
      <w:r>
        <w:rPr>
          <w:rFonts w:ascii="Times New Roman" w:hAnsi="Times New Roman" w:cs="Times New Roman"/>
          <w:sz w:val="24"/>
          <w:szCs w:val="24"/>
          <w:lang w:val="en-US"/>
        </w:rPr>
        <w:tab/>
        <w:t xml:space="preserve">Kant, I. </w:t>
      </w:r>
      <w:r w:rsidRPr="00835B25">
        <w:rPr>
          <w:rFonts w:ascii="Times New Roman" w:hAnsi="Times New Roman" w:cs="Times New Roman"/>
          <w:sz w:val="24"/>
          <w:szCs w:val="24"/>
          <w:lang w:val="en-GB"/>
        </w:rPr>
        <w:t>(1998)</w:t>
      </w:r>
      <w:r>
        <w:rPr>
          <w:rFonts w:ascii="Times New Roman" w:hAnsi="Times New Roman" w:cs="Times New Roman"/>
          <w:sz w:val="24"/>
          <w:szCs w:val="24"/>
          <w:lang w:val="en-GB"/>
        </w:rPr>
        <w:t>.</w:t>
      </w:r>
      <w:r w:rsidRPr="00835B25">
        <w:rPr>
          <w:rFonts w:ascii="Times New Roman" w:hAnsi="Times New Roman" w:cs="Times New Roman"/>
          <w:sz w:val="24"/>
          <w:szCs w:val="24"/>
          <w:lang w:val="en-GB"/>
        </w:rPr>
        <w:t xml:space="preserve"> </w:t>
      </w:r>
      <w:r w:rsidRPr="00835B25">
        <w:rPr>
          <w:rFonts w:ascii="Times New Roman" w:hAnsi="Times New Roman" w:cs="Times New Roman"/>
          <w:i/>
          <w:sz w:val="24"/>
          <w:szCs w:val="24"/>
          <w:lang w:val="en-US"/>
        </w:rPr>
        <w:t xml:space="preserve">Critique of </w:t>
      </w:r>
      <w:r w:rsidR="006A346C">
        <w:rPr>
          <w:rFonts w:ascii="Times New Roman" w:hAnsi="Times New Roman" w:cs="Times New Roman"/>
          <w:i/>
          <w:sz w:val="24"/>
          <w:szCs w:val="24"/>
          <w:lang w:val="en-US"/>
        </w:rPr>
        <w:t>P</w:t>
      </w:r>
      <w:r w:rsidRPr="00835B25">
        <w:rPr>
          <w:rFonts w:ascii="Times New Roman" w:hAnsi="Times New Roman" w:cs="Times New Roman"/>
          <w:i/>
          <w:sz w:val="24"/>
          <w:szCs w:val="24"/>
          <w:lang w:val="en-US"/>
        </w:rPr>
        <w:t xml:space="preserve">ure </w:t>
      </w:r>
      <w:r w:rsidR="006A346C">
        <w:rPr>
          <w:rFonts w:ascii="Times New Roman" w:hAnsi="Times New Roman" w:cs="Times New Roman"/>
          <w:i/>
          <w:sz w:val="24"/>
          <w:szCs w:val="24"/>
          <w:lang w:val="en-US"/>
        </w:rPr>
        <w:t>R</w:t>
      </w:r>
      <w:r w:rsidRPr="00835B25">
        <w:rPr>
          <w:rFonts w:ascii="Times New Roman" w:hAnsi="Times New Roman" w:cs="Times New Roman"/>
          <w:i/>
          <w:sz w:val="24"/>
          <w:szCs w:val="24"/>
          <w:lang w:val="en-US"/>
        </w:rPr>
        <w:t>eason</w:t>
      </w:r>
      <w:r>
        <w:rPr>
          <w:rFonts w:ascii="Times New Roman" w:hAnsi="Times New Roman" w:cs="Times New Roman"/>
          <w:sz w:val="24"/>
          <w:szCs w:val="24"/>
          <w:lang w:val="en-US"/>
        </w:rPr>
        <w:t>. P. Guyer and</w:t>
      </w:r>
      <w:r w:rsidRPr="00835B25">
        <w:rPr>
          <w:rFonts w:ascii="Times New Roman" w:hAnsi="Times New Roman" w:cs="Times New Roman"/>
          <w:sz w:val="24"/>
          <w:szCs w:val="24"/>
          <w:lang w:val="en-US"/>
        </w:rPr>
        <w:t xml:space="preserve"> A. Wood (</w:t>
      </w:r>
      <w:r>
        <w:rPr>
          <w:rFonts w:ascii="Times New Roman" w:hAnsi="Times New Roman" w:cs="Times New Roman"/>
          <w:sz w:val="24"/>
          <w:szCs w:val="24"/>
          <w:lang w:val="en-US"/>
        </w:rPr>
        <w:t>T</w:t>
      </w:r>
      <w:r w:rsidRPr="00835B25">
        <w:rPr>
          <w:rFonts w:ascii="Times New Roman" w:hAnsi="Times New Roman" w:cs="Times New Roman"/>
          <w:sz w:val="24"/>
          <w:szCs w:val="24"/>
          <w:lang w:val="en-US"/>
        </w:rPr>
        <w:t>r</w:t>
      </w:r>
      <w:r>
        <w:rPr>
          <w:rFonts w:ascii="Times New Roman" w:hAnsi="Times New Roman" w:cs="Times New Roman"/>
          <w:sz w:val="24"/>
          <w:szCs w:val="24"/>
          <w:lang w:val="en-US"/>
        </w:rPr>
        <w:t>.</w:t>
      </w:r>
      <w:r w:rsidRPr="00835B25">
        <w:rPr>
          <w:rFonts w:ascii="Times New Roman" w:hAnsi="Times New Roman" w:cs="Times New Roman"/>
          <w:sz w:val="24"/>
          <w:szCs w:val="24"/>
          <w:lang w:val="en-US"/>
        </w:rPr>
        <w:t xml:space="preserve"> &amp; </w:t>
      </w:r>
      <w:r>
        <w:rPr>
          <w:rFonts w:ascii="Times New Roman" w:hAnsi="Times New Roman" w:cs="Times New Roman"/>
          <w:sz w:val="24"/>
          <w:szCs w:val="24"/>
          <w:lang w:val="en-US"/>
        </w:rPr>
        <w:t>E</w:t>
      </w:r>
      <w:r w:rsidRPr="00835B25">
        <w:rPr>
          <w:rFonts w:ascii="Times New Roman" w:hAnsi="Times New Roman" w:cs="Times New Roman"/>
          <w:sz w:val="24"/>
          <w:szCs w:val="24"/>
          <w:lang w:val="en-US"/>
        </w:rPr>
        <w:t>d</w:t>
      </w:r>
      <w:r>
        <w:rPr>
          <w:rFonts w:ascii="Times New Roman" w:hAnsi="Times New Roman" w:cs="Times New Roman"/>
          <w:sz w:val="24"/>
          <w:szCs w:val="24"/>
          <w:lang w:val="en-US"/>
        </w:rPr>
        <w:t>.</w:t>
      </w:r>
      <w:r w:rsidRPr="00835B25">
        <w:rPr>
          <w:rFonts w:ascii="Times New Roman" w:hAnsi="Times New Roman" w:cs="Times New Roman"/>
          <w:sz w:val="24"/>
          <w:szCs w:val="24"/>
          <w:lang w:val="en-US"/>
        </w:rPr>
        <w:t>). Cambridge: Cambridge University Press.</w:t>
      </w:r>
    </w:p>
    <w:p w14:paraId="4DA26EC7" w14:textId="77777777" w:rsidR="005A4EEA" w:rsidRDefault="005A4EEA" w:rsidP="00B56440">
      <w:pPr>
        <w:spacing w:after="0" w:line="480" w:lineRule="auto"/>
        <w:ind w:left="1304" w:hanging="1304"/>
        <w:rPr>
          <w:rFonts w:ascii="Times New Roman" w:hAnsi="Times New Roman" w:cs="Times New Roman"/>
          <w:sz w:val="24"/>
          <w:szCs w:val="24"/>
          <w:lang w:val="en-US"/>
        </w:rPr>
      </w:pPr>
    </w:p>
    <w:p w14:paraId="6B80B5E9" w14:textId="77777777" w:rsidR="00AB100F" w:rsidRDefault="00B56440" w:rsidP="00B56440">
      <w:pPr>
        <w:spacing w:after="0" w:line="480" w:lineRule="auto"/>
        <w:ind w:left="1304" w:hanging="1304"/>
        <w:rPr>
          <w:rFonts w:ascii="Times New Roman" w:hAnsi="Times New Roman" w:cs="Times New Roman"/>
          <w:i/>
          <w:sz w:val="24"/>
          <w:szCs w:val="24"/>
          <w:lang w:val="en-US"/>
        </w:rPr>
      </w:pPr>
      <w:r>
        <w:rPr>
          <w:rFonts w:ascii="Times New Roman" w:hAnsi="Times New Roman" w:cs="Times New Roman"/>
          <w:sz w:val="24"/>
          <w:szCs w:val="24"/>
          <w:lang w:val="en-US"/>
        </w:rPr>
        <w:lastRenderedPageBreak/>
        <w:t>CPrR</w:t>
      </w:r>
      <w:r>
        <w:rPr>
          <w:rFonts w:ascii="Times New Roman" w:hAnsi="Times New Roman" w:cs="Times New Roman"/>
          <w:sz w:val="24"/>
          <w:szCs w:val="24"/>
          <w:lang w:val="en-US"/>
        </w:rPr>
        <w:tab/>
      </w:r>
      <w:r w:rsidR="00AB100F">
        <w:rPr>
          <w:rFonts w:ascii="Times New Roman" w:hAnsi="Times New Roman" w:cs="Times New Roman"/>
          <w:sz w:val="24"/>
          <w:szCs w:val="24"/>
          <w:lang w:val="en-US"/>
        </w:rPr>
        <w:t>Kant, I</w:t>
      </w:r>
      <w:r>
        <w:rPr>
          <w:rFonts w:ascii="Times New Roman" w:hAnsi="Times New Roman" w:cs="Times New Roman"/>
          <w:sz w:val="24"/>
          <w:szCs w:val="24"/>
          <w:lang w:val="en-US"/>
        </w:rPr>
        <w:t>.</w:t>
      </w:r>
      <w:r w:rsidR="00AB100F">
        <w:rPr>
          <w:rFonts w:ascii="Times New Roman" w:hAnsi="Times New Roman" w:cs="Times New Roman"/>
          <w:sz w:val="24"/>
          <w:szCs w:val="24"/>
          <w:lang w:val="en-US"/>
        </w:rPr>
        <w:t xml:space="preserve"> </w:t>
      </w:r>
      <w:r w:rsidR="00AB100F">
        <w:rPr>
          <w:rFonts w:ascii="Times New Roman" w:hAnsi="Times New Roman" w:cs="Times New Roman"/>
          <w:sz w:val="24"/>
          <w:szCs w:val="24"/>
          <w:lang w:val="en-GB"/>
        </w:rPr>
        <w:t>(1997</w:t>
      </w:r>
      <w:r w:rsidR="00AB100F" w:rsidRPr="00835B25">
        <w:rPr>
          <w:rFonts w:ascii="Times New Roman" w:hAnsi="Times New Roman" w:cs="Times New Roman"/>
          <w:sz w:val="24"/>
          <w:szCs w:val="24"/>
          <w:lang w:val="en-GB"/>
        </w:rPr>
        <w:t>)</w:t>
      </w:r>
      <w:r>
        <w:rPr>
          <w:rFonts w:ascii="Times New Roman" w:hAnsi="Times New Roman" w:cs="Times New Roman"/>
          <w:sz w:val="24"/>
          <w:szCs w:val="24"/>
          <w:lang w:val="en-GB"/>
        </w:rPr>
        <w:t>.</w:t>
      </w:r>
      <w:r w:rsidR="00AB100F" w:rsidRPr="00835B25">
        <w:rPr>
          <w:rFonts w:ascii="Times New Roman" w:hAnsi="Times New Roman" w:cs="Times New Roman"/>
          <w:sz w:val="24"/>
          <w:szCs w:val="24"/>
          <w:lang w:val="en-GB"/>
        </w:rPr>
        <w:t xml:space="preserve"> </w:t>
      </w:r>
      <w:r w:rsidR="00AB100F" w:rsidRPr="00835B25">
        <w:rPr>
          <w:rFonts w:ascii="Times New Roman" w:hAnsi="Times New Roman" w:cs="Times New Roman"/>
          <w:i/>
          <w:sz w:val="24"/>
          <w:szCs w:val="24"/>
          <w:lang w:val="en-US"/>
        </w:rPr>
        <w:t>Critique of</w:t>
      </w:r>
      <w:r w:rsidR="00AB100F">
        <w:rPr>
          <w:rFonts w:ascii="Times New Roman" w:hAnsi="Times New Roman" w:cs="Times New Roman"/>
          <w:i/>
          <w:sz w:val="24"/>
          <w:szCs w:val="24"/>
          <w:lang w:val="en-US"/>
        </w:rPr>
        <w:t xml:space="preserve"> </w:t>
      </w:r>
      <w:r w:rsidR="006A346C">
        <w:rPr>
          <w:rFonts w:ascii="Times New Roman" w:hAnsi="Times New Roman" w:cs="Times New Roman"/>
          <w:i/>
          <w:sz w:val="24"/>
          <w:szCs w:val="24"/>
          <w:lang w:val="en-US"/>
        </w:rPr>
        <w:t>P</w:t>
      </w:r>
      <w:r w:rsidR="00AB100F">
        <w:rPr>
          <w:rFonts w:ascii="Times New Roman" w:hAnsi="Times New Roman" w:cs="Times New Roman"/>
          <w:i/>
          <w:sz w:val="24"/>
          <w:szCs w:val="24"/>
          <w:lang w:val="en-US"/>
        </w:rPr>
        <w:t xml:space="preserve">ractical </w:t>
      </w:r>
      <w:r w:rsidR="006A346C">
        <w:rPr>
          <w:rFonts w:ascii="Times New Roman" w:hAnsi="Times New Roman" w:cs="Times New Roman"/>
          <w:i/>
          <w:sz w:val="24"/>
          <w:szCs w:val="24"/>
          <w:lang w:val="en-US"/>
        </w:rPr>
        <w:t>R</w:t>
      </w:r>
      <w:r w:rsidR="00AB100F">
        <w:rPr>
          <w:rFonts w:ascii="Times New Roman" w:hAnsi="Times New Roman" w:cs="Times New Roman"/>
          <w:i/>
          <w:sz w:val="24"/>
          <w:szCs w:val="24"/>
          <w:lang w:val="en-US"/>
        </w:rPr>
        <w:t>eason</w:t>
      </w:r>
      <w:r w:rsidR="00AB100F">
        <w:rPr>
          <w:rFonts w:ascii="Times New Roman" w:hAnsi="Times New Roman" w:cs="Times New Roman"/>
          <w:sz w:val="24"/>
          <w:szCs w:val="24"/>
          <w:lang w:val="en-US"/>
        </w:rPr>
        <w:t>. M. Gregor (</w:t>
      </w:r>
      <w:r>
        <w:rPr>
          <w:rFonts w:ascii="Times New Roman" w:hAnsi="Times New Roman" w:cs="Times New Roman"/>
          <w:sz w:val="24"/>
          <w:szCs w:val="24"/>
          <w:lang w:val="en-US"/>
        </w:rPr>
        <w:t>T</w:t>
      </w:r>
      <w:r w:rsidR="00AB100F">
        <w:rPr>
          <w:rFonts w:ascii="Times New Roman" w:hAnsi="Times New Roman" w:cs="Times New Roman"/>
          <w:sz w:val="24"/>
          <w:szCs w:val="24"/>
          <w:lang w:val="en-US"/>
        </w:rPr>
        <w:t>r</w:t>
      </w:r>
      <w:r>
        <w:rPr>
          <w:rFonts w:ascii="Times New Roman" w:hAnsi="Times New Roman" w:cs="Times New Roman"/>
          <w:sz w:val="24"/>
          <w:szCs w:val="24"/>
          <w:lang w:val="en-US"/>
        </w:rPr>
        <w:t>.</w:t>
      </w:r>
      <w:r w:rsidR="00AB100F">
        <w:rPr>
          <w:rFonts w:ascii="Times New Roman" w:hAnsi="Times New Roman" w:cs="Times New Roman"/>
          <w:sz w:val="24"/>
          <w:szCs w:val="24"/>
          <w:lang w:val="en-US"/>
        </w:rPr>
        <w:t xml:space="preserve"> &amp; </w:t>
      </w:r>
      <w:r>
        <w:rPr>
          <w:rFonts w:ascii="Times New Roman" w:hAnsi="Times New Roman" w:cs="Times New Roman"/>
          <w:sz w:val="24"/>
          <w:szCs w:val="24"/>
          <w:lang w:val="en-US"/>
        </w:rPr>
        <w:t>E</w:t>
      </w:r>
      <w:r w:rsidR="00AB100F">
        <w:rPr>
          <w:rFonts w:ascii="Times New Roman" w:hAnsi="Times New Roman" w:cs="Times New Roman"/>
          <w:sz w:val="24"/>
          <w:szCs w:val="24"/>
          <w:lang w:val="en-US"/>
        </w:rPr>
        <w:t>d</w:t>
      </w:r>
      <w:r>
        <w:rPr>
          <w:rFonts w:ascii="Times New Roman" w:hAnsi="Times New Roman" w:cs="Times New Roman"/>
          <w:sz w:val="24"/>
          <w:szCs w:val="24"/>
          <w:lang w:val="en-US"/>
        </w:rPr>
        <w:t>.</w:t>
      </w:r>
      <w:r w:rsidR="00AB100F">
        <w:rPr>
          <w:rFonts w:ascii="Times New Roman" w:hAnsi="Times New Roman" w:cs="Times New Roman"/>
          <w:sz w:val="24"/>
          <w:szCs w:val="24"/>
          <w:lang w:val="en-US"/>
        </w:rPr>
        <w:t xml:space="preserve">). </w:t>
      </w:r>
      <w:r w:rsidR="00AB100F" w:rsidRPr="00835B25">
        <w:rPr>
          <w:rFonts w:ascii="Times New Roman" w:hAnsi="Times New Roman" w:cs="Times New Roman"/>
          <w:sz w:val="24"/>
          <w:szCs w:val="24"/>
          <w:lang w:val="en-GB"/>
        </w:rPr>
        <w:t>Cambridge: Cambridge University Press.</w:t>
      </w:r>
      <w:r w:rsidR="00AB100F" w:rsidRPr="003E08DC">
        <w:rPr>
          <w:rFonts w:ascii="Times New Roman" w:hAnsi="Times New Roman" w:cs="Times New Roman"/>
          <w:i/>
          <w:sz w:val="24"/>
          <w:szCs w:val="24"/>
          <w:lang w:val="en-US"/>
        </w:rPr>
        <w:t xml:space="preserve"> </w:t>
      </w:r>
    </w:p>
    <w:p w14:paraId="43CFA1E2" w14:textId="77777777" w:rsidR="00AB100F" w:rsidRDefault="00AB100F" w:rsidP="00B56440">
      <w:pPr>
        <w:spacing w:after="0" w:line="480" w:lineRule="auto"/>
        <w:ind w:left="1304" w:hanging="1304"/>
        <w:rPr>
          <w:rFonts w:ascii="Times New Roman" w:hAnsi="Times New Roman" w:cs="Times New Roman"/>
          <w:i/>
          <w:sz w:val="24"/>
          <w:szCs w:val="24"/>
          <w:lang w:val="en-US"/>
        </w:rPr>
      </w:pPr>
    </w:p>
    <w:p w14:paraId="0F8226DB" w14:textId="77777777" w:rsidR="00AB100F" w:rsidRDefault="00B56440" w:rsidP="00B56440">
      <w:pPr>
        <w:spacing w:after="0" w:line="480" w:lineRule="auto"/>
        <w:ind w:left="1304" w:hanging="1304"/>
        <w:rPr>
          <w:rFonts w:ascii="Times New Roman" w:hAnsi="Times New Roman" w:cs="Times New Roman"/>
          <w:sz w:val="24"/>
          <w:szCs w:val="24"/>
          <w:lang w:val="en-GB"/>
        </w:rPr>
      </w:pPr>
      <w:r>
        <w:rPr>
          <w:rFonts w:ascii="Times New Roman" w:hAnsi="Times New Roman" w:cs="Times New Roman"/>
          <w:sz w:val="24"/>
          <w:szCs w:val="24"/>
          <w:lang w:val="en-US"/>
        </w:rPr>
        <w:t xml:space="preserve">G </w:t>
      </w:r>
      <w:r>
        <w:rPr>
          <w:rFonts w:ascii="Times New Roman" w:hAnsi="Times New Roman" w:cs="Times New Roman"/>
          <w:sz w:val="24"/>
          <w:szCs w:val="24"/>
          <w:lang w:val="en-US"/>
        </w:rPr>
        <w:tab/>
      </w:r>
      <w:r w:rsidR="00AB100F">
        <w:rPr>
          <w:rFonts w:ascii="Times New Roman" w:hAnsi="Times New Roman" w:cs="Times New Roman"/>
          <w:sz w:val="24"/>
          <w:szCs w:val="24"/>
          <w:lang w:val="en-US"/>
        </w:rPr>
        <w:t>Kant, I</w:t>
      </w:r>
      <w:r>
        <w:rPr>
          <w:rFonts w:ascii="Times New Roman" w:hAnsi="Times New Roman" w:cs="Times New Roman"/>
          <w:sz w:val="24"/>
          <w:szCs w:val="24"/>
          <w:lang w:val="en-US"/>
        </w:rPr>
        <w:t>.</w:t>
      </w:r>
      <w:r w:rsidR="00AB100F">
        <w:rPr>
          <w:rFonts w:ascii="Times New Roman" w:hAnsi="Times New Roman" w:cs="Times New Roman"/>
          <w:sz w:val="24"/>
          <w:szCs w:val="24"/>
          <w:lang w:val="en-US"/>
        </w:rPr>
        <w:t xml:space="preserve"> </w:t>
      </w:r>
      <w:r w:rsidR="00AB100F">
        <w:rPr>
          <w:rFonts w:ascii="Times New Roman" w:hAnsi="Times New Roman" w:cs="Times New Roman"/>
          <w:sz w:val="24"/>
          <w:szCs w:val="24"/>
          <w:lang w:val="en-GB"/>
        </w:rPr>
        <w:t>(1997</w:t>
      </w:r>
      <w:r w:rsidR="00AB100F" w:rsidRPr="00835B25">
        <w:rPr>
          <w:rFonts w:ascii="Times New Roman" w:hAnsi="Times New Roman" w:cs="Times New Roman"/>
          <w:sz w:val="24"/>
          <w:szCs w:val="24"/>
          <w:lang w:val="en-GB"/>
        </w:rPr>
        <w:t>)</w:t>
      </w:r>
      <w:r>
        <w:rPr>
          <w:rFonts w:ascii="Times New Roman" w:hAnsi="Times New Roman" w:cs="Times New Roman"/>
          <w:sz w:val="24"/>
          <w:szCs w:val="24"/>
          <w:lang w:val="en-GB"/>
        </w:rPr>
        <w:t>.</w:t>
      </w:r>
      <w:r w:rsidR="00AB100F" w:rsidRPr="00835B25">
        <w:rPr>
          <w:rFonts w:ascii="Times New Roman" w:hAnsi="Times New Roman" w:cs="Times New Roman"/>
          <w:sz w:val="24"/>
          <w:szCs w:val="24"/>
          <w:lang w:val="en-GB"/>
        </w:rPr>
        <w:t xml:space="preserve"> </w:t>
      </w:r>
      <w:r w:rsidR="00AB100F">
        <w:rPr>
          <w:rFonts w:ascii="Times New Roman" w:hAnsi="Times New Roman" w:cs="Times New Roman"/>
          <w:i/>
          <w:sz w:val="24"/>
          <w:szCs w:val="24"/>
          <w:lang w:val="en-US"/>
        </w:rPr>
        <w:t xml:space="preserve">Groundwork of the </w:t>
      </w:r>
      <w:r w:rsidR="006A346C">
        <w:rPr>
          <w:rFonts w:ascii="Times New Roman" w:hAnsi="Times New Roman" w:cs="Times New Roman"/>
          <w:i/>
          <w:sz w:val="24"/>
          <w:szCs w:val="24"/>
          <w:lang w:val="en-US"/>
        </w:rPr>
        <w:t>M</w:t>
      </w:r>
      <w:r w:rsidR="00AB100F">
        <w:rPr>
          <w:rFonts w:ascii="Times New Roman" w:hAnsi="Times New Roman" w:cs="Times New Roman"/>
          <w:i/>
          <w:sz w:val="24"/>
          <w:szCs w:val="24"/>
          <w:lang w:val="en-US"/>
        </w:rPr>
        <w:t xml:space="preserve">etaphysics of </w:t>
      </w:r>
      <w:r w:rsidR="006A346C">
        <w:rPr>
          <w:rFonts w:ascii="Times New Roman" w:hAnsi="Times New Roman" w:cs="Times New Roman"/>
          <w:i/>
          <w:sz w:val="24"/>
          <w:szCs w:val="24"/>
          <w:lang w:val="en-US"/>
        </w:rPr>
        <w:t>M</w:t>
      </w:r>
      <w:r w:rsidR="00AB100F">
        <w:rPr>
          <w:rFonts w:ascii="Times New Roman" w:hAnsi="Times New Roman" w:cs="Times New Roman"/>
          <w:i/>
          <w:sz w:val="24"/>
          <w:szCs w:val="24"/>
          <w:lang w:val="en-US"/>
        </w:rPr>
        <w:t>orals</w:t>
      </w:r>
      <w:r w:rsidR="00AB100F">
        <w:rPr>
          <w:rFonts w:ascii="Times New Roman" w:hAnsi="Times New Roman" w:cs="Times New Roman"/>
          <w:sz w:val="24"/>
          <w:szCs w:val="24"/>
          <w:lang w:val="en-US"/>
        </w:rPr>
        <w:t>. M. Gregor (</w:t>
      </w:r>
      <w:r>
        <w:rPr>
          <w:rFonts w:ascii="Times New Roman" w:hAnsi="Times New Roman" w:cs="Times New Roman"/>
          <w:sz w:val="24"/>
          <w:szCs w:val="24"/>
          <w:lang w:val="en-US"/>
        </w:rPr>
        <w:t>T</w:t>
      </w:r>
      <w:r w:rsidR="00AB100F">
        <w:rPr>
          <w:rFonts w:ascii="Times New Roman" w:hAnsi="Times New Roman" w:cs="Times New Roman"/>
          <w:sz w:val="24"/>
          <w:szCs w:val="24"/>
          <w:lang w:val="en-US"/>
        </w:rPr>
        <w:t>r</w:t>
      </w:r>
      <w:r>
        <w:rPr>
          <w:rFonts w:ascii="Times New Roman" w:hAnsi="Times New Roman" w:cs="Times New Roman"/>
          <w:sz w:val="24"/>
          <w:szCs w:val="24"/>
          <w:lang w:val="en-US"/>
        </w:rPr>
        <w:t>.</w:t>
      </w:r>
      <w:r w:rsidR="00AB100F">
        <w:rPr>
          <w:rFonts w:ascii="Times New Roman" w:hAnsi="Times New Roman" w:cs="Times New Roman"/>
          <w:sz w:val="24"/>
          <w:szCs w:val="24"/>
          <w:lang w:val="en-US"/>
        </w:rPr>
        <w:t xml:space="preserve"> &amp; </w:t>
      </w:r>
      <w:r>
        <w:rPr>
          <w:rFonts w:ascii="Times New Roman" w:hAnsi="Times New Roman" w:cs="Times New Roman"/>
          <w:sz w:val="24"/>
          <w:szCs w:val="24"/>
          <w:lang w:val="en-US"/>
        </w:rPr>
        <w:t>E</w:t>
      </w:r>
      <w:r w:rsidR="00AB100F">
        <w:rPr>
          <w:rFonts w:ascii="Times New Roman" w:hAnsi="Times New Roman" w:cs="Times New Roman"/>
          <w:sz w:val="24"/>
          <w:szCs w:val="24"/>
          <w:lang w:val="en-US"/>
        </w:rPr>
        <w:t>d</w:t>
      </w:r>
      <w:r>
        <w:rPr>
          <w:rFonts w:ascii="Times New Roman" w:hAnsi="Times New Roman" w:cs="Times New Roman"/>
          <w:sz w:val="24"/>
          <w:szCs w:val="24"/>
          <w:lang w:val="en-US"/>
        </w:rPr>
        <w:t>.</w:t>
      </w:r>
      <w:r w:rsidR="00AB100F">
        <w:rPr>
          <w:rFonts w:ascii="Times New Roman" w:hAnsi="Times New Roman" w:cs="Times New Roman"/>
          <w:sz w:val="24"/>
          <w:szCs w:val="24"/>
          <w:lang w:val="en-US"/>
        </w:rPr>
        <w:t xml:space="preserve">). </w:t>
      </w:r>
      <w:r w:rsidR="00AB100F" w:rsidRPr="00835B25">
        <w:rPr>
          <w:rFonts w:ascii="Times New Roman" w:hAnsi="Times New Roman" w:cs="Times New Roman"/>
          <w:sz w:val="24"/>
          <w:szCs w:val="24"/>
          <w:lang w:val="en-GB"/>
        </w:rPr>
        <w:t>Cambridge: Cambridge University Press.</w:t>
      </w:r>
    </w:p>
    <w:p w14:paraId="0F196B8A" w14:textId="77777777" w:rsidR="005A4EEA" w:rsidRDefault="005A4EEA" w:rsidP="00B56440">
      <w:pPr>
        <w:spacing w:after="0" w:line="480" w:lineRule="auto"/>
        <w:ind w:left="1304" w:hanging="1304"/>
        <w:rPr>
          <w:rFonts w:ascii="Times New Roman" w:hAnsi="Times New Roman" w:cs="Times New Roman"/>
          <w:sz w:val="24"/>
          <w:szCs w:val="24"/>
          <w:lang w:val="en-US"/>
        </w:rPr>
      </w:pPr>
    </w:p>
    <w:p w14:paraId="5D3F47A6" w14:textId="77777777" w:rsidR="005A4EEA" w:rsidRPr="005A4EEA" w:rsidRDefault="005A4EEA" w:rsidP="005A4EEA">
      <w:pPr>
        <w:spacing w:after="0" w:line="360" w:lineRule="auto"/>
        <w:ind w:left="1304" w:hanging="1304"/>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CV </w:t>
      </w:r>
      <w:r>
        <w:rPr>
          <w:rFonts w:ascii="Times New Roman" w:hAnsi="Times New Roman" w:cs="Times New Roman"/>
          <w:sz w:val="24"/>
          <w:szCs w:val="24"/>
          <w:lang w:val="en-US"/>
        </w:rPr>
        <w:tab/>
        <w:t>Wittgenstein, L.</w:t>
      </w:r>
      <w:r w:rsidRPr="007548F4">
        <w:rPr>
          <w:rFonts w:ascii="Times New Roman" w:hAnsi="Times New Roman" w:cs="Times New Roman"/>
          <w:color w:val="000000"/>
          <w:sz w:val="24"/>
          <w:szCs w:val="24"/>
          <w:lang w:val="en-GB"/>
        </w:rPr>
        <w:t xml:space="preserve"> (1998)</w:t>
      </w:r>
      <w:r>
        <w:rPr>
          <w:rFonts w:ascii="Times New Roman" w:hAnsi="Times New Roman" w:cs="Times New Roman"/>
          <w:color w:val="000000"/>
          <w:sz w:val="24"/>
          <w:szCs w:val="24"/>
          <w:lang w:val="en-GB"/>
        </w:rPr>
        <w:t>.</w:t>
      </w:r>
      <w:r w:rsidRPr="007548F4">
        <w:rPr>
          <w:rFonts w:ascii="Times New Roman" w:hAnsi="Times New Roman" w:cs="Times New Roman"/>
          <w:color w:val="000000"/>
          <w:sz w:val="24"/>
          <w:szCs w:val="24"/>
          <w:lang w:val="en-GB"/>
        </w:rPr>
        <w:t xml:space="preserve"> </w:t>
      </w:r>
      <w:r w:rsidRPr="007548F4">
        <w:rPr>
          <w:rFonts w:ascii="Times New Roman" w:hAnsi="Times New Roman" w:cs="Times New Roman"/>
          <w:i/>
          <w:iCs/>
          <w:color w:val="000000"/>
          <w:sz w:val="24"/>
          <w:szCs w:val="24"/>
          <w:lang w:val="en-GB"/>
        </w:rPr>
        <w:t xml:space="preserve">Culture and </w:t>
      </w:r>
      <w:r w:rsidR="006A346C">
        <w:rPr>
          <w:rFonts w:ascii="Times New Roman" w:hAnsi="Times New Roman" w:cs="Times New Roman"/>
          <w:i/>
          <w:iCs/>
          <w:color w:val="000000"/>
          <w:sz w:val="24"/>
          <w:szCs w:val="24"/>
          <w:lang w:val="en-GB"/>
        </w:rPr>
        <w:t>V</w:t>
      </w:r>
      <w:r w:rsidRPr="007548F4">
        <w:rPr>
          <w:rFonts w:ascii="Times New Roman" w:hAnsi="Times New Roman" w:cs="Times New Roman"/>
          <w:i/>
          <w:iCs/>
          <w:color w:val="000000"/>
          <w:sz w:val="24"/>
          <w:szCs w:val="24"/>
          <w:lang w:val="en-GB"/>
        </w:rPr>
        <w:t>alue</w:t>
      </w:r>
      <w:r w:rsidRPr="007548F4">
        <w:rPr>
          <w:rFonts w:ascii="Times New Roman" w:hAnsi="Times New Roman" w:cs="Times New Roman"/>
          <w:color w:val="000000"/>
          <w:sz w:val="24"/>
          <w:szCs w:val="24"/>
          <w:lang w:val="en-GB"/>
        </w:rPr>
        <w:t>. G. H. von Wright &amp; A. Pichler (</w:t>
      </w:r>
      <w:r>
        <w:rPr>
          <w:rFonts w:ascii="Times New Roman" w:hAnsi="Times New Roman" w:cs="Times New Roman"/>
          <w:color w:val="000000"/>
          <w:sz w:val="24"/>
          <w:szCs w:val="24"/>
          <w:lang w:val="en-GB"/>
        </w:rPr>
        <w:t>E</w:t>
      </w:r>
      <w:r w:rsidRPr="007548F4">
        <w:rPr>
          <w:rFonts w:ascii="Times New Roman" w:hAnsi="Times New Roman" w:cs="Times New Roman"/>
          <w:color w:val="000000"/>
          <w:sz w:val="24"/>
          <w:szCs w:val="24"/>
          <w:lang w:val="en-GB"/>
        </w:rPr>
        <w:t>ds</w:t>
      </w:r>
      <w:r>
        <w:rPr>
          <w:rFonts w:ascii="Times New Roman" w:hAnsi="Times New Roman" w:cs="Times New Roman"/>
          <w:color w:val="000000"/>
          <w:sz w:val="24"/>
          <w:szCs w:val="24"/>
          <w:lang w:val="en-GB"/>
        </w:rPr>
        <w:t>.</w:t>
      </w:r>
      <w:r w:rsidRPr="007548F4">
        <w:rPr>
          <w:rFonts w:ascii="Times New Roman" w:hAnsi="Times New Roman" w:cs="Times New Roman"/>
          <w:color w:val="000000"/>
          <w:sz w:val="24"/>
          <w:szCs w:val="24"/>
          <w:lang w:val="en-GB"/>
        </w:rPr>
        <w:t>), Peter Winch (</w:t>
      </w:r>
      <w:r>
        <w:rPr>
          <w:rFonts w:ascii="Times New Roman" w:hAnsi="Times New Roman" w:cs="Times New Roman"/>
          <w:color w:val="000000"/>
          <w:sz w:val="24"/>
          <w:szCs w:val="24"/>
          <w:lang w:val="en-GB"/>
        </w:rPr>
        <w:t>T</w:t>
      </w:r>
      <w:r w:rsidRPr="007548F4">
        <w:rPr>
          <w:rFonts w:ascii="Times New Roman" w:hAnsi="Times New Roman" w:cs="Times New Roman"/>
          <w:color w:val="000000"/>
          <w:sz w:val="24"/>
          <w:szCs w:val="24"/>
          <w:lang w:val="en-GB"/>
        </w:rPr>
        <w:t>r</w:t>
      </w:r>
      <w:r>
        <w:rPr>
          <w:rFonts w:ascii="Times New Roman" w:hAnsi="Times New Roman" w:cs="Times New Roman"/>
          <w:color w:val="000000"/>
          <w:sz w:val="24"/>
          <w:szCs w:val="24"/>
          <w:lang w:val="en-GB"/>
        </w:rPr>
        <w:t>.</w:t>
      </w:r>
      <w:r w:rsidRPr="007548F4">
        <w:rPr>
          <w:rFonts w:ascii="Times New Roman" w:hAnsi="Times New Roman" w:cs="Times New Roman"/>
          <w:color w:val="000000"/>
          <w:sz w:val="24"/>
          <w:szCs w:val="24"/>
          <w:lang w:val="en-GB"/>
        </w:rPr>
        <w:t xml:space="preserve">). Oxford: Blackwell. </w:t>
      </w:r>
    </w:p>
    <w:p w14:paraId="5FACA62F" w14:textId="77777777" w:rsidR="005A4EEA" w:rsidRDefault="005A4EEA" w:rsidP="005A4EEA">
      <w:pPr>
        <w:spacing w:after="0" w:line="480" w:lineRule="auto"/>
        <w:ind w:left="1304" w:hanging="1304"/>
        <w:jc w:val="both"/>
        <w:rPr>
          <w:rFonts w:ascii="Times New Roman" w:hAnsi="Times New Roman" w:cs="Times New Roman"/>
          <w:sz w:val="24"/>
          <w:szCs w:val="24"/>
          <w:lang w:val="en-US"/>
        </w:rPr>
      </w:pPr>
    </w:p>
    <w:p w14:paraId="7D705514" w14:textId="77777777" w:rsidR="005A4EEA" w:rsidRPr="00844385" w:rsidRDefault="005A4EEA" w:rsidP="005A4EEA">
      <w:pPr>
        <w:spacing w:after="0" w:line="480" w:lineRule="auto"/>
        <w:ind w:left="1304" w:hanging="1304"/>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E </w:t>
      </w:r>
      <w:r>
        <w:rPr>
          <w:rFonts w:ascii="Times New Roman" w:hAnsi="Times New Roman" w:cs="Times New Roman"/>
          <w:sz w:val="24"/>
          <w:szCs w:val="24"/>
          <w:lang w:val="en-US"/>
        </w:rPr>
        <w:tab/>
        <w:t>Wittgenstein, L.</w:t>
      </w:r>
      <w:r w:rsidRPr="007C7C48">
        <w:rPr>
          <w:rFonts w:ascii="Times New Roman" w:hAnsi="Times New Roman" w:cs="Times New Roman"/>
          <w:sz w:val="24"/>
          <w:szCs w:val="24"/>
          <w:lang w:val="en-US"/>
        </w:rPr>
        <w:t xml:space="preserve"> </w:t>
      </w:r>
      <w:r>
        <w:rPr>
          <w:rFonts w:ascii="Times New Roman" w:hAnsi="Times New Roman" w:cs="Times New Roman"/>
          <w:color w:val="000000"/>
          <w:sz w:val="24"/>
          <w:szCs w:val="24"/>
          <w:lang w:val="en-GB"/>
        </w:rPr>
        <w:t>(1974a). Lecture on ethics.</w:t>
      </w:r>
      <w:r w:rsidRPr="007548F4">
        <w:rPr>
          <w:rFonts w:ascii="Times New Roman" w:hAnsi="Times New Roman" w:cs="Times New Roman"/>
          <w:color w:val="000000"/>
          <w:sz w:val="24"/>
          <w:szCs w:val="24"/>
          <w:lang w:val="en-GB"/>
        </w:rPr>
        <w:t xml:space="preserve"> </w:t>
      </w:r>
      <w:r w:rsidRPr="007548F4">
        <w:rPr>
          <w:rFonts w:ascii="Times New Roman" w:hAnsi="Times New Roman" w:cs="Times New Roman"/>
          <w:i/>
          <w:color w:val="000000"/>
          <w:sz w:val="24"/>
          <w:szCs w:val="24"/>
          <w:lang w:val="en-GB"/>
        </w:rPr>
        <w:t>The Philosophical Review</w:t>
      </w:r>
      <w:r w:rsidRPr="007548F4">
        <w:rPr>
          <w:rFonts w:ascii="Times New Roman" w:hAnsi="Times New Roman" w:cs="Times New Roman"/>
          <w:color w:val="000000"/>
          <w:sz w:val="24"/>
          <w:szCs w:val="24"/>
          <w:lang w:val="en-GB"/>
        </w:rPr>
        <w:t>, 74:1, 3−12.</w:t>
      </w:r>
    </w:p>
    <w:p w14:paraId="597CD1B5" w14:textId="77777777" w:rsidR="00AB100F" w:rsidRPr="007C7C48" w:rsidRDefault="00AB100F" w:rsidP="005A4EEA">
      <w:pPr>
        <w:spacing w:after="0" w:line="480" w:lineRule="auto"/>
        <w:jc w:val="both"/>
        <w:rPr>
          <w:rFonts w:ascii="Times New Roman" w:hAnsi="Times New Roman" w:cs="Times New Roman"/>
          <w:color w:val="000000"/>
          <w:sz w:val="24"/>
          <w:szCs w:val="24"/>
          <w:lang w:val="en-GB"/>
        </w:rPr>
      </w:pPr>
    </w:p>
    <w:p w14:paraId="2485E6E5" w14:textId="77777777" w:rsidR="005A4EEA" w:rsidRPr="005A4EEA" w:rsidRDefault="005A4EEA" w:rsidP="005A4EEA">
      <w:pPr>
        <w:spacing w:after="0" w:line="480" w:lineRule="auto"/>
        <w:ind w:left="1304" w:hanging="1304"/>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LC </w:t>
      </w:r>
      <w:r>
        <w:rPr>
          <w:rFonts w:ascii="Times New Roman" w:hAnsi="Times New Roman" w:cs="Times New Roman"/>
          <w:sz w:val="24"/>
          <w:szCs w:val="24"/>
          <w:lang w:val="en-US"/>
        </w:rPr>
        <w:tab/>
        <w:t>Wittgenstein, L.</w:t>
      </w:r>
      <w:r w:rsidRPr="007C7C48">
        <w:rPr>
          <w:rFonts w:ascii="Times New Roman" w:hAnsi="Times New Roman" w:cs="Times New Roman"/>
          <w:sz w:val="24"/>
          <w:szCs w:val="24"/>
          <w:lang w:val="en-US"/>
        </w:rPr>
        <w:t xml:space="preserve"> </w:t>
      </w:r>
      <w:r>
        <w:rPr>
          <w:rFonts w:ascii="Times New Roman" w:hAnsi="Times New Roman" w:cs="Times New Roman"/>
          <w:color w:val="000000"/>
          <w:sz w:val="24"/>
          <w:szCs w:val="24"/>
          <w:lang w:val="en-GB"/>
        </w:rPr>
        <w:t>(1966).</w:t>
      </w:r>
      <w:r w:rsidRPr="005D51F9">
        <w:rPr>
          <w:rFonts w:ascii="Times New Roman" w:hAnsi="Times New Roman" w:cs="Times New Roman"/>
          <w:color w:val="000000"/>
          <w:sz w:val="24"/>
          <w:szCs w:val="24"/>
          <w:lang w:val="en-GB"/>
        </w:rPr>
        <w:t xml:space="preserve"> </w:t>
      </w:r>
      <w:r w:rsidRPr="005D51F9">
        <w:rPr>
          <w:rFonts w:ascii="Times New Roman" w:hAnsi="Times New Roman" w:cs="Times New Roman"/>
          <w:i/>
          <w:iCs/>
          <w:color w:val="000000"/>
          <w:sz w:val="24"/>
          <w:szCs w:val="24"/>
          <w:lang w:val="en-GB"/>
        </w:rPr>
        <w:t xml:space="preserve">Lectures and </w:t>
      </w:r>
      <w:r w:rsidR="006A346C">
        <w:rPr>
          <w:rFonts w:ascii="Times New Roman" w:hAnsi="Times New Roman" w:cs="Times New Roman"/>
          <w:i/>
          <w:iCs/>
          <w:color w:val="000000"/>
          <w:sz w:val="24"/>
          <w:szCs w:val="24"/>
          <w:lang w:val="en-GB"/>
        </w:rPr>
        <w:t>C</w:t>
      </w:r>
      <w:r w:rsidRPr="005D51F9">
        <w:rPr>
          <w:rFonts w:ascii="Times New Roman" w:hAnsi="Times New Roman" w:cs="Times New Roman"/>
          <w:i/>
          <w:iCs/>
          <w:color w:val="000000"/>
          <w:sz w:val="24"/>
          <w:szCs w:val="24"/>
          <w:lang w:val="en-GB"/>
        </w:rPr>
        <w:t xml:space="preserve">onversations on </w:t>
      </w:r>
      <w:r w:rsidR="006A346C">
        <w:rPr>
          <w:rFonts w:ascii="Times New Roman" w:hAnsi="Times New Roman" w:cs="Times New Roman"/>
          <w:i/>
          <w:iCs/>
          <w:color w:val="000000"/>
          <w:sz w:val="24"/>
          <w:szCs w:val="24"/>
          <w:lang w:val="en-GB"/>
        </w:rPr>
        <w:t>A</w:t>
      </w:r>
      <w:r w:rsidRPr="005D51F9">
        <w:rPr>
          <w:rFonts w:ascii="Times New Roman" w:hAnsi="Times New Roman" w:cs="Times New Roman"/>
          <w:i/>
          <w:iCs/>
          <w:color w:val="000000"/>
          <w:sz w:val="24"/>
          <w:szCs w:val="24"/>
          <w:lang w:val="en-GB"/>
        </w:rPr>
        <w:t xml:space="preserve">esthetics, </w:t>
      </w:r>
      <w:r w:rsidR="006A346C">
        <w:rPr>
          <w:rFonts w:ascii="Times New Roman" w:hAnsi="Times New Roman" w:cs="Times New Roman"/>
          <w:i/>
          <w:iCs/>
          <w:color w:val="000000"/>
          <w:sz w:val="24"/>
          <w:szCs w:val="24"/>
          <w:lang w:val="en-GB"/>
        </w:rPr>
        <w:t>P</w:t>
      </w:r>
      <w:r w:rsidRPr="005D51F9">
        <w:rPr>
          <w:rFonts w:ascii="Times New Roman" w:hAnsi="Times New Roman" w:cs="Times New Roman"/>
          <w:i/>
          <w:iCs/>
          <w:color w:val="000000"/>
          <w:sz w:val="24"/>
          <w:szCs w:val="24"/>
          <w:lang w:val="en-GB"/>
        </w:rPr>
        <w:t xml:space="preserve">sychology and </w:t>
      </w:r>
      <w:r w:rsidR="006A346C">
        <w:rPr>
          <w:rFonts w:ascii="Times New Roman" w:hAnsi="Times New Roman" w:cs="Times New Roman"/>
          <w:i/>
          <w:iCs/>
          <w:color w:val="000000"/>
          <w:sz w:val="24"/>
          <w:szCs w:val="24"/>
          <w:lang w:val="en-GB"/>
        </w:rPr>
        <w:t>R</w:t>
      </w:r>
      <w:r w:rsidRPr="005D51F9">
        <w:rPr>
          <w:rFonts w:ascii="Times New Roman" w:hAnsi="Times New Roman" w:cs="Times New Roman"/>
          <w:i/>
          <w:iCs/>
          <w:color w:val="000000"/>
          <w:sz w:val="24"/>
          <w:szCs w:val="24"/>
          <w:lang w:val="en-GB"/>
        </w:rPr>
        <w:t xml:space="preserve">eligious </w:t>
      </w:r>
      <w:r>
        <w:rPr>
          <w:rFonts w:ascii="Times New Roman" w:hAnsi="Times New Roman" w:cs="Times New Roman"/>
          <w:i/>
          <w:iCs/>
          <w:color w:val="000000"/>
          <w:sz w:val="24"/>
          <w:szCs w:val="24"/>
          <w:lang w:val="en-GB"/>
        </w:rPr>
        <w:t>b</w:t>
      </w:r>
      <w:r w:rsidRPr="005D51F9">
        <w:rPr>
          <w:rFonts w:ascii="Times New Roman" w:hAnsi="Times New Roman" w:cs="Times New Roman"/>
          <w:i/>
          <w:iCs/>
          <w:color w:val="000000"/>
          <w:sz w:val="24"/>
          <w:szCs w:val="24"/>
          <w:lang w:val="en-GB"/>
        </w:rPr>
        <w:t>elief</w:t>
      </w:r>
      <w:r>
        <w:rPr>
          <w:rFonts w:ascii="Times New Roman" w:hAnsi="Times New Roman" w:cs="Times New Roman"/>
          <w:color w:val="000000"/>
          <w:sz w:val="24"/>
          <w:szCs w:val="24"/>
          <w:lang w:val="en-GB"/>
        </w:rPr>
        <w:t>.</w:t>
      </w:r>
      <w:r w:rsidRPr="005D51F9">
        <w:rPr>
          <w:rFonts w:ascii="Times New Roman" w:hAnsi="Times New Roman" w:cs="Times New Roman"/>
          <w:color w:val="000000"/>
          <w:sz w:val="24"/>
          <w:szCs w:val="24"/>
          <w:lang w:val="en-GB"/>
        </w:rPr>
        <w:t xml:space="preserve"> C. Barrett (</w:t>
      </w:r>
      <w:r>
        <w:rPr>
          <w:rFonts w:ascii="Times New Roman" w:hAnsi="Times New Roman" w:cs="Times New Roman"/>
          <w:color w:val="000000"/>
          <w:sz w:val="24"/>
          <w:szCs w:val="24"/>
          <w:lang w:val="en-GB"/>
        </w:rPr>
        <w:t>E</w:t>
      </w:r>
      <w:r w:rsidRPr="005D51F9">
        <w:rPr>
          <w:rFonts w:ascii="Times New Roman" w:hAnsi="Times New Roman" w:cs="Times New Roman"/>
          <w:color w:val="000000"/>
          <w:sz w:val="24"/>
          <w:szCs w:val="24"/>
          <w:lang w:val="en-GB"/>
        </w:rPr>
        <w:t>d</w:t>
      </w:r>
      <w:r>
        <w:rPr>
          <w:rFonts w:ascii="Times New Roman" w:hAnsi="Times New Roman" w:cs="Times New Roman"/>
          <w:color w:val="000000"/>
          <w:sz w:val="24"/>
          <w:szCs w:val="24"/>
          <w:lang w:val="en-GB"/>
        </w:rPr>
        <w:t>.</w:t>
      </w:r>
      <w:r w:rsidRPr="005D51F9">
        <w:rPr>
          <w:rFonts w:ascii="Times New Roman" w:hAnsi="Times New Roman" w:cs="Times New Roman"/>
          <w:color w:val="000000"/>
          <w:sz w:val="24"/>
          <w:szCs w:val="24"/>
          <w:lang w:val="en-GB"/>
        </w:rPr>
        <w:t>). Berkeley: University of California Press.</w:t>
      </w:r>
    </w:p>
    <w:p w14:paraId="3FF7A660" w14:textId="77777777" w:rsidR="005A4EEA" w:rsidRDefault="005A4EEA" w:rsidP="005A4EEA">
      <w:pPr>
        <w:spacing w:after="0" w:line="480" w:lineRule="auto"/>
        <w:ind w:left="1304" w:hanging="1304"/>
        <w:jc w:val="both"/>
        <w:rPr>
          <w:rFonts w:ascii="Times New Roman" w:hAnsi="Times New Roman" w:cs="Times New Roman"/>
          <w:sz w:val="24"/>
          <w:szCs w:val="24"/>
          <w:lang w:val="en-US"/>
        </w:rPr>
      </w:pPr>
    </w:p>
    <w:p w14:paraId="1AB679C8" w14:textId="77777777" w:rsidR="005A4EEA" w:rsidRDefault="005A4EEA" w:rsidP="005A4EEA">
      <w:pPr>
        <w:spacing w:after="0" w:line="480" w:lineRule="auto"/>
        <w:ind w:left="1304" w:hanging="1304"/>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LWL </w:t>
      </w:r>
      <w:r>
        <w:rPr>
          <w:rFonts w:ascii="Times New Roman" w:hAnsi="Times New Roman" w:cs="Times New Roman"/>
          <w:sz w:val="24"/>
          <w:szCs w:val="24"/>
          <w:lang w:val="en-US"/>
        </w:rPr>
        <w:tab/>
        <w:t>Wittgenstein, L.</w:t>
      </w:r>
      <w:r w:rsidRPr="007548F4">
        <w:rPr>
          <w:rFonts w:ascii="Times New Roman" w:hAnsi="Times New Roman" w:cs="Times New Roman"/>
          <w:color w:val="000000"/>
          <w:sz w:val="24"/>
          <w:szCs w:val="24"/>
          <w:lang w:val="en-GB"/>
        </w:rPr>
        <w:t xml:space="preserve"> </w:t>
      </w:r>
      <w:r w:rsidRPr="007548F4">
        <w:rPr>
          <w:rFonts w:ascii="Times New Roman" w:hAnsi="Times New Roman" w:cs="Times New Roman"/>
          <w:sz w:val="24"/>
          <w:szCs w:val="24"/>
          <w:lang w:val="en-US"/>
        </w:rPr>
        <w:t>(1979)</w:t>
      </w:r>
      <w:r>
        <w:rPr>
          <w:rFonts w:ascii="Times New Roman" w:hAnsi="Times New Roman" w:cs="Times New Roman"/>
          <w:sz w:val="24"/>
          <w:szCs w:val="24"/>
          <w:lang w:val="en-US"/>
        </w:rPr>
        <w:t>.</w:t>
      </w:r>
      <w:r w:rsidRPr="007548F4">
        <w:rPr>
          <w:rFonts w:ascii="Times New Roman" w:hAnsi="Times New Roman" w:cs="Times New Roman"/>
          <w:sz w:val="24"/>
          <w:szCs w:val="24"/>
          <w:lang w:val="en-US"/>
        </w:rPr>
        <w:t xml:space="preserve"> </w:t>
      </w:r>
      <w:r w:rsidRPr="007548F4">
        <w:rPr>
          <w:rFonts w:ascii="Times New Roman" w:hAnsi="Times New Roman" w:cs="Times New Roman"/>
          <w:i/>
          <w:sz w:val="24"/>
          <w:szCs w:val="24"/>
          <w:lang w:val="en-US"/>
        </w:rPr>
        <w:t xml:space="preserve">Wittgenstein’s </w:t>
      </w:r>
      <w:r w:rsidR="006A346C">
        <w:rPr>
          <w:rFonts w:ascii="Times New Roman" w:hAnsi="Times New Roman" w:cs="Times New Roman"/>
          <w:i/>
          <w:sz w:val="24"/>
          <w:szCs w:val="24"/>
          <w:lang w:val="en-US"/>
        </w:rPr>
        <w:t>L</w:t>
      </w:r>
      <w:r w:rsidRPr="007548F4">
        <w:rPr>
          <w:rFonts w:ascii="Times New Roman" w:hAnsi="Times New Roman" w:cs="Times New Roman"/>
          <w:i/>
          <w:sz w:val="24"/>
          <w:szCs w:val="24"/>
          <w:lang w:val="en-US"/>
        </w:rPr>
        <w:t>ectures, Cambridge 1930</w:t>
      </w:r>
      <w:r w:rsidRPr="007548F4">
        <w:rPr>
          <w:rFonts w:ascii="Times New Roman" w:hAnsi="Times New Roman" w:cs="Times New Roman"/>
          <w:i/>
          <w:color w:val="000000"/>
          <w:sz w:val="24"/>
          <w:szCs w:val="24"/>
          <w:lang w:val="en-GB"/>
        </w:rPr>
        <w:t>−32</w:t>
      </w:r>
      <w:r w:rsidRPr="007548F4">
        <w:rPr>
          <w:rFonts w:ascii="Times New Roman" w:hAnsi="Times New Roman" w:cs="Times New Roman"/>
          <w:color w:val="000000"/>
          <w:sz w:val="24"/>
          <w:szCs w:val="24"/>
          <w:lang w:val="en-GB"/>
        </w:rPr>
        <w:t>. D. Lee (</w:t>
      </w:r>
      <w:r>
        <w:rPr>
          <w:rFonts w:ascii="Times New Roman" w:hAnsi="Times New Roman" w:cs="Times New Roman"/>
          <w:color w:val="000000"/>
          <w:sz w:val="24"/>
          <w:szCs w:val="24"/>
          <w:lang w:val="en-GB"/>
        </w:rPr>
        <w:t>E</w:t>
      </w:r>
      <w:r w:rsidRPr="007548F4">
        <w:rPr>
          <w:rFonts w:ascii="Times New Roman" w:hAnsi="Times New Roman" w:cs="Times New Roman"/>
          <w:color w:val="000000"/>
          <w:sz w:val="24"/>
          <w:szCs w:val="24"/>
          <w:lang w:val="en-GB"/>
        </w:rPr>
        <w:t>d</w:t>
      </w:r>
      <w:r>
        <w:rPr>
          <w:rFonts w:ascii="Times New Roman" w:hAnsi="Times New Roman" w:cs="Times New Roman"/>
          <w:color w:val="000000"/>
          <w:sz w:val="24"/>
          <w:szCs w:val="24"/>
          <w:lang w:val="en-GB"/>
        </w:rPr>
        <w:t>.</w:t>
      </w:r>
      <w:r w:rsidRPr="007548F4">
        <w:rPr>
          <w:rFonts w:ascii="Times New Roman" w:hAnsi="Times New Roman" w:cs="Times New Roman"/>
          <w:color w:val="000000"/>
          <w:sz w:val="24"/>
          <w:szCs w:val="24"/>
          <w:lang w:val="en-GB"/>
        </w:rPr>
        <w:t>). Oxford: Blackwell.</w:t>
      </w:r>
    </w:p>
    <w:p w14:paraId="656ABD61" w14:textId="77777777" w:rsidR="005A4EEA" w:rsidRDefault="005A4EEA" w:rsidP="005A4EEA">
      <w:pPr>
        <w:spacing w:after="0" w:line="480" w:lineRule="auto"/>
        <w:ind w:left="1304" w:hanging="1304"/>
        <w:jc w:val="both"/>
        <w:rPr>
          <w:rFonts w:ascii="Times New Roman" w:hAnsi="Times New Roman" w:cs="Times New Roman"/>
          <w:color w:val="000000"/>
          <w:sz w:val="24"/>
          <w:szCs w:val="24"/>
          <w:lang w:val="en-GB"/>
        </w:rPr>
      </w:pPr>
    </w:p>
    <w:p w14:paraId="4AF01644" w14:textId="77777777" w:rsidR="005A4EEA" w:rsidRDefault="005A4EEA" w:rsidP="005A4EEA">
      <w:pPr>
        <w:spacing w:after="0" w:line="480" w:lineRule="auto"/>
        <w:ind w:left="1304" w:hanging="1304"/>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M </w:t>
      </w:r>
      <w:r>
        <w:rPr>
          <w:rFonts w:ascii="Times New Roman" w:hAnsi="Times New Roman" w:cs="Times New Roman"/>
          <w:sz w:val="24"/>
          <w:szCs w:val="24"/>
          <w:lang w:val="en-US"/>
        </w:rPr>
        <w:tab/>
      </w:r>
      <w:r w:rsidRPr="00D65EE3">
        <w:rPr>
          <w:rFonts w:ascii="Times New Roman" w:hAnsi="Times New Roman" w:cs="Times New Roman"/>
          <w:sz w:val="24"/>
          <w:szCs w:val="24"/>
          <w:lang w:val="en-US"/>
        </w:rPr>
        <w:t>Wittgenstein, L</w:t>
      </w:r>
      <w:r>
        <w:rPr>
          <w:rFonts w:ascii="Times New Roman" w:hAnsi="Times New Roman" w:cs="Times New Roman"/>
          <w:sz w:val="24"/>
          <w:szCs w:val="24"/>
          <w:lang w:val="en-US"/>
        </w:rPr>
        <w:t>. (</w:t>
      </w:r>
      <w:r>
        <w:rPr>
          <w:rFonts w:ascii="Times New Roman" w:hAnsi="Times New Roman" w:cs="Times New Roman"/>
          <w:color w:val="000000"/>
          <w:sz w:val="24"/>
          <w:szCs w:val="24"/>
          <w:lang w:val="en-GB"/>
        </w:rPr>
        <w:t>2016).</w:t>
      </w:r>
      <w:r w:rsidRPr="00D65EE3">
        <w:rPr>
          <w:rFonts w:ascii="Times New Roman" w:hAnsi="Times New Roman" w:cs="Times New Roman"/>
          <w:color w:val="000000"/>
          <w:sz w:val="24"/>
          <w:szCs w:val="24"/>
          <w:lang w:val="en-GB"/>
        </w:rPr>
        <w:t xml:space="preserve"> </w:t>
      </w:r>
      <w:r w:rsidRPr="00D65EE3">
        <w:rPr>
          <w:rFonts w:ascii="Times New Roman" w:hAnsi="Times New Roman" w:cs="Times New Roman"/>
          <w:i/>
          <w:color w:val="000000"/>
          <w:sz w:val="24"/>
          <w:szCs w:val="24"/>
          <w:lang w:val="en-GB"/>
        </w:rPr>
        <w:t>Wittgenstein: Lectures, Cambridge 1930−1933 from the Notes of G. E. Moore</w:t>
      </w:r>
      <w:r w:rsidRPr="00D65EE3">
        <w:rPr>
          <w:rFonts w:ascii="Times New Roman" w:hAnsi="Times New Roman" w:cs="Times New Roman"/>
          <w:color w:val="000000"/>
          <w:sz w:val="24"/>
          <w:szCs w:val="24"/>
          <w:lang w:val="en-GB"/>
        </w:rPr>
        <w:t>.</w:t>
      </w:r>
      <w:r>
        <w:rPr>
          <w:rFonts w:ascii="Times New Roman" w:hAnsi="Times New Roman" w:cs="Times New Roman"/>
          <w:color w:val="000000"/>
          <w:sz w:val="24"/>
          <w:szCs w:val="24"/>
          <w:lang w:val="en-GB"/>
        </w:rPr>
        <w:t xml:space="preserve"> D. </w:t>
      </w:r>
      <w:r w:rsidRPr="00D65EE3">
        <w:rPr>
          <w:rFonts w:ascii="Times New Roman" w:hAnsi="Times New Roman" w:cs="Times New Roman"/>
          <w:color w:val="000000"/>
          <w:sz w:val="24"/>
          <w:szCs w:val="24"/>
          <w:lang w:val="en-GB"/>
        </w:rPr>
        <w:t xml:space="preserve">Stern, </w:t>
      </w:r>
      <w:r>
        <w:rPr>
          <w:rFonts w:ascii="Times New Roman" w:hAnsi="Times New Roman" w:cs="Times New Roman"/>
          <w:color w:val="000000"/>
          <w:sz w:val="24"/>
          <w:szCs w:val="24"/>
          <w:lang w:val="en-GB"/>
        </w:rPr>
        <w:t xml:space="preserve">B. </w:t>
      </w:r>
      <w:r w:rsidRPr="00D65EE3">
        <w:rPr>
          <w:rFonts w:ascii="Times New Roman" w:hAnsi="Times New Roman" w:cs="Times New Roman"/>
          <w:color w:val="000000"/>
          <w:sz w:val="24"/>
          <w:szCs w:val="24"/>
          <w:lang w:val="en-GB"/>
        </w:rPr>
        <w:t xml:space="preserve">Rogers, and </w:t>
      </w:r>
      <w:r>
        <w:rPr>
          <w:rFonts w:ascii="Times New Roman" w:hAnsi="Times New Roman" w:cs="Times New Roman"/>
          <w:color w:val="000000"/>
          <w:sz w:val="24"/>
          <w:szCs w:val="24"/>
          <w:lang w:val="en-GB"/>
        </w:rPr>
        <w:t>G. Citron (Eds.)</w:t>
      </w:r>
      <w:r w:rsidRPr="00D65EE3">
        <w:rPr>
          <w:rFonts w:ascii="Times New Roman" w:hAnsi="Times New Roman" w:cs="Times New Roman"/>
          <w:color w:val="000000"/>
          <w:sz w:val="24"/>
          <w:szCs w:val="24"/>
          <w:lang w:val="en-GB"/>
        </w:rPr>
        <w:t>. Cambridge: Cambridge University Press.</w:t>
      </w:r>
    </w:p>
    <w:p w14:paraId="77931B59" w14:textId="77777777" w:rsidR="005A4EEA" w:rsidRDefault="005A4EEA" w:rsidP="005A4EEA">
      <w:pPr>
        <w:spacing w:after="0" w:line="480" w:lineRule="auto"/>
        <w:jc w:val="both"/>
        <w:rPr>
          <w:rFonts w:ascii="Times New Roman" w:hAnsi="Times New Roman" w:cs="Times New Roman"/>
          <w:sz w:val="24"/>
          <w:szCs w:val="24"/>
          <w:lang w:val="en-US"/>
        </w:rPr>
      </w:pPr>
    </w:p>
    <w:p w14:paraId="618D0DB5" w14:textId="77777777" w:rsidR="00AB100F" w:rsidRDefault="00B56440" w:rsidP="00B56440">
      <w:pPr>
        <w:spacing w:after="0" w:line="480" w:lineRule="auto"/>
        <w:ind w:left="1304" w:hanging="1304"/>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NB </w:t>
      </w:r>
      <w:r>
        <w:rPr>
          <w:rFonts w:ascii="Times New Roman" w:hAnsi="Times New Roman" w:cs="Times New Roman"/>
          <w:sz w:val="24"/>
          <w:szCs w:val="24"/>
          <w:lang w:val="en-US"/>
        </w:rPr>
        <w:tab/>
      </w:r>
      <w:r w:rsidR="00AB100F">
        <w:rPr>
          <w:rFonts w:ascii="Times New Roman" w:hAnsi="Times New Roman" w:cs="Times New Roman"/>
          <w:sz w:val="24"/>
          <w:szCs w:val="24"/>
          <w:lang w:val="en-US"/>
        </w:rPr>
        <w:t>Wittgenstein, L</w:t>
      </w:r>
      <w:r>
        <w:rPr>
          <w:rFonts w:ascii="Times New Roman" w:hAnsi="Times New Roman" w:cs="Times New Roman"/>
          <w:sz w:val="24"/>
          <w:szCs w:val="24"/>
          <w:lang w:val="en-US"/>
        </w:rPr>
        <w:t>.</w:t>
      </w:r>
      <w:r w:rsidR="00AB100F" w:rsidRPr="007C7C48">
        <w:rPr>
          <w:rFonts w:ascii="Times New Roman" w:hAnsi="Times New Roman" w:cs="Times New Roman"/>
          <w:color w:val="000000"/>
          <w:sz w:val="24"/>
          <w:szCs w:val="24"/>
          <w:lang w:val="en-GB"/>
        </w:rPr>
        <w:t xml:space="preserve"> </w:t>
      </w:r>
      <w:r w:rsidR="00AB100F" w:rsidRPr="007C7C48">
        <w:rPr>
          <w:rFonts w:ascii="Times New Roman" w:hAnsi="Times New Roman" w:cs="Times New Roman"/>
          <w:color w:val="000000"/>
          <w:sz w:val="24"/>
          <w:szCs w:val="24"/>
          <w:lang w:val="de-DE"/>
        </w:rPr>
        <w:t>(1961a)</w:t>
      </w:r>
      <w:r>
        <w:rPr>
          <w:rFonts w:ascii="Times New Roman" w:hAnsi="Times New Roman" w:cs="Times New Roman"/>
          <w:color w:val="000000"/>
          <w:sz w:val="24"/>
          <w:szCs w:val="24"/>
          <w:lang w:val="de-DE"/>
        </w:rPr>
        <w:t>.</w:t>
      </w:r>
      <w:r w:rsidR="00AB100F" w:rsidRPr="007C7C48">
        <w:rPr>
          <w:rFonts w:ascii="Times New Roman" w:hAnsi="Times New Roman" w:cs="Times New Roman"/>
          <w:color w:val="000000"/>
          <w:sz w:val="24"/>
          <w:szCs w:val="24"/>
          <w:lang w:val="de-DE"/>
        </w:rPr>
        <w:t xml:space="preserve"> </w:t>
      </w:r>
      <w:r w:rsidR="00AB100F" w:rsidRPr="007C7C48">
        <w:rPr>
          <w:rFonts w:ascii="Times New Roman" w:hAnsi="Times New Roman" w:cs="Times New Roman"/>
          <w:i/>
          <w:iCs/>
          <w:color w:val="000000"/>
          <w:sz w:val="24"/>
          <w:szCs w:val="24"/>
          <w:lang w:val="de-DE"/>
        </w:rPr>
        <w:t>Notebooks 1914–1916</w:t>
      </w:r>
      <w:r w:rsidR="00AB100F">
        <w:rPr>
          <w:rFonts w:ascii="Times New Roman" w:hAnsi="Times New Roman" w:cs="Times New Roman"/>
          <w:color w:val="000000"/>
          <w:sz w:val="24"/>
          <w:szCs w:val="24"/>
          <w:lang w:val="de-DE"/>
        </w:rPr>
        <w:t>.</w:t>
      </w:r>
      <w:r w:rsidR="00AB100F" w:rsidRPr="007C7C48">
        <w:rPr>
          <w:rFonts w:ascii="Times New Roman" w:hAnsi="Times New Roman" w:cs="Times New Roman"/>
          <w:color w:val="000000"/>
          <w:sz w:val="24"/>
          <w:szCs w:val="24"/>
          <w:lang w:val="de-DE"/>
        </w:rPr>
        <w:t xml:space="preserve"> </w:t>
      </w:r>
      <w:r w:rsidR="00AB100F" w:rsidRPr="007C7C48">
        <w:rPr>
          <w:rFonts w:ascii="Times New Roman" w:hAnsi="Times New Roman" w:cs="Times New Roman"/>
          <w:color w:val="000000"/>
          <w:sz w:val="24"/>
          <w:szCs w:val="24"/>
          <w:lang w:val="en-GB"/>
        </w:rPr>
        <w:t>G. H. von Wright and G. E. M. Anscombe (</w:t>
      </w:r>
      <w:r>
        <w:rPr>
          <w:rFonts w:ascii="Times New Roman" w:hAnsi="Times New Roman" w:cs="Times New Roman"/>
          <w:color w:val="000000"/>
          <w:sz w:val="24"/>
          <w:szCs w:val="24"/>
          <w:lang w:val="en-GB"/>
        </w:rPr>
        <w:t>E</w:t>
      </w:r>
      <w:r w:rsidR="00AB100F" w:rsidRPr="007C7C48">
        <w:rPr>
          <w:rFonts w:ascii="Times New Roman" w:hAnsi="Times New Roman" w:cs="Times New Roman"/>
          <w:color w:val="000000"/>
          <w:sz w:val="24"/>
          <w:szCs w:val="24"/>
          <w:lang w:val="en-GB"/>
        </w:rPr>
        <w:t>d</w:t>
      </w:r>
      <w:r>
        <w:rPr>
          <w:rFonts w:ascii="Times New Roman" w:hAnsi="Times New Roman" w:cs="Times New Roman"/>
          <w:color w:val="000000"/>
          <w:sz w:val="24"/>
          <w:szCs w:val="24"/>
          <w:lang w:val="en-GB"/>
        </w:rPr>
        <w:t>.</w:t>
      </w:r>
      <w:r w:rsidR="00AB100F" w:rsidRPr="007C7C48">
        <w:rPr>
          <w:rFonts w:ascii="Times New Roman" w:hAnsi="Times New Roman" w:cs="Times New Roman"/>
          <w:color w:val="000000"/>
          <w:sz w:val="24"/>
          <w:szCs w:val="24"/>
          <w:lang w:val="en-GB"/>
        </w:rPr>
        <w:t>), G. E. M. Anscombe (</w:t>
      </w:r>
      <w:r>
        <w:rPr>
          <w:rFonts w:ascii="Times New Roman" w:hAnsi="Times New Roman" w:cs="Times New Roman"/>
          <w:color w:val="000000"/>
          <w:sz w:val="24"/>
          <w:szCs w:val="24"/>
          <w:lang w:val="en-GB"/>
        </w:rPr>
        <w:t>T</w:t>
      </w:r>
      <w:r w:rsidR="00AB100F" w:rsidRPr="007C7C48">
        <w:rPr>
          <w:rFonts w:ascii="Times New Roman" w:hAnsi="Times New Roman" w:cs="Times New Roman"/>
          <w:color w:val="000000"/>
          <w:sz w:val="24"/>
          <w:szCs w:val="24"/>
          <w:lang w:val="en-GB"/>
        </w:rPr>
        <w:t>r</w:t>
      </w:r>
      <w:r>
        <w:rPr>
          <w:rFonts w:ascii="Times New Roman" w:hAnsi="Times New Roman" w:cs="Times New Roman"/>
          <w:color w:val="000000"/>
          <w:sz w:val="24"/>
          <w:szCs w:val="24"/>
          <w:lang w:val="en-GB"/>
        </w:rPr>
        <w:t>.</w:t>
      </w:r>
      <w:r w:rsidR="00AB100F" w:rsidRPr="007C7C48">
        <w:rPr>
          <w:rFonts w:ascii="Times New Roman" w:hAnsi="Times New Roman" w:cs="Times New Roman"/>
          <w:color w:val="000000"/>
          <w:sz w:val="24"/>
          <w:szCs w:val="24"/>
          <w:lang w:val="en-GB"/>
        </w:rPr>
        <w:t>). Oxford: Blackwell.</w:t>
      </w:r>
    </w:p>
    <w:p w14:paraId="7B53B3A3" w14:textId="77777777" w:rsidR="005A4EEA" w:rsidRDefault="005A4EEA" w:rsidP="00B56440">
      <w:pPr>
        <w:spacing w:after="0" w:line="480" w:lineRule="auto"/>
        <w:ind w:left="1304" w:hanging="1304"/>
        <w:jc w:val="both"/>
        <w:rPr>
          <w:rFonts w:ascii="Times New Roman" w:hAnsi="Times New Roman" w:cs="Times New Roman"/>
          <w:color w:val="000000"/>
          <w:sz w:val="24"/>
          <w:szCs w:val="24"/>
          <w:lang w:val="en-GB"/>
        </w:rPr>
      </w:pPr>
    </w:p>
    <w:p w14:paraId="551F8114" w14:textId="77777777" w:rsidR="005A4EEA" w:rsidRDefault="005A4EEA" w:rsidP="005A4EEA">
      <w:pPr>
        <w:spacing w:after="0" w:line="480" w:lineRule="auto"/>
        <w:ind w:left="1304" w:hanging="1304"/>
        <w:rPr>
          <w:rFonts w:ascii="Times New Roman" w:hAnsi="Times New Roman" w:cs="Times New Roman"/>
          <w:sz w:val="24"/>
          <w:szCs w:val="24"/>
          <w:lang w:val="en-GB"/>
        </w:rPr>
      </w:pPr>
      <w:r>
        <w:rPr>
          <w:rFonts w:ascii="Times New Roman" w:hAnsi="Times New Roman" w:cs="Times New Roman"/>
          <w:sz w:val="24"/>
          <w:szCs w:val="24"/>
          <w:lang w:val="en-US"/>
        </w:rPr>
        <w:t xml:space="preserve">OC </w:t>
      </w:r>
      <w:r>
        <w:rPr>
          <w:rFonts w:ascii="Times New Roman" w:hAnsi="Times New Roman" w:cs="Times New Roman"/>
          <w:sz w:val="24"/>
          <w:szCs w:val="24"/>
          <w:lang w:val="en-US"/>
        </w:rPr>
        <w:tab/>
        <w:t>Wittgenstein, L. (</w:t>
      </w:r>
      <w:r>
        <w:rPr>
          <w:rFonts w:ascii="Times New Roman" w:hAnsi="Times New Roman" w:cs="Times New Roman"/>
          <w:sz w:val="24"/>
          <w:szCs w:val="24"/>
          <w:lang w:val="en-GB"/>
        </w:rPr>
        <w:t>1969).</w:t>
      </w:r>
      <w:r w:rsidRPr="005D51F9">
        <w:rPr>
          <w:rFonts w:ascii="Times New Roman" w:hAnsi="Times New Roman" w:cs="Times New Roman"/>
          <w:sz w:val="24"/>
          <w:szCs w:val="24"/>
          <w:lang w:val="en-GB"/>
        </w:rPr>
        <w:t xml:space="preserve"> </w:t>
      </w:r>
      <w:r w:rsidRPr="005D51F9">
        <w:rPr>
          <w:rFonts w:ascii="Times New Roman" w:hAnsi="Times New Roman" w:cs="Times New Roman"/>
          <w:i/>
          <w:sz w:val="24"/>
          <w:szCs w:val="24"/>
          <w:lang w:val="en-GB"/>
        </w:rPr>
        <w:t xml:space="preserve">On </w:t>
      </w:r>
      <w:r w:rsidR="006A346C">
        <w:rPr>
          <w:rFonts w:ascii="Times New Roman" w:hAnsi="Times New Roman" w:cs="Times New Roman"/>
          <w:i/>
          <w:sz w:val="24"/>
          <w:szCs w:val="24"/>
          <w:lang w:val="en-GB"/>
        </w:rPr>
        <w:t>C</w:t>
      </w:r>
      <w:r w:rsidRPr="005D51F9">
        <w:rPr>
          <w:rFonts w:ascii="Times New Roman" w:hAnsi="Times New Roman" w:cs="Times New Roman"/>
          <w:i/>
          <w:sz w:val="24"/>
          <w:szCs w:val="24"/>
          <w:lang w:val="en-GB"/>
        </w:rPr>
        <w:t>ertainty</w:t>
      </w:r>
      <w:r>
        <w:rPr>
          <w:rFonts w:ascii="Times New Roman" w:hAnsi="Times New Roman" w:cs="Times New Roman"/>
          <w:sz w:val="24"/>
          <w:szCs w:val="24"/>
          <w:lang w:val="en-GB"/>
        </w:rPr>
        <w:t xml:space="preserve">. </w:t>
      </w:r>
      <w:r w:rsidRPr="005D51F9">
        <w:rPr>
          <w:rFonts w:ascii="Times New Roman" w:hAnsi="Times New Roman" w:cs="Times New Roman"/>
          <w:color w:val="000000"/>
          <w:sz w:val="24"/>
          <w:szCs w:val="24"/>
          <w:lang w:val="en-GB"/>
        </w:rPr>
        <w:t>G. H. von Wright and G. E. M. Anscombe</w:t>
      </w:r>
      <w:r>
        <w:rPr>
          <w:rFonts w:ascii="Times New Roman" w:hAnsi="Times New Roman" w:cs="Times New Roman"/>
          <w:color w:val="000000"/>
          <w:sz w:val="24"/>
          <w:szCs w:val="24"/>
          <w:lang w:val="en-GB"/>
        </w:rPr>
        <w:t xml:space="preserve"> (Ed.), G. E. M. Anscombe (Tr.)</w:t>
      </w:r>
      <w:r w:rsidRPr="005D51F9">
        <w:rPr>
          <w:rFonts w:ascii="Times New Roman" w:hAnsi="Times New Roman" w:cs="Times New Roman"/>
          <w:color w:val="000000"/>
          <w:sz w:val="24"/>
          <w:szCs w:val="24"/>
          <w:lang w:val="en-GB"/>
        </w:rPr>
        <w:t xml:space="preserve">. </w:t>
      </w:r>
      <w:r w:rsidRPr="005D51F9">
        <w:rPr>
          <w:rFonts w:ascii="Times New Roman" w:hAnsi="Times New Roman" w:cs="Times New Roman"/>
          <w:sz w:val="24"/>
          <w:szCs w:val="24"/>
          <w:lang w:val="en-GB"/>
        </w:rPr>
        <w:t>Oxford: Blackwell.</w:t>
      </w:r>
    </w:p>
    <w:p w14:paraId="23CADB69" w14:textId="77777777" w:rsidR="005A4EEA" w:rsidRPr="005D51F9" w:rsidRDefault="005A4EEA" w:rsidP="005A4EEA">
      <w:pPr>
        <w:spacing w:after="0" w:line="480" w:lineRule="auto"/>
        <w:ind w:left="1304" w:hanging="1304"/>
        <w:rPr>
          <w:rFonts w:ascii="Times New Roman" w:hAnsi="Times New Roman" w:cs="Times New Roman"/>
          <w:sz w:val="24"/>
          <w:szCs w:val="24"/>
          <w:lang w:val="en-GB"/>
        </w:rPr>
      </w:pPr>
    </w:p>
    <w:p w14:paraId="38500BF5" w14:textId="77777777" w:rsidR="005A4EEA" w:rsidRPr="005A4EEA" w:rsidRDefault="005A4EEA" w:rsidP="005A4EEA">
      <w:pPr>
        <w:spacing w:after="0" w:line="480" w:lineRule="auto"/>
        <w:ind w:left="1304" w:hanging="1304"/>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PG </w:t>
      </w:r>
      <w:r>
        <w:rPr>
          <w:rFonts w:ascii="Times New Roman" w:hAnsi="Times New Roman" w:cs="Times New Roman"/>
          <w:sz w:val="24"/>
          <w:szCs w:val="24"/>
          <w:lang w:val="en-US"/>
        </w:rPr>
        <w:tab/>
        <w:t>Wittgenstein, L. (</w:t>
      </w:r>
      <w:r>
        <w:rPr>
          <w:rFonts w:ascii="Times New Roman" w:hAnsi="Times New Roman" w:cs="Times New Roman"/>
          <w:color w:val="000000"/>
          <w:sz w:val="24"/>
          <w:szCs w:val="24"/>
          <w:lang w:val="en-GB"/>
        </w:rPr>
        <w:t>1974b).</w:t>
      </w:r>
      <w:r w:rsidRPr="005D51F9">
        <w:rPr>
          <w:rFonts w:ascii="Times New Roman" w:hAnsi="Times New Roman" w:cs="Times New Roman"/>
          <w:color w:val="000000"/>
          <w:sz w:val="24"/>
          <w:szCs w:val="24"/>
          <w:lang w:val="en-GB"/>
        </w:rPr>
        <w:t xml:space="preserve"> </w:t>
      </w:r>
      <w:r w:rsidRPr="005D51F9">
        <w:rPr>
          <w:rFonts w:ascii="Times New Roman" w:hAnsi="Times New Roman" w:cs="Times New Roman"/>
          <w:i/>
          <w:color w:val="000000"/>
          <w:sz w:val="24"/>
          <w:szCs w:val="24"/>
          <w:lang w:val="en-GB"/>
        </w:rPr>
        <w:t xml:space="preserve">Philosophical </w:t>
      </w:r>
      <w:r w:rsidR="006A346C">
        <w:rPr>
          <w:rFonts w:ascii="Times New Roman" w:hAnsi="Times New Roman" w:cs="Times New Roman"/>
          <w:i/>
          <w:color w:val="000000"/>
          <w:sz w:val="24"/>
          <w:szCs w:val="24"/>
          <w:lang w:val="en-GB"/>
        </w:rPr>
        <w:t>G</w:t>
      </w:r>
      <w:r w:rsidRPr="005D51F9">
        <w:rPr>
          <w:rFonts w:ascii="Times New Roman" w:hAnsi="Times New Roman" w:cs="Times New Roman"/>
          <w:i/>
          <w:color w:val="000000"/>
          <w:sz w:val="24"/>
          <w:szCs w:val="24"/>
          <w:lang w:val="en-GB"/>
        </w:rPr>
        <w:t>rammar</w:t>
      </w:r>
      <w:r>
        <w:rPr>
          <w:rFonts w:ascii="Times New Roman" w:hAnsi="Times New Roman" w:cs="Times New Roman"/>
          <w:color w:val="000000"/>
          <w:sz w:val="24"/>
          <w:szCs w:val="24"/>
          <w:lang w:val="en-GB"/>
        </w:rPr>
        <w:t>. R.</w:t>
      </w:r>
      <w:r w:rsidRPr="005D51F9">
        <w:rPr>
          <w:rFonts w:ascii="Times New Roman" w:hAnsi="Times New Roman" w:cs="Times New Roman"/>
          <w:color w:val="000000"/>
          <w:sz w:val="24"/>
          <w:szCs w:val="24"/>
          <w:lang w:val="en-GB"/>
        </w:rPr>
        <w:t xml:space="preserve"> Rhees</w:t>
      </w:r>
      <w:r>
        <w:rPr>
          <w:rFonts w:ascii="Times New Roman" w:hAnsi="Times New Roman" w:cs="Times New Roman"/>
          <w:color w:val="000000"/>
          <w:sz w:val="24"/>
          <w:szCs w:val="24"/>
          <w:lang w:val="en-GB"/>
        </w:rPr>
        <w:t xml:space="preserve"> (Ed.), A. Kenny (Tr.)</w:t>
      </w:r>
      <w:r w:rsidRPr="005D51F9">
        <w:rPr>
          <w:rFonts w:ascii="Times New Roman" w:hAnsi="Times New Roman" w:cs="Times New Roman"/>
          <w:color w:val="000000"/>
          <w:sz w:val="24"/>
          <w:szCs w:val="24"/>
          <w:lang w:val="en-GB"/>
        </w:rPr>
        <w:t>. Berkeley: University of California Press.</w:t>
      </w:r>
    </w:p>
    <w:p w14:paraId="71E79469" w14:textId="77777777" w:rsidR="005A4EEA" w:rsidRPr="007C7C48" w:rsidRDefault="005A4EEA" w:rsidP="005A4EEA">
      <w:pPr>
        <w:spacing w:after="0" w:line="480" w:lineRule="auto"/>
        <w:jc w:val="both"/>
        <w:rPr>
          <w:rFonts w:ascii="Times New Roman" w:hAnsi="Times New Roman" w:cs="Times New Roman"/>
          <w:color w:val="000000"/>
          <w:sz w:val="24"/>
          <w:szCs w:val="24"/>
          <w:lang w:val="en-GB"/>
        </w:rPr>
      </w:pPr>
    </w:p>
    <w:p w14:paraId="5C357B40" w14:textId="77777777" w:rsidR="005A4EEA" w:rsidRPr="005A4EEA" w:rsidRDefault="005A4EEA" w:rsidP="005A4EEA">
      <w:pPr>
        <w:spacing w:after="0" w:line="480" w:lineRule="auto"/>
        <w:ind w:left="1304" w:hanging="1304"/>
        <w:rPr>
          <w:rFonts w:ascii="Times New Roman" w:hAnsi="Times New Roman" w:cs="Times New Roman"/>
          <w:sz w:val="24"/>
          <w:szCs w:val="24"/>
          <w:lang w:val="en-US"/>
        </w:rPr>
      </w:pPr>
      <w:r>
        <w:rPr>
          <w:rFonts w:ascii="Times New Roman" w:hAnsi="Times New Roman" w:cs="Times New Roman"/>
          <w:sz w:val="24"/>
          <w:szCs w:val="24"/>
          <w:lang w:val="en-US"/>
        </w:rPr>
        <w:t xml:space="preserve">PI </w:t>
      </w:r>
      <w:r>
        <w:rPr>
          <w:rFonts w:ascii="Times New Roman" w:hAnsi="Times New Roman" w:cs="Times New Roman"/>
          <w:sz w:val="24"/>
          <w:szCs w:val="24"/>
          <w:lang w:val="en-US"/>
        </w:rPr>
        <w:tab/>
        <w:t>Wittgenstein, L.</w:t>
      </w:r>
      <w:r w:rsidRPr="007C7C48">
        <w:rPr>
          <w:rFonts w:ascii="Times New Roman" w:hAnsi="Times New Roman" w:cs="Times New Roman"/>
          <w:sz w:val="24"/>
          <w:szCs w:val="24"/>
          <w:lang w:val="en-US"/>
        </w:rPr>
        <w:t xml:space="preserve"> (1953/2009)</w:t>
      </w:r>
      <w:r>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t>
      </w:r>
      <w:r w:rsidRPr="007C7C48">
        <w:rPr>
          <w:rFonts w:ascii="Times New Roman" w:hAnsi="Times New Roman" w:cs="Times New Roman"/>
          <w:i/>
          <w:sz w:val="24"/>
          <w:szCs w:val="24"/>
          <w:lang w:val="en-US"/>
        </w:rPr>
        <w:t xml:space="preserve">Philosophical </w:t>
      </w:r>
      <w:r w:rsidR="006A346C">
        <w:rPr>
          <w:rFonts w:ascii="Times New Roman" w:hAnsi="Times New Roman" w:cs="Times New Roman"/>
          <w:i/>
          <w:sz w:val="24"/>
          <w:szCs w:val="24"/>
          <w:lang w:val="en-US"/>
        </w:rPr>
        <w:t>I</w:t>
      </w:r>
      <w:r w:rsidRPr="007C7C48">
        <w:rPr>
          <w:rFonts w:ascii="Times New Roman" w:hAnsi="Times New Roman" w:cs="Times New Roman"/>
          <w:i/>
          <w:sz w:val="24"/>
          <w:szCs w:val="24"/>
          <w:lang w:val="en-US"/>
        </w:rPr>
        <w:t>nvestigations</w:t>
      </w:r>
      <w:r>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G. E. M. Anscombe, P. M. S. Hacker and J. Schulte (</w:t>
      </w:r>
      <w:r>
        <w:rPr>
          <w:rFonts w:ascii="Times New Roman" w:hAnsi="Times New Roman" w:cs="Times New Roman"/>
          <w:sz w:val="24"/>
          <w:szCs w:val="24"/>
          <w:lang w:val="en-US"/>
        </w:rPr>
        <w:t>T</w:t>
      </w:r>
      <w:r w:rsidRPr="007C7C48">
        <w:rPr>
          <w:rFonts w:ascii="Times New Roman" w:hAnsi="Times New Roman" w:cs="Times New Roman"/>
          <w:sz w:val="24"/>
          <w:szCs w:val="24"/>
          <w:lang w:val="en-US"/>
        </w:rPr>
        <w:t>r</w:t>
      </w:r>
      <w:r>
        <w:rPr>
          <w:rFonts w:ascii="Times New Roman" w:hAnsi="Times New Roman" w:cs="Times New Roman"/>
          <w:sz w:val="24"/>
          <w:szCs w:val="24"/>
          <w:lang w:val="en-US"/>
        </w:rPr>
        <w:t>.</w:t>
      </w:r>
      <w:r w:rsidRPr="007C7C48">
        <w:rPr>
          <w:rFonts w:ascii="Times New Roman" w:hAnsi="Times New Roman" w:cs="Times New Roman"/>
          <w:sz w:val="24"/>
          <w:szCs w:val="24"/>
          <w:lang w:val="en-US"/>
        </w:rPr>
        <w:t>). Revised fourth edition by P. M. S. Hacker and J. Schulte. Oxford: Blackwell.</w:t>
      </w:r>
    </w:p>
    <w:p w14:paraId="0AC630E0" w14:textId="77777777" w:rsidR="005A4EEA" w:rsidRPr="005D51F9" w:rsidRDefault="005A4EEA" w:rsidP="005A4EEA">
      <w:pPr>
        <w:pStyle w:val="Alaviitteenteksti"/>
        <w:spacing w:line="480" w:lineRule="auto"/>
        <w:ind w:left="1304" w:hanging="1304"/>
        <w:rPr>
          <w:rFonts w:ascii="Times New Roman" w:hAnsi="Times New Roman" w:cs="Times New Roman"/>
          <w:sz w:val="24"/>
          <w:szCs w:val="24"/>
          <w:lang w:val="en-US"/>
        </w:rPr>
      </w:pPr>
    </w:p>
    <w:p w14:paraId="704DC70E" w14:textId="77777777" w:rsidR="005A4EEA" w:rsidRDefault="005A4EEA" w:rsidP="005A4EEA">
      <w:pPr>
        <w:pStyle w:val="Alaviitteenteksti"/>
        <w:spacing w:line="480" w:lineRule="auto"/>
        <w:ind w:left="1304" w:hanging="1304"/>
        <w:rPr>
          <w:rFonts w:ascii="Times New Roman" w:hAnsi="Times New Roman" w:cs="Times New Roman"/>
          <w:sz w:val="24"/>
          <w:szCs w:val="24"/>
          <w:lang w:val="en-GB"/>
        </w:rPr>
      </w:pPr>
      <w:r>
        <w:rPr>
          <w:rFonts w:ascii="Times New Roman" w:hAnsi="Times New Roman" w:cs="Times New Roman"/>
          <w:sz w:val="24"/>
          <w:szCs w:val="24"/>
          <w:lang w:val="en-US"/>
        </w:rPr>
        <w:t xml:space="preserve">RFM </w:t>
      </w:r>
      <w:r>
        <w:rPr>
          <w:rFonts w:ascii="Times New Roman" w:hAnsi="Times New Roman" w:cs="Times New Roman"/>
          <w:sz w:val="24"/>
          <w:szCs w:val="24"/>
          <w:lang w:val="en-US"/>
        </w:rPr>
        <w:tab/>
        <w:t>Wittgenstein, L. (</w:t>
      </w:r>
      <w:r>
        <w:rPr>
          <w:rFonts w:ascii="Times New Roman" w:hAnsi="Times New Roman" w:cs="Times New Roman"/>
          <w:sz w:val="24"/>
          <w:szCs w:val="24"/>
          <w:lang w:val="en-GB"/>
        </w:rPr>
        <w:t>1983).</w:t>
      </w:r>
      <w:r w:rsidRPr="005D51F9">
        <w:rPr>
          <w:rFonts w:ascii="Times New Roman" w:hAnsi="Times New Roman" w:cs="Times New Roman"/>
          <w:sz w:val="24"/>
          <w:szCs w:val="24"/>
          <w:lang w:val="en-GB"/>
        </w:rPr>
        <w:t xml:space="preserve"> </w:t>
      </w:r>
      <w:r w:rsidRPr="005D51F9">
        <w:rPr>
          <w:rFonts w:ascii="Times New Roman" w:hAnsi="Times New Roman" w:cs="Times New Roman"/>
          <w:i/>
          <w:sz w:val="24"/>
          <w:szCs w:val="24"/>
          <w:lang w:val="en-GB"/>
        </w:rPr>
        <w:t xml:space="preserve">Remarks on the </w:t>
      </w:r>
      <w:r w:rsidR="006A346C">
        <w:rPr>
          <w:rFonts w:ascii="Times New Roman" w:hAnsi="Times New Roman" w:cs="Times New Roman"/>
          <w:i/>
          <w:sz w:val="24"/>
          <w:szCs w:val="24"/>
          <w:lang w:val="en-GB"/>
        </w:rPr>
        <w:t>F</w:t>
      </w:r>
      <w:r w:rsidRPr="005D51F9">
        <w:rPr>
          <w:rFonts w:ascii="Times New Roman" w:hAnsi="Times New Roman" w:cs="Times New Roman"/>
          <w:i/>
          <w:sz w:val="24"/>
          <w:szCs w:val="24"/>
          <w:lang w:val="en-GB"/>
        </w:rPr>
        <w:t xml:space="preserve">oundations of </w:t>
      </w:r>
      <w:r w:rsidR="006A346C">
        <w:rPr>
          <w:rFonts w:ascii="Times New Roman" w:hAnsi="Times New Roman" w:cs="Times New Roman"/>
          <w:i/>
          <w:sz w:val="24"/>
          <w:szCs w:val="24"/>
          <w:lang w:val="en-GB"/>
        </w:rPr>
        <w:t>M</w:t>
      </w:r>
      <w:r w:rsidRPr="005D51F9">
        <w:rPr>
          <w:rFonts w:ascii="Times New Roman" w:hAnsi="Times New Roman" w:cs="Times New Roman"/>
          <w:i/>
          <w:sz w:val="24"/>
          <w:szCs w:val="24"/>
          <w:lang w:val="en-GB"/>
        </w:rPr>
        <w:t>athematics</w:t>
      </w:r>
      <w:r>
        <w:rPr>
          <w:rFonts w:ascii="Times New Roman" w:hAnsi="Times New Roman" w:cs="Times New Roman"/>
          <w:sz w:val="24"/>
          <w:szCs w:val="24"/>
          <w:lang w:val="en-GB"/>
        </w:rPr>
        <w:t>. G. H. von Wright, R. Rhees and G. E. M. Anscombe (Eds.), G. E. M. Anscombe (Tr.)</w:t>
      </w:r>
      <w:r w:rsidRPr="005D51F9">
        <w:rPr>
          <w:rFonts w:ascii="Times New Roman" w:hAnsi="Times New Roman" w:cs="Times New Roman"/>
          <w:sz w:val="24"/>
          <w:szCs w:val="24"/>
          <w:lang w:val="en-GB"/>
        </w:rPr>
        <w:t>. Cambridge Mass: MIT Press.</w:t>
      </w:r>
    </w:p>
    <w:p w14:paraId="72DA6170" w14:textId="77777777" w:rsidR="005A4EEA" w:rsidRDefault="005A4EEA" w:rsidP="00B56440">
      <w:pPr>
        <w:spacing w:after="0" w:line="480" w:lineRule="auto"/>
        <w:ind w:left="1304" w:hanging="1304"/>
        <w:jc w:val="both"/>
        <w:rPr>
          <w:rFonts w:ascii="Times New Roman" w:hAnsi="Times New Roman" w:cs="Times New Roman"/>
          <w:sz w:val="24"/>
          <w:szCs w:val="24"/>
          <w:lang w:val="en-US"/>
        </w:rPr>
      </w:pPr>
    </w:p>
    <w:p w14:paraId="3ED9018B" w14:textId="77777777" w:rsidR="00AB100F" w:rsidRPr="007C7C48" w:rsidRDefault="00B56440" w:rsidP="00B56440">
      <w:pPr>
        <w:spacing w:after="0" w:line="480" w:lineRule="auto"/>
        <w:ind w:left="1304" w:hanging="1304"/>
        <w:jc w:val="both"/>
        <w:rPr>
          <w:rFonts w:ascii="Times New Roman" w:hAnsi="Times New Roman" w:cs="Times New Roman"/>
          <w:color w:val="000000"/>
          <w:sz w:val="24"/>
          <w:szCs w:val="24"/>
          <w:lang w:val="en-GB"/>
        </w:rPr>
      </w:pPr>
      <w:r>
        <w:rPr>
          <w:rFonts w:ascii="Times New Roman" w:hAnsi="Times New Roman" w:cs="Times New Roman"/>
          <w:sz w:val="24"/>
          <w:szCs w:val="24"/>
          <w:lang w:val="en-US"/>
        </w:rPr>
        <w:t xml:space="preserve">TLP </w:t>
      </w:r>
      <w:r>
        <w:rPr>
          <w:rFonts w:ascii="Times New Roman" w:hAnsi="Times New Roman" w:cs="Times New Roman"/>
          <w:sz w:val="24"/>
          <w:szCs w:val="24"/>
          <w:lang w:val="en-US"/>
        </w:rPr>
        <w:tab/>
      </w:r>
      <w:r w:rsidR="00AB100F">
        <w:rPr>
          <w:rFonts w:ascii="Times New Roman" w:hAnsi="Times New Roman" w:cs="Times New Roman"/>
          <w:sz w:val="24"/>
          <w:szCs w:val="24"/>
          <w:lang w:val="en-US"/>
        </w:rPr>
        <w:t>Wittgenstein, L</w:t>
      </w:r>
      <w:r>
        <w:rPr>
          <w:rFonts w:ascii="Times New Roman" w:hAnsi="Times New Roman" w:cs="Times New Roman"/>
          <w:sz w:val="24"/>
          <w:szCs w:val="24"/>
          <w:lang w:val="en-US"/>
        </w:rPr>
        <w:t>.</w:t>
      </w:r>
      <w:r w:rsidR="00AB100F" w:rsidRPr="007C7C48">
        <w:rPr>
          <w:rFonts w:ascii="Times New Roman" w:hAnsi="Times New Roman" w:cs="Times New Roman"/>
          <w:sz w:val="24"/>
          <w:szCs w:val="24"/>
          <w:lang w:val="en-US"/>
        </w:rPr>
        <w:t xml:space="preserve"> </w:t>
      </w:r>
      <w:r w:rsidR="00AB100F" w:rsidRPr="007C7C48">
        <w:rPr>
          <w:rFonts w:ascii="Times New Roman" w:hAnsi="Times New Roman" w:cs="Times New Roman"/>
          <w:color w:val="000000"/>
          <w:sz w:val="24"/>
          <w:szCs w:val="24"/>
          <w:lang w:val="en-GB"/>
        </w:rPr>
        <w:t>(1961b)</w:t>
      </w:r>
      <w:r>
        <w:rPr>
          <w:rFonts w:ascii="Times New Roman" w:hAnsi="Times New Roman" w:cs="Times New Roman"/>
          <w:color w:val="000000"/>
          <w:sz w:val="24"/>
          <w:szCs w:val="24"/>
          <w:lang w:val="en-GB"/>
        </w:rPr>
        <w:t>.</w:t>
      </w:r>
      <w:r w:rsidR="00AB100F" w:rsidRPr="007C7C48">
        <w:rPr>
          <w:rFonts w:ascii="Times New Roman" w:hAnsi="Times New Roman" w:cs="Times New Roman"/>
          <w:color w:val="000000"/>
          <w:sz w:val="24"/>
          <w:szCs w:val="24"/>
          <w:lang w:val="en-GB"/>
        </w:rPr>
        <w:t xml:space="preserve"> </w:t>
      </w:r>
      <w:r w:rsidR="00AB100F" w:rsidRPr="007C7C48">
        <w:rPr>
          <w:rFonts w:ascii="Times New Roman" w:hAnsi="Times New Roman" w:cs="Times New Roman"/>
          <w:i/>
          <w:iCs/>
          <w:color w:val="000000"/>
          <w:sz w:val="24"/>
          <w:szCs w:val="24"/>
          <w:lang w:val="en-GB"/>
        </w:rPr>
        <w:t xml:space="preserve">Tractatus </w:t>
      </w:r>
      <w:r w:rsidR="006A346C">
        <w:rPr>
          <w:rFonts w:ascii="Times New Roman" w:hAnsi="Times New Roman" w:cs="Times New Roman"/>
          <w:i/>
          <w:iCs/>
          <w:color w:val="000000"/>
          <w:sz w:val="24"/>
          <w:szCs w:val="24"/>
          <w:lang w:val="en-GB"/>
        </w:rPr>
        <w:t>L</w:t>
      </w:r>
      <w:r w:rsidR="00AB100F" w:rsidRPr="007C7C48">
        <w:rPr>
          <w:rFonts w:ascii="Times New Roman" w:hAnsi="Times New Roman" w:cs="Times New Roman"/>
          <w:i/>
          <w:iCs/>
          <w:color w:val="000000"/>
          <w:sz w:val="24"/>
          <w:szCs w:val="24"/>
          <w:lang w:val="en-GB"/>
        </w:rPr>
        <w:t>ogico-</w:t>
      </w:r>
      <w:r w:rsidR="006A346C">
        <w:rPr>
          <w:rFonts w:ascii="Times New Roman" w:hAnsi="Times New Roman" w:cs="Times New Roman"/>
          <w:i/>
          <w:iCs/>
          <w:color w:val="000000"/>
          <w:sz w:val="24"/>
          <w:szCs w:val="24"/>
          <w:lang w:val="en-GB"/>
        </w:rPr>
        <w:t>P</w:t>
      </w:r>
      <w:r w:rsidR="00AB100F" w:rsidRPr="007C7C48">
        <w:rPr>
          <w:rFonts w:ascii="Times New Roman" w:hAnsi="Times New Roman" w:cs="Times New Roman"/>
          <w:i/>
          <w:iCs/>
          <w:color w:val="000000"/>
          <w:sz w:val="24"/>
          <w:szCs w:val="24"/>
          <w:lang w:val="en-GB"/>
        </w:rPr>
        <w:t>hilosophicus</w:t>
      </w:r>
      <w:r w:rsidR="00AB100F">
        <w:rPr>
          <w:rFonts w:ascii="Times New Roman" w:hAnsi="Times New Roman" w:cs="Times New Roman"/>
          <w:color w:val="000000"/>
          <w:sz w:val="24"/>
          <w:szCs w:val="24"/>
          <w:lang w:val="en-GB"/>
        </w:rPr>
        <w:t>.</w:t>
      </w:r>
      <w:r w:rsidR="00AB100F" w:rsidRPr="007C7C48">
        <w:rPr>
          <w:rFonts w:ascii="Times New Roman" w:hAnsi="Times New Roman" w:cs="Times New Roman"/>
          <w:color w:val="000000"/>
          <w:sz w:val="24"/>
          <w:szCs w:val="24"/>
          <w:lang w:val="en-GB"/>
        </w:rPr>
        <w:t xml:space="preserve"> D. F. Pears and B. F. McGuinness (</w:t>
      </w:r>
      <w:r>
        <w:rPr>
          <w:rFonts w:ascii="Times New Roman" w:hAnsi="Times New Roman" w:cs="Times New Roman"/>
          <w:color w:val="000000"/>
          <w:sz w:val="24"/>
          <w:szCs w:val="24"/>
          <w:lang w:val="en-GB"/>
        </w:rPr>
        <w:t>T</w:t>
      </w:r>
      <w:r w:rsidR="00AB100F" w:rsidRPr="007C7C48">
        <w:rPr>
          <w:rFonts w:ascii="Times New Roman" w:hAnsi="Times New Roman" w:cs="Times New Roman"/>
          <w:color w:val="000000"/>
          <w:sz w:val="24"/>
          <w:szCs w:val="24"/>
          <w:lang w:val="en-GB"/>
        </w:rPr>
        <w:t>r</w:t>
      </w:r>
      <w:r>
        <w:rPr>
          <w:rFonts w:ascii="Times New Roman" w:hAnsi="Times New Roman" w:cs="Times New Roman"/>
          <w:color w:val="000000"/>
          <w:sz w:val="24"/>
          <w:szCs w:val="24"/>
          <w:lang w:val="en-GB"/>
        </w:rPr>
        <w:t>.</w:t>
      </w:r>
      <w:r w:rsidR="00AB100F" w:rsidRPr="007C7C48">
        <w:rPr>
          <w:rFonts w:ascii="Times New Roman" w:hAnsi="Times New Roman" w:cs="Times New Roman"/>
          <w:color w:val="000000"/>
          <w:sz w:val="24"/>
          <w:szCs w:val="24"/>
          <w:lang w:val="en-GB"/>
        </w:rPr>
        <w:t>). London: Routledge.</w:t>
      </w:r>
    </w:p>
    <w:p w14:paraId="261D1514" w14:textId="77777777" w:rsidR="00AB100F" w:rsidRDefault="00AB100F" w:rsidP="005A4EEA">
      <w:pPr>
        <w:spacing w:after="0" w:line="480" w:lineRule="auto"/>
        <w:jc w:val="both"/>
        <w:rPr>
          <w:rFonts w:ascii="Times New Roman" w:hAnsi="Times New Roman" w:cs="Times New Roman"/>
          <w:color w:val="000000"/>
          <w:sz w:val="24"/>
          <w:szCs w:val="24"/>
          <w:lang w:val="en-GB"/>
        </w:rPr>
      </w:pPr>
    </w:p>
    <w:p w14:paraId="44BE631A" w14:textId="77777777" w:rsidR="00AB100F" w:rsidRPr="00AB100F" w:rsidRDefault="00AB100F" w:rsidP="00ED6A7D">
      <w:pPr>
        <w:spacing w:after="0" w:line="480" w:lineRule="auto"/>
        <w:rPr>
          <w:rFonts w:ascii="Times New Roman" w:hAnsi="Times New Roman" w:cs="Times New Roman"/>
          <w:sz w:val="24"/>
          <w:szCs w:val="24"/>
          <w:lang w:val="en-GB"/>
        </w:rPr>
      </w:pPr>
    </w:p>
    <w:p w14:paraId="56ECB72F" w14:textId="77777777" w:rsidR="007C7C48" w:rsidRDefault="00AB100F" w:rsidP="004035AC">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Other works</w:t>
      </w:r>
    </w:p>
    <w:p w14:paraId="523C5EA4" w14:textId="77777777" w:rsidR="00AB100F" w:rsidRPr="00AB100F" w:rsidRDefault="00AB100F" w:rsidP="004035AC">
      <w:pPr>
        <w:spacing w:after="0" w:line="480" w:lineRule="auto"/>
        <w:rPr>
          <w:rFonts w:ascii="Times New Roman" w:hAnsi="Times New Roman" w:cs="Times New Roman"/>
          <w:b/>
          <w:sz w:val="24"/>
          <w:szCs w:val="24"/>
          <w:lang w:val="en-US"/>
        </w:rPr>
      </w:pPr>
    </w:p>
    <w:p w14:paraId="710787E0" w14:textId="77777777" w:rsidR="007005A5" w:rsidRPr="007005A5" w:rsidRDefault="007005A5" w:rsidP="004035AC">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Allison, H</w:t>
      </w:r>
      <w:r w:rsidR="0089398F">
        <w:rPr>
          <w:rFonts w:ascii="Times New Roman" w:hAnsi="Times New Roman" w:cs="Times New Roman"/>
          <w:sz w:val="24"/>
          <w:szCs w:val="24"/>
          <w:lang w:val="en-GB"/>
        </w:rPr>
        <w:t>.</w:t>
      </w:r>
      <w:r w:rsidR="008415B0" w:rsidRPr="005D51F9">
        <w:rPr>
          <w:rFonts w:ascii="Times New Roman" w:hAnsi="Times New Roman" w:cs="Times New Roman"/>
          <w:sz w:val="24"/>
          <w:szCs w:val="24"/>
          <w:lang w:val="en-GB"/>
        </w:rPr>
        <w:t xml:space="preserve"> </w:t>
      </w:r>
      <w:r>
        <w:rPr>
          <w:rFonts w:ascii="Times New Roman" w:hAnsi="Times New Roman" w:cs="Times New Roman"/>
          <w:sz w:val="24"/>
          <w:szCs w:val="24"/>
          <w:lang w:val="en-GB"/>
        </w:rPr>
        <w:t>(1986)</w:t>
      </w:r>
      <w:r w:rsidR="0089398F">
        <w:rPr>
          <w:rFonts w:ascii="Times New Roman" w:hAnsi="Times New Roman" w:cs="Times New Roman"/>
          <w:sz w:val="24"/>
          <w:szCs w:val="24"/>
          <w:lang w:val="en-GB"/>
        </w:rPr>
        <w:t>.</w:t>
      </w:r>
      <w:r>
        <w:rPr>
          <w:rFonts w:ascii="Times New Roman" w:hAnsi="Times New Roman" w:cs="Times New Roman"/>
          <w:sz w:val="24"/>
          <w:szCs w:val="24"/>
          <w:lang w:val="en-GB"/>
        </w:rPr>
        <w:t xml:space="preserve"> Morality and </w:t>
      </w:r>
      <w:r w:rsidR="00385922">
        <w:rPr>
          <w:rFonts w:ascii="Times New Roman" w:hAnsi="Times New Roman" w:cs="Times New Roman"/>
          <w:sz w:val="24"/>
          <w:szCs w:val="24"/>
          <w:lang w:val="en-GB"/>
        </w:rPr>
        <w:t>f</w:t>
      </w:r>
      <w:r>
        <w:rPr>
          <w:rFonts w:ascii="Times New Roman" w:hAnsi="Times New Roman" w:cs="Times New Roman"/>
          <w:sz w:val="24"/>
          <w:szCs w:val="24"/>
          <w:lang w:val="en-GB"/>
        </w:rPr>
        <w:t xml:space="preserve">reedom: Kant’s </w:t>
      </w:r>
      <w:r w:rsidR="00385922">
        <w:rPr>
          <w:rFonts w:ascii="Times New Roman" w:hAnsi="Times New Roman" w:cs="Times New Roman"/>
          <w:sz w:val="24"/>
          <w:szCs w:val="24"/>
          <w:lang w:val="en-GB"/>
        </w:rPr>
        <w:t>r</w:t>
      </w:r>
      <w:r>
        <w:rPr>
          <w:rFonts w:ascii="Times New Roman" w:hAnsi="Times New Roman" w:cs="Times New Roman"/>
          <w:sz w:val="24"/>
          <w:szCs w:val="24"/>
          <w:lang w:val="en-GB"/>
        </w:rPr>
        <w:t xml:space="preserve">eciprocity </w:t>
      </w:r>
      <w:r w:rsidR="00385922">
        <w:rPr>
          <w:rFonts w:ascii="Times New Roman" w:hAnsi="Times New Roman" w:cs="Times New Roman"/>
          <w:sz w:val="24"/>
          <w:szCs w:val="24"/>
          <w:lang w:val="en-GB"/>
        </w:rPr>
        <w:t>t</w:t>
      </w:r>
      <w:r>
        <w:rPr>
          <w:rFonts w:ascii="Times New Roman" w:hAnsi="Times New Roman" w:cs="Times New Roman"/>
          <w:sz w:val="24"/>
          <w:szCs w:val="24"/>
          <w:lang w:val="en-GB"/>
        </w:rPr>
        <w:t>hesis</w:t>
      </w:r>
      <w:r w:rsidR="0023539B">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 xml:space="preserve">Philosophical Review </w:t>
      </w:r>
      <w:r>
        <w:rPr>
          <w:rFonts w:ascii="Times New Roman" w:hAnsi="Times New Roman" w:cs="Times New Roman"/>
          <w:sz w:val="24"/>
          <w:szCs w:val="24"/>
          <w:lang w:val="en-GB"/>
        </w:rPr>
        <w:t>95, 393–425.</w:t>
      </w:r>
    </w:p>
    <w:p w14:paraId="48F49575" w14:textId="77777777" w:rsidR="007005A5" w:rsidRDefault="007005A5" w:rsidP="004035AC">
      <w:pPr>
        <w:spacing w:after="0" w:line="480" w:lineRule="auto"/>
        <w:rPr>
          <w:rFonts w:ascii="Times New Roman" w:hAnsi="Times New Roman" w:cs="Times New Roman"/>
          <w:sz w:val="24"/>
          <w:szCs w:val="24"/>
          <w:lang w:val="en-GB"/>
        </w:rPr>
      </w:pPr>
    </w:p>
    <w:p w14:paraId="6A1697B9" w14:textId="77777777" w:rsidR="00C1068B" w:rsidRDefault="007005A5" w:rsidP="00441F65">
      <w:pPr>
        <w:spacing w:after="0" w:line="480" w:lineRule="auto"/>
        <w:rPr>
          <w:rFonts w:ascii="Times New Roman" w:hAnsi="Times New Roman" w:cs="Times New Roman"/>
          <w:sz w:val="24"/>
          <w:szCs w:val="24"/>
          <w:lang w:val="en-GB"/>
        </w:rPr>
      </w:pPr>
      <w:r>
        <w:rPr>
          <w:rFonts w:ascii="Times New Roman" w:hAnsi="Times New Roman" w:cs="Times New Roman"/>
          <w:sz w:val="24"/>
          <w:szCs w:val="24"/>
          <w:lang w:val="en-GB"/>
        </w:rPr>
        <w:t>Allison, H</w:t>
      </w:r>
      <w:r w:rsidR="0089398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8415B0" w:rsidRPr="005D51F9">
        <w:rPr>
          <w:rFonts w:ascii="Times New Roman" w:hAnsi="Times New Roman" w:cs="Times New Roman"/>
          <w:sz w:val="24"/>
          <w:szCs w:val="24"/>
          <w:lang w:val="en-GB"/>
        </w:rPr>
        <w:t>(2001)</w:t>
      </w:r>
      <w:r w:rsidR="0089398F">
        <w:rPr>
          <w:rFonts w:ascii="Times New Roman" w:hAnsi="Times New Roman" w:cs="Times New Roman"/>
          <w:sz w:val="24"/>
          <w:szCs w:val="24"/>
          <w:lang w:val="en-GB"/>
        </w:rPr>
        <w:t>.</w:t>
      </w:r>
      <w:r w:rsidR="008415B0" w:rsidRPr="005D51F9">
        <w:rPr>
          <w:rFonts w:ascii="Times New Roman" w:hAnsi="Times New Roman" w:cs="Times New Roman"/>
          <w:sz w:val="24"/>
          <w:szCs w:val="24"/>
          <w:lang w:val="en-GB"/>
        </w:rPr>
        <w:t xml:space="preserve"> </w:t>
      </w:r>
      <w:r w:rsidR="008415B0" w:rsidRPr="005D51F9">
        <w:rPr>
          <w:rFonts w:ascii="Times New Roman" w:hAnsi="Times New Roman" w:cs="Times New Roman"/>
          <w:i/>
          <w:sz w:val="24"/>
          <w:szCs w:val="24"/>
          <w:lang w:val="en-GB"/>
        </w:rPr>
        <w:t xml:space="preserve">Kant’s </w:t>
      </w:r>
      <w:r w:rsidR="006A346C">
        <w:rPr>
          <w:rFonts w:ascii="Times New Roman" w:hAnsi="Times New Roman" w:cs="Times New Roman"/>
          <w:i/>
          <w:sz w:val="24"/>
          <w:szCs w:val="24"/>
          <w:lang w:val="en-GB"/>
        </w:rPr>
        <w:t>T</w:t>
      </w:r>
      <w:r w:rsidR="008415B0" w:rsidRPr="005D51F9">
        <w:rPr>
          <w:rFonts w:ascii="Times New Roman" w:hAnsi="Times New Roman" w:cs="Times New Roman"/>
          <w:i/>
          <w:sz w:val="24"/>
          <w:szCs w:val="24"/>
          <w:lang w:val="en-GB"/>
        </w:rPr>
        <w:t xml:space="preserve">heory of </w:t>
      </w:r>
      <w:r w:rsidR="006A346C">
        <w:rPr>
          <w:rFonts w:ascii="Times New Roman" w:hAnsi="Times New Roman" w:cs="Times New Roman"/>
          <w:i/>
          <w:sz w:val="24"/>
          <w:szCs w:val="24"/>
          <w:lang w:val="en-GB"/>
        </w:rPr>
        <w:t>T</w:t>
      </w:r>
      <w:r w:rsidR="008415B0" w:rsidRPr="005D51F9">
        <w:rPr>
          <w:rFonts w:ascii="Times New Roman" w:hAnsi="Times New Roman" w:cs="Times New Roman"/>
          <w:i/>
          <w:sz w:val="24"/>
          <w:szCs w:val="24"/>
          <w:lang w:val="en-GB"/>
        </w:rPr>
        <w:t>aste</w:t>
      </w:r>
      <w:r w:rsidR="008415B0" w:rsidRPr="005D51F9">
        <w:rPr>
          <w:rFonts w:ascii="Times New Roman" w:hAnsi="Times New Roman" w:cs="Times New Roman"/>
          <w:sz w:val="24"/>
          <w:szCs w:val="24"/>
          <w:lang w:val="en-GB"/>
        </w:rPr>
        <w:t>. Cambridge: Cambridge University Press.</w:t>
      </w:r>
    </w:p>
    <w:p w14:paraId="7FC77576" w14:textId="77777777" w:rsidR="00E43123" w:rsidRDefault="00E43123" w:rsidP="00441F65">
      <w:pPr>
        <w:spacing w:after="0" w:line="480" w:lineRule="auto"/>
        <w:rPr>
          <w:rFonts w:ascii="Times New Roman" w:hAnsi="Times New Roman" w:cs="Times New Roman"/>
          <w:sz w:val="24"/>
          <w:szCs w:val="24"/>
          <w:lang w:val="en-GB"/>
        </w:rPr>
      </w:pPr>
    </w:p>
    <w:p w14:paraId="21F2273B" w14:textId="77777777" w:rsidR="00E43123" w:rsidRPr="00F33973" w:rsidRDefault="00E43123" w:rsidP="00E43123">
      <w:pPr>
        <w:autoSpaceDE w:val="0"/>
        <w:autoSpaceDN w:val="0"/>
        <w:adjustRightInd w:val="0"/>
        <w:spacing w:after="120" w:line="480" w:lineRule="auto"/>
        <w:jc w:val="both"/>
        <w:rPr>
          <w:rFonts w:ascii="Times New Roman" w:hAnsi="Times New Roman" w:cs="Times New Roman"/>
          <w:b/>
          <w:color w:val="000000"/>
          <w:sz w:val="24"/>
          <w:szCs w:val="24"/>
          <w:lang w:val="en-US"/>
        </w:rPr>
      </w:pPr>
      <w:r>
        <w:rPr>
          <w:rFonts w:ascii="Times New Roman" w:hAnsi="Times New Roman" w:cs="Times New Roman"/>
          <w:sz w:val="24"/>
          <w:szCs w:val="24"/>
          <w:lang w:val="en-US"/>
        </w:rPr>
        <w:t>Appelqvist, H</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(2012)</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F33973">
        <w:rPr>
          <w:rFonts w:ascii="Times New Roman" w:hAnsi="Times New Roman" w:cs="Times New Roman"/>
          <w:sz w:val="24"/>
          <w:szCs w:val="24"/>
          <w:lang w:val="en-US"/>
        </w:rPr>
        <w:t xml:space="preserve">Apocalypse </w:t>
      </w:r>
      <w:r w:rsidR="00385922">
        <w:rPr>
          <w:rFonts w:ascii="Times New Roman" w:hAnsi="Times New Roman" w:cs="Times New Roman"/>
          <w:sz w:val="24"/>
          <w:szCs w:val="24"/>
          <w:lang w:val="en-US"/>
        </w:rPr>
        <w:t>n</w:t>
      </w:r>
      <w:r w:rsidRPr="00F33973">
        <w:rPr>
          <w:rFonts w:ascii="Times New Roman" w:hAnsi="Times New Roman" w:cs="Times New Roman"/>
          <w:sz w:val="24"/>
          <w:szCs w:val="24"/>
          <w:lang w:val="en-US"/>
        </w:rPr>
        <w:t xml:space="preserve">ow: Wittgenstein’s </w:t>
      </w:r>
      <w:r w:rsidR="00385922">
        <w:rPr>
          <w:rFonts w:ascii="Times New Roman" w:hAnsi="Times New Roman" w:cs="Times New Roman"/>
          <w:bCs/>
          <w:sz w:val="24"/>
          <w:szCs w:val="24"/>
          <w:lang w:val="en-US"/>
        </w:rPr>
        <w:t>e</w:t>
      </w:r>
      <w:r w:rsidRPr="00F33973">
        <w:rPr>
          <w:rFonts w:ascii="Times New Roman" w:hAnsi="Times New Roman" w:cs="Times New Roman"/>
          <w:bCs/>
          <w:sz w:val="24"/>
          <w:szCs w:val="24"/>
          <w:lang w:val="en-US"/>
        </w:rPr>
        <w:t xml:space="preserve">arly </w:t>
      </w:r>
      <w:r w:rsidR="00385922">
        <w:rPr>
          <w:rFonts w:ascii="Times New Roman" w:hAnsi="Times New Roman" w:cs="Times New Roman"/>
          <w:bCs/>
          <w:sz w:val="24"/>
          <w:szCs w:val="24"/>
          <w:lang w:val="en-US"/>
        </w:rPr>
        <w:t>r</w:t>
      </w:r>
      <w:r w:rsidRPr="00F33973">
        <w:rPr>
          <w:rFonts w:ascii="Times New Roman" w:hAnsi="Times New Roman" w:cs="Times New Roman"/>
          <w:bCs/>
          <w:sz w:val="24"/>
          <w:szCs w:val="24"/>
          <w:lang w:val="en-US"/>
        </w:rPr>
        <w:t xml:space="preserve">emarks on </w:t>
      </w:r>
      <w:r w:rsidR="00385922">
        <w:rPr>
          <w:rFonts w:ascii="Times New Roman" w:hAnsi="Times New Roman" w:cs="Times New Roman"/>
          <w:bCs/>
          <w:sz w:val="24"/>
          <w:szCs w:val="24"/>
          <w:lang w:val="en-US"/>
        </w:rPr>
        <w:t>i</w:t>
      </w:r>
      <w:r w:rsidRPr="00F33973">
        <w:rPr>
          <w:rFonts w:ascii="Times New Roman" w:hAnsi="Times New Roman" w:cs="Times New Roman"/>
          <w:bCs/>
          <w:sz w:val="24"/>
          <w:szCs w:val="24"/>
          <w:lang w:val="en-US"/>
        </w:rPr>
        <w:t>mmo</w:t>
      </w:r>
      <w:r>
        <w:rPr>
          <w:rFonts w:ascii="Times New Roman" w:hAnsi="Times New Roman" w:cs="Times New Roman"/>
          <w:bCs/>
          <w:sz w:val="24"/>
          <w:szCs w:val="24"/>
          <w:lang w:val="en-US"/>
        </w:rPr>
        <w:t xml:space="preserve">rtality and the </w:t>
      </w:r>
      <w:r w:rsidR="00A27D6B">
        <w:rPr>
          <w:rFonts w:ascii="Times New Roman" w:hAnsi="Times New Roman" w:cs="Times New Roman"/>
          <w:bCs/>
          <w:sz w:val="24"/>
          <w:szCs w:val="24"/>
          <w:lang w:val="en-US"/>
        </w:rPr>
        <w:t>p</w:t>
      </w:r>
      <w:r>
        <w:rPr>
          <w:rFonts w:ascii="Times New Roman" w:hAnsi="Times New Roman" w:cs="Times New Roman"/>
          <w:bCs/>
          <w:sz w:val="24"/>
          <w:szCs w:val="24"/>
          <w:lang w:val="en-US"/>
        </w:rPr>
        <w:t xml:space="preserve">roblem of </w:t>
      </w:r>
      <w:r w:rsidR="00A27D6B">
        <w:rPr>
          <w:rFonts w:ascii="Times New Roman" w:hAnsi="Times New Roman" w:cs="Times New Roman"/>
          <w:bCs/>
          <w:sz w:val="24"/>
          <w:szCs w:val="24"/>
          <w:lang w:val="en-US"/>
        </w:rPr>
        <w:t>l</w:t>
      </w:r>
      <w:r>
        <w:rPr>
          <w:rFonts w:ascii="Times New Roman" w:hAnsi="Times New Roman" w:cs="Times New Roman"/>
          <w:bCs/>
          <w:sz w:val="24"/>
          <w:szCs w:val="24"/>
          <w:lang w:val="en-US"/>
        </w:rPr>
        <w:t>ife</w:t>
      </w:r>
      <w:r w:rsidR="0023539B">
        <w:rPr>
          <w:rFonts w:ascii="Times New Roman" w:hAnsi="Times New Roman" w:cs="Times New Roman"/>
          <w:bCs/>
          <w:sz w:val="24"/>
          <w:szCs w:val="24"/>
          <w:lang w:val="en-US"/>
        </w:rPr>
        <w:t>.</w:t>
      </w:r>
      <w:r w:rsidRPr="00F33973">
        <w:rPr>
          <w:rFonts w:ascii="Times New Roman" w:hAnsi="Times New Roman" w:cs="Times New Roman"/>
          <w:bCs/>
          <w:sz w:val="24"/>
          <w:szCs w:val="24"/>
          <w:lang w:val="en-US"/>
        </w:rPr>
        <w:t xml:space="preserve"> </w:t>
      </w:r>
      <w:r w:rsidRPr="00F33973">
        <w:rPr>
          <w:rFonts w:ascii="Times New Roman" w:hAnsi="Times New Roman" w:cs="Times New Roman"/>
          <w:bCs/>
          <w:i/>
          <w:sz w:val="24"/>
          <w:szCs w:val="24"/>
          <w:lang w:val="en-US"/>
        </w:rPr>
        <w:t>History of Philosophy Quarterly</w:t>
      </w:r>
      <w:r w:rsidRPr="00F33973">
        <w:rPr>
          <w:rFonts w:ascii="Times New Roman" w:hAnsi="Times New Roman" w:cs="Times New Roman"/>
          <w:bCs/>
          <w:sz w:val="24"/>
          <w:szCs w:val="24"/>
          <w:lang w:val="en-US"/>
        </w:rPr>
        <w:t xml:space="preserve"> 29 (2), 195─210.</w:t>
      </w:r>
    </w:p>
    <w:p w14:paraId="61D7C38B" w14:textId="77777777" w:rsidR="00E43123" w:rsidRPr="00F33973" w:rsidRDefault="00E43123" w:rsidP="00E43123">
      <w:pPr>
        <w:spacing w:after="0" w:line="480" w:lineRule="auto"/>
        <w:rPr>
          <w:rFonts w:ascii="Times New Roman" w:hAnsi="Times New Roman" w:cs="Times New Roman"/>
          <w:sz w:val="24"/>
          <w:szCs w:val="24"/>
          <w:lang w:val="en-US"/>
        </w:rPr>
      </w:pPr>
    </w:p>
    <w:p w14:paraId="2D75A5C8" w14:textId="5ECEDAFB" w:rsidR="00E43123" w:rsidRDefault="00E43123" w:rsidP="00E4312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Appelqvist, H</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(2013</w:t>
      </w:r>
      <w:r w:rsidRPr="00F33973">
        <w:rPr>
          <w:rFonts w:ascii="Times New Roman" w:hAnsi="Times New Roman" w:cs="Times New Roman"/>
          <w:sz w:val="24"/>
          <w:szCs w:val="24"/>
          <w:lang w:val="en-US"/>
        </w:rPr>
        <w:t>)</w:t>
      </w:r>
      <w:r w:rsidR="0089398F">
        <w:rPr>
          <w:rFonts w:ascii="Times New Roman" w:hAnsi="Times New Roman" w:cs="Times New Roman"/>
          <w:sz w:val="24"/>
          <w:szCs w:val="24"/>
          <w:lang w:val="en-US"/>
        </w:rPr>
        <w:t>.</w:t>
      </w:r>
      <w:r w:rsidRPr="00F33973">
        <w:rPr>
          <w:rFonts w:ascii="Times New Roman" w:hAnsi="Times New Roman" w:cs="Times New Roman"/>
          <w:sz w:val="24"/>
          <w:szCs w:val="24"/>
          <w:lang w:val="en-US"/>
        </w:rPr>
        <w:t xml:space="preserve"> Why does Wittgenstein say that ethics and a</w:t>
      </w:r>
      <w:r>
        <w:rPr>
          <w:rFonts w:ascii="Times New Roman" w:hAnsi="Times New Roman" w:cs="Times New Roman"/>
          <w:sz w:val="24"/>
          <w:szCs w:val="24"/>
          <w:lang w:val="en-US"/>
        </w:rPr>
        <w:t>esthetics are one and the same?</w:t>
      </w:r>
      <w:r w:rsidR="0023539B">
        <w:rPr>
          <w:rFonts w:ascii="Times New Roman" w:hAnsi="Times New Roman" w:cs="Times New Roman"/>
          <w:sz w:val="24"/>
          <w:szCs w:val="24"/>
          <w:lang w:val="en-US"/>
        </w:rPr>
        <w:t xml:space="preserve"> I</w:t>
      </w:r>
      <w:r w:rsidRPr="00F33973">
        <w:rPr>
          <w:rFonts w:ascii="Times New Roman" w:hAnsi="Times New Roman" w:cs="Times New Roman"/>
          <w:sz w:val="24"/>
          <w:szCs w:val="24"/>
          <w:lang w:val="en-US"/>
        </w:rPr>
        <w:t>n P. Sullivan and M. Potter (</w:t>
      </w:r>
      <w:r w:rsidR="0023539B">
        <w:rPr>
          <w:rFonts w:ascii="Times New Roman" w:hAnsi="Times New Roman" w:cs="Times New Roman"/>
          <w:sz w:val="24"/>
          <w:szCs w:val="24"/>
          <w:lang w:val="en-US"/>
        </w:rPr>
        <w:t>E</w:t>
      </w:r>
      <w:r w:rsidRPr="00F33973">
        <w:rPr>
          <w:rFonts w:ascii="Times New Roman" w:hAnsi="Times New Roman" w:cs="Times New Roman"/>
          <w:sz w:val="24"/>
          <w:szCs w:val="24"/>
          <w:lang w:val="en-US"/>
        </w:rPr>
        <w:t>ds</w:t>
      </w:r>
      <w:r w:rsidR="0023539B">
        <w:rPr>
          <w:rFonts w:ascii="Times New Roman" w:hAnsi="Times New Roman" w:cs="Times New Roman"/>
          <w:sz w:val="24"/>
          <w:szCs w:val="24"/>
          <w:lang w:val="en-US"/>
        </w:rPr>
        <w:t>.</w:t>
      </w:r>
      <w:r w:rsidRPr="00F33973">
        <w:rPr>
          <w:rFonts w:ascii="Times New Roman" w:hAnsi="Times New Roman" w:cs="Times New Roman"/>
          <w:sz w:val="24"/>
          <w:szCs w:val="24"/>
          <w:lang w:val="en-US"/>
        </w:rPr>
        <w:t>)</w:t>
      </w:r>
      <w:r w:rsidR="005A4EEA">
        <w:rPr>
          <w:rFonts w:ascii="Times New Roman" w:hAnsi="Times New Roman" w:cs="Times New Roman"/>
          <w:sz w:val="24"/>
          <w:szCs w:val="24"/>
          <w:lang w:val="en-US"/>
        </w:rPr>
        <w:t>.</w:t>
      </w:r>
      <w:r w:rsidRPr="00F33973">
        <w:rPr>
          <w:rFonts w:ascii="Times New Roman" w:hAnsi="Times New Roman" w:cs="Times New Roman"/>
          <w:sz w:val="24"/>
          <w:szCs w:val="24"/>
          <w:lang w:val="en-US"/>
        </w:rPr>
        <w:t xml:space="preserve"> </w:t>
      </w:r>
      <w:r w:rsidRPr="00F33973">
        <w:rPr>
          <w:rFonts w:ascii="Times New Roman" w:hAnsi="Times New Roman" w:cs="Times New Roman"/>
          <w:i/>
          <w:sz w:val="24"/>
          <w:szCs w:val="24"/>
          <w:lang w:val="en-US"/>
        </w:rPr>
        <w:t xml:space="preserve">Wittgenstein’s Tractatus: </w:t>
      </w:r>
      <w:r w:rsidR="00A27D6B">
        <w:rPr>
          <w:rFonts w:ascii="Times New Roman" w:hAnsi="Times New Roman" w:cs="Times New Roman"/>
          <w:i/>
          <w:sz w:val="24"/>
          <w:szCs w:val="24"/>
          <w:lang w:val="en-US"/>
        </w:rPr>
        <w:t>H</w:t>
      </w:r>
      <w:r w:rsidRPr="00F33973">
        <w:rPr>
          <w:rFonts w:ascii="Times New Roman" w:hAnsi="Times New Roman" w:cs="Times New Roman"/>
          <w:i/>
          <w:sz w:val="24"/>
          <w:szCs w:val="24"/>
          <w:lang w:val="en-US"/>
        </w:rPr>
        <w:t xml:space="preserve">istory and </w:t>
      </w:r>
      <w:r w:rsidR="006A346C">
        <w:rPr>
          <w:rFonts w:ascii="Times New Roman" w:hAnsi="Times New Roman" w:cs="Times New Roman"/>
          <w:i/>
          <w:sz w:val="24"/>
          <w:szCs w:val="24"/>
          <w:lang w:val="en-US"/>
        </w:rPr>
        <w:t>I</w:t>
      </w:r>
      <w:r w:rsidRPr="00F33973">
        <w:rPr>
          <w:rFonts w:ascii="Times New Roman" w:hAnsi="Times New Roman" w:cs="Times New Roman"/>
          <w:i/>
          <w:sz w:val="24"/>
          <w:szCs w:val="24"/>
          <w:lang w:val="en-US"/>
        </w:rPr>
        <w:t>nterpretation</w:t>
      </w:r>
      <w:r w:rsidRPr="00F33973">
        <w:rPr>
          <w:rFonts w:ascii="Times New Roman" w:hAnsi="Times New Roman" w:cs="Times New Roman"/>
          <w:sz w:val="24"/>
          <w:szCs w:val="24"/>
          <w:lang w:val="en-US"/>
        </w:rPr>
        <w:t>. Oxford: Oxford University Press, 40–58.</w:t>
      </w:r>
    </w:p>
    <w:p w14:paraId="1565ADEB" w14:textId="77777777" w:rsidR="00E43123" w:rsidRDefault="00E43123" w:rsidP="00E43123">
      <w:pPr>
        <w:spacing w:after="0" w:line="480" w:lineRule="auto"/>
        <w:rPr>
          <w:rFonts w:ascii="Times New Roman" w:hAnsi="Times New Roman" w:cs="Times New Roman"/>
          <w:sz w:val="24"/>
          <w:szCs w:val="24"/>
          <w:lang w:val="en-US"/>
        </w:rPr>
      </w:pPr>
    </w:p>
    <w:p w14:paraId="78CDD60D" w14:textId="77777777" w:rsidR="00E43123" w:rsidRDefault="00E43123" w:rsidP="00E43123">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Appelqvist, H</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(2016)</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On Wittgenstein’s Kantian </w:t>
      </w:r>
      <w:r w:rsidR="00A27D6B">
        <w:rPr>
          <w:rFonts w:ascii="Times New Roman" w:hAnsi="Times New Roman" w:cs="Times New Roman"/>
          <w:sz w:val="24"/>
          <w:szCs w:val="24"/>
          <w:lang w:val="en-US"/>
        </w:rPr>
        <w:t>s</w:t>
      </w:r>
      <w:r>
        <w:rPr>
          <w:rFonts w:ascii="Times New Roman" w:hAnsi="Times New Roman" w:cs="Times New Roman"/>
          <w:sz w:val="24"/>
          <w:szCs w:val="24"/>
          <w:lang w:val="en-US"/>
        </w:rPr>
        <w:t xml:space="preserve">olution of the </w:t>
      </w:r>
      <w:r w:rsidR="00A27D6B">
        <w:rPr>
          <w:rFonts w:ascii="Times New Roman" w:hAnsi="Times New Roman" w:cs="Times New Roman"/>
          <w:sz w:val="24"/>
          <w:szCs w:val="24"/>
          <w:lang w:val="en-US"/>
        </w:rPr>
        <w:t>p</w:t>
      </w:r>
      <w:r>
        <w:rPr>
          <w:rFonts w:ascii="Times New Roman" w:hAnsi="Times New Roman" w:cs="Times New Roman"/>
          <w:sz w:val="24"/>
          <w:szCs w:val="24"/>
          <w:lang w:val="en-US"/>
        </w:rPr>
        <w:t xml:space="preserve">roblem of </w:t>
      </w:r>
      <w:r w:rsidR="00A27D6B">
        <w:rPr>
          <w:rFonts w:ascii="Times New Roman" w:hAnsi="Times New Roman" w:cs="Times New Roman"/>
          <w:sz w:val="24"/>
          <w:szCs w:val="24"/>
          <w:lang w:val="en-US"/>
        </w:rPr>
        <w:t>p</w:t>
      </w:r>
      <w:r>
        <w:rPr>
          <w:rFonts w:ascii="Times New Roman" w:hAnsi="Times New Roman" w:cs="Times New Roman"/>
          <w:sz w:val="24"/>
          <w:szCs w:val="24"/>
          <w:lang w:val="en-US"/>
        </w:rPr>
        <w:t>hilosophy</w:t>
      </w:r>
      <w:r w:rsidR="0023539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The British Journal for the History of Philosophy</w:t>
      </w:r>
      <w:r>
        <w:rPr>
          <w:rFonts w:ascii="Times New Roman" w:hAnsi="Times New Roman" w:cs="Times New Roman"/>
          <w:sz w:val="24"/>
          <w:szCs w:val="24"/>
          <w:lang w:val="en-US"/>
        </w:rPr>
        <w:t>, 24 (4),</w:t>
      </w:r>
      <w:r w:rsidRPr="00FA2DCA">
        <w:rPr>
          <w:rFonts w:ascii="Times New Roman" w:hAnsi="Times New Roman" w:cs="Times New Roman"/>
          <w:sz w:val="24"/>
          <w:szCs w:val="24"/>
          <w:lang w:val="en-US"/>
        </w:rPr>
        <w:t xml:space="preserve"> 697–719</w:t>
      </w:r>
      <w:r>
        <w:rPr>
          <w:rFonts w:ascii="Times New Roman" w:hAnsi="Times New Roman" w:cs="Times New Roman"/>
          <w:sz w:val="24"/>
          <w:szCs w:val="24"/>
          <w:lang w:val="en-US"/>
        </w:rPr>
        <w:t>.</w:t>
      </w:r>
    </w:p>
    <w:p w14:paraId="0B99AE15" w14:textId="77777777" w:rsidR="0089398F" w:rsidRDefault="0089398F" w:rsidP="00E43123">
      <w:pPr>
        <w:spacing w:line="480" w:lineRule="auto"/>
        <w:rPr>
          <w:rFonts w:ascii="Times New Roman" w:hAnsi="Times New Roman" w:cs="Times New Roman"/>
          <w:sz w:val="24"/>
          <w:szCs w:val="24"/>
          <w:lang w:val="en-US"/>
        </w:rPr>
      </w:pPr>
    </w:p>
    <w:p w14:paraId="21B80AC3" w14:textId="77777777" w:rsidR="00E43123" w:rsidRDefault="00E43123" w:rsidP="00E43123">
      <w:pPr>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Appelqvist, H</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(2017)</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What </w:t>
      </w:r>
      <w:r w:rsidR="00A27D6B">
        <w:rPr>
          <w:rFonts w:ascii="Times New Roman" w:hAnsi="Times New Roman" w:cs="Times New Roman"/>
          <w:sz w:val="24"/>
          <w:szCs w:val="24"/>
          <w:lang w:val="en-US"/>
        </w:rPr>
        <w:t>k</w:t>
      </w:r>
      <w:r>
        <w:rPr>
          <w:rFonts w:ascii="Times New Roman" w:hAnsi="Times New Roman" w:cs="Times New Roman"/>
          <w:sz w:val="24"/>
          <w:szCs w:val="24"/>
          <w:lang w:val="en-US"/>
        </w:rPr>
        <w:t xml:space="preserve">ind of </w:t>
      </w:r>
      <w:r w:rsidR="00A27D6B">
        <w:rPr>
          <w:rFonts w:ascii="Times New Roman" w:hAnsi="Times New Roman" w:cs="Times New Roman"/>
          <w:sz w:val="24"/>
          <w:szCs w:val="24"/>
          <w:lang w:val="en-US"/>
        </w:rPr>
        <w:t>n</w:t>
      </w:r>
      <w:r>
        <w:rPr>
          <w:rFonts w:ascii="Times New Roman" w:hAnsi="Times New Roman" w:cs="Times New Roman"/>
          <w:sz w:val="24"/>
          <w:szCs w:val="24"/>
          <w:lang w:val="en-US"/>
        </w:rPr>
        <w:t xml:space="preserve">ormativity is the </w:t>
      </w:r>
      <w:r w:rsidR="00A27D6B">
        <w:rPr>
          <w:rFonts w:ascii="Times New Roman" w:hAnsi="Times New Roman" w:cs="Times New Roman"/>
          <w:sz w:val="24"/>
          <w:szCs w:val="24"/>
          <w:lang w:val="en-US"/>
        </w:rPr>
        <w:t>n</w:t>
      </w:r>
      <w:r>
        <w:rPr>
          <w:rFonts w:ascii="Times New Roman" w:hAnsi="Times New Roman" w:cs="Times New Roman"/>
          <w:sz w:val="24"/>
          <w:szCs w:val="24"/>
          <w:lang w:val="en-US"/>
        </w:rPr>
        <w:t xml:space="preserve">ormativity of </w:t>
      </w:r>
      <w:r w:rsidR="00A27D6B">
        <w:rPr>
          <w:rFonts w:ascii="Times New Roman" w:hAnsi="Times New Roman" w:cs="Times New Roman"/>
          <w:sz w:val="24"/>
          <w:szCs w:val="24"/>
          <w:lang w:val="en-US"/>
        </w:rPr>
        <w:t>g</w:t>
      </w:r>
      <w:r>
        <w:rPr>
          <w:rFonts w:ascii="Times New Roman" w:hAnsi="Times New Roman" w:cs="Times New Roman"/>
          <w:sz w:val="24"/>
          <w:szCs w:val="24"/>
          <w:lang w:val="en-US"/>
        </w:rPr>
        <w:t>rammar</w:t>
      </w:r>
      <w:r w:rsidR="00A27D6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3C1AF7">
        <w:rPr>
          <w:rFonts w:ascii="Times New Roman" w:hAnsi="Times New Roman" w:cs="Times New Roman"/>
          <w:i/>
          <w:sz w:val="24"/>
          <w:szCs w:val="24"/>
          <w:lang w:val="en-US"/>
        </w:rPr>
        <w:t xml:space="preserve">Metaphilosophy </w:t>
      </w:r>
      <w:r>
        <w:rPr>
          <w:rFonts w:ascii="Times New Roman" w:hAnsi="Times New Roman" w:cs="Times New Roman"/>
          <w:sz w:val="24"/>
          <w:szCs w:val="24"/>
          <w:lang w:val="en-US"/>
        </w:rPr>
        <w:t xml:space="preserve">48 (1–2), </w:t>
      </w:r>
      <w:r w:rsidRPr="003C1AF7">
        <w:rPr>
          <w:rFonts w:ascii="Times New Roman" w:hAnsi="Times New Roman" w:cs="Times New Roman"/>
          <w:sz w:val="24"/>
          <w:szCs w:val="24"/>
          <w:lang w:val="en-US"/>
        </w:rPr>
        <w:t>123–145.</w:t>
      </w:r>
    </w:p>
    <w:p w14:paraId="64C7C5A3" w14:textId="77777777" w:rsidR="0073587A" w:rsidRDefault="0073587A" w:rsidP="00E43123">
      <w:pPr>
        <w:spacing w:line="480" w:lineRule="auto"/>
        <w:rPr>
          <w:rFonts w:ascii="Times New Roman" w:hAnsi="Times New Roman" w:cs="Times New Roman"/>
          <w:sz w:val="24"/>
          <w:szCs w:val="24"/>
          <w:lang w:val="en-US"/>
        </w:rPr>
      </w:pPr>
    </w:p>
    <w:p w14:paraId="5EF5F49A" w14:textId="6D001497" w:rsidR="0073587A" w:rsidRPr="0073587A" w:rsidRDefault="0073587A" w:rsidP="00E43123">
      <w:pPr>
        <w:spacing w:line="480" w:lineRule="auto"/>
        <w:rPr>
          <w:rFonts w:ascii="Times New Roman" w:eastAsia="Times New Roman" w:hAnsi="Times New Roman" w:cs="Times New Roman"/>
          <w:i/>
          <w:sz w:val="24"/>
          <w:szCs w:val="24"/>
          <w:lang w:val="en-US" w:eastAsia="fi-FI"/>
        </w:rPr>
      </w:pPr>
      <w:r>
        <w:rPr>
          <w:rFonts w:ascii="Times New Roman" w:hAnsi="Times New Roman" w:cs="Times New Roman"/>
          <w:sz w:val="24"/>
          <w:szCs w:val="24"/>
          <w:lang w:val="en-US"/>
        </w:rPr>
        <w:t xml:space="preserve">Bell, D. (1987). The art of judgment. </w:t>
      </w:r>
      <w:r>
        <w:rPr>
          <w:rFonts w:ascii="Times New Roman" w:hAnsi="Times New Roman" w:cs="Times New Roman"/>
          <w:i/>
          <w:sz w:val="24"/>
          <w:szCs w:val="24"/>
          <w:lang w:val="en-US"/>
        </w:rPr>
        <w:t xml:space="preserve">Mind </w:t>
      </w:r>
      <w:r w:rsidRPr="005D51F9">
        <w:rPr>
          <w:rFonts w:ascii="Times New Roman" w:hAnsi="Times New Roman" w:cs="Times New Roman"/>
          <w:sz w:val="24"/>
          <w:szCs w:val="24"/>
          <w:lang w:val="en-US"/>
        </w:rPr>
        <w:t>96 (382), 221–244.</w:t>
      </w:r>
    </w:p>
    <w:p w14:paraId="2C8197FC" w14:textId="77777777" w:rsidR="00442C18" w:rsidRDefault="00442C18" w:rsidP="004035AC">
      <w:pPr>
        <w:pStyle w:val="Alaviitteenteksti"/>
        <w:spacing w:line="480" w:lineRule="auto"/>
        <w:rPr>
          <w:rFonts w:ascii="Times New Roman" w:hAnsi="Times New Roman" w:cs="Times New Roman"/>
          <w:sz w:val="24"/>
          <w:szCs w:val="24"/>
          <w:lang w:val="en-US"/>
        </w:rPr>
      </w:pPr>
    </w:p>
    <w:p w14:paraId="02B05A6B" w14:textId="77777777" w:rsidR="00442C18" w:rsidRDefault="00442C18" w:rsidP="004035AC">
      <w:pPr>
        <w:pStyle w:val="Alaviitteenteksti"/>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Cottingham, J</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(2017)</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Wittgenstein and </w:t>
      </w:r>
      <w:r w:rsidR="00A27D6B">
        <w:rPr>
          <w:rFonts w:ascii="Times New Roman" w:hAnsi="Times New Roman" w:cs="Times New Roman"/>
          <w:sz w:val="24"/>
          <w:szCs w:val="24"/>
          <w:lang w:val="en-US"/>
        </w:rPr>
        <w:t>p</w:t>
      </w:r>
      <w:r>
        <w:rPr>
          <w:rFonts w:ascii="Times New Roman" w:hAnsi="Times New Roman" w:cs="Times New Roman"/>
          <w:sz w:val="24"/>
          <w:szCs w:val="24"/>
          <w:lang w:val="en-US"/>
        </w:rPr>
        <w:t xml:space="preserve">hilosophy of </w:t>
      </w:r>
      <w:r w:rsidR="00A27D6B">
        <w:rPr>
          <w:rFonts w:ascii="Times New Roman" w:hAnsi="Times New Roman" w:cs="Times New Roman"/>
          <w:sz w:val="24"/>
          <w:szCs w:val="24"/>
          <w:lang w:val="en-US"/>
        </w:rPr>
        <w:t>r</w:t>
      </w:r>
      <w:r>
        <w:rPr>
          <w:rFonts w:ascii="Times New Roman" w:hAnsi="Times New Roman" w:cs="Times New Roman"/>
          <w:sz w:val="24"/>
          <w:szCs w:val="24"/>
          <w:lang w:val="en-US"/>
        </w:rPr>
        <w:t>eligion</w:t>
      </w:r>
      <w:r w:rsidR="0023539B">
        <w:rPr>
          <w:rFonts w:ascii="Times New Roman" w:hAnsi="Times New Roman" w:cs="Times New Roman"/>
          <w:sz w:val="24"/>
          <w:szCs w:val="24"/>
          <w:lang w:val="en-US"/>
        </w:rPr>
        <w:t>. I</w:t>
      </w:r>
      <w:r>
        <w:rPr>
          <w:rFonts w:ascii="Times New Roman" w:hAnsi="Times New Roman" w:cs="Times New Roman"/>
          <w:sz w:val="24"/>
          <w:szCs w:val="24"/>
          <w:lang w:val="en-US"/>
        </w:rPr>
        <w:t>n H. Glock and J. Hyman</w:t>
      </w:r>
      <w:r w:rsidR="00396491">
        <w:rPr>
          <w:rFonts w:ascii="Times New Roman" w:hAnsi="Times New Roman" w:cs="Times New Roman"/>
          <w:sz w:val="24"/>
          <w:szCs w:val="24"/>
          <w:lang w:val="en-US"/>
        </w:rPr>
        <w:t xml:space="preserve"> (</w:t>
      </w:r>
      <w:r w:rsidR="0023539B">
        <w:rPr>
          <w:rFonts w:ascii="Times New Roman" w:hAnsi="Times New Roman" w:cs="Times New Roman"/>
          <w:sz w:val="24"/>
          <w:szCs w:val="24"/>
          <w:lang w:val="en-US"/>
        </w:rPr>
        <w:t>E</w:t>
      </w:r>
      <w:r w:rsidR="00396491">
        <w:rPr>
          <w:rFonts w:ascii="Times New Roman" w:hAnsi="Times New Roman" w:cs="Times New Roman"/>
          <w:sz w:val="24"/>
          <w:szCs w:val="24"/>
          <w:lang w:val="en-US"/>
        </w:rPr>
        <w:t>ds</w:t>
      </w:r>
      <w:r w:rsidR="0023539B">
        <w:rPr>
          <w:rFonts w:ascii="Times New Roman" w:hAnsi="Times New Roman" w:cs="Times New Roman"/>
          <w:sz w:val="24"/>
          <w:szCs w:val="24"/>
          <w:lang w:val="en-US"/>
        </w:rPr>
        <w:t>.</w:t>
      </w:r>
      <w:r>
        <w:rPr>
          <w:rFonts w:ascii="Times New Roman" w:hAnsi="Times New Roman" w:cs="Times New Roman"/>
          <w:sz w:val="24"/>
          <w:szCs w:val="24"/>
          <w:lang w:val="en-US"/>
        </w:rPr>
        <w:t>)</w:t>
      </w:r>
      <w:r w:rsidR="0023539B">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A Companion to Wittgenstein</w:t>
      </w:r>
      <w:r>
        <w:rPr>
          <w:rFonts w:ascii="Times New Roman" w:hAnsi="Times New Roman" w:cs="Times New Roman"/>
          <w:sz w:val="24"/>
          <w:szCs w:val="24"/>
          <w:lang w:val="en-US"/>
        </w:rPr>
        <w:t xml:space="preserve">. London: Blackwell, 639–650.   </w:t>
      </w:r>
    </w:p>
    <w:p w14:paraId="4289735E" w14:textId="77777777" w:rsidR="0089398F" w:rsidRDefault="0089398F" w:rsidP="004035AC">
      <w:pPr>
        <w:pStyle w:val="Alaviitteenteksti"/>
        <w:spacing w:line="480" w:lineRule="auto"/>
        <w:rPr>
          <w:rFonts w:ascii="Times New Roman" w:hAnsi="Times New Roman" w:cs="Times New Roman"/>
          <w:sz w:val="24"/>
          <w:szCs w:val="24"/>
          <w:lang w:val="en-US"/>
        </w:rPr>
      </w:pPr>
    </w:p>
    <w:p w14:paraId="2E1BB558" w14:textId="77777777" w:rsidR="0089398F" w:rsidRDefault="0089398F" w:rsidP="0089398F">
      <w:pPr>
        <w:pStyle w:val="Alaviitteenteksti"/>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Glock, </w:t>
      </w:r>
      <w:r w:rsidRPr="007C7C48">
        <w:rPr>
          <w:rFonts w:ascii="Times New Roman" w:hAnsi="Times New Roman" w:cs="Times New Roman"/>
          <w:sz w:val="24"/>
          <w:szCs w:val="24"/>
          <w:lang w:val="en-US"/>
        </w:rPr>
        <w:t>H</w:t>
      </w:r>
      <w:r>
        <w:rPr>
          <w:rFonts w:ascii="Times New Roman" w:hAnsi="Times New Roman" w:cs="Times New Roman"/>
          <w:sz w:val="24"/>
          <w:szCs w:val="24"/>
          <w:lang w:val="en-US"/>
        </w:rPr>
        <w:t xml:space="preserve">. (1992). </w:t>
      </w:r>
      <w:r w:rsidRPr="007548F4">
        <w:rPr>
          <w:rFonts w:ascii="Times New Roman" w:hAnsi="Times New Roman" w:cs="Times New Roman"/>
          <w:sz w:val="24"/>
          <w:szCs w:val="24"/>
          <w:lang w:val="en-US"/>
        </w:rPr>
        <w:t xml:space="preserve">Cambridge, Jena, or Vienna? The Roots of the </w:t>
      </w:r>
      <w:r w:rsidRPr="007548F4">
        <w:rPr>
          <w:rFonts w:ascii="Times New Roman" w:hAnsi="Times New Roman" w:cs="Times New Roman"/>
          <w:i/>
          <w:sz w:val="24"/>
          <w:szCs w:val="24"/>
          <w:lang w:val="en-US"/>
        </w:rPr>
        <w:t>Tractatus</w:t>
      </w:r>
      <w:r>
        <w:rPr>
          <w:rFonts w:ascii="Times New Roman" w:hAnsi="Times New Roman" w:cs="Times New Roman"/>
          <w:sz w:val="24"/>
          <w:szCs w:val="24"/>
          <w:lang w:val="en-US"/>
        </w:rPr>
        <w:t>.</w:t>
      </w:r>
      <w:r w:rsidRPr="007548F4">
        <w:rPr>
          <w:rFonts w:ascii="Times New Roman" w:hAnsi="Times New Roman" w:cs="Times New Roman"/>
          <w:sz w:val="24"/>
          <w:szCs w:val="24"/>
          <w:lang w:val="en-US"/>
        </w:rPr>
        <w:t xml:space="preserve"> </w:t>
      </w:r>
      <w:r w:rsidRPr="007548F4">
        <w:rPr>
          <w:rFonts w:ascii="Times New Roman" w:hAnsi="Times New Roman" w:cs="Times New Roman"/>
          <w:i/>
          <w:sz w:val="24"/>
          <w:szCs w:val="24"/>
          <w:lang w:val="en-US"/>
        </w:rPr>
        <w:t xml:space="preserve">Ratio </w:t>
      </w:r>
      <w:r w:rsidRPr="007548F4">
        <w:rPr>
          <w:rFonts w:ascii="Times New Roman" w:hAnsi="Times New Roman" w:cs="Times New Roman"/>
          <w:sz w:val="24"/>
          <w:szCs w:val="24"/>
          <w:lang w:val="en-US"/>
        </w:rPr>
        <w:t>5 (1), 1</w:t>
      </w:r>
      <w:r w:rsidRPr="007548F4">
        <w:rPr>
          <w:rFonts w:ascii="Times New Roman" w:hAnsi="Times New Roman" w:cs="Times New Roman"/>
          <w:sz w:val="24"/>
          <w:szCs w:val="24"/>
          <w:lang w:val="en-GB"/>
        </w:rPr>
        <w:t>–</w:t>
      </w:r>
      <w:r w:rsidRPr="007548F4">
        <w:rPr>
          <w:rFonts w:ascii="Times New Roman" w:hAnsi="Times New Roman" w:cs="Times New Roman"/>
          <w:sz w:val="24"/>
          <w:szCs w:val="24"/>
          <w:lang w:val="en-US"/>
        </w:rPr>
        <w:t>23.</w:t>
      </w:r>
    </w:p>
    <w:p w14:paraId="7808B36D" w14:textId="77777777" w:rsidR="004035AC" w:rsidRPr="007548F4" w:rsidRDefault="004035AC" w:rsidP="004035AC">
      <w:pPr>
        <w:pStyle w:val="Alaviitteenteksti"/>
        <w:spacing w:line="480" w:lineRule="auto"/>
        <w:rPr>
          <w:rFonts w:ascii="Times New Roman" w:hAnsi="Times New Roman" w:cs="Times New Roman"/>
          <w:sz w:val="24"/>
          <w:szCs w:val="24"/>
          <w:lang w:val="en-US"/>
        </w:rPr>
      </w:pPr>
    </w:p>
    <w:p w14:paraId="00D8613A" w14:textId="77777777" w:rsidR="004035AC" w:rsidRDefault="004035AC" w:rsidP="004035AC">
      <w:pPr>
        <w:pStyle w:val="Alaviitteenteksti"/>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Glock, </w:t>
      </w:r>
      <w:r w:rsidRPr="007C7C48">
        <w:rPr>
          <w:rFonts w:ascii="Times New Roman" w:hAnsi="Times New Roman" w:cs="Times New Roman"/>
          <w:sz w:val="24"/>
          <w:szCs w:val="24"/>
          <w:lang w:val="en-US"/>
        </w:rPr>
        <w:t>H</w:t>
      </w:r>
      <w:r w:rsidR="0089398F">
        <w:rPr>
          <w:rFonts w:ascii="Times New Roman" w:hAnsi="Times New Roman" w:cs="Times New Roman"/>
          <w:sz w:val="24"/>
          <w:szCs w:val="24"/>
          <w:lang w:val="en-US"/>
        </w:rPr>
        <w:t>.</w:t>
      </w:r>
      <w:r w:rsidRPr="007548F4">
        <w:rPr>
          <w:rFonts w:ascii="Times New Roman" w:hAnsi="Times New Roman" w:cs="Times New Roman"/>
          <w:sz w:val="24"/>
          <w:szCs w:val="24"/>
          <w:lang w:val="en-US"/>
        </w:rPr>
        <w:t xml:space="preserve"> (1997)</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7548F4">
        <w:rPr>
          <w:rFonts w:ascii="Times New Roman" w:hAnsi="Times New Roman" w:cs="Times New Roman"/>
          <w:sz w:val="24"/>
          <w:szCs w:val="24"/>
          <w:lang w:val="en-US"/>
        </w:rPr>
        <w:t>Kant and Wittgenstein: Philosoph</w:t>
      </w:r>
      <w:r>
        <w:rPr>
          <w:rFonts w:ascii="Times New Roman" w:hAnsi="Times New Roman" w:cs="Times New Roman"/>
          <w:sz w:val="24"/>
          <w:szCs w:val="24"/>
          <w:lang w:val="en-US"/>
        </w:rPr>
        <w:t xml:space="preserve">y, </w:t>
      </w:r>
      <w:r w:rsidR="00A27D6B">
        <w:rPr>
          <w:rFonts w:ascii="Times New Roman" w:hAnsi="Times New Roman" w:cs="Times New Roman"/>
          <w:sz w:val="24"/>
          <w:szCs w:val="24"/>
          <w:lang w:val="en-US"/>
        </w:rPr>
        <w:t>n</w:t>
      </w:r>
      <w:r>
        <w:rPr>
          <w:rFonts w:ascii="Times New Roman" w:hAnsi="Times New Roman" w:cs="Times New Roman"/>
          <w:sz w:val="24"/>
          <w:szCs w:val="24"/>
          <w:lang w:val="en-US"/>
        </w:rPr>
        <w:t xml:space="preserve">ecessity and </w:t>
      </w:r>
      <w:r w:rsidR="00A27D6B">
        <w:rPr>
          <w:rFonts w:ascii="Times New Roman" w:hAnsi="Times New Roman" w:cs="Times New Roman"/>
          <w:sz w:val="24"/>
          <w:szCs w:val="24"/>
          <w:lang w:val="en-US"/>
        </w:rPr>
        <w:t>r</w:t>
      </w:r>
      <w:r>
        <w:rPr>
          <w:rFonts w:ascii="Times New Roman" w:hAnsi="Times New Roman" w:cs="Times New Roman"/>
          <w:sz w:val="24"/>
          <w:szCs w:val="24"/>
          <w:lang w:val="en-US"/>
        </w:rPr>
        <w:t>epresentation</w:t>
      </w:r>
      <w:r w:rsidR="0023539B">
        <w:rPr>
          <w:rFonts w:ascii="Times New Roman" w:hAnsi="Times New Roman" w:cs="Times New Roman"/>
          <w:sz w:val="24"/>
          <w:szCs w:val="24"/>
          <w:lang w:val="en-US"/>
        </w:rPr>
        <w:t>.</w:t>
      </w:r>
      <w:r w:rsidRPr="007548F4">
        <w:rPr>
          <w:rFonts w:ascii="Times New Roman" w:hAnsi="Times New Roman" w:cs="Times New Roman"/>
          <w:sz w:val="24"/>
          <w:szCs w:val="24"/>
          <w:lang w:val="en-US"/>
        </w:rPr>
        <w:t xml:space="preserve"> </w:t>
      </w:r>
      <w:r w:rsidRPr="007548F4">
        <w:rPr>
          <w:rFonts w:ascii="Times New Roman" w:hAnsi="Times New Roman" w:cs="Times New Roman"/>
          <w:i/>
          <w:sz w:val="24"/>
          <w:szCs w:val="24"/>
          <w:lang w:val="en-US"/>
        </w:rPr>
        <w:t>International Journal of Philosophical Studies</w:t>
      </w:r>
      <w:r w:rsidRPr="007548F4">
        <w:rPr>
          <w:rFonts w:ascii="Times New Roman" w:hAnsi="Times New Roman" w:cs="Times New Roman"/>
          <w:sz w:val="24"/>
          <w:szCs w:val="24"/>
          <w:lang w:val="en-US"/>
        </w:rPr>
        <w:t>, 5 (2)</w:t>
      </w:r>
      <w:r w:rsidR="0023539B">
        <w:rPr>
          <w:rFonts w:ascii="Times New Roman" w:hAnsi="Times New Roman" w:cs="Times New Roman"/>
          <w:sz w:val="24"/>
          <w:szCs w:val="24"/>
          <w:lang w:val="en-US"/>
        </w:rPr>
        <w:t>,</w:t>
      </w:r>
      <w:r w:rsidRPr="007548F4">
        <w:rPr>
          <w:rFonts w:ascii="Times New Roman" w:hAnsi="Times New Roman" w:cs="Times New Roman"/>
          <w:sz w:val="24"/>
          <w:szCs w:val="24"/>
          <w:lang w:val="en-US"/>
        </w:rPr>
        <w:t xml:space="preserve"> 285</w:t>
      </w:r>
      <w:r w:rsidRPr="007548F4">
        <w:rPr>
          <w:rFonts w:ascii="Times New Roman" w:hAnsi="Times New Roman" w:cs="Times New Roman"/>
          <w:sz w:val="24"/>
          <w:szCs w:val="24"/>
          <w:lang w:val="en-GB"/>
        </w:rPr>
        <w:t>–</w:t>
      </w:r>
      <w:r w:rsidRPr="007548F4">
        <w:rPr>
          <w:rFonts w:ascii="Times New Roman" w:hAnsi="Times New Roman" w:cs="Times New Roman"/>
          <w:sz w:val="24"/>
          <w:szCs w:val="24"/>
          <w:lang w:val="en-US"/>
        </w:rPr>
        <w:t xml:space="preserve">305. </w:t>
      </w:r>
    </w:p>
    <w:p w14:paraId="08168EAB" w14:textId="77777777" w:rsidR="008415B0" w:rsidRDefault="008415B0" w:rsidP="004035AC">
      <w:pPr>
        <w:spacing w:after="0" w:line="480" w:lineRule="auto"/>
        <w:rPr>
          <w:rFonts w:ascii="Times New Roman" w:hAnsi="Times New Roman" w:cs="Times New Roman"/>
          <w:sz w:val="24"/>
          <w:szCs w:val="24"/>
          <w:lang w:val="en-US"/>
        </w:rPr>
      </w:pPr>
    </w:p>
    <w:p w14:paraId="646BEA1F" w14:textId="77777777" w:rsidR="007C7C48" w:rsidRDefault="007C7C48" w:rsidP="004035AC">
      <w:pPr>
        <w:spacing w:after="0" w:line="480" w:lineRule="auto"/>
        <w:rPr>
          <w:rFonts w:ascii="Times New Roman" w:hAnsi="Times New Roman" w:cs="Times New Roman"/>
          <w:sz w:val="24"/>
          <w:szCs w:val="24"/>
          <w:lang w:val="en-US"/>
        </w:rPr>
      </w:pPr>
      <w:r w:rsidRPr="007C7C48">
        <w:rPr>
          <w:rFonts w:ascii="Times New Roman" w:hAnsi="Times New Roman" w:cs="Times New Roman"/>
          <w:sz w:val="24"/>
          <w:szCs w:val="24"/>
          <w:lang w:val="en-US"/>
        </w:rPr>
        <w:t>Glock, H</w:t>
      </w:r>
      <w:r w:rsidR="0089398F">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(1999)</w:t>
      </w:r>
      <w:r w:rsidR="0089398F">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Wittgenstein and Schopenhauer</w:t>
      </w:r>
      <w:r w:rsidR="00A27D6B">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t>
      </w:r>
      <w:r w:rsidR="00A27D6B">
        <w:rPr>
          <w:rFonts w:ascii="Times New Roman" w:hAnsi="Times New Roman" w:cs="Times New Roman"/>
          <w:sz w:val="24"/>
          <w:szCs w:val="24"/>
          <w:lang w:val="en-US"/>
        </w:rPr>
        <w:t>L</w:t>
      </w:r>
      <w:r w:rsidRPr="007C7C48">
        <w:rPr>
          <w:rFonts w:ascii="Times New Roman" w:hAnsi="Times New Roman" w:cs="Times New Roman"/>
          <w:sz w:val="24"/>
          <w:szCs w:val="24"/>
          <w:lang w:val="en-US"/>
        </w:rPr>
        <w:t xml:space="preserve">anguage as </w:t>
      </w:r>
      <w:r w:rsidR="00A27D6B">
        <w:rPr>
          <w:rFonts w:ascii="Times New Roman" w:hAnsi="Times New Roman" w:cs="Times New Roman"/>
          <w:sz w:val="24"/>
          <w:szCs w:val="24"/>
          <w:lang w:val="en-US"/>
        </w:rPr>
        <w:t>r</w:t>
      </w:r>
      <w:r w:rsidRPr="007C7C48">
        <w:rPr>
          <w:rFonts w:ascii="Times New Roman" w:hAnsi="Times New Roman" w:cs="Times New Roman"/>
          <w:sz w:val="24"/>
          <w:szCs w:val="24"/>
          <w:lang w:val="en-US"/>
        </w:rPr>
        <w:t>epresentati</w:t>
      </w:r>
      <w:r w:rsidR="00396491">
        <w:rPr>
          <w:rFonts w:ascii="Times New Roman" w:hAnsi="Times New Roman" w:cs="Times New Roman"/>
          <w:sz w:val="24"/>
          <w:szCs w:val="24"/>
          <w:lang w:val="en-US"/>
        </w:rPr>
        <w:t xml:space="preserve">on and </w:t>
      </w:r>
      <w:r w:rsidR="00A27D6B">
        <w:rPr>
          <w:rFonts w:ascii="Times New Roman" w:hAnsi="Times New Roman" w:cs="Times New Roman"/>
          <w:sz w:val="24"/>
          <w:szCs w:val="24"/>
          <w:lang w:val="en-US"/>
        </w:rPr>
        <w:t>w</w:t>
      </w:r>
      <w:r w:rsidR="00396491">
        <w:rPr>
          <w:rFonts w:ascii="Times New Roman" w:hAnsi="Times New Roman" w:cs="Times New Roman"/>
          <w:sz w:val="24"/>
          <w:szCs w:val="24"/>
          <w:lang w:val="en-US"/>
        </w:rPr>
        <w:t>ill</w:t>
      </w:r>
      <w:r w:rsidR="0023539B">
        <w:rPr>
          <w:rFonts w:ascii="Times New Roman" w:hAnsi="Times New Roman" w:cs="Times New Roman"/>
          <w:sz w:val="24"/>
          <w:szCs w:val="24"/>
          <w:lang w:val="en-US"/>
        </w:rPr>
        <w:t>.</w:t>
      </w:r>
      <w:r w:rsidR="00396491">
        <w:rPr>
          <w:rFonts w:ascii="Times New Roman" w:hAnsi="Times New Roman" w:cs="Times New Roman"/>
          <w:sz w:val="24"/>
          <w:szCs w:val="24"/>
          <w:lang w:val="en-US"/>
        </w:rPr>
        <w:t xml:space="preserve"> </w:t>
      </w:r>
      <w:r w:rsidR="0023539B">
        <w:rPr>
          <w:rFonts w:ascii="Times New Roman" w:hAnsi="Times New Roman" w:cs="Times New Roman"/>
          <w:sz w:val="24"/>
          <w:szCs w:val="24"/>
          <w:lang w:val="en-US"/>
        </w:rPr>
        <w:t>I</w:t>
      </w:r>
      <w:r w:rsidR="00396491">
        <w:rPr>
          <w:rFonts w:ascii="Times New Roman" w:hAnsi="Times New Roman" w:cs="Times New Roman"/>
          <w:sz w:val="24"/>
          <w:szCs w:val="24"/>
          <w:lang w:val="en-US"/>
        </w:rPr>
        <w:t>n C. Janaway (</w:t>
      </w:r>
      <w:r w:rsidR="0023539B">
        <w:rPr>
          <w:rFonts w:ascii="Times New Roman" w:hAnsi="Times New Roman" w:cs="Times New Roman"/>
          <w:sz w:val="24"/>
          <w:szCs w:val="24"/>
          <w:lang w:val="en-US"/>
        </w:rPr>
        <w:t>E</w:t>
      </w:r>
      <w:r w:rsidR="00396491">
        <w:rPr>
          <w:rFonts w:ascii="Times New Roman" w:hAnsi="Times New Roman" w:cs="Times New Roman"/>
          <w:sz w:val="24"/>
          <w:szCs w:val="24"/>
          <w:lang w:val="en-US"/>
        </w:rPr>
        <w:t>d</w:t>
      </w:r>
      <w:r w:rsidR="0023539B">
        <w:rPr>
          <w:rFonts w:ascii="Times New Roman" w:hAnsi="Times New Roman" w:cs="Times New Roman"/>
          <w:sz w:val="24"/>
          <w:szCs w:val="24"/>
          <w:lang w:val="en-US"/>
        </w:rPr>
        <w:t>.</w:t>
      </w:r>
      <w:r w:rsidRPr="007C7C48">
        <w:rPr>
          <w:rFonts w:ascii="Times New Roman" w:hAnsi="Times New Roman" w:cs="Times New Roman"/>
          <w:sz w:val="24"/>
          <w:szCs w:val="24"/>
          <w:lang w:val="en-US"/>
        </w:rPr>
        <w:t>)</w:t>
      </w:r>
      <w:r w:rsidR="0023539B">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t>
      </w:r>
      <w:r w:rsidRPr="007C7C48">
        <w:rPr>
          <w:rFonts w:ascii="Times New Roman" w:hAnsi="Times New Roman" w:cs="Times New Roman"/>
          <w:i/>
          <w:sz w:val="24"/>
          <w:szCs w:val="24"/>
          <w:lang w:val="en-US"/>
        </w:rPr>
        <w:t xml:space="preserve">The Cambridge </w:t>
      </w:r>
      <w:r w:rsidR="006A346C">
        <w:rPr>
          <w:rFonts w:ascii="Times New Roman" w:hAnsi="Times New Roman" w:cs="Times New Roman"/>
          <w:i/>
          <w:sz w:val="24"/>
          <w:szCs w:val="24"/>
          <w:lang w:val="en-US"/>
        </w:rPr>
        <w:t>C</w:t>
      </w:r>
      <w:r w:rsidRPr="007C7C48">
        <w:rPr>
          <w:rFonts w:ascii="Times New Roman" w:hAnsi="Times New Roman" w:cs="Times New Roman"/>
          <w:i/>
          <w:sz w:val="24"/>
          <w:szCs w:val="24"/>
          <w:lang w:val="en-US"/>
        </w:rPr>
        <w:t>ompanion to Schopenhauer</w:t>
      </w:r>
      <w:r w:rsidRPr="007C7C48">
        <w:rPr>
          <w:rFonts w:ascii="Times New Roman" w:hAnsi="Times New Roman" w:cs="Times New Roman"/>
          <w:sz w:val="24"/>
          <w:szCs w:val="24"/>
          <w:lang w:val="en-US"/>
        </w:rPr>
        <w:t>. Cambridge: Cambridge University Press, 422–458.</w:t>
      </w:r>
    </w:p>
    <w:p w14:paraId="1B018EDA" w14:textId="77777777" w:rsidR="007C7C48" w:rsidRPr="007C7C48" w:rsidRDefault="007C7C48" w:rsidP="004035AC">
      <w:pPr>
        <w:spacing w:after="0" w:line="480" w:lineRule="auto"/>
        <w:rPr>
          <w:rFonts w:ascii="Times New Roman" w:hAnsi="Times New Roman" w:cs="Times New Roman"/>
          <w:sz w:val="24"/>
          <w:szCs w:val="24"/>
          <w:lang w:val="en-US"/>
        </w:rPr>
      </w:pPr>
    </w:p>
    <w:p w14:paraId="25D20C6D" w14:textId="77777777" w:rsidR="002D2985" w:rsidRDefault="002D2985" w:rsidP="004035AC">
      <w:pPr>
        <w:spacing w:after="0" w:line="480" w:lineRule="auto"/>
        <w:rPr>
          <w:rFonts w:ascii="Times New Roman" w:hAnsi="Times New Roman" w:cs="Times New Roman"/>
          <w:sz w:val="24"/>
          <w:szCs w:val="24"/>
          <w:lang w:val="en-US"/>
        </w:rPr>
      </w:pPr>
      <w:r w:rsidRPr="007C7C48">
        <w:rPr>
          <w:rFonts w:ascii="Times New Roman" w:hAnsi="Times New Roman" w:cs="Times New Roman"/>
          <w:sz w:val="24"/>
          <w:szCs w:val="24"/>
          <w:lang w:val="en-US"/>
        </w:rPr>
        <w:t>Hacker, P</w:t>
      </w:r>
      <w:r w:rsidR="0089398F">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(1986)</w:t>
      </w:r>
      <w:r w:rsidR="0089398F">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t>
      </w:r>
      <w:r w:rsidRPr="007C7C48">
        <w:rPr>
          <w:rFonts w:ascii="Times New Roman" w:hAnsi="Times New Roman" w:cs="Times New Roman"/>
          <w:i/>
          <w:sz w:val="24"/>
          <w:szCs w:val="24"/>
          <w:lang w:val="en-US"/>
        </w:rPr>
        <w:t xml:space="preserve">Insight and </w:t>
      </w:r>
      <w:r w:rsidR="006A346C">
        <w:rPr>
          <w:rFonts w:ascii="Times New Roman" w:hAnsi="Times New Roman" w:cs="Times New Roman"/>
          <w:i/>
          <w:sz w:val="24"/>
          <w:szCs w:val="24"/>
          <w:lang w:val="en-US"/>
        </w:rPr>
        <w:t>I</w:t>
      </w:r>
      <w:r w:rsidRPr="007C7C48">
        <w:rPr>
          <w:rFonts w:ascii="Times New Roman" w:hAnsi="Times New Roman" w:cs="Times New Roman"/>
          <w:i/>
          <w:sz w:val="24"/>
          <w:szCs w:val="24"/>
          <w:lang w:val="en-US"/>
        </w:rPr>
        <w:t>llusion</w:t>
      </w:r>
      <w:r w:rsidRPr="007C7C48">
        <w:rPr>
          <w:rFonts w:ascii="Times New Roman" w:hAnsi="Times New Roman" w:cs="Times New Roman"/>
          <w:sz w:val="24"/>
          <w:szCs w:val="24"/>
          <w:lang w:val="en-US"/>
        </w:rPr>
        <w:t>. Oxford: Clarendon.</w:t>
      </w:r>
    </w:p>
    <w:p w14:paraId="0633732A" w14:textId="77777777" w:rsidR="00704C39" w:rsidRDefault="00704C39" w:rsidP="004035AC">
      <w:pPr>
        <w:spacing w:after="0" w:line="480" w:lineRule="auto"/>
        <w:rPr>
          <w:rFonts w:ascii="Times New Roman" w:hAnsi="Times New Roman" w:cs="Times New Roman"/>
          <w:sz w:val="24"/>
          <w:szCs w:val="24"/>
          <w:lang w:val="en-US"/>
        </w:rPr>
      </w:pPr>
    </w:p>
    <w:p w14:paraId="7ED5C342" w14:textId="77777777" w:rsidR="00704C39" w:rsidRPr="00523CA8" w:rsidRDefault="00704C39" w:rsidP="004035AC">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Hyman, J</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(2001)</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The </w:t>
      </w:r>
      <w:r w:rsidR="0089398F">
        <w:rPr>
          <w:rFonts w:ascii="Times New Roman" w:hAnsi="Times New Roman" w:cs="Times New Roman"/>
          <w:sz w:val="24"/>
          <w:szCs w:val="24"/>
          <w:lang w:val="en-US"/>
        </w:rPr>
        <w:t>g</w:t>
      </w:r>
      <w:r>
        <w:rPr>
          <w:rFonts w:ascii="Times New Roman" w:hAnsi="Times New Roman" w:cs="Times New Roman"/>
          <w:sz w:val="24"/>
          <w:szCs w:val="24"/>
          <w:lang w:val="en-US"/>
        </w:rPr>
        <w:t>ospel according to Wittgenstein</w:t>
      </w:r>
      <w:r w:rsidR="0089398F">
        <w:rPr>
          <w:rFonts w:ascii="Times New Roman" w:hAnsi="Times New Roman" w:cs="Times New Roman"/>
          <w:sz w:val="24"/>
          <w:szCs w:val="24"/>
          <w:lang w:val="en-US"/>
        </w:rPr>
        <w:t>. I</w:t>
      </w:r>
      <w:r>
        <w:rPr>
          <w:rFonts w:ascii="Times New Roman" w:hAnsi="Times New Roman" w:cs="Times New Roman"/>
          <w:sz w:val="24"/>
          <w:szCs w:val="24"/>
          <w:lang w:val="en-US"/>
        </w:rPr>
        <w:t xml:space="preserve">n </w:t>
      </w:r>
      <w:r w:rsidR="00523CA8">
        <w:rPr>
          <w:rFonts w:ascii="Times New Roman" w:hAnsi="Times New Roman" w:cs="Times New Roman"/>
          <w:sz w:val="24"/>
          <w:szCs w:val="24"/>
          <w:lang w:val="en-US"/>
        </w:rPr>
        <w:t>R. L. Arrington &amp; M. Addis (</w:t>
      </w:r>
      <w:r w:rsidR="0089398F">
        <w:rPr>
          <w:rFonts w:ascii="Times New Roman" w:hAnsi="Times New Roman" w:cs="Times New Roman"/>
          <w:sz w:val="24"/>
          <w:szCs w:val="24"/>
          <w:lang w:val="en-US"/>
        </w:rPr>
        <w:t>E</w:t>
      </w:r>
      <w:r w:rsidR="00523CA8">
        <w:rPr>
          <w:rFonts w:ascii="Times New Roman" w:hAnsi="Times New Roman" w:cs="Times New Roman"/>
          <w:sz w:val="24"/>
          <w:szCs w:val="24"/>
          <w:lang w:val="en-US"/>
        </w:rPr>
        <w:t>ds</w:t>
      </w:r>
      <w:r w:rsidR="0089398F">
        <w:rPr>
          <w:rFonts w:ascii="Times New Roman" w:hAnsi="Times New Roman" w:cs="Times New Roman"/>
          <w:sz w:val="24"/>
          <w:szCs w:val="24"/>
          <w:lang w:val="en-US"/>
        </w:rPr>
        <w:t>.</w:t>
      </w:r>
      <w:r w:rsidR="00523CA8">
        <w:rPr>
          <w:rFonts w:ascii="Times New Roman" w:hAnsi="Times New Roman" w:cs="Times New Roman"/>
          <w:sz w:val="24"/>
          <w:szCs w:val="24"/>
          <w:lang w:val="en-US"/>
        </w:rPr>
        <w:t>)</w:t>
      </w:r>
      <w:r w:rsidR="0089398F">
        <w:rPr>
          <w:rFonts w:ascii="Times New Roman" w:hAnsi="Times New Roman" w:cs="Times New Roman"/>
          <w:sz w:val="24"/>
          <w:szCs w:val="24"/>
          <w:lang w:val="en-US"/>
        </w:rPr>
        <w:t>.</w:t>
      </w:r>
      <w:r w:rsidR="00523CA8">
        <w:rPr>
          <w:rFonts w:ascii="Times New Roman" w:hAnsi="Times New Roman" w:cs="Times New Roman"/>
          <w:sz w:val="24"/>
          <w:szCs w:val="24"/>
          <w:lang w:val="en-US"/>
        </w:rPr>
        <w:t xml:space="preserve"> </w:t>
      </w:r>
      <w:r>
        <w:rPr>
          <w:rFonts w:ascii="Times New Roman" w:hAnsi="Times New Roman" w:cs="Times New Roman"/>
          <w:i/>
          <w:sz w:val="24"/>
          <w:szCs w:val="24"/>
          <w:lang w:val="en-US"/>
        </w:rPr>
        <w:t xml:space="preserve">Wittgenstein and </w:t>
      </w:r>
      <w:r w:rsidR="006A346C">
        <w:rPr>
          <w:rFonts w:ascii="Times New Roman" w:hAnsi="Times New Roman" w:cs="Times New Roman"/>
          <w:i/>
          <w:sz w:val="24"/>
          <w:szCs w:val="24"/>
          <w:lang w:val="en-US"/>
        </w:rPr>
        <w:t>P</w:t>
      </w:r>
      <w:r>
        <w:rPr>
          <w:rFonts w:ascii="Times New Roman" w:hAnsi="Times New Roman" w:cs="Times New Roman"/>
          <w:i/>
          <w:sz w:val="24"/>
          <w:szCs w:val="24"/>
          <w:lang w:val="en-US"/>
        </w:rPr>
        <w:t xml:space="preserve">hilosophy of </w:t>
      </w:r>
      <w:r w:rsidR="006A346C">
        <w:rPr>
          <w:rFonts w:ascii="Times New Roman" w:hAnsi="Times New Roman" w:cs="Times New Roman"/>
          <w:i/>
          <w:sz w:val="24"/>
          <w:szCs w:val="24"/>
          <w:lang w:val="en-US"/>
        </w:rPr>
        <w:t>R</w:t>
      </w:r>
      <w:r>
        <w:rPr>
          <w:rFonts w:ascii="Times New Roman" w:hAnsi="Times New Roman" w:cs="Times New Roman"/>
          <w:i/>
          <w:sz w:val="24"/>
          <w:szCs w:val="24"/>
          <w:lang w:val="en-US"/>
        </w:rPr>
        <w:t>eligion</w:t>
      </w:r>
      <w:r w:rsidR="00523CA8">
        <w:rPr>
          <w:rFonts w:ascii="Times New Roman" w:hAnsi="Times New Roman" w:cs="Times New Roman"/>
          <w:sz w:val="24"/>
          <w:szCs w:val="24"/>
          <w:lang w:val="en-US"/>
        </w:rPr>
        <w:t>. London: Routledge, 1–11.</w:t>
      </w:r>
    </w:p>
    <w:p w14:paraId="69B0B33C" w14:textId="77777777" w:rsidR="005A1C6D" w:rsidRDefault="005A1C6D" w:rsidP="004035AC">
      <w:pPr>
        <w:pStyle w:val="Alaviitteenteksti"/>
        <w:spacing w:line="480" w:lineRule="auto"/>
        <w:rPr>
          <w:rFonts w:ascii="Times New Roman" w:hAnsi="Times New Roman" w:cs="Times New Roman"/>
          <w:sz w:val="24"/>
          <w:szCs w:val="24"/>
          <w:lang w:val="en-GB"/>
        </w:rPr>
      </w:pPr>
    </w:p>
    <w:p w14:paraId="3AD8F32B" w14:textId="77777777" w:rsidR="00A27D6B" w:rsidRPr="00A27D6B" w:rsidRDefault="00A27D6B" w:rsidP="005A1C6D">
      <w:pPr>
        <w:spacing w:after="0" w:line="480" w:lineRule="auto"/>
        <w:rPr>
          <w:rFonts w:ascii="Times New Roman" w:hAnsi="Times New Roman" w:cs="Times New Roman"/>
          <w:sz w:val="24"/>
          <w:szCs w:val="24"/>
          <w:lang w:val="en-US"/>
        </w:rPr>
      </w:pPr>
      <w:r w:rsidRPr="007C7C48">
        <w:rPr>
          <w:rFonts w:ascii="Times New Roman" w:hAnsi="Times New Roman" w:cs="Times New Roman"/>
          <w:sz w:val="24"/>
          <w:szCs w:val="24"/>
          <w:lang w:val="en-US"/>
        </w:rPr>
        <w:t>Kannisto</w:t>
      </w:r>
      <w:r>
        <w:rPr>
          <w:rFonts w:ascii="Times New Roman" w:hAnsi="Times New Roman" w:cs="Times New Roman"/>
          <w:sz w:val="24"/>
          <w:szCs w:val="24"/>
          <w:lang w:val="en-US"/>
        </w:rPr>
        <w:t>, H</w:t>
      </w:r>
      <w:r w:rsidR="0089398F">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t>
      </w:r>
      <w:r>
        <w:rPr>
          <w:rFonts w:ascii="Times New Roman" w:hAnsi="Times New Roman" w:cs="Times New Roman"/>
          <w:sz w:val="24"/>
          <w:szCs w:val="24"/>
          <w:lang w:val="en-US"/>
        </w:rPr>
        <w:t>(1</w:t>
      </w:r>
      <w:r w:rsidRPr="007C7C48">
        <w:rPr>
          <w:rFonts w:ascii="Times New Roman" w:hAnsi="Times New Roman" w:cs="Times New Roman"/>
          <w:sz w:val="24"/>
          <w:szCs w:val="24"/>
          <w:lang w:val="en-US"/>
        </w:rPr>
        <w:t>986</w:t>
      </w:r>
      <w:r>
        <w:rPr>
          <w:rFonts w:ascii="Times New Roman" w:hAnsi="Times New Roman" w:cs="Times New Roman"/>
          <w:sz w:val="24"/>
          <w:szCs w:val="24"/>
          <w:lang w:val="en-US"/>
        </w:rPr>
        <w:t>)</w:t>
      </w:r>
      <w:r w:rsidR="0089398F">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Pr>
          <w:rFonts w:ascii="Times New Roman" w:hAnsi="Times New Roman" w:cs="Times New Roman"/>
          <w:i/>
          <w:sz w:val="24"/>
          <w:szCs w:val="24"/>
          <w:lang w:val="en-US"/>
        </w:rPr>
        <w:t xml:space="preserve">Thoughts and </w:t>
      </w:r>
      <w:r w:rsidR="006A346C">
        <w:rPr>
          <w:rFonts w:ascii="Times New Roman" w:hAnsi="Times New Roman" w:cs="Times New Roman"/>
          <w:i/>
          <w:sz w:val="24"/>
          <w:szCs w:val="24"/>
          <w:lang w:val="en-US"/>
        </w:rPr>
        <w:t>T</w:t>
      </w:r>
      <w:r>
        <w:rPr>
          <w:rFonts w:ascii="Times New Roman" w:hAnsi="Times New Roman" w:cs="Times New Roman"/>
          <w:i/>
          <w:sz w:val="24"/>
          <w:szCs w:val="24"/>
          <w:lang w:val="en-US"/>
        </w:rPr>
        <w:t xml:space="preserve">heir </w:t>
      </w:r>
      <w:r w:rsidR="006A346C">
        <w:rPr>
          <w:rFonts w:ascii="Times New Roman" w:hAnsi="Times New Roman" w:cs="Times New Roman"/>
          <w:i/>
          <w:sz w:val="24"/>
          <w:szCs w:val="24"/>
          <w:lang w:val="en-US"/>
        </w:rPr>
        <w:t>S</w:t>
      </w:r>
      <w:r>
        <w:rPr>
          <w:rFonts w:ascii="Times New Roman" w:hAnsi="Times New Roman" w:cs="Times New Roman"/>
          <w:i/>
          <w:sz w:val="24"/>
          <w:szCs w:val="24"/>
          <w:lang w:val="en-US"/>
        </w:rPr>
        <w:t>ubject</w:t>
      </w:r>
      <w:r>
        <w:rPr>
          <w:rFonts w:ascii="Times New Roman" w:hAnsi="Times New Roman" w:cs="Times New Roman"/>
          <w:sz w:val="24"/>
          <w:szCs w:val="24"/>
          <w:lang w:val="en-US"/>
        </w:rPr>
        <w:t>. Helsinki: Acta Philosophica Fennica.</w:t>
      </w:r>
    </w:p>
    <w:p w14:paraId="2FF58174" w14:textId="77777777" w:rsidR="00A27D6B" w:rsidRDefault="00A27D6B" w:rsidP="005A1C6D">
      <w:pPr>
        <w:spacing w:after="0" w:line="480" w:lineRule="auto"/>
        <w:rPr>
          <w:rFonts w:ascii="Times New Roman" w:eastAsia="Times New Roman" w:hAnsi="Times New Roman" w:cs="Times New Roman"/>
          <w:color w:val="000000"/>
          <w:sz w:val="24"/>
          <w:szCs w:val="24"/>
          <w:shd w:val="clear" w:color="auto" w:fill="FFFFFF"/>
          <w:lang w:val="en-US" w:eastAsia="fi-FI"/>
        </w:rPr>
      </w:pPr>
    </w:p>
    <w:p w14:paraId="787407E5" w14:textId="77777777" w:rsidR="005A1C6D" w:rsidRDefault="004912DB" w:rsidP="005A1C6D">
      <w:pPr>
        <w:spacing w:after="0" w:line="480" w:lineRule="auto"/>
        <w:rPr>
          <w:rFonts w:ascii="Times New Roman" w:eastAsia="Times New Roman" w:hAnsi="Times New Roman" w:cs="Times New Roman"/>
          <w:color w:val="000000"/>
          <w:sz w:val="24"/>
          <w:szCs w:val="24"/>
          <w:shd w:val="clear" w:color="auto" w:fill="FFFFFF"/>
          <w:lang w:val="en-US" w:eastAsia="fi-FI"/>
        </w:rPr>
      </w:pPr>
      <w:r>
        <w:rPr>
          <w:rFonts w:ascii="Times New Roman" w:eastAsia="Times New Roman" w:hAnsi="Times New Roman" w:cs="Times New Roman"/>
          <w:color w:val="000000"/>
          <w:sz w:val="24"/>
          <w:szCs w:val="24"/>
          <w:shd w:val="clear" w:color="auto" w:fill="FFFFFF"/>
          <w:lang w:val="en-US" w:eastAsia="fi-FI"/>
        </w:rPr>
        <w:t>McGinn, M</w:t>
      </w:r>
      <w:r w:rsidR="0089398F">
        <w:rPr>
          <w:rFonts w:ascii="Times New Roman" w:eastAsia="Times New Roman" w:hAnsi="Times New Roman" w:cs="Times New Roman"/>
          <w:color w:val="000000"/>
          <w:sz w:val="24"/>
          <w:szCs w:val="24"/>
          <w:shd w:val="clear" w:color="auto" w:fill="FFFFFF"/>
          <w:lang w:val="en-US" w:eastAsia="fi-FI"/>
        </w:rPr>
        <w:t>.</w:t>
      </w:r>
      <w:r>
        <w:rPr>
          <w:rFonts w:ascii="Times New Roman" w:eastAsia="Times New Roman" w:hAnsi="Times New Roman" w:cs="Times New Roman"/>
          <w:color w:val="000000"/>
          <w:sz w:val="24"/>
          <w:szCs w:val="24"/>
          <w:shd w:val="clear" w:color="auto" w:fill="FFFFFF"/>
          <w:lang w:val="en-US" w:eastAsia="fi-FI"/>
        </w:rPr>
        <w:t xml:space="preserve"> (1999)</w:t>
      </w:r>
      <w:r w:rsidR="0089398F">
        <w:rPr>
          <w:rFonts w:ascii="Times New Roman" w:eastAsia="Times New Roman" w:hAnsi="Times New Roman" w:cs="Times New Roman"/>
          <w:color w:val="000000"/>
          <w:sz w:val="24"/>
          <w:szCs w:val="24"/>
          <w:shd w:val="clear" w:color="auto" w:fill="FFFFFF"/>
          <w:lang w:val="en-US" w:eastAsia="fi-FI"/>
        </w:rPr>
        <w:t>.</w:t>
      </w:r>
      <w:r>
        <w:rPr>
          <w:rFonts w:ascii="Times New Roman" w:eastAsia="Times New Roman" w:hAnsi="Times New Roman" w:cs="Times New Roman"/>
          <w:color w:val="000000"/>
          <w:sz w:val="24"/>
          <w:szCs w:val="24"/>
          <w:shd w:val="clear" w:color="auto" w:fill="FFFFFF"/>
          <w:lang w:val="en-US" w:eastAsia="fi-FI"/>
        </w:rPr>
        <w:t xml:space="preserve"> </w:t>
      </w:r>
      <w:r w:rsidR="005A1C6D">
        <w:rPr>
          <w:rFonts w:ascii="Times New Roman" w:eastAsia="Times New Roman" w:hAnsi="Times New Roman" w:cs="Times New Roman"/>
          <w:color w:val="000000"/>
          <w:sz w:val="24"/>
          <w:szCs w:val="24"/>
          <w:shd w:val="clear" w:color="auto" w:fill="FFFFFF"/>
          <w:lang w:val="en-US" w:eastAsia="fi-FI"/>
        </w:rPr>
        <w:t xml:space="preserve">Between </w:t>
      </w:r>
      <w:r w:rsidR="00A27D6B">
        <w:rPr>
          <w:rFonts w:ascii="Times New Roman" w:eastAsia="Times New Roman" w:hAnsi="Times New Roman" w:cs="Times New Roman"/>
          <w:color w:val="000000"/>
          <w:sz w:val="24"/>
          <w:szCs w:val="24"/>
          <w:shd w:val="clear" w:color="auto" w:fill="FFFFFF"/>
          <w:lang w:val="en-US" w:eastAsia="fi-FI"/>
        </w:rPr>
        <w:t>m</w:t>
      </w:r>
      <w:r w:rsidR="005A1C6D">
        <w:rPr>
          <w:rFonts w:ascii="Times New Roman" w:eastAsia="Times New Roman" w:hAnsi="Times New Roman" w:cs="Times New Roman"/>
          <w:color w:val="000000"/>
          <w:sz w:val="24"/>
          <w:szCs w:val="24"/>
          <w:shd w:val="clear" w:color="auto" w:fill="FFFFFF"/>
          <w:lang w:val="en-US" w:eastAsia="fi-FI"/>
        </w:rPr>
        <w:t xml:space="preserve">etaphysics and </w:t>
      </w:r>
      <w:r w:rsidR="00A27D6B">
        <w:rPr>
          <w:rFonts w:ascii="Times New Roman" w:eastAsia="Times New Roman" w:hAnsi="Times New Roman" w:cs="Times New Roman"/>
          <w:color w:val="000000"/>
          <w:sz w:val="24"/>
          <w:szCs w:val="24"/>
          <w:shd w:val="clear" w:color="auto" w:fill="FFFFFF"/>
          <w:lang w:val="en-US" w:eastAsia="fi-FI"/>
        </w:rPr>
        <w:t>n</w:t>
      </w:r>
      <w:r w:rsidR="005A1C6D">
        <w:rPr>
          <w:rFonts w:ascii="Times New Roman" w:eastAsia="Times New Roman" w:hAnsi="Times New Roman" w:cs="Times New Roman"/>
          <w:color w:val="000000"/>
          <w:sz w:val="24"/>
          <w:szCs w:val="24"/>
          <w:shd w:val="clear" w:color="auto" w:fill="FFFFFF"/>
          <w:lang w:val="en-US" w:eastAsia="fi-FI"/>
        </w:rPr>
        <w:t xml:space="preserve">onsense: Elucidation in Wittgenstein’s </w:t>
      </w:r>
      <w:r w:rsidR="005A1C6D">
        <w:rPr>
          <w:rFonts w:ascii="Times New Roman" w:eastAsia="Times New Roman" w:hAnsi="Times New Roman" w:cs="Times New Roman"/>
          <w:i/>
          <w:color w:val="000000"/>
          <w:sz w:val="24"/>
          <w:szCs w:val="24"/>
          <w:shd w:val="clear" w:color="auto" w:fill="FFFFFF"/>
          <w:lang w:val="en-US" w:eastAsia="fi-FI"/>
        </w:rPr>
        <w:t>Tractatus</w:t>
      </w:r>
      <w:r w:rsidR="0089398F">
        <w:rPr>
          <w:rFonts w:ascii="Times New Roman" w:eastAsia="Times New Roman" w:hAnsi="Times New Roman" w:cs="Times New Roman"/>
          <w:color w:val="000000"/>
          <w:sz w:val="24"/>
          <w:szCs w:val="24"/>
          <w:shd w:val="clear" w:color="auto" w:fill="FFFFFF"/>
          <w:lang w:val="en-US" w:eastAsia="fi-FI"/>
        </w:rPr>
        <w:t>.</w:t>
      </w:r>
      <w:r w:rsidR="005A1C6D">
        <w:rPr>
          <w:rFonts w:ascii="Times New Roman" w:eastAsia="Times New Roman" w:hAnsi="Times New Roman" w:cs="Times New Roman"/>
          <w:color w:val="000000"/>
          <w:sz w:val="24"/>
          <w:szCs w:val="24"/>
          <w:shd w:val="clear" w:color="auto" w:fill="FFFFFF"/>
          <w:lang w:val="en-US" w:eastAsia="fi-FI"/>
        </w:rPr>
        <w:t xml:space="preserve"> </w:t>
      </w:r>
      <w:r w:rsidR="005A1C6D">
        <w:rPr>
          <w:rFonts w:ascii="Times New Roman" w:eastAsia="Times New Roman" w:hAnsi="Times New Roman" w:cs="Times New Roman"/>
          <w:i/>
          <w:color w:val="000000"/>
          <w:sz w:val="24"/>
          <w:szCs w:val="24"/>
          <w:shd w:val="clear" w:color="auto" w:fill="FFFFFF"/>
          <w:lang w:val="en-US" w:eastAsia="fi-FI"/>
        </w:rPr>
        <w:t xml:space="preserve">The Philosophical Quarterly </w:t>
      </w:r>
      <w:r w:rsidR="005A1C6D">
        <w:rPr>
          <w:rFonts w:ascii="Times New Roman" w:eastAsia="Times New Roman" w:hAnsi="Times New Roman" w:cs="Times New Roman"/>
          <w:color w:val="000000"/>
          <w:sz w:val="24"/>
          <w:szCs w:val="24"/>
          <w:shd w:val="clear" w:color="auto" w:fill="FFFFFF"/>
          <w:lang w:val="en-US" w:eastAsia="fi-FI"/>
        </w:rPr>
        <w:t>49 (197), 491–513.</w:t>
      </w:r>
    </w:p>
    <w:p w14:paraId="165FC458" w14:textId="77777777" w:rsidR="00C70CF4" w:rsidRDefault="00C70CF4" w:rsidP="00C70CF4">
      <w:pPr>
        <w:spacing w:after="0" w:line="480" w:lineRule="auto"/>
        <w:rPr>
          <w:rFonts w:ascii="Times New Roman" w:eastAsia="Times New Roman" w:hAnsi="Times New Roman" w:cs="Times New Roman"/>
          <w:color w:val="000000"/>
          <w:sz w:val="24"/>
          <w:szCs w:val="24"/>
          <w:shd w:val="clear" w:color="auto" w:fill="FFFFFF"/>
          <w:lang w:val="en-US" w:eastAsia="fi-FI"/>
        </w:rPr>
      </w:pPr>
    </w:p>
    <w:p w14:paraId="72FC2A06" w14:textId="77777777" w:rsidR="00C70CF4" w:rsidRPr="0029178F" w:rsidRDefault="00C70CF4" w:rsidP="00C70CF4">
      <w:pPr>
        <w:spacing w:after="0" w:line="480" w:lineRule="auto"/>
        <w:rPr>
          <w:rFonts w:ascii="Times New Roman" w:eastAsia="Times New Roman" w:hAnsi="Times New Roman" w:cs="Times New Roman"/>
          <w:color w:val="000000"/>
          <w:sz w:val="24"/>
          <w:szCs w:val="24"/>
          <w:shd w:val="clear" w:color="auto" w:fill="FFFFFF"/>
          <w:lang w:val="en-US" w:eastAsia="fi-FI"/>
        </w:rPr>
      </w:pPr>
      <w:r>
        <w:rPr>
          <w:rFonts w:ascii="Times New Roman" w:eastAsia="Times New Roman" w:hAnsi="Times New Roman" w:cs="Times New Roman"/>
          <w:color w:val="000000"/>
          <w:sz w:val="24"/>
          <w:szCs w:val="24"/>
          <w:shd w:val="clear" w:color="auto" w:fill="FFFFFF"/>
          <w:lang w:val="en-US" w:eastAsia="fi-FI"/>
        </w:rPr>
        <w:t>Moore, A</w:t>
      </w:r>
      <w:r w:rsidR="00B56440">
        <w:rPr>
          <w:rFonts w:ascii="Times New Roman" w:eastAsia="Times New Roman" w:hAnsi="Times New Roman" w:cs="Times New Roman"/>
          <w:color w:val="000000"/>
          <w:sz w:val="24"/>
          <w:szCs w:val="24"/>
          <w:shd w:val="clear" w:color="auto" w:fill="FFFFFF"/>
          <w:lang w:val="en-US" w:eastAsia="fi-FI"/>
        </w:rPr>
        <w:t>.</w:t>
      </w:r>
      <w:r>
        <w:rPr>
          <w:rFonts w:ascii="Times New Roman" w:eastAsia="Times New Roman" w:hAnsi="Times New Roman" w:cs="Times New Roman"/>
          <w:color w:val="000000"/>
          <w:sz w:val="24"/>
          <w:szCs w:val="24"/>
          <w:shd w:val="clear" w:color="auto" w:fill="FFFFFF"/>
          <w:lang w:val="en-US" w:eastAsia="fi-FI"/>
        </w:rPr>
        <w:t xml:space="preserve"> (1987)</w:t>
      </w:r>
      <w:r w:rsidR="00B56440">
        <w:rPr>
          <w:rFonts w:ascii="Times New Roman" w:eastAsia="Times New Roman" w:hAnsi="Times New Roman" w:cs="Times New Roman"/>
          <w:color w:val="000000"/>
          <w:sz w:val="24"/>
          <w:szCs w:val="24"/>
          <w:shd w:val="clear" w:color="auto" w:fill="FFFFFF"/>
          <w:lang w:val="en-US" w:eastAsia="fi-FI"/>
        </w:rPr>
        <w:t>.</w:t>
      </w:r>
      <w:r>
        <w:rPr>
          <w:rFonts w:ascii="Times New Roman" w:eastAsia="Times New Roman" w:hAnsi="Times New Roman" w:cs="Times New Roman"/>
          <w:color w:val="000000"/>
          <w:sz w:val="24"/>
          <w:szCs w:val="24"/>
          <w:shd w:val="clear" w:color="auto" w:fill="FFFFFF"/>
          <w:lang w:val="en-US" w:eastAsia="fi-FI"/>
        </w:rPr>
        <w:t xml:space="preserve"> Beauty in the </w:t>
      </w:r>
      <w:r w:rsidR="00A27D6B">
        <w:rPr>
          <w:rFonts w:ascii="Times New Roman" w:eastAsia="Times New Roman" w:hAnsi="Times New Roman" w:cs="Times New Roman"/>
          <w:color w:val="000000"/>
          <w:sz w:val="24"/>
          <w:szCs w:val="24"/>
          <w:shd w:val="clear" w:color="auto" w:fill="FFFFFF"/>
          <w:lang w:val="en-US" w:eastAsia="fi-FI"/>
        </w:rPr>
        <w:t>t</w:t>
      </w:r>
      <w:r>
        <w:rPr>
          <w:rFonts w:ascii="Times New Roman" w:eastAsia="Times New Roman" w:hAnsi="Times New Roman" w:cs="Times New Roman"/>
          <w:color w:val="000000"/>
          <w:sz w:val="24"/>
          <w:szCs w:val="24"/>
          <w:shd w:val="clear" w:color="auto" w:fill="FFFFFF"/>
          <w:lang w:val="en-US" w:eastAsia="fi-FI"/>
        </w:rPr>
        <w:t xml:space="preserve">ranscendental </w:t>
      </w:r>
      <w:r w:rsidR="00A27D6B">
        <w:rPr>
          <w:rFonts w:ascii="Times New Roman" w:eastAsia="Times New Roman" w:hAnsi="Times New Roman" w:cs="Times New Roman"/>
          <w:color w:val="000000"/>
          <w:sz w:val="24"/>
          <w:szCs w:val="24"/>
          <w:shd w:val="clear" w:color="auto" w:fill="FFFFFF"/>
          <w:lang w:val="en-US" w:eastAsia="fi-FI"/>
        </w:rPr>
        <w:t>i</w:t>
      </w:r>
      <w:r>
        <w:rPr>
          <w:rFonts w:ascii="Times New Roman" w:eastAsia="Times New Roman" w:hAnsi="Times New Roman" w:cs="Times New Roman"/>
          <w:color w:val="000000"/>
          <w:sz w:val="24"/>
          <w:szCs w:val="24"/>
          <w:shd w:val="clear" w:color="auto" w:fill="FFFFFF"/>
          <w:lang w:val="en-US" w:eastAsia="fi-FI"/>
        </w:rPr>
        <w:t>dealism of Kant and Wittgenstein</w:t>
      </w:r>
      <w:r w:rsidR="0089398F">
        <w:rPr>
          <w:rFonts w:ascii="Times New Roman" w:eastAsia="Times New Roman" w:hAnsi="Times New Roman" w:cs="Times New Roman"/>
          <w:color w:val="000000"/>
          <w:sz w:val="24"/>
          <w:szCs w:val="24"/>
          <w:shd w:val="clear" w:color="auto" w:fill="FFFFFF"/>
          <w:lang w:val="en-US" w:eastAsia="fi-FI"/>
        </w:rPr>
        <w:t>.</w:t>
      </w:r>
      <w:r>
        <w:rPr>
          <w:rFonts w:ascii="Times New Roman" w:eastAsia="Times New Roman" w:hAnsi="Times New Roman" w:cs="Times New Roman"/>
          <w:color w:val="000000"/>
          <w:sz w:val="24"/>
          <w:szCs w:val="24"/>
          <w:shd w:val="clear" w:color="auto" w:fill="FFFFFF"/>
          <w:lang w:val="en-US" w:eastAsia="fi-FI"/>
        </w:rPr>
        <w:t xml:space="preserve"> </w:t>
      </w:r>
      <w:r>
        <w:rPr>
          <w:rFonts w:ascii="Times New Roman" w:eastAsia="Times New Roman" w:hAnsi="Times New Roman" w:cs="Times New Roman"/>
          <w:i/>
          <w:color w:val="000000"/>
          <w:sz w:val="24"/>
          <w:szCs w:val="24"/>
          <w:shd w:val="clear" w:color="auto" w:fill="FFFFFF"/>
          <w:lang w:val="en-US" w:eastAsia="fi-FI"/>
        </w:rPr>
        <w:t xml:space="preserve">The British Journal of Aesthetics </w:t>
      </w:r>
      <w:r>
        <w:rPr>
          <w:rFonts w:ascii="Times New Roman" w:eastAsia="Times New Roman" w:hAnsi="Times New Roman" w:cs="Times New Roman"/>
          <w:color w:val="000000"/>
          <w:sz w:val="24"/>
          <w:szCs w:val="24"/>
          <w:shd w:val="clear" w:color="auto" w:fill="FFFFFF"/>
          <w:lang w:val="en-US" w:eastAsia="fi-FI"/>
        </w:rPr>
        <w:t xml:space="preserve">27 (2), 129–137. </w:t>
      </w:r>
    </w:p>
    <w:p w14:paraId="4EE52203" w14:textId="77777777" w:rsidR="00221A05" w:rsidRPr="007C7C48" w:rsidRDefault="00221A05" w:rsidP="004035AC">
      <w:pPr>
        <w:spacing w:after="0" w:line="480" w:lineRule="auto"/>
        <w:rPr>
          <w:rFonts w:ascii="Times New Roman" w:hAnsi="Times New Roman" w:cs="Times New Roman"/>
          <w:sz w:val="24"/>
          <w:szCs w:val="24"/>
          <w:lang w:val="en-US"/>
        </w:rPr>
      </w:pPr>
    </w:p>
    <w:p w14:paraId="4756B46A" w14:textId="77777777" w:rsidR="007C7C48" w:rsidRDefault="007C7C48" w:rsidP="004035AC">
      <w:pPr>
        <w:pStyle w:val="Alaviitteenteksti"/>
        <w:spacing w:line="480" w:lineRule="auto"/>
        <w:rPr>
          <w:rFonts w:ascii="Times New Roman" w:hAnsi="Times New Roman" w:cs="Times New Roman"/>
          <w:sz w:val="24"/>
          <w:szCs w:val="24"/>
          <w:lang w:val="en-GB"/>
        </w:rPr>
      </w:pPr>
      <w:r w:rsidRPr="007548F4">
        <w:rPr>
          <w:rFonts w:ascii="Times New Roman" w:hAnsi="Times New Roman" w:cs="Times New Roman"/>
          <w:sz w:val="24"/>
          <w:szCs w:val="24"/>
          <w:lang w:val="en-GB"/>
        </w:rPr>
        <w:t>Moore, A</w:t>
      </w:r>
      <w:r w:rsidR="00B56440">
        <w:rPr>
          <w:rFonts w:ascii="Times New Roman" w:hAnsi="Times New Roman" w:cs="Times New Roman"/>
          <w:sz w:val="24"/>
          <w:szCs w:val="24"/>
          <w:lang w:val="en-GB"/>
        </w:rPr>
        <w:t>.</w:t>
      </w:r>
      <w:r w:rsidRPr="007548F4">
        <w:rPr>
          <w:rFonts w:ascii="Times New Roman" w:hAnsi="Times New Roman" w:cs="Times New Roman"/>
          <w:sz w:val="24"/>
          <w:szCs w:val="24"/>
          <w:lang w:val="en-US"/>
        </w:rPr>
        <w:t xml:space="preserve"> </w:t>
      </w:r>
      <w:r w:rsidR="001A09EA">
        <w:rPr>
          <w:rFonts w:ascii="Times New Roman" w:hAnsi="Times New Roman" w:cs="Times New Roman"/>
          <w:sz w:val="24"/>
          <w:szCs w:val="24"/>
          <w:lang w:val="en-GB"/>
        </w:rPr>
        <w:t>(2013)</w:t>
      </w:r>
      <w:r w:rsidR="00B56440">
        <w:rPr>
          <w:rFonts w:ascii="Times New Roman" w:hAnsi="Times New Roman" w:cs="Times New Roman"/>
          <w:sz w:val="24"/>
          <w:szCs w:val="24"/>
          <w:lang w:val="en-GB"/>
        </w:rPr>
        <w:t>.</w:t>
      </w:r>
      <w:r w:rsidR="001A09EA">
        <w:rPr>
          <w:rFonts w:ascii="Times New Roman" w:hAnsi="Times New Roman" w:cs="Times New Roman"/>
          <w:sz w:val="24"/>
          <w:szCs w:val="24"/>
          <w:lang w:val="en-GB"/>
        </w:rPr>
        <w:t xml:space="preserve"> </w:t>
      </w:r>
      <w:r w:rsidRPr="007548F4">
        <w:rPr>
          <w:rFonts w:ascii="Times New Roman" w:hAnsi="Times New Roman" w:cs="Times New Roman"/>
          <w:sz w:val="24"/>
          <w:szCs w:val="24"/>
          <w:lang w:val="en-GB"/>
        </w:rPr>
        <w:t xml:space="preserve">Was the </w:t>
      </w:r>
      <w:r w:rsidR="00A27D6B">
        <w:rPr>
          <w:rFonts w:ascii="Times New Roman" w:hAnsi="Times New Roman" w:cs="Times New Roman"/>
          <w:sz w:val="24"/>
          <w:szCs w:val="24"/>
          <w:lang w:val="en-GB"/>
        </w:rPr>
        <w:t>a</w:t>
      </w:r>
      <w:r w:rsidRPr="007548F4">
        <w:rPr>
          <w:rFonts w:ascii="Times New Roman" w:hAnsi="Times New Roman" w:cs="Times New Roman"/>
          <w:sz w:val="24"/>
          <w:szCs w:val="24"/>
          <w:lang w:val="en-GB"/>
        </w:rPr>
        <w:t xml:space="preserve">uthor of the </w:t>
      </w:r>
      <w:r w:rsidRPr="007548F4">
        <w:rPr>
          <w:rFonts w:ascii="Times New Roman" w:hAnsi="Times New Roman" w:cs="Times New Roman"/>
          <w:i/>
          <w:sz w:val="24"/>
          <w:szCs w:val="24"/>
          <w:lang w:val="en-GB"/>
        </w:rPr>
        <w:t xml:space="preserve">Tractatus </w:t>
      </w:r>
      <w:r w:rsidR="001A09EA">
        <w:rPr>
          <w:rFonts w:ascii="Times New Roman" w:hAnsi="Times New Roman" w:cs="Times New Roman"/>
          <w:sz w:val="24"/>
          <w:szCs w:val="24"/>
          <w:lang w:val="en-GB"/>
        </w:rPr>
        <w:t xml:space="preserve">a </w:t>
      </w:r>
      <w:r w:rsidR="00A27D6B">
        <w:rPr>
          <w:rFonts w:ascii="Times New Roman" w:hAnsi="Times New Roman" w:cs="Times New Roman"/>
          <w:sz w:val="24"/>
          <w:szCs w:val="24"/>
          <w:lang w:val="en-GB"/>
        </w:rPr>
        <w:t>t</w:t>
      </w:r>
      <w:r w:rsidR="001A09EA">
        <w:rPr>
          <w:rFonts w:ascii="Times New Roman" w:hAnsi="Times New Roman" w:cs="Times New Roman"/>
          <w:sz w:val="24"/>
          <w:szCs w:val="24"/>
          <w:lang w:val="en-GB"/>
        </w:rPr>
        <w:t xml:space="preserve">ranscendental </w:t>
      </w:r>
      <w:r w:rsidR="00A27D6B">
        <w:rPr>
          <w:rFonts w:ascii="Times New Roman" w:hAnsi="Times New Roman" w:cs="Times New Roman"/>
          <w:sz w:val="24"/>
          <w:szCs w:val="24"/>
          <w:lang w:val="en-GB"/>
        </w:rPr>
        <w:t>i</w:t>
      </w:r>
      <w:r w:rsidR="001A09EA">
        <w:rPr>
          <w:rFonts w:ascii="Times New Roman" w:hAnsi="Times New Roman" w:cs="Times New Roman"/>
          <w:sz w:val="24"/>
          <w:szCs w:val="24"/>
          <w:lang w:val="en-GB"/>
        </w:rPr>
        <w:t>dealist?</w:t>
      </w:r>
      <w:r w:rsidR="0089398F">
        <w:rPr>
          <w:rFonts w:ascii="Times New Roman" w:hAnsi="Times New Roman" w:cs="Times New Roman"/>
          <w:sz w:val="24"/>
          <w:szCs w:val="24"/>
          <w:lang w:val="en-GB"/>
        </w:rPr>
        <w:t>. I</w:t>
      </w:r>
      <w:r w:rsidRPr="007548F4">
        <w:rPr>
          <w:rFonts w:ascii="Times New Roman" w:hAnsi="Times New Roman" w:cs="Times New Roman"/>
          <w:sz w:val="24"/>
          <w:szCs w:val="24"/>
          <w:lang w:val="en-GB"/>
        </w:rPr>
        <w:t>n P. Sullivan and M. Potter (</w:t>
      </w:r>
      <w:r w:rsidR="0089398F">
        <w:rPr>
          <w:rFonts w:ascii="Times New Roman" w:hAnsi="Times New Roman" w:cs="Times New Roman"/>
          <w:sz w:val="24"/>
          <w:szCs w:val="24"/>
          <w:lang w:val="en-GB"/>
        </w:rPr>
        <w:t>E</w:t>
      </w:r>
      <w:r w:rsidRPr="007548F4">
        <w:rPr>
          <w:rFonts w:ascii="Times New Roman" w:hAnsi="Times New Roman" w:cs="Times New Roman"/>
          <w:sz w:val="24"/>
          <w:szCs w:val="24"/>
          <w:lang w:val="en-GB"/>
        </w:rPr>
        <w:t>ds</w:t>
      </w:r>
      <w:r w:rsidR="0089398F">
        <w:rPr>
          <w:rFonts w:ascii="Times New Roman" w:hAnsi="Times New Roman" w:cs="Times New Roman"/>
          <w:sz w:val="24"/>
          <w:szCs w:val="24"/>
          <w:lang w:val="en-GB"/>
        </w:rPr>
        <w:t>.</w:t>
      </w:r>
      <w:r w:rsidRPr="007548F4">
        <w:rPr>
          <w:rFonts w:ascii="Times New Roman" w:hAnsi="Times New Roman" w:cs="Times New Roman"/>
          <w:sz w:val="24"/>
          <w:szCs w:val="24"/>
          <w:lang w:val="en-GB"/>
        </w:rPr>
        <w:t>)</w:t>
      </w:r>
      <w:r w:rsidR="0089398F">
        <w:rPr>
          <w:rFonts w:ascii="Times New Roman" w:hAnsi="Times New Roman" w:cs="Times New Roman"/>
          <w:sz w:val="24"/>
          <w:szCs w:val="24"/>
          <w:lang w:val="en-GB"/>
        </w:rPr>
        <w:t>.</w:t>
      </w:r>
      <w:r w:rsidRPr="007548F4">
        <w:rPr>
          <w:rFonts w:ascii="Times New Roman" w:hAnsi="Times New Roman" w:cs="Times New Roman"/>
          <w:sz w:val="24"/>
          <w:szCs w:val="24"/>
          <w:lang w:val="en-GB"/>
        </w:rPr>
        <w:t xml:space="preserve"> </w:t>
      </w:r>
      <w:r w:rsidRPr="007548F4">
        <w:rPr>
          <w:rFonts w:ascii="Times New Roman" w:hAnsi="Times New Roman" w:cs="Times New Roman"/>
          <w:i/>
          <w:sz w:val="24"/>
          <w:szCs w:val="24"/>
          <w:lang w:val="en-GB"/>
        </w:rPr>
        <w:t xml:space="preserve">Wittgenstein’s Tractatus: History and </w:t>
      </w:r>
      <w:r w:rsidR="00CA1296">
        <w:rPr>
          <w:rFonts w:ascii="Times New Roman" w:hAnsi="Times New Roman" w:cs="Times New Roman"/>
          <w:i/>
          <w:sz w:val="24"/>
          <w:szCs w:val="24"/>
          <w:lang w:val="en-GB"/>
        </w:rPr>
        <w:t>I</w:t>
      </w:r>
      <w:r w:rsidRPr="007548F4">
        <w:rPr>
          <w:rFonts w:ascii="Times New Roman" w:hAnsi="Times New Roman" w:cs="Times New Roman"/>
          <w:i/>
          <w:sz w:val="24"/>
          <w:szCs w:val="24"/>
          <w:lang w:val="en-GB"/>
        </w:rPr>
        <w:t>nterpretation</w:t>
      </w:r>
      <w:r w:rsidRPr="007548F4">
        <w:rPr>
          <w:rFonts w:ascii="Times New Roman" w:hAnsi="Times New Roman" w:cs="Times New Roman"/>
          <w:sz w:val="24"/>
          <w:szCs w:val="24"/>
          <w:lang w:val="en-GB"/>
        </w:rPr>
        <w:t>. Oxford: Oxford University Press, 239–255.</w:t>
      </w:r>
    </w:p>
    <w:p w14:paraId="645432DA" w14:textId="77777777" w:rsidR="004912DB" w:rsidRDefault="004912DB" w:rsidP="004035AC">
      <w:pPr>
        <w:pStyle w:val="Alaviitteenteksti"/>
        <w:spacing w:line="480" w:lineRule="auto"/>
        <w:rPr>
          <w:rFonts w:ascii="Times New Roman" w:hAnsi="Times New Roman" w:cs="Times New Roman"/>
          <w:sz w:val="24"/>
          <w:szCs w:val="24"/>
          <w:lang w:val="en-GB"/>
        </w:rPr>
      </w:pPr>
    </w:p>
    <w:p w14:paraId="0D2FC810" w14:textId="77777777" w:rsidR="00B56440" w:rsidRPr="00B56440" w:rsidRDefault="00B56440" w:rsidP="00B56440">
      <w:pPr>
        <w:spacing w:after="0" w:line="480" w:lineRule="auto"/>
        <w:rPr>
          <w:rFonts w:ascii="Times New Roman" w:eastAsia="Times New Roman" w:hAnsi="Times New Roman" w:cs="Times New Roman"/>
          <w:color w:val="000000"/>
          <w:sz w:val="24"/>
          <w:szCs w:val="24"/>
          <w:shd w:val="clear" w:color="auto" w:fill="FFFFFF"/>
          <w:lang w:val="en-US" w:eastAsia="fi-FI"/>
        </w:rPr>
      </w:pPr>
      <w:r>
        <w:rPr>
          <w:rFonts w:ascii="Times New Roman" w:eastAsia="Times New Roman" w:hAnsi="Times New Roman" w:cs="Times New Roman"/>
          <w:color w:val="000000"/>
          <w:sz w:val="24"/>
          <w:szCs w:val="24"/>
          <w:shd w:val="clear" w:color="auto" w:fill="FFFFFF"/>
          <w:lang w:val="en-US" w:eastAsia="fi-FI"/>
        </w:rPr>
        <w:t xml:space="preserve">Moyal-Sharrock, D. (2007). The good sense of nonsense: A reading of Wittgenstein’s </w:t>
      </w:r>
      <w:r>
        <w:rPr>
          <w:rFonts w:ascii="Times New Roman" w:eastAsia="Times New Roman" w:hAnsi="Times New Roman" w:cs="Times New Roman"/>
          <w:i/>
          <w:color w:val="000000"/>
          <w:sz w:val="24"/>
          <w:szCs w:val="24"/>
          <w:shd w:val="clear" w:color="auto" w:fill="FFFFFF"/>
          <w:lang w:val="en-US" w:eastAsia="fi-FI"/>
        </w:rPr>
        <w:t xml:space="preserve">Tractatus </w:t>
      </w:r>
      <w:r>
        <w:rPr>
          <w:rFonts w:ascii="Times New Roman" w:eastAsia="Times New Roman" w:hAnsi="Times New Roman" w:cs="Times New Roman"/>
          <w:color w:val="000000"/>
          <w:sz w:val="24"/>
          <w:szCs w:val="24"/>
          <w:shd w:val="clear" w:color="auto" w:fill="FFFFFF"/>
          <w:lang w:val="en-US" w:eastAsia="fi-FI"/>
        </w:rPr>
        <w:t xml:space="preserve">as nonself-repudiating. </w:t>
      </w:r>
      <w:r>
        <w:rPr>
          <w:rFonts w:ascii="Times New Roman" w:eastAsia="Times New Roman" w:hAnsi="Times New Roman" w:cs="Times New Roman"/>
          <w:i/>
          <w:color w:val="000000"/>
          <w:sz w:val="24"/>
          <w:szCs w:val="24"/>
          <w:shd w:val="clear" w:color="auto" w:fill="FFFFFF"/>
          <w:lang w:val="en-US" w:eastAsia="fi-FI"/>
        </w:rPr>
        <w:t xml:space="preserve">Philosophy </w:t>
      </w:r>
      <w:r>
        <w:rPr>
          <w:rFonts w:ascii="Times New Roman" w:eastAsia="Times New Roman" w:hAnsi="Times New Roman" w:cs="Times New Roman"/>
          <w:color w:val="000000"/>
          <w:sz w:val="24"/>
          <w:szCs w:val="24"/>
          <w:shd w:val="clear" w:color="auto" w:fill="FFFFFF"/>
          <w:lang w:val="en-US" w:eastAsia="fi-FI"/>
        </w:rPr>
        <w:t>82, 147–177.</w:t>
      </w:r>
    </w:p>
    <w:p w14:paraId="7D1AD2BE" w14:textId="77777777" w:rsidR="00B56440" w:rsidRDefault="00B56440" w:rsidP="004035AC">
      <w:pPr>
        <w:pStyle w:val="Alaviitteenteksti"/>
        <w:spacing w:line="480" w:lineRule="auto"/>
        <w:rPr>
          <w:rFonts w:ascii="Times New Roman" w:hAnsi="Times New Roman" w:cs="Times New Roman"/>
          <w:sz w:val="24"/>
          <w:szCs w:val="24"/>
          <w:lang w:val="en-GB"/>
        </w:rPr>
      </w:pPr>
    </w:p>
    <w:p w14:paraId="0913C76D" w14:textId="77777777" w:rsidR="004912DB" w:rsidRDefault="004912DB" w:rsidP="004035AC">
      <w:pPr>
        <w:pStyle w:val="Alaviitteenteksti"/>
        <w:spacing w:line="480" w:lineRule="auto"/>
        <w:rPr>
          <w:rFonts w:ascii="Times New Roman" w:hAnsi="Times New Roman" w:cs="Times New Roman"/>
          <w:sz w:val="24"/>
          <w:szCs w:val="24"/>
          <w:lang w:val="en-GB"/>
        </w:rPr>
      </w:pPr>
      <w:r>
        <w:rPr>
          <w:rFonts w:ascii="Times New Roman" w:hAnsi="Times New Roman" w:cs="Times New Roman"/>
          <w:sz w:val="24"/>
          <w:szCs w:val="24"/>
          <w:lang w:val="en-GB"/>
        </w:rPr>
        <w:t>Nielsen, K</w:t>
      </w:r>
      <w:r w:rsidR="00B56440">
        <w:rPr>
          <w:rFonts w:ascii="Times New Roman" w:hAnsi="Times New Roman" w:cs="Times New Roman"/>
          <w:sz w:val="24"/>
          <w:szCs w:val="24"/>
          <w:lang w:val="en-GB"/>
        </w:rPr>
        <w:t>.</w:t>
      </w:r>
      <w:r>
        <w:rPr>
          <w:rFonts w:ascii="Times New Roman" w:hAnsi="Times New Roman" w:cs="Times New Roman"/>
          <w:sz w:val="24"/>
          <w:szCs w:val="24"/>
          <w:lang w:val="en-GB"/>
        </w:rPr>
        <w:t xml:space="preserve"> (1967)</w:t>
      </w:r>
      <w:r w:rsidR="00B56440">
        <w:rPr>
          <w:rFonts w:ascii="Times New Roman" w:hAnsi="Times New Roman" w:cs="Times New Roman"/>
          <w:sz w:val="24"/>
          <w:szCs w:val="24"/>
          <w:lang w:val="en-GB"/>
        </w:rPr>
        <w:t>.</w:t>
      </w:r>
      <w:r>
        <w:rPr>
          <w:rFonts w:ascii="Times New Roman" w:hAnsi="Times New Roman" w:cs="Times New Roman"/>
          <w:sz w:val="24"/>
          <w:szCs w:val="24"/>
          <w:lang w:val="en-GB"/>
        </w:rPr>
        <w:t xml:space="preserve"> Wittgensteinian </w:t>
      </w:r>
      <w:r w:rsidR="00B56440">
        <w:rPr>
          <w:rFonts w:ascii="Times New Roman" w:hAnsi="Times New Roman" w:cs="Times New Roman"/>
          <w:sz w:val="24"/>
          <w:szCs w:val="24"/>
          <w:lang w:val="en-GB"/>
        </w:rPr>
        <w:t>f</w:t>
      </w:r>
      <w:r>
        <w:rPr>
          <w:rFonts w:ascii="Times New Roman" w:hAnsi="Times New Roman" w:cs="Times New Roman"/>
          <w:sz w:val="24"/>
          <w:szCs w:val="24"/>
          <w:lang w:val="en-GB"/>
        </w:rPr>
        <w:t>ideism</w:t>
      </w:r>
      <w:r w:rsidR="0089398F">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 xml:space="preserve">Philosophy </w:t>
      </w:r>
      <w:r>
        <w:rPr>
          <w:rFonts w:ascii="Times New Roman" w:hAnsi="Times New Roman" w:cs="Times New Roman"/>
          <w:sz w:val="24"/>
          <w:szCs w:val="24"/>
          <w:lang w:val="en-GB"/>
        </w:rPr>
        <w:t>42 (161), 191–209.</w:t>
      </w:r>
    </w:p>
    <w:p w14:paraId="56D65293" w14:textId="77777777" w:rsidR="00FE7888" w:rsidRDefault="00FE7888" w:rsidP="004035AC">
      <w:pPr>
        <w:pStyle w:val="Alaviitteenteksti"/>
        <w:spacing w:line="480" w:lineRule="auto"/>
        <w:rPr>
          <w:rFonts w:ascii="Times New Roman" w:hAnsi="Times New Roman" w:cs="Times New Roman"/>
          <w:sz w:val="24"/>
          <w:szCs w:val="24"/>
          <w:lang w:val="en-GB"/>
        </w:rPr>
      </w:pPr>
    </w:p>
    <w:p w14:paraId="772AB128" w14:textId="77777777" w:rsidR="00FE7888" w:rsidRPr="009736CE" w:rsidRDefault="00FE7888" w:rsidP="00FE7888">
      <w:pPr>
        <w:pStyle w:val="Alaviitteenteksti"/>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Nordmann, A</w:t>
      </w:r>
      <w:r w:rsidR="00B56440">
        <w:rPr>
          <w:rFonts w:ascii="Times New Roman" w:hAnsi="Times New Roman" w:cs="Times New Roman"/>
          <w:sz w:val="24"/>
          <w:szCs w:val="24"/>
          <w:lang w:val="en-GB"/>
        </w:rPr>
        <w:t>.</w:t>
      </w:r>
      <w:r>
        <w:rPr>
          <w:rFonts w:ascii="Times New Roman" w:hAnsi="Times New Roman" w:cs="Times New Roman"/>
          <w:sz w:val="24"/>
          <w:szCs w:val="24"/>
          <w:lang w:val="en-GB"/>
        </w:rPr>
        <w:t xml:space="preserve"> (2005)</w:t>
      </w:r>
      <w:r w:rsidR="00B56440">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Pr>
          <w:rFonts w:ascii="Times New Roman" w:hAnsi="Times New Roman" w:cs="Times New Roman"/>
          <w:i/>
          <w:sz w:val="24"/>
          <w:szCs w:val="24"/>
          <w:lang w:val="en-GB"/>
        </w:rPr>
        <w:t xml:space="preserve">Wittgenstein’s Tractatus: An </w:t>
      </w:r>
      <w:r w:rsidR="00CA1296">
        <w:rPr>
          <w:rFonts w:ascii="Times New Roman" w:hAnsi="Times New Roman" w:cs="Times New Roman"/>
          <w:i/>
          <w:sz w:val="24"/>
          <w:szCs w:val="24"/>
          <w:lang w:val="en-GB"/>
        </w:rPr>
        <w:t>I</w:t>
      </w:r>
      <w:r>
        <w:rPr>
          <w:rFonts w:ascii="Times New Roman" w:hAnsi="Times New Roman" w:cs="Times New Roman"/>
          <w:i/>
          <w:sz w:val="24"/>
          <w:szCs w:val="24"/>
          <w:lang w:val="en-GB"/>
        </w:rPr>
        <w:t>ntroduction</w:t>
      </w:r>
      <w:r>
        <w:rPr>
          <w:rFonts w:ascii="Times New Roman" w:hAnsi="Times New Roman" w:cs="Times New Roman"/>
          <w:sz w:val="24"/>
          <w:szCs w:val="24"/>
          <w:lang w:val="en-GB"/>
        </w:rPr>
        <w:t xml:space="preserve">. Cambridge: Cambridge University Press. </w:t>
      </w:r>
    </w:p>
    <w:p w14:paraId="3BDB50FB" w14:textId="77777777" w:rsidR="007C7C48" w:rsidRDefault="007C7C48" w:rsidP="004035AC">
      <w:pPr>
        <w:spacing w:after="0" w:line="480" w:lineRule="auto"/>
        <w:rPr>
          <w:rFonts w:ascii="Times New Roman" w:hAnsi="Times New Roman" w:cs="Times New Roman"/>
          <w:sz w:val="24"/>
          <w:szCs w:val="24"/>
          <w:lang w:val="en-GB"/>
        </w:rPr>
      </w:pPr>
    </w:p>
    <w:p w14:paraId="67BE73FD" w14:textId="77777777" w:rsidR="007C7C48" w:rsidRPr="00D430E7" w:rsidRDefault="007C7C48" w:rsidP="004035AC">
      <w:pPr>
        <w:spacing w:after="0" w:line="480" w:lineRule="auto"/>
        <w:rPr>
          <w:rFonts w:ascii="Times New Roman" w:hAnsi="Times New Roman" w:cs="Times New Roman"/>
          <w:sz w:val="24"/>
          <w:szCs w:val="24"/>
          <w:lang w:val="en-US"/>
        </w:rPr>
      </w:pPr>
      <w:r w:rsidRPr="007C7C48">
        <w:rPr>
          <w:rFonts w:ascii="Times New Roman" w:hAnsi="Times New Roman" w:cs="Times New Roman"/>
          <w:sz w:val="24"/>
          <w:szCs w:val="24"/>
          <w:lang w:val="en-US"/>
        </w:rPr>
        <w:lastRenderedPageBreak/>
        <w:t>Pears, D</w:t>
      </w:r>
      <w:r w:rsidR="00B56440">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(1987)</w:t>
      </w:r>
      <w:r w:rsidR="00B56440">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t>
      </w:r>
      <w:r w:rsidRPr="007C7C48">
        <w:rPr>
          <w:rFonts w:ascii="Times New Roman" w:hAnsi="Times New Roman" w:cs="Times New Roman"/>
          <w:i/>
          <w:sz w:val="24"/>
          <w:szCs w:val="24"/>
          <w:lang w:val="en-US"/>
        </w:rPr>
        <w:t xml:space="preserve">The </w:t>
      </w:r>
      <w:r w:rsidR="00CA1296">
        <w:rPr>
          <w:rFonts w:ascii="Times New Roman" w:hAnsi="Times New Roman" w:cs="Times New Roman"/>
          <w:i/>
          <w:sz w:val="24"/>
          <w:szCs w:val="24"/>
          <w:lang w:val="en-US"/>
        </w:rPr>
        <w:t>F</w:t>
      </w:r>
      <w:r w:rsidRPr="007C7C48">
        <w:rPr>
          <w:rFonts w:ascii="Times New Roman" w:hAnsi="Times New Roman" w:cs="Times New Roman"/>
          <w:i/>
          <w:sz w:val="24"/>
          <w:szCs w:val="24"/>
          <w:lang w:val="en-US"/>
        </w:rPr>
        <w:t xml:space="preserve">alse </w:t>
      </w:r>
      <w:r w:rsidR="00CA1296">
        <w:rPr>
          <w:rFonts w:ascii="Times New Roman" w:hAnsi="Times New Roman" w:cs="Times New Roman"/>
          <w:i/>
          <w:sz w:val="24"/>
          <w:szCs w:val="24"/>
          <w:lang w:val="en-US"/>
        </w:rPr>
        <w:t>P</w:t>
      </w:r>
      <w:r w:rsidRPr="007C7C48">
        <w:rPr>
          <w:rFonts w:ascii="Times New Roman" w:hAnsi="Times New Roman" w:cs="Times New Roman"/>
          <w:i/>
          <w:sz w:val="24"/>
          <w:szCs w:val="24"/>
          <w:lang w:val="en-US"/>
        </w:rPr>
        <w:t>rison</w:t>
      </w:r>
      <w:r w:rsidR="0089398F">
        <w:rPr>
          <w:rFonts w:ascii="Times New Roman" w:hAnsi="Times New Roman" w:cs="Times New Roman"/>
          <w:sz w:val="24"/>
          <w:szCs w:val="24"/>
          <w:lang w:val="en-US"/>
        </w:rPr>
        <w:t>,</w:t>
      </w:r>
      <w:r w:rsidRPr="007C7C48">
        <w:rPr>
          <w:rFonts w:ascii="Times New Roman" w:hAnsi="Times New Roman" w:cs="Times New Roman"/>
          <w:i/>
          <w:sz w:val="24"/>
          <w:szCs w:val="24"/>
          <w:lang w:val="en-US"/>
        </w:rPr>
        <w:t xml:space="preserve"> </w:t>
      </w:r>
      <w:r w:rsidRPr="007C7C48">
        <w:rPr>
          <w:rFonts w:ascii="Times New Roman" w:hAnsi="Times New Roman" w:cs="Times New Roman"/>
          <w:sz w:val="24"/>
          <w:szCs w:val="24"/>
          <w:lang w:val="en-US"/>
        </w:rPr>
        <w:t xml:space="preserve">Volume One. </w:t>
      </w:r>
      <w:r w:rsidRPr="00D430E7">
        <w:rPr>
          <w:rFonts w:ascii="Times New Roman" w:hAnsi="Times New Roman" w:cs="Times New Roman"/>
          <w:sz w:val="24"/>
          <w:szCs w:val="24"/>
          <w:lang w:val="en-US"/>
        </w:rPr>
        <w:t>Oxford: Clarendon.</w:t>
      </w:r>
    </w:p>
    <w:p w14:paraId="1074A3B4" w14:textId="77777777" w:rsidR="007C7C48" w:rsidRPr="00D430E7" w:rsidRDefault="007C7C48" w:rsidP="004035AC">
      <w:pPr>
        <w:spacing w:after="0" w:line="480" w:lineRule="auto"/>
        <w:rPr>
          <w:rFonts w:ascii="Times New Roman" w:hAnsi="Times New Roman" w:cs="Times New Roman"/>
          <w:sz w:val="24"/>
          <w:szCs w:val="24"/>
          <w:lang w:val="en-US"/>
        </w:rPr>
      </w:pPr>
    </w:p>
    <w:p w14:paraId="65B8EE5B" w14:textId="77777777" w:rsidR="002D2985" w:rsidRPr="00391DEB" w:rsidRDefault="002D2985" w:rsidP="004035AC">
      <w:pPr>
        <w:spacing w:after="0" w:line="480" w:lineRule="auto"/>
        <w:rPr>
          <w:rFonts w:ascii="Times New Roman" w:hAnsi="Times New Roman" w:cs="Times New Roman"/>
          <w:sz w:val="24"/>
          <w:szCs w:val="24"/>
          <w:lang w:val="en-US"/>
        </w:rPr>
      </w:pPr>
      <w:r w:rsidRPr="00D430E7">
        <w:rPr>
          <w:rFonts w:ascii="Times New Roman" w:hAnsi="Times New Roman" w:cs="Times New Roman"/>
          <w:sz w:val="24"/>
          <w:szCs w:val="24"/>
          <w:lang w:val="en-US"/>
        </w:rPr>
        <w:t>Sluga, H</w:t>
      </w:r>
      <w:r w:rsidR="00B56440" w:rsidRPr="00D430E7">
        <w:rPr>
          <w:rFonts w:ascii="Times New Roman" w:hAnsi="Times New Roman" w:cs="Times New Roman"/>
          <w:sz w:val="24"/>
          <w:szCs w:val="24"/>
          <w:lang w:val="en-US"/>
        </w:rPr>
        <w:t>.</w:t>
      </w:r>
      <w:r w:rsidRPr="00D430E7">
        <w:rPr>
          <w:rFonts w:ascii="Times New Roman" w:hAnsi="Times New Roman" w:cs="Times New Roman"/>
          <w:sz w:val="24"/>
          <w:szCs w:val="24"/>
          <w:lang w:val="en-US"/>
        </w:rPr>
        <w:t xml:space="preserve"> (2011)</w:t>
      </w:r>
      <w:r w:rsidR="00B56440" w:rsidRPr="00D430E7">
        <w:rPr>
          <w:rFonts w:ascii="Times New Roman" w:hAnsi="Times New Roman" w:cs="Times New Roman"/>
          <w:sz w:val="24"/>
          <w:szCs w:val="24"/>
          <w:lang w:val="en-US"/>
        </w:rPr>
        <w:t>.</w:t>
      </w:r>
      <w:r w:rsidRPr="00D430E7">
        <w:rPr>
          <w:rFonts w:ascii="Times New Roman" w:hAnsi="Times New Roman" w:cs="Times New Roman"/>
          <w:sz w:val="24"/>
          <w:szCs w:val="24"/>
          <w:lang w:val="en-US"/>
        </w:rPr>
        <w:t xml:space="preserve"> </w:t>
      </w:r>
      <w:r w:rsidRPr="00D430E7">
        <w:rPr>
          <w:rFonts w:ascii="Times New Roman" w:hAnsi="Times New Roman" w:cs="Times New Roman"/>
          <w:i/>
          <w:sz w:val="24"/>
          <w:szCs w:val="24"/>
          <w:lang w:val="en-US"/>
        </w:rPr>
        <w:t>Wittgenstein</w:t>
      </w:r>
      <w:r w:rsidRPr="00D430E7">
        <w:rPr>
          <w:rFonts w:ascii="Times New Roman" w:hAnsi="Times New Roman" w:cs="Times New Roman"/>
          <w:sz w:val="24"/>
          <w:szCs w:val="24"/>
          <w:lang w:val="en-US"/>
        </w:rPr>
        <w:t xml:space="preserve">. </w:t>
      </w:r>
      <w:r w:rsidRPr="00391DEB">
        <w:rPr>
          <w:rFonts w:ascii="Times New Roman" w:hAnsi="Times New Roman" w:cs="Times New Roman"/>
          <w:sz w:val="24"/>
          <w:szCs w:val="24"/>
          <w:lang w:val="en-US"/>
        </w:rPr>
        <w:t>Oxford: Blackwell.</w:t>
      </w:r>
    </w:p>
    <w:p w14:paraId="029CFB38" w14:textId="77777777" w:rsidR="008D3713" w:rsidRPr="00391DEB" w:rsidRDefault="008D3713" w:rsidP="004035AC">
      <w:pPr>
        <w:spacing w:after="0" w:line="480" w:lineRule="auto"/>
        <w:rPr>
          <w:rFonts w:ascii="Times New Roman" w:hAnsi="Times New Roman" w:cs="Times New Roman"/>
          <w:sz w:val="24"/>
          <w:szCs w:val="24"/>
          <w:lang w:val="en-US"/>
        </w:rPr>
      </w:pPr>
    </w:p>
    <w:p w14:paraId="5B5E44DF" w14:textId="77777777" w:rsidR="007C7C48" w:rsidRPr="007548F4" w:rsidRDefault="007005A5" w:rsidP="004035AC">
      <w:pPr>
        <w:pStyle w:val="Alaviitteenteksti"/>
        <w:spacing w:line="480" w:lineRule="auto"/>
        <w:rPr>
          <w:rFonts w:ascii="Times New Roman" w:hAnsi="Times New Roman" w:cs="Times New Roman"/>
          <w:sz w:val="24"/>
          <w:szCs w:val="24"/>
          <w:lang w:val="en-US"/>
        </w:rPr>
      </w:pPr>
      <w:r>
        <w:rPr>
          <w:rFonts w:ascii="Times New Roman" w:hAnsi="Times New Roman" w:cs="Times New Roman"/>
          <w:sz w:val="24"/>
          <w:szCs w:val="24"/>
          <w:lang w:val="en-US"/>
        </w:rPr>
        <w:t>Stenius, E</w:t>
      </w:r>
      <w:r w:rsidR="00B56440">
        <w:rPr>
          <w:rFonts w:ascii="Times New Roman" w:hAnsi="Times New Roman" w:cs="Times New Roman"/>
          <w:sz w:val="24"/>
          <w:szCs w:val="24"/>
          <w:lang w:val="en-US"/>
        </w:rPr>
        <w:t>.</w:t>
      </w:r>
      <w:r w:rsidR="007C7C48" w:rsidRPr="007548F4">
        <w:rPr>
          <w:rFonts w:ascii="Times New Roman" w:hAnsi="Times New Roman" w:cs="Times New Roman"/>
          <w:sz w:val="24"/>
          <w:szCs w:val="24"/>
          <w:lang w:val="en-US"/>
        </w:rPr>
        <w:t xml:space="preserve"> (1960)</w:t>
      </w:r>
      <w:r w:rsidR="00B56440">
        <w:rPr>
          <w:rFonts w:ascii="Times New Roman" w:hAnsi="Times New Roman" w:cs="Times New Roman"/>
          <w:sz w:val="24"/>
          <w:szCs w:val="24"/>
          <w:lang w:val="en-US"/>
        </w:rPr>
        <w:t>.</w:t>
      </w:r>
      <w:r w:rsidR="007C7C48" w:rsidRPr="007548F4">
        <w:rPr>
          <w:rFonts w:ascii="Times New Roman" w:hAnsi="Times New Roman" w:cs="Times New Roman"/>
          <w:sz w:val="24"/>
          <w:szCs w:val="24"/>
          <w:lang w:val="en-US"/>
        </w:rPr>
        <w:t xml:space="preserve"> </w:t>
      </w:r>
      <w:r w:rsidR="007C7C48" w:rsidRPr="007548F4">
        <w:rPr>
          <w:rFonts w:ascii="Times New Roman" w:hAnsi="Times New Roman" w:cs="Times New Roman"/>
          <w:i/>
          <w:sz w:val="24"/>
          <w:szCs w:val="24"/>
          <w:lang w:val="en-US"/>
        </w:rPr>
        <w:t xml:space="preserve">Wittgenstein’s Tractatus: A </w:t>
      </w:r>
      <w:r w:rsidR="00CA1296">
        <w:rPr>
          <w:rFonts w:ascii="Times New Roman" w:hAnsi="Times New Roman" w:cs="Times New Roman"/>
          <w:i/>
          <w:sz w:val="24"/>
          <w:szCs w:val="24"/>
          <w:lang w:val="en-US"/>
        </w:rPr>
        <w:t>C</w:t>
      </w:r>
      <w:r w:rsidR="007C7C48" w:rsidRPr="007548F4">
        <w:rPr>
          <w:rFonts w:ascii="Times New Roman" w:hAnsi="Times New Roman" w:cs="Times New Roman"/>
          <w:i/>
          <w:sz w:val="24"/>
          <w:szCs w:val="24"/>
          <w:lang w:val="en-US"/>
        </w:rPr>
        <w:t xml:space="preserve">ritical </w:t>
      </w:r>
      <w:r w:rsidR="00CA1296">
        <w:rPr>
          <w:rFonts w:ascii="Times New Roman" w:hAnsi="Times New Roman" w:cs="Times New Roman"/>
          <w:i/>
          <w:sz w:val="24"/>
          <w:szCs w:val="24"/>
          <w:lang w:val="en-US"/>
        </w:rPr>
        <w:t>E</w:t>
      </w:r>
      <w:r w:rsidR="007C7C48" w:rsidRPr="007548F4">
        <w:rPr>
          <w:rFonts w:ascii="Times New Roman" w:hAnsi="Times New Roman" w:cs="Times New Roman"/>
          <w:i/>
          <w:sz w:val="24"/>
          <w:szCs w:val="24"/>
          <w:lang w:val="en-US"/>
        </w:rPr>
        <w:t xml:space="preserve">xposition of </w:t>
      </w:r>
      <w:r w:rsidR="00A27D6B">
        <w:rPr>
          <w:rFonts w:ascii="Times New Roman" w:hAnsi="Times New Roman" w:cs="Times New Roman"/>
          <w:i/>
          <w:sz w:val="24"/>
          <w:szCs w:val="24"/>
          <w:lang w:val="en-US"/>
        </w:rPr>
        <w:t>i</w:t>
      </w:r>
      <w:r w:rsidR="007C7C48" w:rsidRPr="007548F4">
        <w:rPr>
          <w:rFonts w:ascii="Times New Roman" w:hAnsi="Times New Roman" w:cs="Times New Roman"/>
          <w:i/>
          <w:sz w:val="24"/>
          <w:szCs w:val="24"/>
          <w:lang w:val="en-US"/>
        </w:rPr>
        <w:t xml:space="preserve">ts </w:t>
      </w:r>
      <w:r w:rsidR="00CA1296">
        <w:rPr>
          <w:rFonts w:ascii="Times New Roman" w:hAnsi="Times New Roman" w:cs="Times New Roman"/>
          <w:i/>
          <w:sz w:val="24"/>
          <w:szCs w:val="24"/>
          <w:lang w:val="en-US"/>
        </w:rPr>
        <w:t>M</w:t>
      </w:r>
      <w:r w:rsidR="007C7C48" w:rsidRPr="007548F4">
        <w:rPr>
          <w:rFonts w:ascii="Times New Roman" w:hAnsi="Times New Roman" w:cs="Times New Roman"/>
          <w:i/>
          <w:sz w:val="24"/>
          <w:szCs w:val="24"/>
          <w:lang w:val="en-US"/>
        </w:rPr>
        <w:t xml:space="preserve">ain </w:t>
      </w:r>
      <w:r w:rsidR="00CA1296">
        <w:rPr>
          <w:rFonts w:ascii="Times New Roman" w:hAnsi="Times New Roman" w:cs="Times New Roman"/>
          <w:i/>
          <w:sz w:val="24"/>
          <w:szCs w:val="24"/>
          <w:lang w:val="en-US"/>
        </w:rPr>
        <w:t>L</w:t>
      </w:r>
      <w:r w:rsidR="007C7C48" w:rsidRPr="007548F4">
        <w:rPr>
          <w:rFonts w:ascii="Times New Roman" w:hAnsi="Times New Roman" w:cs="Times New Roman"/>
          <w:i/>
          <w:sz w:val="24"/>
          <w:szCs w:val="24"/>
          <w:lang w:val="en-US"/>
        </w:rPr>
        <w:t xml:space="preserve">ines of </w:t>
      </w:r>
      <w:r w:rsidR="00CA1296">
        <w:rPr>
          <w:rFonts w:ascii="Times New Roman" w:hAnsi="Times New Roman" w:cs="Times New Roman"/>
          <w:i/>
          <w:sz w:val="24"/>
          <w:szCs w:val="24"/>
          <w:lang w:val="en-US"/>
        </w:rPr>
        <w:t>T</w:t>
      </w:r>
      <w:r w:rsidR="007C7C48" w:rsidRPr="007548F4">
        <w:rPr>
          <w:rFonts w:ascii="Times New Roman" w:hAnsi="Times New Roman" w:cs="Times New Roman"/>
          <w:i/>
          <w:sz w:val="24"/>
          <w:szCs w:val="24"/>
          <w:lang w:val="en-US"/>
        </w:rPr>
        <w:t>hought</w:t>
      </w:r>
      <w:r w:rsidR="007C7C48" w:rsidRPr="007548F4">
        <w:rPr>
          <w:rFonts w:ascii="Times New Roman" w:hAnsi="Times New Roman" w:cs="Times New Roman"/>
          <w:sz w:val="24"/>
          <w:szCs w:val="24"/>
          <w:lang w:val="en-US"/>
        </w:rPr>
        <w:t xml:space="preserve">. Oxford: Blackwell. </w:t>
      </w:r>
    </w:p>
    <w:p w14:paraId="4A84FB53" w14:textId="77777777" w:rsidR="007C7C48" w:rsidRPr="007C7C48" w:rsidRDefault="007C7C48" w:rsidP="004035AC">
      <w:pPr>
        <w:spacing w:after="0" w:line="480" w:lineRule="auto"/>
        <w:rPr>
          <w:rFonts w:ascii="Times New Roman" w:hAnsi="Times New Roman" w:cs="Times New Roman"/>
          <w:sz w:val="24"/>
          <w:szCs w:val="24"/>
          <w:lang w:val="en-US"/>
        </w:rPr>
      </w:pPr>
    </w:p>
    <w:p w14:paraId="6AAA879A" w14:textId="77777777" w:rsidR="00A27D6B" w:rsidRDefault="00221A05" w:rsidP="00B56440">
      <w:pPr>
        <w:spacing w:after="0" w:line="480" w:lineRule="auto"/>
        <w:rPr>
          <w:rFonts w:ascii="Times New Roman" w:hAnsi="Times New Roman" w:cs="Times New Roman"/>
          <w:sz w:val="24"/>
          <w:szCs w:val="24"/>
          <w:lang w:val="en-US"/>
        </w:rPr>
      </w:pPr>
      <w:r w:rsidRPr="007C7C48">
        <w:rPr>
          <w:rFonts w:ascii="Times New Roman" w:hAnsi="Times New Roman" w:cs="Times New Roman"/>
          <w:sz w:val="24"/>
          <w:szCs w:val="24"/>
          <w:lang w:val="en-US"/>
        </w:rPr>
        <w:t>Schroeder, S</w:t>
      </w:r>
      <w:r w:rsidR="00B56440">
        <w:rPr>
          <w:rFonts w:ascii="Times New Roman" w:hAnsi="Times New Roman" w:cs="Times New Roman"/>
          <w:sz w:val="24"/>
          <w:szCs w:val="24"/>
          <w:lang w:val="en-US"/>
        </w:rPr>
        <w:t>.</w:t>
      </w:r>
      <w:r w:rsidRPr="007C7C48">
        <w:rPr>
          <w:rFonts w:ascii="Times New Roman" w:hAnsi="Times New Roman" w:cs="Times New Roman"/>
          <w:sz w:val="24"/>
          <w:szCs w:val="24"/>
          <w:lang w:val="en-US"/>
        </w:rPr>
        <w:t xml:space="preserve"> </w:t>
      </w:r>
      <w:r w:rsidR="001A09EA">
        <w:rPr>
          <w:rFonts w:ascii="Times New Roman" w:hAnsi="Times New Roman" w:cs="Times New Roman"/>
          <w:sz w:val="24"/>
          <w:szCs w:val="24"/>
          <w:lang w:val="en-US"/>
        </w:rPr>
        <w:t>(2007)</w:t>
      </w:r>
      <w:r w:rsidR="00B56440">
        <w:rPr>
          <w:rFonts w:ascii="Times New Roman" w:hAnsi="Times New Roman" w:cs="Times New Roman"/>
          <w:sz w:val="24"/>
          <w:szCs w:val="24"/>
          <w:lang w:val="en-US"/>
        </w:rPr>
        <w:t>.</w:t>
      </w:r>
      <w:r w:rsidR="001A09EA">
        <w:rPr>
          <w:rFonts w:ascii="Times New Roman" w:hAnsi="Times New Roman" w:cs="Times New Roman"/>
          <w:sz w:val="24"/>
          <w:szCs w:val="24"/>
          <w:lang w:val="en-US"/>
        </w:rPr>
        <w:t xml:space="preserve"> </w:t>
      </w:r>
      <w:r w:rsidRPr="007C7C48">
        <w:rPr>
          <w:rFonts w:ascii="Times New Roman" w:hAnsi="Times New Roman" w:cs="Times New Roman"/>
          <w:sz w:val="24"/>
          <w:szCs w:val="24"/>
          <w:lang w:val="en-US"/>
        </w:rPr>
        <w:t xml:space="preserve">The </w:t>
      </w:r>
      <w:r w:rsidR="00A27D6B">
        <w:rPr>
          <w:rFonts w:ascii="Times New Roman" w:hAnsi="Times New Roman" w:cs="Times New Roman"/>
          <w:sz w:val="24"/>
          <w:szCs w:val="24"/>
          <w:lang w:val="en-US"/>
        </w:rPr>
        <w:t>t</w:t>
      </w:r>
      <w:r w:rsidRPr="007C7C48">
        <w:rPr>
          <w:rFonts w:ascii="Times New Roman" w:hAnsi="Times New Roman" w:cs="Times New Roman"/>
          <w:sz w:val="24"/>
          <w:szCs w:val="24"/>
          <w:lang w:val="en-US"/>
        </w:rPr>
        <w:t xml:space="preserve">ightrope </w:t>
      </w:r>
      <w:r w:rsidR="00A27D6B">
        <w:rPr>
          <w:rFonts w:ascii="Times New Roman" w:hAnsi="Times New Roman" w:cs="Times New Roman"/>
          <w:sz w:val="24"/>
          <w:szCs w:val="24"/>
          <w:lang w:val="en-US"/>
        </w:rPr>
        <w:t>w</w:t>
      </w:r>
      <w:r w:rsidRPr="007C7C48">
        <w:rPr>
          <w:rFonts w:ascii="Times New Roman" w:hAnsi="Times New Roman" w:cs="Times New Roman"/>
          <w:sz w:val="24"/>
          <w:szCs w:val="24"/>
          <w:lang w:val="en-US"/>
        </w:rPr>
        <w:t>alker</w:t>
      </w:r>
      <w:r w:rsidR="001A09EA">
        <w:rPr>
          <w:rFonts w:ascii="Times New Roman" w:hAnsi="Times New Roman" w:cs="Times New Roman"/>
          <w:sz w:val="24"/>
          <w:szCs w:val="24"/>
          <w:lang w:val="en-US"/>
        </w:rPr>
        <w:t xml:space="preserve">. </w:t>
      </w:r>
      <w:r w:rsidR="001A09EA">
        <w:rPr>
          <w:rFonts w:ascii="Times New Roman" w:hAnsi="Times New Roman" w:cs="Times New Roman"/>
          <w:i/>
          <w:sz w:val="24"/>
          <w:szCs w:val="24"/>
          <w:lang w:val="en-US"/>
        </w:rPr>
        <w:t>Ratio (new series)</w:t>
      </w:r>
      <w:r w:rsidR="001A09EA">
        <w:rPr>
          <w:rFonts w:ascii="Times New Roman" w:hAnsi="Times New Roman" w:cs="Times New Roman"/>
          <w:sz w:val="24"/>
          <w:szCs w:val="24"/>
          <w:lang w:val="en-US"/>
        </w:rPr>
        <w:t>, XX (4), 442–463.</w:t>
      </w:r>
    </w:p>
    <w:p w14:paraId="3722E762" w14:textId="77777777" w:rsidR="0073587A" w:rsidRPr="00B56440" w:rsidRDefault="0073587A" w:rsidP="00B56440">
      <w:pPr>
        <w:spacing w:after="0" w:line="480" w:lineRule="auto"/>
        <w:rPr>
          <w:rFonts w:ascii="Times New Roman" w:hAnsi="Times New Roman" w:cs="Times New Roman"/>
          <w:sz w:val="24"/>
          <w:szCs w:val="24"/>
          <w:lang w:val="en-US"/>
        </w:rPr>
      </w:pPr>
    </w:p>
    <w:sectPr w:rsidR="0073587A" w:rsidRPr="00B56440">
      <w:headerReference w:type="even" r:id="rId8"/>
      <w:headerReference w:type="default" r:id="rId9"/>
      <w:footerReference w:type="even" r:id="rId10"/>
      <w:footerReference w:type="default" r:id="rId11"/>
      <w:headerReference w:type="first" r:id="rId12"/>
      <w:footerReference w:type="first" r:id="rId13"/>
      <w:endnotePr>
        <w:numFmt w:val="decimal"/>
      </w:endnotePr>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F1C4AA" w14:textId="77777777" w:rsidR="00A27D6B" w:rsidRDefault="00A27D6B" w:rsidP="005901B2">
      <w:pPr>
        <w:spacing w:after="0" w:line="240" w:lineRule="auto"/>
      </w:pPr>
      <w:r>
        <w:separator/>
      </w:r>
    </w:p>
  </w:endnote>
  <w:endnote w:type="continuationSeparator" w:id="0">
    <w:p w14:paraId="3C0382A4" w14:textId="77777777" w:rsidR="00A27D6B" w:rsidRDefault="00A27D6B" w:rsidP="005901B2">
      <w:pPr>
        <w:spacing w:after="0" w:line="240" w:lineRule="auto"/>
      </w:pPr>
      <w:r>
        <w:continuationSeparator/>
      </w:r>
    </w:p>
  </w:endnote>
  <w:endnote w:id="1">
    <w:p w14:paraId="57FFB91A" w14:textId="77777777" w:rsidR="00A27D6B" w:rsidRPr="00B14A49" w:rsidRDefault="00B56440">
      <w:pPr>
        <w:pStyle w:val="Loppuviitteenteksti"/>
        <w:rPr>
          <w:lang w:val="en-US"/>
        </w:rPr>
      </w:pPr>
      <w:r>
        <w:rPr>
          <w:rStyle w:val="Loppuviitteenviite"/>
        </w:rPr>
        <w:endnoteRef/>
      </w:r>
      <w:r w:rsidR="00A27D6B" w:rsidRPr="00B14A49">
        <w:rPr>
          <w:lang w:val="en-US"/>
        </w:rPr>
        <w:t xml:space="preserve"> </w:t>
      </w:r>
      <w:r w:rsidR="00A27D6B">
        <w:rPr>
          <w:rFonts w:ascii="Times New Roman" w:hAnsi="Times New Roman" w:cs="Times New Roman"/>
          <w:lang w:val="en-US"/>
        </w:rPr>
        <w:t xml:space="preserve">It is impossible to give a comprehensive </w:t>
      </w:r>
      <w:r w:rsidR="00A27D6B" w:rsidRPr="000A6D0F">
        <w:rPr>
          <w:rFonts w:ascii="Times New Roman" w:hAnsi="Times New Roman" w:cs="Times New Roman"/>
          <w:lang w:val="en-US"/>
        </w:rPr>
        <w:t>defense of the Kantian interpretation of Wittgenstein’s early philosophy</w:t>
      </w:r>
      <w:r w:rsidR="00A27D6B">
        <w:rPr>
          <w:rFonts w:ascii="Times New Roman" w:hAnsi="Times New Roman" w:cs="Times New Roman"/>
          <w:lang w:val="en-US"/>
        </w:rPr>
        <w:t xml:space="preserve"> within the limits of this paper</w:t>
      </w:r>
      <w:r w:rsidR="00A27D6B" w:rsidRPr="000A6D0F">
        <w:rPr>
          <w:rFonts w:ascii="Times New Roman" w:hAnsi="Times New Roman" w:cs="Times New Roman"/>
          <w:lang w:val="en-US"/>
        </w:rPr>
        <w:t xml:space="preserve">, and it is </w:t>
      </w:r>
      <w:r w:rsidR="00A27D6B">
        <w:rPr>
          <w:rFonts w:ascii="Times New Roman" w:hAnsi="Times New Roman" w:cs="Times New Roman"/>
          <w:lang w:val="en-US"/>
        </w:rPr>
        <w:t>rather presupposed</w:t>
      </w:r>
      <w:r w:rsidR="00A27D6B" w:rsidRPr="000A6D0F">
        <w:rPr>
          <w:rFonts w:ascii="Times New Roman" w:hAnsi="Times New Roman" w:cs="Times New Roman"/>
          <w:lang w:val="en-US"/>
        </w:rPr>
        <w:t xml:space="preserve"> as the starting point of the argument </w:t>
      </w:r>
      <w:r w:rsidR="00A27D6B">
        <w:rPr>
          <w:rFonts w:ascii="Times New Roman" w:hAnsi="Times New Roman" w:cs="Times New Roman"/>
          <w:lang w:val="en-US"/>
        </w:rPr>
        <w:t>to be developed on</w:t>
      </w:r>
      <w:r w:rsidR="00A27D6B" w:rsidRPr="000A6D0F">
        <w:rPr>
          <w:rFonts w:ascii="Times New Roman" w:hAnsi="Times New Roman" w:cs="Times New Roman"/>
          <w:lang w:val="en-US"/>
        </w:rPr>
        <w:t xml:space="preserve"> Wittgenstein’s treatment of religious faith. For a defense of the Kantian interpretation, see, for example, Stenius 1960, Kannisto 1986,</w:t>
      </w:r>
      <w:r w:rsidR="00A27D6B">
        <w:rPr>
          <w:rFonts w:ascii="Times New Roman" w:hAnsi="Times New Roman" w:cs="Times New Roman"/>
          <w:lang w:val="en-US"/>
        </w:rPr>
        <w:t xml:space="preserve"> Glock 1992, 1997, 1999, Moore 1987, </w:t>
      </w:r>
      <w:r w:rsidR="00A27D6B" w:rsidRPr="000A6D0F">
        <w:rPr>
          <w:rFonts w:ascii="Times New Roman" w:hAnsi="Times New Roman" w:cs="Times New Roman"/>
          <w:lang w:val="en-US"/>
        </w:rPr>
        <w:t>2013</w:t>
      </w:r>
      <w:r w:rsidR="007426D8">
        <w:rPr>
          <w:rFonts w:ascii="Times New Roman" w:hAnsi="Times New Roman" w:cs="Times New Roman"/>
          <w:lang w:val="en-US"/>
        </w:rPr>
        <w:t>,</w:t>
      </w:r>
      <w:r w:rsidR="00A27D6B">
        <w:rPr>
          <w:rFonts w:ascii="Times New Roman" w:hAnsi="Times New Roman" w:cs="Times New Roman"/>
          <w:lang w:val="en-US"/>
        </w:rPr>
        <w:t xml:space="preserve"> and Nordmann 2005</w:t>
      </w:r>
      <w:r w:rsidR="00A27D6B" w:rsidRPr="00C1068B">
        <w:rPr>
          <w:rFonts w:ascii="Times New Roman" w:hAnsi="Times New Roman" w:cs="Times New Roman"/>
          <w:lang w:val="en-US"/>
        </w:rPr>
        <w:t xml:space="preserve">. </w:t>
      </w:r>
      <w:r w:rsidR="00A27D6B" w:rsidRPr="009856D7">
        <w:rPr>
          <w:rFonts w:ascii="Times New Roman" w:hAnsi="Times New Roman" w:cs="Times New Roman"/>
          <w:lang w:val="en-US"/>
        </w:rPr>
        <w:t>See also, Appelqvist 2012, 2013, and 2016.</w:t>
      </w:r>
    </w:p>
  </w:endnote>
  <w:endnote w:id="2">
    <w:p w14:paraId="086CFAA8" w14:textId="77777777" w:rsidR="00A27D6B" w:rsidRPr="0029178F" w:rsidRDefault="00A27D6B">
      <w:pPr>
        <w:pStyle w:val="Loppuviitteenteksti"/>
        <w:rPr>
          <w:rFonts w:ascii="Times New Roman" w:hAnsi="Times New Roman" w:cs="Times New Roman"/>
          <w:lang w:val="en-US"/>
        </w:rPr>
      </w:pPr>
      <w:r w:rsidRPr="0029178F">
        <w:rPr>
          <w:rStyle w:val="Loppuviitteenviite"/>
          <w:rFonts w:ascii="Times New Roman" w:hAnsi="Times New Roman" w:cs="Times New Roman"/>
        </w:rPr>
        <w:endnoteRef/>
      </w:r>
      <w:r w:rsidRPr="0029178F">
        <w:rPr>
          <w:rFonts w:ascii="Times New Roman" w:hAnsi="Times New Roman" w:cs="Times New Roman"/>
          <w:lang w:val="en-US"/>
        </w:rPr>
        <w:t xml:space="preserve"> Translation slightly altered. In the o</w:t>
      </w:r>
      <w:r>
        <w:rPr>
          <w:rFonts w:ascii="Times New Roman" w:hAnsi="Times New Roman" w:cs="Times New Roman"/>
          <w:lang w:val="en-US"/>
        </w:rPr>
        <w:t>riginal text Wittgenstein uses ‘</w:t>
      </w:r>
      <w:r w:rsidRPr="0029178F">
        <w:rPr>
          <w:rFonts w:ascii="Times New Roman" w:hAnsi="Times New Roman" w:cs="Times New Roman"/>
          <w:lang w:val="en-US"/>
        </w:rPr>
        <w:t>der Sinn der Welt</w:t>
      </w:r>
      <w:r>
        <w:rPr>
          <w:rFonts w:ascii="Times New Roman" w:hAnsi="Times New Roman" w:cs="Times New Roman"/>
          <w:lang w:val="en-US"/>
        </w:rPr>
        <w:t>’</w:t>
      </w:r>
      <w:r w:rsidRPr="0029178F">
        <w:rPr>
          <w:rFonts w:ascii="Times New Roman" w:hAnsi="Times New Roman" w:cs="Times New Roman"/>
          <w:lang w:val="en-US"/>
        </w:rPr>
        <w:t xml:space="preserve">, which I have translated as </w:t>
      </w:r>
      <w:r>
        <w:rPr>
          <w:rFonts w:ascii="Times New Roman" w:hAnsi="Times New Roman" w:cs="Times New Roman"/>
          <w:lang w:val="en-US"/>
        </w:rPr>
        <w:t xml:space="preserve">‘the </w:t>
      </w:r>
      <w:r w:rsidRPr="0029178F">
        <w:rPr>
          <w:rFonts w:ascii="Times New Roman" w:hAnsi="Times New Roman" w:cs="Times New Roman"/>
          <w:lang w:val="en-US"/>
        </w:rPr>
        <w:t>sense of the world</w:t>
      </w:r>
      <w:r w:rsidR="007426D8">
        <w:rPr>
          <w:rFonts w:ascii="Times New Roman" w:hAnsi="Times New Roman" w:cs="Times New Roman"/>
          <w:lang w:val="en-US"/>
        </w:rPr>
        <w:t>’ instead of</w:t>
      </w:r>
      <w:r>
        <w:rPr>
          <w:rFonts w:ascii="Times New Roman" w:hAnsi="Times New Roman" w:cs="Times New Roman"/>
          <w:lang w:val="en-US"/>
        </w:rPr>
        <w:t xml:space="preserve"> ‘the </w:t>
      </w:r>
      <w:r w:rsidRPr="0029178F">
        <w:rPr>
          <w:rFonts w:ascii="Times New Roman" w:hAnsi="Times New Roman" w:cs="Times New Roman"/>
          <w:lang w:val="en-US"/>
        </w:rPr>
        <w:t xml:space="preserve">meaning of </w:t>
      </w:r>
      <w:r>
        <w:rPr>
          <w:rFonts w:ascii="Times New Roman" w:hAnsi="Times New Roman" w:cs="Times New Roman"/>
          <w:lang w:val="en-US"/>
        </w:rPr>
        <w:t>the world’</w:t>
      </w:r>
      <w:r w:rsidRPr="0029178F">
        <w:rPr>
          <w:rFonts w:ascii="Times New Roman" w:hAnsi="Times New Roman" w:cs="Times New Roman"/>
          <w:lang w:val="en-US"/>
        </w:rPr>
        <w:t xml:space="preserve"> used in Anscombe’</w:t>
      </w:r>
      <w:r>
        <w:rPr>
          <w:rFonts w:ascii="Times New Roman" w:hAnsi="Times New Roman" w:cs="Times New Roman"/>
          <w:lang w:val="en-US"/>
        </w:rPr>
        <w:t>s translation.</w:t>
      </w:r>
      <w:r w:rsidRPr="0029178F">
        <w:rPr>
          <w:rFonts w:ascii="Times New Roman" w:hAnsi="Times New Roman" w:cs="Times New Roman"/>
          <w:lang w:val="en-US"/>
        </w:rPr>
        <w:t xml:space="preserve"> </w:t>
      </w:r>
    </w:p>
  </w:endnote>
  <w:endnote w:id="3">
    <w:p w14:paraId="57D8BB33" w14:textId="77777777" w:rsidR="00A27D6B" w:rsidRPr="000243FA" w:rsidRDefault="00A27D6B">
      <w:pPr>
        <w:pStyle w:val="Loppuviitteenteksti"/>
        <w:rPr>
          <w:rFonts w:ascii="Times New Roman" w:hAnsi="Times New Roman" w:cs="Times New Roman"/>
          <w:lang w:val="en-US"/>
        </w:rPr>
      </w:pPr>
      <w:r w:rsidRPr="000243FA">
        <w:rPr>
          <w:rStyle w:val="Loppuviitteenviite"/>
          <w:rFonts w:ascii="Times New Roman" w:hAnsi="Times New Roman" w:cs="Times New Roman"/>
        </w:rPr>
        <w:endnoteRef/>
      </w:r>
      <w:r w:rsidRPr="000243FA">
        <w:rPr>
          <w:rFonts w:ascii="Times New Roman" w:hAnsi="Times New Roman" w:cs="Times New Roman"/>
          <w:lang w:val="en-US"/>
        </w:rPr>
        <w:t xml:space="preserve"> To be sure, the connection between the (transcendental) will</w:t>
      </w:r>
      <w:r>
        <w:rPr>
          <w:rFonts w:ascii="Times New Roman" w:hAnsi="Times New Roman" w:cs="Times New Roman"/>
          <w:lang w:val="en-US"/>
        </w:rPr>
        <w:t xml:space="preserve"> and the (empirical) nature, is a notoriously difficult question for Kant as well, and many scholars find his attempts to find a bridge between the domains of freedom and nature</w:t>
      </w:r>
      <w:r w:rsidRPr="000243FA">
        <w:rPr>
          <w:rFonts w:ascii="Times New Roman" w:hAnsi="Times New Roman" w:cs="Times New Roman"/>
          <w:lang w:val="en-US"/>
        </w:rPr>
        <w:t xml:space="preserve"> </w:t>
      </w:r>
      <w:r>
        <w:rPr>
          <w:rFonts w:ascii="Times New Roman" w:hAnsi="Times New Roman" w:cs="Times New Roman"/>
          <w:lang w:val="en-US"/>
        </w:rPr>
        <w:t>insufficient (see, for example, Allison</w:t>
      </w:r>
      <w:r w:rsidR="007426D8">
        <w:rPr>
          <w:rFonts w:ascii="Times New Roman" w:hAnsi="Times New Roman" w:cs="Times New Roman"/>
          <w:lang w:val="en-US"/>
        </w:rPr>
        <w:t>,</w:t>
      </w:r>
      <w:r>
        <w:rPr>
          <w:rFonts w:ascii="Times New Roman" w:hAnsi="Times New Roman" w:cs="Times New Roman"/>
          <w:lang w:val="en-US"/>
        </w:rPr>
        <w:t xml:space="preserve"> 1986). In this respect, Wittgenstein’s denial of the very connection may be more consistent, if less satisfying as an answer to the question of the nature of ethics (see Moore</w:t>
      </w:r>
      <w:r w:rsidR="00875E0E">
        <w:rPr>
          <w:rFonts w:ascii="Times New Roman" w:hAnsi="Times New Roman" w:cs="Times New Roman"/>
          <w:lang w:val="en-US"/>
        </w:rPr>
        <w:t>, 1987:</w:t>
      </w:r>
      <w:r>
        <w:rPr>
          <w:rFonts w:ascii="Times New Roman" w:hAnsi="Times New Roman" w:cs="Times New Roman"/>
          <w:lang w:val="en-US"/>
        </w:rPr>
        <w:t xml:space="preserve"> 132). </w:t>
      </w:r>
    </w:p>
  </w:endnote>
  <w:endnote w:id="4">
    <w:p w14:paraId="309267E6" w14:textId="77777777" w:rsidR="00A27D6B" w:rsidRPr="002D2985" w:rsidRDefault="00A27D6B">
      <w:pPr>
        <w:pStyle w:val="Loppuviitteenteksti"/>
        <w:rPr>
          <w:lang w:val="en-US"/>
        </w:rPr>
      </w:pPr>
      <w:r>
        <w:rPr>
          <w:rStyle w:val="Loppuviitteenviite"/>
        </w:rPr>
        <w:endnoteRef/>
      </w:r>
      <w:r w:rsidRPr="002D2985">
        <w:rPr>
          <w:lang w:val="en-US"/>
        </w:rPr>
        <w:t xml:space="preserve"> </w:t>
      </w:r>
      <w:r w:rsidRPr="002D2985">
        <w:rPr>
          <w:rFonts w:ascii="Times New Roman" w:hAnsi="Times New Roman" w:cs="Times New Roman"/>
          <w:lang w:val="en-US"/>
        </w:rPr>
        <w:t>See, for example, Hacker</w:t>
      </w:r>
      <w:r w:rsidR="00875E0E">
        <w:rPr>
          <w:rFonts w:ascii="Times New Roman" w:hAnsi="Times New Roman" w:cs="Times New Roman"/>
          <w:lang w:val="en-US"/>
        </w:rPr>
        <w:t>, 1986:</w:t>
      </w:r>
      <w:r w:rsidRPr="002D2985">
        <w:rPr>
          <w:rFonts w:ascii="Times New Roman" w:hAnsi="Times New Roman" w:cs="Times New Roman"/>
          <w:lang w:val="en-US"/>
        </w:rPr>
        <w:t xml:space="preserve"> ch. 4; Pears</w:t>
      </w:r>
      <w:r w:rsidR="00875E0E">
        <w:rPr>
          <w:rFonts w:ascii="Times New Roman" w:hAnsi="Times New Roman" w:cs="Times New Roman"/>
          <w:lang w:val="en-US"/>
        </w:rPr>
        <w:t>, 1987:</w:t>
      </w:r>
      <w:r w:rsidRPr="002D2985">
        <w:rPr>
          <w:rFonts w:ascii="Times New Roman" w:hAnsi="Times New Roman" w:cs="Times New Roman"/>
          <w:lang w:val="en-US"/>
        </w:rPr>
        <w:t xml:space="preserve"> ch. 7; Sluga</w:t>
      </w:r>
      <w:r w:rsidR="00875E0E">
        <w:rPr>
          <w:rFonts w:ascii="Times New Roman" w:hAnsi="Times New Roman" w:cs="Times New Roman"/>
          <w:lang w:val="en-US"/>
        </w:rPr>
        <w:t>, 2011:</w:t>
      </w:r>
      <w:r w:rsidRPr="002D2985">
        <w:rPr>
          <w:rFonts w:ascii="Times New Roman" w:hAnsi="Times New Roman" w:cs="Times New Roman"/>
          <w:lang w:val="en-US"/>
        </w:rPr>
        <w:t xml:space="preserve"> ch. 2</w:t>
      </w:r>
      <w:r>
        <w:rPr>
          <w:rFonts w:ascii="Times New Roman" w:hAnsi="Times New Roman" w:cs="Times New Roman"/>
          <w:lang w:val="en-US"/>
        </w:rPr>
        <w:t>. For an argument for a closer connection between Wittgenstein and Kant, see Glock 1999.</w:t>
      </w:r>
    </w:p>
  </w:endnote>
  <w:endnote w:id="5">
    <w:p w14:paraId="7BA8AA42" w14:textId="77777777" w:rsidR="00A27D6B" w:rsidRPr="00AC23BC" w:rsidRDefault="00A27D6B">
      <w:pPr>
        <w:pStyle w:val="Loppuviitteenteksti"/>
        <w:rPr>
          <w:rFonts w:ascii="Times New Roman" w:hAnsi="Times New Roman" w:cs="Times New Roman"/>
          <w:lang w:val="en-US"/>
        </w:rPr>
      </w:pPr>
      <w:r w:rsidRPr="00AC23BC">
        <w:rPr>
          <w:rStyle w:val="Loppuviitteenviite"/>
          <w:rFonts w:ascii="Times New Roman" w:hAnsi="Times New Roman" w:cs="Times New Roman"/>
        </w:rPr>
        <w:endnoteRef/>
      </w:r>
      <w:r w:rsidRPr="00AC23BC">
        <w:rPr>
          <w:rFonts w:ascii="Times New Roman" w:hAnsi="Times New Roman" w:cs="Times New Roman"/>
          <w:lang w:val="en-US"/>
        </w:rPr>
        <w:t xml:space="preserve"> Quite strikingly, these are the terms that Wittgenstein uses </w:t>
      </w:r>
      <w:r>
        <w:rPr>
          <w:rFonts w:ascii="Times New Roman" w:hAnsi="Times New Roman" w:cs="Times New Roman"/>
          <w:lang w:val="en-US"/>
        </w:rPr>
        <w:t>in relation to philosophy</w:t>
      </w:r>
      <w:r w:rsidRPr="00AC23BC">
        <w:rPr>
          <w:rFonts w:ascii="Times New Roman" w:hAnsi="Times New Roman" w:cs="Times New Roman"/>
          <w:lang w:val="en-US"/>
        </w:rPr>
        <w:t xml:space="preserve">, calling the sentences of the </w:t>
      </w:r>
      <w:r w:rsidRPr="00AC23BC">
        <w:rPr>
          <w:rFonts w:ascii="Times New Roman" w:hAnsi="Times New Roman" w:cs="Times New Roman"/>
          <w:i/>
          <w:lang w:val="en-US"/>
        </w:rPr>
        <w:t xml:space="preserve">Tractatus </w:t>
      </w:r>
      <w:r w:rsidRPr="00AC23BC">
        <w:rPr>
          <w:rFonts w:ascii="Times New Roman" w:hAnsi="Times New Roman" w:cs="Times New Roman"/>
          <w:lang w:val="en-US"/>
        </w:rPr>
        <w:t>elucidations (TLP 6.54) and rejecting explanation in favor of mere d</w:t>
      </w:r>
      <w:r>
        <w:rPr>
          <w:rFonts w:ascii="Times New Roman" w:hAnsi="Times New Roman" w:cs="Times New Roman"/>
          <w:lang w:val="en-US"/>
        </w:rPr>
        <w:t>e</w:t>
      </w:r>
      <w:r w:rsidRPr="00AC23BC">
        <w:rPr>
          <w:rFonts w:ascii="Times New Roman" w:hAnsi="Times New Roman" w:cs="Times New Roman"/>
          <w:lang w:val="en-US"/>
        </w:rPr>
        <w:t xml:space="preserve">scription in the </w:t>
      </w:r>
      <w:r w:rsidRPr="00AC23BC">
        <w:rPr>
          <w:rFonts w:ascii="Times New Roman" w:hAnsi="Times New Roman" w:cs="Times New Roman"/>
          <w:i/>
          <w:lang w:val="en-US"/>
        </w:rPr>
        <w:t xml:space="preserve">Philosophical </w:t>
      </w:r>
      <w:r w:rsidR="009678EC">
        <w:rPr>
          <w:rFonts w:ascii="Times New Roman" w:hAnsi="Times New Roman" w:cs="Times New Roman"/>
          <w:i/>
          <w:lang w:val="en-US"/>
        </w:rPr>
        <w:t>i</w:t>
      </w:r>
      <w:r w:rsidRPr="00AC23BC">
        <w:rPr>
          <w:rFonts w:ascii="Times New Roman" w:hAnsi="Times New Roman" w:cs="Times New Roman"/>
          <w:i/>
          <w:lang w:val="en-US"/>
        </w:rPr>
        <w:t xml:space="preserve">nvestigations </w:t>
      </w:r>
      <w:r w:rsidRPr="00AC23BC">
        <w:rPr>
          <w:rFonts w:ascii="Times New Roman" w:hAnsi="Times New Roman" w:cs="Times New Roman"/>
          <w:lang w:val="en-US"/>
        </w:rPr>
        <w:t>(PI §</w:t>
      </w:r>
      <w:r>
        <w:rPr>
          <w:rFonts w:ascii="Times New Roman" w:hAnsi="Times New Roman" w:cs="Times New Roman"/>
          <w:lang w:val="en-US"/>
        </w:rPr>
        <w:t>§</w:t>
      </w:r>
      <w:r w:rsidRPr="00AC23BC">
        <w:rPr>
          <w:rFonts w:ascii="Times New Roman" w:hAnsi="Times New Roman" w:cs="Times New Roman"/>
          <w:lang w:val="en-US"/>
        </w:rPr>
        <w:t xml:space="preserve"> 109</w:t>
      </w:r>
      <w:r>
        <w:rPr>
          <w:rFonts w:ascii="Times New Roman" w:hAnsi="Times New Roman" w:cs="Times New Roman"/>
          <w:lang w:val="en-US"/>
        </w:rPr>
        <w:t>, 124, 126</w:t>
      </w:r>
      <w:r w:rsidRPr="00AC23BC">
        <w:rPr>
          <w:rFonts w:ascii="Times New Roman" w:hAnsi="Times New Roman" w:cs="Times New Roman"/>
          <w:lang w:val="en-US"/>
        </w:rPr>
        <w:t>).</w:t>
      </w:r>
    </w:p>
  </w:endnote>
  <w:endnote w:id="6">
    <w:p w14:paraId="10989FAA" w14:textId="77777777" w:rsidR="00A27D6B" w:rsidRPr="00EC3EC5" w:rsidRDefault="00A27D6B" w:rsidP="00835BF8">
      <w:pPr>
        <w:pStyle w:val="Loppuviitteenteksti"/>
        <w:rPr>
          <w:rFonts w:ascii="Times New Roman" w:hAnsi="Times New Roman" w:cs="Times New Roman"/>
          <w:lang w:val="en-US"/>
        </w:rPr>
      </w:pPr>
      <w:r w:rsidRPr="00EC3EC5">
        <w:rPr>
          <w:rStyle w:val="Loppuviitteenviite"/>
          <w:rFonts w:ascii="Times New Roman" w:hAnsi="Times New Roman" w:cs="Times New Roman"/>
        </w:rPr>
        <w:endnoteRef/>
      </w:r>
      <w:r>
        <w:rPr>
          <w:rFonts w:ascii="Times New Roman" w:hAnsi="Times New Roman" w:cs="Times New Roman"/>
          <w:lang w:val="en-US"/>
        </w:rPr>
        <w:t xml:space="preserve"> S</w:t>
      </w:r>
      <w:r w:rsidRPr="00EC3EC5">
        <w:rPr>
          <w:rFonts w:ascii="Times New Roman" w:hAnsi="Times New Roman" w:cs="Times New Roman"/>
          <w:lang w:val="en-US"/>
        </w:rPr>
        <w:t>ee Allison</w:t>
      </w:r>
      <w:r w:rsidR="00875E0E">
        <w:rPr>
          <w:rFonts w:ascii="Times New Roman" w:hAnsi="Times New Roman" w:cs="Times New Roman"/>
          <w:lang w:val="en-US"/>
        </w:rPr>
        <w:t>,</w:t>
      </w:r>
      <w:r w:rsidRPr="00EC3EC5">
        <w:rPr>
          <w:rFonts w:ascii="Times New Roman" w:hAnsi="Times New Roman" w:cs="Times New Roman"/>
          <w:lang w:val="en-US"/>
        </w:rPr>
        <w:t xml:space="preserve"> 2001</w:t>
      </w:r>
      <w:r w:rsidR="00875E0E">
        <w:rPr>
          <w:rFonts w:ascii="Times New Roman" w:hAnsi="Times New Roman" w:cs="Times New Roman"/>
          <w:lang w:val="en-US"/>
        </w:rPr>
        <w:t xml:space="preserve">: </w:t>
      </w:r>
      <w:r>
        <w:rPr>
          <w:rFonts w:ascii="Times New Roman" w:hAnsi="Times New Roman" w:cs="Times New Roman"/>
          <w:lang w:val="en-US"/>
        </w:rPr>
        <w:t xml:space="preserve">144–159. </w:t>
      </w:r>
    </w:p>
  </w:endnote>
  <w:endnote w:id="7">
    <w:p w14:paraId="4A31EFA2" w14:textId="77777777" w:rsidR="00A27D6B" w:rsidRPr="00CA67A7" w:rsidRDefault="00A27D6B" w:rsidP="001A3188">
      <w:pPr>
        <w:pStyle w:val="Loppuviitteenteksti"/>
        <w:rPr>
          <w:rFonts w:ascii="Times New Roman" w:hAnsi="Times New Roman" w:cs="Times New Roman"/>
          <w:lang w:val="en-US"/>
        </w:rPr>
      </w:pPr>
      <w:r w:rsidRPr="00CA67A7">
        <w:rPr>
          <w:rStyle w:val="Loppuviitteenviite"/>
          <w:rFonts w:ascii="Times New Roman" w:hAnsi="Times New Roman" w:cs="Times New Roman"/>
        </w:rPr>
        <w:endnoteRef/>
      </w:r>
      <w:r w:rsidRPr="00CA67A7">
        <w:rPr>
          <w:rFonts w:ascii="Times New Roman" w:hAnsi="Times New Roman" w:cs="Times New Roman"/>
          <w:lang w:val="en-US"/>
        </w:rPr>
        <w:t xml:space="preserve"> </w:t>
      </w:r>
      <w:r>
        <w:rPr>
          <w:rFonts w:ascii="Times New Roman" w:hAnsi="Times New Roman" w:cs="Times New Roman"/>
          <w:lang w:val="en-US"/>
        </w:rPr>
        <w:t xml:space="preserve">The most explicit instance of the Kantian notion of purposiveness without purpose appears in Wittgenstein’s </w:t>
      </w:r>
      <w:r>
        <w:rPr>
          <w:rFonts w:ascii="Times New Roman" w:hAnsi="Times New Roman" w:cs="Times New Roman"/>
          <w:i/>
          <w:lang w:val="en-US"/>
        </w:rPr>
        <w:t xml:space="preserve">Notebooks </w:t>
      </w:r>
      <w:r>
        <w:rPr>
          <w:rFonts w:ascii="Times New Roman" w:hAnsi="Times New Roman" w:cs="Times New Roman"/>
          <w:lang w:val="en-US"/>
        </w:rPr>
        <w:t>from 1916: ‘And in this sense Dostoievsky is right when he says that the man who is happy is fulfilling the purpose [</w:t>
      </w:r>
      <w:r w:rsidRPr="009B44D5">
        <w:rPr>
          <w:rFonts w:ascii="Times New Roman" w:hAnsi="Times New Roman" w:cs="Times New Roman"/>
          <w:i/>
          <w:lang w:val="en-US"/>
        </w:rPr>
        <w:t>Zweck</w:t>
      </w:r>
      <w:r>
        <w:rPr>
          <w:rFonts w:ascii="Times New Roman" w:hAnsi="Times New Roman" w:cs="Times New Roman"/>
          <w:lang w:val="en-US"/>
        </w:rPr>
        <w:t>] of existence. Or again we could say that the man is fulfilling the purpose of existence who no longer needs to have any purpose except to live. That</w:t>
      </w:r>
      <w:r w:rsidR="00875E0E">
        <w:rPr>
          <w:rFonts w:ascii="Times New Roman" w:hAnsi="Times New Roman" w:cs="Times New Roman"/>
          <w:lang w:val="en-US"/>
        </w:rPr>
        <w:t xml:space="preserve"> is to say, who is content’ (NB:</w:t>
      </w:r>
      <w:r>
        <w:rPr>
          <w:rFonts w:ascii="Times New Roman" w:hAnsi="Times New Roman" w:cs="Times New Roman"/>
          <w:lang w:val="en-US"/>
        </w:rPr>
        <w:t xml:space="preserve"> 73). Another term used by Wittgenstein for the experience of the world as a limited whole is the </w:t>
      </w:r>
      <w:r w:rsidR="009678EC">
        <w:rPr>
          <w:rFonts w:ascii="Times New Roman" w:hAnsi="Times New Roman" w:cs="Times New Roman"/>
          <w:lang w:val="en-US"/>
        </w:rPr>
        <w:t>‘</w:t>
      </w:r>
      <w:r>
        <w:rPr>
          <w:rFonts w:ascii="Times New Roman" w:hAnsi="Times New Roman" w:cs="Times New Roman"/>
          <w:lang w:val="en-US"/>
        </w:rPr>
        <w:t>sense [</w:t>
      </w:r>
      <w:r w:rsidRPr="009B44D5">
        <w:rPr>
          <w:rFonts w:ascii="Times New Roman" w:hAnsi="Times New Roman" w:cs="Times New Roman"/>
          <w:i/>
          <w:lang w:val="en-US"/>
        </w:rPr>
        <w:t>Sinn</w:t>
      </w:r>
      <w:r>
        <w:rPr>
          <w:rFonts w:ascii="Times New Roman" w:hAnsi="Times New Roman" w:cs="Times New Roman"/>
          <w:lang w:val="en-US"/>
        </w:rPr>
        <w:t>] of the world/life</w:t>
      </w:r>
      <w:r w:rsidR="009678EC">
        <w:rPr>
          <w:rFonts w:ascii="Times New Roman" w:hAnsi="Times New Roman" w:cs="Times New Roman"/>
          <w:lang w:val="en-US"/>
        </w:rPr>
        <w:t>’</w:t>
      </w:r>
      <w:r>
        <w:rPr>
          <w:rFonts w:ascii="Times New Roman" w:hAnsi="Times New Roman" w:cs="Times New Roman"/>
          <w:lang w:val="en-US"/>
        </w:rPr>
        <w:t xml:space="preserve">, which according to him </w:t>
      </w:r>
      <w:r w:rsidR="009678EC">
        <w:rPr>
          <w:rFonts w:ascii="Times New Roman" w:hAnsi="Times New Roman" w:cs="Times New Roman"/>
          <w:lang w:val="en-US"/>
        </w:rPr>
        <w:t>‘</w:t>
      </w:r>
      <w:r>
        <w:rPr>
          <w:rFonts w:ascii="Times New Roman" w:hAnsi="Times New Roman" w:cs="Times New Roman"/>
          <w:lang w:val="en-US"/>
        </w:rPr>
        <w:t>we can call God</w:t>
      </w:r>
      <w:r w:rsidR="009678EC">
        <w:rPr>
          <w:rFonts w:ascii="Times New Roman" w:hAnsi="Times New Roman" w:cs="Times New Roman"/>
          <w:lang w:val="en-US"/>
        </w:rPr>
        <w:t>’</w:t>
      </w:r>
      <w:r w:rsidR="00875E0E">
        <w:rPr>
          <w:rFonts w:ascii="Times New Roman" w:hAnsi="Times New Roman" w:cs="Times New Roman"/>
          <w:lang w:val="en-US"/>
        </w:rPr>
        <w:t xml:space="preserve"> (NB: 73;</w:t>
      </w:r>
      <w:r>
        <w:rPr>
          <w:rFonts w:ascii="Times New Roman" w:hAnsi="Times New Roman" w:cs="Times New Roman"/>
          <w:lang w:val="en-US"/>
        </w:rPr>
        <w:t xml:space="preserve"> TLP 6.41). He also talks about the experience of the world or an object as </w:t>
      </w:r>
      <w:r w:rsidR="009678EC">
        <w:rPr>
          <w:rFonts w:ascii="Times New Roman" w:hAnsi="Times New Roman" w:cs="Times New Roman"/>
          <w:lang w:val="en-US"/>
        </w:rPr>
        <w:t>‘</w:t>
      </w:r>
      <w:r>
        <w:rPr>
          <w:rFonts w:ascii="Times New Roman" w:hAnsi="Times New Roman" w:cs="Times New Roman"/>
          <w:lang w:val="en-US"/>
        </w:rPr>
        <w:t>significant [bedeutend]</w:t>
      </w:r>
      <w:r w:rsidR="009678EC">
        <w:rPr>
          <w:rFonts w:ascii="Times New Roman" w:hAnsi="Times New Roman" w:cs="Times New Roman"/>
          <w:lang w:val="en-US"/>
        </w:rPr>
        <w:t>’</w:t>
      </w:r>
      <w:r w:rsidR="00875E0E">
        <w:rPr>
          <w:rFonts w:ascii="Times New Roman" w:hAnsi="Times New Roman" w:cs="Times New Roman"/>
          <w:lang w:val="en-US"/>
        </w:rPr>
        <w:t xml:space="preserve"> (NB:</w:t>
      </w:r>
      <w:r>
        <w:rPr>
          <w:rFonts w:ascii="Times New Roman" w:hAnsi="Times New Roman" w:cs="Times New Roman"/>
          <w:lang w:val="en-US"/>
        </w:rPr>
        <w:t xml:space="preserve"> 83). Yet, from the viewpoint of his early account of language, the world or an object cannot, strictly speaking, have any sense (Sinn) or significance or meaning (Bedeutung).</w:t>
      </w:r>
    </w:p>
  </w:endnote>
  <w:endnote w:id="8">
    <w:p w14:paraId="78C30080" w14:textId="77777777" w:rsidR="00A27D6B" w:rsidRPr="00667638" w:rsidRDefault="00A27D6B">
      <w:pPr>
        <w:pStyle w:val="Loppuviitteenteksti"/>
        <w:rPr>
          <w:rFonts w:ascii="Times New Roman" w:hAnsi="Times New Roman" w:cs="Times New Roman"/>
          <w:lang w:val="en-US"/>
        </w:rPr>
      </w:pPr>
      <w:r w:rsidRPr="00667638">
        <w:rPr>
          <w:rStyle w:val="Loppuviitteenviite"/>
          <w:rFonts w:ascii="Times New Roman" w:hAnsi="Times New Roman" w:cs="Times New Roman"/>
        </w:rPr>
        <w:endnoteRef/>
      </w:r>
      <w:r w:rsidRPr="00667638">
        <w:rPr>
          <w:rFonts w:ascii="Times New Roman" w:hAnsi="Times New Roman" w:cs="Times New Roman"/>
          <w:lang w:val="en-US"/>
        </w:rPr>
        <w:t xml:space="preserve"> The connection to Kant’s account of space and time as constitutive of cognition is even more explicit in the </w:t>
      </w:r>
      <w:r w:rsidRPr="00667638">
        <w:rPr>
          <w:rFonts w:ascii="Times New Roman" w:hAnsi="Times New Roman" w:cs="Times New Roman"/>
          <w:i/>
          <w:lang w:val="en-US"/>
        </w:rPr>
        <w:t xml:space="preserve">Notes </w:t>
      </w:r>
      <w:r w:rsidR="009678EC">
        <w:rPr>
          <w:rFonts w:ascii="Times New Roman" w:hAnsi="Times New Roman" w:cs="Times New Roman"/>
          <w:i/>
          <w:lang w:val="en-US"/>
        </w:rPr>
        <w:t>d</w:t>
      </w:r>
      <w:r w:rsidRPr="00667638">
        <w:rPr>
          <w:rFonts w:ascii="Times New Roman" w:hAnsi="Times New Roman" w:cs="Times New Roman"/>
          <w:i/>
          <w:lang w:val="en-US"/>
        </w:rPr>
        <w:t xml:space="preserve">ictated to Moore in Norway </w:t>
      </w:r>
      <w:r w:rsidRPr="00667638">
        <w:rPr>
          <w:rFonts w:ascii="Times New Roman" w:hAnsi="Times New Roman" w:cs="Times New Roman"/>
          <w:lang w:val="en-US"/>
        </w:rPr>
        <w:t xml:space="preserve">from 1914. There, discussing internal relations that are necessary, logical relations between propositions and facts, Wittgenstein claims: </w:t>
      </w:r>
      <w:r w:rsidR="009678EC">
        <w:rPr>
          <w:rFonts w:ascii="Times New Roman" w:hAnsi="Times New Roman" w:cs="Times New Roman"/>
          <w:lang w:val="en-US"/>
        </w:rPr>
        <w:t>‘</w:t>
      </w:r>
      <w:r w:rsidRPr="00667638">
        <w:rPr>
          <w:rFonts w:ascii="Times New Roman" w:hAnsi="Times New Roman" w:cs="Times New Roman"/>
          <w:lang w:val="en-US"/>
        </w:rPr>
        <w:t xml:space="preserve">From the fact that I </w:t>
      </w:r>
      <w:r w:rsidRPr="00667638">
        <w:rPr>
          <w:rFonts w:ascii="Times New Roman" w:hAnsi="Times New Roman" w:cs="Times New Roman"/>
          <w:i/>
          <w:lang w:val="en-US"/>
        </w:rPr>
        <w:t xml:space="preserve">see </w:t>
      </w:r>
      <w:r w:rsidRPr="00667638">
        <w:rPr>
          <w:rFonts w:ascii="Times New Roman" w:hAnsi="Times New Roman" w:cs="Times New Roman"/>
          <w:lang w:val="en-US"/>
        </w:rPr>
        <w:t xml:space="preserve">that one point is to the left of another, or that one colour is darker than another, it seems to follow that it </w:t>
      </w:r>
      <w:r w:rsidRPr="00667638">
        <w:rPr>
          <w:rFonts w:ascii="Times New Roman" w:hAnsi="Times New Roman" w:cs="Times New Roman"/>
          <w:i/>
          <w:lang w:val="en-US"/>
        </w:rPr>
        <w:t xml:space="preserve">is </w:t>
      </w:r>
      <w:r w:rsidRPr="00667638">
        <w:rPr>
          <w:rFonts w:ascii="Times New Roman" w:hAnsi="Times New Roman" w:cs="Times New Roman"/>
          <w:lang w:val="en-US"/>
        </w:rPr>
        <w:t xml:space="preserve">so; and if so, this can only be if there is an </w:t>
      </w:r>
      <w:r w:rsidRPr="00667638">
        <w:rPr>
          <w:rFonts w:ascii="Times New Roman" w:hAnsi="Times New Roman" w:cs="Times New Roman"/>
          <w:i/>
          <w:lang w:val="en-US"/>
        </w:rPr>
        <w:t xml:space="preserve">internal </w:t>
      </w:r>
      <w:r w:rsidRPr="00667638">
        <w:rPr>
          <w:rFonts w:ascii="Times New Roman" w:hAnsi="Times New Roman" w:cs="Times New Roman"/>
          <w:lang w:val="en-US"/>
        </w:rPr>
        <w:t xml:space="preserve">relation between the two; and we might express this by saying that the </w:t>
      </w:r>
      <w:r w:rsidRPr="00667638">
        <w:rPr>
          <w:rFonts w:ascii="Times New Roman" w:hAnsi="Times New Roman" w:cs="Times New Roman"/>
          <w:i/>
          <w:lang w:val="en-US"/>
        </w:rPr>
        <w:t xml:space="preserve">form </w:t>
      </w:r>
      <w:r w:rsidRPr="00667638">
        <w:rPr>
          <w:rFonts w:ascii="Times New Roman" w:hAnsi="Times New Roman" w:cs="Times New Roman"/>
          <w:lang w:val="en-US"/>
        </w:rPr>
        <w:t xml:space="preserve">of the latter is part of the </w:t>
      </w:r>
      <w:r w:rsidRPr="00667638">
        <w:rPr>
          <w:rFonts w:ascii="Times New Roman" w:hAnsi="Times New Roman" w:cs="Times New Roman"/>
          <w:i/>
          <w:lang w:val="en-US"/>
        </w:rPr>
        <w:t xml:space="preserve">form </w:t>
      </w:r>
      <w:r w:rsidRPr="00667638">
        <w:rPr>
          <w:rFonts w:ascii="Times New Roman" w:hAnsi="Times New Roman" w:cs="Times New Roman"/>
          <w:lang w:val="en-US"/>
        </w:rPr>
        <w:t>of the former. We might thus give sense to the assertion that logical laws are forms of thought and space and time are forms of intuition</w:t>
      </w:r>
      <w:r w:rsidR="009678EC">
        <w:rPr>
          <w:rFonts w:ascii="Times New Roman" w:hAnsi="Times New Roman" w:cs="Times New Roman"/>
          <w:lang w:val="en-US"/>
        </w:rPr>
        <w:t>’</w:t>
      </w:r>
      <w:r w:rsidR="00875E0E">
        <w:rPr>
          <w:rFonts w:ascii="Times New Roman" w:hAnsi="Times New Roman" w:cs="Times New Roman"/>
          <w:lang w:val="en-US"/>
        </w:rPr>
        <w:t xml:space="preserve"> (NB:</w:t>
      </w:r>
      <w:r w:rsidRPr="00667638">
        <w:rPr>
          <w:rFonts w:ascii="Times New Roman" w:hAnsi="Times New Roman" w:cs="Times New Roman"/>
          <w:lang w:val="en-US"/>
        </w:rPr>
        <w:t xml:space="preserve"> 118). This final assertion is, of course, a clear paraphrase of Kant’s position as it is outlined in the Transcendental Aesthetic and Transcendental Logic of </w:t>
      </w:r>
      <w:r w:rsidR="009678EC">
        <w:rPr>
          <w:rFonts w:ascii="Times New Roman" w:hAnsi="Times New Roman" w:cs="Times New Roman"/>
          <w:i/>
          <w:lang w:val="en-US"/>
        </w:rPr>
        <w:t>T</w:t>
      </w:r>
      <w:r w:rsidRPr="00667638">
        <w:rPr>
          <w:rFonts w:ascii="Times New Roman" w:hAnsi="Times New Roman" w:cs="Times New Roman"/>
          <w:i/>
          <w:lang w:val="en-US"/>
        </w:rPr>
        <w:t>he</w:t>
      </w:r>
      <w:r w:rsidRPr="00667638">
        <w:rPr>
          <w:rFonts w:ascii="Times New Roman" w:hAnsi="Times New Roman" w:cs="Times New Roman"/>
          <w:lang w:val="en-US"/>
        </w:rPr>
        <w:t xml:space="preserve"> </w:t>
      </w:r>
      <w:r w:rsidR="009678EC">
        <w:rPr>
          <w:rFonts w:ascii="Times New Roman" w:hAnsi="Times New Roman" w:cs="Times New Roman"/>
          <w:i/>
          <w:lang w:val="en-US"/>
        </w:rPr>
        <w:t>C</w:t>
      </w:r>
      <w:r w:rsidRPr="00667638">
        <w:rPr>
          <w:rFonts w:ascii="Times New Roman" w:hAnsi="Times New Roman" w:cs="Times New Roman"/>
          <w:i/>
          <w:lang w:val="en-US"/>
        </w:rPr>
        <w:t xml:space="preserve">ritique of </w:t>
      </w:r>
      <w:r w:rsidR="009678EC">
        <w:rPr>
          <w:rFonts w:ascii="Times New Roman" w:hAnsi="Times New Roman" w:cs="Times New Roman"/>
          <w:i/>
          <w:lang w:val="en-US"/>
        </w:rPr>
        <w:t>p</w:t>
      </w:r>
      <w:r w:rsidRPr="00667638">
        <w:rPr>
          <w:rFonts w:ascii="Times New Roman" w:hAnsi="Times New Roman" w:cs="Times New Roman"/>
          <w:i/>
          <w:lang w:val="en-US"/>
        </w:rPr>
        <w:t xml:space="preserve">ure </w:t>
      </w:r>
      <w:r w:rsidR="009678EC">
        <w:rPr>
          <w:rFonts w:ascii="Times New Roman" w:hAnsi="Times New Roman" w:cs="Times New Roman"/>
          <w:i/>
          <w:lang w:val="en-US"/>
        </w:rPr>
        <w:t>r</w:t>
      </w:r>
      <w:r w:rsidRPr="00667638">
        <w:rPr>
          <w:rFonts w:ascii="Times New Roman" w:hAnsi="Times New Roman" w:cs="Times New Roman"/>
          <w:i/>
          <w:lang w:val="en-US"/>
        </w:rPr>
        <w:t xml:space="preserve">eason </w:t>
      </w:r>
      <w:r w:rsidRPr="00667638">
        <w:rPr>
          <w:rFonts w:ascii="Times New Roman" w:hAnsi="Times New Roman" w:cs="Times New Roman"/>
          <w:lang w:val="en-US"/>
        </w:rPr>
        <w:t>(CPR A 19–A 130).</w:t>
      </w:r>
    </w:p>
  </w:endnote>
  <w:endnote w:id="9">
    <w:p w14:paraId="6BF728DB" w14:textId="77777777" w:rsidR="00A27D6B" w:rsidRPr="009736CE" w:rsidRDefault="00A27D6B" w:rsidP="009D521A">
      <w:pPr>
        <w:pStyle w:val="Loppuviitteenteksti"/>
        <w:rPr>
          <w:rFonts w:ascii="Times New Roman" w:hAnsi="Times New Roman" w:cs="Times New Roman"/>
          <w:lang w:val="en-US"/>
        </w:rPr>
      </w:pPr>
      <w:r w:rsidRPr="009736CE">
        <w:rPr>
          <w:rStyle w:val="Loppuviitteenviite"/>
          <w:rFonts w:ascii="Times New Roman" w:hAnsi="Times New Roman" w:cs="Times New Roman"/>
        </w:rPr>
        <w:endnoteRef/>
      </w:r>
      <w:r w:rsidRPr="009736CE">
        <w:rPr>
          <w:rFonts w:ascii="Times New Roman" w:hAnsi="Times New Roman" w:cs="Times New Roman"/>
          <w:lang w:val="en-US"/>
        </w:rPr>
        <w:t xml:space="preserve"> Here, the term </w:t>
      </w:r>
      <w:r w:rsidR="009678EC">
        <w:rPr>
          <w:rFonts w:ascii="Times New Roman" w:hAnsi="Times New Roman" w:cs="Times New Roman"/>
          <w:lang w:val="en-US"/>
        </w:rPr>
        <w:t>‘</w:t>
      </w:r>
      <w:r w:rsidRPr="009736CE">
        <w:rPr>
          <w:rFonts w:ascii="Times New Roman" w:hAnsi="Times New Roman" w:cs="Times New Roman"/>
          <w:lang w:val="en-US"/>
        </w:rPr>
        <w:t>object</w:t>
      </w:r>
      <w:r w:rsidR="009678EC">
        <w:rPr>
          <w:rFonts w:ascii="Times New Roman" w:hAnsi="Times New Roman" w:cs="Times New Roman"/>
          <w:lang w:val="en-US"/>
        </w:rPr>
        <w:t>’</w:t>
      </w:r>
      <w:r w:rsidRPr="009736CE">
        <w:rPr>
          <w:rFonts w:ascii="Times New Roman" w:hAnsi="Times New Roman" w:cs="Times New Roman"/>
          <w:lang w:val="en-US"/>
        </w:rPr>
        <w:t xml:space="preserve"> is not used in the technical sense of the </w:t>
      </w:r>
      <w:r w:rsidRPr="009736CE">
        <w:rPr>
          <w:rFonts w:ascii="Times New Roman" w:hAnsi="Times New Roman" w:cs="Times New Roman"/>
          <w:i/>
          <w:lang w:val="en-US"/>
        </w:rPr>
        <w:t>Tractatus</w:t>
      </w:r>
      <w:r w:rsidRPr="009736CE">
        <w:rPr>
          <w:rFonts w:ascii="Times New Roman" w:hAnsi="Times New Roman" w:cs="Times New Roman"/>
          <w:lang w:val="en-US"/>
        </w:rPr>
        <w:t>,</w:t>
      </w:r>
      <w:r w:rsidR="00875E0E">
        <w:rPr>
          <w:rFonts w:ascii="Times New Roman" w:hAnsi="Times New Roman" w:cs="Times New Roman"/>
          <w:lang w:val="en-US"/>
        </w:rPr>
        <w:t xml:space="preserve"> but refers to ordinary objects</w:t>
      </w:r>
      <w:r w:rsidRPr="009736CE">
        <w:rPr>
          <w:rFonts w:ascii="Times New Roman" w:hAnsi="Times New Roman" w:cs="Times New Roman"/>
          <w:lang w:val="en-US"/>
        </w:rPr>
        <w:t xml:space="preserve"> like the stove.</w:t>
      </w:r>
    </w:p>
  </w:endnote>
  <w:endnote w:id="10">
    <w:p w14:paraId="03E74B3B" w14:textId="77777777" w:rsidR="00A27D6B" w:rsidRPr="00C67637" w:rsidRDefault="00A27D6B">
      <w:pPr>
        <w:pStyle w:val="Loppuviitteenteksti"/>
        <w:rPr>
          <w:rFonts w:ascii="Times New Roman" w:hAnsi="Times New Roman" w:cs="Times New Roman"/>
          <w:lang w:val="sv-SE"/>
        </w:rPr>
      </w:pPr>
      <w:r w:rsidRPr="0014072D">
        <w:rPr>
          <w:rStyle w:val="Loppuviitteenviite"/>
          <w:rFonts w:ascii="Times New Roman" w:hAnsi="Times New Roman" w:cs="Times New Roman"/>
        </w:rPr>
        <w:endnoteRef/>
      </w:r>
      <w:r w:rsidRPr="00655EC8">
        <w:rPr>
          <w:rFonts w:ascii="Times New Roman" w:hAnsi="Times New Roman" w:cs="Times New Roman"/>
          <w:lang w:val="sv-SE"/>
        </w:rPr>
        <w:t xml:space="preserve"> Translation slightly altered. The original reads: </w:t>
      </w:r>
      <w:r w:rsidR="009678EC" w:rsidRPr="00D430E7">
        <w:rPr>
          <w:rFonts w:ascii="Times New Roman" w:hAnsi="Times New Roman" w:cs="Times New Roman"/>
          <w:lang w:val="sv-SE"/>
        </w:rPr>
        <w:t>‘</w:t>
      </w:r>
      <w:r w:rsidRPr="00655EC8">
        <w:rPr>
          <w:rFonts w:ascii="Times New Roman" w:hAnsi="Times New Roman" w:cs="Times New Roman"/>
          <w:lang w:val="sv-SE"/>
        </w:rPr>
        <w:t xml:space="preserve">An einen Gott glauben heisst, die Frage nach dem Sinn des Lebens verstehen. An einen Gott glauben heist sehen, dass es mit den Tatsachen der Welt noch nicht abgetan ist. </w:t>
      </w:r>
      <w:r>
        <w:rPr>
          <w:rFonts w:ascii="Times New Roman" w:hAnsi="Times New Roman" w:cs="Times New Roman"/>
          <w:lang w:val="sv-SE"/>
        </w:rPr>
        <w:t>An Gott glauben heist sehen, dass das</w:t>
      </w:r>
      <w:r w:rsidRPr="00C67637">
        <w:rPr>
          <w:rFonts w:ascii="Times New Roman" w:hAnsi="Times New Roman" w:cs="Times New Roman"/>
          <w:lang w:val="sv-SE"/>
        </w:rPr>
        <w:t xml:space="preserve"> Leben einen Sinn hat</w:t>
      </w:r>
      <w:r w:rsidR="009678EC">
        <w:rPr>
          <w:rFonts w:ascii="Times New Roman" w:hAnsi="Times New Roman" w:cs="Times New Roman"/>
          <w:lang w:val="sv-SE"/>
        </w:rPr>
        <w:t>’</w:t>
      </w:r>
      <w:r w:rsidR="00875E0E">
        <w:rPr>
          <w:rFonts w:ascii="Times New Roman" w:hAnsi="Times New Roman" w:cs="Times New Roman"/>
          <w:lang w:val="sv-SE"/>
        </w:rPr>
        <w:t xml:space="preserve"> (NB:</w:t>
      </w:r>
      <w:r w:rsidRPr="00C67637">
        <w:rPr>
          <w:rFonts w:ascii="Times New Roman" w:hAnsi="Times New Roman" w:cs="Times New Roman"/>
          <w:lang w:val="sv-SE"/>
        </w:rPr>
        <w:t xml:space="preserve"> 74).</w:t>
      </w:r>
    </w:p>
  </w:endnote>
  <w:endnote w:id="11">
    <w:p w14:paraId="5B3DB8AD" w14:textId="77777777" w:rsidR="00A27D6B" w:rsidRPr="0029178F" w:rsidRDefault="00A27D6B">
      <w:pPr>
        <w:pStyle w:val="Loppuviitteenteksti"/>
        <w:rPr>
          <w:rFonts w:ascii="Times New Roman" w:hAnsi="Times New Roman" w:cs="Times New Roman"/>
          <w:lang w:val="en-US"/>
        </w:rPr>
      </w:pPr>
      <w:r w:rsidRPr="0029178F">
        <w:rPr>
          <w:rStyle w:val="Loppuviitteenviite"/>
          <w:rFonts w:ascii="Times New Roman" w:hAnsi="Times New Roman" w:cs="Times New Roman"/>
        </w:rPr>
        <w:endnoteRef/>
      </w:r>
      <w:r w:rsidRPr="0029178F">
        <w:rPr>
          <w:rFonts w:ascii="Times New Roman" w:hAnsi="Times New Roman" w:cs="Times New Roman"/>
          <w:lang w:val="en-US"/>
        </w:rPr>
        <w:t xml:space="preserve"> </w:t>
      </w:r>
      <w:r>
        <w:rPr>
          <w:rFonts w:ascii="Times New Roman" w:hAnsi="Times New Roman" w:cs="Times New Roman"/>
          <w:lang w:val="en-US"/>
        </w:rPr>
        <w:t>I am not suggesting that Wittgenstein’s view would be correctly characterized as non-cognitivist or fideist (see, for example Nielsen</w:t>
      </w:r>
      <w:r w:rsidR="00875E0E">
        <w:rPr>
          <w:rFonts w:ascii="Times New Roman" w:hAnsi="Times New Roman" w:cs="Times New Roman"/>
          <w:lang w:val="en-US"/>
        </w:rPr>
        <w:t>,</w:t>
      </w:r>
      <w:r>
        <w:rPr>
          <w:rFonts w:ascii="Times New Roman" w:hAnsi="Times New Roman" w:cs="Times New Roman"/>
          <w:lang w:val="en-US"/>
        </w:rPr>
        <w:t xml:space="preserve"> 1967; for a criticism of the non-cognitivist view, see Cottingham</w:t>
      </w:r>
      <w:r w:rsidR="00875E0E">
        <w:rPr>
          <w:rFonts w:ascii="Times New Roman" w:hAnsi="Times New Roman" w:cs="Times New Roman"/>
          <w:lang w:val="en-US"/>
        </w:rPr>
        <w:t>,</w:t>
      </w:r>
      <w:r>
        <w:rPr>
          <w:rFonts w:ascii="Times New Roman" w:hAnsi="Times New Roman" w:cs="Times New Roman"/>
          <w:lang w:val="en-US"/>
        </w:rPr>
        <w:t xml:space="preserve"> 2017). In fact, the very debate between cognitivism and non-cognitivism seems to hinge on the assumption that unless religious statements (or aesthetic judgments) do not have cognitive content, they are nothing but subjective responses. This is the very assumption that is called into question by Kant’s </w:t>
      </w:r>
      <w:r>
        <w:rPr>
          <w:rFonts w:ascii="Times New Roman" w:hAnsi="Times New Roman" w:cs="Times New Roman"/>
          <w:i/>
          <w:lang w:val="en-US"/>
        </w:rPr>
        <w:t xml:space="preserve">Third </w:t>
      </w:r>
      <w:r w:rsidR="009678EC">
        <w:rPr>
          <w:rFonts w:ascii="Times New Roman" w:hAnsi="Times New Roman" w:cs="Times New Roman"/>
          <w:i/>
          <w:lang w:val="en-US"/>
        </w:rPr>
        <w:t>c</w:t>
      </w:r>
      <w:r>
        <w:rPr>
          <w:rFonts w:ascii="Times New Roman" w:hAnsi="Times New Roman" w:cs="Times New Roman"/>
          <w:i/>
          <w:lang w:val="en-US"/>
        </w:rPr>
        <w:t xml:space="preserve">ritique. </w:t>
      </w:r>
      <w:r>
        <w:rPr>
          <w:rFonts w:ascii="Times New Roman" w:hAnsi="Times New Roman" w:cs="Times New Roman"/>
          <w:lang w:val="en-US"/>
        </w:rPr>
        <w:t>Moreover, as argued here, Wittgenstein follows Kant in this r</w:t>
      </w:r>
      <w:r w:rsidRPr="009856D7">
        <w:rPr>
          <w:rFonts w:ascii="Times New Roman" w:hAnsi="Times New Roman" w:cs="Times New Roman"/>
          <w:lang w:val="en-US"/>
        </w:rPr>
        <w:t>espect (See Appelqvist</w:t>
      </w:r>
      <w:r w:rsidR="00875E0E">
        <w:rPr>
          <w:rFonts w:ascii="Times New Roman" w:hAnsi="Times New Roman" w:cs="Times New Roman"/>
          <w:lang w:val="en-US"/>
        </w:rPr>
        <w:t>,</w:t>
      </w:r>
      <w:r w:rsidRPr="009856D7">
        <w:rPr>
          <w:rFonts w:ascii="Times New Roman" w:hAnsi="Times New Roman" w:cs="Times New Roman"/>
          <w:lang w:val="en-US"/>
        </w:rPr>
        <w:t xml:space="preserve"> 2017). </w:t>
      </w:r>
    </w:p>
  </w:endnote>
  <w:endnote w:id="12">
    <w:p w14:paraId="69E29F0F" w14:textId="77777777" w:rsidR="00A27D6B" w:rsidRPr="0034745D" w:rsidRDefault="00A27D6B">
      <w:pPr>
        <w:pStyle w:val="Loppuviitteenteksti"/>
        <w:rPr>
          <w:rFonts w:ascii="Times New Roman" w:hAnsi="Times New Roman" w:cs="Times New Roman"/>
          <w:lang w:val="en-US"/>
        </w:rPr>
      </w:pPr>
      <w:r w:rsidRPr="00051EB7">
        <w:rPr>
          <w:rStyle w:val="Loppuviitteenviite"/>
          <w:rFonts w:ascii="Times New Roman" w:hAnsi="Times New Roman" w:cs="Times New Roman"/>
        </w:rPr>
        <w:endnoteRef/>
      </w:r>
      <w:r w:rsidRPr="0034745D">
        <w:rPr>
          <w:rFonts w:ascii="Times New Roman" w:hAnsi="Times New Roman" w:cs="Times New Roman"/>
          <w:lang w:val="en-US"/>
        </w:rPr>
        <w:t xml:space="preserve"> It is </w:t>
      </w:r>
      <w:r>
        <w:rPr>
          <w:rFonts w:ascii="Times New Roman" w:hAnsi="Times New Roman" w:cs="Times New Roman"/>
          <w:lang w:val="en-US"/>
        </w:rPr>
        <w:t xml:space="preserve">another </w:t>
      </w:r>
      <w:r w:rsidRPr="0034745D">
        <w:rPr>
          <w:rFonts w:ascii="Times New Roman" w:hAnsi="Times New Roman" w:cs="Times New Roman"/>
          <w:lang w:val="en-US"/>
        </w:rPr>
        <w:t xml:space="preserve">issue, outside the scope of this </w:t>
      </w:r>
      <w:r>
        <w:rPr>
          <w:rFonts w:ascii="Times New Roman" w:hAnsi="Times New Roman" w:cs="Times New Roman"/>
          <w:lang w:val="en-US"/>
        </w:rPr>
        <w:t>paper, whether religious faith must necessarily be understood in terms of affirming a certain religious doctrine. It is not just that many religious thinkers struggle with doubt, but that doubt itself seems to be an essential part, not just a minor wrinkle, of their religious lives. Besides, to put a lot of weight on a personal confession of faith is more typical in the reformed churches than it is in those old churches that emphasize the role of tradition as the seat of the truth of Christianity. Similarly, certain forms of Judaism treat participation in a Talmudic interpretative tradition, rather than a personal confessional commitment, as the core of religiosity.</w:t>
      </w:r>
    </w:p>
  </w:endnote>
  <w:endnote w:id="13">
    <w:p w14:paraId="35FCF6F7" w14:textId="6F140B00" w:rsidR="00A27D6B" w:rsidRPr="006A05D2" w:rsidRDefault="00A27D6B">
      <w:pPr>
        <w:pStyle w:val="Loppuviitteenteksti"/>
        <w:rPr>
          <w:rFonts w:ascii="Times New Roman" w:hAnsi="Times New Roman" w:cs="Times New Roman"/>
          <w:lang w:val="en-GB"/>
        </w:rPr>
      </w:pPr>
      <w:r w:rsidRPr="006C1DB2">
        <w:rPr>
          <w:rStyle w:val="Loppuviitteenviite"/>
          <w:rFonts w:ascii="Times New Roman" w:hAnsi="Times New Roman" w:cs="Times New Roman"/>
        </w:rPr>
        <w:endnoteRef/>
      </w:r>
      <w:r w:rsidR="0073587A" w:rsidRPr="006C1DB2">
        <w:rPr>
          <w:rFonts w:ascii="Times New Roman" w:hAnsi="Times New Roman" w:cs="Times New Roman"/>
          <w:lang w:val="en-GB"/>
        </w:rPr>
        <w:t xml:space="preserve"> While it may seem</w:t>
      </w:r>
      <w:r w:rsidRPr="006C1DB2">
        <w:rPr>
          <w:rFonts w:ascii="Times New Roman" w:hAnsi="Times New Roman" w:cs="Times New Roman"/>
          <w:lang w:val="en-GB"/>
        </w:rPr>
        <w:t xml:space="preserve"> strange to talk about satisfaction in the case of the grammatical rules of language, Wittgenstein himself illustrates the understanding of a sentence by comparing it with the understanding of a musical tune. The point is that in both cases my understanding may take the form, not of an ability to discursively explain the content of the sentence or the tune, but of an experience of the sentence or tune saying something that cannot be expressed by providing a paraphrase but only by further descriptions and comparisons (PI §§ 527, 531</w:t>
      </w:r>
      <w:r w:rsidR="0073587A" w:rsidRPr="006C1DB2">
        <w:rPr>
          <w:rFonts w:ascii="Times New Roman" w:hAnsi="Times New Roman" w:cs="Times New Roman"/>
          <w:lang w:val="en-GB"/>
        </w:rPr>
        <w:t>; see Bell, 1987 and Appelqvist, 2017</w:t>
      </w:r>
      <w:r w:rsidRPr="006C1DB2">
        <w:rPr>
          <w:rFonts w:ascii="Times New Roman" w:hAnsi="Times New Roman" w:cs="Times New Roman"/>
          <w:lang w:val="en-GB"/>
        </w:rPr>
        <w:t>).</w:t>
      </w:r>
    </w:p>
  </w:endnote>
  <w:endnote w:id="14">
    <w:p w14:paraId="449B2684" w14:textId="77777777" w:rsidR="00A27D6B" w:rsidRPr="008B5E3A" w:rsidRDefault="00A27D6B">
      <w:pPr>
        <w:pStyle w:val="Loppuviitteenteksti"/>
        <w:rPr>
          <w:lang w:val="en-US"/>
        </w:rPr>
      </w:pPr>
      <w:r w:rsidRPr="008B5E3A">
        <w:rPr>
          <w:rStyle w:val="Loppuviitteenviite"/>
        </w:rPr>
        <w:endnoteRef/>
      </w:r>
      <w:r w:rsidRPr="008B5E3A">
        <w:rPr>
          <w:lang w:val="en-US"/>
        </w:rPr>
        <w:t xml:space="preserve"> </w:t>
      </w:r>
      <w:r w:rsidRPr="008B5E3A">
        <w:rPr>
          <w:rFonts w:ascii="Times New Roman" w:hAnsi="Times New Roman" w:cs="Times New Roman"/>
          <w:lang w:val="en-US"/>
        </w:rPr>
        <w:t xml:space="preserve">In Wittgenstein’s later work, there are practically no references to ethics. Yet, </w:t>
      </w:r>
      <w:r>
        <w:rPr>
          <w:rFonts w:ascii="Times New Roman" w:hAnsi="Times New Roman" w:cs="Times New Roman"/>
          <w:lang w:val="en-US"/>
        </w:rPr>
        <w:t xml:space="preserve">consistently with his early equation between ethics and aesthetics, </w:t>
      </w:r>
      <w:r w:rsidRPr="008B5E3A">
        <w:rPr>
          <w:rFonts w:ascii="Times New Roman" w:hAnsi="Times New Roman" w:cs="Times New Roman"/>
          <w:lang w:val="en-US"/>
        </w:rPr>
        <w:t xml:space="preserve">he states that what he says of the </w:t>
      </w:r>
      <w:r w:rsidR="009678EC">
        <w:rPr>
          <w:rFonts w:ascii="Times New Roman" w:hAnsi="Times New Roman" w:cs="Times New Roman"/>
          <w:lang w:val="en-US"/>
        </w:rPr>
        <w:t>‘</w:t>
      </w:r>
      <w:r w:rsidRPr="008B5E3A">
        <w:rPr>
          <w:rFonts w:ascii="Times New Roman" w:hAnsi="Times New Roman" w:cs="Times New Roman"/>
          <w:lang w:val="en-US"/>
        </w:rPr>
        <w:t>beautiful</w:t>
      </w:r>
      <w:r w:rsidR="009678EC">
        <w:rPr>
          <w:rFonts w:ascii="Times New Roman" w:hAnsi="Times New Roman" w:cs="Times New Roman"/>
          <w:lang w:val="en-US"/>
        </w:rPr>
        <w:t>’</w:t>
      </w:r>
      <w:r w:rsidRPr="008B5E3A">
        <w:rPr>
          <w:rFonts w:ascii="Times New Roman" w:hAnsi="Times New Roman" w:cs="Times New Roman"/>
          <w:lang w:val="en-US"/>
        </w:rPr>
        <w:t xml:space="preserve"> is meant to apply </w:t>
      </w:r>
      <w:r w:rsidR="009678EC">
        <w:rPr>
          <w:rFonts w:ascii="Times New Roman" w:hAnsi="Times New Roman" w:cs="Times New Roman"/>
          <w:lang w:val="en-US"/>
        </w:rPr>
        <w:t>‘</w:t>
      </w:r>
      <w:r w:rsidRPr="008B5E3A">
        <w:rPr>
          <w:rFonts w:ascii="Times New Roman" w:hAnsi="Times New Roman" w:cs="Times New Roman"/>
          <w:lang w:val="en-US"/>
        </w:rPr>
        <w:t>in a slightly different way</w:t>
      </w:r>
      <w:r w:rsidR="009678EC">
        <w:rPr>
          <w:rFonts w:ascii="Times New Roman" w:hAnsi="Times New Roman" w:cs="Times New Roman"/>
          <w:lang w:val="en-US"/>
        </w:rPr>
        <w:t>’</w:t>
      </w:r>
      <w:r w:rsidRPr="008B5E3A">
        <w:rPr>
          <w:rFonts w:ascii="Times New Roman" w:hAnsi="Times New Roman" w:cs="Times New Roman"/>
          <w:lang w:val="en-US"/>
        </w:rPr>
        <w:t xml:space="preserve"> to </w:t>
      </w:r>
      <w:r w:rsidR="009678EC">
        <w:rPr>
          <w:rFonts w:ascii="Times New Roman" w:hAnsi="Times New Roman" w:cs="Times New Roman"/>
          <w:lang w:val="en-US"/>
        </w:rPr>
        <w:t>‘</w:t>
      </w:r>
      <w:r w:rsidRPr="008B5E3A">
        <w:rPr>
          <w:rFonts w:ascii="Times New Roman" w:hAnsi="Times New Roman" w:cs="Times New Roman"/>
          <w:lang w:val="en-US"/>
        </w:rPr>
        <w:t>good</w:t>
      </w:r>
      <w:r w:rsidR="009678EC">
        <w:rPr>
          <w:rFonts w:ascii="Times New Roman" w:hAnsi="Times New Roman" w:cs="Times New Roman"/>
          <w:lang w:val="en-US"/>
        </w:rPr>
        <w:t>’</w:t>
      </w:r>
      <w:r w:rsidRPr="008B5E3A">
        <w:rPr>
          <w:rFonts w:ascii="Times New Roman" w:hAnsi="Times New Roman" w:cs="Times New Roman"/>
          <w:lang w:val="en-US"/>
        </w:rPr>
        <w:t xml:space="preserve"> as well (</w:t>
      </w:r>
      <w:r>
        <w:rPr>
          <w:rFonts w:ascii="Times New Roman" w:hAnsi="Times New Roman" w:cs="Times New Roman"/>
          <w:lang w:val="en-US"/>
        </w:rPr>
        <w:t xml:space="preserve">TLP 6.421; </w:t>
      </w:r>
      <w:r w:rsidRPr="008B5E3A">
        <w:rPr>
          <w:rFonts w:ascii="Times New Roman" w:hAnsi="Times New Roman" w:cs="Times New Roman"/>
          <w:lang w:val="en-US"/>
        </w:rPr>
        <w:t>M 9:18; LC I: 1).</w:t>
      </w:r>
    </w:p>
  </w:endnote>
  <w:endnote w:id="15">
    <w:p w14:paraId="0F21660E" w14:textId="635DDFF3" w:rsidR="00A27D6B" w:rsidRPr="00674138" w:rsidRDefault="00A27D6B" w:rsidP="00F66E76">
      <w:pPr>
        <w:pStyle w:val="Loppuviitteenteksti"/>
        <w:rPr>
          <w:rFonts w:ascii="Times New Roman" w:hAnsi="Times New Roman" w:cs="Times New Roman"/>
          <w:lang w:val="en-US"/>
        </w:rPr>
      </w:pPr>
      <w:r w:rsidRPr="00674138">
        <w:rPr>
          <w:rStyle w:val="Loppuviitteenviite"/>
          <w:rFonts w:ascii="Times New Roman" w:hAnsi="Times New Roman" w:cs="Times New Roman"/>
        </w:rPr>
        <w:endnoteRef/>
      </w:r>
      <w:r w:rsidRPr="00674138">
        <w:rPr>
          <w:rFonts w:ascii="Times New Roman" w:hAnsi="Times New Roman" w:cs="Times New Roman"/>
          <w:lang w:val="en-US"/>
        </w:rPr>
        <w:t xml:space="preserve"> </w:t>
      </w:r>
      <w:r w:rsidRPr="00E43123">
        <w:rPr>
          <w:rFonts w:ascii="Times New Roman" w:hAnsi="Times New Roman" w:cs="Times New Roman"/>
          <w:lang w:val="en-US"/>
        </w:rPr>
        <w:t>Earlier versions of this article were presented at the Helsinki Analytic Theology Workshop (Helsinki, January 15–16 2016), the Conference Wittgenstein and Religion (Heidelberg, November 11–13 2016), and the Seminar Literature in Philosophy of Religion (Helsinki, June 12 2017). I am grateful for feedback from the</w:t>
      </w:r>
      <w:r>
        <w:rPr>
          <w:rFonts w:ascii="Times New Roman" w:hAnsi="Times New Roman" w:cs="Times New Roman"/>
          <w:lang w:val="en-US"/>
        </w:rPr>
        <w:t xml:space="preserve"> </w:t>
      </w:r>
      <w:r w:rsidRPr="00E43123">
        <w:rPr>
          <w:rFonts w:ascii="Times New Roman" w:hAnsi="Times New Roman" w:cs="Times New Roman"/>
          <w:lang w:val="en-US"/>
        </w:rPr>
        <w:t>participants o</w:t>
      </w:r>
      <w:r w:rsidR="00875E0E">
        <w:rPr>
          <w:rFonts w:ascii="Times New Roman" w:hAnsi="Times New Roman" w:cs="Times New Roman"/>
          <w:lang w:val="en-US"/>
        </w:rPr>
        <w:t>f these events, especially Dani</w:t>
      </w:r>
      <w:r w:rsidR="004641AE">
        <w:rPr>
          <w:rFonts w:ascii="Times New Roman" w:hAnsi="Times New Roman" w:cs="Times New Roman"/>
          <w:lang w:val="en-US"/>
        </w:rPr>
        <w:t>è</w:t>
      </w:r>
      <w:r w:rsidRPr="00E43123">
        <w:rPr>
          <w:rFonts w:ascii="Times New Roman" w:hAnsi="Times New Roman" w:cs="Times New Roman"/>
          <w:lang w:val="en-US"/>
        </w:rPr>
        <w:t xml:space="preserve">le Moyal-Sharrock and John Cottingham, as well as </w:t>
      </w:r>
      <w:r w:rsidR="00D976BC">
        <w:rPr>
          <w:rFonts w:ascii="Times New Roman" w:hAnsi="Times New Roman" w:cs="Times New Roman"/>
          <w:lang w:val="en-US"/>
        </w:rPr>
        <w:t xml:space="preserve">Olli Koistinen and </w:t>
      </w:r>
      <w:r w:rsidRPr="00E43123">
        <w:rPr>
          <w:rFonts w:ascii="Times New Roman" w:hAnsi="Times New Roman" w:cs="Times New Roman"/>
          <w:lang w:val="en-US"/>
        </w:rPr>
        <w:t xml:space="preserve">an anonymous referee of this journal. My thanks are also due to the Centre of Excellence </w:t>
      </w:r>
      <w:r w:rsidRPr="00E43123">
        <w:rPr>
          <w:rFonts w:ascii="Times New Roman" w:hAnsi="Times New Roman" w:cs="Times New Roman"/>
          <w:i/>
          <w:lang w:val="en-US"/>
        </w:rPr>
        <w:t>Reason and Religious Recognition</w:t>
      </w:r>
      <w:r w:rsidRPr="00E43123">
        <w:rPr>
          <w:rFonts w:ascii="Times New Roman" w:hAnsi="Times New Roman" w:cs="Times New Roman"/>
          <w:lang w:val="en-US"/>
        </w:rPr>
        <w:t xml:space="preserve">, funded by the Academy of Finland, </w:t>
      </w:r>
      <w:r w:rsidR="00733B93">
        <w:rPr>
          <w:rFonts w:ascii="Times New Roman" w:hAnsi="Times New Roman" w:cs="Times New Roman"/>
          <w:lang w:val="en-US"/>
        </w:rPr>
        <w:t xml:space="preserve">as well as Turku Institute for Advanced Studies </w:t>
      </w:r>
      <w:r w:rsidRPr="00E43123">
        <w:rPr>
          <w:rFonts w:ascii="Times New Roman" w:hAnsi="Times New Roman" w:cs="Times New Roman"/>
          <w:lang w:val="en-US"/>
        </w:rPr>
        <w:t>for providing support for my work.</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7FF2D8" w14:textId="77777777" w:rsidR="00A27D6B" w:rsidRDefault="00A27D6B">
    <w:pPr>
      <w:pStyle w:val="Alatunnist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1781509"/>
      <w:docPartObj>
        <w:docPartGallery w:val="Page Numbers (Bottom of Page)"/>
        <w:docPartUnique/>
      </w:docPartObj>
    </w:sdtPr>
    <w:sdtEndPr>
      <w:rPr>
        <w:rFonts w:ascii="Times New Roman" w:hAnsi="Times New Roman" w:cs="Times New Roman"/>
        <w:noProof/>
      </w:rPr>
    </w:sdtEndPr>
    <w:sdtContent>
      <w:p w14:paraId="233AD8D2" w14:textId="337D6CC9" w:rsidR="00A27D6B" w:rsidRPr="001B1E33" w:rsidRDefault="00A27D6B">
        <w:pPr>
          <w:pStyle w:val="Alatunniste"/>
          <w:jc w:val="right"/>
          <w:rPr>
            <w:rFonts w:ascii="Times New Roman" w:hAnsi="Times New Roman" w:cs="Times New Roman"/>
          </w:rPr>
        </w:pPr>
        <w:r w:rsidRPr="001B1E33">
          <w:rPr>
            <w:rFonts w:ascii="Times New Roman" w:hAnsi="Times New Roman" w:cs="Times New Roman"/>
          </w:rPr>
          <w:fldChar w:fldCharType="begin"/>
        </w:r>
        <w:r w:rsidRPr="001B1E33">
          <w:rPr>
            <w:rFonts w:ascii="Times New Roman" w:hAnsi="Times New Roman" w:cs="Times New Roman"/>
          </w:rPr>
          <w:instrText xml:space="preserve"> PAGE   \* MERGEFORMAT </w:instrText>
        </w:r>
        <w:r w:rsidRPr="001B1E33">
          <w:rPr>
            <w:rFonts w:ascii="Times New Roman" w:hAnsi="Times New Roman" w:cs="Times New Roman"/>
          </w:rPr>
          <w:fldChar w:fldCharType="separate"/>
        </w:r>
        <w:r w:rsidR="00AE1A65">
          <w:rPr>
            <w:rFonts w:ascii="Times New Roman" w:hAnsi="Times New Roman" w:cs="Times New Roman"/>
            <w:noProof/>
          </w:rPr>
          <w:t>1</w:t>
        </w:r>
        <w:r w:rsidRPr="001B1E33">
          <w:rPr>
            <w:rFonts w:ascii="Times New Roman" w:hAnsi="Times New Roman" w:cs="Times New Roman"/>
            <w:noProof/>
          </w:rPr>
          <w:fldChar w:fldCharType="end"/>
        </w:r>
      </w:p>
    </w:sdtContent>
  </w:sdt>
  <w:p w14:paraId="239CABEF" w14:textId="77777777" w:rsidR="00A27D6B" w:rsidRDefault="00A27D6B">
    <w:pPr>
      <w:pStyle w:val="Alatunnist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1590EF" w14:textId="77777777" w:rsidR="00A27D6B" w:rsidRDefault="00A27D6B">
    <w:pPr>
      <w:pStyle w:val="Alatunnist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05C9AFA" w14:textId="77777777" w:rsidR="00A27D6B" w:rsidRDefault="00A27D6B" w:rsidP="005901B2">
      <w:pPr>
        <w:spacing w:after="0" w:line="240" w:lineRule="auto"/>
      </w:pPr>
      <w:r>
        <w:separator/>
      </w:r>
    </w:p>
  </w:footnote>
  <w:footnote w:type="continuationSeparator" w:id="0">
    <w:p w14:paraId="0C7B4FB2" w14:textId="77777777" w:rsidR="00A27D6B" w:rsidRDefault="00A27D6B" w:rsidP="00590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A190ED" w14:textId="77777777" w:rsidR="00A27D6B" w:rsidRDefault="00A27D6B">
    <w:pPr>
      <w:pStyle w:val="Yltunnis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8A4696" w14:textId="77777777" w:rsidR="00A27D6B" w:rsidRPr="001B1E33" w:rsidRDefault="00A27D6B">
    <w:pPr>
      <w:pStyle w:val="Yltunniste"/>
      <w:rPr>
        <w:rFonts w:ascii="Times New Roman" w:hAnsi="Times New Roman" w:cs="Times New Roman"/>
        <w:lang w:val="en-US"/>
      </w:rPr>
    </w:pPr>
    <w:r w:rsidRPr="001B1E33">
      <w:rPr>
        <w:rFonts w:ascii="Times New Roman" w:hAnsi="Times New Roman" w:cs="Times New Roman"/>
        <w:lang w:val="en-US"/>
      </w:rPr>
      <w:t>Wittgenstein on the Grounds of</w:t>
    </w:r>
    <w:r>
      <w:rPr>
        <w:rFonts w:ascii="Times New Roman" w:hAnsi="Times New Roman" w:cs="Times New Roman"/>
        <w:lang w:val="en-US"/>
      </w:rPr>
      <w:t xml:space="preserve"> Religious</w:t>
    </w:r>
    <w:r w:rsidRPr="001B1E33">
      <w:rPr>
        <w:rFonts w:ascii="Times New Roman" w:hAnsi="Times New Roman" w:cs="Times New Roman"/>
        <w:lang w:val="en-US"/>
      </w:rPr>
      <w:t xml:space="preserve"> Faith</w:t>
    </w:r>
  </w:p>
  <w:p w14:paraId="57C2D55D" w14:textId="77777777" w:rsidR="00A27D6B" w:rsidRPr="001B1E33" w:rsidRDefault="00A27D6B">
    <w:pPr>
      <w:pStyle w:val="Yltunniste"/>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EFEBD8" w14:textId="77777777" w:rsidR="00A27D6B" w:rsidRDefault="00A27D6B">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B55E542E"/>
    <w:lvl w:ilvl="0">
      <w:start w:val="1"/>
      <w:numFmt w:val="decimal"/>
      <w:pStyle w:val="Numeroituluettelo5"/>
      <w:lvlText w:val="%1."/>
      <w:lvlJc w:val="left"/>
      <w:pPr>
        <w:tabs>
          <w:tab w:val="num" w:pos="1492"/>
        </w:tabs>
        <w:ind w:left="1492" w:hanging="360"/>
      </w:pPr>
    </w:lvl>
  </w:abstractNum>
  <w:abstractNum w:abstractNumId="1" w15:restartNumberingAfterBreak="0">
    <w:nsid w:val="FFFFFF7D"/>
    <w:multiLevelType w:val="singleLevel"/>
    <w:tmpl w:val="F58EF006"/>
    <w:lvl w:ilvl="0">
      <w:start w:val="1"/>
      <w:numFmt w:val="decimal"/>
      <w:pStyle w:val="Numeroituluettelo4"/>
      <w:lvlText w:val="%1."/>
      <w:lvlJc w:val="left"/>
      <w:pPr>
        <w:tabs>
          <w:tab w:val="num" w:pos="1209"/>
        </w:tabs>
        <w:ind w:left="1209" w:hanging="360"/>
      </w:pPr>
    </w:lvl>
  </w:abstractNum>
  <w:abstractNum w:abstractNumId="2" w15:restartNumberingAfterBreak="0">
    <w:nsid w:val="FFFFFF7E"/>
    <w:multiLevelType w:val="singleLevel"/>
    <w:tmpl w:val="13528520"/>
    <w:lvl w:ilvl="0">
      <w:start w:val="1"/>
      <w:numFmt w:val="decimal"/>
      <w:pStyle w:val="Numeroituluettelo3"/>
      <w:lvlText w:val="%1."/>
      <w:lvlJc w:val="left"/>
      <w:pPr>
        <w:tabs>
          <w:tab w:val="num" w:pos="926"/>
        </w:tabs>
        <w:ind w:left="926" w:hanging="360"/>
      </w:pPr>
    </w:lvl>
  </w:abstractNum>
  <w:abstractNum w:abstractNumId="3" w15:restartNumberingAfterBreak="0">
    <w:nsid w:val="FFFFFF7F"/>
    <w:multiLevelType w:val="singleLevel"/>
    <w:tmpl w:val="E34C5B04"/>
    <w:lvl w:ilvl="0">
      <w:start w:val="1"/>
      <w:numFmt w:val="decimal"/>
      <w:pStyle w:val="Numeroituluettelo2"/>
      <w:lvlText w:val="%1."/>
      <w:lvlJc w:val="left"/>
      <w:pPr>
        <w:tabs>
          <w:tab w:val="num" w:pos="643"/>
        </w:tabs>
        <w:ind w:left="643" w:hanging="360"/>
      </w:pPr>
    </w:lvl>
  </w:abstractNum>
  <w:abstractNum w:abstractNumId="4" w15:restartNumberingAfterBreak="0">
    <w:nsid w:val="FFFFFF80"/>
    <w:multiLevelType w:val="singleLevel"/>
    <w:tmpl w:val="6C126CEC"/>
    <w:lvl w:ilvl="0">
      <w:start w:val="1"/>
      <w:numFmt w:val="bullet"/>
      <w:pStyle w:val="Merkittyluettelo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D6CDF42"/>
    <w:lvl w:ilvl="0">
      <w:start w:val="1"/>
      <w:numFmt w:val="bullet"/>
      <w:pStyle w:val="Merkittyluettelo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55A60F0"/>
    <w:lvl w:ilvl="0">
      <w:start w:val="1"/>
      <w:numFmt w:val="bullet"/>
      <w:pStyle w:val="Merkittyluettelo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11E4154"/>
    <w:lvl w:ilvl="0">
      <w:start w:val="1"/>
      <w:numFmt w:val="bullet"/>
      <w:pStyle w:val="Merkittyluettelo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CDC0F5C"/>
    <w:lvl w:ilvl="0">
      <w:start w:val="1"/>
      <w:numFmt w:val="decimal"/>
      <w:pStyle w:val="Numeroituluettelo"/>
      <w:lvlText w:val="%1."/>
      <w:lvlJc w:val="left"/>
      <w:pPr>
        <w:tabs>
          <w:tab w:val="num" w:pos="360"/>
        </w:tabs>
        <w:ind w:left="360" w:hanging="360"/>
      </w:pPr>
    </w:lvl>
  </w:abstractNum>
  <w:abstractNum w:abstractNumId="9" w15:restartNumberingAfterBreak="0">
    <w:nsid w:val="FFFFFF89"/>
    <w:multiLevelType w:val="singleLevel"/>
    <w:tmpl w:val="A3EC1CEE"/>
    <w:lvl w:ilvl="0">
      <w:start w:val="1"/>
      <w:numFmt w:val="bullet"/>
      <w:pStyle w:val="Merkittyluettelo"/>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1304"/>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01B2"/>
    <w:rsid w:val="0000548A"/>
    <w:rsid w:val="00007B87"/>
    <w:rsid w:val="00011917"/>
    <w:rsid w:val="0001339D"/>
    <w:rsid w:val="00017526"/>
    <w:rsid w:val="0001780F"/>
    <w:rsid w:val="00020E06"/>
    <w:rsid w:val="00021618"/>
    <w:rsid w:val="00022F2D"/>
    <w:rsid w:val="00023862"/>
    <w:rsid w:val="000243FA"/>
    <w:rsid w:val="000261F6"/>
    <w:rsid w:val="00027466"/>
    <w:rsid w:val="00027735"/>
    <w:rsid w:val="00030187"/>
    <w:rsid w:val="0003068D"/>
    <w:rsid w:val="00030A29"/>
    <w:rsid w:val="00030F5A"/>
    <w:rsid w:val="000318B6"/>
    <w:rsid w:val="00031E63"/>
    <w:rsid w:val="00032E65"/>
    <w:rsid w:val="0003347F"/>
    <w:rsid w:val="00033616"/>
    <w:rsid w:val="00041226"/>
    <w:rsid w:val="0004246A"/>
    <w:rsid w:val="00043097"/>
    <w:rsid w:val="0004468A"/>
    <w:rsid w:val="00044B07"/>
    <w:rsid w:val="00044CF5"/>
    <w:rsid w:val="00045252"/>
    <w:rsid w:val="00051EB7"/>
    <w:rsid w:val="00051F1E"/>
    <w:rsid w:val="00052628"/>
    <w:rsid w:val="00052B46"/>
    <w:rsid w:val="00052C60"/>
    <w:rsid w:val="00052CB4"/>
    <w:rsid w:val="00054544"/>
    <w:rsid w:val="00054E7C"/>
    <w:rsid w:val="00055B5C"/>
    <w:rsid w:val="00055C2D"/>
    <w:rsid w:val="00056AD6"/>
    <w:rsid w:val="000576F5"/>
    <w:rsid w:val="0006032F"/>
    <w:rsid w:val="00060809"/>
    <w:rsid w:val="000613AF"/>
    <w:rsid w:val="000615E3"/>
    <w:rsid w:val="00064F67"/>
    <w:rsid w:val="00065C74"/>
    <w:rsid w:val="0007027F"/>
    <w:rsid w:val="00075CA8"/>
    <w:rsid w:val="000769F5"/>
    <w:rsid w:val="00076CB8"/>
    <w:rsid w:val="00080A91"/>
    <w:rsid w:val="00082770"/>
    <w:rsid w:val="000849C2"/>
    <w:rsid w:val="00087039"/>
    <w:rsid w:val="000926AE"/>
    <w:rsid w:val="000932DD"/>
    <w:rsid w:val="00093533"/>
    <w:rsid w:val="000935E9"/>
    <w:rsid w:val="000939F4"/>
    <w:rsid w:val="00093DF2"/>
    <w:rsid w:val="0009483B"/>
    <w:rsid w:val="000A0AC5"/>
    <w:rsid w:val="000A1E00"/>
    <w:rsid w:val="000A36C2"/>
    <w:rsid w:val="000A39A5"/>
    <w:rsid w:val="000A45FA"/>
    <w:rsid w:val="000A5F91"/>
    <w:rsid w:val="000A6D0F"/>
    <w:rsid w:val="000B02DA"/>
    <w:rsid w:val="000B325B"/>
    <w:rsid w:val="000B33B3"/>
    <w:rsid w:val="000B3482"/>
    <w:rsid w:val="000B5203"/>
    <w:rsid w:val="000B6936"/>
    <w:rsid w:val="000B6AAD"/>
    <w:rsid w:val="000B7D9B"/>
    <w:rsid w:val="000C031E"/>
    <w:rsid w:val="000C0EB1"/>
    <w:rsid w:val="000C4F2D"/>
    <w:rsid w:val="000D0416"/>
    <w:rsid w:val="000D1022"/>
    <w:rsid w:val="000D175B"/>
    <w:rsid w:val="000D1A48"/>
    <w:rsid w:val="000D2097"/>
    <w:rsid w:val="000D4657"/>
    <w:rsid w:val="000D6445"/>
    <w:rsid w:val="000D6FBE"/>
    <w:rsid w:val="000E30B2"/>
    <w:rsid w:val="000E47A5"/>
    <w:rsid w:val="000E5616"/>
    <w:rsid w:val="000E5770"/>
    <w:rsid w:val="000E785A"/>
    <w:rsid w:val="000F18C6"/>
    <w:rsid w:val="000F282E"/>
    <w:rsid w:val="000F3F4C"/>
    <w:rsid w:val="000F47EA"/>
    <w:rsid w:val="000F7617"/>
    <w:rsid w:val="00100375"/>
    <w:rsid w:val="00102552"/>
    <w:rsid w:val="001066CD"/>
    <w:rsid w:val="00107E9E"/>
    <w:rsid w:val="00110AF3"/>
    <w:rsid w:val="001119B1"/>
    <w:rsid w:val="00111BDF"/>
    <w:rsid w:val="001147B3"/>
    <w:rsid w:val="0011510E"/>
    <w:rsid w:val="00115469"/>
    <w:rsid w:val="00124305"/>
    <w:rsid w:val="00124B6C"/>
    <w:rsid w:val="00125EE9"/>
    <w:rsid w:val="00127913"/>
    <w:rsid w:val="001309C4"/>
    <w:rsid w:val="00130E54"/>
    <w:rsid w:val="001315DE"/>
    <w:rsid w:val="001327EC"/>
    <w:rsid w:val="001362B8"/>
    <w:rsid w:val="0014072D"/>
    <w:rsid w:val="00140785"/>
    <w:rsid w:val="001432D1"/>
    <w:rsid w:val="00143468"/>
    <w:rsid w:val="001436A7"/>
    <w:rsid w:val="00144048"/>
    <w:rsid w:val="0014693F"/>
    <w:rsid w:val="00146D12"/>
    <w:rsid w:val="00150F4F"/>
    <w:rsid w:val="00153709"/>
    <w:rsid w:val="00155BDE"/>
    <w:rsid w:val="00155DCF"/>
    <w:rsid w:val="00164198"/>
    <w:rsid w:val="00165849"/>
    <w:rsid w:val="00165DEE"/>
    <w:rsid w:val="00166E4A"/>
    <w:rsid w:val="00166E67"/>
    <w:rsid w:val="0016740C"/>
    <w:rsid w:val="00171DD6"/>
    <w:rsid w:val="001757C1"/>
    <w:rsid w:val="0018082D"/>
    <w:rsid w:val="00180884"/>
    <w:rsid w:val="00181568"/>
    <w:rsid w:val="0018204F"/>
    <w:rsid w:val="001837D1"/>
    <w:rsid w:val="0018598A"/>
    <w:rsid w:val="001A09EA"/>
    <w:rsid w:val="001A2A42"/>
    <w:rsid w:val="001A3188"/>
    <w:rsid w:val="001A5FC1"/>
    <w:rsid w:val="001A78F7"/>
    <w:rsid w:val="001B1E33"/>
    <w:rsid w:val="001B64B1"/>
    <w:rsid w:val="001C0C23"/>
    <w:rsid w:val="001C4936"/>
    <w:rsid w:val="001C4C75"/>
    <w:rsid w:val="001C537C"/>
    <w:rsid w:val="001C75EA"/>
    <w:rsid w:val="001C7A01"/>
    <w:rsid w:val="001D385B"/>
    <w:rsid w:val="001D63FC"/>
    <w:rsid w:val="001E0D7D"/>
    <w:rsid w:val="001E17EB"/>
    <w:rsid w:val="001E18C0"/>
    <w:rsid w:val="001E1A46"/>
    <w:rsid w:val="001E32B5"/>
    <w:rsid w:val="001E39E7"/>
    <w:rsid w:val="001E66FE"/>
    <w:rsid w:val="001F001B"/>
    <w:rsid w:val="001F3452"/>
    <w:rsid w:val="001F6FD8"/>
    <w:rsid w:val="00200020"/>
    <w:rsid w:val="002002F2"/>
    <w:rsid w:val="00201406"/>
    <w:rsid w:val="00204075"/>
    <w:rsid w:val="00212358"/>
    <w:rsid w:val="0021475F"/>
    <w:rsid w:val="00221A05"/>
    <w:rsid w:val="00221B8C"/>
    <w:rsid w:val="00227E3C"/>
    <w:rsid w:val="00230193"/>
    <w:rsid w:val="00230BD3"/>
    <w:rsid w:val="0023539B"/>
    <w:rsid w:val="002363C3"/>
    <w:rsid w:val="0023701A"/>
    <w:rsid w:val="00237A76"/>
    <w:rsid w:val="00244F2F"/>
    <w:rsid w:val="00250CFB"/>
    <w:rsid w:val="0025176B"/>
    <w:rsid w:val="00254142"/>
    <w:rsid w:val="00255B9B"/>
    <w:rsid w:val="0026029D"/>
    <w:rsid w:val="00260EB3"/>
    <w:rsid w:val="002635E1"/>
    <w:rsid w:val="002637B4"/>
    <w:rsid w:val="00264781"/>
    <w:rsid w:val="00265FD8"/>
    <w:rsid w:val="0026757F"/>
    <w:rsid w:val="002676F2"/>
    <w:rsid w:val="00267B87"/>
    <w:rsid w:val="00267EFA"/>
    <w:rsid w:val="00271171"/>
    <w:rsid w:val="0027145A"/>
    <w:rsid w:val="00274284"/>
    <w:rsid w:val="00274646"/>
    <w:rsid w:val="0027567C"/>
    <w:rsid w:val="00275D51"/>
    <w:rsid w:val="00275E51"/>
    <w:rsid w:val="00276F42"/>
    <w:rsid w:val="0027707B"/>
    <w:rsid w:val="00277BA7"/>
    <w:rsid w:val="00283258"/>
    <w:rsid w:val="002877A2"/>
    <w:rsid w:val="0029172F"/>
    <w:rsid w:val="0029178F"/>
    <w:rsid w:val="0029447A"/>
    <w:rsid w:val="00294689"/>
    <w:rsid w:val="0029487B"/>
    <w:rsid w:val="00295247"/>
    <w:rsid w:val="002962BC"/>
    <w:rsid w:val="002A28DA"/>
    <w:rsid w:val="002A31C4"/>
    <w:rsid w:val="002A5A41"/>
    <w:rsid w:val="002B0FFB"/>
    <w:rsid w:val="002B41AF"/>
    <w:rsid w:val="002B53E8"/>
    <w:rsid w:val="002B609C"/>
    <w:rsid w:val="002B68CC"/>
    <w:rsid w:val="002B7A3F"/>
    <w:rsid w:val="002C0311"/>
    <w:rsid w:val="002C0C86"/>
    <w:rsid w:val="002C1C28"/>
    <w:rsid w:val="002C366C"/>
    <w:rsid w:val="002C4462"/>
    <w:rsid w:val="002C4A15"/>
    <w:rsid w:val="002C4ABF"/>
    <w:rsid w:val="002C5C68"/>
    <w:rsid w:val="002C7DBE"/>
    <w:rsid w:val="002D062F"/>
    <w:rsid w:val="002D19B5"/>
    <w:rsid w:val="002D1F0C"/>
    <w:rsid w:val="002D2985"/>
    <w:rsid w:val="002D3B34"/>
    <w:rsid w:val="002D3B82"/>
    <w:rsid w:val="002D3EB8"/>
    <w:rsid w:val="002E0BE4"/>
    <w:rsid w:val="002E7950"/>
    <w:rsid w:val="002F307B"/>
    <w:rsid w:val="00303DF7"/>
    <w:rsid w:val="00304138"/>
    <w:rsid w:val="00310BC7"/>
    <w:rsid w:val="00314A06"/>
    <w:rsid w:val="003209A7"/>
    <w:rsid w:val="00322EC4"/>
    <w:rsid w:val="00324EA9"/>
    <w:rsid w:val="00324FD1"/>
    <w:rsid w:val="00327DAF"/>
    <w:rsid w:val="00332607"/>
    <w:rsid w:val="003339E5"/>
    <w:rsid w:val="00334828"/>
    <w:rsid w:val="003379C3"/>
    <w:rsid w:val="00337CCC"/>
    <w:rsid w:val="00341241"/>
    <w:rsid w:val="00341CC6"/>
    <w:rsid w:val="00342808"/>
    <w:rsid w:val="0034302E"/>
    <w:rsid w:val="00343F67"/>
    <w:rsid w:val="00347304"/>
    <w:rsid w:val="0034745D"/>
    <w:rsid w:val="003500A5"/>
    <w:rsid w:val="00351BA5"/>
    <w:rsid w:val="003529B1"/>
    <w:rsid w:val="003531CF"/>
    <w:rsid w:val="0035385D"/>
    <w:rsid w:val="00357374"/>
    <w:rsid w:val="003606A5"/>
    <w:rsid w:val="003608D2"/>
    <w:rsid w:val="0036167F"/>
    <w:rsid w:val="0036177F"/>
    <w:rsid w:val="00361AA6"/>
    <w:rsid w:val="00362258"/>
    <w:rsid w:val="00362393"/>
    <w:rsid w:val="00364738"/>
    <w:rsid w:val="003649DD"/>
    <w:rsid w:val="0036557C"/>
    <w:rsid w:val="00370EBB"/>
    <w:rsid w:val="00382D14"/>
    <w:rsid w:val="003844AE"/>
    <w:rsid w:val="00385250"/>
    <w:rsid w:val="00385922"/>
    <w:rsid w:val="00385D05"/>
    <w:rsid w:val="00386D4B"/>
    <w:rsid w:val="00391DEB"/>
    <w:rsid w:val="00393645"/>
    <w:rsid w:val="00396491"/>
    <w:rsid w:val="0039727C"/>
    <w:rsid w:val="0039763B"/>
    <w:rsid w:val="00397F45"/>
    <w:rsid w:val="003A0612"/>
    <w:rsid w:val="003A180C"/>
    <w:rsid w:val="003A2418"/>
    <w:rsid w:val="003A267F"/>
    <w:rsid w:val="003A2D4A"/>
    <w:rsid w:val="003A4210"/>
    <w:rsid w:val="003A43A8"/>
    <w:rsid w:val="003A5CD1"/>
    <w:rsid w:val="003A657D"/>
    <w:rsid w:val="003A6FF4"/>
    <w:rsid w:val="003B0821"/>
    <w:rsid w:val="003B28B5"/>
    <w:rsid w:val="003B2E01"/>
    <w:rsid w:val="003B3A78"/>
    <w:rsid w:val="003B54ED"/>
    <w:rsid w:val="003B783F"/>
    <w:rsid w:val="003C2BD7"/>
    <w:rsid w:val="003C4360"/>
    <w:rsid w:val="003C4E3E"/>
    <w:rsid w:val="003C634C"/>
    <w:rsid w:val="003D0342"/>
    <w:rsid w:val="003D3C8B"/>
    <w:rsid w:val="003D3FA5"/>
    <w:rsid w:val="003D4B6E"/>
    <w:rsid w:val="003D54B5"/>
    <w:rsid w:val="003D6CA7"/>
    <w:rsid w:val="003D7B47"/>
    <w:rsid w:val="003D7CC6"/>
    <w:rsid w:val="003E08DC"/>
    <w:rsid w:val="003E2599"/>
    <w:rsid w:val="003E30DD"/>
    <w:rsid w:val="003E4196"/>
    <w:rsid w:val="003F04D9"/>
    <w:rsid w:val="003F115C"/>
    <w:rsid w:val="003F200F"/>
    <w:rsid w:val="003F3027"/>
    <w:rsid w:val="003F40EC"/>
    <w:rsid w:val="003F6211"/>
    <w:rsid w:val="0040031A"/>
    <w:rsid w:val="004011F0"/>
    <w:rsid w:val="004018A1"/>
    <w:rsid w:val="004019BD"/>
    <w:rsid w:val="00403052"/>
    <w:rsid w:val="0040321D"/>
    <w:rsid w:val="004035AC"/>
    <w:rsid w:val="00405375"/>
    <w:rsid w:val="00406983"/>
    <w:rsid w:val="0040774A"/>
    <w:rsid w:val="00416F91"/>
    <w:rsid w:val="00421268"/>
    <w:rsid w:val="00422CE2"/>
    <w:rsid w:val="00425C1A"/>
    <w:rsid w:val="00426F5F"/>
    <w:rsid w:val="004304D9"/>
    <w:rsid w:val="0043324E"/>
    <w:rsid w:val="004338C2"/>
    <w:rsid w:val="004345E9"/>
    <w:rsid w:val="00437293"/>
    <w:rsid w:val="00437B65"/>
    <w:rsid w:val="00441F65"/>
    <w:rsid w:val="00442C18"/>
    <w:rsid w:val="00442F79"/>
    <w:rsid w:val="00443A21"/>
    <w:rsid w:val="0044483E"/>
    <w:rsid w:val="00445AF8"/>
    <w:rsid w:val="00447CEA"/>
    <w:rsid w:val="00452852"/>
    <w:rsid w:val="00453426"/>
    <w:rsid w:val="00455108"/>
    <w:rsid w:val="004574DC"/>
    <w:rsid w:val="00457B45"/>
    <w:rsid w:val="00460D8B"/>
    <w:rsid w:val="004620FA"/>
    <w:rsid w:val="004627D4"/>
    <w:rsid w:val="00462AA6"/>
    <w:rsid w:val="00463E75"/>
    <w:rsid w:val="004641AE"/>
    <w:rsid w:val="00464778"/>
    <w:rsid w:val="0046480E"/>
    <w:rsid w:val="00464E0E"/>
    <w:rsid w:val="004659FC"/>
    <w:rsid w:val="0046620E"/>
    <w:rsid w:val="0047098D"/>
    <w:rsid w:val="004710B6"/>
    <w:rsid w:val="0047166A"/>
    <w:rsid w:val="00475B57"/>
    <w:rsid w:val="00480497"/>
    <w:rsid w:val="00482542"/>
    <w:rsid w:val="0048292D"/>
    <w:rsid w:val="00483731"/>
    <w:rsid w:val="0048377F"/>
    <w:rsid w:val="004912DB"/>
    <w:rsid w:val="00491A99"/>
    <w:rsid w:val="0049252C"/>
    <w:rsid w:val="004938FF"/>
    <w:rsid w:val="00497401"/>
    <w:rsid w:val="004A0643"/>
    <w:rsid w:val="004A2819"/>
    <w:rsid w:val="004A4179"/>
    <w:rsid w:val="004A72CB"/>
    <w:rsid w:val="004B240A"/>
    <w:rsid w:val="004B3233"/>
    <w:rsid w:val="004B4766"/>
    <w:rsid w:val="004B689B"/>
    <w:rsid w:val="004B6D09"/>
    <w:rsid w:val="004C03EB"/>
    <w:rsid w:val="004C23C2"/>
    <w:rsid w:val="004C3FA1"/>
    <w:rsid w:val="004C4AC1"/>
    <w:rsid w:val="004C4CB3"/>
    <w:rsid w:val="004C572D"/>
    <w:rsid w:val="004C7C9F"/>
    <w:rsid w:val="004D0D60"/>
    <w:rsid w:val="004D3F7D"/>
    <w:rsid w:val="004D5563"/>
    <w:rsid w:val="004D57C5"/>
    <w:rsid w:val="004D71C5"/>
    <w:rsid w:val="004D7921"/>
    <w:rsid w:val="004E088A"/>
    <w:rsid w:val="004E58B4"/>
    <w:rsid w:val="004E6649"/>
    <w:rsid w:val="004F050A"/>
    <w:rsid w:val="004F23DE"/>
    <w:rsid w:val="004F2D02"/>
    <w:rsid w:val="004F4E63"/>
    <w:rsid w:val="00500489"/>
    <w:rsid w:val="00500CE8"/>
    <w:rsid w:val="00501E00"/>
    <w:rsid w:val="0050291E"/>
    <w:rsid w:val="00503289"/>
    <w:rsid w:val="005035B2"/>
    <w:rsid w:val="0050558A"/>
    <w:rsid w:val="00506B5B"/>
    <w:rsid w:val="0050763F"/>
    <w:rsid w:val="00512D35"/>
    <w:rsid w:val="0051335C"/>
    <w:rsid w:val="005142F6"/>
    <w:rsid w:val="00516C80"/>
    <w:rsid w:val="005203D5"/>
    <w:rsid w:val="00520F75"/>
    <w:rsid w:val="005213D7"/>
    <w:rsid w:val="005233ED"/>
    <w:rsid w:val="00523CA8"/>
    <w:rsid w:val="00524050"/>
    <w:rsid w:val="00525C7F"/>
    <w:rsid w:val="0052793D"/>
    <w:rsid w:val="00530024"/>
    <w:rsid w:val="00530121"/>
    <w:rsid w:val="005350E8"/>
    <w:rsid w:val="0053764D"/>
    <w:rsid w:val="005406C2"/>
    <w:rsid w:val="0054232E"/>
    <w:rsid w:val="00542556"/>
    <w:rsid w:val="00545274"/>
    <w:rsid w:val="005456D5"/>
    <w:rsid w:val="005463D7"/>
    <w:rsid w:val="00546C89"/>
    <w:rsid w:val="0054759D"/>
    <w:rsid w:val="0054773D"/>
    <w:rsid w:val="0055089C"/>
    <w:rsid w:val="005509EE"/>
    <w:rsid w:val="00554F0E"/>
    <w:rsid w:val="0055604E"/>
    <w:rsid w:val="00557E43"/>
    <w:rsid w:val="0056430F"/>
    <w:rsid w:val="005702CF"/>
    <w:rsid w:val="00573C12"/>
    <w:rsid w:val="00574679"/>
    <w:rsid w:val="00575639"/>
    <w:rsid w:val="00576B25"/>
    <w:rsid w:val="00577B36"/>
    <w:rsid w:val="00577C4C"/>
    <w:rsid w:val="0058017A"/>
    <w:rsid w:val="005817D1"/>
    <w:rsid w:val="0058341D"/>
    <w:rsid w:val="005901B2"/>
    <w:rsid w:val="005911A9"/>
    <w:rsid w:val="005917AD"/>
    <w:rsid w:val="00591F82"/>
    <w:rsid w:val="00594A16"/>
    <w:rsid w:val="0059719E"/>
    <w:rsid w:val="00597789"/>
    <w:rsid w:val="00597C29"/>
    <w:rsid w:val="005A0878"/>
    <w:rsid w:val="005A0C6C"/>
    <w:rsid w:val="005A1C6D"/>
    <w:rsid w:val="005A35C3"/>
    <w:rsid w:val="005A4EEA"/>
    <w:rsid w:val="005B0779"/>
    <w:rsid w:val="005B09DB"/>
    <w:rsid w:val="005B0D81"/>
    <w:rsid w:val="005B265F"/>
    <w:rsid w:val="005B2694"/>
    <w:rsid w:val="005B2FCF"/>
    <w:rsid w:val="005B377E"/>
    <w:rsid w:val="005B3787"/>
    <w:rsid w:val="005B47DB"/>
    <w:rsid w:val="005B608F"/>
    <w:rsid w:val="005B734D"/>
    <w:rsid w:val="005C2B64"/>
    <w:rsid w:val="005C4D08"/>
    <w:rsid w:val="005C5D54"/>
    <w:rsid w:val="005C6015"/>
    <w:rsid w:val="005D1085"/>
    <w:rsid w:val="005D19E7"/>
    <w:rsid w:val="005D5EEF"/>
    <w:rsid w:val="005D72DC"/>
    <w:rsid w:val="005E553C"/>
    <w:rsid w:val="005E68C0"/>
    <w:rsid w:val="005F178B"/>
    <w:rsid w:val="005F610C"/>
    <w:rsid w:val="00600659"/>
    <w:rsid w:val="006025B5"/>
    <w:rsid w:val="006035F4"/>
    <w:rsid w:val="006050B6"/>
    <w:rsid w:val="00606786"/>
    <w:rsid w:val="00610FD2"/>
    <w:rsid w:val="00611991"/>
    <w:rsid w:val="006139E6"/>
    <w:rsid w:val="0061559A"/>
    <w:rsid w:val="00615899"/>
    <w:rsid w:val="006230E6"/>
    <w:rsid w:val="00623936"/>
    <w:rsid w:val="00624045"/>
    <w:rsid w:val="006254EF"/>
    <w:rsid w:val="00625CD1"/>
    <w:rsid w:val="006261DF"/>
    <w:rsid w:val="006273A0"/>
    <w:rsid w:val="00631EB1"/>
    <w:rsid w:val="006329C5"/>
    <w:rsid w:val="0064184A"/>
    <w:rsid w:val="00643EC5"/>
    <w:rsid w:val="00645E9D"/>
    <w:rsid w:val="00646DF0"/>
    <w:rsid w:val="006470A7"/>
    <w:rsid w:val="00647DBB"/>
    <w:rsid w:val="00654062"/>
    <w:rsid w:val="00654734"/>
    <w:rsid w:val="00655EC8"/>
    <w:rsid w:val="006570BE"/>
    <w:rsid w:val="00657919"/>
    <w:rsid w:val="00663A6A"/>
    <w:rsid w:val="00665678"/>
    <w:rsid w:val="00666690"/>
    <w:rsid w:val="00667638"/>
    <w:rsid w:val="00667E07"/>
    <w:rsid w:val="006702AE"/>
    <w:rsid w:val="00670300"/>
    <w:rsid w:val="00670A6A"/>
    <w:rsid w:val="006720A9"/>
    <w:rsid w:val="00675CEC"/>
    <w:rsid w:val="00676935"/>
    <w:rsid w:val="00677186"/>
    <w:rsid w:val="0068231C"/>
    <w:rsid w:val="006834DA"/>
    <w:rsid w:val="00685BFA"/>
    <w:rsid w:val="0068737C"/>
    <w:rsid w:val="00687E29"/>
    <w:rsid w:val="006902EE"/>
    <w:rsid w:val="00690977"/>
    <w:rsid w:val="00691D12"/>
    <w:rsid w:val="006A05D2"/>
    <w:rsid w:val="006A1FEF"/>
    <w:rsid w:val="006A346C"/>
    <w:rsid w:val="006A3655"/>
    <w:rsid w:val="006A5851"/>
    <w:rsid w:val="006A6DD1"/>
    <w:rsid w:val="006A77C0"/>
    <w:rsid w:val="006B172A"/>
    <w:rsid w:val="006B2EF9"/>
    <w:rsid w:val="006B3C5F"/>
    <w:rsid w:val="006B4DC4"/>
    <w:rsid w:val="006B5360"/>
    <w:rsid w:val="006B7BB8"/>
    <w:rsid w:val="006C11AE"/>
    <w:rsid w:val="006C1693"/>
    <w:rsid w:val="006C1DB2"/>
    <w:rsid w:val="006C4AFC"/>
    <w:rsid w:val="006C5B87"/>
    <w:rsid w:val="006C5D43"/>
    <w:rsid w:val="006D27FA"/>
    <w:rsid w:val="006D3044"/>
    <w:rsid w:val="006D45E2"/>
    <w:rsid w:val="006D5341"/>
    <w:rsid w:val="006E1C16"/>
    <w:rsid w:val="006E388D"/>
    <w:rsid w:val="006E6239"/>
    <w:rsid w:val="006F3B53"/>
    <w:rsid w:val="006F5287"/>
    <w:rsid w:val="006F5EAD"/>
    <w:rsid w:val="006F69FC"/>
    <w:rsid w:val="006F74AE"/>
    <w:rsid w:val="007005A5"/>
    <w:rsid w:val="00701644"/>
    <w:rsid w:val="007018F1"/>
    <w:rsid w:val="0070472B"/>
    <w:rsid w:val="00704C39"/>
    <w:rsid w:val="0070596C"/>
    <w:rsid w:val="00705F2C"/>
    <w:rsid w:val="007072A2"/>
    <w:rsid w:val="00707F18"/>
    <w:rsid w:val="00711C70"/>
    <w:rsid w:val="00712177"/>
    <w:rsid w:val="00712C42"/>
    <w:rsid w:val="007144EC"/>
    <w:rsid w:val="00714924"/>
    <w:rsid w:val="00714AE8"/>
    <w:rsid w:val="00717A10"/>
    <w:rsid w:val="007218CB"/>
    <w:rsid w:val="00724137"/>
    <w:rsid w:val="007256DC"/>
    <w:rsid w:val="00725D4D"/>
    <w:rsid w:val="00732185"/>
    <w:rsid w:val="00732A7E"/>
    <w:rsid w:val="00732E20"/>
    <w:rsid w:val="00733910"/>
    <w:rsid w:val="00733B93"/>
    <w:rsid w:val="0073587A"/>
    <w:rsid w:val="007374C4"/>
    <w:rsid w:val="0074030E"/>
    <w:rsid w:val="00740ED1"/>
    <w:rsid w:val="007426D8"/>
    <w:rsid w:val="00744087"/>
    <w:rsid w:val="00747330"/>
    <w:rsid w:val="0075220B"/>
    <w:rsid w:val="007558E5"/>
    <w:rsid w:val="00756E91"/>
    <w:rsid w:val="0076311B"/>
    <w:rsid w:val="007709CB"/>
    <w:rsid w:val="00770C38"/>
    <w:rsid w:val="00771586"/>
    <w:rsid w:val="0077470B"/>
    <w:rsid w:val="00774C34"/>
    <w:rsid w:val="00777B2A"/>
    <w:rsid w:val="0078111B"/>
    <w:rsid w:val="007837FB"/>
    <w:rsid w:val="00784181"/>
    <w:rsid w:val="00785162"/>
    <w:rsid w:val="0078540A"/>
    <w:rsid w:val="00790AC3"/>
    <w:rsid w:val="007964AF"/>
    <w:rsid w:val="00797943"/>
    <w:rsid w:val="00797C35"/>
    <w:rsid w:val="007A107A"/>
    <w:rsid w:val="007A3747"/>
    <w:rsid w:val="007A3DB7"/>
    <w:rsid w:val="007A6CCA"/>
    <w:rsid w:val="007B1016"/>
    <w:rsid w:val="007B3789"/>
    <w:rsid w:val="007B49ED"/>
    <w:rsid w:val="007B6912"/>
    <w:rsid w:val="007B7C28"/>
    <w:rsid w:val="007C04A4"/>
    <w:rsid w:val="007C0805"/>
    <w:rsid w:val="007C37C9"/>
    <w:rsid w:val="007C4879"/>
    <w:rsid w:val="007C4BAF"/>
    <w:rsid w:val="007C5685"/>
    <w:rsid w:val="007C7C48"/>
    <w:rsid w:val="007D2228"/>
    <w:rsid w:val="007D2419"/>
    <w:rsid w:val="007D3219"/>
    <w:rsid w:val="007D35D1"/>
    <w:rsid w:val="007D41B1"/>
    <w:rsid w:val="007D6C13"/>
    <w:rsid w:val="007D786A"/>
    <w:rsid w:val="007E2416"/>
    <w:rsid w:val="007E28B4"/>
    <w:rsid w:val="007E369C"/>
    <w:rsid w:val="007E3BD1"/>
    <w:rsid w:val="007E41EA"/>
    <w:rsid w:val="007E4302"/>
    <w:rsid w:val="007E467D"/>
    <w:rsid w:val="007E5DDA"/>
    <w:rsid w:val="007E6304"/>
    <w:rsid w:val="007E7BFD"/>
    <w:rsid w:val="007F03D4"/>
    <w:rsid w:val="007F09C1"/>
    <w:rsid w:val="007F176F"/>
    <w:rsid w:val="007F1F19"/>
    <w:rsid w:val="007F2594"/>
    <w:rsid w:val="007F2C4D"/>
    <w:rsid w:val="007F2F23"/>
    <w:rsid w:val="007F3852"/>
    <w:rsid w:val="007F4B4D"/>
    <w:rsid w:val="007F67BA"/>
    <w:rsid w:val="007F709E"/>
    <w:rsid w:val="00800434"/>
    <w:rsid w:val="00801C1F"/>
    <w:rsid w:val="00802B68"/>
    <w:rsid w:val="008034CE"/>
    <w:rsid w:val="008043D0"/>
    <w:rsid w:val="00812457"/>
    <w:rsid w:val="00812AB4"/>
    <w:rsid w:val="00812E0C"/>
    <w:rsid w:val="00813486"/>
    <w:rsid w:val="00813A39"/>
    <w:rsid w:val="0081530E"/>
    <w:rsid w:val="00817F9F"/>
    <w:rsid w:val="0082072C"/>
    <w:rsid w:val="00820844"/>
    <w:rsid w:val="00822560"/>
    <w:rsid w:val="0082286B"/>
    <w:rsid w:val="00824015"/>
    <w:rsid w:val="00831CED"/>
    <w:rsid w:val="00835BF8"/>
    <w:rsid w:val="00836256"/>
    <w:rsid w:val="008371ED"/>
    <w:rsid w:val="008415B0"/>
    <w:rsid w:val="00842C4C"/>
    <w:rsid w:val="00842EB8"/>
    <w:rsid w:val="008448B1"/>
    <w:rsid w:val="0084592C"/>
    <w:rsid w:val="00846C82"/>
    <w:rsid w:val="00847F64"/>
    <w:rsid w:val="008517E8"/>
    <w:rsid w:val="008519C7"/>
    <w:rsid w:val="008549FA"/>
    <w:rsid w:val="00854CED"/>
    <w:rsid w:val="008566F2"/>
    <w:rsid w:val="00856BD3"/>
    <w:rsid w:val="008613ED"/>
    <w:rsid w:val="00862F91"/>
    <w:rsid w:val="0086394C"/>
    <w:rsid w:val="0086735E"/>
    <w:rsid w:val="00867C05"/>
    <w:rsid w:val="008724D1"/>
    <w:rsid w:val="00875E0E"/>
    <w:rsid w:val="008773AC"/>
    <w:rsid w:val="008779C6"/>
    <w:rsid w:val="00880C06"/>
    <w:rsid w:val="00882A87"/>
    <w:rsid w:val="008833D3"/>
    <w:rsid w:val="00886DAA"/>
    <w:rsid w:val="008908A1"/>
    <w:rsid w:val="008908F4"/>
    <w:rsid w:val="00892937"/>
    <w:rsid w:val="00892F20"/>
    <w:rsid w:val="0089368F"/>
    <w:rsid w:val="008938BE"/>
    <w:rsid w:val="0089398F"/>
    <w:rsid w:val="0089619D"/>
    <w:rsid w:val="0089702D"/>
    <w:rsid w:val="00897539"/>
    <w:rsid w:val="008A00F7"/>
    <w:rsid w:val="008A0835"/>
    <w:rsid w:val="008A2A28"/>
    <w:rsid w:val="008A3421"/>
    <w:rsid w:val="008A3A9B"/>
    <w:rsid w:val="008A3CA4"/>
    <w:rsid w:val="008A405A"/>
    <w:rsid w:val="008A7534"/>
    <w:rsid w:val="008B039D"/>
    <w:rsid w:val="008B0FCE"/>
    <w:rsid w:val="008B30A2"/>
    <w:rsid w:val="008B3A29"/>
    <w:rsid w:val="008B5E3A"/>
    <w:rsid w:val="008B76CF"/>
    <w:rsid w:val="008C0187"/>
    <w:rsid w:val="008C05A6"/>
    <w:rsid w:val="008C1694"/>
    <w:rsid w:val="008C2EFF"/>
    <w:rsid w:val="008C3F19"/>
    <w:rsid w:val="008C4525"/>
    <w:rsid w:val="008C5EC5"/>
    <w:rsid w:val="008C6ADD"/>
    <w:rsid w:val="008D0780"/>
    <w:rsid w:val="008D08E8"/>
    <w:rsid w:val="008D3713"/>
    <w:rsid w:val="008D6632"/>
    <w:rsid w:val="008D6749"/>
    <w:rsid w:val="008D6A0D"/>
    <w:rsid w:val="008E1514"/>
    <w:rsid w:val="008E1791"/>
    <w:rsid w:val="008E17BE"/>
    <w:rsid w:val="008E2BB7"/>
    <w:rsid w:val="008E377E"/>
    <w:rsid w:val="008E7D2A"/>
    <w:rsid w:val="008F387A"/>
    <w:rsid w:val="00902528"/>
    <w:rsid w:val="0090485C"/>
    <w:rsid w:val="0090591E"/>
    <w:rsid w:val="009066CE"/>
    <w:rsid w:val="00910CCD"/>
    <w:rsid w:val="00911DDB"/>
    <w:rsid w:val="00912A4C"/>
    <w:rsid w:val="00913065"/>
    <w:rsid w:val="00913874"/>
    <w:rsid w:val="00913B98"/>
    <w:rsid w:val="00915180"/>
    <w:rsid w:val="00915C5E"/>
    <w:rsid w:val="00916DE5"/>
    <w:rsid w:val="009176F8"/>
    <w:rsid w:val="00922859"/>
    <w:rsid w:val="00924B0E"/>
    <w:rsid w:val="009334F7"/>
    <w:rsid w:val="0093356B"/>
    <w:rsid w:val="009342FD"/>
    <w:rsid w:val="009376F6"/>
    <w:rsid w:val="00937C28"/>
    <w:rsid w:val="00940589"/>
    <w:rsid w:val="009407EF"/>
    <w:rsid w:val="00941817"/>
    <w:rsid w:val="00942C0B"/>
    <w:rsid w:val="00944F48"/>
    <w:rsid w:val="00945F4B"/>
    <w:rsid w:val="0094699E"/>
    <w:rsid w:val="009500B3"/>
    <w:rsid w:val="00950999"/>
    <w:rsid w:val="00950CEF"/>
    <w:rsid w:val="00950F58"/>
    <w:rsid w:val="00952249"/>
    <w:rsid w:val="009544A2"/>
    <w:rsid w:val="00955636"/>
    <w:rsid w:val="00956868"/>
    <w:rsid w:val="009634B4"/>
    <w:rsid w:val="009678EC"/>
    <w:rsid w:val="0097131A"/>
    <w:rsid w:val="0097446F"/>
    <w:rsid w:val="00974C18"/>
    <w:rsid w:val="00977D2D"/>
    <w:rsid w:val="00980A27"/>
    <w:rsid w:val="0098267F"/>
    <w:rsid w:val="009832C0"/>
    <w:rsid w:val="00984D56"/>
    <w:rsid w:val="00985000"/>
    <w:rsid w:val="009856D7"/>
    <w:rsid w:val="00990B5E"/>
    <w:rsid w:val="00990CC8"/>
    <w:rsid w:val="0099126F"/>
    <w:rsid w:val="00992C7A"/>
    <w:rsid w:val="009A10E7"/>
    <w:rsid w:val="009A2F0F"/>
    <w:rsid w:val="009A390A"/>
    <w:rsid w:val="009A464D"/>
    <w:rsid w:val="009A6A54"/>
    <w:rsid w:val="009A7DFC"/>
    <w:rsid w:val="009A7E87"/>
    <w:rsid w:val="009B16B6"/>
    <w:rsid w:val="009B44D5"/>
    <w:rsid w:val="009B4ED5"/>
    <w:rsid w:val="009B5D6C"/>
    <w:rsid w:val="009C0011"/>
    <w:rsid w:val="009C0C04"/>
    <w:rsid w:val="009C2017"/>
    <w:rsid w:val="009C723C"/>
    <w:rsid w:val="009C75F0"/>
    <w:rsid w:val="009D03AE"/>
    <w:rsid w:val="009D1389"/>
    <w:rsid w:val="009D1F6C"/>
    <w:rsid w:val="009D303C"/>
    <w:rsid w:val="009D3F1A"/>
    <w:rsid w:val="009D521A"/>
    <w:rsid w:val="009D5AB1"/>
    <w:rsid w:val="009D5D5A"/>
    <w:rsid w:val="009D7BFC"/>
    <w:rsid w:val="009E0472"/>
    <w:rsid w:val="009E06EB"/>
    <w:rsid w:val="009E10E1"/>
    <w:rsid w:val="009E1784"/>
    <w:rsid w:val="009E180F"/>
    <w:rsid w:val="009E26FD"/>
    <w:rsid w:val="009E33BA"/>
    <w:rsid w:val="009F0150"/>
    <w:rsid w:val="009F0A89"/>
    <w:rsid w:val="009F0E61"/>
    <w:rsid w:val="009F4BDC"/>
    <w:rsid w:val="009F5119"/>
    <w:rsid w:val="009F5D30"/>
    <w:rsid w:val="00A00833"/>
    <w:rsid w:val="00A04286"/>
    <w:rsid w:val="00A04438"/>
    <w:rsid w:val="00A106DB"/>
    <w:rsid w:val="00A10B7C"/>
    <w:rsid w:val="00A11F88"/>
    <w:rsid w:val="00A12C7A"/>
    <w:rsid w:val="00A1596C"/>
    <w:rsid w:val="00A16562"/>
    <w:rsid w:val="00A1756E"/>
    <w:rsid w:val="00A1787B"/>
    <w:rsid w:val="00A178C3"/>
    <w:rsid w:val="00A20100"/>
    <w:rsid w:val="00A21326"/>
    <w:rsid w:val="00A214C6"/>
    <w:rsid w:val="00A21B77"/>
    <w:rsid w:val="00A238D6"/>
    <w:rsid w:val="00A27D6B"/>
    <w:rsid w:val="00A27E68"/>
    <w:rsid w:val="00A32C71"/>
    <w:rsid w:val="00A330F5"/>
    <w:rsid w:val="00A372AC"/>
    <w:rsid w:val="00A37617"/>
    <w:rsid w:val="00A37738"/>
    <w:rsid w:val="00A43452"/>
    <w:rsid w:val="00A45353"/>
    <w:rsid w:val="00A458D3"/>
    <w:rsid w:val="00A511E5"/>
    <w:rsid w:val="00A5179C"/>
    <w:rsid w:val="00A51BEB"/>
    <w:rsid w:val="00A60465"/>
    <w:rsid w:val="00A6357F"/>
    <w:rsid w:val="00A63E09"/>
    <w:rsid w:val="00A65473"/>
    <w:rsid w:val="00A65BAE"/>
    <w:rsid w:val="00A65BFD"/>
    <w:rsid w:val="00A668E0"/>
    <w:rsid w:val="00A6709C"/>
    <w:rsid w:val="00A72CC1"/>
    <w:rsid w:val="00A72E73"/>
    <w:rsid w:val="00A72F26"/>
    <w:rsid w:val="00A74018"/>
    <w:rsid w:val="00A81957"/>
    <w:rsid w:val="00A82D84"/>
    <w:rsid w:val="00A83F4E"/>
    <w:rsid w:val="00A85794"/>
    <w:rsid w:val="00A861C7"/>
    <w:rsid w:val="00A86C98"/>
    <w:rsid w:val="00A87C3B"/>
    <w:rsid w:val="00A931B6"/>
    <w:rsid w:val="00A93218"/>
    <w:rsid w:val="00A93611"/>
    <w:rsid w:val="00A95373"/>
    <w:rsid w:val="00A95CFE"/>
    <w:rsid w:val="00A96515"/>
    <w:rsid w:val="00A97AAC"/>
    <w:rsid w:val="00A97CCC"/>
    <w:rsid w:val="00AA242D"/>
    <w:rsid w:val="00AA294E"/>
    <w:rsid w:val="00AA6EDA"/>
    <w:rsid w:val="00AA7516"/>
    <w:rsid w:val="00AA78E8"/>
    <w:rsid w:val="00AB100F"/>
    <w:rsid w:val="00AB48F0"/>
    <w:rsid w:val="00AB5025"/>
    <w:rsid w:val="00AB6D62"/>
    <w:rsid w:val="00AC1AC8"/>
    <w:rsid w:val="00AC23BC"/>
    <w:rsid w:val="00AC2598"/>
    <w:rsid w:val="00AC3414"/>
    <w:rsid w:val="00AC43FC"/>
    <w:rsid w:val="00AC4473"/>
    <w:rsid w:val="00AC5445"/>
    <w:rsid w:val="00AC58CA"/>
    <w:rsid w:val="00AC5F8F"/>
    <w:rsid w:val="00AC7FF2"/>
    <w:rsid w:val="00AD2E66"/>
    <w:rsid w:val="00AD3DBA"/>
    <w:rsid w:val="00AD62A7"/>
    <w:rsid w:val="00AD6482"/>
    <w:rsid w:val="00AD68EF"/>
    <w:rsid w:val="00AE1A65"/>
    <w:rsid w:val="00AF2745"/>
    <w:rsid w:val="00AF5C82"/>
    <w:rsid w:val="00AF64B6"/>
    <w:rsid w:val="00B0578F"/>
    <w:rsid w:val="00B05B35"/>
    <w:rsid w:val="00B061E6"/>
    <w:rsid w:val="00B11E07"/>
    <w:rsid w:val="00B1210B"/>
    <w:rsid w:val="00B13FAE"/>
    <w:rsid w:val="00B14A49"/>
    <w:rsid w:val="00B236AE"/>
    <w:rsid w:val="00B236FD"/>
    <w:rsid w:val="00B246D1"/>
    <w:rsid w:val="00B2766E"/>
    <w:rsid w:val="00B27786"/>
    <w:rsid w:val="00B313B3"/>
    <w:rsid w:val="00B31515"/>
    <w:rsid w:val="00B322D1"/>
    <w:rsid w:val="00B3335B"/>
    <w:rsid w:val="00B357AA"/>
    <w:rsid w:val="00B358C8"/>
    <w:rsid w:val="00B35EEB"/>
    <w:rsid w:val="00B365F7"/>
    <w:rsid w:val="00B36806"/>
    <w:rsid w:val="00B37891"/>
    <w:rsid w:val="00B42E9F"/>
    <w:rsid w:val="00B433F2"/>
    <w:rsid w:val="00B44AE8"/>
    <w:rsid w:val="00B451B5"/>
    <w:rsid w:val="00B505A2"/>
    <w:rsid w:val="00B50914"/>
    <w:rsid w:val="00B51639"/>
    <w:rsid w:val="00B51ED6"/>
    <w:rsid w:val="00B52F3D"/>
    <w:rsid w:val="00B53551"/>
    <w:rsid w:val="00B56440"/>
    <w:rsid w:val="00B57FC6"/>
    <w:rsid w:val="00B6038F"/>
    <w:rsid w:val="00B60E16"/>
    <w:rsid w:val="00B60FDF"/>
    <w:rsid w:val="00B61926"/>
    <w:rsid w:val="00B61A48"/>
    <w:rsid w:val="00B62C60"/>
    <w:rsid w:val="00B6445D"/>
    <w:rsid w:val="00B64C34"/>
    <w:rsid w:val="00B6568B"/>
    <w:rsid w:val="00B67228"/>
    <w:rsid w:val="00B700D4"/>
    <w:rsid w:val="00B73430"/>
    <w:rsid w:val="00B736CA"/>
    <w:rsid w:val="00B73AF1"/>
    <w:rsid w:val="00B73BDA"/>
    <w:rsid w:val="00B74BDB"/>
    <w:rsid w:val="00B7620C"/>
    <w:rsid w:val="00B843BB"/>
    <w:rsid w:val="00B86A36"/>
    <w:rsid w:val="00B90997"/>
    <w:rsid w:val="00B90A55"/>
    <w:rsid w:val="00B90F37"/>
    <w:rsid w:val="00B921AC"/>
    <w:rsid w:val="00B9300D"/>
    <w:rsid w:val="00B933D5"/>
    <w:rsid w:val="00B955D2"/>
    <w:rsid w:val="00B95E77"/>
    <w:rsid w:val="00B96095"/>
    <w:rsid w:val="00B972F9"/>
    <w:rsid w:val="00B977DB"/>
    <w:rsid w:val="00BA2CDA"/>
    <w:rsid w:val="00BA4468"/>
    <w:rsid w:val="00BA6343"/>
    <w:rsid w:val="00BB0F21"/>
    <w:rsid w:val="00BB5614"/>
    <w:rsid w:val="00BB7BE9"/>
    <w:rsid w:val="00BC3475"/>
    <w:rsid w:val="00BC40D2"/>
    <w:rsid w:val="00BC49D1"/>
    <w:rsid w:val="00BC6867"/>
    <w:rsid w:val="00BC6C3A"/>
    <w:rsid w:val="00BC7014"/>
    <w:rsid w:val="00BC70D8"/>
    <w:rsid w:val="00BD1C0A"/>
    <w:rsid w:val="00BD36E1"/>
    <w:rsid w:val="00BE1676"/>
    <w:rsid w:val="00BE18F6"/>
    <w:rsid w:val="00BE303A"/>
    <w:rsid w:val="00BE38F1"/>
    <w:rsid w:val="00BE4CEA"/>
    <w:rsid w:val="00BE5C2F"/>
    <w:rsid w:val="00BF0DDD"/>
    <w:rsid w:val="00BF0F41"/>
    <w:rsid w:val="00BF1AC4"/>
    <w:rsid w:val="00BF1BD3"/>
    <w:rsid w:val="00BF2392"/>
    <w:rsid w:val="00BF3A39"/>
    <w:rsid w:val="00C005DC"/>
    <w:rsid w:val="00C0180C"/>
    <w:rsid w:val="00C022E3"/>
    <w:rsid w:val="00C027AF"/>
    <w:rsid w:val="00C02EFE"/>
    <w:rsid w:val="00C03338"/>
    <w:rsid w:val="00C03695"/>
    <w:rsid w:val="00C05B61"/>
    <w:rsid w:val="00C1068B"/>
    <w:rsid w:val="00C129D2"/>
    <w:rsid w:val="00C133F8"/>
    <w:rsid w:val="00C175D8"/>
    <w:rsid w:val="00C1789D"/>
    <w:rsid w:val="00C17C65"/>
    <w:rsid w:val="00C3180E"/>
    <w:rsid w:val="00C33000"/>
    <w:rsid w:val="00C33015"/>
    <w:rsid w:val="00C34A2E"/>
    <w:rsid w:val="00C351D2"/>
    <w:rsid w:val="00C365C5"/>
    <w:rsid w:val="00C36C87"/>
    <w:rsid w:val="00C374CD"/>
    <w:rsid w:val="00C37ED6"/>
    <w:rsid w:val="00C46D5B"/>
    <w:rsid w:val="00C50EB8"/>
    <w:rsid w:val="00C539CB"/>
    <w:rsid w:val="00C53A3C"/>
    <w:rsid w:val="00C54B5D"/>
    <w:rsid w:val="00C57A1D"/>
    <w:rsid w:val="00C60663"/>
    <w:rsid w:val="00C62C55"/>
    <w:rsid w:val="00C630F9"/>
    <w:rsid w:val="00C63E5F"/>
    <w:rsid w:val="00C64D72"/>
    <w:rsid w:val="00C6550D"/>
    <w:rsid w:val="00C6590A"/>
    <w:rsid w:val="00C67637"/>
    <w:rsid w:val="00C70CF4"/>
    <w:rsid w:val="00C71821"/>
    <w:rsid w:val="00C73688"/>
    <w:rsid w:val="00C73C6B"/>
    <w:rsid w:val="00C77BA5"/>
    <w:rsid w:val="00C77C1F"/>
    <w:rsid w:val="00C80F94"/>
    <w:rsid w:val="00C833D1"/>
    <w:rsid w:val="00C84749"/>
    <w:rsid w:val="00C929FE"/>
    <w:rsid w:val="00C94E2C"/>
    <w:rsid w:val="00C9625D"/>
    <w:rsid w:val="00C963B1"/>
    <w:rsid w:val="00C97CEE"/>
    <w:rsid w:val="00CA0367"/>
    <w:rsid w:val="00CA1296"/>
    <w:rsid w:val="00CA20C0"/>
    <w:rsid w:val="00CA22BC"/>
    <w:rsid w:val="00CA3F61"/>
    <w:rsid w:val="00CA46A1"/>
    <w:rsid w:val="00CA50AA"/>
    <w:rsid w:val="00CA5839"/>
    <w:rsid w:val="00CA5A53"/>
    <w:rsid w:val="00CA67A7"/>
    <w:rsid w:val="00CA79DB"/>
    <w:rsid w:val="00CB252E"/>
    <w:rsid w:val="00CB2F1F"/>
    <w:rsid w:val="00CB6FA7"/>
    <w:rsid w:val="00CC1D99"/>
    <w:rsid w:val="00CC4476"/>
    <w:rsid w:val="00CC44FA"/>
    <w:rsid w:val="00CC4522"/>
    <w:rsid w:val="00CC5521"/>
    <w:rsid w:val="00CC7DCA"/>
    <w:rsid w:val="00CD1719"/>
    <w:rsid w:val="00CD4F5F"/>
    <w:rsid w:val="00CD6A40"/>
    <w:rsid w:val="00CE54D1"/>
    <w:rsid w:val="00CF01A3"/>
    <w:rsid w:val="00CF07BC"/>
    <w:rsid w:val="00CF110B"/>
    <w:rsid w:val="00CF1BB0"/>
    <w:rsid w:val="00CF1CF4"/>
    <w:rsid w:val="00CF2014"/>
    <w:rsid w:val="00CF63E8"/>
    <w:rsid w:val="00CF78F9"/>
    <w:rsid w:val="00D003FA"/>
    <w:rsid w:val="00D057F4"/>
    <w:rsid w:val="00D06AC2"/>
    <w:rsid w:val="00D07357"/>
    <w:rsid w:val="00D11F00"/>
    <w:rsid w:val="00D12617"/>
    <w:rsid w:val="00D17CD9"/>
    <w:rsid w:val="00D24324"/>
    <w:rsid w:val="00D25ACE"/>
    <w:rsid w:val="00D26F11"/>
    <w:rsid w:val="00D3115F"/>
    <w:rsid w:val="00D33A5D"/>
    <w:rsid w:val="00D37160"/>
    <w:rsid w:val="00D377C5"/>
    <w:rsid w:val="00D42E15"/>
    <w:rsid w:val="00D430E7"/>
    <w:rsid w:val="00D45487"/>
    <w:rsid w:val="00D459A6"/>
    <w:rsid w:val="00D45A97"/>
    <w:rsid w:val="00D4672F"/>
    <w:rsid w:val="00D475ED"/>
    <w:rsid w:val="00D51C84"/>
    <w:rsid w:val="00D52BF3"/>
    <w:rsid w:val="00D52C90"/>
    <w:rsid w:val="00D552BD"/>
    <w:rsid w:val="00D55BD5"/>
    <w:rsid w:val="00D56D18"/>
    <w:rsid w:val="00D60EF6"/>
    <w:rsid w:val="00D61533"/>
    <w:rsid w:val="00D67665"/>
    <w:rsid w:val="00D75777"/>
    <w:rsid w:val="00D81665"/>
    <w:rsid w:val="00D833B7"/>
    <w:rsid w:val="00D83A35"/>
    <w:rsid w:val="00D85895"/>
    <w:rsid w:val="00D85F18"/>
    <w:rsid w:val="00D866B2"/>
    <w:rsid w:val="00D93231"/>
    <w:rsid w:val="00D9546F"/>
    <w:rsid w:val="00D95D11"/>
    <w:rsid w:val="00D96D61"/>
    <w:rsid w:val="00D976BC"/>
    <w:rsid w:val="00DA0F51"/>
    <w:rsid w:val="00DA16E9"/>
    <w:rsid w:val="00DA25D8"/>
    <w:rsid w:val="00DA2722"/>
    <w:rsid w:val="00DA3398"/>
    <w:rsid w:val="00DA56F9"/>
    <w:rsid w:val="00DA5974"/>
    <w:rsid w:val="00DA616D"/>
    <w:rsid w:val="00DA747E"/>
    <w:rsid w:val="00DA7E75"/>
    <w:rsid w:val="00DB0345"/>
    <w:rsid w:val="00DB0580"/>
    <w:rsid w:val="00DB3D9B"/>
    <w:rsid w:val="00DB7352"/>
    <w:rsid w:val="00DC02A1"/>
    <w:rsid w:val="00DC7061"/>
    <w:rsid w:val="00DC7406"/>
    <w:rsid w:val="00DC74B1"/>
    <w:rsid w:val="00DD1C22"/>
    <w:rsid w:val="00DD3D0B"/>
    <w:rsid w:val="00DD4A93"/>
    <w:rsid w:val="00DD69EA"/>
    <w:rsid w:val="00DE00F4"/>
    <w:rsid w:val="00DE0378"/>
    <w:rsid w:val="00DE1241"/>
    <w:rsid w:val="00DE4C14"/>
    <w:rsid w:val="00DE5A9F"/>
    <w:rsid w:val="00DF08EE"/>
    <w:rsid w:val="00DF3945"/>
    <w:rsid w:val="00E00A2A"/>
    <w:rsid w:val="00E0269E"/>
    <w:rsid w:val="00E03E72"/>
    <w:rsid w:val="00E05AA9"/>
    <w:rsid w:val="00E05BF0"/>
    <w:rsid w:val="00E06FD3"/>
    <w:rsid w:val="00E07F83"/>
    <w:rsid w:val="00E13087"/>
    <w:rsid w:val="00E133F5"/>
    <w:rsid w:val="00E162C3"/>
    <w:rsid w:val="00E16B97"/>
    <w:rsid w:val="00E16D01"/>
    <w:rsid w:val="00E17A33"/>
    <w:rsid w:val="00E20155"/>
    <w:rsid w:val="00E2236B"/>
    <w:rsid w:val="00E23E59"/>
    <w:rsid w:val="00E26AF0"/>
    <w:rsid w:val="00E271B6"/>
    <w:rsid w:val="00E30E2C"/>
    <w:rsid w:val="00E31321"/>
    <w:rsid w:val="00E31E57"/>
    <w:rsid w:val="00E33F18"/>
    <w:rsid w:val="00E36F2A"/>
    <w:rsid w:val="00E36FF0"/>
    <w:rsid w:val="00E37E51"/>
    <w:rsid w:val="00E413CF"/>
    <w:rsid w:val="00E43123"/>
    <w:rsid w:val="00E46032"/>
    <w:rsid w:val="00E47740"/>
    <w:rsid w:val="00E502AF"/>
    <w:rsid w:val="00E52341"/>
    <w:rsid w:val="00E52A93"/>
    <w:rsid w:val="00E536FB"/>
    <w:rsid w:val="00E53C82"/>
    <w:rsid w:val="00E542A7"/>
    <w:rsid w:val="00E556A5"/>
    <w:rsid w:val="00E617EC"/>
    <w:rsid w:val="00E62033"/>
    <w:rsid w:val="00E6249D"/>
    <w:rsid w:val="00E63E39"/>
    <w:rsid w:val="00E64D3D"/>
    <w:rsid w:val="00E66A87"/>
    <w:rsid w:val="00E70F69"/>
    <w:rsid w:val="00E71419"/>
    <w:rsid w:val="00E720F2"/>
    <w:rsid w:val="00E7232B"/>
    <w:rsid w:val="00E73816"/>
    <w:rsid w:val="00E754B4"/>
    <w:rsid w:val="00E82508"/>
    <w:rsid w:val="00E8308E"/>
    <w:rsid w:val="00E85B4F"/>
    <w:rsid w:val="00E944D9"/>
    <w:rsid w:val="00E962E2"/>
    <w:rsid w:val="00E97A9A"/>
    <w:rsid w:val="00EA3178"/>
    <w:rsid w:val="00EA392B"/>
    <w:rsid w:val="00EA3A62"/>
    <w:rsid w:val="00EA4C45"/>
    <w:rsid w:val="00EA4E2A"/>
    <w:rsid w:val="00EA76D4"/>
    <w:rsid w:val="00EA7E62"/>
    <w:rsid w:val="00EB21BA"/>
    <w:rsid w:val="00EB6355"/>
    <w:rsid w:val="00EB6F12"/>
    <w:rsid w:val="00EB7599"/>
    <w:rsid w:val="00EC3943"/>
    <w:rsid w:val="00EC4EE9"/>
    <w:rsid w:val="00EC5011"/>
    <w:rsid w:val="00EC540C"/>
    <w:rsid w:val="00EC5896"/>
    <w:rsid w:val="00EC6FA3"/>
    <w:rsid w:val="00ED679B"/>
    <w:rsid w:val="00ED6A7D"/>
    <w:rsid w:val="00ED7D11"/>
    <w:rsid w:val="00EE1EBD"/>
    <w:rsid w:val="00EE407E"/>
    <w:rsid w:val="00EE4188"/>
    <w:rsid w:val="00EF1AE9"/>
    <w:rsid w:val="00EF7CE1"/>
    <w:rsid w:val="00F01D0F"/>
    <w:rsid w:val="00F04418"/>
    <w:rsid w:val="00F07ECB"/>
    <w:rsid w:val="00F10DD4"/>
    <w:rsid w:val="00F1174D"/>
    <w:rsid w:val="00F1310A"/>
    <w:rsid w:val="00F13566"/>
    <w:rsid w:val="00F1512C"/>
    <w:rsid w:val="00F170CD"/>
    <w:rsid w:val="00F22C02"/>
    <w:rsid w:val="00F22E28"/>
    <w:rsid w:val="00F2308C"/>
    <w:rsid w:val="00F241F7"/>
    <w:rsid w:val="00F31182"/>
    <w:rsid w:val="00F32185"/>
    <w:rsid w:val="00F3377D"/>
    <w:rsid w:val="00F3685A"/>
    <w:rsid w:val="00F40044"/>
    <w:rsid w:val="00F44124"/>
    <w:rsid w:val="00F45EC4"/>
    <w:rsid w:val="00F473BE"/>
    <w:rsid w:val="00F516B6"/>
    <w:rsid w:val="00F51ABD"/>
    <w:rsid w:val="00F52252"/>
    <w:rsid w:val="00F52CB4"/>
    <w:rsid w:val="00F54211"/>
    <w:rsid w:val="00F551EF"/>
    <w:rsid w:val="00F565E6"/>
    <w:rsid w:val="00F57A90"/>
    <w:rsid w:val="00F606C0"/>
    <w:rsid w:val="00F612A2"/>
    <w:rsid w:val="00F66E3F"/>
    <w:rsid w:val="00F66E76"/>
    <w:rsid w:val="00F6708D"/>
    <w:rsid w:val="00F72240"/>
    <w:rsid w:val="00F73E47"/>
    <w:rsid w:val="00F76BB1"/>
    <w:rsid w:val="00F76CAC"/>
    <w:rsid w:val="00F7703F"/>
    <w:rsid w:val="00F81513"/>
    <w:rsid w:val="00F81A03"/>
    <w:rsid w:val="00F8481B"/>
    <w:rsid w:val="00F85E71"/>
    <w:rsid w:val="00F86CE7"/>
    <w:rsid w:val="00F91590"/>
    <w:rsid w:val="00F91DFF"/>
    <w:rsid w:val="00FA1568"/>
    <w:rsid w:val="00FA4BD9"/>
    <w:rsid w:val="00FA6523"/>
    <w:rsid w:val="00FA6554"/>
    <w:rsid w:val="00FB27BC"/>
    <w:rsid w:val="00FB3F82"/>
    <w:rsid w:val="00FB6D8A"/>
    <w:rsid w:val="00FC10BC"/>
    <w:rsid w:val="00FC1919"/>
    <w:rsid w:val="00FC312A"/>
    <w:rsid w:val="00FC5218"/>
    <w:rsid w:val="00FC564E"/>
    <w:rsid w:val="00FC607E"/>
    <w:rsid w:val="00FC6783"/>
    <w:rsid w:val="00FC68BB"/>
    <w:rsid w:val="00FC7DC6"/>
    <w:rsid w:val="00FD0A44"/>
    <w:rsid w:val="00FE08E5"/>
    <w:rsid w:val="00FE0962"/>
    <w:rsid w:val="00FE0D45"/>
    <w:rsid w:val="00FE1773"/>
    <w:rsid w:val="00FE7888"/>
    <w:rsid w:val="00FF0E38"/>
    <w:rsid w:val="00FF6407"/>
    <w:rsid w:val="00FF69B1"/>
    <w:rsid w:val="00FF69E8"/>
    <w:rsid w:val="00FF6A8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BB4835"/>
  <w15:docId w15:val="{0588DEE9-E920-4373-9389-E51222130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ali">
    <w:name w:val="Normal"/>
    <w:qFormat/>
    <w:rsid w:val="005901B2"/>
    <w:pPr>
      <w:spacing w:after="160" w:line="259" w:lineRule="auto"/>
    </w:pPr>
  </w:style>
  <w:style w:type="paragraph" w:styleId="Otsikko1">
    <w:name w:val="heading 1"/>
    <w:basedOn w:val="Normaali"/>
    <w:next w:val="Normaali"/>
    <w:link w:val="Otsikko1Char"/>
    <w:uiPriority w:val="9"/>
    <w:qFormat/>
    <w:rsid w:val="00F4004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Otsikko2">
    <w:name w:val="heading 2"/>
    <w:basedOn w:val="Normaali"/>
    <w:next w:val="Normaali"/>
    <w:link w:val="Otsikko2Char"/>
    <w:uiPriority w:val="9"/>
    <w:semiHidden/>
    <w:unhideWhenUsed/>
    <w:qFormat/>
    <w:rsid w:val="00F4004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Otsikko3">
    <w:name w:val="heading 3"/>
    <w:basedOn w:val="Normaali"/>
    <w:next w:val="Normaali"/>
    <w:link w:val="Otsikko3Char"/>
    <w:uiPriority w:val="9"/>
    <w:semiHidden/>
    <w:unhideWhenUsed/>
    <w:qFormat/>
    <w:rsid w:val="00F40044"/>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Otsikko4">
    <w:name w:val="heading 4"/>
    <w:basedOn w:val="Normaali"/>
    <w:next w:val="Normaali"/>
    <w:link w:val="Otsikko4Char"/>
    <w:uiPriority w:val="9"/>
    <w:semiHidden/>
    <w:unhideWhenUsed/>
    <w:qFormat/>
    <w:rsid w:val="00F40044"/>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Otsikko5">
    <w:name w:val="heading 5"/>
    <w:basedOn w:val="Normaali"/>
    <w:next w:val="Normaali"/>
    <w:link w:val="Otsikko5Char"/>
    <w:uiPriority w:val="9"/>
    <w:semiHidden/>
    <w:unhideWhenUsed/>
    <w:qFormat/>
    <w:rsid w:val="00F40044"/>
    <w:pPr>
      <w:keepNext/>
      <w:keepLines/>
      <w:spacing w:before="40" w:after="0"/>
      <w:outlineLvl w:val="4"/>
    </w:pPr>
    <w:rPr>
      <w:rFonts w:asciiTheme="majorHAnsi" w:eastAsiaTheme="majorEastAsia" w:hAnsiTheme="majorHAnsi" w:cstheme="majorBidi"/>
      <w:color w:val="365F91" w:themeColor="accent1" w:themeShade="BF"/>
    </w:rPr>
  </w:style>
  <w:style w:type="paragraph" w:styleId="Otsikko6">
    <w:name w:val="heading 6"/>
    <w:basedOn w:val="Normaali"/>
    <w:next w:val="Normaali"/>
    <w:link w:val="Otsikko6Char"/>
    <w:uiPriority w:val="9"/>
    <w:semiHidden/>
    <w:unhideWhenUsed/>
    <w:qFormat/>
    <w:rsid w:val="00F40044"/>
    <w:pPr>
      <w:keepNext/>
      <w:keepLines/>
      <w:spacing w:before="40" w:after="0"/>
      <w:outlineLvl w:val="5"/>
    </w:pPr>
    <w:rPr>
      <w:rFonts w:asciiTheme="majorHAnsi" w:eastAsiaTheme="majorEastAsia" w:hAnsiTheme="majorHAnsi" w:cstheme="majorBidi"/>
      <w:color w:val="243F60" w:themeColor="accent1" w:themeShade="7F"/>
    </w:rPr>
  </w:style>
  <w:style w:type="paragraph" w:styleId="Otsikko7">
    <w:name w:val="heading 7"/>
    <w:basedOn w:val="Normaali"/>
    <w:next w:val="Normaali"/>
    <w:link w:val="Otsikko7Char"/>
    <w:uiPriority w:val="9"/>
    <w:semiHidden/>
    <w:unhideWhenUsed/>
    <w:qFormat/>
    <w:rsid w:val="00F40044"/>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Otsikko8">
    <w:name w:val="heading 8"/>
    <w:basedOn w:val="Normaali"/>
    <w:next w:val="Normaali"/>
    <w:link w:val="Otsikko8Char"/>
    <w:uiPriority w:val="9"/>
    <w:semiHidden/>
    <w:unhideWhenUsed/>
    <w:qFormat/>
    <w:rsid w:val="00F4004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Otsikko9">
    <w:name w:val="heading 9"/>
    <w:basedOn w:val="Normaali"/>
    <w:next w:val="Normaali"/>
    <w:link w:val="Otsikko9Char"/>
    <w:uiPriority w:val="9"/>
    <w:semiHidden/>
    <w:unhideWhenUsed/>
    <w:qFormat/>
    <w:rsid w:val="00F4004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unhideWhenUsed/>
    <w:rsid w:val="005901B2"/>
    <w:pPr>
      <w:spacing w:after="0" w:line="240" w:lineRule="auto"/>
    </w:pPr>
    <w:rPr>
      <w:sz w:val="20"/>
      <w:szCs w:val="20"/>
    </w:rPr>
  </w:style>
  <w:style w:type="character" w:customStyle="1" w:styleId="AlaviitteentekstiChar">
    <w:name w:val="Alaviitteen teksti Char"/>
    <w:basedOn w:val="Kappaleenoletusfontti"/>
    <w:link w:val="Alaviitteenteksti"/>
    <w:uiPriority w:val="99"/>
    <w:rsid w:val="005901B2"/>
    <w:rPr>
      <w:sz w:val="20"/>
      <w:szCs w:val="20"/>
    </w:rPr>
  </w:style>
  <w:style w:type="character" w:styleId="Alaviitteenviite">
    <w:name w:val="footnote reference"/>
    <w:basedOn w:val="Kappaleenoletusfontti"/>
    <w:semiHidden/>
    <w:unhideWhenUsed/>
    <w:rsid w:val="005901B2"/>
    <w:rPr>
      <w:vertAlign w:val="superscript"/>
    </w:rPr>
  </w:style>
  <w:style w:type="character" w:customStyle="1" w:styleId="5yl5">
    <w:name w:val="_5yl5"/>
    <w:basedOn w:val="Kappaleenoletusfontti"/>
    <w:rsid w:val="005901B2"/>
  </w:style>
  <w:style w:type="paragraph" w:styleId="Yltunniste">
    <w:name w:val="header"/>
    <w:basedOn w:val="Normaali"/>
    <w:link w:val="YltunnisteChar"/>
    <w:uiPriority w:val="99"/>
    <w:unhideWhenUsed/>
    <w:rsid w:val="00B365F7"/>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B365F7"/>
  </w:style>
  <w:style w:type="paragraph" w:styleId="Alatunniste">
    <w:name w:val="footer"/>
    <w:basedOn w:val="Normaali"/>
    <w:link w:val="AlatunnisteChar"/>
    <w:uiPriority w:val="99"/>
    <w:unhideWhenUsed/>
    <w:rsid w:val="00B365F7"/>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B365F7"/>
  </w:style>
  <w:style w:type="paragraph" w:styleId="HTML-esimuotoiltu">
    <w:name w:val="HTML Preformatted"/>
    <w:basedOn w:val="Normaali"/>
    <w:link w:val="HTML-esimuotoiltuChar"/>
    <w:uiPriority w:val="99"/>
    <w:unhideWhenUsed/>
    <w:rsid w:val="003647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i-FI"/>
    </w:rPr>
  </w:style>
  <w:style w:type="character" w:customStyle="1" w:styleId="HTML-esimuotoiltuChar">
    <w:name w:val="HTML-esimuotoiltu Char"/>
    <w:basedOn w:val="Kappaleenoletusfontti"/>
    <w:link w:val="HTML-esimuotoiltu"/>
    <w:uiPriority w:val="99"/>
    <w:rsid w:val="00364738"/>
    <w:rPr>
      <w:rFonts w:ascii="Courier New" w:eastAsia="Times New Roman" w:hAnsi="Courier New" w:cs="Courier New"/>
      <w:sz w:val="20"/>
      <w:szCs w:val="20"/>
      <w:lang w:eastAsia="fi-FI"/>
    </w:rPr>
  </w:style>
  <w:style w:type="paragraph" w:styleId="Loppuviitteenteksti">
    <w:name w:val="endnote text"/>
    <w:basedOn w:val="Normaali"/>
    <w:link w:val="LoppuviitteentekstiChar"/>
    <w:uiPriority w:val="99"/>
    <w:semiHidden/>
    <w:unhideWhenUsed/>
    <w:rsid w:val="00364738"/>
    <w:pPr>
      <w:spacing w:after="0" w:line="240" w:lineRule="auto"/>
    </w:pPr>
    <w:rPr>
      <w:sz w:val="20"/>
      <w:szCs w:val="20"/>
    </w:rPr>
  </w:style>
  <w:style w:type="character" w:customStyle="1" w:styleId="LoppuviitteentekstiChar">
    <w:name w:val="Loppuviitteen teksti Char"/>
    <w:basedOn w:val="Kappaleenoletusfontti"/>
    <w:link w:val="Loppuviitteenteksti"/>
    <w:uiPriority w:val="99"/>
    <w:semiHidden/>
    <w:rsid w:val="00364738"/>
    <w:rPr>
      <w:sz w:val="20"/>
      <w:szCs w:val="20"/>
    </w:rPr>
  </w:style>
  <w:style w:type="character" w:styleId="Loppuviitteenviite">
    <w:name w:val="endnote reference"/>
    <w:basedOn w:val="Kappaleenoletusfontti"/>
    <w:uiPriority w:val="99"/>
    <w:semiHidden/>
    <w:unhideWhenUsed/>
    <w:rsid w:val="00364738"/>
    <w:rPr>
      <w:vertAlign w:val="superscript"/>
    </w:rPr>
  </w:style>
  <w:style w:type="paragraph" w:styleId="Seliteteksti">
    <w:name w:val="Balloon Text"/>
    <w:basedOn w:val="Normaali"/>
    <w:link w:val="SelitetekstiChar"/>
    <w:uiPriority w:val="99"/>
    <w:semiHidden/>
    <w:unhideWhenUsed/>
    <w:rsid w:val="00F40044"/>
    <w:pPr>
      <w:spacing w:after="0" w:line="240" w:lineRule="auto"/>
    </w:pPr>
    <w:rPr>
      <w:rFonts w:ascii="Segoe UI" w:hAnsi="Segoe UI" w:cs="Segoe UI"/>
      <w:sz w:val="18"/>
      <w:szCs w:val="18"/>
    </w:rPr>
  </w:style>
  <w:style w:type="character" w:customStyle="1" w:styleId="SelitetekstiChar">
    <w:name w:val="Seliteteksti Char"/>
    <w:basedOn w:val="Kappaleenoletusfontti"/>
    <w:link w:val="Seliteteksti"/>
    <w:uiPriority w:val="99"/>
    <w:semiHidden/>
    <w:rsid w:val="00F40044"/>
    <w:rPr>
      <w:rFonts w:ascii="Segoe UI" w:hAnsi="Segoe UI" w:cs="Segoe UI"/>
      <w:sz w:val="18"/>
      <w:szCs w:val="18"/>
    </w:rPr>
  </w:style>
  <w:style w:type="paragraph" w:styleId="Lhdeluettelo">
    <w:name w:val="Bibliography"/>
    <w:basedOn w:val="Normaali"/>
    <w:next w:val="Normaali"/>
    <w:uiPriority w:val="37"/>
    <w:semiHidden/>
    <w:unhideWhenUsed/>
    <w:rsid w:val="00F40044"/>
  </w:style>
  <w:style w:type="paragraph" w:styleId="Lohkoteksti">
    <w:name w:val="Block Text"/>
    <w:basedOn w:val="Normaali"/>
    <w:uiPriority w:val="99"/>
    <w:semiHidden/>
    <w:unhideWhenUsed/>
    <w:rsid w:val="00F40044"/>
    <w:pPr>
      <w:pBdr>
        <w:top w:val="single" w:sz="2" w:space="10" w:color="4F81BD" w:themeColor="accent1" w:shadow="1" w:frame="1"/>
        <w:left w:val="single" w:sz="2" w:space="10" w:color="4F81BD" w:themeColor="accent1" w:shadow="1" w:frame="1"/>
        <w:bottom w:val="single" w:sz="2" w:space="10" w:color="4F81BD" w:themeColor="accent1" w:shadow="1" w:frame="1"/>
        <w:right w:val="single" w:sz="2" w:space="10" w:color="4F81BD" w:themeColor="accent1" w:shadow="1" w:frame="1"/>
      </w:pBdr>
      <w:ind w:left="1152" w:right="1152"/>
    </w:pPr>
    <w:rPr>
      <w:rFonts w:eastAsiaTheme="minorEastAsia"/>
      <w:i/>
      <w:iCs/>
      <w:color w:val="4F81BD" w:themeColor="accent1"/>
    </w:rPr>
  </w:style>
  <w:style w:type="paragraph" w:styleId="Leipteksti">
    <w:name w:val="Body Text"/>
    <w:basedOn w:val="Normaali"/>
    <w:link w:val="LeiptekstiChar"/>
    <w:uiPriority w:val="99"/>
    <w:semiHidden/>
    <w:unhideWhenUsed/>
    <w:rsid w:val="00F40044"/>
    <w:pPr>
      <w:spacing w:after="120"/>
    </w:pPr>
  </w:style>
  <w:style w:type="character" w:customStyle="1" w:styleId="LeiptekstiChar">
    <w:name w:val="Leipäteksti Char"/>
    <w:basedOn w:val="Kappaleenoletusfontti"/>
    <w:link w:val="Leipteksti"/>
    <w:uiPriority w:val="99"/>
    <w:semiHidden/>
    <w:rsid w:val="00F40044"/>
  </w:style>
  <w:style w:type="paragraph" w:styleId="Leipteksti2">
    <w:name w:val="Body Text 2"/>
    <w:basedOn w:val="Normaali"/>
    <w:link w:val="Leipteksti2Char"/>
    <w:uiPriority w:val="99"/>
    <w:semiHidden/>
    <w:unhideWhenUsed/>
    <w:rsid w:val="00F40044"/>
    <w:pPr>
      <w:spacing w:after="120" w:line="480" w:lineRule="auto"/>
    </w:pPr>
  </w:style>
  <w:style w:type="character" w:customStyle="1" w:styleId="Leipteksti2Char">
    <w:name w:val="Leipäteksti 2 Char"/>
    <w:basedOn w:val="Kappaleenoletusfontti"/>
    <w:link w:val="Leipteksti2"/>
    <w:uiPriority w:val="99"/>
    <w:semiHidden/>
    <w:rsid w:val="00F40044"/>
  </w:style>
  <w:style w:type="paragraph" w:styleId="Leipteksti3">
    <w:name w:val="Body Text 3"/>
    <w:basedOn w:val="Normaali"/>
    <w:link w:val="Leipteksti3Char"/>
    <w:uiPriority w:val="99"/>
    <w:semiHidden/>
    <w:unhideWhenUsed/>
    <w:rsid w:val="00F40044"/>
    <w:pPr>
      <w:spacing w:after="120"/>
    </w:pPr>
    <w:rPr>
      <w:sz w:val="16"/>
      <w:szCs w:val="16"/>
    </w:rPr>
  </w:style>
  <w:style w:type="character" w:customStyle="1" w:styleId="Leipteksti3Char">
    <w:name w:val="Leipäteksti 3 Char"/>
    <w:basedOn w:val="Kappaleenoletusfontti"/>
    <w:link w:val="Leipteksti3"/>
    <w:uiPriority w:val="99"/>
    <w:semiHidden/>
    <w:rsid w:val="00F40044"/>
    <w:rPr>
      <w:sz w:val="16"/>
      <w:szCs w:val="16"/>
    </w:rPr>
  </w:style>
  <w:style w:type="paragraph" w:styleId="Leiptekstin1rivinsisennys">
    <w:name w:val="Body Text First Indent"/>
    <w:basedOn w:val="Leipteksti"/>
    <w:link w:val="Leiptekstin1rivinsisennysChar"/>
    <w:uiPriority w:val="99"/>
    <w:semiHidden/>
    <w:unhideWhenUsed/>
    <w:rsid w:val="00F40044"/>
    <w:pPr>
      <w:spacing w:after="160"/>
      <w:ind w:firstLine="360"/>
    </w:pPr>
  </w:style>
  <w:style w:type="character" w:customStyle="1" w:styleId="Leiptekstin1rivinsisennysChar">
    <w:name w:val="Leipätekstin 1. rivin sisennys Char"/>
    <w:basedOn w:val="LeiptekstiChar"/>
    <w:link w:val="Leiptekstin1rivinsisennys"/>
    <w:uiPriority w:val="99"/>
    <w:semiHidden/>
    <w:rsid w:val="00F40044"/>
  </w:style>
  <w:style w:type="paragraph" w:styleId="Sisennettyleipteksti">
    <w:name w:val="Body Text Indent"/>
    <w:basedOn w:val="Normaali"/>
    <w:link w:val="SisennettyleiptekstiChar"/>
    <w:uiPriority w:val="99"/>
    <w:semiHidden/>
    <w:unhideWhenUsed/>
    <w:rsid w:val="00F40044"/>
    <w:pPr>
      <w:spacing w:after="120"/>
      <w:ind w:left="283"/>
    </w:pPr>
  </w:style>
  <w:style w:type="character" w:customStyle="1" w:styleId="SisennettyleiptekstiChar">
    <w:name w:val="Sisennetty leipäteksti Char"/>
    <w:basedOn w:val="Kappaleenoletusfontti"/>
    <w:link w:val="Sisennettyleipteksti"/>
    <w:uiPriority w:val="99"/>
    <w:semiHidden/>
    <w:rsid w:val="00F40044"/>
  </w:style>
  <w:style w:type="paragraph" w:styleId="Leiptekstin1rivinsisennys2">
    <w:name w:val="Body Text First Indent 2"/>
    <w:basedOn w:val="Sisennettyleipteksti"/>
    <w:link w:val="Leiptekstin1rivinsisennys2Char"/>
    <w:uiPriority w:val="99"/>
    <w:semiHidden/>
    <w:unhideWhenUsed/>
    <w:rsid w:val="00F40044"/>
    <w:pPr>
      <w:spacing w:after="160"/>
      <w:ind w:left="360" w:firstLine="360"/>
    </w:pPr>
  </w:style>
  <w:style w:type="character" w:customStyle="1" w:styleId="Leiptekstin1rivinsisennys2Char">
    <w:name w:val="Leipätekstin 1. rivin sisennys 2 Char"/>
    <w:basedOn w:val="SisennettyleiptekstiChar"/>
    <w:link w:val="Leiptekstin1rivinsisennys2"/>
    <w:uiPriority w:val="99"/>
    <w:semiHidden/>
    <w:rsid w:val="00F40044"/>
  </w:style>
  <w:style w:type="paragraph" w:styleId="Sisennettyleipteksti2">
    <w:name w:val="Body Text Indent 2"/>
    <w:basedOn w:val="Normaali"/>
    <w:link w:val="Sisennettyleipteksti2Char"/>
    <w:uiPriority w:val="99"/>
    <w:semiHidden/>
    <w:unhideWhenUsed/>
    <w:rsid w:val="00F40044"/>
    <w:pPr>
      <w:spacing w:after="120" w:line="480" w:lineRule="auto"/>
      <w:ind w:left="283"/>
    </w:pPr>
  </w:style>
  <w:style w:type="character" w:customStyle="1" w:styleId="Sisennettyleipteksti2Char">
    <w:name w:val="Sisennetty leipäteksti 2 Char"/>
    <w:basedOn w:val="Kappaleenoletusfontti"/>
    <w:link w:val="Sisennettyleipteksti2"/>
    <w:uiPriority w:val="99"/>
    <w:semiHidden/>
    <w:rsid w:val="00F40044"/>
  </w:style>
  <w:style w:type="paragraph" w:styleId="Sisennettyleipteksti3">
    <w:name w:val="Body Text Indent 3"/>
    <w:basedOn w:val="Normaali"/>
    <w:link w:val="Sisennettyleipteksti3Char"/>
    <w:uiPriority w:val="99"/>
    <w:semiHidden/>
    <w:unhideWhenUsed/>
    <w:rsid w:val="00F40044"/>
    <w:pPr>
      <w:spacing w:after="120"/>
      <w:ind w:left="283"/>
    </w:pPr>
    <w:rPr>
      <w:sz w:val="16"/>
      <w:szCs w:val="16"/>
    </w:rPr>
  </w:style>
  <w:style w:type="character" w:customStyle="1" w:styleId="Sisennettyleipteksti3Char">
    <w:name w:val="Sisennetty leipäteksti 3 Char"/>
    <w:basedOn w:val="Kappaleenoletusfontti"/>
    <w:link w:val="Sisennettyleipteksti3"/>
    <w:uiPriority w:val="99"/>
    <w:semiHidden/>
    <w:rsid w:val="00F40044"/>
    <w:rPr>
      <w:sz w:val="16"/>
      <w:szCs w:val="16"/>
    </w:rPr>
  </w:style>
  <w:style w:type="paragraph" w:styleId="Kuvaotsikko">
    <w:name w:val="caption"/>
    <w:basedOn w:val="Normaali"/>
    <w:next w:val="Normaali"/>
    <w:uiPriority w:val="35"/>
    <w:semiHidden/>
    <w:unhideWhenUsed/>
    <w:qFormat/>
    <w:rsid w:val="00F40044"/>
    <w:pPr>
      <w:spacing w:after="200" w:line="240" w:lineRule="auto"/>
    </w:pPr>
    <w:rPr>
      <w:i/>
      <w:iCs/>
      <w:color w:val="1F497D" w:themeColor="text2"/>
      <w:sz w:val="18"/>
      <w:szCs w:val="18"/>
    </w:rPr>
  </w:style>
  <w:style w:type="paragraph" w:styleId="Lopetus">
    <w:name w:val="Closing"/>
    <w:basedOn w:val="Normaali"/>
    <w:link w:val="LopetusChar"/>
    <w:uiPriority w:val="99"/>
    <w:semiHidden/>
    <w:unhideWhenUsed/>
    <w:rsid w:val="00F40044"/>
    <w:pPr>
      <w:spacing w:after="0" w:line="240" w:lineRule="auto"/>
      <w:ind w:left="4252"/>
    </w:pPr>
  </w:style>
  <w:style w:type="character" w:customStyle="1" w:styleId="LopetusChar">
    <w:name w:val="Lopetus Char"/>
    <w:basedOn w:val="Kappaleenoletusfontti"/>
    <w:link w:val="Lopetus"/>
    <w:uiPriority w:val="99"/>
    <w:semiHidden/>
    <w:rsid w:val="00F40044"/>
  </w:style>
  <w:style w:type="paragraph" w:styleId="Kommentinteksti">
    <w:name w:val="annotation text"/>
    <w:basedOn w:val="Normaali"/>
    <w:link w:val="KommentintekstiChar"/>
    <w:uiPriority w:val="99"/>
    <w:semiHidden/>
    <w:unhideWhenUsed/>
    <w:rsid w:val="00F40044"/>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F40044"/>
    <w:rPr>
      <w:sz w:val="20"/>
      <w:szCs w:val="20"/>
    </w:rPr>
  </w:style>
  <w:style w:type="paragraph" w:styleId="Kommentinotsikko">
    <w:name w:val="annotation subject"/>
    <w:basedOn w:val="Kommentinteksti"/>
    <w:next w:val="Kommentinteksti"/>
    <w:link w:val="KommentinotsikkoChar"/>
    <w:uiPriority w:val="99"/>
    <w:semiHidden/>
    <w:unhideWhenUsed/>
    <w:rsid w:val="00F40044"/>
    <w:rPr>
      <w:b/>
      <w:bCs/>
    </w:rPr>
  </w:style>
  <w:style w:type="character" w:customStyle="1" w:styleId="KommentinotsikkoChar">
    <w:name w:val="Kommentin otsikko Char"/>
    <w:basedOn w:val="KommentintekstiChar"/>
    <w:link w:val="Kommentinotsikko"/>
    <w:uiPriority w:val="99"/>
    <w:semiHidden/>
    <w:rsid w:val="00F40044"/>
    <w:rPr>
      <w:b/>
      <w:bCs/>
      <w:sz w:val="20"/>
      <w:szCs w:val="20"/>
    </w:rPr>
  </w:style>
  <w:style w:type="paragraph" w:styleId="Pivmr">
    <w:name w:val="Date"/>
    <w:basedOn w:val="Normaali"/>
    <w:next w:val="Normaali"/>
    <w:link w:val="PivmrChar"/>
    <w:uiPriority w:val="99"/>
    <w:semiHidden/>
    <w:unhideWhenUsed/>
    <w:rsid w:val="00F40044"/>
  </w:style>
  <w:style w:type="character" w:customStyle="1" w:styleId="PivmrChar">
    <w:name w:val="Päivämäärä Char"/>
    <w:basedOn w:val="Kappaleenoletusfontti"/>
    <w:link w:val="Pivmr"/>
    <w:uiPriority w:val="99"/>
    <w:semiHidden/>
    <w:rsid w:val="00F40044"/>
  </w:style>
  <w:style w:type="paragraph" w:styleId="Asiakirjanrakenneruutu">
    <w:name w:val="Document Map"/>
    <w:basedOn w:val="Normaali"/>
    <w:link w:val="AsiakirjanrakenneruutuChar"/>
    <w:uiPriority w:val="99"/>
    <w:semiHidden/>
    <w:unhideWhenUsed/>
    <w:rsid w:val="00F40044"/>
    <w:pPr>
      <w:spacing w:after="0" w:line="240" w:lineRule="auto"/>
    </w:pPr>
    <w:rPr>
      <w:rFonts w:ascii="Segoe UI" w:hAnsi="Segoe UI" w:cs="Segoe UI"/>
      <w:sz w:val="16"/>
      <w:szCs w:val="16"/>
    </w:rPr>
  </w:style>
  <w:style w:type="character" w:customStyle="1" w:styleId="AsiakirjanrakenneruutuChar">
    <w:name w:val="Asiakirjan rakenneruutu Char"/>
    <w:basedOn w:val="Kappaleenoletusfontti"/>
    <w:link w:val="Asiakirjanrakenneruutu"/>
    <w:uiPriority w:val="99"/>
    <w:semiHidden/>
    <w:rsid w:val="00F40044"/>
    <w:rPr>
      <w:rFonts w:ascii="Segoe UI" w:hAnsi="Segoe UI" w:cs="Segoe UI"/>
      <w:sz w:val="16"/>
      <w:szCs w:val="16"/>
    </w:rPr>
  </w:style>
  <w:style w:type="paragraph" w:styleId="Viestinallekirjoitus">
    <w:name w:val="E-mail Signature"/>
    <w:basedOn w:val="Normaali"/>
    <w:link w:val="ViestinallekirjoitusChar"/>
    <w:uiPriority w:val="99"/>
    <w:semiHidden/>
    <w:unhideWhenUsed/>
    <w:rsid w:val="00F40044"/>
    <w:pPr>
      <w:spacing w:after="0" w:line="240" w:lineRule="auto"/>
    </w:pPr>
  </w:style>
  <w:style w:type="character" w:customStyle="1" w:styleId="ViestinallekirjoitusChar">
    <w:name w:val="Viestin allekirjoitus Char"/>
    <w:basedOn w:val="Kappaleenoletusfontti"/>
    <w:link w:val="Viestinallekirjoitus"/>
    <w:uiPriority w:val="99"/>
    <w:semiHidden/>
    <w:rsid w:val="00F40044"/>
  </w:style>
  <w:style w:type="paragraph" w:styleId="Kirjekuorenosoite">
    <w:name w:val="envelope address"/>
    <w:basedOn w:val="Normaali"/>
    <w:uiPriority w:val="99"/>
    <w:semiHidden/>
    <w:unhideWhenUsed/>
    <w:rsid w:val="00F40044"/>
    <w:pPr>
      <w:framePr w:w="7920" w:h="1980" w:hRule="exact" w:hSpace="141"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Kirjekuorenpalautusosoite">
    <w:name w:val="envelope return"/>
    <w:basedOn w:val="Normaali"/>
    <w:uiPriority w:val="99"/>
    <w:semiHidden/>
    <w:unhideWhenUsed/>
    <w:rsid w:val="00F40044"/>
    <w:pPr>
      <w:spacing w:after="0" w:line="240" w:lineRule="auto"/>
    </w:pPr>
    <w:rPr>
      <w:rFonts w:asciiTheme="majorHAnsi" w:eastAsiaTheme="majorEastAsia" w:hAnsiTheme="majorHAnsi" w:cstheme="majorBidi"/>
      <w:sz w:val="20"/>
      <w:szCs w:val="20"/>
    </w:rPr>
  </w:style>
  <w:style w:type="character" w:customStyle="1" w:styleId="Otsikko1Char">
    <w:name w:val="Otsikko 1 Char"/>
    <w:basedOn w:val="Kappaleenoletusfontti"/>
    <w:link w:val="Otsikko1"/>
    <w:uiPriority w:val="9"/>
    <w:rsid w:val="00F40044"/>
    <w:rPr>
      <w:rFonts w:asciiTheme="majorHAnsi" w:eastAsiaTheme="majorEastAsia" w:hAnsiTheme="majorHAnsi" w:cstheme="majorBidi"/>
      <w:color w:val="365F91" w:themeColor="accent1" w:themeShade="BF"/>
      <w:sz w:val="32"/>
      <w:szCs w:val="32"/>
    </w:rPr>
  </w:style>
  <w:style w:type="character" w:customStyle="1" w:styleId="Otsikko2Char">
    <w:name w:val="Otsikko 2 Char"/>
    <w:basedOn w:val="Kappaleenoletusfontti"/>
    <w:link w:val="Otsikko2"/>
    <w:uiPriority w:val="9"/>
    <w:semiHidden/>
    <w:rsid w:val="00F40044"/>
    <w:rPr>
      <w:rFonts w:asciiTheme="majorHAnsi" w:eastAsiaTheme="majorEastAsia" w:hAnsiTheme="majorHAnsi" w:cstheme="majorBidi"/>
      <w:color w:val="365F91" w:themeColor="accent1" w:themeShade="BF"/>
      <w:sz w:val="26"/>
      <w:szCs w:val="26"/>
    </w:rPr>
  </w:style>
  <w:style w:type="character" w:customStyle="1" w:styleId="Otsikko3Char">
    <w:name w:val="Otsikko 3 Char"/>
    <w:basedOn w:val="Kappaleenoletusfontti"/>
    <w:link w:val="Otsikko3"/>
    <w:uiPriority w:val="9"/>
    <w:semiHidden/>
    <w:rsid w:val="00F40044"/>
    <w:rPr>
      <w:rFonts w:asciiTheme="majorHAnsi" w:eastAsiaTheme="majorEastAsia" w:hAnsiTheme="majorHAnsi" w:cstheme="majorBidi"/>
      <w:color w:val="243F60" w:themeColor="accent1" w:themeShade="7F"/>
      <w:sz w:val="24"/>
      <w:szCs w:val="24"/>
    </w:rPr>
  </w:style>
  <w:style w:type="character" w:customStyle="1" w:styleId="Otsikko4Char">
    <w:name w:val="Otsikko 4 Char"/>
    <w:basedOn w:val="Kappaleenoletusfontti"/>
    <w:link w:val="Otsikko4"/>
    <w:uiPriority w:val="9"/>
    <w:semiHidden/>
    <w:rsid w:val="00F40044"/>
    <w:rPr>
      <w:rFonts w:asciiTheme="majorHAnsi" w:eastAsiaTheme="majorEastAsia" w:hAnsiTheme="majorHAnsi" w:cstheme="majorBidi"/>
      <w:i/>
      <w:iCs/>
      <w:color w:val="365F91" w:themeColor="accent1" w:themeShade="BF"/>
    </w:rPr>
  </w:style>
  <w:style w:type="character" w:customStyle="1" w:styleId="Otsikko5Char">
    <w:name w:val="Otsikko 5 Char"/>
    <w:basedOn w:val="Kappaleenoletusfontti"/>
    <w:link w:val="Otsikko5"/>
    <w:uiPriority w:val="9"/>
    <w:semiHidden/>
    <w:rsid w:val="00F40044"/>
    <w:rPr>
      <w:rFonts w:asciiTheme="majorHAnsi" w:eastAsiaTheme="majorEastAsia" w:hAnsiTheme="majorHAnsi" w:cstheme="majorBidi"/>
      <w:color w:val="365F91" w:themeColor="accent1" w:themeShade="BF"/>
    </w:rPr>
  </w:style>
  <w:style w:type="character" w:customStyle="1" w:styleId="Otsikko6Char">
    <w:name w:val="Otsikko 6 Char"/>
    <w:basedOn w:val="Kappaleenoletusfontti"/>
    <w:link w:val="Otsikko6"/>
    <w:uiPriority w:val="9"/>
    <w:semiHidden/>
    <w:rsid w:val="00F40044"/>
    <w:rPr>
      <w:rFonts w:asciiTheme="majorHAnsi" w:eastAsiaTheme="majorEastAsia" w:hAnsiTheme="majorHAnsi" w:cstheme="majorBidi"/>
      <w:color w:val="243F60" w:themeColor="accent1" w:themeShade="7F"/>
    </w:rPr>
  </w:style>
  <w:style w:type="character" w:customStyle="1" w:styleId="Otsikko7Char">
    <w:name w:val="Otsikko 7 Char"/>
    <w:basedOn w:val="Kappaleenoletusfontti"/>
    <w:link w:val="Otsikko7"/>
    <w:uiPriority w:val="9"/>
    <w:semiHidden/>
    <w:rsid w:val="00F40044"/>
    <w:rPr>
      <w:rFonts w:asciiTheme="majorHAnsi" w:eastAsiaTheme="majorEastAsia" w:hAnsiTheme="majorHAnsi" w:cstheme="majorBidi"/>
      <w:i/>
      <w:iCs/>
      <w:color w:val="243F60" w:themeColor="accent1" w:themeShade="7F"/>
    </w:rPr>
  </w:style>
  <w:style w:type="character" w:customStyle="1" w:styleId="Otsikko8Char">
    <w:name w:val="Otsikko 8 Char"/>
    <w:basedOn w:val="Kappaleenoletusfontti"/>
    <w:link w:val="Otsikko8"/>
    <w:uiPriority w:val="9"/>
    <w:semiHidden/>
    <w:rsid w:val="00F40044"/>
    <w:rPr>
      <w:rFonts w:asciiTheme="majorHAnsi" w:eastAsiaTheme="majorEastAsia" w:hAnsiTheme="majorHAnsi" w:cstheme="majorBidi"/>
      <w:color w:val="272727" w:themeColor="text1" w:themeTint="D8"/>
      <w:sz w:val="21"/>
      <w:szCs w:val="21"/>
    </w:rPr>
  </w:style>
  <w:style w:type="character" w:customStyle="1" w:styleId="Otsikko9Char">
    <w:name w:val="Otsikko 9 Char"/>
    <w:basedOn w:val="Kappaleenoletusfontti"/>
    <w:link w:val="Otsikko9"/>
    <w:uiPriority w:val="9"/>
    <w:semiHidden/>
    <w:rsid w:val="00F40044"/>
    <w:rPr>
      <w:rFonts w:asciiTheme="majorHAnsi" w:eastAsiaTheme="majorEastAsia" w:hAnsiTheme="majorHAnsi" w:cstheme="majorBidi"/>
      <w:i/>
      <w:iCs/>
      <w:color w:val="272727" w:themeColor="text1" w:themeTint="D8"/>
      <w:sz w:val="21"/>
      <w:szCs w:val="21"/>
    </w:rPr>
  </w:style>
  <w:style w:type="paragraph" w:styleId="HTML-osoite">
    <w:name w:val="HTML Address"/>
    <w:basedOn w:val="Normaali"/>
    <w:link w:val="HTML-osoiteChar"/>
    <w:uiPriority w:val="99"/>
    <w:semiHidden/>
    <w:unhideWhenUsed/>
    <w:rsid w:val="00F40044"/>
    <w:pPr>
      <w:spacing w:after="0" w:line="240" w:lineRule="auto"/>
    </w:pPr>
    <w:rPr>
      <w:i/>
      <w:iCs/>
    </w:rPr>
  </w:style>
  <w:style w:type="character" w:customStyle="1" w:styleId="HTML-osoiteChar">
    <w:name w:val="HTML-osoite Char"/>
    <w:basedOn w:val="Kappaleenoletusfontti"/>
    <w:link w:val="HTML-osoite"/>
    <w:uiPriority w:val="99"/>
    <w:semiHidden/>
    <w:rsid w:val="00F40044"/>
    <w:rPr>
      <w:i/>
      <w:iCs/>
    </w:rPr>
  </w:style>
  <w:style w:type="paragraph" w:styleId="Hakemisto1">
    <w:name w:val="index 1"/>
    <w:basedOn w:val="Normaali"/>
    <w:next w:val="Normaali"/>
    <w:autoRedefine/>
    <w:uiPriority w:val="99"/>
    <w:semiHidden/>
    <w:unhideWhenUsed/>
    <w:rsid w:val="00F40044"/>
    <w:pPr>
      <w:spacing w:after="0" w:line="240" w:lineRule="auto"/>
      <w:ind w:left="220" w:hanging="220"/>
    </w:pPr>
  </w:style>
  <w:style w:type="paragraph" w:styleId="Hakemisto2">
    <w:name w:val="index 2"/>
    <w:basedOn w:val="Normaali"/>
    <w:next w:val="Normaali"/>
    <w:autoRedefine/>
    <w:uiPriority w:val="99"/>
    <w:semiHidden/>
    <w:unhideWhenUsed/>
    <w:rsid w:val="00F40044"/>
    <w:pPr>
      <w:spacing w:after="0" w:line="240" w:lineRule="auto"/>
      <w:ind w:left="440" w:hanging="220"/>
    </w:pPr>
  </w:style>
  <w:style w:type="paragraph" w:styleId="Hakemisto3">
    <w:name w:val="index 3"/>
    <w:basedOn w:val="Normaali"/>
    <w:next w:val="Normaali"/>
    <w:autoRedefine/>
    <w:uiPriority w:val="99"/>
    <w:semiHidden/>
    <w:unhideWhenUsed/>
    <w:rsid w:val="00F40044"/>
    <w:pPr>
      <w:spacing w:after="0" w:line="240" w:lineRule="auto"/>
      <w:ind w:left="660" w:hanging="220"/>
    </w:pPr>
  </w:style>
  <w:style w:type="paragraph" w:styleId="Hakemisto4">
    <w:name w:val="index 4"/>
    <w:basedOn w:val="Normaali"/>
    <w:next w:val="Normaali"/>
    <w:autoRedefine/>
    <w:uiPriority w:val="99"/>
    <w:semiHidden/>
    <w:unhideWhenUsed/>
    <w:rsid w:val="00F40044"/>
    <w:pPr>
      <w:spacing w:after="0" w:line="240" w:lineRule="auto"/>
      <w:ind w:left="880" w:hanging="220"/>
    </w:pPr>
  </w:style>
  <w:style w:type="paragraph" w:styleId="Hakemisto5">
    <w:name w:val="index 5"/>
    <w:basedOn w:val="Normaali"/>
    <w:next w:val="Normaali"/>
    <w:autoRedefine/>
    <w:uiPriority w:val="99"/>
    <w:semiHidden/>
    <w:unhideWhenUsed/>
    <w:rsid w:val="00F40044"/>
    <w:pPr>
      <w:spacing w:after="0" w:line="240" w:lineRule="auto"/>
      <w:ind w:left="1100" w:hanging="220"/>
    </w:pPr>
  </w:style>
  <w:style w:type="paragraph" w:styleId="Hakemisto6">
    <w:name w:val="index 6"/>
    <w:basedOn w:val="Normaali"/>
    <w:next w:val="Normaali"/>
    <w:autoRedefine/>
    <w:uiPriority w:val="99"/>
    <w:semiHidden/>
    <w:unhideWhenUsed/>
    <w:rsid w:val="00F40044"/>
    <w:pPr>
      <w:spacing w:after="0" w:line="240" w:lineRule="auto"/>
      <w:ind w:left="1320" w:hanging="220"/>
    </w:pPr>
  </w:style>
  <w:style w:type="paragraph" w:styleId="Hakemisto7">
    <w:name w:val="index 7"/>
    <w:basedOn w:val="Normaali"/>
    <w:next w:val="Normaali"/>
    <w:autoRedefine/>
    <w:uiPriority w:val="99"/>
    <w:semiHidden/>
    <w:unhideWhenUsed/>
    <w:rsid w:val="00F40044"/>
    <w:pPr>
      <w:spacing w:after="0" w:line="240" w:lineRule="auto"/>
      <w:ind w:left="1540" w:hanging="220"/>
    </w:pPr>
  </w:style>
  <w:style w:type="paragraph" w:styleId="Hakemisto8">
    <w:name w:val="index 8"/>
    <w:basedOn w:val="Normaali"/>
    <w:next w:val="Normaali"/>
    <w:autoRedefine/>
    <w:uiPriority w:val="99"/>
    <w:semiHidden/>
    <w:unhideWhenUsed/>
    <w:rsid w:val="00F40044"/>
    <w:pPr>
      <w:spacing w:after="0" w:line="240" w:lineRule="auto"/>
      <w:ind w:left="1760" w:hanging="220"/>
    </w:pPr>
  </w:style>
  <w:style w:type="paragraph" w:styleId="Hakemisto9">
    <w:name w:val="index 9"/>
    <w:basedOn w:val="Normaali"/>
    <w:next w:val="Normaali"/>
    <w:autoRedefine/>
    <w:uiPriority w:val="99"/>
    <w:semiHidden/>
    <w:unhideWhenUsed/>
    <w:rsid w:val="00F40044"/>
    <w:pPr>
      <w:spacing w:after="0" w:line="240" w:lineRule="auto"/>
      <w:ind w:left="1980" w:hanging="220"/>
    </w:pPr>
  </w:style>
  <w:style w:type="paragraph" w:styleId="Hakemistonotsikko">
    <w:name w:val="index heading"/>
    <w:basedOn w:val="Normaali"/>
    <w:next w:val="Hakemisto1"/>
    <w:uiPriority w:val="99"/>
    <w:semiHidden/>
    <w:unhideWhenUsed/>
    <w:rsid w:val="00F40044"/>
    <w:rPr>
      <w:rFonts w:asciiTheme="majorHAnsi" w:eastAsiaTheme="majorEastAsia" w:hAnsiTheme="majorHAnsi" w:cstheme="majorBidi"/>
      <w:b/>
      <w:bCs/>
    </w:rPr>
  </w:style>
  <w:style w:type="paragraph" w:styleId="Erottuvalainaus">
    <w:name w:val="Intense Quote"/>
    <w:basedOn w:val="Normaali"/>
    <w:next w:val="Normaali"/>
    <w:link w:val="ErottuvalainausChar"/>
    <w:uiPriority w:val="30"/>
    <w:qFormat/>
    <w:rsid w:val="00F4004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ErottuvalainausChar">
    <w:name w:val="Erottuva lainaus Char"/>
    <w:basedOn w:val="Kappaleenoletusfontti"/>
    <w:link w:val="Erottuvalainaus"/>
    <w:uiPriority w:val="30"/>
    <w:rsid w:val="00F40044"/>
    <w:rPr>
      <w:i/>
      <w:iCs/>
      <w:color w:val="4F81BD" w:themeColor="accent1"/>
    </w:rPr>
  </w:style>
  <w:style w:type="paragraph" w:styleId="Luettelo">
    <w:name w:val="List"/>
    <w:basedOn w:val="Normaali"/>
    <w:uiPriority w:val="99"/>
    <w:semiHidden/>
    <w:unhideWhenUsed/>
    <w:rsid w:val="00F40044"/>
    <w:pPr>
      <w:ind w:left="283" w:hanging="283"/>
      <w:contextualSpacing/>
    </w:pPr>
  </w:style>
  <w:style w:type="paragraph" w:styleId="Luettelo2">
    <w:name w:val="List 2"/>
    <w:basedOn w:val="Normaali"/>
    <w:uiPriority w:val="99"/>
    <w:semiHidden/>
    <w:unhideWhenUsed/>
    <w:rsid w:val="00F40044"/>
    <w:pPr>
      <w:ind w:left="566" w:hanging="283"/>
      <w:contextualSpacing/>
    </w:pPr>
  </w:style>
  <w:style w:type="paragraph" w:styleId="Luettelo3">
    <w:name w:val="List 3"/>
    <w:basedOn w:val="Normaali"/>
    <w:uiPriority w:val="99"/>
    <w:semiHidden/>
    <w:unhideWhenUsed/>
    <w:rsid w:val="00F40044"/>
    <w:pPr>
      <w:ind w:left="849" w:hanging="283"/>
      <w:contextualSpacing/>
    </w:pPr>
  </w:style>
  <w:style w:type="paragraph" w:styleId="Luettelo4">
    <w:name w:val="List 4"/>
    <w:basedOn w:val="Normaali"/>
    <w:uiPriority w:val="99"/>
    <w:semiHidden/>
    <w:unhideWhenUsed/>
    <w:rsid w:val="00F40044"/>
    <w:pPr>
      <w:ind w:left="1132" w:hanging="283"/>
      <w:contextualSpacing/>
    </w:pPr>
  </w:style>
  <w:style w:type="paragraph" w:styleId="Luettelo5">
    <w:name w:val="List 5"/>
    <w:basedOn w:val="Normaali"/>
    <w:uiPriority w:val="99"/>
    <w:semiHidden/>
    <w:unhideWhenUsed/>
    <w:rsid w:val="00F40044"/>
    <w:pPr>
      <w:ind w:left="1415" w:hanging="283"/>
      <w:contextualSpacing/>
    </w:pPr>
  </w:style>
  <w:style w:type="paragraph" w:styleId="Merkittyluettelo">
    <w:name w:val="List Bullet"/>
    <w:basedOn w:val="Normaali"/>
    <w:uiPriority w:val="99"/>
    <w:semiHidden/>
    <w:unhideWhenUsed/>
    <w:rsid w:val="00F40044"/>
    <w:pPr>
      <w:numPr>
        <w:numId w:val="1"/>
      </w:numPr>
      <w:contextualSpacing/>
    </w:pPr>
  </w:style>
  <w:style w:type="paragraph" w:styleId="Merkittyluettelo2">
    <w:name w:val="List Bullet 2"/>
    <w:basedOn w:val="Normaali"/>
    <w:uiPriority w:val="99"/>
    <w:semiHidden/>
    <w:unhideWhenUsed/>
    <w:rsid w:val="00F40044"/>
    <w:pPr>
      <w:numPr>
        <w:numId w:val="2"/>
      </w:numPr>
      <w:contextualSpacing/>
    </w:pPr>
  </w:style>
  <w:style w:type="paragraph" w:styleId="Merkittyluettelo3">
    <w:name w:val="List Bullet 3"/>
    <w:basedOn w:val="Normaali"/>
    <w:uiPriority w:val="99"/>
    <w:semiHidden/>
    <w:unhideWhenUsed/>
    <w:rsid w:val="00F40044"/>
    <w:pPr>
      <w:numPr>
        <w:numId w:val="3"/>
      </w:numPr>
      <w:contextualSpacing/>
    </w:pPr>
  </w:style>
  <w:style w:type="paragraph" w:styleId="Merkittyluettelo4">
    <w:name w:val="List Bullet 4"/>
    <w:basedOn w:val="Normaali"/>
    <w:uiPriority w:val="99"/>
    <w:semiHidden/>
    <w:unhideWhenUsed/>
    <w:rsid w:val="00F40044"/>
    <w:pPr>
      <w:numPr>
        <w:numId w:val="4"/>
      </w:numPr>
      <w:contextualSpacing/>
    </w:pPr>
  </w:style>
  <w:style w:type="paragraph" w:styleId="Merkittyluettelo5">
    <w:name w:val="List Bullet 5"/>
    <w:basedOn w:val="Normaali"/>
    <w:uiPriority w:val="99"/>
    <w:semiHidden/>
    <w:unhideWhenUsed/>
    <w:rsid w:val="00F40044"/>
    <w:pPr>
      <w:numPr>
        <w:numId w:val="5"/>
      </w:numPr>
      <w:contextualSpacing/>
    </w:pPr>
  </w:style>
  <w:style w:type="paragraph" w:styleId="Jatkoluettelo">
    <w:name w:val="List Continue"/>
    <w:basedOn w:val="Normaali"/>
    <w:uiPriority w:val="99"/>
    <w:semiHidden/>
    <w:unhideWhenUsed/>
    <w:rsid w:val="00F40044"/>
    <w:pPr>
      <w:spacing w:after="120"/>
      <w:ind w:left="283"/>
      <w:contextualSpacing/>
    </w:pPr>
  </w:style>
  <w:style w:type="paragraph" w:styleId="Jatkoluettelo2">
    <w:name w:val="List Continue 2"/>
    <w:basedOn w:val="Normaali"/>
    <w:uiPriority w:val="99"/>
    <w:semiHidden/>
    <w:unhideWhenUsed/>
    <w:rsid w:val="00F40044"/>
    <w:pPr>
      <w:spacing w:after="120"/>
      <w:ind w:left="566"/>
      <w:contextualSpacing/>
    </w:pPr>
  </w:style>
  <w:style w:type="paragraph" w:styleId="Jatkoluettelo3">
    <w:name w:val="List Continue 3"/>
    <w:basedOn w:val="Normaali"/>
    <w:uiPriority w:val="99"/>
    <w:semiHidden/>
    <w:unhideWhenUsed/>
    <w:rsid w:val="00F40044"/>
    <w:pPr>
      <w:spacing w:after="120"/>
      <w:ind w:left="849"/>
      <w:contextualSpacing/>
    </w:pPr>
  </w:style>
  <w:style w:type="paragraph" w:styleId="Jatkoluettelo4">
    <w:name w:val="List Continue 4"/>
    <w:basedOn w:val="Normaali"/>
    <w:uiPriority w:val="99"/>
    <w:semiHidden/>
    <w:unhideWhenUsed/>
    <w:rsid w:val="00F40044"/>
    <w:pPr>
      <w:spacing w:after="120"/>
      <w:ind w:left="1132"/>
      <w:contextualSpacing/>
    </w:pPr>
  </w:style>
  <w:style w:type="paragraph" w:styleId="Jatkoluettelo5">
    <w:name w:val="List Continue 5"/>
    <w:basedOn w:val="Normaali"/>
    <w:uiPriority w:val="99"/>
    <w:semiHidden/>
    <w:unhideWhenUsed/>
    <w:rsid w:val="00F40044"/>
    <w:pPr>
      <w:spacing w:after="120"/>
      <w:ind w:left="1415"/>
      <w:contextualSpacing/>
    </w:pPr>
  </w:style>
  <w:style w:type="paragraph" w:styleId="Numeroituluettelo">
    <w:name w:val="List Number"/>
    <w:basedOn w:val="Normaali"/>
    <w:uiPriority w:val="99"/>
    <w:semiHidden/>
    <w:unhideWhenUsed/>
    <w:rsid w:val="00F40044"/>
    <w:pPr>
      <w:numPr>
        <w:numId w:val="6"/>
      </w:numPr>
      <w:contextualSpacing/>
    </w:pPr>
  </w:style>
  <w:style w:type="paragraph" w:styleId="Numeroituluettelo2">
    <w:name w:val="List Number 2"/>
    <w:basedOn w:val="Normaali"/>
    <w:uiPriority w:val="99"/>
    <w:semiHidden/>
    <w:unhideWhenUsed/>
    <w:rsid w:val="00F40044"/>
    <w:pPr>
      <w:numPr>
        <w:numId w:val="7"/>
      </w:numPr>
      <w:contextualSpacing/>
    </w:pPr>
  </w:style>
  <w:style w:type="paragraph" w:styleId="Numeroituluettelo3">
    <w:name w:val="List Number 3"/>
    <w:basedOn w:val="Normaali"/>
    <w:uiPriority w:val="99"/>
    <w:semiHidden/>
    <w:unhideWhenUsed/>
    <w:rsid w:val="00F40044"/>
    <w:pPr>
      <w:numPr>
        <w:numId w:val="8"/>
      </w:numPr>
      <w:contextualSpacing/>
    </w:pPr>
  </w:style>
  <w:style w:type="paragraph" w:styleId="Numeroituluettelo4">
    <w:name w:val="List Number 4"/>
    <w:basedOn w:val="Normaali"/>
    <w:uiPriority w:val="99"/>
    <w:semiHidden/>
    <w:unhideWhenUsed/>
    <w:rsid w:val="00F40044"/>
    <w:pPr>
      <w:numPr>
        <w:numId w:val="9"/>
      </w:numPr>
      <w:contextualSpacing/>
    </w:pPr>
  </w:style>
  <w:style w:type="paragraph" w:styleId="Numeroituluettelo5">
    <w:name w:val="List Number 5"/>
    <w:basedOn w:val="Normaali"/>
    <w:uiPriority w:val="99"/>
    <w:semiHidden/>
    <w:unhideWhenUsed/>
    <w:rsid w:val="00F40044"/>
    <w:pPr>
      <w:numPr>
        <w:numId w:val="10"/>
      </w:numPr>
      <w:contextualSpacing/>
    </w:pPr>
  </w:style>
  <w:style w:type="paragraph" w:styleId="Luettelokappale">
    <w:name w:val="List Paragraph"/>
    <w:basedOn w:val="Normaali"/>
    <w:uiPriority w:val="34"/>
    <w:qFormat/>
    <w:rsid w:val="00F40044"/>
    <w:pPr>
      <w:ind w:left="720"/>
      <w:contextualSpacing/>
    </w:pPr>
  </w:style>
  <w:style w:type="paragraph" w:styleId="Makroteksti">
    <w:name w:val="macro"/>
    <w:link w:val="MakrotekstiChar"/>
    <w:uiPriority w:val="99"/>
    <w:semiHidden/>
    <w:unhideWhenUsed/>
    <w:rsid w:val="00F40044"/>
    <w:pPr>
      <w:tabs>
        <w:tab w:val="left" w:pos="480"/>
        <w:tab w:val="left" w:pos="960"/>
        <w:tab w:val="left" w:pos="1440"/>
        <w:tab w:val="left" w:pos="1920"/>
        <w:tab w:val="left" w:pos="2400"/>
        <w:tab w:val="left" w:pos="2880"/>
        <w:tab w:val="left" w:pos="3360"/>
        <w:tab w:val="left" w:pos="3840"/>
        <w:tab w:val="left" w:pos="4320"/>
      </w:tabs>
      <w:spacing w:after="0" w:line="259" w:lineRule="auto"/>
    </w:pPr>
    <w:rPr>
      <w:rFonts w:ascii="Consolas" w:hAnsi="Consolas"/>
      <w:sz w:val="20"/>
      <w:szCs w:val="20"/>
    </w:rPr>
  </w:style>
  <w:style w:type="character" w:customStyle="1" w:styleId="MakrotekstiChar">
    <w:name w:val="Makroteksti Char"/>
    <w:basedOn w:val="Kappaleenoletusfontti"/>
    <w:link w:val="Makroteksti"/>
    <w:uiPriority w:val="99"/>
    <w:semiHidden/>
    <w:rsid w:val="00F40044"/>
    <w:rPr>
      <w:rFonts w:ascii="Consolas" w:hAnsi="Consolas"/>
      <w:sz w:val="20"/>
      <w:szCs w:val="20"/>
    </w:rPr>
  </w:style>
  <w:style w:type="paragraph" w:styleId="Viestinotsikko">
    <w:name w:val="Message Header"/>
    <w:basedOn w:val="Normaali"/>
    <w:link w:val="ViestinotsikkoChar"/>
    <w:uiPriority w:val="99"/>
    <w:semiHidden/>
    <w:unhideWhenUsed/>
    <w:rsid w:val="00F4004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ViestinotsikkoChar">
    <w:name w:val="Viestin otsikko Char"/>
    <w:basedOn w:val="Kappaleenoletusfontti"/>
    <w:link w:val="Viestinotsikko"/>
    <w:uiPriority w:val="99"/>
    <w:semiHidden/>
    <w:rsid w:val="00F40044"/>
    <w:rPr>
      <w:rFonts w:asciiTheme="majorHAnsi" w:eastAsiaTheme="majorEastAsia" w:hAnsiTheme="majorHAnsi" w:cstheme="majorBidi"/>
      <w:sz w:val="24"/>
      <w:szCs w:val="24"/>
      <w:shd w:val="pct20" w:color="auto" w:fill="auto"/>
    </w:rPr>
  </w:style>
  <w:style w:type="paragraph" w:styleId="Eivli">
    <w:name w:val="No Spacing"/>
    <w:uiPriority w:val="1"/>
    <w:qFormat/>
    <w:rsid w:val="00F40044"/>
    <w:pPr>
      <w:spacing w:after="0" w:line="240" w:lineRule="auto"/>
    </w:pPr>
  </w:style>
  <w:style w:type="paragraph" w:styleId="NormaaliWWW">
    <w:name w:val="Normal (Web)"/>
    <w:basedOn w:val="Normaali"/>
    <w:uiPriority w:val="99"/>
    <w:semiHidden/>
    <w:unhideWhenUsed/>
    <w:rsid w:val="00F40044"/>
    <w:rPr>
      <w:rFonts w:ascii="Times New Roman" w:hAnsi="Times New Roman" w:cs="Times New Roman"/>
      <w:sz w:val="24"/>
      <w:szCs w:val="24"/>
    </w:rPr>
  </w:style>
  <w:style w:type="paragraph" w:styleId="Vakiosisennys">
    <w:name w:val="Normal Indent"/>
    <w:basedOn w:val="Normaali"/>
    <w:uiPriority w:val="99"/>
    <w:semiHidden/>
    <w:unhideWhenUsed/>
    <w:rsid w:val="00F40044"/>
    <w:pPr>
      <w:ind w:left="1304"/>
    </w:pPr>
  </w:style>
  <w:style w:type="paragraph" w:styleId="Huomautuksenotsikko">
    <w:name w:val="Note Heading"/>
    <w:basedOn w:val="Normaali"/>
    <w:next w:val="Normaali"/>
    <w:link w:val="HuomautuksenotsikkoChar"/>
    <w:uiPriority w:val="99"/>
    <w:semiHidden/>
    <w:unhideWhenUsed/>
    <w:rsid w:val="00F40044"/>
    <w:pPr>
      <w:spacing w:after="0" w:line="240" w:lineRule="auto"/>
    </w:pPr>
  </w:style>
  <w:style w:type="character" w:customStyle="1" w:styleId="HuomautuksenotsikkoChar">
    <w:name w:val="Huomautuksen otsikko Char"/>
    <w:basedOn w:val="Kappaleenoletusfontti"/>
    <w:link w:val="Huomautuksenotsikko"/>
    <w:uiPriority w:val="99"/>
    <w:semiHidden/>
    <w:rsid w:val="00F40044"/>
  </w:style>
  <w:style w:type="paragraph" w:styleId="Vaintekstin">
    <w:name w:val="Plain Text"/>
    <w:basedOn w:val="Normaali"/>
    <w:link w:val="VaintekstinChar"/>
    <w:uiPriority w:val="99"/>
    <w:semiHidden/>
    <w:unhideWhenUsed/>
    <w:rsid w:val="00F40044"/>
    <w:pPr>
      <w:spacing w:after="0" w:line="240" w:lineRule="auto"/>
    </w:pPr>
    <w:rPr>
      <w:rFonts w:ascii="Consolas" w:hAnsi="Consolas"/>
      <w:sz w:val="21"/>
      <w:szCs w:val="21"/>
    </w:rPr>
  </w:style>
  <w:style w:type="character" w:customStyle="1" w:styleId="VaintekstinChar">
    <w:name w:val="Vain tekstinä Char"/>
    <w:basedOn w:val="Kappaleenoletusfontti"/>
    <w:link w:val="Vaintekstin"/>
    <w:uiPriority w:val="99"/>
    <w:semiHidden/>
    <w:rsid w:val="00F40044"/>
    <w:rPr>
      <w:rFonts w:ascii="Consolas" w:hAnsi="Consolas"/>
      <w:sz w:val="21"/>
      <w:szCs w:val="21"/>
    </w:rPr>
  </w:style>
  <w:style w:type="paragraph" w:styleId="Lainaus">
    <w:name w:val="Quote"/>
    <w:basedOn w:val="Normaali"/>
    <w:next w:val="Normaali"/>
    <w:link w:val="LainausChar"/>
    <w:uiPriority w:val="29"/>
    <w:qFormat/>
    <w:rsid w:val="00F40044"/>
    <w:pPr>
      <w:spacing w:before="200"/>
      <w:ind w:left="864" w:right="864"/>
      <w:jc w:val="center"/>
    </w:pPr>
    <w:rPr>
      <w:i/>
      <w:iCs/>
      <w:color w:val="404040" w:themeColor="text1" w:themeTint="BF"/>
    </w:rPr>
  </w:style>
  <w:style w:type="character" w:customStyle="1" w:styleId="LainausChar">
    <w:name w:val="Lainaus Char"/>
    <w:basedOn w:val="Kappaleenoletusfontti"/>
    <w:link w:val="Lainaus"/>
    <w:uiPriority w:val="29"/>
    <w:rsid w:val="00F40044"/>
    <w:rPr>
      <w:i/>
      <w:iCs/>
      <w:color w:val="404040" w:themeColor="text1" w:themeTint="BF"/>
    </w:rPr>
  </w:style>
  <w:style w:type="paragraph" w:styleId="Tervehdys">
    <w:name w:val="Salutation"/>
    <w:basedOn w:val="Normaali"/>
    <w:next w:val="Normaali"/>
    <w:link w:val="TervehdysChar"/>
    <w:uiPriority w:val="99"/>
    <w:semiHidden/>
    <w:unhideWhenUsed/>
    <w:rsid w:val="00F40044"/>
  </w:style>
  <w:style w:type="character" w:customStyle="1" w:styleId="TervehdysChar">
    <w:name w:val="Tervehdys Char"/>
    <w:basedOn w:val="Kappaleenoletusfontti"/>
    <w:link w:val="Tervehdys"/>
    <w:uiPriority w:val="99"/>
    <w:semiHidden/>
    <w:rsid w:val="00F40044"/>
  </w:style>
  <w:style w:type="paragraph" w:styleId="Allekirjoitus">
    <w:name w:val="Signature"/>
    <w:basedOn w:val="Normaali"/>
    <w:link w:val="AllekirjoitusChar"/>
    <w:uiPriority w:val="99"/>
    <w:semiHidden/>
    <w:unhideWhenUsed/>
    <w:rsid w:val="00F40044"/>
    <w:pPr>
      <w:spacing w:after="0" w:line="240" w:lineRule="auto"/>
      <w:ind w:left="4252"/>
    </w:pPr>
  </w:style>
  <w:style w:type="character" w:customStyle="1" w:styleId="AllekirjoitusChar">
    <w:name w:val="Allekirjoitus Char"/>
    <w:basedOn w:val="Kappaleenoletusfontti"/>
    <w:link w:val="Allekirjoitus"/>
    <w:uiPriority w:val="99"/>
    <w:semiHidden/>
    <w:rsid w:val="00F40044"/>
  </w:style>
  <w:style w:type="paragraph" w:styleId="Alaotsikko">
    <w:name w:val="Subtitle"/>
    <w:basedOn w:val="Normaali"/>
    <w:next w:val="Normaali"/>
    <w:link w:val="AlaotsikkoChar"/>
    <w:uiPriority w:val="11"/>
    <w:qFormat/>
    <w:rsid w:val="00F40044"/>
    <w:pPr>
      <w:numPr>
        <w:ilvl w:val="1"/>
      </w:numPr>
    </w:pPr>
    <w:rPr>
      <w:rFonts w:eastAsiaTheme="minorEastAsia"/>
      <w:color w:val="5A5A5A" w:themeColor="text1" w:themeTint="A5"/>
      <w:spacing w:val="15"/>
    </w:rPr>
  </w:style>
  <w:style w:type="character" w:customStyle="1" w:styleId="AlaotsikkoChar">
    <w:name w:val="Alaotsikko Char"/>
    <w:basedOn w:val="Kappaleenoletusfontti"/>
    <w:link w:val="Alaotsikko"/>
    <w:uiPriority w:val="11"/>
    <w:rsid w:val="00F40044"/>
    <w:rPr>
      <w:rFonts w:eastAsiaTheme="minorEastAsia"/>
      <w:color w:val="5A5A5A" w:themeColor="text1" w:themeTint="A5"/>
      <w:spacing w:val="15"/>
    </w:rPr>
  </w:style>
  <w:style w:type="paragraph" w:styleId="Otsikko">
    <w:name w:val="Title"/>
    <w:basedOn w:val="Normaali"/>
    <w:next w:val="Normaali"/>
    <w:link w:val="OtsikkoChar"/>
    <w:uiPriority w:val="10"/>
    <w:qFormat/>
    <w:rsid w:val="00F4004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uiPriority w:val="10"/>
    <w:rsid w:val="00F40044"/>
    <w:rPr>
      <w:rFonts w:asciiTheme="majorHAnsi" w:eastAsiaTheme="majorEastAsia" w:hAnsiTheme="majorHAnsi" w:cstheme="majorBidi"/>
      <w:spacing w:val="-10"/>
      <w:kern w:val="28"/>
      <w:sz w:val="56"/>
      <w:szCs w:val="56"/>
    </w:rPr>
  </w:style>
  <w:style w:type="paragraph" w:styleId="Sisllysluettelonotsikko">
    <w:name w:val="TOC Heading"/>
    <w:basedOn w:val="Otsikko1"/>
    <w:next w:val="Normaali"/>
    <w:uiPriority w:val="39"/>
    <w:semiHidden/>
    <w:unhideWhenUsed/>
    <w:qFormat/>
    <w:rsid w:val="00F40044"/>
    <w:pPr>
      <w:outlineLvl w:val="9"/>
    </w:pPr>
  </w:style>
  <w:style w:type="character" w:styleId="Hyperlinkki">
    <w:name w:val="Hyperlink"/>
    <w:basedOn w:val="Kappaleenoletusfontti"/>
    <w:uiPriority w:val="99"/>
    <w:unhideWhenUsed/>
    <w:rsid w:val="0050763F"/>
    <w:rPr>
      <w:color w:val="0000FF" w:themeColor="hyperlink"/>
      <w:u w:val="single"/>
    </w:rPr>
  </w:style>
  <w:style w:type="character" w:customStyle="1" w:styleId="currenthithighlight">
    <w:name w:val="currenthithighlight"/>
    <w:basedOn w:val="Kappaleenoletusfontti"/>
    <w:rsid w:val="00CC4476"/>
  </w:style>
  <w:style w:type="character" w:customStyle="1" w:styleId="highlight">
    <w:name w:val="highlight"/>
    <w:basedOn w:val="Kappaleenoletusfontti"/>
    <w:rsid w:val="00CC4476"/>
  </w:style>
  <w:style w:type="character" w:customStyle="1" w:styleId="apple-converted-space">
    <w:name w:val="apple-converted-space"/>
    <w:basedOn w:val="Kappaleenoletusfontti"/>
    <w:rsid w:val="006A77C0"/>
  </w:style>
  <w:style w:type="character" w:styleId="Kommentinviite">
    <w:name w:val="annotation reference"/>
    <w:basedOn w:val="Kappaleenoletusfontti"/>
    <w:uiPriority w:val="99"/>
    <w:semiHidden/>
    <w:unhideWhenUsed/>
    <w:rsid w:val="00327DAF"/>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651993">
      <w:bodyDiv w:val="1"/>
      <w:marLeft w:val="0"/>
      <w:marRight w:val="0"/>
      <w:marTop w:val="0"/>
      <w:marBottom w:val="0"/>
      <w:divBdr>
        <w:top w:val="none" w:sz="0" w:space="0" w:color="auto"/>
        <w:left w:val="none" w:sz="0" w:space="0" w:color="auto"/>
        <w:bottom w:val="none" w:sz="0" w:space="0" w:color="auto"/>
        <w:right w:val="none" w:sz="0" w:space="0" w:color="auto"/>
      </w:divBdr>
      <w:divsChild>
        <w:div w:id="1631864702">
          <w:marLeft w:val="0"/>
          <w:marRight w:val="0"/>
          <w:marTop w:val="0"/>
          <w:marBottom w:val="0"/>
          <w:divBdr>
            <w:top w:val="none" w:sz="0" w:space="0" w:color="auto"/>
            <w:left w:val="none" w:sz="0" w:space="0" w:color="auto"/>
            <w:bottom w:val="none" w:sz="0" w:space="0" w:color="auto"/>
            <w:right w:val="none" w:sz="0" w:space="0" w:color="auto"/>
          </w:divBdr>
        </w:div>
        <w:div w:id="1084108262">
          <w:marLeft w:val="0"/>
          <w:marRight w:val="0"/>
          <w:marTop w:val="0"/>
          <w:marBottom w:val="0"/>
          <w:divBdr>
            <w:top w:val="none" w:sz="0" w:space="0" w:color="auto"/>
            <w:left w:val="none" w:sz="0" w:space="0" w:color="auto"/>
            <w:bottom w:val="none" w:sz="0" w:space="0" w:color="auto"/>
            <w:right w:val="none" w:sz="0" w:space="0" w:color="auto"/>
          </w:divBdr>
        </w:div>
        <w:div w:id="1975401717">
          <w:marLeft w:val="0"/>
          <w:marRight w:val="0"/>
          <w:marTop w:val="0"/>
          <w:marBottom w:val="0"/>
          <w:divBdr>
            <w:top w:val="none" w:sz="0" w:space="0" w:color="auto"/>
            <w:left w:val="none" w:sz="0" w:space="0" w:color="auto"/>
            <w:bottom w:val="none" w:sz="0" w:space="0" w:color="auto"/>
            <w:right w:val="none" w:sz="0" w:space="0" w:color="auto"/>
          </w:divBdr>
        </w:div>
        <w:div w:id="173231455">
          <w:marLeft w:val="0"/>
          <w:marRight w:val="0"/>
          <w:marTop w:val="0"/>
          <w:marBottom w:val="0"/>
          <w:divBdr>
            <w:top w:val="none" w:sz="0" w:space="0" w:color="auto"/>
            <w:left w:val="none" w:sz="0" w:space="0" w:color="auto"/>
            <w:bottom w:val="none" w:sz="0" w:space="0" w:color="auto"/>
            <w:right w:val="none" w:sz="0" w:space="0" w:color="auto"/>
          </w:divBdr>
        </w:div>
        <w:div w:id="1620527554">
          <w:marLeft w:val="0"/>
          <w:marRight w:val="0"/>
          <w:marTop w:val="0"/>
          <w:marBottom w:val="0"/>
          <w:divBdr>
            <w:top w:val="none" w:sz="0" w:space="0" w:color="auto"/>
            <w:left w:val="none" w:sz="0" w:space="0" w:color="auto"/>
            <w:bottom w:val="none" w:sz="0" w:space="0" w:color="auto"/>
            <w:right w:val="none" w:sz="0" w:space="0" w:color="auto"/>
          </w:divBdr>
        </w:div>
        <w:div w:id="713311794">
          <w:marLeft w:val="0"/>
          <w:marRight w:val="0"/>
          <w:marTop w:val="0"/>
          <w:marBottom w:val="0"/>
          <w:divBdr>
            <w:top w:val="none" w:sz="0" w:space="0" w:color="auto"/>
            <w:left w:val="none" w:sz="0" w:space="0" w:color="auto"/>
            <w:bottom w:val="none" w:sz="0" w:space="0" w:color="auto"/>
            <w:right w:val="none" w:sz="0" w:space="0" w:color="auto"/>
          </w:divBdr>
        </w:div>
      </w:divsChild>
    </w:div>
    <w:div w:id="391850268">
      <w:bodyDiv w:val="1"/>
      <w:marLeft w:val="0"/>
      <w:marRight w:val="0"/>
      <w:marTop w:val="0"/>
      <w:marBottom w:val="0"/>
      <w:divBdr>
        <w:top w:val="none" w:sz="0" w:space="0" w:color="auto"/>
        <w:left w:val="none" w:sz="0" w:space="0" w:color="auto"/>
        <w:bottom w:val="none" w:sz="0" w:space="0" w:color="auto"/>
        <w:right w:val="none" w:sz="0" w:space="0" w:color="auto"/>
      </w:divBdr>
    </w:div>
    <w:div w:id="637801790">
      <w:bodyDiv w:val="1"/>
      <w:marLeft w:val="0"/>
      <w:marRight w:val="0"/>
      <w:marTop w:val="0"/>
      <w:marBottom w:val="0"/>
      <w:divBdr>
        <w:top w:val="none" w:sz="0" w:space="0" w:color="auto"/>
        <w:left w:val="none" w:sz="0" w:space="0" w:color="auto"/>
        <w:bottom w:val="none" w:sz="0" w:space="0" w:color="auto"/>
        <w:right w:val="none" w:sz="0" w:space="0" w:color="auto"/>
      </w:divBdr>
    </w:div>
    <w:div w:id="806045916">
      <w:bodyDiv w:val="1"/>
      <w:marLeft w:val="0"/>
      <w:marRight w:val="0"/>
      <w:marTop w:val="0"/>
      <w:marBottom w:val="0"/>
      <w:divBdr>
        <w:top w:val="none" w:sz="0" w:space="0" w:color="auto"/>
        <w:left w:val="none" w:sz="0" w:space="0" w:color="auto"/>
        <w:bottom w:val="none" w:sz="0" w:space="0" w:color="auto"/>
        <w:right w:val="none" w:sz="0" w:space="0" w:color="auto"/>
      </w:divBdr>
      <w:divsChild>
        <w:div w:id="903374666">
          <w:marLeft w:val="0"/>
          <w:marRight w:val="0"/>
          <w:marTop w:val="0"/>
          <w:marBottom w:val="0"/>
          <w:divBdr>
            <w:top w:val="none" w:sz="0" w:space="0" w:color="auto"/>
            <w:left w:val="none" w:sz="0" w:space="0" w:color="auto"/>
            <w:bottom w:val="none" w:sz="0" w:space="0" w:color="auto"/>
            <w:right w:val="none" w:sz="0" w:space="0" w:color="auto"/>
          </w:divBdr>
          <w:divsChild>
            <w:div w:id="2102211579">
              <w:marLeft w:val="0"/>
              <w:marRight w:val="0"/>
              <w:marTop w:val="0"/>
              <w:marBottom w:val="0"/>
              <w:divBdr>
                <w:top w:val="none" w:sz="0" w:space="0" w:color="auto"/>
                <w:left w:val="none" w:sz="0" w:space="0" w:color="auto"/>
                <w:bottom w:val="none" w:sz="0" w:space="0" w:color="auto"/>
                <w:right w:val="none" w:sz="0" w:space="0" w:color="auto"/>
              </w:divBdr>
            </w:div>
            <w:div w:id="830101037">
              <w:marLeft w:val="0"/>
              <w:marRight w:val="0"/>
              <w:marTop w:val="0"/>
              <w:marBottom w:val="0"/>
              <w:divBdr>
                <w:top w:val="none" w:sz="0" w:space="0" w:color="auto"/>
                <w:left w:val="none" w:sz="0" w:space="0" w:color="auto"/>
                <w:bottom w:val="none" w:sz="0" w:space="0" w:color="auto"/>
                <w:right w:val="none" w:sz="0" w:space="0" w:color="auto"/>
              </w:divBdr>
            </w:div>
            <w:div w:id="789934093">
              <w:marLeft w:val="0"/>
              <w:marRight w:val="0"/>
              <w:marTop w:val="0"/>
              <w:marBottom w:val="0"/>
              <w:divBdr>
                <w:top w:val="none" w:sz="0" w:space="0" w:color="auto"/>
                <w:left w:val="none" w:sz="0" w:space="0" w:color="auto"/>
                <w:bottom w:val="none" w:sz="0" w:space="0" w:color="auto"/>
                <w:right w:val="none" w:sz="0" w:space="0" w:color="auto"/>
              </w:divBdr>
            </w:div>
            <w:div w:id="1117985244">
              <w:marLeft w:val="0"/>
              <w:marRight w:val="0"/>
              <w:marTop w:val="0"/>
              <w:marBottom w:val="0"/>
              <w:divBdr>
                <w:top w:val="none" w:sz="0" w:space="0" w:color="auto"/>
                <w:left w:val="none" w:sz="0" w:space="0" w:color="auto"/>
                <w:bottom w:val="none" w:sz="0" w:space="0" w:color="auto"/>
                <w:right w:val="none" w:sz="0" w:space="0" w:color="auto"/>
              </w:divBdr>
            </w:div>
            <w:div w:id="630400272">
              <w:marLeft w:val="0"/>
              <w:marRight w:val="0"/>
              <w:marTop w:val="0"/>
              <w:marBottom w:val="0"/>
              <w:divBdr>
                <w:top w:val="none" w:sz="0" w:space="0" w:color="auto"/>
                <w:left w:val="none" w:sz="0" w:space="0" w:color="auto"/>
                <w:bottom w:val="none" w:sz="0" w:space="0" w:color="auto"/>
                <w:right w:val="none" w:sz="0" w:space="0" w:color="auto"/>
              </w:divBdr>
            </w:div>
            <w:div w:id="1882400080">
              <w:marLeft w:val="0"/>
              <w:marRight w:val="0"/>
              <w:marTop w:val="0"/>
              <w:marBottom w:val="0"/>
              <w:divBdr>
                <w:top w:val="none" w:sz="0" w:space="0" w:color="auto"/>
                <w:left w:val="none" w:sz="0" w:space="0" w:color="auto"/>
                <w:bottom w:val="none" w:sz="0" w:space="0" w:color="auto"/>
                <w:right w:val="none" w:sz="0" w:space="0" w:color="auto"/>
              </w:divBdr>
            </w:div>
            <w:div w:id="2039238368">
              <w:marLeft w:val="0"/>
              <w:marRight w:val="0"/>
              <w:marTop w:val="0"/>
              <w:marBottom w:val="0"/>
              <w:divBdr>
                <w:top w:val="none" w:sz="0" w:space="0" w:color="auto"/>
                <w:left w:val="none" w:sz="0" w:space="0" w:color="auto"/>
                <w:bottom w:val="none" w:sz="0" w:space="0" w:color="auto"/>
                <w:right w:val="none" w:sz="0" w:space="0" w:color="auto"/>
              </w:divBdr>
            </w:div>
            <w:div w:id="295764948">
              <w:marLeft w:val="0"/>
              <w:marRight w:val="0"/>
              <w:marTop w:val="0"/>
              <w:marBottom w:val="0"/>
              <w:divBdr>
                <w:top w:val="none" w:sz="0" w:space="0" w:color="auto"/>
                <w:left w:val="none" w:sz="0" w:space="0" w:color="auto"/>
                <w:bottom w:val="none" w:sz="0" w:space="0" w:color="auto"/>
                <w:right w:val="none" w:sz="0" w:space="0" w:color="auto"/>
              </w:divBdr>
            </w:div>
            <w:div w:id="1554387568">
              <w:marLeft w:val="0"/>
              <w:marRight w:val="0"/>
              <w:marTop w:val="0"/>
              <w:marBottom w:val="0"/>
              <w:divBdr>
                <w:top w:val="none" w:sz="0" w:space="0" w:color="auto"/>
                <w:left w:val="none" w:sz="0" w:space="0" w:color="auto"/>
                <w:bottom w:val="none" w:sz="0" w:space="0" w:color="auto"/>
                <w:right w:val="none" w:sz="0" w:space="0" w:color="auto"/>
              </w:divBdr>
            </w:div>
            <w:div w:id="1732197151">
              <w:marLeft w:val="0"/>
              <w:marRight w:val="0"/>
              <w:marTop w:val="0"/>
              <w:marBottom w:val="0"/>
              <w:divBdr>
                <w:top w:val="none" w:sz="0" w:space="0" w:color="auto"/>
                <w:left w:val="none" w:sz="0" w:space="0" w:color="auto"/>
                <w:bottom w:val="none" w:sz="0" w:space="0" w:color="auto"/>
                <w:right w:val="none" w:sz="0" w:space="0" w:color="auto"/>
              </w:divBdr>
            </w:div>
            <w:div w:id="889921054">
              <w:marLeft w:val="0"/>
              <w:marRight w:val="0"/>
              <w:marTop w:val="0"/>
              <w:marBottom w:val="0"/>
              <w:divBdr>
                <w:top w:val="none" w:sz="0" w:space="0" w:color="auto"/>
                <w:left w:val="none" w:sz="0" w:space="0" w:color="auto"/>
                <w:bottom w:val="none" w:sz="0" w:space="0" w:color="auto"/>
                <w:right w:val="none" w:sz="0" w:space="0" w:color="auto"/>
              </w:divBdr>
            </w:div>
            <w:div w:id="40835300">
              <w:marLeft w:val="0"/>
              <w:marRight w:val="0"/>
              <w:marTop w:val="0"/>
              <w:marBottom w:val="0"/>
              <w:divBdr>
                <w:top w:val="none" w:sz="0" w:space="0" w:color="auto"/>
                <w:left w:val="none" w:sz="0" w:space="0" w:color="auto"/>
                <w:bottom w:val="none" w:sz="0" w:space="0" w:color="auto"/>
                <w:right w:val="none" w:sz="0" w:space="0" w:color="auto"/>
              </w:divBdr>
            </w:div>
            <w:div w:id="2029410825">
              <w:marLeft w:val="0"/>
              <w:marRight w:val="0"/>
              <w:marTop w:val="0"/>
              <w:marBottom w:val="0"/>
              <w:divBdr>
                <w:top w:val="none" w:sz="0" w:space="0" w:color="auto"/>
                <w:left w:val="none" w:sz="0" w:space="0" w:color="auto"/>
                <w:bottom w:val="none" w:sz="0" w:space="0" w:color="auto"/>
                <w:right w:val="none" w:sz="0" w:space="0" w:color="auto"/>
              </w:divBdr>
            </w:div>
            <w:div w:id="1073236174">
              <w:marLeft w:val="0"/>
              <w:marRight w:val="0"/>
              <w:marTop w:val="0"/>
              <w:marBottom w:val="0"/>
              <w:divBdr>
                <w:top w:val="none" w:sz="0" w:space="0" w:color="auto"/>
                <w:left w:val="none" w:sz="0" w:space="0" w:color="auto"/>
                <w:bottom w:val="none" w:sz="0" w:space="0" w:color="auto"/>
                <w:right w:val="none" w:sz="0" w:space="0" w:color="auto"/>
              </w:divBdr>
            </w:div>
            <w:div w:id="734665736">
              <w:marLeft w:val="0"/>
              <w:marRight w:val="0"/>
              <w:marTop w:val="0"/>
              <w:marBottom w:val="0"/>
              <w:divBdr>
                <w:top w:val="none" w:sz="0" w:space="0" w:color="auto"/>
                <w:left w:val="none" w:sz="0" w:space="0" w:color="auto"/>
                <w:bottom w:val="none" w:sz="0" w:space="0" w:color="auto"/>
                <w:right w:val="none" w:sz="0" w:space="0" w:color="auto"/>
              </w:divBdr>
            </w:div>
            <w:div w:id="1838885150">
              <w:marLeft w:val="0"/>
              <w:marRight w:val="0"/>
              <w:marTop w:val="0"/>
              <w:marBottom w:val="0"/>
              <w:divBdr>
                <w:top w:val="none" w:sz="0" w:space="0" w:color="auto"/>
                <w:left w:val="none" w:sz="0" w:space="0" w:color="auto"/>
                <w:bottom w:val="none" w:sz="0" w:space="0" w:color="auto"/>
                <w:right w:val="none" w:sz="0" w:space="0" w:color="auto"/>
              </w:divBdr>
            </w:div>
            <w:div w:id="25177678">
              <w:marLeft w:val="0"/>
              <w:marRight w:val="0"/>
              <w:marTop w:val="0"/>
              <w:marBottom w:val="0"/>
              <w:divBdr>
                <w:top w:val="none" w:sz="0" w:space="0" w:color="auto"/>
                <w:left w:val="none" w:sz="0" w:space="0" w:color="auto"/>
                <w:bottom w:val="none" w:sz="0" w:space="0" w:color="auto"/>
                <w:right w:val="none" w:sz="0" w:space="0" w:color="auto"/>
              </w:divBdr>
            </w:div>
            <w:div w:id="144904032">
              <w:marLeft w:val="0"/>
              <w:marRight w:val="0"/>
              <w:marTop w:val="0"/>
              <w:marBottom w:val="0"/>
              <w:divBdr>
                <w:top w:val="none" w:sz="0" w:space="0" w:color="auto"/>
                <w:left w:val="none" w:sz="0" w:space="0" w:color="auto"/>
                <w:bottom w:val="none" w:sz="0" w:space="0" w:color="auto"/>
                <w:right w:val="none" w:sz="0" w:space="0" w:color="auto"/>
              </w:divBdr>
            </w:div>
            <w:div w:id="1611934095">
              <w:marLeft w:val="0"/>
              <w:marRight w:val="0"/>
              <w:marTop w:val="0"/>
              <w:marBottom w:val="0"/>
              <w:divBdr>
                <w:top w:val="none" w:sz="0" w:space="0" w:color="auto"/>
                <w:left w:val="none" w:sz="0" w:space="0" w:color="auto"/>
                <w:bottom w:val="none" w:sz="0" w:space="0" w:color="auto"/>
                <w:right w:val="none" w:sz="0" w:space="0" w:color="auto"/>
              </w:divBdr>
            </w:div>
            <w:div w:id="2017658449">
              <w:marLeft w:val="0"/>
              <w:marRight w:val="0"/>
              <w:marTop w:val="0"/>
              <w:marBottom w:val="0"/>
              <w:divBdr>
                <w:top w:val="none" w:sz="0" w:space="0" w:color="auto"/>
                <w:left w:val="none" w:sz="0" w:space="0" w:color="auto"/>
                <w:bottom w:val="none" w:sz="0" w:space="0" w:color="auto"/>
                <w:right w:val="none" w:sz="0" w:space="0" w:color="auto"/>
              </w:divBdr>
            </w:div>
            <w:div w:id="1509176343">
              <w:marLeft w:val="0"/>
              <w:marRight w:val="0"/>
              <w:marTop w:val="0"/>
              <w:marBottom w:val="0"/>
              <w:divBdr>
                <w:top w:val="none" w:sz="0" w:space="0" w:color="auto"/>
                <w:left w:val="none" w:sz="0" w:space="0" w:color="auto"/>
                <w:bottom w:val="none" w:sz="0" w:space="0" w:color="auto"/>
                <w:right w:val="none" w:sz="0" w:space="0" w:color="auto"/>
              </w:divBdr>
            </w:div>
            <w:div w:id="1883401742">
              <w:marLeft w:val="0"/>
              <w:marRight w:val="0"/>
              <w:marTop w:val="0"/>
              <w:marBottom w:val="0"/>
              <w:divBdr>
                <w:top w:val="none" w:sz="0" w:space="0" w:color="auto"/>
                <w:left w:val="none" w:sz="0" w:space="0" w:color="auto"/>
                <w:bottom w:val="none" w:sz="0" w:space="0" w:color="auto"/>
                <w:right w:val="none" w:sz="0" w:space="0" w:color="auto"/>
              </w:divBdr>
            </w:div>
            <w:div w:id="687490120">
              <w:marLeft w:val="0"/>
              <w:marRight w:val="0"/>
              <w:marTop w:val="0"/>
              <w:marBottom w:val="0"/>
              <w:divBdr>
                <w:top w:val="none" w:sz="0" w:space="0" w:color="auto"/>
                <w:left w:val="none" w:sz="0" w:space="0" w:color="auto"/>
                <w:bottom w:val="none" w:sz="0" w:space="0" w:color="auto"/>
                <w:right w:val="none" w:sz="0" w:space="0" w:color="auto"/>
              </w:divBdr>
            </w:div>
            <w:div w:id="310718819">
              <w:marLeft w:val="0"/>
              <w:marRight w:val="0"/>
              <w:marTop w:val="0"/>
              <w:marBottom w:val="0"/>
              <w:divBdr>
                <w:top w:val="none" w:sz="0" w:space="0" w:color="auto"/>
                <w:left w:val="none" w:sz="0" w:space="0" w:color="auto"/>
                <w:bottom w:val="none" w:sz="0" w:space="0" w:color="auto"/>
                <w:right w:val="none" w:sz="0" w:space="0" w:color="auto"/>
              </w:divBdr>
            </w:div>
            <w:div w:id="906106626">
              <w:marLeft w:val="0"/>
              <w:marRight w:val="0"/>
              <w:marTop w:val="0"/>
              <w:marBottom w:val="0"/>
              <w:divBdr>
                <w:top w:val="none" w:sz="0" w:space="0" w:color="auto"/>
                <w:left w:val="none" w:sz="0" w:space="0" w:color="auto"/>
                <w:bottom w:val="none" w:sz="0" w:space="0" w:color="auto"/>
                <w:right w:val="none" w:sz="0" w:space="0" w:color="auto"/>
              </w:divBdr>
            </w:div>
            <w:div w:id="800534975">
              <w:marLeft w:val="0"/>
              <w:marRight w:val="0"/>
              <w:marTop w:val="0"/>
              <w:marBottom w:val="0"/>
              <w:divBdr>
                <w:top w:val="none" w:sz="0" w:space="0" w:color="auto"/>
                <w:left w:val="none" w:sz="0" w:space="0" w:color="auto"/>
                <w:bottom w:val="none" w:sz="0" w:space="0" w:color="auto"/>
                <w:right w:val="none" w:sz="0" w:space="0" w:color="auto"/>
              </w:divBdr>
            </w:div>
            <w:div w:id="1982996334">
              <w:marLeft w:val="0"/>
              <w:marRight w:val="0"/>
              <w:marTop w:val="0"/>
              <w:marBottom w:val="0"/>
              <w:divBdr>
                <w:top w:val="none" w:sz="0" w:space="0" w:color="auto"/>
                <w:left w:val="none" w:sz="0" w:space="0" w:color="auto"/>
                <w:bottom w:val="none" w:sz="0" w:space="0" w:color="auto"/>
                <w:right w:val="none" w:sz="0" w:space="0" w:color="auto"/>
              </w:divBdr>
            </w:div>
            <w:div w:id="1652903396">
              <w:marLeft w:val="0"/>
              <w:marRight w:val="0"/>
              <w:marTop w:val="0"/>
              <w:marBottom w:val="0"/>
              <w:divBdr>
                <w:top w:val="none" w:sz="0" w:space="0" w:color="auto"/>
                <w:left w:val="none" w:sz="0" w:space="0" w:color="auto"/>
                <w:bottom w:val="none" w:sz="0" w:space="0" w:color="auto"/>
                <w:right w:val="none" w:sz="0" w:space="0" w:color="auto"/>
              </w:divBdr>
            </w:div>
            <w:div w:id="1043284616">
              <w:marLeft w:val="0"/>
              <w:marRight w:val="0"/>
              <w:marTop w:val="0"/>
              <w:marBottom w:val="0"/>
              <w:divBdr>
                <w:top w:val="none" w:sz="0" w:space="0" w:color="auto"/>
                <w:left w:val="none" w:sz="0" w:space="0" w:color="auto"/>
                <w:bottom w:val="none" w:sz="0" w:space="0" w:color="auto"/>
                <w:right w:val="none" w:sz="0" w:space="0" w:color="auto"/>
              </w:divBdr>
            </w:div>
            <w:div w:id="2040079725">
              <w:marLeft w:val="0"/>
              <w:marRight w:val="0"/>
              <w:marTop w:val="0"/>
              <w:marBottom w:val="0"/>
              <w:divBdr>
                <w:top w:val="none" w:sz="0" w:space="0" w:color="auto"/>
                <w:left w:val="none" w:sz="0" w:space="0" w:color="auto"/>
                <w:bottom w:val="none" w:sz="0" w:space="0" w:color="auto"/>
                <w:right w:val="none" w:sz="0" w:space="0" w:color="auto"/>
              </w:divBdr>
            </w:div>
            <w:div w:id="1716928171">
              <w:marLeft w:val="0"/>
              <w:marRight w:val="0"/>
              <w:marTop w:val="0"/>
              <w:marBottom w:val="0"/>
              <w:divBdr>
                <w:top w:val="none" w:sz="0" w:space="0" w:color="auto"/>
                <w:left w:val="none" w:sz="0" w:space="0" w:color="auto"/>
                <w:bottom w:val="none" w:sz="0" w:space="0" w:color="auto"/>
                <w:right w:val="none" w:sz="0" w:space="0" w:color="auto"/>
              </w:divBdr>
            </w:div>
            <w:div w:id="869491541">
              <w:marLeft w:val="0"/>
              <w:marRight w:val="0"/>
              <w:marTop w:val="0"/>
              <w:marBottom w:val="0"/>
              <w:divBdr>
                <w:top w:val="none" w:sz="0" w:space="0" w:color="auto"/>
                <w:left w:val="none" w:sz="0" w:space="0" w:color="auto"/>
                <w:bottom w:val="none" w:sz="0" w:space="0" w:color="auto"/>
                <w:right w:val="none" w:sz="0" w:space="0" w:color="auto"/>
              </w:divBdr>
            </w:div>
            <w:div w:id="1344017980">
              <w:marLeft w:val="0"/>
              <w:marRight w:val="0"/>
              <w:marTop w:val="0"/>
              <w:marBottom w:val="0"/>
              <w:divBdr>
                <w:top w:val="none" w:sz="0" w:space="0" w:color="auto"/>
                <w:left w:val="none" w:sz="0" w:space="0" w:color="auto"/>
                <w:bottom w:val="none" w:sz="0" w:space="0" w:color="auto"/>
                <w:right w:val="none" w:sz="0" w:space="0" w:color="auto"/>
              </w:divBdr>
            </w:div>
            <w:div w:id="252861160">
              <w:marLeft w:val="0"/>
              <w:marRight w:val="0"/>
              <w:marTop w:val="0"/>
              <w:marBottom w:val="0"/>
              <w:divBdr>
                <w:top w:val="none" w:sz="0" w:space="0" w:color="auto"/>
                <w:left w:val="none" w:sz="0" w:space="0" w:color="auto"/>
                <w:bottom w:val="none" w:sz="0" w:space="0" w:color="auto"/>
                <w:right w:val="none" w:sz="0" w:space="0" w:color="auto"/>
              </w:divBdr>
            </w:div>
            <w:div w:id="699744466">
              <w:marLeft w:val="0"/>
              <w:marRight w:val="0"/>
              <w:marTop w:val="0"/>
              <w:marBottom w:val="0"/>
              <w:divBdr>
                <w:top w:val="none" w:sz="0" w:space="0" w:color="auto"/>
                <w:left w:val="none" w:sz="0" w:space="0" w:color="auto"/>
                <w:bottom w:val="none" w:sz="0" w:space="0" w:color="auto"/>
                <w:right w:val="none" w:sz="0" w:space="0" w:color="auto"/>
              </w:divBdr>
            </w:div>
            <w:div w:id="1666350748">
              <w:marLeft w:val="0"/>
              <w:marRight w:val="0"/>
              <w:marTop w:val="0"/>
              <w:marBottom w:val="0"/>
              <w:divBdr>
                <w:top w:val="none" w:sz="0" w:space="0" w:color="auto"/>
                <w:left w:val="none" w:sz="0" w:space="0" w:color="auto"/>
                <w:bottom w:val="none" w:sz="0" w:space="0" w:color="auto"/>
                <w:right w:val="none" w:sz="0" w:space="0" w:color="auto"/>
              </w:divBdr>
            </w:div>
            <w:div w:id="1264607771">
              <w:marLeft w:val="0"/>
              <w:marRight w:val="0"/>
              <w:marTop w:val="0"/>
              <w:marBottom w:val="0"/>
              <w:divBdr>
                <w:top w:val="none" w:sz="0" w:space="0" w:color="auto"/>
                <w:left w:val="none" w:sz="0" w:space="0" w:color="auto"/>
                <w:bottom w:val="none" w:sz="0" w:space="0" w:color="auto"/>
                <w:right w:val="none" w:sz="0" w:space="0" w:color="auto"/>
              </w:divBdr>
            </w:div>
            <w:div w:id="1091972465">
              <w:marLeft w:val="0"/>
              <w:marRight w:val="0"/>
              <w:marTop w:val="0"/>
              <w:marBottom w:val="0"/>
              <w:divBdr>
                <w:top w:val="none" w:sz="0" w:space="0" w:color="auto"/>
                <w:left w:val="none" w:sz="0" w:space="0" w:color="auto"/>
                <w:bottom w:val="none" w:sz="0" w:space="0" w:color="auto"/>
                <w:right w:val="none" w:sz="0" w:space="0" w:color="auto"/>
              </w:divBdr>
            </w:div>
            <w:div w:id="1513030871">
              <w:marLeft w:val="0"/>
              <w:marRight w:val="0"/>
              <w:marTop w:val="0"/>
              <w:marBottom w:val="0"/>
              <w:divBdr>
                <w:top w:val="none" w:sz="0" w:space="0" w:color="auto"/>
                <w:left w:val="none" w:sz="0" w:space="0" w:color="auto"/>
                <w:bottom w:val="none" w:sz="0" w:space="0" w:color="auto"/>
                <w:right w:val="none" w:sz="0" w:space="0" w:color="auto"/>
              </w:divBdr>
            </w:div>
            <w:div w:id="1144471042">
              <w:marLeft w:val="0"/>
              <w:marRight w:val="0"/>
              <w:marTop w:val="0"/>
              <w:marBottom w:val="0"/>
              <w:divBdr>
                <w:top w:val="none" w:sz="0" w:space="0" w:color="auto"/>
                <w:left w:val="none" w:sz="0" w:space="0" w:color="auto"/>
                <w:bottom w:val="none" w:sz="0" w:space="0" w:color="auto"/>
                <w:right w:val="none" w:sz="0" w:space="0" w:color="auto"/>
              </w:divBdr>
            </w:div>
            <w:div w:id="1654334109">
              <w:marLeft w:val="0"/>
              <w:marRight w:val="0"/>
              <w:marTop w:val="0"/>
              <w:marBottom w:val="0"/>
              <w:divBdr>
                <w:top w:val="none" w:sz="0" w:space="0" w:color="auto"/>
                <w:left w:val="none" w:sz="0" w:space="0" w:color="auto"/>
                <w:bottom w:val="none" w:sz="0" w:space="0" w:color="auto"/>
                <w:right w:val="none" w:sz="0" w:space="0" w:color="auto"/>
              </w:divBdr>
            </w:div>
            <w:div w:id="2100130680">
              <w:marLeft w:val="0"/>
              <w:marRight w:val="0"/>
              <w:marTop w:val="0"/>
              <w:marBottom w:val="0"/>
              <w:divBdr>
                <w:top w:val="none" w:sz="0" w:space="0" w:color="auto"/>
                <w:left w:val="none" w:sz="0" w:space="0" w:color="auto"/>
                <w:bottom w:val="none" w:sz="0" w:space="0" w:color="auto"/>
                <w:right w:val="none" w:sz="0" w:space="0" w:color="auto"/>
              </w:divBdr>
            </w:div>
            <w:div w:id="1556577726">
              <w:marLeft w:val="0"/>
              <w:marRight w:val="0"/>
              <w:marTop w:val="0"/>
              <w:marBottom w:val="0"/>
              <w:divBdr>
                <w:top w:val="none" w:sz="0" w:space="0" w:color="auto"/>
                <w:left w:val="none" w:sz="0" w:space="0" w:color="auto"/>
                <w:bottom w:val="none" w:sz="0" w:space="0" w:color="auto"/>
                <w:right w:val="none" w:sz="0" w:space="0" w:color="auto"/>
              </w:divBdr>
            </w:div>
            <w:div w:id="527835077">
              <w:marLeft w:val="0"/>
              <w:marRight w:val="0"/>
              <w:marTop w:val="0"/>
              <w:marBottom w:val="0"/>
              <w:divBdr>
                <w:top w:val="none" w:sz="0" w:space="0" w:color="auto"/>
                <w:left w:val="none" w:sz="0" w:space="0" w:color="auto"/>
                <w:bottom w:val="none" w:sz="0" w:space="0" w:color="auto"/>
                <w:right w:val="none" w:sz="0" w:space="0" w:color="auto"/>
              </w:divBdr>
            </w:div>
            <w:div w:id="1480077278">
              <w:marLeft w:val="0"/>
              <w:marRight w:val="0"/>
              <w:marTop w:val="0"/>
              <w:marBottom w:val="0"/>
              <w:divBdr>
                <w:top w:val="none" w:sz="0" w:space="0" w:color="auto"/>
                <w:left w:val="none" w:sz="0" w:space="0" w:color="auto"/>
                <w:bottom w:val="none" w:sz="0" w:space="0" w:color="auto"/>
                <w:right w:val="none" w:sz="0" w:space="0" w:color="auto"/>
              </w:divBdr>
            </w:div>
            <w:div w:id="2021735714">
              <w:marLeft w:val="0"/>
              <w:marRight w:val="0"/>
              <w:marTop w:val="0"/>
              <w:marBottom w:val="0"/>
              <w:divBdr>
                <w:top w:val="none" w:sz="0" w:space="0" w:color="auto"/>
                <w:left w:val="none" w:sz="0" w:space="0" w:color="auto"/>
                <w:bottom w:val="none" w:sz="0" w:space="0" w:color="auto"/>
                <w:right w:val="none" w:sz="0" w:space="0" w:color="auto"/>
              </w:divBdr>
            </w:div>
            <w:div w:id="1398631849">
              <w:marLeft w:val="0"/>
              <w:marRight w:val="0"/>
              <w:marTop w:val="0"/>
              <w:marBottom w:val="0"/>
              <w:divBdr>
                <w:top w:val="none" w:sz="0" w:space="0" w:color="auto"/>
                <w:left w:val="none" w:sz="0" w:space="0" w:color="auto"/>
                <w:bottom w:val="none" w:sz="0" w:space="0" w:color="auto"/>
                <w:right w:val="none" w:sz="0" w:space="0" w:color="auto"/>
              </w:divBdr>
            </w:div>
            <w:div w:id="44111262">
              <w:marLeft w:val="0"/>
              <w:marRight w:val="0"/>
              <w:marTop w:val="0"/>
              <w:marBottom w:val="0"/>
              <w:divBdr>
                <w:top w:val="none" w:sz="0" w:space="0" w:color="auto"/>
                <w:left w:val="none" w:sz="0" w:space="0" w:color="auto"/>
                <w:bottom w:val="none" w:sz="0" w:space="0" w:color="auto"/>
                <w:right w:val="none" w:sz="0" w:space="0" w:color="auto"/>
              </w:divBdr>
            </w:div>
            <w:div w:id="1815557685">
              <w:marLeft w:val="0"/>
              <w:marRight w:val="0"/>
              <w:marTop w:val="0"/>
              <w:marBottom w:val="0"/>
              <w:divBdr>
                <w:top w:val="none" w:sz="0" w:space="0" w:color="auto"/>
                <w:left w:val="none" w:sz="0" w:space="0" w:color="auto"/>
                <w:bottom w:val="none" w:sz="0" w:space="0" w:color="auto"/>
                <w:right w:val="none" w:sz="0" w:space="0" w:color="auto"/>
              </w:divBdr>
            </w:div>
            <w:div w:id="761493727">
              <w:marLeft w:val="0"/>
              <w:marRight w:val="0"/>
              <w:marTop w:val="0"/>
              <w:marBottom w:val="0"/>
              <w:divBdr>
                <w:top w:val="none" w:sz="0" w:space="0" w:color="auto"/>
                <w:left w:val="none" w:sz="0" w:space="0" w:color="auto"/>
                <w:bottom w:val="none" w:sz="0" w:space="0" w:color="auto"/>
                <w:right w:val="none" w:sz="0" w:space="0" w:color="auto"/>
              </w:divBdr>
            </w:div>
            <w:div w:id="629482527">
              <w:marLeft w:val="0"/>
              <w:marRight w:val="0"/>
              <w:marTop w:val="0"/>
              <w:marBottom w:val="0"/>
              <w:divBdr>
                <w:top w:val="none" w:sz="0" w:space="0" w:color="auto"/>
                <w:left w:val="none" w:sz="0" w:space="0" w:color="auto"/>
                <w:bottom w:val="none" w:sz="0" w:space="0" w:color="auto"/>
                <w:right w:val="none" w:sz="0" w:space="0" w:color="auto"/>
              </w:divBdr>
            </w:div>
            <w:div w:id="1452821074">
              <w:marLeft w:val="0"/>
              <w:marRight w:val="0"/>
              <w:marTop w:val="0"/>
              <w:marBottom w:val="0"/>
              <w:divBdr>
                <w:top w:val="none" w:sz="0" w:space="0" w:color="auto"/>
                <w:left w:val="none" w:sz="0" w:space="0" w:color="auto"/>
                <w:bottom w:val="none" w:sz="0" w:space="0" w:color="auto"/>
                <w:right w:val="none" w:sz="0" w:space="0" w:color="auto"/>
              </w:divBdr>
            </w:div>
            <w:div w:id="1262228553">
              <w:marLeft w:val="0"/>
              <w:marRight w:val="0"/>
              <w:marTop w:val="0"/>
              <w:marBottom w:val="0"/>
              <w:divBdr>
                <w:top w:val="none" w:sz="0" w:space="0" w:color="auto"/>
                <w:left w:val="none" w:sz="0" w:space="0" w:color="auto"/>
                <w:bottom w:val="none" w:sz="0" w:space="0" w:color="auto"/>
                <w:right w:val="none" w:sz="0" w:space="0" w:color="auto"/>
              </w:divBdr>
            </w:div>
            <w:div w:id="867790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840454">
      <w:bodyDiv w:val="1"/>
      <w:marLeft w:val="0"/>
      <w:marRight w:val="0"/>
      <w:marTop w:val="0"/>
      <w:marBottom w:val="0"/>
      <w:divBdr>
        <w:top w:val="none" w:sz="0" w:space="0" w:color="auto"/>
        <w:left w:val="none" w:sz="0" w:space="0" w:color="auto"/>
        <w:bottom w:val="none" w:sz="0" w:space="0" w:color="auto"/>
        <w:right w:val="none" w:sz="0" w:space="0" w:color="auto"/>
      </w:divBdr>
    </w:div>
    <w:div w:id="1944923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1D9B98-A326-4E02-874B-06AA35A0D1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Pages>
  <Words>10072</Words>
  <Characters>51369</Characters>
  <Application>Microsoft Office Word</Application>
  <DocSecurity>0</DocSecurity>
  <Lines>428</Lines>
  <Paragraphs>122</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Hanne Appelqvist</dc:creator>
  <cp:keywords/>
  <dc:description/>
  <cp:lastModifiedBy>Hanne Appelqvist</cp:lastModifiedBy>
  <cp:revision>2</cp:revision>
  <cp:lastPrinted>2017-06-15T14:05:00Z</cp:lastPrinted>
  <dcterms:created xsi:type="dcterms:W3CDTF">2018-02-07T10:11:00Z</dcterms:created>
  <dcterms:modified xsi:type="dcterms:W3CDTF">2018-02-07T10:11:00Z</dcterms:modified>
</cp:coreProperties>
</file>