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394" w:rsidRDefault="004D2212" w:rsidP="00266394">
      <w:pPr>
        <w:spacing w:line="480" w:lineRule="auto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Sex hormone</w:t>
      </w:r>
      <w:r w:rsidR="00DE12A2">
        <w:rPr>
          <w:b/>
          <w:sz w:val="28"/>
          <w:szCs w:val="28"/>
        </w:rPr>
        <w:t xml:space="preserve"> levels did</w:t>
      </w:r>
      <w:r>
        <w:rPr>
          <w:b/>
          <w:sz w:val="28"/>
          <w:szCs w:val="28"/>
        </w:rPr>
        <w:t xml:space="preserve"> not predict</w:t>
      </w:r>
      <w:r w:rsidR="000478A0">
        <w:rPr>
          <w:b/>
          <w:sz w:val="28"/>
          <w:szCs w:val="28"/>
        </w:rPr>
        <w:t xml:space="preserve"> mortality</w:t>
      </w:r>
      <w:r w:rsidR="00956ED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in</w:t>
      </w:r>
      <w:r w:rsidR="00266394">
        <w:rPr>
          <w:b/>
          <w:sz w:val="28"/>
          <w:szCs w:val="28"/>
        </w:rPr>
        <w:t xml:space="preserve"> </w:t>
      </w:r>
      <w:r w:rsidR="00447A35">
        <w:rPr>
          <w:b/>
          <w:sz w:val="28"/>
          <w:szCs w:val="28"/>
        </w:rPr>
        <w:t>older</w:t>
      </w:r>
      <w:r w:rsidR="00DE12A2">
        <w:rPr>
          <w:b/>
          <w:sz w:val="28"/>
          <w:szCs w:val="28"/>
        </w:rPr>
        <w:t xml:space="preserve"> Finnish</w:t>
      </w:r>
      <w:r w:rsidR="00266394">
        <w:rPr>
          <w:b/>
          <w:sz w:val="28"/>
          <w:szCs w:val="28"/>
        </w:rPr>
        <w:t xml:space="preserve"> </w:t>
      </w:r>
      <w:r w:rsidR="004B1429">
        <w:rPr>
          <w:b/>
          <w:sz w:val="28"/>
          <w:szCs w:val="28"/>
        </w:rPr>
        <w:t xml:space="preserve">men </w:t>
      </w:r>
    </w:p>
    <w:p w:rsidR="00266394" w:rsidRPr="005A768E" w:rsidRDefault="00266394" w:rsidP="00266394">
      <w:pPr>
        <w:spacing w:line="480" w:lineRule="auto"/>
        <w:jc w:val="both"/>
        <w:rPr>
          <w:lang w:val="fi-FI"/>
        </w:rPr>
      </w:pPr>
      <w:r w:rsidRPr="005A768E">
        <w:rPr>
          <w:lang w:val="fi-FI"/>
        </w:rPr>
        <w:t>Marika Salminen, PhD</w:t>
      </w:r>
      <w:r w:rsidRPr="005A768E">
        <w:rPr>
          <w:vertAlign w:val="superscript"/>
          <w:lang w:val="fi-FI"/>
        </w:rPr>
        <w:t>1,2,3</w:t>
      </w:r>
      <w:r w:rsidRPr="005A768E">
        <w:rPr>
          <w:lang w:val="fi-FI"/>
        </w:rPr>
        <w:t>, Tero Vahlberg, MSc</w:t>
      </w:r>
      <w:r w:rsidR="00AD5439" w:rsidRPr="005A768E">
        <w:rPr>
          <w:vertAlign w:val="superscript"/>
          <w:lang w:val="fi-FI"/>
        </w:rPr>
        <w:t>4</w:t>
      </w:r>
      <w:r w:rsidRPr="005A768E">
        <w:rPr>
          <w:lang w:val="fi-FI"/>
        </w:rPr>
        <w:t>, Ismo Räihä, MD, PhD</w:t>
      </w:r>
      <w:r w:rsidR="00AD5439" w:rsidRPr="005A768E">
        <w:rPr>
          <w:vertAlign w:val="superscript"/>
          <w:lang w:val="fi-FI"/>
        </w:rPr>
        <w:t>1,5</w:t>
      </w:r>
      <w:r w:rsidR="00D47A28" w:rsidRPr="005A768E">
        <w:rPr>
          <w:lang w:val="fi-FI"/>
        </w:rPr>
        <w:t>,</w:t>
      </w:r>
      <w:r w:rsidR="00FB6DA5" w:rsidRPr="005A768E">
        <w:rPr>
          <w:lang w:val="fi-FI"/>
        </w:rPr>
        <w:t xml:space="preserve"> </w:t>
      </w:r>
      <w:r w:rsidRPr="005A768E">
        <w:rPr>
          <w:lang w:val="fi-FI"/>
        </w:rPr>
        <w:t>Sirkka-Liisa Kivelä, MD, PhD</w:t>
      </w:r>
      <w:r w:rsidR="00D47A28" w:rsidRPr="005A768E">
        <w:rPr>
          <w:vertAlign w:val="superscript"/>
          <w:lang w:val="fi-FI"/>
        </w:rPr>
        <w:t>6</w:t>
      </w:r>
      <w:r w:rsidR="00D46F12" w:rsidRPr="005A768E">
        <w:rPr>
          <w:lang w:val="fi-FI"/>
        </w:rPr>
        <w:t>, Kerttu Irjala MD, PhD</w:t>
      </w:r>
      <w:r w:rsidR="00D47A28" w:rsidRPr="005A768E">
        <w:rPr>
          <w:vertAlign w:val="superscript"/>
          <w:lang w:val="fi-FI"/>
        </w:rPr>
        <w:t>7</w:t>
      </w:r>
    </w:p>
    <w:p w:rsidR="00266394" w:rsidRPr="005A768E" w:rsidRDefault="00266394" w:rsidP="00266394">
      <w:pPr>
        <w:spacing w:line="480" w:lineRule="auto"/>
      </w:pPr>
      <w:r w:rsidRPr="005A768E">
        <w:rPr>
          <w:vertAlign w:val="superscript"/>
        </w:rPr>
        <w:t>1</w:t>
      </w:r>
      <w:r w:rsidRPr="005A768E">
        <w:t>Institute of Clinical Medicine, Family Medicine, University of Turku, Turku, Finland;</w:t>
      </w:r>
    </w:p>
    <w:p w:rsidR="00266394" w:rsidRPr="005A768E" w:rsidRDefault="00266394" w:rsidP="00266394">
      <w:pPr>
        <w:spacing w:line="480" w:lineRule="auto"/>
      </w:pPr>
      <w:r w:rsidRPr="005A768E">
        <w:rPr>
          <w:vertAlign w:val="superscript"/>
        </w:rPr>
        <w:t>2</w:t>
      </w:r>
      <w:r w:rsidR="00352DB8">
        <w:t>Härkätie Health Center</w:t>
      </w:r>
      <w:r w:rsidRPr="005A768E">
        <w:t>, Lieto, Finland;</w:t>
      </w:r>
    </w:p>
    <w:p w:rsidR="00266394" w:rsidRPr="005A768E" w:rsidRDefault="00266394" w:rsidP="00266394">
      <w:pPr>
        <w:spacing w:line="480" w:lineRule="auto"/>
      </w:pPr>
      <w:r w:rsidRPr="005A768E">
        <w:rPr>
          <w:vertAlign w:val="superscript"/>
        </w:rPr>
        <w:t>3</w:t>
      </w:r>
      <w:r w:rsidRPr="005A768E">
        <w:t>Unit of Family Medicine, Turku University Hospital, Turku, Finland;</w:t>
      </w:r>
    </w:p>
    <w:p w:rsidR="00266394" w:rsidRPr="005A768E" w:rsidRDefault="00AD5439" w:rsidP="00266394">
      <w:pPr>
        <w:spacing w:line="480" w:lineRule="auto"/>
      </w:pPr>
      <w:r w:rsidRPr="005A768E">
        <w:rPr>
          <w:vertAlign w:val="superscript"/>
        </w:rPr>
        <w:t>4</w:t>
      </w:r>
      <w:r w:rsidR="00266394" w:rsidRPr="005A768E">
        <w:t xml:space="preserve">Institute of Clinical Medicine, Biostatistics, </w:t>
      </w:r>
      <w:smartTag w:uri="urn:schemas-microsoft-com:office:smarttags" w:element="place">
        <w:smartTag w:uri="urn:schemas-microsoft-com:office:smarttags" w:element="PlaceType">
          <w:r w:rsidR="00266394" w:rsidRPr="005A768E">
            <w:t>University</w:t>
          </w:r>
        </w:smartTag>
        <w:r w:rsidR="00266394" w:rsidRPr="005A768E">
          <w:t xml:space="preserve"> of </w:t>
        </w:r>
        <w:smartTag w:uri="urn:schemas-microsoft-com:office:smarttags" w:element="PlaceName">
          <w:r w:rsidR="00266394" w:rsidRPr="005A768E">
            <w:t>Turku</w:t>
          </w:r>
        </w:smartTag>
      </w:smartTag>
      <w:r w:rsidR="00266394" w:rsidRPr="005A768E">
        <w:t xml:space="preserve">, </w:t>
      </w:r>
      <w:smartTag w:uri="urn:schemas-microsoft-com:office:smarttags" w:element="place">
        <w:smartTag w:uri="urn:schemas-microsoft-com:office:smarttags" w:element="City">
          <w:r w:rsidR="00266394" w:rsidRPr="005A768E">
            <w:t>Turku</w:t>
          </w:r>
        </w:smartTag>
        <w:r w:rsidR="00266394" w:rsidRPr="005A768E">
          <w:t xml:space="preserve">, </w:t>
        </w:r>
        <w:smartTag w:uri="urn:schemas-microsoft-com:office:smarttags" w:element="country-region">
          <w:r w:rsidR="00266394" w:rsidRPr="005A768E">
            <w:t>Finland</w:t>
          </w:r>
        </w:smartTag>
      </w:smartTag>
      <w:r w:rsidR="00266394" w:rsidRPr="005A768E">
        <w:t>;</w:t>
      </w:r>
    </w:p>
    <w:p w:rsidR="00266394" w:rsidRPr="005A768E" w:rsidRDefault="00AD5439" w:rsidP="00266394">
      <w:pPr>
        <w:spacing w:line="480" w:lineRule="auto"/>
      </w:pPr>
      <w:r w:rsidRPr="005A768E">
        <w:rPr>
          <w:vertAlign w:val="superscript"/>
        </w:rPr>
        <w:t>5</w:t>
      </w:r>
      <w:r w:rsidR="00266394" w:rsidRPr="005A768E">
        <w:t xml:space="preserve">Department of Internal Medicine, </w:t>
      </w:r>
      <w:smartTag w:uri="urn:schemas-microsoft-com:office:smarttags" w:element="place">
        <w:smartTag w:uri="urn:schemas-microsoft-com:office:smarttags" w:element="PlaceName">
          <w:r w:rsidR="00266394" w:rsidRPr="005A768E">
            <w:t>Turku</w:t>
          </w:r>
        </w:smartTag>
        <w:r w:rsidR="00266394" w:rsidRPr="005A768E">
          <w:t xml:space="preserve"> </w:t>
        </w:r>
        <w:smartTag w:uri="urn:schemas-microsoft-com:office:smarttags" w:element="PlaceType">
          <w:r w:rsidR="00266394" w:rsidRPr="005A768E">
            <w:t>City</w:t>
          </w:r>
        </w:smartTag>
        <w:r w:rsidR="00266394" w:rsidRPr="005A768E">
          <w:t xml:space="preserve"> </w:t>
        </w:r>
        <w:smartTag w:uri="urn:schemas-microsoft-com:office:smarttags" w:element="PlaceType">
          <w:r w:rsidR="00266394" w:rsidRPr="005A768E">
            <w:t>Hospital</w:t>
          </w:r>
        </w:smartTag>
      </w:smartTag>
      <w:r w:rsidR="00266394" w:rsidRPr="005A768E">
        <w:t xml:space="preserve">, </w:t>
      </w:r>
      <w:smartTag w:uri="urn:schemas-microsoft-com:office:smarttags" w:element="place">
        <w:smartTag w:uri="urn:schemas-microsoft-com:office:smarttags" w:element="City">
          <w:r w:rsidR="00266394" w:rsidRPr="005A768E">
            <w:t>Turku</w:t>
          </w:r>
        </w:smartTag>
        <w:r w:rsidR="00266394" w:rsidRPr="005A768E">
          <w:t xml:space="preserve">, </w:t>
        </w:r>
        <w:smartTag w:uri="urn:schemas-microsoft-com:office:smarttags" w:element="country-region">
          <w:r w:rsidR="00266394" w:rsidRPr="005A768E">
            <w:t>Finland</w:t>
          </w:r>
        </w:smartTag>
      </w:smartTag>
      <w:r w:rsidR="00266394" w:rsidRPr="005A768E">
        <w:t>;</w:t>
      </w:r>
    </w:p>
    <w:p w:rsidR="00D47A28" w:rsidRPr="005A768E" w:rsidRDefault="00AD5439" w:rsidP="00D47A28">
      <w:pPr>
        <w:spacing w:line="480" w:lineRule="auto"/>
      </w:pPr>
      <w:r w:rsidRPr="005A768E">
        <w:rPr>
          <w:vertAlign w:val="superscript"/>
        </w:rPr>
        <w:t>6</w:t>
      </w:r>
      <w:r w:rsidR="00D47A28" w:rsidRPr="005A768E">
        <w:t>Faculty of Pharmacy, Division of Social Pharmacy, University of Helsinki, Helsinki, Finland;</w:t>
      </w:r>
    </w:p>
    <w:p w:rsidR="00266394" w:rsidRPr="00701781" w:rsidRDefault="00D46F12" w:rsidP="00266394">
      <w:pPr>
        <w:spacing w:line="480" w:lineRule="auto"/>
      </w:pPr>
      <w:r w:rsidRPr="00701781">
        <w:rPr>
          <w:vertAlign w:val="superscript"/>
        </w:rPr>
        <w:t>7</w:t>
      </w:r>
      <w:r w:rsidRPr="00701781">
        <w:t>Mehiläinen</w:t>
      </w:r>
      <w:r w:rsidR="00107073" w:rsidRPr="00701781">
        <w:t xml:space="preserve"> Oy,</w:t>
      </w:r>
      <w:r w:rsidRPr="00701781">
        <w:t xml:space="preserve"> Finland.</w:t>
      </w:r>
      <w:r w:rsidR="005A768E" w:rsidRPr="00701781">
        <w:t xml:space="preserve"> </w:t>
      </w:r>
    </w:p>
    <w:p w:rsidR="00266394" w:rsidRPr="00701781" w:rsidRDefault="00266394" w:rsidP="00266394">
      <w:pPr>
        <w:spacing w:line="480" w:lineRule="auto"/>
        <w:rPr>
          <w:b/>
          <w:sz w:val="28"/>
          <w:szCs w:val="28"/>
        </w:rPr>
      </w:pPr>
    </w:p>
    <w:p w:rsidR="00266394" w:rsidRPr="00701781" w:rsidRDefault="00E17628" w:rsidP="00266394">
      <w:pPr>
        <w:spacing w:line="480" w:lineRule="auto"/>
      </w:pPr>
      <w:r>
        <w:t xml:space="preserve">Short running title: Sex hormone levels and mortality in </w:t>
      </w:r>
      <w:r w:rsidR="000F7EFB">
        <w:t>older</w:t>
      </w:r>
      <w:r>
        <w:t xml:space="preserve"> men </w:t>
      </w:r>
    </w:p>
    <w:p w:rsidR="00071DDC" w:rsidRPr="00701781" w:rsidRDefault="00071DDC" w:rsidP="00266394">
      <w:pPr>
        <w:spacing w:line="480" w:lineRule="auto"/>
      </w:pPr>
    </w:p>
    <w:p w:rsidR="00071DDC" w:rsidRPr="00701781" w:rsidRDefault="00071DDC" w:rsidP="00266394">
      <w:pPr>
        <w:spacing w:line="480" w:lineRule="auto"/>
      </w:pPr>
    </w:p>
    <w:p w:rsidR="00071DDC" w:rsidRPr="00701781" w:rsidRDefault="00071DDC" w:rsidP="00266394">
      <w:pPr>
        <w:spacing w:line="480" w:lineRule="auto"/>
      </w:pPr>
    </w:p>
    <w:p w:rsidR="00071DDC" w:rsidRPr="00701781" w:rsidRDefault="00071DDC" w:rsidP="00266394">
      <w:pPr>
        <w:spacing w:line="480" w:lineRule="auto"/>
      </w:pPr>
    </w:p>
    <w:p w:rsidR="00266394" w:rsidRPr="00701781" w:rsidRDefault="00266394" w:rsidP="00266394">
      <w:pPr>
        <w:spacing w:line="480" w:lineRule="auto"/>
      </w:pPr>
    </w:p>
    <w:p w:rsidR="00266394" w:rsidRPr="005A768E" w:rsidRDefault="00266394" w:rsidP="00266394">
      <w:pPr>
        <w:spacing w:line="480" w:lineRule="auto"/>
        <w:jc w:val="both"/>
      </w:pPr>
      <w:r w:rsidRPr="005A768E">
        <w:t>Corresponding author:</w:t>
      </w:r>
    </w:p>
    <w:p w:rsidR="00266394" w:rsidRPr="00F440A2" w:rsidRDefault="00266394" w:rsidP="00266394">
      <w:pPr>
        <w:spacing w:line="480" w:lineRule="auto"/>
      </w:pPr>
      <w:r w:rsidRPr="00F440A2">
        <w:t>Marika Salminen, Family Medicine, Lemminkäisenkatu 1, FI-20014 University of Turku, Finland</w:t>
      </w:r>
    </w:p>
    <w:p w:rsidR="00266394" w:rsidRPr="005A768E" w:rsidRDefault="00266394" w:rsidP="00266394">
      <w:pPr>
        <w:spacing w:line="480" w:lineRule="auto"/>
      </w:pPr>
      <w:r w:rsidRPr="005A768E">
        <w:t xml:space="preserve">Tel: +358 2 333 8419, Fax: +359 2 333 8439, E-mail: </w:t>
      </w:r>
      <w:hyperlink r:id="rId8" w:history="1">
        <w:r w:rsidRPr="005A768E">
          <w:rPr>
            <w:rStyle w:val="Hyperlink"/>
          </w:rPr>
          <w:t>majosa@utu.fi</w:t>
        </w:r>
      </w:hyperlink>
      <w:r w:rsidR="00FE59B4" w:rsidRPr="005A768E">
        <w:rPr>
          <w:rStyle w:val="Hyperlink"/>
        </w:rPr>
        <w:t xml:space="preserve"> </w:t>
      </w:r>
    </w:p>
    <w:p w:rsidR="004D68E2" w:rsidRPr="005A768E" w:rsidRDefault="006D7700" w:rsidP="00E14510">
      <w:pPr>
        <w:spacing w:line="480" w:lineRule="auto"/>
        <w:jc w:val="both"/>
      </w:pPr>
      <w:r w:rsidRPr="005A768E">
        <w:rPr>
          <w:b/>
        </w:rPr>
        <w:br w:type="page"/>
      </w:r>
    </w:p>
    <w:p w:rsidR="00E56AF4" w:rsidRDefault="00F440A2" w:rsidP="007C050F">
      <w:pPr>
        <w:spacing w:line="480" w:lineRule="auto"/>
        <w:rPr>
          <w:b/>
        </w:rPr>
      </w:pPr>
      <w:r>
        <w:rPr>
          <w:b/>
        </w:rPr>
        <w:lastRenderedPageBreak/>
        <w:t>Dear Editor</w:t>
      </w:r>
    </w:p>
    <w:p w:rsidR="00E14510" w:rsidRPr="00F440A2" w:rsidRDefault="00E14510" w:rsidP="00E14510">
      <w:pPr>
        <w:spacing w:line="480" w:lineRule="auto"/>
        <w:jc w:val="both"/>
        <w:rPr>
          <w:vertAlign w:val="superscript"/>
        </w:rPr>
      </w:pPr>
      <w:r w:rsidRPr="007104B2">
        <w:t>Testosterone</w:t>
      </w:r>
      <w:r w:rsidR="00254447">
        <w:t xml:space="preserve"> (T)</w:t>
      </w:r>
      <w:r w:rsidRPr="007104B2">
        <w:t xml:space="preserve"> levels in men decline incrementally from middle age onwards, resulting in low levels in 20% of men aged 50 years, and</w:t>
      </w:r>
      <w:r w:rsidR="00B8120F">
        <w:t xml:space="preserve"> 50% among those aged 80 years</w:t>
      </w:r>
      <w:r w:rsidRPr="007104B2">
        <w:t>.</w:t>
      </w:r>
      <w:r w:rsidR="00B8120F" w:rsidRPr="00B8120F">
        <w:rPr>
          <w:vertAlign w:val="superscript"/>
        </w:rPr>
        <w:t>1</w:t>
      </w:r>
      <w:r w:rsidR="004C7BA4">
        <w:t xml:space="preserve"> E</w:t>
      </w:r>
      <w:r w:rsidR="00965454">
        <w:t>vidence of the associations between</w:t>
      </w:r>
      <w:r>
        <w:t xml:space="preserve"> </w:t>
      </w:r>
      <w:r w:rsidR="00254447">
        <w:t xml:space="preserve">T </w:t>
      </w:r>
      <w:r w:rsidR="004C7BA4">
        <w:t xml:space="preserve">and </w:t>
      </w:r>
      <w:r w:rsidR="0049025F">
        <w:t>mortality</w:t>
      </w:r>
      <w:r w:rsidR="00AE1D39">
        <w:t xml:space="preserve"> </w:t>
      </w:r>
      <w:r>
        <w:t xml:space="preserve">among middle-aged </w:t>
      </w:r>
      <w:r w:rsidR="000432B3">
        <w:t xml:space="preserve">men is contradictory. </w:t>
      </w:r>
      <w:r>
        <w:t>A</w:t>
      </w:r>
      <w:r w:rsidR="00965454">
        <w:t xml:space="preserve">mong </w:t>
      </w:r>
      <w:r w:rsidR="00514A06">
        <w:t>older</w:t>
      </w:r>
      <w:r w:rsidR="00D96E43">
        <w:t xml:space="preserve"> men</w:t>
      </w:r>
      <w:r w:rsidR="00B8120F">
        <w:t>, this is less studied.</w:t>
      </w:r>
      <w:r w:rsidR="00B8120F" w:rsidRPr="00B8120F">
        <w:rPr>
          <w:vertAlign w:val="superscript"/>
        </w:rPr>
        <w:t>2–7</w:t>
      </w:r>
      <w:r w:rsidR="00F440A2">
        <w:rPr>
          <w:vertAlign w:val="superscript"/>
        </w:rPr>
        <w:t xml:space="preserve"> </w:t>
      </w:r>
      <w:r>
        <w:t>We performed a prospective 9-year follow-up study to clarify the association</w:t>
      </w:r>
      <w:r w:rsidR="00212DC6">
        <w:t>s</w:t>
      </w:r>
      <w:r>
        <w:t xml:space="preserve"> of </w:t>
      </w:r>
      <w:r w:rsidR="00965454">
        <w:t>sex hormone levels with</w:t>
      </w:r>
      <w:r>
        <w:t xml:space="preserve"> all-cause mortality among </w:t>
      </w:r>
      <w:r w:rsidR="004C7BA4">
        <w:t xml:space="preserve">older </w:t>
      </w:r>
      <w:r w:rsidR="006B17E4">
        <w:t xml:space="preserve">Finnish </w:t>
      </w:r>
      <w:r>
        <w:t>men.</w:t>
      </w:r>
    </w:p>
    <w:p w:rsidR="00F440A2" w:rsidRDefault="00F440A2" w:rsidP="00F440A2"/>
    <w:p w:rsidR="009673F9" w:rsidRPr="00F440A2" w:rsidRDefault="007C050F" w:rsidP="00F440A2">
      <w:pPr>
        <w:spacing w:line="480" w:lineRule="auto"/>
        <w:jc w:val="both"/>
      </w:pPr>
      <w:r>
        <w:t xml:space="preserve">This study is a part of the longitudinal epidemiological study carried out in </w:t>
      </w:r>
      <w:r w:rsidR="00B8120F">
        <w:t>South-Western Finland</w:t>
      </w:r>
      <w:r w:rsidRPr="00F440A2">
        <w:t>.</w:t>
      </w:r>
      <w:r w:rsidR="00B8120F" w:rsidRPr="00F440A2">
        <w:t>8</w:t>
      </w:r>
      <w:r w:rsidRPr="00F440A2">
        <w:t xml:space="preserve"> </w:t>
      </w:r>
      <w:r w:rsidR="00212DC6">
        <w:t>S</w:t>
      </w:r>
      <w:r w:rsidRPr="008D3E6E">
        <w:t xml:space="preserve">ample for the current study consisted of </w:t>
      </w:r>
      <w:r w:rsidR="00FB5B8A">
        <w:t>474</w:t>
      </w:r>
      <w:r w:rsidR="00766FBC" w:rsidRPr="008D3E6E">
        <w:t xml:space="preserve"> men</w:t>
      </w:r>
      <w:r w:rsidR="00436C17">
        <w:t xml:space="preserve"> aged ≥65 years</w:t>
      </w:r>
      <w:r w:rsidR="00341E72" w:rsidRPr="008D3E6E">
        <w:t xml:space="preserve">. </w:t>
      </w:r>
    </w:p>
    <w:p w:rsidR="00B40920" w:rsidRDefault="00B40920" w:rsidP="007C050F">
      <w:pPr>
        <w:spacing w:line="480" w:lineRule="auto"/>
        <w:jc w:val="both"/>
      </w:pPr>
    </w:p>
    <w:p w:rsidR="00F66B57" w:rsidRPr="00591285" w:rsidRDefault="00BF78C5" w:rsidP="00F66B57">
      <w:pPr>
        <w:spacing w:line="480" w:lineRule="auto"/>
        <w:jc w:val="both"/>
        <w:rPr>
          <w:i/>
        </w:rPr>
      </w:pPr>
      <w:r>
        <w:t xml:space="preserve">Blood samples were obtained with minimal stasis between 8 am and 10 am after an overnight fast. Serum levels of T, SHBG, fT, and LH were determined by using the AutoDelfia automatic immunoassay (PerkinElmer/Wallac, Turku, Finland). Free T was calculated as follows: proportion (%) of fT (fT%) = 2.28 – </w:t>
      </w:r>
      <w:r w:rsidR="00B8120F">
        <w:t>1.38 x log(SHBG [nmol/l]) x 10</w:t>
      </w:r>
      <w:r>
        <w:t>.</w:t>
      </w:r>
      <w:r w:rsidR="00B8120F" w:rsidRPr="00B8120F">
        <w:rPr>
          <w:vertAlign w:val="superscript"/>
        </w:rPr>
        <w:t>9</w:t>
      </w:r>
      <w:r>
        <w:t xml:space="preserve"> Subjects with any sex hormone outside ±3 SD (standard deviation) were excluded according to the ±3 SD criterion. </w:t>
      </w:r>
      <w:r w:rsidR="00F66B57">
        <w:t>Data from all participants who had died before the beginning of January 2008 were obtained from the official Finnish Cause of Death Registry</w:t>
      </w:r>
      <w:r w:rsidR="00C3659A">
        <w:t>.</w:t>
      </w:r>
      <w:r w:rsidR="00F66B57">
        <w:t xml:space="preserve"> </w:t>
      </w:r>
    </w:p>
    <w:p w:rsidR="007C050F" w:rsidRDefault="007C050F" w:rsidP="007C050F">
      <w:pPr>
        <w:spacing w:line="480" w:lineRule="auto"/>
        <w:rPr>
          <w:lang w:val="en-GB"/>
        </w:rPr>
      </w:pPr>
    </w:p>
    <w:p w:rsidR="001562EE" w:rsidRDefault="001562EE" w:rsidP="001562EE">
      <w:pPr>
        <w:spacing w:line="480" w:lineRule="auto"/>
        <w:jc w:val="both"/>
      </w:pPr>
      <w:r>
        <w:t>The study was conducted according to the guidelines of the Declaration of Helsinki.</w:t>
      </w:r>
      <w:r>
        <w:rPr>
          <w:color w:val="FF0000"/>
        </w:rPr>
        <w:t xml:space="preserve"> </w:t>
      </w:r>
      <w:r>
        <w:t>The Ethics Committee of the Hospital District of Varsinais-Suomi approved the study protocol. Participants gave their informed consent.</w:t>
      </w:r>
    </w:p>
    <w:p w:rsidR="001562EE" w:rsidRDefault="001562EE" w:rsidP="007C050F">
      <w:pPr>
        <w:spacing w:line="480" w:lineRule="auto"/>
        <w:jc w:val="both"/>
      </w:pPr>
    </w:p>
    <w:p w:rsidR="00D80D29" w:rsidRPr="00F440A2" w:rsidRDefault="00F55112" w:rsidP="00F440A2">
      <w:pPr>
        <w:spacing w:line="480" w:lineRule="auto"/>
        <w:jc w:val="both"/>
        <w:rPr>
          <w:lang w:val="en-GB"/>
        </w:rPr>
      </w:pPr>
      <w:r>
        <w:rPr>
          <w:lang w:val="en-GB"/>
        </w:rPr>
        <w:t xml:space="preserve">Hazard ratios </w:t>
      </w:r>
      <w:r w:rsidR="007C050F">
        <w:rPr>
          <w:lang w:val="en-GB"/>
        </w:rPr>
        <w:t xml:space="preserve">and their 95 % confidence intervals for </w:t>
      </w:r>
      <w:r w:rsidR="005E15A0">
        <w:t xml:space="preserve">deaths </w:t>
      </w:r>
      <w:r w:rsidR="007C050F">
        <w:rPr>
          <w:lang w:val="en-GB"/>
        </w:rPr>
        <w:t>were calculated using Cox proportional hazard models</w:t>
      </w:r>
      <w:r w:rsidR="00813292">
        <w:rPr>
          <w:lang w:val="en-GB"/>
        </w:rPr>
        <w:t xml:space="preserve">. </w:t>
      </w:r>
      <w:r>
        <w:rPr>
          <w:lang w:val="en-GB"/>
        </w:rPr>
        <w:t>Age, smoking</w:t>
      </w:r>
      <w:r w:rsidR="00471229">
        <w:rPr>
          <w:lang w:val="en-GB"/>
        </w:rPr>
        <w:t>, frequency of exercise and type 2 diabetes were used as con</w:t>
      </w:r>
      <w:r w:rsidR="00F8425F">
        <w:rPr>
          <w:lang w:val="en-GB"/>
        </w:rPr>
        <w:t>founding factors</w:t>
      </w:r>
      <w:r w:rsidR="00471229">
        <w:rPr>
          <w:lang w:val="en-GB"/>
        </w:rPr>
        <w:t xml:space="preserve">. </w:t>
      </w:r>
    </w:p>
    <w:p w:rsidR="004225BF" w:rsidRDefault="00237063" w:rsidP="00E3615B">
      <w:pPr>
        <w:spacing w:line="480" w:lineRule="auto"/>
      </w:pPr>
      <w:r w:rsidRPr="00AC1007">
        <w:lastRenderedPageBreak/>
        <w:t>Du</w:t>
      </w:r>
      <w:r w:rsidR="007521DD" w:rsidRPr="00AC1007">
        <w:t>ring a 9-year follow-up</w:t>
      </w:r>
      <w:r w:rsidR="00212DC6" w:rsidRPr="00AC1007">
        <w:t>,</w:t>
      </w:r>
      <w:r w:rsidR="007521DD" w:rsidRPr="00AC1007">
        <w:t xml:space="preserve"> </w:t>
      </w:r>
      <w:r w:rsidRPr="00AC1007">
        <w:t xml:space="preserve">179 men died. </w:t>
      </w:r>
      <w:r w:rsidR="00E3615B" w:rsidRPr="00AC1007">
        <w:t>After adjustment</w:t>
      </w:r>
      <w:r w:rsidRPr="00AC1007">
        <w:t>s</w:t>
      </w:r>
      <w:r w:rsidR="00E3615B" w:rsidRPr="00AC1007">
        <w:t>, T, SHBG, fT, LH or T/LH levels</w:t>
      </w:r>
      <w:r w:rsidR="00F05F71" w:rsidRPr="00AC1007">
        <w:t xml:space="preserve"> did not predict all-cause</w:t>
      </w:r>
      <w:r w:rsidR="00102B7C" w:rsidRPr="00AC1007">
        <w:t xml:space="preserve"> </w:t>
      </w:r>
      <w:r w:rsidR="004C7BA4" w:rsidRPr="00AC1007">
        <w:t>mortality</w:t>
      </w:r>
      <w:r w:rsidR="00EA393C" w:rsidRPr="00AC1007">
        <w:t xml:space="preserve"> (Table 1</w:t>
      </w:r>
      <w:r w:rsidR="00E3615B" w:rsidRPr="00AC1007">
        <w:t>.)</w:t>
      </w:r>
    </w:p>
    <w:p w:rsidR="00F440A2" w:rsidRDefault="00F440A2" w:rsidP="00E3615B">
      <w:pPr>
        <w:spacing w:line="480" w:lineRule="auto"/>
      </w:pPr>
    </w:p>
    <w:p w:rsidR="002D3759" w:rsidRDefault="009648F3" w:rsidP="006A45B4">
      <w:pPr>
        <w:spacing w:line="480" w:lineRule="auto"/>
        <w:jc w:val="both"/>
      </w:pPr>
      <w:r>
        <w:t xml:space="preserve">The results of our study are similar to those in the </w:t>
      </w:r>
      <w:r w:rsidR="00EE5C5A">
        <w:t>Framingham Heart (</w:t>
      </w:r>
      <w:r>
        <w:t>FH</w:t>
      </w:r>
      <w:r w:rsidR="00EE5C5A">
        <w:t>)</w:t>
      </w:r>
      <w:r>
        <w:t xml:space="preserve"> study</w:t>
      </w:r>
      <w:r w:rsidR="00CF069A" w:rsidRPr="00CF069A">
        <w:rPr>
          <w:vertAlign w:val="superscript"/>
        </w:rPr>
        <w:t>2</w:t>
      </w:r>
      <w:r>
        <w:t xml:space="preserve"> and the Health in Men (HiM) study</w:t>
      </w:r>
      <w:r w:rsidR="00CF069A">
        <w:rPr>
          <w:vertAlign w:val="superscript"/>
        </w:rPr>
        <w:t>6</w:t>
      </w:r>
      <w:r w:rsidR="00D62776">
        <w:rPr>
          <w:vertAlign w:val="superscript"/>
        </w:rPr>
        <w:t xml:space="preserve"> </w:t>
      </w:r>
      <w:r w:rsidR="00D62776">
        <w:t xml:space="preserve">showing no association with T and mortality. </w:t>
      </w:r>
      <w:r w:rsidR="00841FD2">
        <w:t>In</w:t>
      </w:r>
      <w:r w:rsidR="00841FD2" w:rsidRPr="00EF0742">
        <w:t xml:space="preserve"> </w:t>
      </w:r>
      <w:r w:rsidR="00841FD2">
        <w:t xml:space="preserve">the </w:t>
      </w:r>
      <w:r w:rsidR="00D62776">
        <w:t xml:space="preserve">study of </w:t>
      </w:r>
      <w:r w:rsidR="00841FD2">
        <w:t>Osteo</w:t>
      </w:r>
      <w:r w:rsidR="00D62776">
        <w:t>porotic Fractures in Men (MrOS)</w:t>
      </w:r>
      <w:r w:rsidR="00D858C3" w:rsidRPr="00D858C3">
        <w:rPr>
          <w:vertAlign w:val="superscript"/>
        </w:rPr>
        <w:t>4</w:t>
      </w:r>
      <w:r w:rsidR="00841FD2">
        <w:t xml:space="preserve"> and two other longitudinal studies</w:t>
      </w:r>
      <w:r w:rsidR="007443C9">
        <w:t>,</w:t>
      </w:r>
      <w:r w:rsidR="00D858C3" w:rsidRPr="00D858C3">
        <w:rPr>
          <w:vertAlign w:val="superscript"/>
        </w:rPr>
        <w:t>3,5</w:t>
      </w:r>
      <w:r w:rsidR="00841FD2">
        <w:t xml:space="preserve"> inverse associations between </w:t>
      </w:r>
      <w:r w:rsidR="006A45B4">
        <w:t>T</w:t>
      </w:r>
      <w:r w:rsidR="00841FD2">
        <w:t xml:space="preserve"> and mortality were found. </w:t>
      </w:r>
      <w:r w:rsidR="007443C9">
        <w:t>One d</w:t>
      </w:r>
      <w:r>
        <w:t>ifference between studies was the assay methods used; in our study and in the FH study</w:t>
      </w:r>
      <w:r w:rsidR="00D858C3" w:rsidRPr="00CF069A">
        <w:rPr>
          <w:vertAlign w:val="superscript"/>
        </w:rPr>
        <w:t>2</w:t>
      </w:r>
      <w:r>
        <w:t xml:space="preserve"> immunoassay-based hormone assay methods were used, whereas in the MrOS study</w:t>
      </w:r>
      <w:r w:rsidR="00D858C3" w:rsidRPr="00D858C3">
        <w:rPr>
          <w:vertAlign w:val="superscript"/>
        </w:rPr>
        <w:t>4</w:t>
      </w:r>
      <w:r>
        <w:t xml:space="preserve"> a mass spectrometry-based technique was used</w:t>
      </w:r>
      <w:r w:rsidR="00D858C3">
        <w:t>.</w:t>
      </w:r>
      <w:r>
        <w:t xml:space="preserve"> According to Wang et al.,</w:t>
      </w:r>
      <w:r w:rsidR="00D858C3" w:rsidRPr="00D858C3">
        <w:rPr>
          <w:vertAlign w:val="superscript"/>
        </w:rPr>
        <w:t>10</w:t>
      </w:r>
      <w:r>
        <w:t xml:space="preserve"> mass spectrometry provides more accurate assessment of </w:t>
      </w:r>
      <w:r w:rsidR="00D62776">
        <w:t>T</w:t>
      </w:r>
      <w:r>
        <w:t xml:space="preserve"> than immunoassay-based techniques. </w:t>
      </w:r>
    </w:p>
    <w:p w:rsidR="002D3759" w:rsidRDefault="002D3759" w:rsidP="006A45B4">
      <w:pPr>
        <w:spacing w:line="480" w:lineRule="auto"/>
        <w:jc w:val="both"/>
      </w:pPr>
    </w:p>
    <w:p w:rsidR="006A45B4" w:rsidRDefault="006A45B4" w:rsidP="006A45B4">
      <w:pPr>
        <w:spacing w:line="480" w:lineRule="auto"/>
        <w:jc w:val="both"/>
      </w:pPr>
      <w:r>
        <w:t xml:space="preserve">The associations of SHBG, fT and LH with mortality have been </w:t>
      </w:r>
      <w:r w:rsidR="001C0CC2">
        <w:t>studied very</w:t>
      </w:r>
      <w:r>
        <w:t xml:space="preserve"> </w:t>
      </w:r>
      <w:r w:rsidR="00D858C3">
        <w:t xml:space="preserve">little. </w:t>
      </w:r>
      <w:r>
        <w:t>In the HiM</w:t>
      </w:r>
      <w:r w:rsidR="00351D4F">
        <w:t xml:space="preserve"> study</w:t>
      </w:r>
      <w:r>
        <w:t>,</w:t>
      </w:r>
      <w:r w:rsidR="00351D4F">
        <w:rPr>
          <w:vertAlign w:val="superscript"/>
        </w:rPr>
        <w:t>6</w:t>
      </w:r>
      <w:r>
        <w:t xml:space="preserve"> SHBG, fT and L</w:t>
      </w:r>
      <w:r w:rsidR="00D62776">
        <w:t>H were associated with mortality</w:t>
      </w:r>
      <w:r>
        <w:t xml:space="preserve">, whereas in the </w:t>
      </w:r>
      <w:r w:rsidR="00D62776">
        <w:t>Finnish C</w:t>
      </w:r>
      <w:r>
        <w:t>ohorts of the Seven Countries Study, SHBG was not associated with mortality.</w:t>
      </w:r>
      <w:r w:rsidR="00351D4F" w:rsidRPr="00351D4F">
        <w:rPr>
          <w:vertAlign w:val="superscript"/>
        </w:rPr>
        <w:t>7</w:t>
      </w:r>
      <w:r>
        <w:t xml:space="preserve"> In the FH study,</w:t>
      </w:r>
      <w:r w:rsidR="00351D4F" w:rsidRPr="00CF069A">
        <w:rPr>
          <w:vertAlign w:val="superscript"/>
        </w:rPr>
        <w:t>2</w:t>
      </w:r>
      <w:r>
        <w:t xml:space="preserve"> LH was not associated with mortality. </w:t>
      </w:r>
    </w:p>
    <w:p w:rsidR="009648F3" w:rsidRDefault="009648F3" w:rsidP="009648F3">
      <w:pPr>
        <w:spacing w:line="480" w:lineRule="auto"/>
        <w:jc w:val="both"/>
      </w:pPr>
    </w:p>
    <w:p w:rsidR="009648F3" w:rsidRDefault="00D62776" w:rsidP="009648F3">
      <w:pPr>
        <w:spacing w:line="480" w:lineRule="auto"/>
        <w:jc w:val="both"/>
      </w:pPr>
      <w:r>
        <w:t>In conclusion, T, SHBG, calculated fT or LH were not</w:t>
      </w:r>
      <w:r w:rsidR="009648F3">
        <w:t xml:space="preserve"> associated with </w:t>
      </w:r>
      <w:r>
        <w:t>mortality</w:t>
      </w:r>
      <w:r w:rsidR="009648F3">
        <w:t xml:space="preserve"> among older Finnish men. Because of contradictory evidence</w:t>
      </w:r>
      <w:r w:rsidR="006A45B4">
        <w:t>,</w:t>
      </w:r>
      <w:r w:rsidR="009648F3">
        <w:t xml:space="preserve"> more studies with large samples, long</w:t>
      </w:r>
      <w:r w:rsidR="00D96E43">
        <w:t>er</w:t>
      </w:r>
      <w:r w:rsidR="009648F3">
        <w:t xml:space="preserve"> follow-ups, and high quality are needed. </w:t>
      </w:r>
    </w:p>
    <w:p w:rsidR="009648F3" w:rsidRDefault="009648F3" w:rsidP="003B448C">
      <w:pPr>
        <w:spacing w:line="480" w:lineRule="auto"/>
        <w:jc w:val="both"/>
      </w:pPr>
    </w:p>
    <w:p w:rsidR="009648F3" w:rsidRDefault="009648F3" w:rsidP="003B448C">
      <w:pPr>
        <w:spacing w:line="480" w:lineRule="auto"/>
        <w:jc w:val="both"/>
      </w:pPr>
    </w:p>
    <w:p w:rsidR="0006795C" w:rsidRPr="0006795C" w:rsidRDefault="009A3445" w:rsidP="0006795C">
      <w:pPr>
        <w:spacing w:line="480" w:lineRule="auto"/>
        <w:jc w:val="both"/>
        <w:rPr>
          <w:b/>
        </w:rPr>
      </w:pPr>
      <w:r>
        <w:rPr>
          <w:b/>
        </w:rPr>
        <w:t>Disclosure statement</w:t>
      </w:r>
    </w:p>
    <w:p w:rsidR="009A3445" w:rsidRDefault="009A3445" w:rsidP="0006795C">
      <w:pPr>
        <w:spacing w:line="480" w:lineRule="auto"/>
        <w:jc w:val="both"/>
      </w:pPr>
      <w:r>
        <w:t xml:space="preserve">No potential conflicts of interest were disclosed. </w:t>
      </w:r>
    </w:p>
    <w:p w:rsidR="00374FCF" w:rsidRPr="00435BF5" w:rsidRDefault="009A3445" w:rsidP="00435BF5">
      <w:r>
        <w:br w:type="page"/>
      </w:r>
      <w:r>
        <w:rPr>
          <w:b/>
        </w:rPr>
        <w:lastRenderedPageBreak/>
        <w:t>R</w:t>
      </w:r>
      <w:r w:rsidR="00374FCF" w:rsidRPr="00374FCF">
        <w:rPr>
          <w:b/>
        </w:rPr>
        <w:t>eferences</w:t>
      </w:r>
    </w:p>
    <w:p w:rsidR="00374FCF" w:rsidRDefault="00374FCF" w:rsidP="007C050F">
      <w:pPr>
        <w:rPr>
          <w:b/>
        </w:rPr>
      </w:pPr>
    </w:p>
    <w:p w:rsidR="00AE06AD" w:rsidRPr="001562EE" w:rsidRDefault="00203B5A" w:rsidP="00AE06AD">
      <w:pPr>
        <w:spacing w:line="480" w:lineRule="auto"/>
        <w:jc w:val="both"/>
      </w:pPr>
      <w:r>
        <w:t xml:space="preserve">1. </w:t>
      </w:r>
      <w:r w:rsidR="00DE5664" w:rsidRPr="00DE5664">
        <w:t>Feldman HA</w:t>
      </w:r>
      <w:r w:rsidR="00DE5664">
        <w:t>, Longcope C, Derby CA</w:t>
      </w:r>
      <w:r w:rsidR="00550D0C">
        <w:t xml:space="preserve"> et al. </w:t>
      </w:r>
      <w:r w:rsidR="00AE06AD">
        <w:t xml:space="preserve">Age trends in level of serum testosterone and other hormones in middle-aged men: longitudinal results from the Massachusetts male aging study. </w:t>
      </w:r>
      <w:r w:rsidR="00DE5664" w:rsidRPr="00550D0C">
        <w:rPr>
          <w:i/>
        </w:rPr>
        <w:t>J Clin Endocrinol Metab</w:t>
      </w:r>
      <w:r w:rsidR="00DE5664">
        <w:t xml:space="preserve"> </w:t>
      </w:r>
      <w:r w:rsidR="00550D0C">
        <w:t xml:space="preserve">2002; </w:t>
      </w:r>
      <w:r w:rsidR="00AE06AD" w:rsidRPr="001562EE">
        <w:t>87:</w:t>
      </w:r>
      <w:r w:rsidR="00550D0C">
        <w:t xml:space="preserve"> 589–</w:t>
      </w:r>
      <w:r w:rsidR="00AE06AD" w:rsidRPr="001562EE">
        <w:t>98.</w:t>
      </w:r>
    </w:p>
    <w:p w:rsidR="009F3DFC" w:rsidRDefault="009F3DFC" w:rsidP="00203B5A">
      <w:pPr>
        <w:spacing w:line="480" w:lineRule="auto"/>
        <w:jc w:val="both"/>
      </w:pPr>
    </w:p>
    <w:p w:rsidR="00AE06AD" w:rsidRPr="00F440A2" w:rsidRDefault="00CE4D78" w:rsidP="00AE06AD">
      <w:pPr>
        <w:spacing w:line="480" w:lineRule="auto"/>
        <w:jc w:val="both"/>
        <w:rPr>
          <w:lang w:val="fi-FI"/>
        </w:rPr>
      </w:pPr>
      <w:r>
        <w:t>2</w:t>
      </w:r>
      <w:r w:rsidR="00203B5A">
        <w:t xml:space="preserve">. </w:t>
      </w:r>
      <w:r w:rsidR="00AE06AD" w:rsidRPr="00D95D2E">
        <w:t>Haring R, Teng Z, Xanthakis V</w:t>
      </w:r>
      <w:r w:rsidR="00550D0C">
        <w:t xml:space="preserve"> et al. </w:t>
      </w:r>
      <w:r w:rsidR="00AE06AD" w:rsidRPr="00D95D2E">
        <w:t>Association of sex steroids, gonadotrophins, and their trajectories with clinical cardiovascular disease and all-cause mortality in elderly men from the Framingham H</w:t>
      </w:r>
      <w:r w:rsidR="0010712B">
        <w:t xml:space="preserve">eart Study. </w:t>
      </w:r>
      <w:r w:rsidR="0010712B" w:rsidRPr="00F440A2">
        <w:rPr>
          <w:i/>
          <w:lang w:val="fi-FI"/>
        </w:rPr>
        <w:t>Clin Endocrinol</w:t>
      </w:r>
      <w:r w:rsidR="0010712B" w:rsidRPr="00F440A2">
        <w:rPr>
          <w:lang w:val="fi-FI"/>
        </w:rPr>
        <w:t xml:space="preserve"> </w:t>
      </w:r>
      <w:r w:rsidR="00550D0C" w:rsidRPr="00F440A2">
        <w:rPr>
          <w:lang w:val="fi-FI"/>
        </w:rPr>
        <w:t xml:space="preserve">2013; </w:t>
      </w:r>
      <w:r w:rsidR="00AE06AD" w:rsidRPr="00F440A2">
        <w:rPr>
          <w:lang w:val="fi-FI"/>
        </w:rPr>
        <w:t>78:</w:t>
      </w:r>
      <w:r w:rsidR="00550D0C" w:rsidRPr="00F440A2">
        <w:rPr>
          <w:lang w:val="fi-FI"/>
        </w:rPr>
        <w:t xml:space="preserve"> 629–</w:t>
      </w:r>
      <w:r w:rsidR="00AE06AD" w:rsidRPr="00F440A2">
        <w:rPr>
          <w:lang w:val="fi-FI"/>
        </w:rPr>
        <w:t>34.</w:t>
      </w:r>
    </w:p>
    <w:p w:rsidR="00203B5A" w:rsidRPr="00F440A2" w:rsidRDefault="00203B5A" w:rsidP="00203B5A">
      <w:pPr>
        <w:spacing w:line="480" w:lineRule="auto"/>
        <w:jc w:val="both"/>
        <w:rPr>
          <w:lang w:val="fi-FI"/>
        </w:rPr>
      </w:pPr>
    </w:p>
    <w:p w:rsidR="00AE06AD" w:rsidRPr="001562EE" w:rsidRDefault="00CE4D78" w:rsidP="00AE06AD">
      <w:pPr>
        <w:spacing w:line="480" w:lineRule="auto"/>
        <w:jc w:val="both"/>
      </w:pPr>
      <w:r w:rsidRPr="00F440A2">
        <w:rPr>
          <w:lang w:val="fi-FI"/>
        </w:rPr>
        <w:t>3</w:t>
      </w:r>
      <w:r w:rsidR="009F3DFC" w:rsidRPr="00F440A2">
        <w:rPr>
          <w:lang w:val="fi-FI"/>
        </w:rPr>
        <w:t xml:space="preserve">. </w:t>
      </w:r>
      <w:r w:rsidR="00AE06AD" w:rsidRPr="00F440A2">
        <w:rPr>
          <w:lang w:val="fi-FI"/>
        </w:rPr>
        <w:t>Lehtonen A, Huupponen R, Tuomilehto J</w:t>
      </w:r>
      <w:r w:rsidR="00550D0C" w:rsidRPr="00F440A2">
        <w:rPr>
          <w:lang w:val="fi-FI"/>
        </w:rPr>
        <w:t xml:space="preserve"> et al. </w:t>
      </w:r>
      <w:r w:rsidR="00AE06AD" w:rsidRPr="001562EE">
        <w:t xml:space="preserve">Serum testosterone but not leptin predicts mortality in elderly men. </w:t>
      </w:r>
      <w:r w:rsidR="00AE06AD" w:rsidRPr="00550D0C">
        <w:rPr>
          <w:i/>
        </w:rPr>
        <w:t>Age Ageing</w:t>
      </w:r>
      <w:r w:rsidR="0010712B">
        <w:t xml:space="preserve"> </w:t>
      </w:r>
      <w:r w:rsidR="00550D0C">
        <w:t xml:space="preserve">2008; </w:t>
      </w:r>
      <w:r w:rsidR="00AE06AD">
        <w:t>37:</w:t>
      </w:r>
      <w:r w:rsidR="00550D0C">
        <w:t xml:space="preserve"> 461–</w:t>
      </w:r>
      <w:r w:rsidR="0010712B">
        <w:t>6</w:t>
      </w:r>
      <w:r w:rsidR="00AE06AD">
        <w:t>4.</w:t>
      </w:r>
    </w:p>
    <w:p w:rsidR="009F3DFC" w:rsidRDefault="009F3DFC" w:rsidP="00203B5A">
      <w:pPr>
        <w:spacing w:line="480" w:lineRule="auto"/>
        <w:jc w:val="both"/>
      </w:pPr>
    </w:p>
    <w:p w:rsidR="00AE06AD" w:rsidRPr="00AE06AD" w:rsidRDefault="00CE4D78" w:rsidP="002A3160">
      <w:pPr>
        <w:spacing w:line="480" w:lineRule="auto"/>
        <w:jc w:val="both"/>
      </w:pPr>
      <w:r>
        <w:t>4</w:t>
      </w:r>
      <w:r w:rsidR="009F3DFC" w:rsidRPr="00AE06AD">
        <w:t xml:space="preserve">. </w:t>
      </w:r>
      <w:r w:rsidR="00AE06AD" w:rsidRPr="001562EE">
        <w:t>Tivesten Å, Vandenput L, Labrie F</w:t>
      </w:r>
      <w:r w:rsidR="00AE1819">
        <w:t xml:space="preserve"> et al. </w:t>
      </w:r>
      <w:r w:rsidR="00AE06AD" w:rsidRPr="001562EE">
        <w:t xml:space="preserve">Low serum testosterone and estradiol predict mortality in elderly men. </w:t>
      </w:r>
      <w:r w:rsidR="00AE1819" w:rsidRPr="00AE1819">
        <w:rPr>
          <w:i/>
        </w:rPr>
        <w:t xml:space="preserve">J </w:t>
      </w:r>
      <w:r w:rsidR="00AE06AD" w:rsidRPr="00AE1819">
        <w:rPr>
          <w:i/>
        </w:rPr>
        <w:t>Clin Endocrin</w:t>
      </w:r>
      <w:r w:rsidR="002A3160" w:rsidRPr="00AE1819">
        <w:rPr>
          <w:i/>
        </w:rPr>
        <w:t>ol Metab</w:t>
      </w:r>
      <w:r w:rsidR="002A3160">
        <w:t xml:space="preserve"> </w:t>
      </w:r>
      <w:r w:rsidR="00AE1819">
        <w:t xml:space="preserve">2009; </w:t>
      </w:r>
      <w:r w:rsidR="00AE06AD" w:rsidRPr="00AE06AD">
        <w:t>94:</w:t>
      </w:r>
      <w:r w:rsidR="00AE1819">
        <w:t xml:space="preserve"> 2482–</w:t>
      </w:r>
      <w:r w:rsidR="00AE06AD" w:rsidRPr="00AE06AD">
        <w:t>8.</w:t>
      </w:r>
    </w:p>
    <w:p w:rsidR="009F3DFC" w:rsidRDefault="009F3DFC" w:rsidP="00AE06AD">
      <w:pPr>
        <w:spacing w:line="480" w:lineRule="auto"/>
      </w:pPr>
    </w:p>
    <w:p w:rsidR="00AE06AD" w:rsidRPr="00F440A2" w:rsidRDefault="00CE4D78" w:rsidP="00AE06AD">
      <w:pPr>
        <w:spacing w:line="480" w:lineRule="auto"/>
        <w:jc w:val="both"/>
        <w:rPr>
          <w:lang w:val="sv-SE"/>
        </w:rPr>
      </w:pPr>
      <w:r w:rsidRPr="00874F8A">
        <w:rPr>
          <w:lang w:val="fi-FI"/>
        </w:rPr>
        <w:t>5</w:t>
      </w:r>
      <w:r w:rsidR="00203B5A" w:rsidRPr="00874F8A">
        <w:rPr>
          <w:lang w:val="fi-FI"/>
        </w:rPr>
        <w:t xml:space="preserve">. </w:t>
      </w:r>
      <w:r w:rsidR="00AE06AD" w:rsidRPr="00874F8A">
        <w:rPr>
          <w:lang w:val="fi-FI"/>
        </w:rPr>
        <w:t>Fukai S, Akishita M, Yamada S</w:t>
      </w:r>
      <w:r w:rsidR="00BF7820" w:rsidRPr="00874F8A">
        <w:rPr>
          <w:lang w:val="fi-FI"/>
        </w:rPr>
        <w:t xml:space="preserve"> et al. </w:t>
      </w:r>
      <w:r w:rsidR="00AE06AD" w:rsidRPr="001562EE">
        <w:t xml:space="preserve">Plasma sex hormone levels and mortality in disabled older men and women. </w:t>
      </w:r>
      <w:r w:rsidR="00F94327" w:rsidRPr="00F440A2">
        <w:rPr>
          <w:i/>
          <w:lang w:val="sv-SE"/>
        </w:rPr>
        <w:t>Geriatr Gero</w:t>
      </w:r>
      <w:r w:rsidR="00BF7820" w:rsidRPr="00F440A2">
        <w:rPr>
          <w:i/>
          <w:lang w:val="sv-SE"/>
        </w:rPr>
        <w:t>n</w:t>
      </w:r>
      <w:r w:rsidR="00F94327" w:rsidRPr="00F440A2">
        <w:rPr>
          <w:i/>
          <w:lang w:val="sv-SE"/>
        </w:rPr>
        <w:t>tol Int</w:t>
      </w:r>
      <w:r w:rsidR="00F94327" w:rsidRPr="00F440A2">
        <w:rPr>
          <w:lang w:val="sv-SE"/>
        </w:rPr>
        <w:t xml:space="preserve"> </w:t>
      </w:r>
      <w:r w:rsidR="00BF7820" w:rsidRPr="00F440A2">
        <w:rPr>
          <w:lang w:val="sv-SE"/>
        </w:rPr>
        <w:t xml:space="preserve">2011; </w:t>
      </w:r>
      <w:r w:rsidR="00AE06AD" w:rsidRPr="00F440A2">
        <w:rPr>
          <w:lang w:val="sv-SE"/>
        </w:rPr>
        <w:t>11:</w:t>
      </w:r>
      <w:r w:rsidR="00BF7820" w:rsidRPr="00F440A2">
        <w:rPr>
          <w:lang w:val="sv-SE"/>
        </w:rPr>
        <w:t xml:space="preserve"> 196–</w:t>
      </w:r>
      <w:r w:rsidR="00AE06AD" w:rsidRPr="00F440A2">
        <w:rPr>
          <w:lang w:val="sv-SE"/>
        </w:rPr>
        <w:t>203.</w:t>
      </w:r>
    </w:p>
    <w:p w:rsidR="00CE4D78" w:rsidRPr="00F440A2" w:rsidRDefault="00CE4D78" w:rsidP="00AE06AD">
      <w:pPr>
        <w:spacing w:line="480" w:lineRule="auto"/>
        <w:jc w:val="both"/>
        <w:rPr>
          <w:lang w:val="sv-SE"/>
        </w:rPr>
      </w:pPr>
    </w:p>
    <w:p w:rsidR="00AE06AD" w:rsidRPr="00F440A2" w:rsidRDefault="00CE4D78" w:rsidP="00AE06AD">
      <w:pPr>
        <w:spacing w:line="480" w:lineRule="auto"/>
        <w:jc w:val="both"/>
        <w:rPr>
          <w:lang w:val="fi-FI"/>
        </w:rPr>
      </w:pPr>
      <w:r w:rsidRPr="00F440A2">
        <w:rPr>
          <w:lang w:val="sv-SE"/>
        </w:rPr>
        <w:t>6</w:t>
      </w:r>
      <w:r w:rsidR="00D46F5C" w:rsidRPr="00F440A2">
        <w:rPr>
          <w:lang w:val="sv-SE"/>
        </w:rPr>
        <w:t xml:space="preserve">. </w:t>
      </w:r>
      <w:r w:rsidR="00AE06AD" w:rsidRPr="00F440A2">
        <w:rPr>
          <w:lang w:val="sv-SE"/>
        </w:rPr>
        <w:t>Hyde Z, Norman PE, Flicker L</w:t>
      </w:r>
      <w:r w:rsidR="00BF7820" w:rsidRPr="00F440A2">
        <w:rPr>
          <w:lang w:val="sv-SE"/>
        </w:rPr>
        <w:t xml:space="preserve"> et al. </w:t>
      </w:r>
      <w:r w:rsidR="00AE06AD" w:rsidRPr="001562EE">
        <w:t xml:space="preserve">Low free testosterone predicts mortality from cardiovascular disease but not other causes: the health in men study. </w:t>
      </w:r>
      <w:r w:rsidR="00154EDC" w:rsidRPr="00F440A2">
        <w:rPr>
          <w:i/>
          <w:lang w:val="fi-FI"/>
        </w:rPr>
        <w:t>J Clin Endocrinol Metab</w:t>
      </w:r>
      <w:r w:rsidR="00154EDC" w:rsidRPr="00F440A2">
        <w:rPr>
          <w:lang w:val="fi-FI"/>
        </w:rPr>
        <w:t xml:space="preserve"> </w:t>
      </w:r>
      <w:r w:rsidR="00BF7820" w:rsidRPr="00F440A2">
        <w:rPr>
          <w:lang w:val="fi-FI"/>
        </w:rPr>
        <w:t xml:space="preserve">2012; </w:t>
      </w:r>
      <w:r w:rsidR="00AE06AD" w:rsidRPr="00F440A2">
        <w:rPr>
          <w:lang w:val="fi-FI"/>
        </w:rPr>
        <w:t>97:</w:t>
      </w:r>
      <w:r w:rsidR="00BF7820" w:rsidRPr="00F440A2">
        <w:rPr>
          <w:lang w:val="fi-FI"/>
        </w:rPr>
        <w:t xml:space="preserve"> </w:t>
      </w:r>
      <w:r w:rsidR="00AE06AD" w:rsidRPr="00F440A2">
        <w:rPr>
          <w:lang w:val="fi-FI"/>
        </w:rPr>
        <w:t>1</w:t>
      </w:r>
      <w:r w:rsidR="00BF7820" w:rsidRPr="00F440A2">
        <w:rPr>
          <w:lang w:val="fi-FI"/>
        </w:rPr>
        <w:t>79–</w:t>
      </w:r>
      <w:r w:rsidR="00AE06AD" w:rsidRPr="00F440A2">
        <w:rPr>
          <w:lang w:val="fi-FI"/>
        </w:rPr>
        <w:t>89.</w:t>
      </w:r>
    </w:p>
    <w:p w:rsidR="00BF7820" w:rsidRPr="00F440A2" w:rsidRDefault="00BF7820" w:rsidP="008926F8">
      <w:pPr>
        <w:spacing w:line="480" w:lineRule="auto"/>
        <w:jc w:val="both"/>
        <w:rPr>
          <w:lang w:val="fi-FI"/>
        </w:rPr>
      </w:pPr>
    </w:p>
    <w:p w:rsidR="008926F8" w:rsidRDefault="00CE4D78" w:rsidP="008926F8">
      <w:pPr>
        <w:spacing w:line="480" w:lineRule="auto"/>
        <w:jc w:val="both"/>
      </w:pPr>
      <w:r w:rsidRPr="00F440A2">
        <w:rPr>
          <w:lang w:val="fi-FI"/>
        </w:rPr>
        <w:t>7</w:t>
      </w:r>
      <w:r w:rsidR="00D46F5C" w:rsidRPr="00F440A2">
        <w:rPr>
          <w:lang w:val="fi-FI"/>
        </w:rPr>
        <w:t xml:space="preserve">. </w:t>
      </w:r>
      <w:r w:rsidR="000E365A" w:rsidRPr="00F440A2">
        <w:rPr>
          <w:lang w:val="fi-FI"/>
        </w:rPr>
        <w:t>Kalme T, Seppälä M, Qiao Q</w:t>
      </w:r>
      <w:r w:rsidR="00BF7820" w:rsidRPr="00F440A2">
        <w:rPr>
          <w:lang w:val="fi-FI"/>
        </w:rPr>
        <w:t xml:space="preserve"> et al. </w:t>
      </w:r>
      <w:r w:rsidR="008926F8" w:rsidRPr="000E365A">
        <w:t xml:space="preserve">Sex hormone-binding globulin and insulin-like growth factor-binding protein-1 as indicators of metabolic syndrome, cardiovascular risk, and mortality in elderly men. </w:t>
      </w:r>
      <w:r w:rsidR="000E365A" w:rsidRPr="00BF7820">
        <w:rPr>
          <w:i/>
        </w:rPr>
        <w:t>J Clin Endocrinol</w:t>
      </w:r>
      <w:r w:rsidR="000E365A" w:rsidRPr="00CE4301">
        <w:t xml:space="preserve"> </w:t>
      </w:r>
      <w:r w:rsidR="00BF7820">
        <w:t xml:space="preserve">2005; </w:t>
      </w:r>
      <w:r w:rsidR="000E365A" w:rsidRPr="00CE4301">
        <w:t>90:</w:t>
      </w:r>
      <w:r w:rsidR="00BF7820">
        <w:t xml:space="preserve"> 1550–</w:t>
      </w:r>
      <w:r w:rsidR="008926F8" w:rsidRPr="00CE4301">
        <w:t>6.</w:t>
      </w:r>
    </w:p>
    <w:p w:rsidR="00B047BC" w:rsidRDefault="00B047BC" w:rsidP="009F3DFC">
      <w:pPr>
        <w:pStyle w:val="PlainText"/>
        <w:spacing w:line="480" w:lineRule="auto"/>
        <w:jc w:val="both"/>
        <w:rPr>
          <w:rFonts w:ascii="Times New Roman" w:hAnsi="Times New Roman" w:cs="Times New Roman"/>
          <w:lang w:eastAsia="fi-FI"/>
        </w:rPr>
      </w:pPr>
    </w:p>
    <w:p w:rsidR="009F3DFC" w:rsidRPr="001C0A99" w:rsidRDefault="00B047BC" w:rsidP="009F3DFC">
      <w:pPr>
        <w:pStyle w:val="PlainText"/>
        <w:spacing w:line="480" w:lineRule="auto"/>
        <w:jc w:val="both"/>
        <w:rPr>
          <w:rFonts w:ascii="Times New Roman" w:hAnsi="Times New Roman" w:cs="Times New Roman"/>
          <w:lang w:val="en-GB" w:eastAsia="fi-FI"/>
        </w:rPr>
      </w:pPr>
      <w:r>
        <w:rPr>
          <w:rFonts w:ascii="Times New Roman" w:hAnsi="Times New Roman" w:cs="Times New Roman"/>
          <w:lang w:val="en-GB" w:eastAsia="fi-FI"/>
        </w:rPr>
        <w:lastRenderedPageBreak/>
        <w:t>8</w:t>
      </w:r>
      <w:r w:rsidR="009F3DFC" w:rsidRPr="00FE1A17">
        <w:rPr>
          <w:rFonts w:ascii="Times New Roman" w:hAnsi="Times New Roman" w:cs="Times New Roman"/>
          <w:lang w:val="en-GB" w:eastAsia="fi-FI"/>
        </w:rPr>
        <w:t xml:space="preserve">. </w:t>
      </w:r>
      <w:r w:rsidR="00FE1A17" w:rsidRPr="00FE1A17">
        <w:rPr>
          <w:rFonts w:ascii="Times New Roman" w:hAnsi="Times New Roman" w:cs="Times New Roman"/>
          <w:lang w:val="en-GB" w:eastAsia="fi-FI"/>
        </w:rPr>
        <w:t xml:space="preserve">Löppönen M, Räihä I, </w:t>
      </w:r>
      <w:r w:rsidR="00FE1A17">
        <w:rPr>
          <w:rFonts w:ascii="Times New Roman" w:hAnsi="Times New Roman" w:cs="Times New Roman"/>
          <w:lang w:val="en-GB" w:eastAsia="fi-FI"/>
        </w:rPr>
        <w:t xml:space="preserve">Isoaho </w:t>
      </w:r>
      <w:r w:rsidR="00BF7820">
        <w:rPr>
          <w:rFonts w:ascii="Times New Roman" w:hAnsi="Times New Roman" w:cs="Times New Roman"/>
          <w:lang w:val="en-GB" w:eastAsia="fi-FI"/>
        </w:rPr>
        <w:t xml:space="preserve">R, Vahlberg T, Kivelä SL. </w:t>
      </w:r>
      <w:r w:rsidR="009F3DFC" w:rsidRPr="00FE1A17">
        <w:rPr>
          <w:rFonts w:ascii="Times New Roman" w:hAnsi="Times New Roman" w:cs="Times New Roman"/>
          <w:lang w:val="en-GB" w:eastAsia="fi-FI"/>
        </w:rPr>
        <w:t>Diagnosing cognitive impairment and dementia in primary health care − a more active approach is</w:t>
      </w:r>
      <w:r w:rsidR="00FE1A17">
        <w:rPr>
          <w:rFonts w:ascii="Times New Roman" w:hAnsi="Times New Roman" w:cs="Times New Roman"/>
          <w:lang w:val="en-GB" w:eastAsia="fi-FI"/>
        </w:rPr>
        <w:t xml:space="preserve"> needed. </w:t>
      </w:r>
      <w:r w:rsidR="00FE1A17" w:rsidRPr="00BF7820">
        <w:rPr>
          <w:rFonts w:ascii="Times New Roman" w:hAnsi="Times New Roman" w:cs="Times New Roman"/>
          <w:i/>
          <w:lang w:val="en-GB" w:eastAsia="fi-FI"/>
        </w:rPr>
        <w:t>Age Ageing</w:t>
      </w:r>
      <w:r w:rsidR="00FE1A17">
        <w:rPr>
          <w:rFonts w:ascii="Times New Roman" w:hAnsi="Times New Roman" w:cs="Times New Roman"/>
          <w:lang w:val="en-GB" w:eastAsia="fi-FI"/>
        </w:rPr>
        <w:t xml:space="preserve"> </w:t>
      </w:r>
      <w:r w:rsidR="00BF7820">
        <w:rPr>
          <w:rFonts w:ascii="Times New Roman" w:hAnsi="Times New Roman" w:cs="Times New Roman"/>
          <w:lang w:val="en-GB" w:eastAsia="fi-FI"/>
        </w:rPr>
        <w:t xml:space="preserve">2003; </w:t>
      </w:r>
      <w:r w:rsidR="009F3DFC" w:rsidRPr="00FE1A17">
        <w:rPr>
          <w:rFonts w:ascii="Times New Roman" w:hAnsi="Times New Roman" w:cs="Times New Roman"/>
          <w:lang w:val="en-GB" w:eastAsia="fi-FI"/>
        </w:rPr>
        <w:t>32</w:t>
      </w:r>
      <w:r w:rsidR="00FE1A17">
        <w:rPr>
          <w:rFonts w:ascii="Times New Roman" w:hAnsi="Times New Roman" w:cs="Times New Roman"/>
          <w:lang w:val="en-GB" w:eastAsia="fi-FI"/>
        </w:rPr>
        <w:t>:</w:t>
      </w:r>
      <w:r w:rsidR="00BF7820">
        <w:rPr>
          <w:rFonts w:ascii="Times New Roman" w:hAnsi="Times New Roman" w:cs="Times New Roman"/>
          <w:lang w:val="en-GB" w:eastAsia="fi-FI"/>
        </w:rPr>
        <w:t xml:space="preserve"> </w:t>
      </w:r>
      <w:r w:rsidR="00F30A14" w:rsidRPr="00FE1A17">
        <w:rPr>
          <w:rFonts w:ascii="Times New Roman" w:hAnsi="Times New Roman" w:cs="Times New Roman"/>
          <w:lang w:val="en-GB" w:eastAsia="fi-FI"/>
        </w:rPr>
        <w:t>606</w:t>
      </w:r>
      <w:r w:rsidR="00BF7820">
        <w:rPr>
          <w:rFonts w:ascii="Times New Roman" w:hAnsi="Times New Roman" w:cs="Times New Roman"/>
          <w:lang w:val="en-GB" w:eastAsia="fi-FI"/>
        </w:rPr>
        <w:t>–</w:t>
      </w:r>
      <w:r w:rsidR="009F3DFC" w:rsidRPr="00FE1A17">
        <w:rPr>
          <w:rFonts w:ascii="Times New Roman" w:hAnsi="Times New Roman" w:cs="Times New Roman"/>
          <w:lang w:val="en-GB" w:eastAsia="fi-FI"/>
        </w:rPr>
        <w:t>12.</w:t>
      </w:r>
    </w:p>
    <w:p w:rsidR="00374FCF" w:rsidRDefault="00374FCF" w:rsidP="00374FCF">
      <w:pPr>
        <w:spacing w:line="480" w:lineRule="auto"/>
        <w:jc w:val="both"/>
        <w:rPr>
          <w:lang w:val="en-GB"/>
        </w:rPr>
      </w:pPr>
    </w:p>
    <w:p w:rsidR="00374FCF" w:rsidRDefault="004E216C" w:rsidP="00374FCF">
      <w:pPr>
        <w:spacing w:line="480" w:lineRule="auto"/>
        <w:jc w:val="both"/>
        <w:rPr>
          <w:lang w:val="en-GB"/>
        </w:rPr>
      </w:pPr>
      <w:r w:rsidRPr="00BF7820">
        <w:t>9</w:t>
      </w:r>
      <w:r w:rsidR="00203B5A" w:rsidRPr="00BF7820">
        <w:t xml:space="preserve">. </w:t>
      </w:r>
      <w:r w:rsidR="00374FCF" w:rsidRPr="00BF7820">
        <w:t>Eskelinen S, Vahlberg T, Isoaho R, Ki</w:t>
      </w:r>
      <w:r w:rsidR="00D502CB" w:rsidRPr="00BF7820">
        <w:t>velä S-L, Irjala K</w:t>
      </w:r>
      <w:r w:rsidR="00BF7820" w:rsidRPr="00BF7820">
        <w:t>.</w:t>
      </w:r>
      <w:r w:rsidR="00374FCF" w:rsidRPr="00BF7820">
        <w:t xml:space="preserve"> </w:t>
      </w:r>
      <w:r w:rsidR="00374FCF" w:rsidRPr="00374FCF">
        <w:rPr>
          <w:lang w:val="en-GB"/>
        </w:rPr>
        <w:t xml:space="preserve">Associations of sex hormone concentrations with health and life satisfaction in elderly men. </w:t>
      </w:r>
      <w:r w:rsidR="00D502CB" w:rsidRPr="00BF7820">
        <w:rPr>
          <w:i/>
          <w:lang w:val="en-GB"/>
        </w:rPr>
        <w:t>Endocr Pract</w:t>
      </w:r>
      <w:r w:rsidR="00D502CB">
        <w:rPr>
          <w:lang w:val="en-GB"/>
        </w:rPr>
        <w:t xml:space="preserve"> </w:t>
      </w:r>
      <w:r w:rsidR="00BF7820">
        <w:rPr>
          <w:lang w:val="en-GB"/>
        </w:rPr>
        <w:t xml:space="preserve">2007; </w:t>
      </w:r>
      <w:r w:rsidR="00374FCF">
        <w:rPr>
          <w:lang w:val="en-GB"/>
        </w:rPr>
        <w:t>13:</w:t>
      </w:r>
      <w:r w:rsidR="00BF7820">
        <w:rPr>
          <w:lang w:val="en-GB"/>
        </w:rPr>
        <w:t xml:space="preserve"> </w:t>
      </w:r>
      <w:r w:rsidR="00A202E6">
        <w:rPr>
          <w:lang w:val="en-GB"/>
        </w:rPr>
        <w:t>743</w:t>
      </w:r>
      <w:r w:rsidR="00BF7820">
        <w:t>–</w:t>
      </w:r>
      <w:r w:rsidR="00374FCF">
        <w:rPr>
          <w:lang w:val="en-GB"/>
        </w:rPr>
        <w:t>9.</w:t>
      </w:r>
    </w:p>
    <w:p w:rsidR="00EC3C2C" w:rsidRDefault="00EC3C2C" w:rsidP="00490788">
      <w:pPr>
        <w:spacing w:line="480" w:lineRule="auto"/>
        <w:jc w:val="both"/>
        <w:rPr>
          <w:lang w:val="en-GB"/>
        </w:rPr>
      </w:pPr>
    </w:p>
    <w:p w:rsidR="00490788" w:rsidRPr="008926F8" w:rsidRDefault="004E216C" w:rsidP="00490788">
      <w:pPr>
        <w:spacing w:line="480" w:lineRule="auto"/>
        <w:jc w:val="both"/>
        <w:rPr>
          <w:lang w:val="en-GB"/>
        </w:rPr>
      </w:pPr>
      <w:r>
        <w:rPr>
          <w:lang w:val="en-GB"/>
        </w:rPr>
        <w:t>10</w:t>
      </w:r>
      <w:r w:rsidR="00490788">
        <w:rPr>
          <w:lang w:val="en-GB"/>
        </w:rPr>
        <w:t>. Wang C, Catlin DH, Demers LM, Starcevic B, Swerdloff RS</w:t>
      </w:r>
      <w:r w:rsidR="00BF7820">
        <w:rPr>
          <w:lang w:val="en-GB"/>
        </w:rPr>
        <w:t xml:space="preserve">. </w:t>
      </w:r>
      <w:r w:rsidR="00490788">
        <w:rPr>
          <w:lang w:val="en-GB"/>
        </w:rPr>
        <w:t xml:space="preserve">Measurement of total serum testosterone in adult men: comparison of current laboratory methods versus liguid chromatography-tandem mass spectrometry. </w:t>
      </w:r>
      <w:r w:rsidR="00CB77F8" w:rsidRPr="00BF7820">
        <w:rPr>
          <w:i/>
          <w:lang w:val="en-GB"/>
        </w:rPr>
        <w:t>J Clin Endocrinol Metab</w:t>
      </w:r>
      <w:r w:rsidR="00CB77F8">
        <w:rPr>
          <w:lang w:val="en-GB"/>
        </w:rPr>
        <w:t xml:space="preserve"> </w:t>
      </w:r>
      <w:r w:rsidR="00BF7820">
        <w:rPr>
          <w:lang w:val="en-GB"/>
        </w:rPr>
        <w:t xml:space="preserve">2004; </w:t>
      </w:r>
      <w:r w:rsidR="00490788" w:rsidRPr="008926F8">
        <w:rPr>
          <w:lang w:val="en-GB"/>
        </w:rPr>
        <w:t>89:</w:t>
      </w:r>
      <w:r w:rsidR="00BF7820">
        <w:rPr>
          <w:lang w:val="en-GB"/>
        </w:rPr>
        <w:t xml:space="preserve"> </w:t>
      </w:r>
      <w:r w:rsidR="00A202E6" w:rsidRPr="008926F8">
        <w:rPr>
          <w:lang w:val="en-GB"/>
        </w:rPr>
        <w:t>534</w:t>
      </w:r>
      <w:r w:rsidR="00BF7820">
        <w:t>–</w:t>
      </w:r>
      <w:r w:rsidR="00490788" w:rsidRPr="008926F8">
        <w:rPr>
          <w:lang w:val="en-GB"/>
        </w:rPr>
        <w:t>43.</w:t>
      </w:r>
    </w:p>
    <w:p w:rsidR="00770275" w:rsidRDefault="00770275" w:rsidP="00490788">
      <w:pPr>
        <w:spacing w:line="480" w:lineRule="auto"/>
        <w:jc w:val="both"/>
        <w:rPr>
          <w:lang w:val="en-GB"/>
        </w:rPr>
      </w:pPr>
    </w:p>
    <w:p w:rsidR="00C01636" w:rsidRDefault="00C01636">
      <w:pPr>
        <w:rPr>
          <w:lang w:val="en-GB"/>
        </w:rPr>
      </w:pPr>
      <w:r>
        <w:rPr>
          <w:lang w:val="en-GB"/>
        </w:rPr>
        <w:br w:type="page"/>
      </w:r>
    </w:p>
    <w:p w:rsidR="00C01636" w:rsidRPr="00161712" w:rsidRDefault="00E36B66" w:rsidP="00C01636">
      <w:pPr>
        <w:spacing w:line="480" w:lineRule="auto"/>
        <w:jc w:val="both"/>
      </w:pPr>
      <w:r>
        <w:rPr>
          <w:lang w:val="en-GB"/>
        </w:rPr>
        <w:lastRenderedPageBreak/>
        <w:t xml:space="preserve">Table </w:t>
      </w:r>
      <w:r w:rsidR="00336E88">
        <w:rPr>
          <w:lang w:val="en-GB"/>
        </w:rPr>
        <w:t>1</w:t>
      </w:r>
      <w:r w:rsidR="00C01636" w:rsidRPr="005D15EC">
        <w:rPr>
          <w:lang w:val="en-GB"/>
        </w:rPr>
        <w:t xml:space="preserve">. HRs and their 95% CI (in parentheses) </w:t>
      </w:r>
      <w:r w:rsidR="00C01636">
        <w:rPr>
          <w:lang w:val="en-GB"/>
        </w:rPr>
        <w:t xml:space="preserve">of testosterone, sex hormone-binding globulin (SHBG), free testosterone, luteinizing hormone (LH), and testosterone/LH and all-cause mortality in elderly men </w:t>
      </w:r>
      <w:r w:rsidR="00C01636" w:rsidRPr="005D15EC">
        <w:rPr>
          <w:lang w:val="en-GB"/>
        </w:rPr>
        <w:t>during the 9-year follow-up</w:t>
      </w:r>
      <w:r w:rsidR="00C01636">
        <w:rPr>
          <w:lang w:val="en-GB"/>
        </w:rPr>
        <w:t xml:space="preserve"> (n=474). </w:t>
      </w:r>
    </w:p>
    <w:p w:rsidR="00C01636" w:rsidRPr="00161712" w:rsidRDefault="00C01636" w:rsidP="00C01636"/>
    <w:tbl>
      <w:tblPr>
        <w:tblW w:w="5000" w:type="pct"/>
        <w:tblBorders>
          <w:top w:val="single" w:sz="4" w:space="0" w:color="auto"/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023"/>
        <w:gridCol w:w="1728"/>
      </w:tblGrid>
      <w:tr w:rsidR="00C01636" w:rsidRPr="002A17F3" w:rsidTr="00192D85">
        <w:tc>
          <w:tcPr>
            <w:tcW w:w="2589" w:type="pct"/>
          </w:tcPr>
          <w:p w:rsidR="00C01636" w:rsidRPr="006A5D82" w:rsidRDefault="00C01636" w:rsidP="00192D85">
            <w:pPr>
              <w:spacing w:line="480" w:lineRule="auto"/>
            </w:pPr>
            <w:r w:rsidRPr="006A5D82">
              <w:t>Mortality</w:t>
            </w:r>
            <w:r w:rsidR="00E36B66">
              <w:rPr>
                <w:vertAlign w:val="superscript"/>
              </w:rPr>
              <w:t>*</w:t>
            </w:r>
            <w:r>
              <w:t xml:space="preserve"> (n=474) (179 events)</w:t>
            </w:r>
          </w:p>
        </w:tc>
        <w:tc>
          <w:tcPr>
            <w:tcW w:w="1534" w:type="pct"/>
            <w:shd w:val="clear" w:color="auto" w:fill="auto"/>
          </w:tcPr>
          <w:p w:rsidR="00C01636" w:rsidRPr="0055529B" w:rsidRDefault="00C01636" w:rsidP="00192D85">
            <w:pPr>
              <w:spacing w:line="480" w:lineRule="auto"/>
              <w:jc w:val="center"/>
              <w:rPr>
                <w:lang w:val="en-GB"/>
              </w:rPr>
            </w:pPr>
          </w:p>
        </w:tc>
        <w:tc>
          <w:tcPr>
            <w:tcW w:w="877" w:type="pct"/>
            <w:shd w:val="clear" w:color="auto" w:fill="auto"/>
          </w:tcPr>
          <w:p w:rsidR="00C01636" w:rsidRPr="0055529B" w:rsidRDefault="00C01636" w:rsidP="00192D85">
            <w:pPr>
              <w:spacing w:line="480" w:lineRule="auto"/>
              <w:jc w:val="center"/>
              <w:rPr>
                <w:lang w:val="en-GB"/>
              </w:rPr>
            </w:pPr>
          </w:p>
        </w:tc>
      </w:tr>
      <w:tr w:rsidR="00C01636" w:rsidRPr="002A17F3" w:rsidTr="00192D85">
        <w:tc>
          <w:tcPr>
            <w:tcW w:w="2589" w:type="pct"/>
          </w:tcPr>
          <w:p w:rsidR="00C01636" w:rsidRPr="0055529B" w:rsidRDefault="00C01636" w:rsidP="00192D85">
            <w:pPr>
              <w:spacing w:line="480" w:lineRule="auto"/>
              <w:ind w:firstLine="196"/>
              <w:rPr>
                <w:lang w:val="en-GB"/>
              </w:rPr>
            </w:pPr>
            <w:r>
              <w:rPr>
                <w:lang w:val="en-GB"/>
              </w:rPr>
              <w:t>Testosterone</w:t>
            </w:r>
          </w:p>
        </w:tc>
        <w:tc>
          <w:tcPr>
            <w:tcW w:w="1534" w:type="pct"/>
            <w:shd w:val="clear" w:color="auto" w:fill="auto"/>
          </w:tcPr>
          <w:p w:rsidR="00C01636" w:rsidRPr="0055529B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0.98 (0.97-1.00)</w:t>
            </w:r>
          </w:p>
        </w:tc>
        <w:tc>
          <w:tcPr>
            <w:tcW w:w="877" w:type="pct"/>
            <w:shd w:val="clear" w:color="auto" w:fill="auto"/>
          </w:tcPr>
          <w:p w:rsidR="00C01636" w:rsidRPr="0055529B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.110</w:t>
            </w:r>
          </w:p>
        </w:tc>
      </w:tr>
      <w:tr w:rsidR="00C01636" w:rsidRPr="002A17F3" w:rsidTr="00192D85">
        <w:tc>
          <w:tcPr>
            <w:tcW w:w="2589" w:type="pct"/>
          </w:tcPr>
          <w:p w:rsidR="00C01636" w:rsidRPr="00936140" w:rsidRDefault="00C01636" w:rsidP="00192D85">
            <w:pPr>
              <w:spacing w:line="480" w:lineRule="auto"/>
              <w:ind w:firstLine="196"/>
              <w:rPr>
                <w:lang w:val="en-GB"/>
              </w:rPr>
            </w:pPr>
            <w:r w:rsidRPr="00936140">
              <w:rPr>
                <w:lang w:val="en-GB"/>
              </w:rPr>
              <w:t xml:space="preserve">SHBG </w:t>
            </w:r>
          </w:p>
        </w:tc>
        <w:tc>
          <w:tcPr>
            <w:tcW w:w="1534" w:type="pct"/>
            <w:shd w:val="clear" w:color="auto" w:fill="auto"/>
          </w:tcPr>
          <w:p w:rsidR="00C01636" w:rsidRPr="00936140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 w:rsidRPr="00936140">
              <w:rPr>
                <w:lang w:val="en-GB"/>
              </w:rPr>
              <w:t>0.98 (0.92-1.05)</w:t>
            </w:r>
            <w:r w:rsidR="00E36B66">
              <w:rPr>
                <w:vertAlign w:val="superscript"/>
              </w:rPr>
              <w:t>†</w:t>
            </w:r>
          </w:p>
        </w:tc>
        <w:tc>
          <w:tcPr>
            <w:tcW w:w="877" w:type="pct"/>
            <w:shd w:val="clear" w:color="auto" w:fill="auto"/>
          </w:tcPr>
          <w:p w:rsidR="00C01636" w:rsidRPr="00936140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 w:rsidRPr="00936140">
              <w:rPr>
                <w:lang w:val="en-GB"/>
              </w:rPr>
              <w:t>.600</w:t>
            </w:r>
          </w:p>
        </w:tc>
      </w:tr>
      <w:tr w:rsidR="00C01636" w:rsidRPr="002A17F3" w:rsidTr="00192D85">
        <w:tc>
          <w:tcPr>
            <w:tcW w:w="2589" w:type="pct"/>
          </w:tcPr>
          <w:p w:rsidR="00C01636" w:rsidRPr="00936140" w:rsidRDefault="00C01636" w:rsidP="00192D85">
            <w:pPr>
              <w:spacing w:line="480" w:lineRule="auto"/>
              <w:ind w:firstLine="196"/>
              <w:rPr>
                <w:lang w:val="en-GB"/>
              </w:rPr>
            </w:pPr>
            <w:r w:rsidRPr="00936140">
              <w:rPr>
                <w:lang w:val="en-GB"/>
              </w:rPr>
              <w:t>Free testosterone</w:t>
            </w:r>
          </w:p>
        </w:tc>
        <w:tc>
          <w:tcPr>
            <w:tcW w:w="1534" w:type="pct"/>
            <w:shd w:val="clear" w:color="auto" w:fill="auto"/>
          </w:tcPr>
          <w:p w:rsidR="00C01636" w:rsidRPr="00936140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 w:rsidRPr="00936140">
              <w:rPr>
                <w:lang w:val="en-GB"/>
              </w:rPr>
              <w:t>0.99 (0.97-1.00)</w:t>
            </w:r>
            <w:r w:rsidR="00E36B66">
              <w:rPr>
                <w:vertAlign w:val="superscript"/>
              </w:rPr>
              <w:t>†</w:t>
            </w:r>
          </w:p>
        </w:tc>
        <w:tc>
          <w:tcPr>
            <w:tcW w:w="877" w:type="pct"/>
            <w:shd w:val="clear" w:color="auto" w:fill="auto"/>
          </w:tcPr>
          <w:p w:rsidR="00C01636" w:rsidRPr="00936140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 w:rsidRPr="00936140">
              <w:rPr>
                <w:lang w:val="en-GB"/>
              </w:rPr>
              <w:t>.131</w:t>
            </w:r>
          </w:p>
        </w:tc>
      </w:tr>
      <w:tr w:rsidR="00C01636" w:rsidRPr="002A17F3" w:rsidTr="00192D85">
        <w:tc>
          <w:tcPr>
            <w:tcW w:w="2589" w:type="pct"/>
          </w:tcPr>
          <w:p w:rsidR="00C01636" w:rsidRDefault="00C01636" w:rsidP="00192D85">
            <w:pPr>
              <w:spacing w:line="480" w:lineRule="auto"/>
              <w:ind w:firstLine="196"/>
              <w:rPr>
                <w:lang w:val="en-GB"/>
              </w:rPr>
            </w:pPr>
            <w:r>
              <w:rPr>
                <w:lang w:val="en-GB"/>
              </w:rPr>
              <w:t>LH</w:t>
            </w:r>
          </w:p>
        </w:tc>
        <w:tc>
          <w:tcPr>
            <w:tcW w:w="1534" w:type="pct"/>
            <w:shd w:val="clear" w:color="auto" w:fill="auto"/>
          </w:tcPr>
          <w:p w:rsidR="00C01636" w:rsidRPr="0055529B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0.99 (0.96-1.03)</w:t>
            </w:r>
          </w:p>
        </w:tc>
        <w:tc>
          <w:tcPr>
            <w:tcW w:w="877" w:type="pct"/>
            <w:shd w:val="clear" w:color="auto" w:fill="auto"/>
          </w:tcPr>
          <w:p w:rsidR="00C01636" w:rsidRPr="0055529B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.596</w:t>
            </w:r>
          </w:p>
        </w:tc>
      </w:tr>
      <w:tr w:rsidR="00C01636" w:rsidRPr="002A17F3" w:rsidTr="00192D85">
        <w:tc>
          <w:tcPr>
            <w:tcW w:w="2589" w:type="pct"/>
          </w:tcPr>
          <w:p w:rsidR="00C01636" w:rsidRDefault="00C01636" w:rsidP="00192D85">
            <w:pPr>
              <w:spacing w:line="480" w:lineRule="auto"/>
              <w:ind w:firstLine="196"/>
              <w:rPr>
                <w:lang w:val="en-GB"/>
              </w:rPr>
            </w:pPr>
            <w:r>
              <w:rPr>
                <w:lang w:val="en-GB"/>
              </w:rPr>
              <w:t>Testosterone/LH</w:t>
            </w:r>
          </w:p>
        </w:tc>
        <w:tc>
          <w:tcPr>
            <w:tcW w:w="1534" w:type="pct"/>
            <w:shd w:val="clear" w:color="auto" w:fill="auto"/>
          </w:tcPr>
          <w:p w:rsidR="00C01636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1.00 (0.94-1.07)</w:t>
            </w:r>
          </w:p>
        </w:tc>
        <w:tc>
          <w:tcPr>
            <w:tcW w:w="877" w:type="pct"/>
            <w:shd w:val="clear" w:color="auto" w:fill="auto"/>
          </w:tcPr>
          <w:p w:rsidR="00C01636" w:rsidRDefault="00C01636" w:rsidP="00192D85">
            <w:pPr>
              <w:spacing w:line="480" w:lineRule="auto"/>
              <w:jc w:val="center"/>
              <w:rPr>
                <w:lang w:val="en-GB"/>
              </w:rPr>
            </w:pPr>
            <w:r>
              <w:rPr>
                <w:lang w:val="en-GB"/>
              </w:rPr>
              <w:t>.936</w:t>
            </w:r>
          </w:p>
        </w:tc>
      </w:tr>
    </w:tbl>
    <w:p w:rsidR="00C01636" w:rsidRDefault="00C01636" w:rsidP="00C01636">
      <w:pPr>
        <w:rPr>
          <w:lang w:val="en-GB"/>
        </w:rPr>
      </w:pPr>
    </w:p>
    <w:p w:rsidR="00C01636" w:rsidRDefault="00C01636" w:rsidP="00C01636">
      <w:pPr>
        <w:spacing w:line="480" w:lineRule="auto"/>
      </w:pPr>
      <w:r>
        <w:t>HR = Hazard ratio for one unit increase in sex hormones</w:t>
      </w:r>
    </w:p>
    <w:p w:rsidR="00C01636" w:rsidRDefault="00C01636" w:rsidP="00C01636">
      <w:pPr>
        <w:spacing w:line="480" w:lineRule="auto"/>
      </w:pPr>
      <w:r w:rsidRPr="00C50BDC">
        <w:t>CI = Confidence Interval</w:t>
      </w:r>
    </w:p>
    <w:p w:rsidR="00C01636" w:rsidRDefault="00E36B66" w:rsidP="00C01636">
      <w:pPr>
        <w:spacing w:line="480" w:lineRule="auto"/>
        <w:rPr>
          <w:lang w:val="en-GB"/>
        </w:rPr>
      </w:pPr>
      <w:r>
        <w:rPr>
          <w:vertAlign w:val="superscript"/>
        </w:rPr>
        <w:t>*</w:t>
      </w:r>
      <w:r w:rsidR="00C01636">
        <w:rPr>
          <w:lang w:val="en-GB"/>
        </w:rPr>
        <w:t>Adjusted for age, smoking, frequency of exercise, and diabetes</w:t>
      </w:r>
    </w:p>
    <w:p w:rsidR="00975552" w:rsidRDefault="00E36B66" w:rsidP="00EB4322">
      <w:pPr>
        <w:spacing w:line="480" w:lineRule="auto"/>
        <w:rPr>
          <w:lang w:val="en-GB"/>
        </w:rPr>
      </w:pPr>
      <w:r>
        <w:rPr>
          <w:vertAlign w:val="superscript"/>
        </w:rPr>
        <w:t>†</w:t>
      </w:r>
      <w:r w:rsidR="00C01636">
        <w:t>Hazard ratio for one unit increase in SHBG and free testosterone level</w:t>
      </w:r>
    </w:p>
    <w:p w:rsidR="00D878A4" w:rsidRDefault="00D878A4" w:rsidP="00975552">
      <w:pPr>
        <w:spacing w:line="480" w:lineRule="auto"/>
        <w:jc w:val="both"/>
        <w:rPr>
          <w:lang w:val="en-GB"/>
        </w:rPr>
      </w:pPr>
    </w:p>
    <w:p w:rsidR="00175191" w:rsidRPr="00374FCF" w:rsidRDefault="00175191" w:rsidP="00975552">
      <w:pPr>
        <w:spacing w:line="480" w:lineRule="auto"/>
        <w:jc w:val="both"/>
        <w:rPr>
          <w:lang w:val="en-GB"/>
        </w:rPr>
      </w:pPr>
    </w:p>
    <w:p w:rsidR="00975552" w:rsidRDefault="00975552" w:rsidP="00975552"/>
    <w:p w:rsidR="00975552" w:rsidRPr="00975552" w:rsidRDefault="00975552" w:rsidP="00374FCF">
      <w:pPr>
        <w:spacing w:line="480" w:lineRule="auto"/>
        <w:jc w:val="both"/>
      </w:pPr>
    </w:p>
    <w:sectPr w:rsidR="00975552" w:rsidRPr="00975552">
      <w:headerReference w:type="default" r:id="rId9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E7C" w:rsidRDefault="00687E7C" w:rsidP="00ED3EA1">
      <w:r>
        <w:separator/>
      </w:r>
    </w:p>
  </w:endnote>
  <w:endnote w:type="continuationSeparator" w:id="0">
    <w:p w:rsidR="00687E7C" w:rsidRDefault="00687E7C" w:rsidP="00ED3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E7C" w:rsidRDefault="00687E7C" w:rsidP="00ED3EA1">
      <w:r>
        <w:separator/>
      </w:r>
    </w:p>
  </w:footnote>
  <w:footnote w:type="continuationSeparator" w:id="0">
    <w:p w:rsidR="00687E7C" w:rsidRDefault="00687E7C" w:rsidP="00ED3E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87985982"/>
      <w:docPartObj>
        <w:docPartGallery w:val="Page Numbers (Top of Page)"/>
        <w:docPartUnique/>
      </w:docPartObj>
    </w:sdtPr>
    <w:sdtEndPr>
      <w:rPr>
        <w:noProof/>
      </w:rPr>
    </w:sdtEndPr>
    <w:sdtContent>
      <w:p w:rsidR="00ED3EA1" w:rsidRDefault="00ED3EA1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4F8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D3EA1" w:rsidRDefault="00ED3EA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8F5"/>
    <w:rsid w:val="00000AEB"/>
    <w:rsid w:val="000041CE"/>
    <w:rsid w:val="00007A18"/>
    <w:rsid w:val="0001023F"/>
    <w:rsid w:val="00027658"/>
    <w:rsid w:val="00030D65"/>
    <w:rsid w:val="00033645"/>
    <w:rsid w:val="000418DF"/>
    <w:rsid w:val="00042727"/>
    <w:rsid w:val="000432B3"/>
    <w:rsid w:val="00044E48"/>
    <w:rsid w:val="000460DD"/>
    <w:rsid w:val="0004677E"/>
    <w:rsid w:val="000478A0"/>
    <w:rsid w:val="000521AC"/>
    <w:rsid w:val="00052BA6"/>
    <w:rsid w:val="0005546B"/>
    <w:rsid w:val="00057CA2"/>
    <w:rsid w:val="00060D16"/>
    <w:rsid w:val="00066BB1"/>
    <w:rsid w:val="0006795C"/>
    <w:rsid w:val="00071DDC"/>
    <w:rsid w:val="00072853"/>
    <w:rsid w:val="000756BF"/>
    <w:rsid w:val="00077DAA"/>
    <w:rsid w:val="000827AE"/>
    <w:rsid w:val="000839C9"/>
    <w:rsid w:val="00085CD4"/>
    <w:rsid w:val="00092E3E"/>
    <w:rsid w:val="000A1C91"/>
    <w:rsid w:val="000B367C"/>
    <w:rsid w:val="000D05E6"/>
    <w:rsid w:val="000D2065"/>
    <w:rsid w:val="000D281F"/>
    <w:rsid w:val="000E20A5"/>
    <w:rsid w:val="000E365A"/>
    <w:rsid w:val="000E468F"/>
    <w:rsid w:val="000E54E1"/>
    <w:rsid w:val="000E551A"/>
    <w:rsid w:val="000E5825"/>
    <w:rsid w:val="000E661E"/>
    <w:rsid w:val="000F1A31"/>
    <w:rsid w:val="000F1E0D"/>
    <w:rsid w:val="000F4B15"/>
    <w:rsid w:val="000F7EFB"/>
    <w:rsid w:val="00101EEC"/>
    <w:rsid w:val="001024FC"/>
    <w:rsid w:val="00102B7C"/>
    <w:rsid w:val="00102F45"/>
    <w:rsid w:val="00107073"/>
    <w:rsid w:val="0010712B"/>
    <w:rsid w:val="00110E72"/>
    <w:rsid w:val="00114A54"/>
    <w:rsid w:val="00121D98"/>
    <w:rsid w:val="0012223F"/>
    <w:rsid w:val="00122374"/>
    <w:rsid w:val="001233AC"/>
    <w:rsid w:val="00125F9D"/>
    <w:rsid w:val="001260E6"/>
    <w:rsid w:val="00126112"/>
    <w:rsid w:val="00126443"/>
    <w:rsid w:val="00131EE0"/>
    <w:rsid w:val="00131F5C"/>
    <w:rsid w:val="00136B84"/>
    <w:rsid w:val="0014397D"/>
    <w:rsid w:val="001448E1"/>
    <w:rsid w:val="001454BD"/>
    <w:rsid w:val="00151A3F"/>
    <w:rsid w:val="00154EDC"/>
    <w:rsid w:val="001562EE"/>
    <w:rsid w:val="00161E46"/>
    <w:rsid w:val="00164B83"/>
    <w:rsid w:val="001673A2"/>
    <w:rsid w:val="00175191"/>
    <w:rsid w:val="00176878"/>
    <w:rsid w:val="00186D48"/>
    <w:rsid w:val="001A1FBB"/>
    <w:rsid w:val="001A30F3"/>
    <w:rsid w:val="001A409C"/>
    <w:rsid w:val="001A6678"/>
    <w:rsid w:val="001B4874"/>
    <w:rsid w:val="001C0CC2"/>
    <w:rsid w:val="001D262D"/>
    <w:rsid w:val="001D3D15"/>
    <w:rsid w:val="001D4920"/>
    <w:rsid w:val="001D6AA7"/>
    <w:rsid w:val="001E74AE"/>
    <w:rsid w:val="001F2A60"/>
    <w:rsid w:val="00203B5A"/>
    <w:rsid w:val="0020677B"/>
    <w:rsid w:val="0020690A"/>
    <w:rsid w:val="00206FB0"/>
    <w:rsid w:val="00212DC6"/>
    <w:rsid w:val="00237063"/>
    <w:rsid w:val="00237F9E"/>
    <w:rsid w:val="00244D08"/>
    <w:rsid w:val="00245F3D"/>
    <w:rsid w:val="00250180"/>
    <w:rsid w:val="0025119B"/>
    <w:rsid w:val="00251DE5"/>
    <w:rsid w:val="002539A0"/>
    <w:rsid w:val="00254447"/>
    <w:rsid w:val="00255969"/>
    <w:rsid w:val="0026148D"/>
    <w:rsid w:val="0026354D"/>
    <w:rsid w:val="002637AF"/>
    <w:rsid w:val="00266394"/>
    <w:rsid w:val="0027655D"/>
    <w:rsid w:val="0028102D"/>
    <w:rsid w:val="0028359F"/>
    <w:rsid w:val="00283F93"/>
    <w:rsid w:val="00285164"/>
    <w:rsid w:val="002A3160"/>
    <w:rsid w:val="002A50F0"/>
    <w:rsid w:val="002B2B2C"/>
    <w:rsid w:val="002B4293"/>
    <w:rsid w:val="002B71D8"/>
    <w:rsid w:val="002B71DF"/>
    <w:rsid w:val="002C5364"/>
    <w:rsid w:val="002C58E5"/>
    <w:rsid w:val="002D21B1"/>
    <w:rsid w:val="002D3759"/>
    <w:rsid w:val="002D7F58"/>
    <w:rsid w:val="002E674A"/>
    <w:rsid w:val="002F01D1"/>
    <w:rsid w:val="002F18CA"/>
    <w:rsid w:val="002F3488"/>
    <w:rsid w:val="002F6557"/>
    <w:rsid w:val="00303418"/>
    <w:rsid w:val="00303564"/>
    <w:rsid w:val="003107D0"/>
    <w:rsid w:val="00313916"/>
    <w:rsid w:val="003216DA"/>
    <w:rsid w:val="00322F01"/>
    <w:rsid w:val="003304D0"/>
    <w:rsid w:val="00330BD5"/>
    <w:rsid w:val="00332AC9"/>
    <w:rsid w:val="0033351D"/>
    <w:rsid w:val="00336E88"/>
    <w:rsid w:val="00341E72"/>
    <w:rsid w:val="00351D4F"/>
    <w:rsid w:val="003528F7"/>
    <w:rsid w:val="00352DB8"/>
    <w:rsid w:val="0037190C"/>
    <w:rsid w:val="00371A16"/>
    <w:rsid w:val="00374FCF"/>
    <w:rsid w:val="00383DAE"/>
    <w:rsid w:val="00385847"/>
    <w:rsid w:val="00386E65"/>
    <w:rsid w:val="0038794C"/>
    <w:rsid w:val="00392888"/>
    <w:rsid w:val="003935EB"/>
    <w:rsid w:val="003958BB"/>
    <w:rsid w:val="00395EB3"/>
    <w:rsid w:val="003A1109"/>
    <w:rsid w:val="003A242C"/>
    <w:rsid w:val="003A59E5"/>
    <w:rsid w:val="003A6E33"/>
    <w:rsid w:val="003B1972"/>
    <w:rsid w:val="003B448C"/>
    <w:rsid w:val="003B5919"/>
    <w:rsid w:val="003D27F1"/>
    <w:rsid w:val="003D33C0"/>
    <w:rsid w:val="003F1E0E"/>
    <w:rsid w:val="00402EAA"/>
    <w:rsid w:val="004045EB"/>
    <w:rsid w:val="00407085"/>
    <w:rsid w:val="0041024F"/>
    <w:rsid w:val="004152CF"/>
    <w:rsid w:val="00415FA2"/>
    <w:rsid w:val="004225BF"/>
    <w:rsid w:val="00425755"/>
    <w:rsid w:val="00431254"/>
    <w:rsid w:val="004329D8"/>
    <w:rsid w:val="00435BF5"/>
    <w:rsid w:val="00436C17"/>
    <w:rsid w:val="00443CA9"/>
    <w:rsid w:val="00447A35"/>
    <w:rsid w:val="0045603E"/>
    <w:rsid w:val="0046028E"/>
    <w:rsid w:val="00463F71"/>
    <w:rsid w:val="004673D8"/>
    <w:rsid w:val="00471229"/>
    <w:rsid w:val="00474D60"/>
    <w:rsid w:val="00482E99"/>
    <w:rsid w:val="00482F6B"/>
    <w:rsid w:val="004846A8"/>
    <w:rsid w:val="0049025F"/>
    <w:rsid w:val="00490788"/>
    <w:rsid w:val="004923A5"/>
    <w:rsid w:val="00494367"/>
    <w:rsid w:val="004A530F"/>
    <w:rsid w:val="004A615C"/>
    <w:rsid w:val="004B1429"/>
    <w:rsid w:val="004B5CF0"/>
    <w:rsid w:val="004C21B3"/>
    <w:rsid w:val="004C65BB"/>
    <w:rsid w:val="004C71F3"/>
    <w:rsid w:val="004C7BA4"/>
    <w:rsid w:val="004D2212"/>
    <w:rsid w:val="004D300A"/>
    <w:rsid w:val="004D68E2"/>
    <w:rsid w:val="004D72FB"/>
    <w:rsid w:val="004D7762"/>
    <w:rsid w:val="004E216C"/>
    <w:rsid w:val="004E500C"/>
    <w:rsid w:val="004E729F"/>
    <w:rsid w:val="004F61D7"/>
    <w:rsid w:val="00510F90"/>
    <w:rsid w:val="00514A06"/>
    <w:rsid w:val="00514C09"/>
    <w:rsid w:val="00515B8A"/>
    <w:rsid w:val="00522668"/>
    <w:rsid w:val="0052340D"/>
    <w:rsid w:val="005242E0"/>
    <w:rsid w:val="0053050D"/>
    <w:rsid w:val="00533634"/>
    <w:rsid w:val="00537A2F"/>
    <w:rsid w:val="005469E6"/>
    <w:rsid w:val="00550D0C"/>
    <w:rsid w:val="005671C7"/>
    <w:rsid w:val="005715A9"/>
    <w:rsid w:val="00581537"/>
    <w:rsid w:val="0058448D"/>
    <w:rsid w:val="00591285"/>
    <w:rsid w:val="00597591"/>
    <w:rsid w:val="0059773A"/>
    <w:rsid w:val="005A195E"/>
    <w:rsid w:val="005A768E"/>
    <w:rsid w:val="005B477F"/>
    <w:rsid w:val="005B4925"/>
    <w:rsid w:val="005B78DB"/>
    <w:rsid w:val="005C49A8"/>
    <w:rsid w:val="005C5627"/>
    <w:rsid w:val="005C6821"/>
    <w:rsid w:val="005D5A99"/>
    <w:rsid w:val="005E15A0"/>
    <w:rsid w:val="005E19EF"/>
    <w:rsid w:val="005E3614"/>
    <w:rsid w:val="005F3090"/>
    <w:rsid w:val="005F4DE7"/>
    <w:rsid w:val="005F6C04"/>
    <w:rsid w:val="00604D45"/>
    <w:rsid w:val="00620501"/>
    <w:rsid w:val="006208AC"/>
    <w:rsid w:val="00622EFE"/>
    <w:rsid w:val="00625B3F"/>
    <w:rsid w:val="006324DA"/>
    <w:rsid w:val="00634A11"/>
    <w:rsid w:val="0063589E"/>
    <w:rsid w:val="0063668D"/>
    <w:rsid w:val="00640490"/>
    <w:rsid w:val="00641AFB"/>
    <w:rsid w:val="00641FA4"/>
    <w:rsid w:val="006422A6"/>
    <w:rsid w:val="0064776D"/>
    <w:rsid w:val="00651AE9"/>
    <w:rsid w:val="00652445"/>
    <w:rsid w:val="00654B88"/>
    <w:rsid w:val="00667162"/>
    <w:rsid w:val="00670423"/>
    <w:rsid w:val="006728C1"/>
    <w:rsid w:val="00673458"/>
    <w:rsid w:val="00677B63"/>
    <w:rsid w:val="00687E7C"/>
    <w:rsid w:val="00695B9A"/>
    <w:rsid w:val="006A3527"/>
    <w:rsid w:val="006A45B4"/>
    <w:rsid w:val="006A534B"/>
    <w:rsid w:val="006A76B3"/>
    <w:rsid w:val="006B17E4"/>
    <w:rsid w:val="006B1819"/>
    <w:rsid w:val="006B2B81"/>
    <w:rsid w:val="006B5D82"/>
    <w:rsid w:val="006C0667"/>
    <w:rsid w:val="006C534A"/>
    <w:rsid w:val="006C6E9B"/>
    <w:rsid w:val="006D0EA8"/>
    <w:rsid w:val="006D136B"/>
    <w:rsid w:val="006D1CEF"/>
    <w:rsid w:val="006D29D4"/>
    <w:rsid w:val="006D5C20"/>
    <w:rsid w:val="006D6358"/>
    <w:rsid w:val="006D7700"/>
    <w:rsid w:val="006E068F"/>
    <w:rsid w:val="006E66C6"/>
    <w:rsid w:val="006F511E"/>
    <w:rsid w:val="006F77E4"/>
    <w:rsid w:val="00701781"/>
    <w:rsid w:val="0070219F"/>
    <w:rsid w:val="00702F80"/>
    <w:rsid w:val="00713D01"/>
    <w:rsid w:val="0072039B"/>
    <w:rsid w:val="007229A3"/>
    <w:rsid w:val="007443C9"/>
    <w:rsid w:val="00745C1C"/>
    <w:rsid w:val="0075008F"/>
    <w:rsid w:val="00751954"/>
    <w:rsid w:val="007521DD"/>
    <w:rsid w:val="007539F0"/>
    <w:rsid w:val="00761880"/>
    <w:rsid w:val="007653B5"/>
    <w:rsid w:val="00766F79"/>
    <w:rsid w:val="00766FBC"/>
    <w:rsid w:val="00770275"/>
    <w:rsid w:val="00770E42"/>
    <w:rsid w:val="00776762"/>
    <w:rsid w:val="0077792A"/>
    <w:rsid w:val="00777E8D"/>
    <w:rsid w:val="00781A75"/>
    <w:rsid w:val="00783C06"/>
    <w:rsid w:val="0079435A"/>
    <w:rsid w:val="007A347B"/>
    <w:rsid w:val="007A44E3"/>
    <w:rsid w:val="007A460D"/>
    <w:rsid w:val="007A5F95"/>
    <w:rsid w:val="007B1352"/>
    <w:rsid w:val="007B322E"/>
    <w:rsid w:val="007C050F"/>
    <w:rsid w:val="007C1DE1"/>
    <w:rsid w:val="007D2094"/>
    <w:rsid w:val="007D797F"/>
    <w:rsid w:val="007E4C31"/>
    <w:rsid w:val="007F28B6"/>
    <w:rsid w:val="007F6C24"/>
    <w:rsid w:val="0080388E"/>
    <w:rsid w:val="0080440D"/>
    <w:rsid w:val="00813292"/>
    <w:rsid w:val="008157DC"/>
    <w:rsid w:val="00815A0A"/>
    <w:rsid w:val="008233D7"/>
    <w:rsid w:val="0082371A"/>
    <w:rsid w:val="00830DB9"/>
    <w:rsid w:val="00832037"/>
    <w:rsid w:val="0083349B"/>
    <w:rsid w:val="00835EC8"/>
    <w:rsid w:val="00841FD2"/>
    <w:rsid w:val="008428BD"/>
    <w:rsid w:val="00844F81"/>
    <w:rsid w:val="0085429F"/>
    <w:rsid w:val="0085734E"/>
    <w:rsid w:val="00860638"/>
    <w:rsid w:val="0086178B"/>
    <w:rsid w:val="00863110"/>
    <w:rsid w:val="0086372D"/>
    <w:rsid w:val="00864E68"/>
    <w:rsid w:val="00865065"/>
    <w:rsid w:val="00873A87"/>
    <w:rsid w:val="00874F8A"/>
    <w:rsid w:val="00875E2F"/>
    <w:rsid w:val="00876364"/>
    <w:rsid w:val="00880BE7"/>
    <w:rsid w:val="00886819"/>
    <w:rsid w:val="008926F8"/>
    <w:rsid w:val="008A115F"/>
    <w:rsid w:val="008A6ACF"/>
    <w:rsid w:val="008B1B96"/>
    <w:rsid w:val="008B3AD9"/>
    <w:rsid w:val="008B43B7"/>
    <w:rsid w:val="008B6BB6"/>
    <w:rsid w:val="008C3F4D"/>
    <w:rsid w:val="008C79D3"/>
    <w:rsid w:val="008D2349"/>
    <w:rsid w:val="008D2A49"/>
    <w:rsid w:val="008D3E6E"/>
    <w:rsid w:val="008D449C"/>
    <w:rsid w:val="008E2D25"/>
    <w:rsid w:val="008F2222"/>
    <w:rsid w:val="008F5594"/>
    <w:rsid w:val="008F5F53"/>
    <w:rsid w:val="008F7833"/>
    <w:rsid w:val="00900C8A"/>
    <w:rsid w:val="009023B7"/>
    <w:rsid w:val="0090272C"/>
    <w:rsid w:val="0091473F"/>
    <w:rsid w:val="0091564D"/>
    <w:rsid w:val="00925A22"/>
    <w:rsid w:val="009316DC"/>
    <w:rsid w:val="009334C8"/>
    <w:rsid w:val="00933DFB"/>
    <w:rsid w:val="00933F90"/>
    <w:rsid w:val="009340C6"/>
    <w:rsid w:val="009351B7"/>
    <w:rsid w:val="00940AFA"/>
    <w:rsid w:val="00941DFC"/>
    <w:rsid w:val="00950C46"/>
    <w:rsid w:val="009513BB"/>
    <w:rsid w:val="0095155A"/>
    <w:rsid w:val="00951734"/>
    <w:rsid w:val="00952608"/>
    <w:rsid w:val="009534AC"/>
    <w:rsid w:val="009539D6"/>
    <w:rsid w:val="00956EDD"/>
    <w:rsid w:val="00957039"/>
    <w:rsid w:val="00963D3E"/>
    <w:rsid w:val="009648F3"/>
    <w:rsid w:val="00965454"/>
    <w:rsid w:val="009673F9"/>
    <w:rsid w:val="0097254F"/>
    <w:rsid w:val="009739E6"/>
    <w:rsid w:val="00975552"/>
    <w:rsid w:val="00980F4C"/>
    <w:rsid w:val="00981985"/>
    <w:rsid w:val="009861BD"/>
    <w:rsid w:val="00990E79"/>
    <w:rsid w:val="00991B7E"/>
    <w:rsid w:val="00995496"/>
    <w:rsid w:val="009A0394"/>
    <w:rsid w:val="009A1841"/>
    <w:rsid w:val="009A2CFC"/>
    <w:rsid w:val="009A3445"/>
    <w:rsid w:val="009A4E6F"/>
    <w:rsid w:val="009A6B5D"/>
    <w:rsid w:val="009A796F"/>
    <w:rsid w:val="009B07C3"/>
    <w:rsid w:val="009C37B8"/>
    <w:rsid w:val="009D1758"/>
    <w:rsid w:val="009E12E2"/>
    <w:rsid w:val="009F3DFC"/>
    <w:rsid w:val="009F41D6"/>
    <w:rsid w:val="009F671F"/>
    <w:rsid w:val="009F7900"/>
    <w:rsid w:val="00A03564"/>
    <w:rsid w:val="00A06223"/>
    <w:rsid w:val="00A072C3"/>
    <w:rsid w:val="00A10DAE"/>
    <w:rsid w:val="00A146C2"/>
    <w:rsid w:val="00A1631B"/>
    <w:rsid w:val="00A202E6"/>
    <w:rsid w:val="00A25510"/>
    <w:rsid w:val="00A25C7F"/>
    <w:rsid w:val="00A33121"/>
    <w:rsid w:val="00A34C28"/>
    <w:rsid w:val="00A362CB"/>
    <w:rsid w:val="00A36AF7"/>
    <w:rsid w:val="00A54941"/>
    <w:rsid w:val="00A557BE"/>
    <w:rsid w:val="00A60B04"/>
    <w:rsid w:val="00A64220"/>
    <w:rsid w:val="00A763A3"/>
    <w:rsid w:val="00A76CE1"/>
    <w:rsid w:val="00A77A2B"/>
    <w:rsid w:val="00A94D90"/>
    <w:rsid w:val="00A955E2"/>
    <w:rsid w:val="00AA7CF4"/>
    <w:rsid w:val="00AA7DCA"/>
    <w:rsid w:val="00AB0681"/>
    <w:rsid w:val="00AB4DB4"/>
    <w:rsid w:val="00AC1007"/>
    <w:rsid w:val="00AC1575"/>
    <w:rsid w:val="00AC5164"/>
    <w:rsid w:val="00AC63D6"/>
    <w:rsid w:val="00AC783F"/>
    <w:rsid w:val="00AD361A"/>
    <w:rsid w:val="00AD3719"/>
    <w:rsid w:val="00AD5439"/>
    <w:rsid w:val="00AE06AD"/>
    <w:rsid w:val="00AE13BB"/>
    <w:rsid w:val="00AE1819"/>
    <w:rsid w:val="00AE1D39"/>
    <w:rsid w:val="00AE4FA3"/>
    <w:rsid w:val="00AE5A49"/>
    <w:rsid w:val="00AE6716"/>
    <w:rsid w:val="00AE70A1"/>
    <w:rsid w:val="00AE76CE"/>
    <w:rsid w:val="00AF08B6"/>
    <w:rsid w:val="00AF549D"/>
    <w:rsid w:val="00B047BC"/>
    <w:rsid w:val="00B107E7"/>
    <w:rsid w:val="00B26289"/>
    <w:rsid w:val="00B27E1F"/>
    <w:rsid w:val="00B40920"/>
    <w:rsid w:val="00B42D55"/>
    <w:rsid w:val="00B42D63"/>
    <w:rsid w:val="00B45398"/>
    <w:rsid w:val="00B52515"/>
    <w:rsid w:val="00B56091"/>
    <w:rsid w:val="00B567E8"/>
    <w:rsid w:val="00B569EE"/>
    <w:rsid w:val="00B5789A"/>
    <w:rsid w:val="00B633E6"/>
    <w:rsid w:val="00B67B52"/>
    <w:rsid w:val="00B8120F"/>
    <w:rsid w:val="00B81D39"/>
    <w:rsid w:val="00B86AD5"/>
    <w:rsid w:val="00B87213"/>
    <w:rsid w:val="00BA195C"/>
    <w:rsid w:val="00BB2C05"/>
    <w:rsid w:val="00BB3AAE"/>
    <w:rsid w:val="00BB3F9B"/>
    <w:rsid w:val="00BC0AB2"/>
    <w:rsid w:val="00BC3060"/>
    <w:rsid w:val="00BD3087"/>
    <w:rsid w:val="00BE6E58"/>
    <w:rsid w:val="00BF335B"/>
    <w:rsid w:val="00BF347B"/>
    <w:rsid w:val="00BF7820"/>
    <w:rsid w:val="00BF78C5"/>
    <w:rsid w:val="00BF7EDA"/>
    <w:rsid w:val="00C01636"/>
    <w:rsid w:val="00C0223E"/>
    <w:rsid w:val="00C02A08"/>
    <w:rsid w:val="00C157FD"/>
    <w:rsid w:val="00C233A0"/>
    <w:rsid w:val="00C2681E"/>
    <w:rsid w:val="00C3659A"/>
    <w:rsid w:val="00C36BCC"/>
    <w:rsid w:val="00C449F3"/>
    <w:rsid w:val="00C55CDE"/>
    <w:rsid w:val="00C56B8A"/>
    <w:rsid w:val="00C56CAA"/>
    <w:rsid w:val="00C710CB"/>
    <w:rsid w:val="00C720C0"/>
    <w:rsid w:val="00C7228D"/>
    <w:rsid w:val="00C90CEA"/>
    <w:rsid w:val="00C92DE6"/>
    <w:rsid w:val="00C930D3"/>
    <w:rsid w:val="00C97BD2"/>
    <w:rsid w:val="00CB061A"/>
    <w:rsid w:val="00CB344A"/>
    <w:rsid w:val="00CB3628"/>
    <w:rsid w:val="00CB5269"/>
    <w:rsid w:val="00CB77F8"/>
    <w:rsid w:val="00CB7D2A"/>
    <w:rsid w:val="00CB7DC7"/>
    <w:rsid w:val="00CC2210"/>
    <w:rsid w:val="00CC7F14"/>
    <w:rsid w:val="00CD1E26"/>
    <w:rsid w:val="00CD3A00"/>
    <w:rsid w:val="00CD4CC1"/>
    <w:rsid w:val="00CD553E"/>
    <w:rsid w:val="00CD5ADB"/>
    <w:rsid w:val="00CE193C"/>
    <w:rsid w:val="00CE31B4"/>
    <w:rsid w:val="00CE3BE3"/>
    <w:rsid w:val="00CE4301"/>
    <w:rsid w:val="00CE4D78"/>
    <w:rsid w:val="00CE7EF7"/>
    <w:rsid w:val="00CF069A"/>
    <w:rsid w:val="00CF146C"/>
    <w:rsid w:val="00CF5929"/>
    <w:rsid w:val="00CF7005"/>
    <w:rsid w:val="00CF7986"/>
    <w:rsid w:val="00D02A1D"/>
    <w:rsid w:val="00D04B3B"/>
    <w:rsid w:val="00D15FD2"/>
    <w:rsid w:val="00D43625"/>
    <w:rsid w:val="00D4451C"/>
    <w:rsid w:val="00D46F12"/>
    <w:rsid w:val="00D46F5C"/>
    <w:rsid w:val="00D47A28"/>
    <w:rsid w:val="00D502CB"/>
    <w:rsid w:val="00D53191"/>
    <w:rsid w:val="00D5353B"/>
    <w:rsid w:val="00D622FB"/>
    <w:rsid w:val="00D62776"/>
    <w:rsid w:val="00D62C53"/>
    <w:rsid w:val="00D64A80"/>
    <w:rsid w:val="00D6629F"/>
    <w:rsid w:val="00D668FB"/>
    <w:rsid w:val="00D67A25"/>
    <w:rsid w:val="00D715E6"/>
    <w:rsid w:val="00D80D29"/>
    <w:rsid w:val="00D8185C"/>
    <w:rsid w:val="00D81AE3"/>
    <w:rsid w:val="00D858C3"/>
    <w:rsid w:val="00D878A4"/>
    <w:rsid w:val="00D91807"/>
    <w:rsid w:val="00D9185C"/>
    <w:rsid w:val="00D91895"/>
    <w:rsid w:val="00D95D2E"/>
    <w:rsid w:val="00D96E43"/>
    <w:rsid w:val="00DA0F4F"/>
    <w:rsid w:val="00DA1A89"/>
    <w:rsid w:val="00DB1320"/>
    <w:rsid w:val="00DB1332"/>
    <w:rsid w:val="00DB4447"/>
    <w:rsid w:val="00DB4B9C"/>
    <w:rsid w:val="00DB7C40"/>
    <w:rsid w:val="00DC4B9E"/>
    <w:rsid w:val="00DD1FAC"/>
    <w:rsid w:val="00DD41D3"/>
    <w:rsid w:val="00DD4A2F"/>
    <w:rsid w:val="00DD54BF"/>
    <w:rsid w:val="00DE0091"/>
    <w:rsid w:val="00DE12A2"/>
    <w:rsid w:val="00DE5664"/>
    <w:rsid w:val="00DF0878"/>
    <w:rsid w:val="00DF13B8"/>
    <w:rsid w:val="00DF3CFE"/>
    <w:rsid w:val="00E14510"/>
    <w:rsid w:val="00E17628"/>
    <w:rsid w:val="00E22228"/>
    <w:rsid w:val="00E23923"/>
    <w:rsid w:val="00E31B7D"/>
    <w:rsid w:val="00E336C6"/>
    <w:rsid w:val="00E3378B"/>
    <w:rsid w:val="00E351BD"/>
    <w:rsid w:val="00E3615B"/>
    <w:rsid w:val="00E36B66"/>
    <w:rsid w:val="00E378B0"/>
    <w:rsid w:val="00E43F13"/>
    <w:rsid w:val="00E44544"/>
    <w:rsid w:val="00E56AF4"/>
    <w:rsid w:val="00E67BAC"/>
    <w:rsid w:val="00E84D1E"/>
    <w:rsid w:val="00E91A1F"/>
    <w:rsid w:val="00E940F7"/>
    <w:rsid w:val="00E95534"/>
    <w:rsid w:val="00E95A44"/>
    <w:rsid w:val="00E96742"/>
    <w:rsid w:val="00EA32E3"/>
    <w:rsid w:val="00EA393C"/>
    <w:rsid w:val="00EA4D9E"/>
    <w:rsid w:val="00EB07F0"/>
    <w:rsid w:val="00EB278B"/>
    <w:rsid w:val="00EB4322"/>
    <w:rsid w:val="00EC3C2C"/>
    <w:rsid w:val="00EC3D83"/>
    <w:rsid w:val="00ED3838"/>
    <w:rsid w:val="00ED3EA1"/>
    <w:rsid w:val="00ED4ABA"/>
    <w:rsid w:val="00EE051F"/>
    <w:rsid w:val="00EE1C0C"/>
    <w:rsid w:val="00EE30A3"/>
    <w:rsid w:val="00EE5C5A"/>
    <w:rsid w:val="00EF0742"/>
    <w:rsid w:val="00EF4DAF"/>
    <w:rsid w:val="00F05284"/>
    <w:rsid w:val="00F05F71"/>
    <w:rsid w:val="00F0701F"/>
    <w:rsid w:val="00F108AE"/>
    <w:rsid w:val="00F11BE6"/>
    <w:rsid w:val="00F13E97"/>
    <w:rsid w:val="00F158F5"/>
    <w:rsid w:val="00F21981"/>
    <w:rsid w:val="00F24BF6"/>
    <w:rsid w:val="00F260E8"/>
    <w:rsid w:val="00F30A14"/>
    <w:rsid w:val="00F36448"/>
    <w:rsid w:val="00F4384B"/>
    <w:rsid w:val="00F43998"/>
    <w:rsid w:val="00F440A2"/>
    <w:rsid w:val="00F46B46"/>
    <w:rsid w:val="00F55112"/>
    <w:rsid w:val="00F56D27"/>
    <w:rsid w:val="00F576F2"/>
    <w:rsid w:val="00F607B3"/>
    <w:rsid w:val="00F61B77"/>
    <w:rsid w:val="00F65805"/>
    <w:rsid w:val="00F663AE"/>
    <w:rsid w:val="00F66B57"/>
    <w:rsid w:val="00F72E4F"/>
    <w:rsid w:val="00F7539C"/>
    <w:rsid w:val="00F829B9"/>
    <w:rsid w:val="00F83AE8"/>
    <w:rsid w:val="00F8425F"/>
    <w:rsid w:val="00F86371"/>
    <w:rsid w:val="00F91614"/>
    <w:rsid w:val="00F91CC3"/>
    <w:rsid w:val="00F94327"/>
    <w:rsid w:val="00F94C31"/>
    <w:rsid w:val="00F963FC"/>
    <w:rsid w:val="00F96567"/>
    <w:rsid w:val="00FB21BC"/>
    <w:rsid w:val="00FB44E4"/>
    <w:rsid w:val="00FB5B8A"/>
    <w:rsid w:val="00FB6DA5"/>
    <w:rsid w:val="00FB7D09"/>
    <w:rsid w:val="00FC08E8"/>
    <w:rsid w:val="00FC2E58"/>
    <w:rsid w:val="00FC38B8"/>
    <w:rsid w:val="00FD2F7B"/>
    <w:rsid w:val="00FD4B10"/>
    <w:rsid w:val="00FD63E6"/>
    <w:rsid w:val="00FD797A"/>
    <w:rsid w:val="00FE1A17"/>
    <w:rsid w:val="00FE55B3"/>
    <w:rsid w:val="00FE59B4"/>
    <w:rsid w:val="00FE7A81"/>
    <w:rsid w:val="00FF5A25"/>
    <w:rsid w:val="00FF7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6394"/>
    <w:rPr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66394"/>
    <w:rPr>
      <w:color w:val="0000FF"/>
      <w:u w:val="single"/>
    </w:rPr>
  </w:style>
  <w:style w:type="paragraph" w:styleId="PlainText">
    <w:name w:val="Plain Text"/>
    <w:basedOn w:val="Normal"/>
    <w:link w:val="PlainTextChar"/>
    <w:rsid w:val="00975552"/>
    <w:rPr>
      <w:rFonts w:ascii="Courier New" w:hAnsi="Courier New" w:cs="Courier New"/>
      <w:lang w:eastAsia="x-none"/>
    </w:rPr>
  </w:style>
  <w:style w:type="character" w:customStyle="1" w:styleId="PlainTextChar">
    <w:name w:val="Plain Text Char"/>
    <w:link w:val="PlainText"/>
    <w:semiHidden/>
    <w:locked/>
    <w:rsid w:val="00975552"/>
    <w:rPr>
      <w:rFonts w:ascii="Courier New" w:hAnsi="Courier New" w:cs="Courier New"/>
      <w:sz w:val="24"/>
      <w:szCs w:val="24"/>
      <w:lang w:val="en-US" w:eastAsia="x-none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7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76762"/>
    <w:rPr>
      <w:rFonts w:ascii="Tahoma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203B5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D3EA1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3EA1"/>
    <w:rPr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D3EA1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3EA1"/>
    <w:rPr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6394"/>
    <w:rPr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66394"/>
    <w:rPr>
      <w:color w:val="0000FF"/>
      <w:u w:val="single"/>
    </w:rPr>
  </w:style>
  <w:style w:type="paragraph" w:styleId="PlainText">
    <w:name w:val="Plain Text"/>
    <w:basedOn w:val="Normal"/>
    <w:link w:val="PlainTextChar"/>
    <w:rsid w:val="00975552"/>
    <w:rPr>
      <w:rFonts w:ascii="Courier New" w:hAnsi="Courier New" w:cs="Courier New"/>
      <w:lang w:eastAsia="x-none"/>
    </w:rPr>
  </w:style>
  <w:style w:type="character" w:customStyle="1" w:styleId="PlainTextChar">
    <w:name w:val="Plain Text Char"/>
    <w:link w:val="PlainText"/>
    <w:semiHidden/>
    <w:locked/>
    <w:rsid w:val="00975552"/>
    <w:rPr>
      <w:rFonts w:ascii="Courier New" w:hAnsi="Courier New" w:cs="Courier New"/>
      <w:sz w:val="24"/>
      <w:szCs w:val="24"/>
      <w:lang w:val="en-US" w:eastAsia="x-none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7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76762"/>
    <w:rPr>
      <w:rFonts w:ascii="Tahoma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203B5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D3EA1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3EA1"/>
    <w:rPr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D3EA1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3EA1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josa@utu.fi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72D618-A9C0-4626-9A24-739EE6376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736</Words>
  <Characters>5969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>Testosterone, free testosterone, sex hormone binding globuline, luteinizing hormone, metabolic syndrome and cardiovascular ris</vt:lpstr>
      <vt:lpstr>Testosterone, free testosterone, sex hormone binding globuline, luteinizing hormone, metabolic syndrome and cardiovascular ris</vt:lpstr>
    </vt:vector>
  </TitlesOfParts>
  <Company>Turun yliopisto</Company>
  <LinksUpToDate>false</LinksUpToDate>
  <CharactersWithSpaces>6692</CharactersWithSpaces>
  <SharedDoc>false</SharedDoc>
  <HLinks>
    <vt:vector size="6" baseType="variant">
      <vt:variant>
        <vt:i4>6619203</vt:i4>
      </vt:variant>
      <vt:variant>
        <vt:i4>0</vt:i4>
      </vt:variant>
      <vt:variant>
        <vt:i4>0</vt:i4>
      </vt:variant>
      <vt:variant>
        <vt:i4>5</vt:i4>
      </vt:variant>
      <vt:variant>
        <vt:lpwstr>mailto:majosa@utu.fi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Testosterone, free testosterone, sex hormone binding globuline, luteinizing hormone, metabolic syndrome and cardiovascular ris</dc:title>
  <dc:creator>majosa</dc:creator>
  <cp:lastModifiedBy>Kimmo Niukko</cp:lastModifiedBy>
  <cp:revision>2</cp:revision>
  <cp:lastPrinted>2014-01-29T09:51:00Z</cp:lastPrinted>
  <dcterms:created xsi:type="dcterms:W3CDTF">2017-01-04T11:30:00Z</dcterms:created>
  <dcterms:modified xsi:type="dcterms:W3CDTF">2017-01-04T11:30:00Z</dcterms:modified>
</cp:coreProperties>
</file>