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ADEAFDC" w14:textId="77777777" w:rsidR="00101F75" w:rsidRPr="00220EE3" w:rsidRDefault="00101F75" w:rsidP="00101F75">
      <w:pPr>
        <w:spacing w:after="0" w:line="360" w:lineRule="auto"/>
        <w:rPr>
          <w:b/>
        </w:rPr>
      </w:pPr>
      <w:bookmarkStart w:id="0" w:name="OLE_LINK1"/>
      <w:bookmarkStart w:id="1" w:name="_GoBack"/>
      <w:bookmarkEnd w:id="1"/>
      <w:r>
        <w:rPr>
          <w:b/>
        </w:rPr>
        <w:t>N</w:t>
      </w:r>
      <w:r w:rsidRPr="00220EE3">
        <w:rPr>
          <w:b/>
        </w:rPr>
        <w:t>eighborhood socioeconomic status and adherence to dietary recommendations among Finnish adults: a retrospective follow-up study</w:t>
      </w:r>
    </w:p>
    <w:bookmarkEnd w:id="0"/>
    <w:p w14:paraId="7C0D7A90" w14:textId="77777777" w:rsidR="00101F75" w:rsidRPr="00220EE3" w:rsidRDefault="00101F75" w:rsidP="00101F75">
      <w:pPr>
        <w:spacing w:after="0" w:line="360" w:lineRule="auto"/>
      </w:pPr>
    </w:p>
    <w:p w14:paraId="2C23D907" w14:textId="77777777" w:rsidR="00101F75" w:rsidRPr="00220EE3" w:rsidRDefault="00101F75" w:rsidP="00101F75">
      <w:pPr>
        <w:spacing w:after="0" w:line="360" w:lineRule="auto"/>
        <w:rPr>
          <w:rFonts w:cs="Times New Roman"/>
          <w:szCs w:val="24"/>
          <w:vertAlign w:val="superscript"/>
          <w:lang w:val="fi-FI"/>
        </w:rPr>
      </w:pPr>
      <w:r w:rsidRPr="00220EE3">
        <w:rPr>
          <w:rFonts w:cs="Times New Roman"/>
          <w:szCs w:val="24"/>
          <w:lang w:val="fi-FI"/>
        </w:rPr>
        <w:t>Hanna Lagstr</w:t>
      </w:r>
      <w:r>
        <w:rPr>
          <w:rFonts w:cs="Times New Roman"/>
          <w:szCs w:val="24"/>
          <w:lang w:val="fi-FI"/>
        </w:rPr>
        <w:t>ö</w:t>
      </w:r>
      <w:r w:rsidRPr="00220EE3">
        <w:rPr>
          <w:rFonts w:cs="Times New Roman"/>
          <w:szCs w:val="24"/>
          <w:lang w:val="fi-FI"/>
        </w:rPr>
        <w:t>m</w:t>
      </w:r>
      <w:r w:rsidRPr="00220EE3">
        <w:rPr>
          <w:rFonts w:cs="Times New Roman"/>
          <w:szCs w:val="24"/>
          <w:vertAlign w:val="superscript"/>
          <w:lang w:val="fi-FI"/>
        </w:rPr>
        <w:t>1</w:t>
      </w:r>
      <w:r w:rsidRPr="00220EE3">
        <w:rPr>
          <w:rFonts w:cs="Times New Roman"/>
          <w:szCs w:val="24"/>
          <w:lang w:val="fi-FI"/>
        </w:rPr>
        <w:t>, Jaana I Halonen</w:t>
      </w:r>
      <w:r w:rsidRPr="00220EE3">
        <w:rPr>
          <w:rFonts w:cs="Times New Roman"/>
          <w:szCs w:val="24"/>
          <w:vertAlign w:val="superscript"/>
          <w:lang w:val="fi-FI"/>
        </w:rPr>
        <w:t>2</w:t>
      </w:r>
      <w:r w:rsidRPr="00220EE3">
        <w:rPr>
          <w:rFonts w:cs="Times New Roman"/>
          <w:szCs w:val="24"/>
          <w:lang w:val="fi-FI"/>
        </w:rPr>
        <w:t>,</w:t>
      </w:r>
      <w:r w:rsidRPr="00220EE3">
        <w:rPr>
          <w:rFonts w:cs="Times New Roman"/>
          <w:szCs w:val="24"/>
          <w:vertAlign w:val="superscript"/>
          <w:lang w:val="fi-FI"/>
        </w:rPr>
        <w:t xml:space="preserve"> </w:t>
      </w:r>
      <w:r w:rsidRPr="00220EE3">
        <w:rPr>
          <w:rFonts w:cs="Times New Roman"/>
          <w:szCs w:val="24"/>
          <w:lang w:val="fi-FI"/>
        </w:rPr>
        <w:t>Ichiro Kawachi</w:t>
      </w:r>
      <w:r w:rsidRPr="00220EE3">
        <w:rPr>
          <w:rFonts w:cs="Times New Roman"/>
          <w:color w:val="1F497D"/>
          <w:szCs w:val="24"/>
          <w:vertAlign w:val="superscript"/>
          <w:lang w:val="fi-FI"/>
        </w:rPr>
        <w:t>3</w:t>
      </w:r>
      <w:r w:rsidRPr="00220EE3">
        <w:rPr>
          <w:rFonts w:cs="Times New Roman"/>
          <w:color w:val="1F497D"/>
          <w:szCs w:val="24"/>
          <w:lang w:val="fi-FI"/>
        </w:rPr>
        <w:t>,</w:t>
      </w:r>
      <w:r w:rsidRPr="00220EE3">
        <w:rPr>
          <w:rFonts w:cs="Times New Roman"/>
          <w:szCs w:val="24"/>
          <w:lang w:val="fi-FI"/>
        </w:rPr>
        <w:t xml:space="preserve"> Sari Stenholm</w:t>
      </w:r>
      <w:r w:rsidRPr="00220EE3">
        <w:rPr>
          <w:rFonts w:cs="Times New Roman"/>
          <w:szCs w:val="24"/>
          <w:vertAlign w:val="superscript"/>
          <w:lang w:val="fi-FI"/>
        </w:rPr>
        <w:t>1</w:t>
      </w:r>
      <w:r w:rsidRPr="00220EE3">
        <w:rPr>
          <w:rFonts w:cs="Times New Roman"/>
          <w:szCs w:val="24"/>
          <w:lang w:val="fi-FI"/>
        </w:rPr>
        <w:t>, Jaana Pentti</w:t>
      </w:r>
      <w:r w:rsidRPr="00220EE3">
        <w:rPr>
          <w:rFonts w:cs="Times New Roman"/>
          <w:szCs w:val="24"/>
          <w:vertAlign w:val="superscript"/>
          <w:lang w:val="fi-FI"/>
        </w:rPr>
        <w:t>1</w:t>
      </w:r>
      <w:r w:rsidRPr="00220EE3">
        <w:rPr>
          <w:rFonts w:cs="Times New Roman"/>
          <w:szCs w:val="24"/>
          <w:lang w:val="fi-FI"/>
        </w:rPr>
        <w:t>, Sakari Suominen</w:t>
      </w:r>
      <w:r w:rsidRPr="00220EE3">
        <w:rPr>
          <w:rFonts w:cs="Times New Roman"/>
          <w:szCs w:val="24"/>
          <w:vertAlign w:val="superscript"/>
          <w:lang w:val="fi-FI"/>
        </w:rPr>
        <w:t>1,6</w:t>
      </w:r>
      <w:r w:rsidRPr="00220EE3">
        <w:rPr>
          <w:rFonts w:cs="Times New Roman"/>
          <w:szCs w:val="24"/>
          <w:lang w:val="fi-FI"/>
        </w:rPr>
        <w:t>, Mika Kivim</w:t>
      </w:r>
      <w:r>
        <w:rPr>
          <w:rFonts w:cs="Times New Roman"/>
          <w:szCs w:val="24"/>
          <w:lang w:val="fi-FI"/>
        </w:rPr>
        <w:t>ä</w:t>
      </w:r>
      <w:r w:rsidRPr="00220EE3">
        <w:rPr>
          <w:rFonts w:cs="Times New Roman"/>
          <w:szCs w:val="24"/>
          <w:lang w:val="fi-FI"/>
        </w:rPr>
        <w:t>ki</w:t>
      </w:r>
      <w:r w:rsidRPr="00220EE3">
        <w:rPr>
          <w:rFonts w:cs="Times New Roman"/>
          <w:szCs w:val="24"/>
          <w:vertAlign w:val="superscript"/>
          <w:lang w:val="fi-FI"/>
        </w:rPr>
        <w:t>4,5</w:t>
      </w:r>
      <w:r w:rsidRPr="00220EE3">
        <w:rPr>
          <w:rFonts w:cs="Times New Roman"/>
          <w:szCs w:val="24"/>
          <w:lang w:val="fi-FI"/>
        </w:rPr>
        <w:t>, Jussi Vahtera</w:t>
      </w:r>
      <w:r w:rsidRPr="00220EE3">
        <w:rPr>
          <w:rFonts w:cs="Times New Roman"/>
          <w:szCs w:val="24"/>
          <w:vertAlign w:val="superscript"/>
          <w:lang w:val="fi-FI"/>
        </w:rPr>
        <w:t>1</w:t>
      </w:r>
    </w:p>
    <w:p w14:paraId="7649BEFA" w14:textId="77777777" w:rsidR="00101F75" w:rsidRPr="00220EE3" w:rsidRDefault="00101F75" w:rsidP="00101F75">
      <w:pPr>
        <w:spacing w:after="0" w:line="360" w:lineRule="auto"/>
        <w:rPr>
          <w:lang w:val="fi-FI"/>
        </w:rPr>
      </w:pPr>
    </w:p>
    <w:p w14:paraId="06306A12" w14:textId="77777777" w:rsidR="00101F75" w:rsidRPr="00220EE3" w:rsidRDefault="00101F75" w:rsidP="00101F75">
      <w:pPr>
        <w:spacing w:after="0" w:line="360" w:lineRule="auto"/>
      </w:pPr>
      <w:r w:rsidRPr="00220EE3">
        <w:rPr>
          <w:vertAlign w:val="superscript"/>
        </w:rPr>
        <w:t>1</w:t>
      </w:r>
      <w:r w:rsidRPr="00220EE3">
        <w:t>Department of Public Health, University of Turku and Turku University Hospital, Turku, Finland</w:t>
      </w:r>
    </w:p>
    <w:p w14:paraId="0A61E1B9" w14:textId="77777777" w:rsidR="00101F75" w:rsidRPr="00220EE3" w:rsidRDefault="00101F75" w:rsidP="00101F75">
      <w:pPr>
        <w:spacing w:after="0" w:line="360" w:lineRule="auto"/>
        <w:rPr>
          <w:vertAlign w:val="superscript"/>
        </w:rPr>
      </w:pPr>
      <w:r w:rsidRPr="00220EE3">
        <w:rPr>
          <w:vertAlign w:val="superscript"/>
        </w:rPr>
        <w:t>2</w:t>
      </w:r>
      <w:r w:rsidRPr="00220EE3">
        <w:t xml:space="preserve"> Finnish Institute of Occupational Health, Helsinki, Finland</w:t>
      </w:r>
    </w:p>
    <w:p w14:paraId="681D3DFC" w14:textId="77777777" w:rsidR="00101F75" w:rsidRPr="00220EE3" w:rsidRDefault="00101F75" w:rsidP="00101F75">
      <w:pPr>
        <w:spacing w:after="0" w:line="360" w:lineRule="auto"/>
      </w:pPr>
      <w:r w:rsidRPr="00220EE3">
        <w:rPr>
          <w:vertAlign w:val="superscript"/>
        </w:rPr>
        <w:t>3</w:t>
      </w:r>
      <w:r w:rsidRPr="00220EE3">
        <w:t xml:space="preserve"> Department of Social and Behavioral Sciences, Harvard T. H. Chan School of Public Health, Boston, Massachusetts, US</w:t>
      </w:r>
    </w:p>
    <w:p w14:paraId="44DFED33" w14:textId="77777777" w:rsidR="00101F75" w:rsidRPr="00220EE3" w:rsidRDefault="00101F75" w:rsidP="00101F75">
      <w:pPr>
        <w:spacing w:after="0" w:line="360" w:lineRule="auto"/>
        <w:rPr>
          <w:vertAlign w:val="superscript"/>
        </w:rPr>
      </w:pPr>
      <w:r w:rsidRPr="00220EE3">
        <w:rPr>
          <w:vertAlign w:val="superscript"/>
        </w:rPr>
        <w:lastRenderedPageBreak/>
        <w:t>4</w:t>
      </w:r>
      <w:r w:rsidRPr="00220EE3">
        <w:t xml:space="preserve"> Clinicum, Faculty of Medicine, University of Helsinki, Helsinki, Finland</w:t>
      </w:r>
    </w:p>
    <w:p w14:paraId="5D9B92A5" w14:textId="77777777" w:rsidR="00101F75" w:rsidRPr="00220EE3" w:rsidRDefault="00101F75" w:rsidP="00101F75">
      <w:pPr>
        <w:spacing w:after="0" w:line="360" w:lineRule="auto"/>
      </w:pPr>
      <w:r w:rsidRPr="00220EE3">
        <w:rPr>
          <w:vertAlign w:val="superscript"/>
        </w:rPr>
        <w:t>5</w:t>
      </w:r>
      <w:r w:rsidRPr="00220EE3">
        <w:t>Department of Epidemiology and Public Health, University College London, London, England</w:t>
      </w:r>
    </w:p>
    <w:p w14:paraId="3455AAF8" w14:textId="77777777" w:rsidR="00101F75" w:rsidRPr="00220EE3" w:rsidRDefault="00101F75" w:rsidP="00101F75">
      <w:pPr>
        <w:spacing w:after="0" w:line="360" w:lineRule="auto"/>
      </w:pPr>
      <w:r w:rsidRPr="00220EE3">
        <w:rPr>
          <w:vertAlign w:val="superscript"/>
        </w:rPr>
        <w:t>6</w:t>
      </w:r>
      <w:r w:rsidRPr="00220EE3">
        <w:t>School of Health and Education, University of Sk</w:t>
      </w:r>
      <w:r>
        <w:t>ö</w:t>
      </w:r>
      <w:r w:rsidRPr="00220EE3">
        <w:t>vde, Sk</w:t>
      </w:r>
      <w:r>
        <w:t>ö</w:t>
      </w:r>
      <w:r w:rsidRPr="00220EE3">
        <w:t>vde, Sweden</w:t>
      </w:r>
    </w:p>
    <w:p w14:paraId="558CBC91" w14:textId="77777777" w:rsidR="00101F75" w:rsidRPr="00220EE3" w:rsidRDefault="00101F75" w:rsidP="00101F75">
      <w:pPr>
        <w:spacing w:after="0" w:line="360" w:lineRule="auto"/>
      </w:pPr>
    </w:p>
    <w:p w14:paraId="132AE3AA" w14:textId="77777777" w:rsidR="00101F75" w:rsidRPr="00220EE3" w:rsidRDefault="00101F75" w:rsidP="00101F75">
      <w:pPr>
        <w:spacing w:after="0" w:line="360" w:lineRule="auto"/>
      </w:pPr>
    </w:p>
    <w:p w14:paraId="6F6CB431" w14:textId="77777777" w:rsidR="00101F75" w:rsidRPr="00220EE3" w:rsidRDefault="00101F75" w:rsidP="00101F75">
      <w:pPr>
        <w:spacing w:after="0" w:line="360" w:lineRule="auto"/>
      </w:pPr>
      <w:r w:rsidRPr="00220EE3">
        <w:rPr>
          <w:b/>
        </w:rPr>
        <w:t xml:space="preserve">Correspondence: </w:t>
      </w:r>
      <w:r w:rsidRPr="00220EE3">
        <w:t>Hanna Lagström, Department of Public Health, FI-20014 University of Turku, Finland. Telephone: +358 40 7276746. E-mail: hanna.lagstrom@utu.fi</w:t>
      </w:r>
    </w:p>
    <w:p w14:paraId="3849A7EC" w14:textId="77777777" w:rsidR="00101F75" w:rsidRPr="00220EE3" w:rsidRDefault="00101F75" w:rsidP="00101F75">
      <w:pPr>
        <w:spacing w:after="0" w:line="360" w:lineRule="auto"/>
        <w:rPr>
          <w:szCs w:val="24"/>
        </w:rPr>
      </w:pPr>
    </w:p>
    <w:p w14:paraId="7CBBE6C4" w14:textId="77777777" w:rsidR="00101F75" w:rsidRPr="00220EE3" w:rsidRDefault="00101F75" w:rsidP="00101F75">
      <w:pPr>
        <w:spacing w:after="0" w:line="360" w:lineRule="auto"/>
        <w:rPr>
          <w:szCs w:val="24"/>
        </w:rPr>
      </w:pPr>
      <w:r w:rsidRPr="00220EE3">
        <w:rPr>
          <w:b/>
          <w:szCs w:val="24"/>
        </w:rPr>
        <w:t>Running title:</w:t>
      </w:r>
      <w:r w:rsidRPr="00220EE3">
        <w:rPr>
          <w:szCs w:val="24"/>
        </w:rPr>
        <w:t xml:space="preserve"> </w:t>
      </w:r>
      <w:r w:rsidRPr="00220EE3">
        <w:t>Neighborhood disadvantage and diet quality</w:t>
      </w:r>
    </w:p>
    <w:p w14:paraId="4F90EBD5" w14:textId="77777777" w:rsidR="00101F75" w:rsidRPr="00220EE3" w:rsidRDefault="00101F75" w:rsidP="00101F75">
      <w:pPr>
        <w:spacing w:after="0" w:line="360" w:lineRule="auto"/>
        <w:rPr>
          <w:szCs w:val="24"/>
        </w:rPr>
      </w:pPr>
    </w:p>
    <w:p w14:paraId="05B42353" w14:textId="77777777" w:rsidR="00101F75" w:rsidRPr="00220EE3" w:rsidRDefault="00101F75" w:rsidP="00101F75">
      <w:pPr>
        <w:autoSpaceDE w:val="0"/>
        <w:autoSpaceDN w:val="0"/>
        <w:adjustRightInd w:val="0"/>
        <w:spacing w:after="0" w:line="360" w:lineRule="auto"/>
        <w:rPr>
          <w:rFonts w:cs="Times New Roman"/>
          <w:szCs w:val="24"/>
        </w:rPr>
      </w:pPr>
      <w:r w:rsidRPr="00220EE3">
        <w:rPr>
          <w:rFonts w:cs="Times New Roman"/>
          <w:b/>
          <w:szCs w:val="24"/>
        </w:rPr>
        <w:t>Conflict of interest:</w:t>
      </w:r>
      <w:r w:rsidRPr="00220EE3">
        <w:rPr>
          <w:rFonts w:cs="Times New Roman"/>
          <w:szCs w:val="24"/>
        </w:rPr>
        <w:t xml:space="preserve"> None reported.</w:t>
      </w:r>
    </w:p>
    <w:p w14:paraId="6ABBCB91" w14:textId="77777777" w:rsidR="00101F75" w:rsidRDefault="00101F75" w:rsidP="00101F75">
      <w:pPr>
        <w:autoSpaceDE w:val="0"/>
        <w:autoSpaceDN w:val="0"/>
        <w:adjustRightInd w:val="0"/>
        <w:spacing w:after="0" w:line="360" w:lineRule="auto"/>
        <w:rPr>
          <w:rFonts w:ascii="AdvOT777cf4fb" w:hAnsi="AdvOT777cf4fb" w:cs="AdvOT777cf4fb"/>
          <w:sz w:val="19"/>
          <w:szCs w:val="19"/>
        </w:rPr>
      </w:pPr>
    </w:p>
    <w:p w14:paraId="417D5E28" w14:textId="77777777" w:rsidR="00101F75" w:rsidRDefault="00101F75" w:rsidP="00101F75">
      <w:pPr>
        <w:autoSpaceDE w:val="0"/>
        <w:autoSpaceDN w:val="0"/>
        <w:adjustRightInd w:val="0"/>
        <w:spacing w:after="0" w:line="360" w:lineRule="auto"/>
        <w:rPr>
          <w:rFonts w:ascii="AdvOT777cf4fb" w:hAnsi="AdvOT777cf4fb" w:cs="AdvOT777cf4fb"/>
          <w:sz w:val="19"/>
          <w:szCs w:val="19"/>
        </w:rPr>
      </w:pPr>
    </w:p>
    <w:p w14:paraId="0191EE44" w14:textId="77777777" w:rsidR="00101F75" w:rsidRPr="00220EE3" w:rsidRDefault="00101F75" w:rsidP="00101F75">
      <w:pPr>
        <w:autoSpaceDE w:val="0"/>
        <w:autoSpaceDN w:val="0"/>
        <w:adjustRightInd w:val="0"/>
        <w:spacing w:after="0" w:line="360" w:lineRule="auto"/>
        <w:rPr>
          <w:rFonts w:ascii="AdvOT777cf4fb" w:hAnsi="AdvOT777cf4fb" w:cs="AdvOT777cf4fb"/>
          <w:sz w:val="19"/>
          <w:szCs w:val="19"/>
        </w:rPr>
      </w:pPr>
    </w:p>
    <w:p w14:paraId="566E4FFD" w14:textId="77777777" w:rsidR="00101F75" w:rsidRPr="00573409" w:rsidRDefault="00101F75" w:rsidP="00101F75">
      <w:pPr>
        <w:autoSpaceDE w:val="0"/>
        <w:autoSpaceDN w:val="0"/>
        <w:adjustRightInd w:val="0"/>
        <w:spacing w:after="0" w:line="360" w:lineRule="auto"/>
        <w:rPr>
          <w:rFonts w:eastAsia="Times New Roman" w:cs="Times New Roman"/>
          <w:szCs w:val="24"/>
          <w:lang w:eastAsia="fi-FI"/>
        </w:rPr>
      </w:pPr>
      <w:r w:rsidRPr="00220EE3">
        <w:rPr>
          <w:rFonts w:cs="Times New Roman"/>
          <w:b/>
          <w:szCs w:val="24"/>
        </w:rPr>
        <w:t>Authorship:</w:t>
      </w:r>
      <w:r w:rsidRPr="00220EE3">
        <w:rPr>
          <w:rFonts w:cs="Times New Roman"/>
          <w:szCs w:val="24"/>
        </w:rPr>
        <w:t xml:space="preserve"> All authors are responsible for reported research and all authors have participated in the concept and design of the study, analysis and interpretation of data and drafting the manuscript. All the authors have had sufficient access to the data to verify the manuscript's scientific integrity and they approved the final manuscript as submitted and agree to be accountable for all aspects of work.</w:t>
      </w:r>
    </w:p>
    <w:p w14:paraId="34819931" w14:textId="77777777" w:rsidR="00101F75" w:rsidRDefault="00101F75">
      <w:pPr>
        <w:rPr>
          <w:b/>
        </w:rPr>
      </w:pPr>
    </w:p>
    <w:p w14:paraId="39134D19" w14:textId="77777777" w:rsidR="00101F75" w:rsidRDefault="00101F75">
      <w:pPr>
        <w:rPr>
          <w:b/>
        </w:rPr>
      </w:pPr>
      <w:r>
        <w:rPr>
          <w:b/>
        </w:rPr>
        <w:br w:type="page"/>
      </w:r>
    </w:p>
    <w:p w14:paraId="3D1BA7FD" w14:textId="4C6E2877" w:rsidR="00EB3752" w:rsidRPr="00220EE3" w:rsidRDefault="002A55E5" w:rsidP="008C1A3C">
      <w:pPr>
        <w:spacing w:after="0" w:line="360" w:lineRule="auto"/>
      </w:pPr>
      <w:r w:rsidRPr="00220EE3">
        <w:rPr>
          <w:b/>
        </w:rPr>
        <w:lastRenderedPageBreak/>
        <w:t>Abstract</w:t>
      </w:r>
    </w:p>
    <w:p w14:paraId="505AB62B" w14:textId="77777777" w:rsidR="00FF2CDE" w:rsidRPr="00220EE3" w:rsidRDefault="00FF2CDE" w:rsidP="008C1A3C">
      <w:pPr>
        <w:spacing w:after="0" w:line="360" w:lineRule="auto"/>
        <w:rPr>
          <w:b/>
        </w:rPr>
      </w:pPr>
    </w:p>
    <w:p w14:paraId="546C8774" w14:textId="0669B751" w:rsidR="0000471F" w:rsidRDefault="00F0492D" w:rsidP="009629BA">
      <w:pPr>
        <w:spacing w:after="0" w:line="360" w:lineRule="auto"/>
      </w:pPr>
      <w:r w:rsidRPr="00F0492D">
        <w:t>Neighborhood socioeconomic status (SES) is associated with dietary habits among the residents, but few studies have examined this association separately among long-term residents and movers. We calculated cumulative neighborhood SES score weighted by residential time in each address over 6 years for non-movers (n=7704) and movers (n=8818) using national grid database. Increase in average neighborhood SES was associated with higher adherence to dietary recommendations in both groups. Among the movers, an upward trajectory from low to high neighborhood SES was also associated with better adherence. Our findings suggest high SES areas might offer healthier food environments than low SES areas.</w:t>
      </w:r>
    </w:p>
    <w:p w14:paraId="283D00CD" w14:textId="77777777" w:rsidR="0044001A" w:rsidRDefault="0044001A" w:rsidP="009629BA">
      <w:pPr>
        <w:spacing w:after="0" w:line="360" w:lineRule="auto"/>
      </w:pPr>
    </w:p>
    <w:p w14:paraId="141D2AE8" w14:textId="77777777" w:rsidR="00811595" w:rsidRPr="00154537" w:rsidRDefault="00811595" w:rsidP="008C1A3C">
      <w:pPr>
        <w:spacing w:after="0" w:line="360" w:lineRule="auto"/>
      </w:pPr>
    </w:p>
    <w:p w14:paraId="54DDB914" w14:textId="4845D211" w:rsidR="00E665E2" w:rsidRPr="00220EE3" w:rsidRDefault="00E665E2" w:rsidP="00E665E2">
      <w:pPr>
        <w:spacing w:after="0" w:line="360" w:lineRule="auto"/>
        <w:rPr>
          <w:rFonts w:eastAsia="Times New Roman" w:cs="Times New Roman"/>
          <w:szCs w:val="24"/>
          <w:lang w:eastAsia="fi-FI"/>
        </w:rPr>
      </w:pPr>
      <w:r w:rsidRPr="00154537">
        <w:rPr>
          <w:rFonts w:eastAsia="Times New Roman" w:cs="Times New Roman"/>
          <w:b/>
          <w:szCs w:val="24"/>
          <w:lang w:eastAsia="fi-FI"/>
        </w:rPr>
        <w:t>Keywords:</w:t>
      </w:r>
      <w:r w:rsidRPr="00154537">
        <w:rPr>
          <w:rFonts w:eastAsia="Times New Roman" w:cs="Times New Roman"/>
          <w:szCs w:val="24"/>
          <w:lang w:eastAsia="fi-FI"/>
        </w:rPr>
        <w:t xml:space="preserve"> N</w:t>
      </w:r>
      <w:r w:rsidRPr="00154537">
        <w:t xml:space="preserve">eighborhood </w:t>
      </w:r>
      <w:r w:rsidR="001150FA">
        <w:t>socioeconomic status</w:t>
      </w:r>
      <w:r w:rsidRPr="00154537">
        <w:t xml:space="preserve">, dietary recommendations, </w:t>
      </w:r>
      <w:r w:rsidR="001150FA">
        <w:t>dietary habits</w:t>
      </w:r>
    </w:p>
    <w:p w14:paraId="7A7DEF2F" w14:textId="4E516AE1" w:rsidR="00EB3752" w:rsidRPr="00220EE3" w:rsidRDefault="00EB3752" w:rsidP="008C1A3C">
      <w:pPr>
        <w:spacing w:after="0" w:line="360" w:lineRule="auto"/>
      </w:pPr>
      <w:r w:rsidRPr="00220EE3">
        <w:br w:type="page"/>
      </w:r>
    </w:p>
    <w:p w14:paraId="33B882C5" w14:textId="66AF9F44" w:rsidR="004A6425" w:rsidRPr="00220EE3" w:rsidRDefault="004A6425" w:rsidP="008C1A3C">
      <w:pPr>
        <w:spacing w:after="0" w:line="360" w:lineRule="auto"/>
        <w:rPr>
          <w:b/>
        </w:rPr>
      </w:pPr>
      <w:r w:rsidRPr="00220EE3">
        <w:rPr>
          <w:b/>
        </w:rPr>
        <w:lastRenderedPageBreak/>
        <w:t>Introduction</w:t>
      </w:r>
    </w:p>
    <w:p w14:paraId="4F12CE73" w14:textId="4CD7A526" w:rsidR="00D36D7B" w:rsidRPr="00220EE3" w:rsidRDefault="004A6425" w:rsidP="008C1A3C">
      <w:pPr>
        <w:spacing w:after="0" w:line="360" w:lineRule="auto"/>
      </w:pPr>
      <w:r w:rsidRPr="00220EE3">
        <w:t xml:space="preserve">Health inequalities are </w:t>
      </w:r>
      <w:r w:rsidR="00A3262C" w:rsidRPr="00220EE3">
        <w:t>well demonstrated</w:t>
      </w:r>
      <w:r w:rsidR="00D36D7B" w:rsidRPr="00220EE3">
        <w:t xml:space="preserve"> world-wide</w:t>
      </w:r>
      <w:r w:rsidRPr="00220EE3">
        <w:t xml:space="preserve"> </w:t>
      </w:r>
      <w:r w:rsidR="003602C0" w:rsidRPr="00220EE3">
        <w:fldChar w:fldCharType="begin" w:fldLock="1"/>
      </w:r>
      <w:r w:rsidR="00154AB2">
        <w:instrText>ADDIN CSL_CITATION {"citationItems":[{"id":"ITEM-1","itemData":{"author":[{"dropping-particle":"","family":"WHO","given":"","non-dropping-particle":"","parse-names":false,"suffix":""}],"id":"ITEM-1","issued":{"date-parts":[["2014"]]},"number-of-pages":"Available: http://apps.who.int/iris/handle/10665/1","title":"MONITORING HEALTH INEQUALITY An essential step for achieving health equity","type":"report"},"uris":["http://www.mendeley.com/documents/?uuid=2c5a9f06-7d7f-4800-9dc7-e21496141c0e"]}],"mendeley":{"formattedCitation":"(WHO, 2014)","plainTextFormattedCitation":"(WHO, 2014)","previouslyFormattedCitation":"(WHO, 2014)"},"properties":{"noteIndex":0},"schema":"https://github.com/citation-style-language/schema/raw/master/csl-citation.json"}</w:instrText>
      </w:r>
      <w:r w:rsidR="003602C0" w:rsidRPr="00220EE3">
        <w:fldChar w:fldCharType="separate"/>
      </w:r>
      <w:r w:rsidR="00C12E6F" w:rsidRPr="00C12E6F">
        <w:rPr>
          <w:noProof/>
        </w:rPr>
        <w:t>(WHO, 2014)</w:t>
      </w:r>
      <w:r w:rsidR="003602C0" w:rsidRPr="00220EE3">
        <w:fldChar w:fldCharType="end"/>
      </w:r>
      <w:r w:rsidR="00D36D7B" w:rsidRPr="00220EE3">
        <w:t xml:space="preserve"> and may be in part attributable</w:t>
      </w:r>
      <w:r w:rsidR="003E29A2" w:rsidRPr="00220EE3">
        <w:t xml:space="preserve"> </w:t>
      </w:r>
      <w:r w:rsidR="00D36D7B" w:rsidRPr="00220EE3">
        <w:t>to poorer</w:t>
      </w:r>
      <w:r w:rsidR="00432AED" w:rsidRPr="00220EE3">
        <w:t xml:space="preserve"> health</w:t>
      </w:r>
      <w:r w:rsidR="00D36D7B" w:rsidRPr="00220EE3">
        <w:t xml:space="preserve"> habits, including diet among individuals with lower socioeconomic status (SES) or education achievement </w:t>
      </w:r>
      <w:r w:rsidR="00D104CE" w:rsidRPr="00220EE3">
        <w:fldChar w:fldCharType="begin" w:fldLock="1"/>
      </w:r>
      <w:r w:rsidR="00154AB2">
        <w:instrText>ADDIN CSL_CITATION {"citationItems":[{"id":"ITEM-1","itemData":{"ISSN":"0300-5771","PMID":"11369739","abstract":"OBJECTIVES To describe the association of diet and socioeconomic position and to assess whether two different indicators, education and occupation, independently contribute in determining diet. METHODS A community-based random sample of men and women residents of Geneva canton, aged 35 to 74, participated in a survey of cardiovascular risk factors conducted annually since 1993. Lifetime occupational and educational history and a semi-quantitative food frequency questionnaire were obtained from 2929 men and 2767 women. RESULTS Subjects from lower education and/or occupation consumed less fish and vegetables but more fried foods, pasta and potatoes, table sugar and beer. Iron, calcium, vitamin A and vitamin D intake were lower in the lower educational and occupational groups. Both indicators significantly contributed to determining a less healthy dietary pattern for those from low social class. The effects of education and occupation on dietary habits were usually additive and synergistic for some food groups. CONCLUSION Assessing both education and occupation, improves the description of social class inequalities in dietary habits, as they act, most of the time, as independent factors.","author":[{"dropping-particle":"","family":"Galobardes","given":"B","non-dropping-particle":"","parse-names":false,"suffix":""},{"dropping-particle":"","family":"Morabia","given":"A","non-dropping-particle":"","parse-names":false,"suffix":""},{"dropping-particle":"","family":"Bernstein","given":"MS","non-dropping-particle":"","parse-names":false,"suffix":""}],"container-title":"International Journal of Epidemiology","id":"ITEM-1","issue":"2","issued":{"date-parts":[["2001","4"]]},"page":"334-40","title":"Diet and socioeconomic position: does the use of different indicators matter?","type":"article-journal","volume":"30"},"uris":["http://www.mendeley.com/documents/?uuid=91591939-e2a8-4161-b8e1-d6eb0bd7d4b0"]},{"id":"ITEM-2","itemData":{"ISSN":"1368-9800","PMID":"16480537","abstract":"OBJECTIVE To examine the influence of individual- and area-level socio-economic characteristics on food choice behaviour and dietary intake. SETTING The city of Eindhoven in the south-east Netherlands. DESIGN A total of 1339 men and women aged 25-79 years were sampled from 85 areas (mean number of participants per area = 18.4, range 2-49). Information on socio-economic position (SEP) and diet was collected by structured face-to-face interviews (response rate 80.9%). Individual-level SEP was measured by education and household income, and area-level deprivation was measured using a composite index that included residents' education, occupation and employment status. Diet was measured on the basis of (1) a grocery food index that captured compliance with dietary guidelines, (2) breakfast consumption and (3) intakes of fruit, total fat and saturated fat. Multilevel analyses were performed to examine the independent effects of individual- and area-level socio-economic characteristics on the dietary outcome variables. RESULTS After adjusting for individual-level SEP, few trends or significant effects of area deprivation were found for the dietary outcomes. Significant associations were found between individual-level SEP and food choice, breakfast consumption and fruit intake, with participants from disadvantaged backgrounds being less likely to report food behaviours or nutrient intakes consistent with dietary recommendations. CONCLUSIONS The findings suggest that an individual's socio-economic characteristics play a more important role in shaping diet than the socio-economic characteristics of the area in which they live. In this Dutch study, no independent influence of area-level socio-economic characteristics on diet was detected, which contrasts with findings from the USA, the UK and Finland.","author":[{"dropping-particle":"","family":"Giskes","given":"Katrina","non-dropping-particle":"","parse-names":false,"suffix":""},{"dropping-particle":"","family":"Turrell","given":"Gavin","non-dropping-particle":"","parse-names":false,"suffix":""},{"dropping-particle":"","family":"Lenthe","given":"Frank J","non-dropping-particle":"van","parse-names":false,"suffix":""},{"dropping-particle":"","family":"Brug","given":"Johannes","non-dropping-particle":"","parse-names":false,"suffix":""},{"dropping-particle":"","family":"Mackenbach","given":"Johan P","non-dropping-particle":"","parse-names":false,"suffix":""}],"container-title":"Public Health Nutrition","id":"ITEM-2","issue":"1","issued":{"date-parts":[["2006","2"]]},"page":"75-83","title":"A multilevel study of socio-economic inequalities in food choice behaviour and dietary intake among the Dutch population: the GLOBE study.","type":"article-journal","volume":"9"},"uris":["http://www.mendeley.com/documents/?uuid=cfaf51c0-1d6f-4acd-8085-9aa090e5ba34"]},{"id":"ITEM-3","itemData":{"DOI":"10.1038/sj.ejcn.1601503","abstract":"Objective: To study differences in dietary intake between adults with different socioeconomic status (SES) and trends over time. Design: Cross-sectional study based on data of three Dutch National Food Consumption Surveys (DNFCS-1 1987=88; DNFCS-2 1992; DNFCS-3 1997=98), obtained from a panel by a stratified probability sample of the non-institutionalized Dutch population. Subjects: A total of 6008 men and 6957 women aged 19 y and over. Methods: Dietary intake was assessed with a 2 day dietary record. Background information was obtained by structured questionnaire. Sociodemographic variables were available from panel information. SES, based on educational level, occupation and occupational position was categorized into (very) low, middle and high. Analysis of variance with age as covariable was used to explore the effects of SES on dietary intake and anthropometry. Statistical tests for trend were carried out with models in which week-weekend-day effects and an interaction term of time with SES were also included. Results: The prevalence of obesity and skipping of breakfast was higher among people with a low SES. In all three surveys, subjects in the (very) low SES group reported having a higher consumption of potatoes, meat and meat products, visible fats, coffee and soft drinks (men only). Subjects with a high SES reported consuming more vegetables, cheese and alcohol. As regards nutrients, in all surveys a higher SES was associated with higher intake of vegetable protein, dietary fibre and most micronutrients. A higher SES was also associated with a lower fat intake but the differences between social classes were rather small and not consistent when the contribution of alcohol to energy intake was taken into account. Conclusion: In general, dietary intake among subjects in higher SES groups tended to be closer to the recommendations of the Netherlands Food and Nutrition Council and this phenomenon was quite stable over a period of 10 y.","author":[{"dropping-particle":"","family":"Hulshof","given":"Kfam","non-dropping-particle":"","parse-names":false,"suffix":""},{"dropping-particle":"","family":"Brussaard","given":"Jh","non-dropping-particle":"","parse-names":false,"suffix":""},{"dropping-particle":"","family":"Kruizinga","given":"Ag","non-dropping-particle":"","parse-names":false,"suffix":""},{"dropping-particle":"","family":"Telman","given":"J","non-dropping-particle":"","parse-names":false,"suffix":""},{"dropping-particle":"","family":"Löwik","given":"Mrh","non-dropping-particle":"","parse-names":false,"suffix":""}],"container-title":"European Journal of Clinical Nutrition","id":"ITEM-3","issued":{"date-parts":[["2003"]]},"page":"128-137","title":"Socio-economic status, dietary intake and 10 y trends: the Dutch National Food Consumption Survey","type":"article-journal","volume":"57"},"uris":["http://www.mendeley.com/documents/?uuid=9db8edb4-9952-42d4-85f7-a30f924050f8"]},{"id":"ITEM-4","itemData":{"DOI":"10.1017/S1368980012003540","abstract":"Objective: A low socio-economic status (SES) is related to less healthy dietary habits, but the reasons for this remain unclear. We examined whether the absolute or relative importance of various food choice motives contributed to SES disparities in vegetable/fruit and energy-dense food intake. Design: We analysed cross-sectional data from the FINRISK Study 2007 by means of structural equation modelling and used a shortened version of the Food Choice Questionnaire to assess the absolute importance of health, pleasure, convenience, price, familiarity and ethicality motives. We calculated the relative importance of each motive by dividing the participant's rating of it by his/her mean score on all motives. Dietary intake was measured with an FFQ. Setting: A population-based survey in Finland. Subjects: Men (n 1691) and women (n 2059) aged 25–64 years. Results: Higher education and income were related to a greater vegetable/fruit intake (b 5 0?12, P , 0?001), while education was associated negatively with the consumption of energy-dense foods (b 5 20?09, P , 0?001). Socio-economically disadvantaged individuals considered price and/or familiarity more important in their food choices in both absolute and relative terms. A higher income was related to a greater relative importance of health considerations. Relative motives were more strongly associated with vegetable/fruit and energy-dense food con-sumption than absolute motives and the relative importance of price, familiarity and health partly mediated the effects of the SES indicators on the consumption of these food items. Conclusions: Individual priorities in food choice motives, rather than the absolute importance of single motives, play a role in producing SES disparities in diet.","author":[{"dropping-particle":"","family":"Konttinen","given":"Hanna","non-dropping-particle":"","parse-names":false,"suffix":""},{"dropping-particle":"","family":"Sarlio-Lähteenkorva","given":"Sirpa","non-dropping-particle":"","parse-names":false,"suffix":""},{"dropping-particle":"","family":"Silventoinen","given":"Karri","non-dropping-particle":"","parse-names":false,"suffix":""},{"dropping-particle":"","family":"Männistö","given":"Satu","non-dropping-particle":"","parse-names":false,"suffix":""},{"dropping-particle":"","family":"Haukkala","given":"Ari","non-dropping-particle":"","parse-names":false,"suffix":""}],"container-title":"Public Health Nutrition","id":"ITEM-4","issue":"5","issued":{"date-parts":[["2012"]]},"page":"873-882","title":"Socio-economic disparities in the consumption of vegetables, fruit and energy-dense foods: the role of motive priorities","type":"article-journal","volume":"16"},"uris":["http://www.mendeley.com/documents/?uuid=88fa28bc-4a8b-4408-9f8d-ce719bf25dde"]},{"id":"ITEM-5","itemData":{"DOI":"10.1038/sj.ejcn.1602583","abstract":"Objective: To examine associations between seven indicators of socio-economic circumstances and healthy food habits, while taking into account assumed temporal order between these socio-economic indicators. Design and setting: Data were derived from cross-sectional postal questionnaires in 2000–2002. Socio-economic circumstances were assessed by parental education, childhood economic difficulties, own education, occupational class, household income, home ownership and current economic difficulties. Healthy food habits were measured by an index consisting of consumption of fresh vegetables, fruit or berries, rye bread, fish and choosing vegetable fats on bread and oil in cooking. Sequential logistic regression models were used, adjusting for age and marital status. Participants: Employees of the City of Helsinki, Finland (n ¼ 8960, aged 40–60 years). Results: Healthy food habits were reported by 28% of women and by 17% of men. Own education, occupational class, household income, home ownership and current economic difficulties were associated with healthy food habits. These associations were attenuated but mainly remained after mutual adjustments for the socio-economic indicators. Among women, a pathway was found suggesting that part of the effects of education on food habits were mediated through occupational class. Conclusions: Employees in higher and lower socio-economic positions differ in their food habits, and those in lower positions and economically disadvantaged are less likely to report healthy food habits. Health promotion programmes and food policies should encourage healthier food choices among those in lower socio-economic positions and among those with economic difficulties in particular.","author":[{"dropping-particle":"","family":"Lallukka","given":"T","non-dropping-particle":"","parse-names":false,"suffix":""},{"dropping-particle":"","family":"Laaksonen","given":"M","non-dropping-particle":"","parse-names":false,"suffix":""},{"dropping-particle":"","family":"Rahkonen","given":"O","non-dropping-particle":"","parse-names":false,"suffix":""},{"dropping-particle":"","family":"Roos","given":"E","non-dropping-particle":"","parse-names":false,"suffix":""},{"dropping-particle":"","family":"Lahelma","given":"E","non-dropping-particle":"","parse-names":false,"suffix":""}],"container-title":"European Journal of Clinical Nutrition","id":"ITEM-5","issued":{"date-parts":[["2007"]]},"page":"701-710","title":"Multiple socio-economic circumstances and healthy food habits","type":"article-journal","volume":"61"},"uris":["http://www.mendeley.com/documents/?uuid=79d01dbc-fb00-44e4-9ef6-9cf8ebf9ffdd"]},{"id":"ITEM-6","itemData":{"DOI":"10.1016/S0140-6736(05)71146-6","ISSN":"01406736","abstract":"The gross inequalities in health that we see within and between countries present a challenge to the world. That there should be a spread of life expectancy of 48 years among countries and 20 years or more within countries is not inevitable. A burgeoning volume of research identifies social factors at the root of much of these inequalities in health. Social determinants are relevant to communicable and non-communicable disease alike. Health st</w:instrText>
      </w:r>
      <w:r w:rsidR="00154AB2" w:rsidRPr="00154AB2">
        <w:rPr>
          <w:lang w:val="fi-FI"/>
        </w:rPr>
        <w:instrText>atus, therefore, should be of concern to policy makers in every sector, not solely those involved in health policy. As a response to this global challenge, WHO is launching a Commission on Social Determinants of Health, which will review the evidence, raise societal debate, and recommend policies with the goal of improving health of the world's most vulnerable people. A major thrust of the Commission is turning public-health knowledge into political action.","author":[{"dropping-particle":"","family":"Marmot","given":"Michael","non-dropping-particle":"","parse-names":false,"suffix":""}],"container-title":"The Lancet","id":"ITEM-6","issue":"9464","issued":{"date-parts":[["2005"]]},"page":"1099-1104","title":"Social determinants of health inequalities","type":"article-journal","volume":"365"},"uris":["http://www.mendeley.com/documents/?uuid=696f97f4-67c1-433b-8237-792db8d9bf96"]}],"mendeley":{"formattedCitation":"(Galobardes et al., 2001; Giskes et al., 2006; Hulshof et al., 2003; Konttinen et al., 2012; Lallukka et al., 2007; Marmot, 2005)","plainTextFormattedCitation":"(Galobardes et al., 2001; Giskes et al., 2006; Hulshof et al., 2003; Konttinen et al., 2012; Lallukka et al., 2007; Marmot, 2005)","previouslyFormattedCitation":"(Galobardes et al., 2001; Giskes et al., 2006; Hulshof et al., 2003; Konttinen et al., 2012; Lallukka et al., 2007; Marmot, 2005)"},"properties":{"noteIndex":0},"schema":"https://github.com/citation-style-language/schema/raw/master/csl-citation.json"}</w:instrText>
      </w:r>
      <w:r w:rsidR="00D104CE" w:rsidRPr="00220EE3">
        <w:fldChar w:fldCharType="separate"/>
      </w:r>
      <w:r w:rsidR="00C12E6F" w:rsidRPr="00C12E6F">
        <w:rPr>
          <w:noProof/>
          <w:lang w:val="fi-FI"/>
        </w:rPr>
        <w:t>(Galobardes et al., 2001; Giskes et al., 2006; Hulshof et al., 2003; Konttinen et al., 2012; Lallukka et al., 2007; Marmot, 2005)</w:t>
      </w:r>
      <w:r w:rsidR="00D104CE" w:rsidRPr="00220EE3">
        <w:fldChar w:fldCharType="end"/>
      </w:r>
      <w:r w:rsidR="00D104CE" w:rsidRPr="00C12E6F">
        <w:rPr>
          <w:lang w:val="fi-FI"/>
        </w:rPr>
        <w:t>.</w:t>
      </w:r>
      <w:r w:rsidR="00D36D7B" w:rsidRPr="00C12E6F">
        <w:rPr>
          <w:lang w:val="fi-FI"/>
        </w:rPr>
        <w:t xml:space="preserve"> </w:t>
      </w:r>
      <w:r w:rsidR="00D36D7B" w:rsidRPr="00220EE3">
        <w:t xml:space="preserve">Recent studies suggest that </w:t>
      </w:r>
      <w:r w:rsidR="00180C54" w:rsidRPr="00220EE3">
        <w:t xml:space="preserve">consumption of </w:t>
      </w:r>
      <w:r w:rsidR="00A277F2">
        <w:t xml:space="preserve">food items such as </w:t>
      </w:r>
      <w:r w:rsidR="00180C54" w:rsidRPr="00220EE3">
        <w:t>fruit</w:t>
      </w:r>
      <w:r w:rsidR="00BE558A">
        <w:t>s</w:t>
      </w:r>
      <w:r w:rsidR="00180C54" w:rsidRPr="00220EE3">
        <w:t xml:space="preserve"> and vegetables </w:t>
      </w:r>
      <w:r w:rsidR="00B44F67" w:rsidRPr="00220EE3">
        <w:t xml:space="preserve">may also </w:t>
      </w:r>
      <w:r w:rsidR="00492914" w:rsidRPr="00220EE3">
        <w:t>vary</w:t>
      </w:r>
      <w:r w:rsidR="00B44F67" w:rsidRPr="00220EE3">
        <w:t xml:space="preserve"> by area of residence</w:t>
      </w:r>
      <w:r w:rsidR="00B6296F">
        <w:t xml:space="preserve"> </w:t>
      </w:r>
      <w:r w:rsidR="00B6296F">
        <w:fldChar w:fldCharType="begin" w:fldLock="1"/>
      </w:r>
      <w:r w:rsidR="00BA7692">
        <w:instrText>ADDIN CSL_CITATION {"citationItems":[{"id":"ITEM-1","itemData":{"DOI":"10.1371/journal.pone.0139297","PMID":"26506251","abstract":"Background: There has been increasing interest in neighbourhoods’ influence on individuals’ health-risk behaviours, such as smoking, alcohol consumption, physical activity and diet. The aim of this review was to systematically review recent studies on health-risk behaviour among adults who live in deprived neighbourhoods compared with those who live in non-deprived neighbourhoods and to summarise what kind of operationalisations of neighbourhood deprivation that were used in the studies. Methods: PRISMA guidelines for systematic reviews were followed. Systematic searches were performed in PubMed, Embase, Web of Science and Sociological Abstracts using relevant search terms, Boolean operators, and truncation, and reference lists were scanned. Quantitative observational studies that examined health-risk behaviour in deprived neighbourhoods compared with non-deprived neighbourhoods were eligible for inclusion. Results: The inclusion criteria were met by 22 studies. The available literature showed a positive association between smoking and physical inactivity and living in deprived neighbourhoods compared with non-deprived neighbourhoods. In regard to low fruit and vegetable consumption and alcohol consumption, the results were ambiguous, and no clear differences were found. Numerous different operationalisations of neighbourhood deprivation were used in the studies. Conclusion: Substantial evidence indicates that future health interventions in deprived neighbourhoods should focus on smoking and physical inactivity. We suggest that alcohol interventions should be population based rather than based on the specific needs of deprived neighbourhoods. More research is needed on fruit and vegetable consumption. In future studies, the lack of a uniform operationalisation of neighbourhood deprivation must be addressed. [ABSTRACT FROM AUTHOR]","author":[{"dropping-particle":"","family":"Algren","given":"Maria Holst","non-dropping-particle":"","parse-names":false,"suffix":""},{"dropping-particle":"","family":"Bak","given":"Carsten Kronborg","non-dropping-particle":"","parse-names":false,"suffix":""},{"dropping-particle":"","family":"Berg-Beckhoff","given":"Gabriele","non-dropping-particle":"","parse-names":false,"suffix":""},{"dropping-particle":"","family":"Andersen","given":"Pernille Tanggaard","non-dropping-particle":"","parse-names":false,"suffix":""}],"container-title":"PLoS ONE","id":"ITEM-1","issued":{"date-parts":[["2015"]]},"page":"e0139297","title":"Health-risk behaviour in deprived neighbourhoods compared with non-deprived neighbourhoods: A systematic literature review of quantitative observational studies","type":"article"},"uris":["http://www.mendeley.com/documents/?uuid=ba335862-661b-4026-aaa6-36839ef69022"]},{"id":"ITEM-2","itemData":{"DOI":"10.1016/S2468-2667(18)30111-7","ISSN":"2468-2667","PMID":"30030110","abstract":"BACKGROUND Neighbourhood socioeconomic disadvantage has been linked to increased diabetes risk, but little is known about differences in risk factors in childhood and adulthood in those with high and low neighbourhood socioeconomic disadvantage, or about the association between long-term neighbourhood socioeconomic disadvantage and incidence of diabetes in adulthood. We used data from the prospective, population-based Young Finns Study to address these questions. METHODS We did a nationwide population-based cohort study in Finland using data from The Young Finns Study, which included 3467 participants aged 6-18 years followed up for over 30 years via eight repeated biomedical examinations and linkage to electronic health records. Participants were also linked to national grid data on neighbourhood disadvantage via their residential address from age 6-48 years. We used these data to examine differences in ten risk factors (dietary habits, physical activity, daily smoking, body-mass index, systolic blood pressure, fasting HDL cholesterol, fasting triglycerides, fasting plasma glucose, fasting serum insulin, and homoeostasis model assessment insulin sensitivity) from childhood (6-21 years) to adulthood (22-48 years) among individuals with high (&gt;0·5 SD above the national mean) and low (≥0·5 SD below the national mean) neighbourhood socioeconomic disadvantage, and the association of cumulative neighbourhood socioeconomic disadvantage with six cardiometabolic risk factors (obesity, high waist circumference, fatty liver, hypertension, carotid plaque, and left ventricle mass index) and diabetes by middle age (22-48 years). We used logistic and linear regression analyses to assess the effects of neighbourhood disadvantage on cardiometabolic and diabetes risk, controlling for potential confounders (age, sex, and individual socioeconomic disadvantage). FINDINGS We included data for 3002 individuals with risk factor assessment in childhood and adulthood. Of whom, 2048 underwent a clinical examination during the last follow-up at age 33-48 years. Differences in risk factors by neighbourhood socioeconomic disadvantage at the beginning of follow-up were small, but large differences emerged over the follow-up. High neighbourhood socioeconomic disadvantage was characterised by decreased fruit and vegetable intake as early as age 6 years, decreased physical activity, and increased prevalence of daily smoking from adolescence (12 years) onwards, and decreased homoeostasi…","author":[{"dropping-particle":"","family":"Kivimäki","given":"Mika","non-dropping-particle":"","parse-names":false,"suffix":""},{"dropping-particle":"","family":"Vahtera","given":"Jussi","non-dropping-particle":"","parse-names":false,"suffix":""},{"dropping-particle":"","family":"Tabák","given":"Adam G","non-dropping-particle":"","parse-names":false,"suffix":""},{"dropping-particle":"","family":"Halonen","given":"Jaana I","non-dropping-particle":"","parse-names":false,"suffix":""},{"dropping-particle":"","family":"Vineis","given":"Paolo","non-dropping-particle":"","parse-names":false,"suffix":""},{"dropping-particle":"","family":"Pentti","given":"Jaana","non-dropping-particle":"","parse-names":false,"suffix":""},{"dropping-particle":"","family":"Pahkala","given":"Katja","non-dropping-particle":"","parse-names":false,"suffix":""},{"dropping-particle":"","family":"Rovio","given":"Suvi","non-dropping-particle":"","parse-names":false,"suffix":""},{"dropping-particle":"","family":"Viikari","given":"Jorma","non-dropping-particle":"","parse-names":false,"suffix":""},{"dropping-particle":"","family":"Kähönen","given":"Mika","non-dropping-particle":"","parse-names":false,"suffix":""},{"dropping-particle":"","family":"Juonala","given":"Markus","non-dropping-particle":"","parse-names":false,"suffix":""},{"dropping-particle":"","family":"Ferrie","given":"Jane E","non-dropping-particle":"","parse-names":false,"suffix":""},{"dropping-particle":"","family":"Stringhini","given":"Silvia","non-dropping-particle":"","parse-names":false,"suffix":""},{"dropping-particle":"","family":"Raitakari","given":"Olli T","non-dropping-particle":"","parse-names":false,"suffix":""}],"container-title":"The Lancet. Public Health","id":"ITEM-2","issue":"8","issued":{"date-parts":[["2018","8"]]},"page":"e365-e373","publisher":"Elsevier","title":"Neighbourhood socioeconomic disadvantage, risk factors, and diabetes from childhood to middle age in the Young Finns Study: a cohort study.","type":"article-journal","volume":"3"},"uris":["http://www.mendeley.com/documents/?uuid=d42298d9-4834-39e0-b257-23544a0f928b"]}],"mendeley":{"formattedCitation":"(Algren et al., 2015; Kivimäki et al., 2018b)","manualFormatting":"(Algren et al., 2015; Kivimäki et al., 2018)","plainTextFormattedCitation":"(Algren et al., 2015; Kivimäki et al., 2018b)"},"properties":{"noteIndex":0},"schema":"https://github.com/citation-style-language/schema/raw/master/csl-citation.json"}</w:instrText>
      </w:r>
      <w:r w:rsidR="00B6296F">
        <w:fldChar w:fldCharType="separate"/>
      </w:r>
      <w:r w:rsidR="00B6296F" w:rsidRPr="00B6296F">
        <w:rPr>
          <w:noProof/>
        </w:rPr>
        <w:t>(Algren et al., 2015; Kivimäki et al., 2018)</w:t>
      </w:r>
      <w:r w:rsidR="00B6296F">
        <w:fldChar w:fldCharType="end"/>
      </w:r>
      <w:r w:rsidR="00B44F67" w:rsidRPr="00220EE3">
        <w:t xml:space="preserve">, independently of individual level factors. </w:t>
      </w:r>
      <w:r w:rsidR="00A277F2">
        <w:t>Thus</w:t>
      </w:r>
      <w:r w:rsidR="00212978">
        <w:t>,</w:t>
      </w:r>
      <w:r w:rsidR="00A277F2">
        <w:t xml:space="preserve"> it </w:t>
      </w:r>
      <w:r w:rsidR="00434527" w:rsidRPr="00220EE3">
        <w:t>has been suggested that</w:t>
      </w:r>
      <w:r w:rsidR="001B6F8B" w:rsidRPr="00220EE3">
        <w:t xml:space="preserve"> living in</w:t>
      </w:r>
      <w:r w:rsidR="004B40AD" w:rsidRPr="00220EE3">
        <w:t xml:space="preserve"> </w:t>
      </w:r>
      <w:r w:rsidR="00434527" w:rsidRPr="00220EE3">
        <w:t>affluent neighborhood</w:t>
      </w:r>
      <w:r w:rsidR="00240D45" w:rsidRPr="00220EE3">
        <w:t>s</w:t>
      </w:r>
      <w:r w:rsidR="00434527" w:rsidRPr="00220EE3">
        <w:t xml:space="preserve"> may </w:t>
      </w:r>
      <w:r w:rsidR="00DC5CEE" w:rsidRPr="00220EE3">
        <w:t>offer better possibilities to maintain</w:t>
      </w:r>
      <w:r w:rsidR="00492914" w:rsidRPr="00220EE3">
        <w:t xml:space="preserve"> healthy </w:t>
      </w:r>
      <w:r w:rsidR="00434527" w:rsidRPr="00220EE3">
        <w:t>dietary habit</w:t>
      </w:r>
      <w:r w:rsidR="00734A12" w:rsidRPr="00220EE3">
        <w:t>s</w:t>
      </w:r>
      <w:r w:rsidR="004F7D56" w:rsidRPr="00220EE3">
        <w:t xml:space="preserve"> </w:t>
      </w:r>
      <w:r w:rsidR="00DC5CEE" w:rsidRPr="00220EE3">
        <w:t>than living in low</w:t>
      </w:r>
      <w:r w:rsidR="00D36D7B" w:rsidRPr="00220EE3">
        <w:t>-</w:t>
      </w:r>
      <w:r w:rsidR="00DC5CEE" w:rsidRPr="00220EE3">
        <w:t xml:space="preserve">SES neighborhoods </w:t>
      </w:r>
      <w:r w:rsidR="004F7D56" w:rsidRPr="00220EE3">
        <w:fldChar w:fldCharType="begin" w:fldLock="1"/>
      </w:r>
      <w:r w:rsidR="00154AB2">
        <w:instrText>ADDIN CSL_CITATION {"citationItems":[{"id":"ITEM-1","itemData":{"DOI":"10.1016/j.micinf.2011.07.011.Innate","ISBN":"6176321972","ISSN":"1938-3207","PMID":"18541581","abstract":"BACKGROUND Socioeconomic and racial-ethnic disparities in health status across the United States are large and persistent. Obesity rates are rising faster in black and Hispanic populations than in white populations, and they foreshadow even greater disparities in chronic illnesses such as diabetes and cardiovascular disease in years to come. Factors that influence dietary intake of fruit and vegetables in these populations are only partly understood. OBJECTIVES We examined associations between fruit and vegetable intake and neighborhood socioeconomic status (SES), analyzed whether neighborhood SES explains racial differences in intake, and explored the extent to which neighborhood SES has differential effects by race-ethnicity of US adults. DESIGN Using geocoded residential addresses from the Third National Health and Nutrition Examination Survey, we merged individual-level data with county and census tract-level US Census data. We estimated 3-level hierarchical models predicting fruit and vegetable intake with individual characteristics and an index of neighborhood SES as explanatory variables. RESULTS Neighborhood SES was positively associated with fruit and vegetable intake: a 1-SD increase in the neighborhood SES index was associated with consumption of nearly 2 additional servings of fruit and vegetables per week. Neighborhood SES explained some of the black-white disparity in fruit and vegetable intake and was differentially associated with fruit and vegetable intake among whites, blacks, and Mexican Americans. CONCLUSIONS The positive association of neighborhood SES with fruit and vegetable intake is one important pathway through which the social environment of neighborhoods affects population health and nutrition for whites, blacks, and Hispanics in the United States.","author":[{"dropping-particle":"","family":"Dubowitz","given":"Tamara","non-dropping-particle":"","parse-names":false,"suffix":""},{"dropping-particle":"","family":"Heron","given":"Melonie","non-dropping-particle":"","parse-names":false,"suffix":""},{"dropping-particle":"","family":"Bird","given":"Chloe E","non-dropping-particle":"","parse-names":false,"suffix":""},{"dropping-particle":"","family":"Lurie","given":"Nicole","non-dropping-particle":"","parse-names":false,"suffix":""},{"dropping-particle":"","family":"Finch","given":"Brian K","non-dropping-particle":"","parse-names":false,"suffix":""},{"dropping-particle":"","family":"Basurto-Dávila","given":"Ricardo","non-dropping-particle":"","parse-names":false,"suffix":""},{"dropping-particle":"","family":"Hale","given":"Lauren","non-dropping-particle":"","parse-names":false,"suffix":""},{"dropping-particle":"","family":"Escarce","given":"José J","non-dropping-particle":"","parse-names":false,"suffix":""}],"container-title":"The American Journal of Clinical Nutrition","id":"ITEM-1","issue":"6","issued":{"date-parts":[["2008","6"]]},"page":"1883-1891","publisher":"NIH Public Access","title":"Neighborhood socioeconomic status and fruit and vegetable intake among whites, blacks, and Mexican Americans in the United States.","type":"article-journal","volume":"87"},"uris":["http://www.mendeley.com/documents/?uuid=f9d1be26-2e92-4246-8af1-625d8b4e1d45"]},{"id":"ITEM-2","itemData":{"DOI":"10.1136/jech.2006.051680","ISSN":"0143-005X","PMID":"17496257","abstract":"OBJECTIVE To determine whether socioeconomic and food-related physical characteristics of the neighbourhood are associated with body mass index (BMI; kg/m(2)) independently of individual-level sociodemographic and behavioural characteristics. DESIGN AND METHODS Observational study using (1) individual-level data previously gathered in five cross-sectional surveys conducted by the Stanford Heart Disease Prevention Program between 1979 and 1990 and (2) neighbourhood-level data from (a) the census to describe socioeconomic characteristics and (b) data obtained from government and commercial sources to describe exposure to different types of retail food stores as measured by store proximity, and count of stores per square mile. Data were analysed using multilevel modelling procedures. The setting was 82 neighbourhoods in agricultural regions of California. PARTICIPANTS 7595 adults, aged 25-74 years. RESULTS After adjusting for age, gender, ethnicity, individual-level socioeconomic status, smoking, physical activity and nutrition knowledge, it was found that (1) adults who lived in low socioeconomic neighbourhoods had a higher mean BMI than adults who lived in high socioeconomic neighbourhoods; (2) higher neighbourhood density of small grocery stores was associated with higher BMI among women; and (3) closer proximity to chain supermarkets was associated with higher BMI among women. CONCLUSION Living in low socioeconomic neighbourhoods, and in environments where healthy food is not readily available, is found to be associated with increased obesity risk. Unlike other studies which examined populations in other parts of the US, a positive association between living close to supermarkets and reduced obesity risk was not found in this study. A better understanding of the mechanisms by which neighbourhood physical characteristics influence obesity risk is needed.","author":[{"dropping-particle":"","family":"Wang","given":"May C","non-dropping-particle":"","parse-names":false,"suffix":""},{"dropping-particle":"","family":"Kim","given":"Soowon","non-dropping-particle":"","parse-names":false,"suffix":""},{"dropping-particle":"","family":"Gonzalez","given":"Alma A","non-dropping-particle":"","parse-names":false,"suffix":""},{"dropping-particle":"","family":"MacLeod","given":"Kara E","non-dropping-particle":"","parse-names":false,"suffix":""},{"dropping-particle":"","family":"Winkleby","given":"Marilyn A","non-dropping-particle":"","parse-names":false,"suffix":""}],"container-title":"Journal of Epidemiology and Community Health","id":"ITEM-2","issue":"6","issued":{"date-parts":[["2007","6"]]},"page":"491-498","publisher":"BMJ Group","title":"Socioeconomic and food-related physical characteristics of the neighbourhood environment are associated with body mass index.","type":"article-journal","volume":"61"},"uris":["http://www.mendeley.com/documents/?uuid=5ebd3b89-db9b-4280-b95c-c193e79ce2e0"]}],"mendeley":{"formattedCitation":"(Dubowitz et al., 2008; Wang et al., 2007)","plainTextFormattedCitation":"(Dubowitz et al., 2008; Wang et al., 2007)","previouslyFormattedCitation":"(Dubowitz et al., 2008; Wang et al., 2007)"},"properties":{"noteIndex":0},"schema":"https://github.com/citation-style-language/schema/raw/master/csl-citation.json"}</w:instrText>
      </w:r>
      <w:r w:rsidR="004F7D56" w:rsidRPr="00220EE3">
        <w:fldChar w:fldCharType="separate"/>
      </w:r>
      <w:r w:rsidR="00C409D1" w:rsidRPr="00C409D1">
        <w:rPr>
          <w:noProof/>
        </w:rPr>
        <w:t>(Dubowitz et al., 2008; Wang et al., 2007)</w:t>
      </w:r>
      <w:r w:rsidR="004F7D56" w:rsidRPr="00220EE3">
        <w:fldChar w:fldCharType="end"/>
      </w:r>
      <w:r w:rsidR="006E7286" w:rsidRPr="00220EE3">
        <w:t xml:space="preserve">. </w:t>
      </w:r>
    </w:p>
    <w:p w14:paraId="2271DBB4" w14:textId="77777777" w:rsidR="00507C27" w:rsidRPr="00220EE3" w:rsidRDefault="00507C27" w:rsidP="008C1A3C">
      <w:pPr>
        <w:spacing w:after="0" w:line="360" w:lineRule="auto"/>
      </w:pPr>
    </w:p>
    <w:p w14:paraId="560977B7" w14:textId="64B8CEB6" w:rsidR="007F174B" w:rsidRPr="00EB1B47" w:rsidRDefault="00212978" w:rsidP="00BF5DF5">
      <w:pPr>
        <w:spacing w:after="0" w:line="360" w:lineRule="auto"/>
      </w:pPr>
      <w:r>
        <w:lastRenderedPageBreak/>
        <w:t>T</w:t>
      </w:r>
      <w:r w:rsidR="006E7286" w:rsidRPr="00220EE3">
        <w:t xml:space="preserve">he evidence supporting </w:t>
      </w:r>
      <w:r w:rsidR="00EA5D11" w:rsidRPr="00220EE3">
        <w:t xml:space="preserve">differing </w:t>
      </w:r>
      <w:r w:rsidR="00E54DD6" w:rsidRPr="00220EE3">
        <w:t xml:space="preserve">food consumption by area of residence </w:t>
      </w:r>
      <w:r w:rsidR="006E7286" w:rsidRPr="00220EE3">
        <w:t xml:space="preserve">is mixed </w:t>
      </w:r>
      <w:r w:rsidR="006E7286" w:rsidRPr="00220EE3">
        <w:fldChar w:fldCharType="begin" w:fldLock="1"/>
      </w:r>
      <w:r w:rsidR="00154AB2">
        <w:instrText>ADDIN CSL_CITATION {"citationItems":[{"id":"ITEM-1","itemData":{"DOI":"10.1371/journal.pone.0139297","PMID":"26506251","abstract":"Background: There has been increasing interest in neighbourhoods’ influence on individuals’ health-risk behaviours, such as smoking, alcohol consumption, physical activity and diet. The aim of this review was to systematically review recent studies on health-risk behaviour among adults who live in deprived neighbourhoods compared with those who live in non-deprived neighbourhoods and to summarise what kind of operationalisations of neighbourhood deprivation that were used in the studies. Methods: PRISMA guidelines for systematic reviews were followed. Systematic searches were performed in PubMed, Embase, Web of Science and Sociological Abstracts using relevant search terms, Boolean operators, and truncation, and reference lists were scanned. Quantitative observational studies that examined health-risk behaviour in deprived neighbourhoods compared with non-deprived neighbourhoods were eligible for inclusion. Results: The inclusion criteria were met by 22 studies. The available literature showed a positive association between smoking and physical inactivity and living in deprived neighbourhoods compared with non-deprived neighbourhoods. In regard to low fruit and vegetable consumption and alcohol consumption, the results were ambiguous, and no clear differences were found. Numerous different operationalisations of neighbourhood deprivation were used in the studies. Conclusion: Substantial evidence indicates that future health interventions in deprived neighbourhoods should focus on smoking and physical inactivity. We suggest that alcohol interventions should be population based rather than based on the specific needs of deprived neighbourhoods. More research is needed on fruit and vegetable consumption. In future studies, the lack of a uniform operationalisation of neighbourhood deprivation must be addressed. [ABSTRACT FROM AUTHOR]","author":[{"dropping-particle":"","family":"Algren","given":"Maria Holst","non-dropping-particle":"","parse-names":false,"suffix":""},{"dropping-particle":"","family":"Bak","given":"Carsten Kronborg","non-dropping-particle":"","parse-names":false,"suffix":""},{"dropping-particle":"","family":"Berg-Beckhoff","given":"Gabriele","non-dropping-particle":"","parse-names":false,"suffix":""},{"dropping-particle":"","family":"Andersen","given":"Pernille Tanggaard","non-dropping-particle":"","parse-names":false,"suffix":""}],"container-title":"PLoS ONE","id":"ITEM-1","issued":{"date-parts":[["2015"]]},"page":"e0139297","title":"Health-risk behaviour in deprived neighbourhoods compared with non-deprived neighbourhoods: A systematic literature review of quantitative observational studies","type":"article"},"uris":["http://www.mendeley.com/documents/?uuid=ba335862-661b-4026-aaa6-36839ef69022"]}],"mendeley":{"formattedCitation":"(Algren et al., 2015)","plainTextFormattedCitation":"(Algren et al., 2015)","previouslyFormattedCitation":"(Algren et al., 2015)"},"properties":{"noteIndex":0},"schema":"https://github.com/citation-style-language/schema/raw/master/csl-citation.json"}</w:instrText>
      </w:r>
      <w:r w:rsidR="006E7286" w:rsidRPr="00220EE3">
        <w:fldChar w:fldCharType="separate"/>
      </w:r>
      <w:r w:rsidR="00C12E6F" w:rsidRPr="00C12E6F">
        <w:rPr>
          <w:noProof/>
        </w:rPr>
        <w:t>(Algren et al., 2015)</w:t>
      </w:r>
      <w:r w:rsidR="006E7286" w:rsidRPr="00220EE3">
        <w:fldChar w:fldCharType="end"/>
      </w:r>
      <w:r w:rsidR="00D36D7B" w:rsidRPr="00220EE3">
        <w:t xml:space="preserve">. </w:t>
      </w:r>
      <w:r w:rsidR="006E7286" w:rsidRPr="00220EE3">
        <w:t>Some studies have reported</w:t>
      </w:r>
      <w:r w:rsidR="00434527" w:rsidRPr="00220EE3">
        <w:t xml:space="preserve"> </w:t>
      </w:r>
      <w:r w:rsidR="001C417B" w:rsidRPr="00220EE3">
        <w:t>higher</w:t>
      </w:r>
      <w:r w:rsidR="00434527" w:rsidRPr="00220EE3">
        <w:t xml:space="preserve"> fruit and vegetable intake</w:t>
      </w:r>
      <w:r w:rsidR="00F040DD" w:rsidRPr="00220EE3">
        <w:t xml:space="preserve"> </w:t>
      </w:r>
      <w:r w:rsidR="00F040DD" w:rsidRPr="00220EE3">
        <w:fldChar w:fldCharType="begin" w:fldLock="1"/>
      </w:r>
      <w:r w:rsidR="00154AB2">
        <w:instrText>ADDIN CSL_CITATION {"citationItems":[{"id":"ITEM-1","itemData":{"DOI":"10.1186/s12966-015-0229-x","ISSN":"1479-5868","PMID":"25997451","abstract":"BACKGROUND Low fruit and vegetable consumption is a risk factor for poor health. Studies have shown consumption varies across neighbourhoods, with lower intakes in disadvantaged neighbourhoods. However, findings are inconsistent, suggesting that socio-spatial inequities in diet could be context-specific, highlighting a need for international comparisons across contexts. This study examined variations in fruit and vegetable consumption among adults from neighbourhoods of varying socioeconomic status (SES) across seven countries (Australia, Canada, Netherlands, New Zealand, Portugal, Scotland, US). METHODS Data from seven existing studies, identified through literature searches and knowledge of co-authors, which collected measures of both neighbourhood-level SES and fruit and vegetable consumption were used. Logistic regression was used to examine associations between neighbourhood-level SES and binary fruit and vegetable consumption separately, adjusting for neighbourhood clustering and age, gender and education. As much as possible, variables were treated in a consistent manner in the analysis for each study to allow the identification of patterns of association within study and to examine differences in the associations across studies. RESULTS Adjusted analyses showed evidence of an association between neighbourhood-level SES and fruit consumption in Canada, New Zealand and Scotland, with increased odds of greater fruit intake in higher SES neighbourhoods. In Australia, Canada, New Zealand and Portugal, those residing in higher SES neighbourhoods had increased odds of greater vegetable intake. The other studies showed no evidence of a difference by neighbourhood-level SES. CONCLUSIONS Acknowledging discrepancies across studies in terms of sampling, measures, and definitions of neighbourhoods, this opportunistic study, which treated data in a consistent manner, suggests that associations between diet and neighbourhood-level socioeconomic status vary across countries. Neighbourhood socioeconomic disadvantage may differentially impact on access to resources in which produce is available in different countries. Neighbourhood environments have the potential to influence behaviour and further research is required to examine the context in which these associations arise.","author":[{"dropping-particle":"","family":"Ball","given":"Kylie","non-dropping-particle":"","parse-names":false,"suffix":""},{"dropping-particle":"","family":"Lamb","given":"Karen E","non-dropping-particle":"","parse-names":false,"suffix":""},{"dropping-particle":"","family":"Costa","given":"Claudia","non-dropping-particle":"","parse-names":false,"suffix":""},{"dropping-particle":"","family":"Cutumisu","given":"Nicoleta","non-dropping-particle":"","parse-names":false,"suffix":""},{"dropping-particle":"","family":"Ellaway","given":"Anne","non-dropping-particle":"","parse-names":false,"suffix":""},{"dropping-particle":"","family":"Kamphuis","given":"Carlijn B M","non-dropping-particle":"","parse-names":false,"suffix":""},{"dropping-particle":"","family":"Mentz","given":"Graciela","non-dropping-particle":"","parse-names":false,"suffix":""},{"dropping-particle":"","family":"Pearce","given":"Jamie","non-dropping-particle":"","parse-names":false,"suffix":""},{"dropping-particle":"","family":"Santana","given":"Paula","non-dropping-particle":"","parse-names":false,"suffix":""},{"dropping-particle":"","family":"Santos","given":"Rita","non-dropping-particle":"","parse-names":false,"suffix":""},{"dropping-particle":"","family":"Schulz","given":"Amy J","non-dropping-particle":"","parse-names":false,"suffix":""},{"dropping-particle":"","family":"Spence","given":"John C","non-dropping-particle":"","parse-names":false,"suffix":""},{"dropping-particle":"","family":"Thornton","given":"Lukar E","non-dropping-particle":"","parse-names":false,"suffix":""},{"dropping-particle":"","family":"Lenthe","given":"Frank J","non-dropping-particle":"van","parse-names":false,"suffix":""},{"dropping-particle":"","family":"Zenk","given":"Shannon N","non-dropping-particle":"","parse-names":false,"suffix":""}],"container-title":"The International Journal of Behavioral Nutrition and Physical Activity","id":"ITEM-1","issued":{"date-parts":[["2015","5"]]},"page":"68","publisher":"BioMed Central","title":"Neighbourhood socioeconomic disadvantage and fruit and vegetable consumption: a seven countries comparison.","type":"article-journal","volume":"12"},"uris":["http://www.mendeley.com/documents/?uuid=ee9552dd-0e80-49a0-8d6f-86698a112c97"]}],"mendeley":{"formattedCitation":"(Ball et al., 2015)","plainTextFormattedCitation":"(Ball et al., 2015)","previouslyFormattedCitation":"(Ball et al., 2015)"},"properties":{"noteIndex":0},"schema":"https://github.com/citation-style-language/schema/raw/master/csl-citation.json"}</w:instrText>
      </w:r>
      <w:r w:rsidR="00F040DD" w:rsidRPr="00220EE3">
        <w:fldChar w:fldCharType="separate"/>
      </w:r>
      <w:r w:rsidR="00C12E6F" w:rsidRPr="00C12E6F">
        <w:rPr>
          <w:noProof/>
        </w:rPr>
        <w:t>(Ball et al., 2015)</w:t>
      </w:r>
      <w:r w:rsidR="00F040DD" w:rsidRPr="00220EE3">
        <w:fldChar w:fldCharType="end"/>
      </w:r>
      <w:r w:rsidR="00A32A9C">
        <w:t>,</w:t>
      </w:r>
      <w:r w:rsidR="00F040DD" w:rsidRPr="00220EE3">
        <w:t xml:space="preserve"> and </w:t>
      </w:r>
      <w:r w:rsidR="00180C54" w:rsidRPr="00220EE3">
        <w:t>higher healthy eating index score</w:t>
      </w:r>
      <w:r w:rsidR="00050EC0" w:rsidRPr="00220EE3">
        <w:t xml:space="preserve"> based on food frequency questionnaire</w:t>
      </w:r>
      <w:r w:rsidR="00F040DD" w:rsidRPr="00220EE3">
        <w:t xml:space="preserve"> </w:t>
      </w:r>
      <w:r w:rsidR="00F040DD" w:rsidRPr="00220EE3">
        <w:fldChar w:fldCharType="begin" w:fldLock="1"/>
      </w:r>
      <w:r w:rsidR="00154AB2">
        <w:instrText>ADDIN CSL_CITATION {"citationItems":[{"id":"ITEM-1","itemData":{"DOI":"10.1016/j.ypmed.2015.11.021","ISSN":"1096-0260","PMID":"26657348","abstract":"BACKGROUND Higher socioeconomic status (SES) has been linked with higher-quality diets. New GIS methods allow for geographic mapping of diet quality at a very granular level. OBJECTIVE To examine the geographic distribution of two measures of diet quality: Healthy Eating Index (HEI 2005 and HEI 2010) in relation to residential property values in Seattle-King County. METHODS The Seattle Obesity Study (SOS) collected data from a population-based sample of King County adults in 2008-09. Socio-demographic data were obtained by 20-min telephone survey. Dietary data were obtained from food frequency questionnaires (FFQs). Home addresses were geocoded to the tax parcel and residential property values were obtained from the King County tax assessor. Multivariable regression analyses using 1116 adults tested associations between SES variables and diet quality measured (HEI scores). RESULTS Residential property values, education, and incomes were associated with higher HEI scores in bivariate analyses. Property values were not collinear with either education or income. In adjusted multivariable models, education and residential property were better associated with HEI, compared to than income. Mapping of HEI-2005 and HEI-2010 at the census block level illustrated the geographic distribution of diet quality across Seattle-King County. CONCLUSION The use of residential property values, an objective measure of SES, allowed for the first visual exploration of diet quality at high spatial resolution: the census block level.","author":[{"dropping-particle":"","family":"Drewnowski","given":"Adam","non-dropping-particle":"","parse-names":false,"suffix":""},{"dropping-particle":"","family":"Aggarwal","given":"Anju","non-dropping-particle":"","parse-names":false,"suffix":""},{"dropping-particle":"","family":"Cook","given":"Andrea","non-dropping-particle":"","parse-names":false,"suffix":""},{"dropping-particle":"","family":"Stewart","given":"Orion","non-dropping-particle":"","parse-names":false,"suffix":""},{"dropping-particle":"","family":"Moudon","given":"Anne Vernez","non-dropping-particle":"","parse-names":false,"suffix":""}],"container-title":"Preventive Medicine","id":"ITEM-1","issued":{"date-parts":[["2016","2"]]},"page":"46-55","title":"Geographic disparities in Healthy Eating Index scores (HEI-2005 and 2010) by residential property values: Findings from Seattle Obesity Study (SOS).","type":"article-journal","volume":"83"},"uris":["http://www.mendeley.com/documents/?uuid=42de5e9b-4a50-4b11-a790-c04f6e17c10e"]}],"mendeley":{"formattedCitation":"(Drewnowski et al., 2016)","plainTextFormattedCitation":"(Drewnowski et al., 2016)","previouslyFormattedCitation":"(Drewnowski et al., 2016)"},"properties":{"noteIndex":0},"schema":"https://github.com/citation-style-language/schema/raw/master/csl-citation.json"}</w:instrText>
      </w:r>
      <w:r w:rsidR="00F040DD" w:rsidRPr="00220EE3">
        <w:fldChar w:fldCharType="separate"/>
      </w:r>
      <w:r w:rsidR="00C12E6F" w:rsidRPr="00C12E6F">
        <w:rPr>
          <w:noProof/>
        </w:rPr>
        <w:t>(Drewnowski et al., 2016)</w:t>
      </w:r>
      <w:r w:rsidR="00F040DD" w:rsidRPr="00220EE3">
        <w:fldChar w:fldCharType="end"/>
      </w:r>
      <w:r w:rsidR="00F040DD" w:rsidRPr="00220EE3">
        <w:t xml:space="preserve"> </w:t>
      </w:r>
      <w:r w:rsidR="00492914" w:rsidRPr="00220EE3">
        <w:t>among</w:t>
      </w:r>
      <w:r w:rsidR="00434527" w:rsidRPr="00220EE3">
        <w:t xml:space="preserve"> </w:t>
      </w:r>
      <w:r w:rsidR="00FB6D95" w:rsidRPr="00220EE3">
        <w:t xml:space="preserve">people living in </w:t>
      </w:r>
      <w:r w:rsidR="00434527" w:rsidRPr="00220EE3">
        <w:t>high</w:t>
      </w:r>
      <w:r w:rsidR="001B6F8B" w:rsidRPr="00220EE3">
        <w:t xml:space="preserve"> </w:t>
      </w:r>
      <w:r w:rsidR="00434527" w:rsidRPr="00220EE3">
        <w:t>SES neighborhoods</w:t>
      </w:r>
      <w:r w:rsidR="00FB6D95" w:rsidRPr="00220EE3">
        <w:t xml:space="preserve">, </w:t>
      </w:r>
      <w:r w:rsidR="00910E41" w:rsidRPr="00220EE3">
        <w:t>whereas</w:t>
      </w:r>
      <w:r w:rsidR="00FB6D95" w:rsidRPr="00220EE3">
        <w:t xml:space="preserve"> o</w:t>
      </w:r>
      <w:r w:rsidR="00D36D7B" w:rsidRPr="00220EE3">
        <w:t>ther studies have</w:t>
      </w:r>
      <w:r w:rsidR="00910E41" w:rsidRPr="00220EE3">
        <w:t xml:space="preserve"> shown opposite trends for fruit and vegetable consumption among Western</w:t>
      </w:r>
      <w:r w:rsidR="009F140F" w:rsidRPr="00220EE3">
        <w:t xml:space="preserve"> </w:t>
      </w:r>
      <w:r w:rsidR="00B44F67" w:rsidRPr="00220EE3">
        <w:t xml:space="preserve">women living in deprived neighborhoods </w:t>
      </w:r>
      <w:r w:rsidR="00F30E21" w:rsidRPr="00220EE3">
        <w:fldChar w:fldCharType="begin" w:fldLock="1"/>
      </w:r>
      <w:r w:rsidR="00154AB2">
        <w:instrText>ADDIN CSL_CITATION {"citationItems":[{"id":"ITEM-1","itemData":{"DOI":"10.1186/1471-2458-13-1103","ISSN":"1471-2458","PMID":"24289151","abstract":"BACKGROUND Most studies of the association between neighborhood socioeconomic deprivation and individual lifestyles leading to cardiovascular disease focused on a single cardiovascular risk factor. The concomitant assessment of more than one risk factor may provide clues to specific mechanisms linking neighborhood disadvantage to individual lifestyles. We investigated the association of neighborhood deprivation with fruits and vegetables consumption and leisure-time physical activity in adults living in an urban center in Portugal. METHODS In 1999-2003, we assembled a random sample of 2081 adult residents in the city of Porto. Data on sociodemographic characteristics were collected by trained interviewers using structured questionnaires. Fruits and vegetables consumption was estimated using a validated 82-item semiquantitative food frequency questionnaire covering the previous year and expressed in portions per day. Physical activity was evaluated using a questionnaire exploring leisure-time activities over the previous year and expressed in metabolic equivalents (MET).minute/day. Self-reported address was used to place individuals in neighborhoods. Neighborhoods' socioeconomic characterization was based on aggregated data at the census block level provided by the 2001 National Census. Latent class analysis models were used to identify three discrete socioeconomic classes of neighborhoods. Random effects models with random intercepts at the neighborhood level were used to explore clustering and contextual effects of neighborhood deprivation on each of the outcomes. RESULTS We found evidence of neighborhood clustering of fruits and vegetables consumption and leisure-time physical activity that persisted after adjustment for neighborhood deprivation only among women. Women living in the most deprived neighborhoods presented a consumption increase of 0.43 (95% CI: -0.033 to 0.89) portions of fruits and vegetables per day and a decrease in leisure-time physical activity of 47.8 (95% CI: -91.8 to 1.41) MET.minute/day, when compared to those living in the most affluent neighborhoods. Among men, no contextual neighborhood deprivation effects were observed. CONCLUSION Overall, neighborhood deprivation had a small effect on the consumption of fruits and vegetables and leisure-time physical activity. Neighborhood factors other than socioeconomic deprivation may still impact on the studied outcomes among women. This study provides relevant information for the desi…","author":[{"dropping-particle":"","family":"Alves","given":"Luís","non-dropping-particle":"","parse-names":false,"suffix":""},{"dropping-particle":"","family":"Silva","given":"Susana","non-dropping-particle":"","parse-names":false,"suffix":""},{"dropping-particle":"","family":"Severo","given":"Milton","non-dropping-particle":"","parse-names":false,"suffix":""},{"dropping-particle":"","family":"Costa","given":"Diogo","non-dropping-particle":"","parse-names":false,"suffix":""},{"dropping-particle":"","family":"Pina","given":"Maria Fátima","non-dropping-particle":"","parse-names":false,"suffix":""},{"dropping-particle":"","family":"Barros","given":"Henrique","non-dropping-particle":"","parse-names":false,"suffix":""},{"dropping-particle":"","family":"Azevedo","given":"Ana","non-dropping-particle":"","parse-names":false,"suffix":""}],"container-title":"BMC Public Health","id":"ITEM-1","issued":{"date-parts":[["2013","12"]]},"page":"1103","publisher":"BioMed Central","title":"Association between neighborhood deprivation and fruits and vegetables consumption and leisure-time physical activity: a cross-sectional multilevel analysis.","type":"article-journal","volume":"13"},"uris":["http://www.mendeley.com/documents/?uuid=40e4e2be-62f2-4dd5-aae3-b9ef1d4516a6"]}],"mendeley":{"formattedCitation":"(Alves et al., 2013)","plainTextFormattedCitation":"(Alves et al., 2013)","previouslyFormattedCitation":"(Alves et al., 2013)"},"properties":{"noteIndex":0},"schema":"https://github.com/citation-style-language/schema/raw/master/csl-citation.json"}</w:instrText>
      </w:r>
      <w:r w:rsidR="00F30E21" w:rsidRPr="00220EE3">
        <w:fldChar w:fldCharType="separate"/>
      </w:r>
      <w:r w:rsidR="00C12E6F" w:rsidRPr="00C12E6F">
        <w:rPr>
          <w:noProof/>
        </w:rPr>
        <w:t>(Alves et al., 2013)</w:t>
      </w:r>
      <w:r w:rsidR="00F30E21" w:rsidRPr="00220EE3">
        <w:fldChar w:fldCharType="end"/>
      </w:r>
      <w:r w:rsidR="00FB6D95" w:rsidRPr="00220EE3">
        <w:t xml:space="preserve">. </w:t>
      </w:r>
      <w:r w:rsidR="00492914" w:rsidRPr="00220EE3">
        <w:t>Yet other</w:t>
      </w:r>
      <w:r w:rsidR="00E647D3" w:rsidRPr="00220EE3">
        <w:t xml:space="preserve"> studies have </w:t>
      </w:r>
      <w:r w:rsidR="00FB6D95" w:rsidRPr="00220EE3">
        <w:t>suggested that there is no</w:t>
      </w:r>
      <w:r w:rsidR="00375763" w:rsidRPr="00220EE3">
        <w:t xml:space="preserve"> clear</w:t>
      </w:r>
      <w:r w:rsidR="000247C8" w:rsidRPr="00220EE3">
        <w:t xml:space="preserve"> </w:t>
      </w:r>
      <w:r w:rsidR="00895C90" w:rsidRPr="00220EE3">
        <w:t xml:space="preserve">association </w:t>
      </w:r>
      <w:r w:rsidR="000247C8" w:rsidRPr="00220EE3">
        <w:t xml:space="preserve">between </w:t>
      </w:r>
      <w:r w:rsidR="00F040DD" w:rsidRPr="00220EE3">
        <w:t>neighborhood</w:t>
      </w:r>
      <w:r w:rsidR="000247C8" w:rsidRPr="00220EE3">
        <w:t xml:space="preserve"> SES and vegetable </w:t>
      </w:r>
      <w:r w:rsidR="00895C90" w:rsidRPr="00220EE3">
        <w:t>consumption</w:t>
      </w:r>
      <w:r w:rsidR="00F27BE4" w:rsidRPr="00220EE3">
        <w:t xml:space="preserve"> </w:t>
      </w:r>
      <w:r w:rsidR="00F27BE4" w:rsidRPr="00220EE3">
        <w:fldChar w:fldCharType="begin" w:fldLock="1"/>
      </w:r>
      <w:r w:rsidR="00154AB2">
        <w:instrText>ADDIN CSL_CITATION {"citationItems":[{"id":"ITEM-1","itemData":{"DOI":"10.1017/S1368980009004911","ISSN":"1368-9800","PMID":"19243671","abstract":"OBJECTIVE The present study examined the association between area socio-economic status (SES) and food purchasing behaviour. DESIGN Data were collected by mail survey (64.2 % response rate). Area SES was indicated by the proportion of households in each area earning less than $AUS 400 per week, and individual-level socio-economic position was measured using education, occupation and household income. Food purchasing was measured on the basis of compliance with dietary guideline recommendations (for grocery foods) and variety of fruit and vegetable purchase. Multilevel regression analysis examined the association between area SES and food purchase after adjustment for individual-level demographic (age, sex, household composition) and socio-economic factors. SETTING Melbourne city, Australia, 2003. SUBJECTS Residents of 2564 households located in fifty small areas. RESULTS Residents of low-SES areas were significantly less likely than their counterparts in advantaged areas to purchase grocery foods that were high in fibre and low in fat, salt and sugar; and they purchased a smaller variety of fruits. There was no evidence of an association between area SES and vegetable variety. CONCLUSIONS In Melbourne, area SES was associated with some food purchasing behaviours independent of individual-level factors, suggesting that areas in this city may be differentiated on the basis of food availability, accessibility and affordability, making the purchase of some types of foods more difficult in disadvantaged areas.","author":[{"dropping-particle":"","family":"Turrell","given":"Gavin","non-dropping-particle":"","parse-names":false,"suffix":""},{"dropping-particle":"","family":"Bentley","given":"Rebecca","non-dropping-particle":"","parse-names":false,"suffix":""},{"dropping-particle":"","family":"Thomas","given":"Lyndal R","non-dropping-particle":"","parse-names":false,"suffix":""},{"dropping-particle":"","family":"Jolley","given":"Damien","non-dropping-particle":"","parse-names":false,"suffix":""},{"dropping-particle":"","family":"Subramanian","given":"SV","non-dropping-particle":"","parse-names":false,"suffix":""},{"dropping-particle":"","family":"Kavanagh","given":"Anne M","non-dropping-particle":"","parse-names":false,"suffix":""}],"container-title":"Public Health Nutrition","id":"ITEM-1","issue":"11","issued":{"date-parts":[["2009","11"]]},"page":"2074-2083","title":"A multilevel study of area socio-economic status and food purchasing behaviour","type":"article-journal","volume":"12"},"uris":["http://www.mendeley.com/documents/?uuid=2a1d5eb5-1129-42e7-a61a-1497e64bfbec"]},{"id":"ITEM-2","itemData":{"DOI":"10.1371/journal.pone.0139297","PMID":"26506251","abstract":"Background: There has been increasing interest in neighbourhoods’ influence on individuals’ health-risk behaviours, such as smoking, alcohol consumption, physical activity and diet. The aim of this review was to systematically review recent studies on health-risk behaviour among adults who live in deprived neighbourhoods compared with those who live in non-deprived neighbourhoods and to summarise what kind of operationalisations of neighbourhood deprivation that were used in the studies. Methods: PRISMA guidelines for systematic reviews were followed. Systematic searches were performed in PubMed, Embase, Web of Science and Sociological Abstracts using relevant search terms, Boolean operators, and truncation, and reference lists were scanned. Quantitative observational studies that examined health-risk behaviour in deprived neighbourhoods compared with non-deprived neighbourhoods were eligible for inclusion. Results: The inclusion criteria were met by 22 studies. The available literature showed a positive association between smoking and physical inactivity and living in deprived neighbourhoods compared with non-deprived neighbourhoods. In regard to low fruit and vegetable consumption and alcohol consumption, the results were ambiguous, and no clear differences were found. Numerous different operationalisations of neighbourhood deprivation were used in the studies. Conclusion: Substantial evidence indicates that future health interventions in deprived neighbourhoods should focus on smoking and physical inactivity. We suggest that alcohol interventions should be population based rather than based on the specific needs of deprived neighbourhoods. More research is needed on fruit and vegetable consumption. In future studies, the lack of a uniform operationalisation of neighbourhood deprivation must be addressed. [ABSTRACT FROM AUTHOR]","author":[{"dropping-particle":"","family":"Algren","given":"Maria Holst","non-dropping-particle":"","parse-names":false,"suffix":""},{"dropping-particle":"","family":"Bak","given":"Carsten Kronborg","non-dropping-particle":"","parse-names":false,"suffix":""},{"dropping-particle":"","family":"Berg-Beckhoff","given":"Gabriele","non-dropping-particle":"","parse-names":false,"suffix":""},{"dropping-particle":"","family":"Andersen","given":"Pernille Tanggaard","non-dropping-particle":"","parse-names":false,"suffix":""}],"container-title":"PLoS ONE","id":"ITEM-2","issued":{"date-parts":[["2015"]]},"page":"e0139297","title":"Health-risk behaviour in deprived neighbourhoods compared with non-deprived neighbourhoods: A systematic literature review of quantitative observational studies","type":"article"},"uris":["http://www.mendeley.com/documents/?uuid=ba335862-661b-4026-aaa6-36839ef69022"]}],"mendeley":{"formattedCitation":"(Algren et al., 2015; Turrell et al., 2009)","plainTextFormattedCitation":"(Algren et al., 2015; Turrell et al., 2009)","previouslyFormattedCitation":"(Algren et al., 2015; Turrell et al., 2009)"},"properties":{"noteIndex":0},"schema":"https://github.com/citation-style-language/schema/raw/master/csl-citation.json"}</w:instrText>
      </w:r>
      <w:r w:rsidR="00F27BE4" w:rsidRPr="00220EE3">
        <w:fldChar w:fldCharType="separate"/>
      </w:r>
      <w:r w:rsidR="00C12E6F" w:rsidRPr="00C12E6F">
        <w:rPr>
          <w:noProof/>
        </w:rPr>
        <w:t>(Algren et al., 2015; Turrell et al., 2009)</w:t>
      </w:r>
      <w:r w:rsidR="00F27BE4" w:rsidRPr="00220EE3">
        <w:fldChar w:fldCharType="end"/>
      </w:r>
      <w:r w:rsidR="000247C8" w:rsidRPr="00220EE3">
        <w:t>.</w:t>
      </w:r>
      <w:r w:rsidR="00A97505" w:rsidRPr="00220EE3">
        <w:t xml:space="preserve"> </w:t>
      </w:r>
      <w:r>
        <w:t>However, m</w:t>
      </w:r>
      <w:r w:rsidR="00FB6D95" w:rsidRPr="00220EE3">
        <w:t>ost of these</w:t>
      </w:r>
      <w:r w:rsidR="006D19A5" w:rsidRPr="00220EE3">
        <w:t xml:space="preserve"> </w:t>
      </w:r>
      <w:r w:rsidR="00A97505" w:rsidRPr="00220EE3">
        <w:t>studies focus</w:t>
      </w:r>
      <w:r w:rsidR="00492914" w:rsidRPr="00220EE3">
        <w:t>ed</w:t>
      </w:r>
      <w:r w:rsidR="00A97505" w:rsidRPr="00220EE3">
        <w:t xml:space="preserve"> on</w:t>
      </w:r>
      <w:r w:rsidR="00BE558A">
        <w:t>ly</w:t>
      </w:r>
      <w:r w:rsidR="00A97505" w:rsidRPr="00220EE3">
        <w:t xml:space="preserve"> on </w:t>
      </w:r>
      <w:r w:rsidR="00FB6D95" w:rsidRPr="00220EE3">
        <w:t>specific components</w:t>
      </w:r>
      <w:r w:rsidR="00A97505" w:rsidRPr="00220EE3">
        <w:t xml:space="preserve"> of the diet, </w:t>
      </w:r>
      <w:r w:rsidR="00AE1E40" w:rsidRPr="00220EE3">
        <w:t xml:space="preserve">for example fruit and vegetable </w:t>
      </w:r>
      <w:r w:rsidR="00A97505" w:rsidRPr="00220EE3">
        <w:t>consumption</w:t>
      </w:r>
      <w:r w:rsidR="005F7F6A">
        <w:t>,</w:t>
      </w:r>
      <w:r w:rsidR="00575294">
        <w:t xml:space="preserve"> which</w:t>
      </w:r>
      <w:r w:rsidR="009F140F" w:rsidRPr="00220EE3">
        <w:t xml:space="preserve"> do not </w:t>
      </w:r>
      <w:r w:rsidR="00A32A9C">
        <w:t>provide information about</w:t>
      </w:r>
      <w:r w:rsidR="009F140F" w:rsidRPr="00220EE3">
        <w:t xml:space="preserve"> </w:t>
      </w:r>
      <w:r w:rsidR="00A32A9C">
        <w:t>the</w:t>
      </w:r>
      <w:r w:rsidR="00F13E98" w:rsidRPr="00220EE3">
        <w:t xml:space="preserve"> </w:t>
      </w:r>
      <w:r w:rsidR="00B77002">
        <w:t>whole diet</w:t>
      </w:r>
      <w:r w:rsidR="00F13E98" w:rsidRPr="00220EE3">
        <w:t>.</w:t>
      </w:r>
      <w:r w:rsidR="00D71AF2" w:rsidRPr="00220EE3">
        <w:t xml:space="preserve"> </w:t>
      </w:r>
      <w:r w:rsidR="001C417B" w:rsidRPr="00220EE3">
        <w:t xml:space="preserve">Another </w:t>
      </w:r>
      <w:r w:rsidR="00FB6D95" w:rsidRPr="00220EE3">
        <w:t>drawback</w:t>
      </w:r>
      <w:r w:rsidR="001C417B" w:rsidRPr="00220EE3">
        <w:t xml:space="preserve"> is the reliance on </w:t>
      </w:r>
      <w:r w:rsidR="00FB6D95" w:rsidRPr="00220EE3">
        <w:t>a single</w:t>
      </w:r>
      <w:r w:rsidR="00D71AF2" w:rsidRPr="00220EE3">
        <w:t>-time</w:t>
      </w:r>
      <w:r w:rsidR="00FB6D95" w:rsidRPr="00220EE3">
        <w:t xml:space="preserve"> measurement of residential</w:t>
      </w:r>
      <w:r w:rsidR="001C417B" w:rsidRPr="00220EE3">
        <w:t xml:space="preserve"> address</w:t>
      </w:r>
      <w:r w:rsidR="005E5B41">
        <w:t xml:space="preserve">, </w:t>
      </w:r>
      <w:r w:rsidR="005E5B41" w:rsidRPr="00EB1B47">
        <w:t>which</w:t>
      </w:r>
      <w:r w:rsidR="00FB6D95" w:rsidRPr="00EB1B47">
        <w:t xml:space="preserve"> does </w:t>
      </w:r>
      <w:r w:rsidR="00FB6D95" w:rsidRPr="00EB1B47">
        <w:lastRenderedPageBreak/>
        <w:t xml:space="preserve">not take into account </w:t>
      </w:r>
      <w:r w:rsidR="00D71AF2" w:rsidRPr="00EB1B47">
        <w:t xml:space="preserve">residential </w:t>
      </w:r>
      <w:r w:rsidR="00FB6D95" w:rsidRPr="00EB1B47">
        <w:t>mobility and therefore fail</w:t>
      </w:r>
      <w:r w:rsidR="00EA5D11" w:rsidRPr="00EB1B47">
        <w:t>s</w:t>
      </w:r>
      <w:r w:rsidR="00FB6D95" w:rsidRPr="00EB1B47">
        <w:t xml:space="preserve"> to capture long-term exposure </w:t>
      </w:r>
      <w:r w:rsidRPr="00EB1B47">
        <w:t>or</w:t>
      </w:r>
      <w:r w:rsidR="00EA5D11" w:rsidRPr="00EB1B47">
        <w:t xml:space="preserve"> change</w:t>
      </w:r>
      <w:r w:rsidRPr="00EB1B47">
        <w:t>s</w:t>
      </w:r>
      <w:r w:rsidR="00EA5D11" w:rsidRPr="00EB1B47">
        <w:t xml:space="preserve"> in </w:t>
      </w:r>
      <w:r w:rsidR="00D71AF2" w:rsidRPr="00EB1B47">
        <w:t>residential environments</w:t>
      </w:r>
      <w:r w:rsidR="001C417B" w:rsidRPr="00EB1B47">
        <w:t>.</w:t>
      </w:r>
      <w:r w:rsidR="00BF5DF5" w:rsidRPr="00EB1B47">
        <w:t xml:space="preserve"> </w:t>
      </w:r>
    </w:p>
    <w:p w14:paraId="068EA0DB" w14:textId="2D258F8A" w:rsidR="001C417B" w:rsidRDefault="001C417B" w:rsidP="008C1A3C">
      <w:pPr>
        <w:spacing w:after="0" w:line="360" w:lineRule="auto"/>
      </w:pPr>
    </w:p>
    <w:p w14:paraId="669E4411" w14:textId="622133AA" w:rsidR="00DD0146" w:rsidRDefault="00EB1B47" w:rsidP="008C1A3C">
      <w:pPr>
        <w:spacing w:after="0" w:line="360" w:lineRule="auto"/>
      </w:pPr>
      <w:r w:rsidRPr="00EB1B47">
        <w:t>Mechanisms underlying the associations between neighborhood SES and dietary habits are assumed to involve local food environments. This is supported by studies reporting clear differences in neighborhood food environments between low and high SES neighborhoods (Beaulac et al., 2009; Gordon-Larsen and Popkin, 2011; Morland et al., 2002; Morland and Filomena, 2007) with higher availability of fast-food restaurants</w:t>
      </w:r>
      <w:r w:rsidR="005F7F6A">
        <w:t>,</w:t>
      </w:r>
      <w:r w:rsidRPr="00EB1B47">
        <w:t xml:space="preserve"> and energy-dense foods and food sources in lower-income and minority neighborhoods than in affluent neighborhoods (Hilmers et al., 2012; Jiao et al., 2016; Turrell et al., 2009). According to the Global Food Policy report </w:t>
      </w:r>
      <w:r w:rsidR="006203B2">
        <w:fldChar w:fldCharType="begin" w:fldLock="1"/>
      </w:r>
      <w:r w:rsidR="006203B2">
        <w:instrText>ADDIN CSL_CITATION {"citationItems":[{"id":"ITEM-1","itemData":{"DOI":"doi.org.10.2499/9780896292529","ISBN":"9780896292529","author":[{"dropping-particle":"","family":"IFPRI","given":"","non-dropping-particle":"","parse-names":false,"suffix":""}],"id":"ITEM-1","issued":{"date-parts":[["2017"]]},"number-of-pages":"148","title":"Global food policy report 2017","type":"book"},"uris":["http://www.mendeley.com/documents/?uuid=d66f8f66-c2da-4858-b943-ed90cafa8cab"]}],"mendeley":{"formattedCitation":"(IFPRI, 2017)","plainTextFormattedCitation":"(IFPRI, 2017)","previouslyFormattedCitation":"(IFPRI, 2017)"},"properties":{"noteIndex":0},"schema":"https://github.com/citation-style-language/schema/raw/master/csl-citation.json"}</w:instrText>
      </w:r>
      <w:r w:rsidR="006203B2">
        <w:fldChar w:fldCharType="separate"/>
      </w:r>
      <w:r w:rsidR="006203B2" w:rsidRPr="006203B2">
        <w:rPr>
          <w:noProof/>
        </w:rPr>
        <w:t>(IFPRI, 2017)</w:t>
      </w:r>
      <w:r w:rsidR="006203B2">
        <w:fldChar w:fldCharType="end"/>
      </w:r>
      <w:r w:rsidRPr="00EB1B47">
        <w:t>, the most easily available and affordable diets for the urban poor are often unhealthy.</w:t>
      </w:r>
    </w:p>
    <w:p w14:paraId="168D70F7" w14:textId="77777777" w:rsidR="00EB1B47" w:rsidRDefault="00EB1B47" w:rsidP="008C1A3C">
      <w:pPr>
        <w:spacing w:after="0" w:line="360" w:lineRule="auto"/>
      </w:pPr>
    </w:p>
    <w:p w14:paraId="1A140E23" w14:textId="3050A5E4" w:rsidR="00F947E6" w:rsidRPr="005D123E" w:rsidRDefault="005D123E" w:rsidP="000C47B4">
      <w:pPr>
        <w:spacing w:after="0" w:line="360" w:lineRule="auto"/>
        <w:rPr>
          <w:rFonts w:cs="Times New Roman"/>
        </w:rPr>
      </w:pPr>
      <w:r w:rsidRPr="005D123E">
        <w:t xml:space="preserve">To address some of the above mentioned limitations, we investigated the association between neighborhood SES across a 6-year residential time window and </w:t>
      </w:r>
      <w:r w:rsidRPr="005D123E">
        <w:rPr>
          <w:rFonts w:eastAsia="Times New Roman"/>
          <w:lang w:eastAsia="fi-FI"/>
        </w:rPr>
        <w:t xml:space="preserve">participants’ </w:t>
      </w:r>
      <w:r w:rsidRPr="005D123E">
        <w:t xml:space="preserve">adherence to dietary recommendations taking diet into account more broadly than focusing on any single component of the diet. </w:t>
      </w:r>
      <w:r w:rsidR="00E4561A" w:rsidRPr="001B26C1">
        <w:t xml:space="preserve">We </w:t>
      </w:r>
      <w:r w:rsidR="00E4561A">
        <w:t>performed these analyses separately for</w:t>
      </w:r>
      <w:r w:rsidR="00E4561A" w:rsidRPr="001B26C1">
        <w:t xml:space="preserve"> non-movers and movers</w:t>
      </w:r>
      <w:r w:rsidR="00E4561A">
        <w:t>, b</w:t>
      </w:r>
      <w:r w:rsidR="00E4561A" w:rsidRPr="001B26C1">
        <w:t>ecause average neighborhood conditions may have different associations than change in the conditions</w:t>
      </w:r>
      <w:r w:rsidR="00E4561A">
        <w:t>. In addition</w:t>
      </w:r>
      <w:r w:rsidR="00E4561A" w:rsidRPr="001B26C1">
        <w:t xml:space="preserve">, we </w:t>
      </w:r>
      <w:r w:rsidR="00E4561A" w:rsidRPr="001B26C1">
        <w:rPr>
          <w:rFonts w:cs="Times New Roman"/>
        </w:rPr>
        <w:t xml:space="preserve">identified subgroups of movers following a similar trajectory in the neighborhood socioeconomic level and examined the association between these </w:t>
      </w:r>
      <w:r w:rsidR="00E4561A" w:rsidRPr="001B26C1">
        <w:rPr>
          <w:rFonts w:eastAsia="Times New Roman"/>
          <w:lang w:eastAsia="fi-FI"/>
        </w:rPr>
        <w:t xml:space="preserve">neighborhood SES </w:t>
      </w:r>
      <w:r w:rsidR="00E4561A" w:rsidRPr="001B26C1">
        <w:rPr>
          <w:rFonts w:cs="Times New Roman"/>
        </w:rPr>
        <w:t>trajectories</w:t>
      </w:r>
      <w:r w:rsidR="00E4561A">
        <w:rPr>
          <w:rFonts w:cs="Times New Roman"/>
        </w:rPr>
        <w:t xml:space="preserve"> and diet</w:t>
      </w:r>
      <w:r w:rsidR="00E4561A" w:rsidRPr="001B26C1">
        <w:rPr>
          <w:rFonts w:cs="Times New Roman"/>
        </w:rPr>
        <w:t>.</w:t>
      </w:r>
      <w:r w:rsidR="00F947E6" w:rsidRPr="00220EE3">
        <w:rPr>
          <w:rFonts w:eastAsia="Times New Roman"/>
          <w:color w:val="5C5C5C"/>
          <w:lang w:eastAsia="fi-FI"/>
        </w:rPr>
        <w:br w:type="page"/>
      </w:r>
    </w:p>
    <w:p w14:paraId="0E6F1C6D" w14:textId="77777777" w:rsidR="00D933DC" w:rsidRPr="00220EE3" w:rsidRDefault="00D933DC" w:rsidP="008C1A3C">
      <w:pPr>
        <w:spacing w:after="0" w:line="360" w:lineRule="auto"/>
        <w:rPr>
          <w:rFonts w:eastAsia="Times New Roman"/>
          <w:b/>
          <w:lang w:eastAsia="fi-FI"/>
        </w:rPr>
      </w:pPr>
      <w:r w:rsidRPr="00220EE3">
        <w:rPr>
          <w:rFonts w:eastAsia="Times New Roman"/>
          <w:b/>
          <w:lang w:eastAsia="fi-FI"/>
        </w:rPr>
        <w:lastRenderedPageBreak/>
        <w:t>Methods</w:t>
      </w:r>
    </w:p>
    <w:p w14:paraId="5AA04340" w14:textId="77777777" w:rsidR="00220EE3" w:rsidRPr="00220EE3" w:rsidRDefault="00220EE3" w:rsidP="008C1A3C">
      <w:pPr>
        <w:spacing w:after="0" w:line="360" w:lineRule="auto"/>
        <w:rPr>
          <w:rFonts w:eastAsia="Times New Roman"/>
          <w:b/>
          <w:lang w:eastAsia="fi-FI"/>
        </w:rPr>
      </w:pPr>
    </w:p>
    <w:p w14:paraId="57A22E8E" w14:textId="77777777" w:rsidR="00B10032" w:rsidRPr="00220EE3" w:rsidRDefault="00B10032" w:rsidP="008C1A3C">
      <w:pPr>
        <w:spacing w:after="0" w:line="360" w:lineRule="auto"/>
        <w:rPr>
          <w:rFonts w:eastAsia="Times New Roman"/>
          <w:b/>
          <w:lang w:eastAsia="fi-FI"/>
        </w:rPr>
      </w:pPr>
      <w:r w:rsidRPr="00220EE3">
        <w:rPr>
          <w:rFonts w:eastAsia="Times New Roman"/>
          <w:b/>
          <w:lang w:eastAsia="fi-FI"/>
        </w:rPr>
        <w:t>Study population</w:t>
      </w:r>
    </w:p>
    <w:p w14:paraId="168FE494" w14:textId="676B7156" w:rsidR="00924A2B" w:rsidRPr="00576DAA" w:rsidRDefault="008150C7" w:rsidP="008C1A3C">
      <w:pPr>
        <w:spacing w:after="0" w:line="360" w:lineRule="auto"/>
        <w:rPr>
          <w:rFonts w:eastAsia="Times New Roman"/>
          <w:lang w:eastAsia="fi-FI"/>
        </w:rPr>
      </w:pPr>
      <w:r w:rsidRPr="00220EE3">
        <w:rPr>
          <w:rFonts w:eastAsia="Times New Roman"/>
          <w:color w:val="2E2E2E"/>
          <w:lang w:eastAsia="fi-FI"/>
        </w:rPr>
        <w:t>Health and Social Support (</w:t>
      </w:r>
      <w:r w:rsidR="00A31B8F" w:rsidRPr="00220EE3">
        <w:rPr>
          <w:rFonts w:eastAsia="Times New Roman"/>
          <w:color w:val="2E2E2E"/>
          <w:lang w:eastAsia="fi-FI"/>
        </w:rPr>
        <w:t>HeSSup</w:t>
      </w:r>
      <w:r w:rsidRPr="00220EE3">
        <w:rPr>
          <w:rFonts w:eastAsia="Times New Roman"/>
          <w:color w:val="2E2E2E"/>
          <w:lang w:eastAsia="fi-FI"/>
        </w:rPr>
        <w:t>)</w:t>
      </w:r>
      <w:r w:rsidR="00A31B8F" w:rsidRPr="00220EE3">
        <w:rPr>
          <w:rFonts w:eastAsia="Times New Roman"/>
          <w:color w:val="2E2E2E"/>
          <w:lang w:eastAsia="fi-FI"/>
        </w:rPr>
        <w:t xml:space="preserve"> </w:t>
      </w:r>
      <w:r w:rsidR="00CD046D" w:rsidRPr="00220EE3">
        <w:rPr>
          <w:rFonts w:eastAsia="Times New Roman"/>
          <w:color w:val="2E2E2E"/>
          <w:lang w:eastAsia="fi-FI"/>
        </w:rPr>
        <w:t xml:space="preserve">is a follow-up </w:t>
      </w:r>
      <w:r w:rsidR="00505788" w:rsidRPr="00220EE3">
        <w:rPr>
          <w:rFonts w:eastAsia="Times New Roman"/>
          <w:color w:val="2E2E2E"/>
          <w:lang w:eastAsia="fi-FI"/>
        </w:rPr>
        <w:t>study</w:t>
      </w:r>
      <w:r w:rsidR="00CD046D" w:rsidRPr="00220EE3">
        <w:rPr>
          <w:rFonts w:eastAsia="Times New Roman"/>
          <w:color w:val="2E2E2E"/>
          <w:lang w:eastAsia="fi-FI"/>
        </w:rPr>
        <w:t xml:space="preserve"> commenced in 1998</w:t>
      </w:r>
      <w:r w:rsidR="00505788" w:rsidRPr="00220EE3">
        <w:rPr>
          <w:rFonts w:eastAsia="Times New Roman"/>
          <w:color w:val="2E2E2E"/>
          <w:lang w:eastAsia="fi-FI"/>
        </w:rPr>
        <w:t xml:space="preserve"> </w:t>
      </w:r>
      <w:r w:rsidRPr="00220EE3">
        <w:rPr>
          <w:rFonts w:eastAsia="Times New Roman"/>
          <w:color w:val="2E2E2E"/>
          <w:lang w:eastAsia="fi-FI"/>
        </w:rPr>
        <w:t>(n=25</w:t>
      </w:r>
      <w:r w:rsidR="00941183" w:rsidRPr="00220EE3">
        <w:rPr>
          <w:rFonts w:eastAsia="Times New Roman"/>
          <w:color w:val="2E2E2E"/>
          <w:lang w:eastAsia="fi-FI"/>
        </w:rPr>
        <w:t>,</w:t>
      </w:r>
      <w:r w:rsidRPr="00220EE3">
        <w:rPr>
          <w:rFonts w:eastAsia="Times New Roman"/>
          <w:color w:val="2E2E2E"/>
          <w:lang w:eastAsia="fi-FI"/>
        </w:rPr>
        <w:t xml:space="preserve">901) </w:t>
      </w:r>
      <w:r w:rsidR="00A31B8F" w:rsidRPr="00220EE3">
        <w:rPr>
          <w:rFonts w:eastAsia="Times New Roman"/>
          <w:color w:val="2E2E2E"/>
          <w:lang w:eastAsia="fi-FI"/>
        </w:rPr>
        <w:t>representative</w:t>
      </w:r>
      <w:r w:rsidR="000552BF" w:rsidRPr="00220EE3">
        <w:rPr>
          <w:rFonts w:eastAsia="Times New Roman"/>
          <w:color w:val="2E2E2E"/>
          <w:lang w:eastAsia="fi-FI"/>
        </w:rPr>
        <w:t xml:space="preserve"> </w:t>
      </w:r>
      <w:r w:rsidR="00A31B8F" w:rsidRPr="00220EE3">
        <w:rPr>
          <w:rFonts w:eastAsia="Times New Roman"/>
          <w:color w:val="2E2E2E"/>
          <w:lang w:eastAsia="fi-FI"/>
        </w:rPr>
        <w:t xml:space="preserve">of </w:t>
      </w:r>
      <w:r w:rsidR="009139EE" w:rsidRPr="00220EE3">
        <w:rPr>
          <w:rFonts w:eastAsia="Times New Roman"/>
          <w:color w:val="2E2E2E"/>
          <w:lang w:eastAsia="fi-FI"/>
        </w:rPr>
        <w:t xml:space="preserve">the </w:t>
      </w:r>
      <w:r w:rsidR="00A31B8F" w:rsidRPr="00220EE3">
        <w:rPr>
          <w:rFonts w:eastAsia="Times New Roman"/>
          <w:color w:val="2E2E2E"/>
          <w:lang w:eastAsia="fi-FI"/>
        </w:rPr>
        <w:t xml:space="preserve">Finnish Population in </w:t>
      </w:r>
      <w:r w:rsidRPr="00220EE3">
        <w:rPr>
          <w:rFonts w:eastAsia="Times New Roman"/>
          <w:color w:val="2E2E2E"/>
          <w:lang w:eastAsia="fi-FI"/>
        </w:rPr>
        <w:t>four</w:t>
      </w:r>
      <w:r w:rsidR="00A31B8F" w:rsidRPr="00220EE3">
        <w:rPr>
          <w:rFonts w:eastAsia="Times New Roman"/>
          <w:color w:val="2E2E2E"/>
          <w:lang w:eastAsia="fi-FI"/>
        </w:rPr>
        <w:t xml:space="preserve"> age groups (20-24, 30-34, 40-44 and 50-54</w:t>
      </w:r>
      <w:r w:rsidR="009F140F" w:rsidRPr="00220EE3">
        <w:rPr>
          <w:rFonts w:eastAsia="Times New Roman"/>
          <w:color w:val="2E2E2E"/>
          <w:lang w:eastAsia="fi-FI"/>
        </w:rPr>
        <w:t xml:space="preserve"> years at baseline</w:t>
      </w:r>
      <w:r w:rsidR="00A31B8F" w:rsidRPr="00220EE3">
        <w:rPr>
          <w:rFonts w:eastAsia="Times New Roman"/>
          <w:color w:val="2E2E2E"/>
          <w:lang w:eastAsia="fi-FI"/>
        </w:rPr>
        <w:t xml:space="preserve">) </w:t>
      </w:r>
      <w:r w:rsidR="008D1819" w:rsidRPr="00220EE3">
        <w:rPr>
          <w:rFonts w:eastAsia="Times New Roman"/>
          <w:color w:val="2E2E2E"/>
          <w:lang w:eastAsia="fi-FI"/>
        </w:rPr>
        <w:fldChar w:fldCharType="begin" w:fldLock="1"/>
      </w:r>
      <w:r w:rsidR="003F71F0">
        <w:rPr>
          <w:rFonts w:eastAsia="Times New Roman"/>
          <w:color w:val="2E2E2E"/>
          <w:lang w:eastAsia="fi-FI"/>
        </w:rPr>
        <w:instrText>ADDIN CSL_CITATION {"citationItems":[{"id":"ITEM-1","itemData":{"DOI":"10.1136/bmjopen-2011-000657","ISSN":"2044-6055","PMID":"22422917","abstract":"OBJECTIVE To examine difference in mortality between postal survey non-respondents and respondents. DESIGN A prospective cohort study with baseline survey in 1998 and comprehensive linkage to national mortality registers until 2005, the Health and Social Support study. SETTING A population-based postal survey of the working-aged population in Finland in 1998. PARTICIPANTS The original random sample comprised 64 797 working-aged individuals in Finland (20-24, 30-34, 40-44, 50-54 years of age; 32 059 women and 32 716 men), yielding 25 898 (40.0%) responses in the baseline postal survey in 1998. PRIMARY OUTCOME MEASURE Registry-based primary causes of death encoded with the International Classification of Diseases (ICD-10). RESULTS In women, HR for total mortality was 1.75 (95% CI 1.40 to 2.19) times higher among the non-respondents compared with the respondents. In men, non-response was associated with a 1.41-fold (1.21-1.65) excess risk of total mortality. Non-response associated in certain age groups with deaths due to diseases in women and with deaths due to external causes in men. The most prominent excess mortality was seen for total mortality for both genders and for mortality due to external causes among men. CONCLUSIONS Postal surveys result in slight underestimation of illness prevalence.","author":[{"dropping-particle":"","family":"Suominen","given":"Sakari","non-dropping-particle":"","parse-names":false,"suffix":""},{"dropping-particle":"","family":"Koskenvuo","given":"Karoliina","non-dropping-particle":"","parse-names":false,"suffix":""},{"dropping-particle":"","family":"Sillanmäki","given":"Lauri","non-dropping-particle":"","parse-names":false,"suffix":""},{"dropping-particle":"","family":"Vahtera","given":"Jussi","non-dropping-particle":"","parse-names":false,"suffix":""},{"dropping-particle":"","family":"Korkeila","given":"Katariina","non-dropping-particle":"","parse-names":false,"suffix":""},{"dropping-particle":"","family":"Kivimäki","given":"Mika","non-dropping-particle":"","parse-names":false,"suffix":""},{"dropping-particle":"","family":"Mattila","given":"Kari J","non-dropping-particle":"","parse-names":false,"suffix":""},{"dropping-particle":"","family":"Virtanen","given":"Pekka","non-dropping-particle":"","parse-names":false,"suffix":""},{"dropping-particle":"","family":"Sumanen","given":"Markku","non-dropping-particle":"","parse-names":false,"suffix":""},{"dropping-particle":"","family":"Rautava","given":"Päivi","non-dropping-particle":"","parse-names":false,"suffix":""},{"dropping-particle":"","family":"Koskenvuo","given":"Markku","non-dropping-particle":"","parse-names":false,"suffix":""}],"container-title":"BMJ open","id":"ITEM-1","issue":"2","issued":{"date-parts":[["2012"]]},"page":"e000657","publisher":"BMJ Publishing Group","title":"Non-response in a nationwide follow-up postal survey in Finland: a register-based mortality analysis of respondents and non-respondents of the Health and Social Support (HeSSup) Study.","type":"article-journal","volume":"2"},"uris":["http://www.mendeley.com/documents/?uuid=5a7e6a4c-0836-4f2d-b81c-2c024809fc15"]}],"mendeley":{"formattedCitation":"(Suominen et al., 2012)","plainTextFormattedCitation":"(Suominen et al., 2012)","previouslyFormattedCitation":"(Suominen et al., 2012)"},"properties":{"noteIndex":0},"schema":"https://github.com/citation-style-language/schema/raw/master/csl-citation.json"}</w:instrText>
      </w:r>
      <w:r w:rsidR="008D1819" w:rsidRPr="00220EE3">
        <w:rPr>
          <w:rFonts w:eastAsia="Times New Roman"/>
          <w:color w:val="2E2E2E"/>
          <w:lang w:eastAsia="fi-FI"/>
        </w:rPr>
        <w:fldChar w:fldCharType="separate"/>
      </w:r>
      <w:r w:rsidR="00C12E6F" w:rsidRPr="00C12E6F">
        <w:rPr>
          <w:rFonts w:eastAsia="Times New Roman"/>
          <w:noProof/>
          <w:color w:val="2E2E2E"/>
          <w:lang w:eastAsia="fi-FI"/>
        </w:rPr>
        <w:t>(Suominen et al., 2012)</w:t>
      </w:r>
      <w:r w:rsidR="008D1819" w:rsidRPr="00220EE3">
        <w:rPr>
          <w:rFonts w:eastAsia="Times New Roman"/>
          <w:color w:val="2E2E2E"/>
          <w:lang w:eastAsia="fi-FI"/>
        </w:rPr>
        <w:fldChar w:fldCharType="end"/>
      </w:r>
      <w:r w:rsidR="008273E9" w:rsidRPr="00220EE3">
        <w:rPr>
          <w:rFonts w:eastAsia="Times New Roman"/>
          <w:color w:val="2E2E2E"/>
          <w:lang w:eastAsia="fi-FI"/>
        </w:rPr>
        <w:t>.</w:t>
      </w:r>
      <w:r w:rsidR="00D20FDE" w:rsidRPr="007532FF">
        <w:rPr>
          <w:rFonts w:ascii="Segoe UI" w:hAnsi="Segoe UI" w:cs="Segoe UI"/>
          <w:color w:val="000000"/>
          <w:sz w:val="20"/>
          <w:szCs w:val="20"/>
        </w:rPr>
        <w:t xml:space="preserve"> </w:t>
      </w:r>
      <w:r w:rsidR="00DD0146" w:rsidRPr="00576DAA">
        <w:rPr>
          <w:iCs/>
          <w:szCs w:val="24"/>
        </w:rPr>
        <w:t>We used self-reported consumption of selected food items and alcohol from a follow-up survey in 2003 (n=19,629; response rate 76%).</w:t>
      </w:r>
      <w:r w:rsidR="006C74A0" w:rsidRPr="00576DAA">
        <w:rPr>
          <w:iCs/>
          <w:szCs w:val="24"/>
        </w:rPr>
        <w:t xml:space="preserve"> </w:t>
      </w:r>
      <w:r w:rsidR="00EF169D" w:rsidRPr="00576DAA">
        <w:rPr>
          <w:rFonts w:eastAsia="Times New Roman"/>
          <w:lang w:eastAsia="fi-FI"/>
        </w:rPr>
        <w:t xml:space="preserve">We excluded those who </w:t>
      </w:r>
      <w:r w:rsidR="003A6650" w:rsidRPr="00576DAA">
        <w:rPr>
          <w:rFonts w:eastAsia="Times New Roman"/>
          <w:lang w:eastAsia="fi-FI"/>
        </w:rPr>
        <w:t xml:space="preserve">did not give us </w:t>
      </w:r>
      <w:r w:rsidR="00EF169D" w:rsidRPr="00576DAA">
        <w:rPr>
          <w:rFonts w:eastAsia="Times New Roman"/>
          <w:lang w:eastAsia="fi-FI"/>
        </w:rPr>
        <w:t xml:space="preserve">permission </w:t>
      </w:r>
      <w:r w:rsidR="003A6650" w:rsidRPr="00576DAA">
        <w:rPr>
          <w:rFonts w:eastAsia="Times New Roman"/>
          <w:lang w:eastAsia="fi-FI"/>
        </w:rPr>
        <w:t xml:space="preserve">to perform </w:t>
      </w:r>
      <w:r w:rsidR="00EF169D" w:rsidRPr="00576DAA">
        <w:rPr>
          <w:rFonts w:eastAsia="Times New Roman"/>
          <w:lang w:eastAsia="fi-FI"/>
        </w:rPr>
        <w:t xml:space="preserve">data linkage (n=729), </w:t>
      </w:r>
      <w:r w:rsidR="003A6650" w:rsidRPr="00576DAA">
        <w:rPr>
          <w:rFonts w:eastAsia="Times New Roman"/>
          <w:lang w:eastAsia="fi-FI"/>
        </w:rPr>
        <w:t xml:space="preserve">or </w:t>
      </w:r>
      <w:r w:rsidR="00A277F2" w:rsidRPr="00576DAA">
        <w:rPr>
          <w:rFonts w:eastAsia="Times New Roman"/>
          <w:lang w:eastAsia="fi-FI"/>
        </w:rPr>
        <w:t xml:space="preserve">had </w:t>
      </w:r>
      <w:r w:rsidR="003A6650" w:rsidRPr="00576DAA">
        <w:rPr>
          <w:rFonts w:eastAsia="Times New Roman"/>
          <w:lang w:eastAsia="fi-FI"/>
        </w:rPr>
        <w:t>missing</w:t>
      </w:r>
      <w:r w:rsidR="00CD046D" w:rsidRPr="00576DAA">
        <w:rPr>
          <w:rFonts w:eastAsia="Times New Roman"/>
          <w:lang w:eastAsia="fi-FI"/>
        </w:rPr>
        <w:t xml:space="preserve"> </w:t>
      </w:r>
      <w:r w:rsidR="009139EE" w:rsidRPr="00576DAA">
        <w:rPr>
          <w:rFonts w:eastAsia="Times New Roman"/>
          <w:lang w:eastAsia="fi-FI"/>
        </w:rPr>
        <w:t xml:space="preserve">information on home </w:t>
      </w:r>
      <w:r w:rsidR="00EF169D" w:rsidRPr="00576DAA">
        <w:rPr>
          <w:rFonts w:eastAsia="Times New Roman"/>
          <w:lang w:eastAsia="fi-FI"/>
        </w:rPr>
        <w:t>address</w:t>
      </w:r>
      <w:r w:rsidR="009139EE" w:rsidRPr="00576DAA">
        <w:rPr>
          <w:rFonts w:eastAsia="Times New Roman"/>
          <w:lang w:eastAsia="fi-FI"/>
        </w:rPr>
        <w:t>es</w:t>
      </w:r>
      <w:r w:rsidR="00EF169D" w:rsidRPr="00576DAA">
        <w:rPr>
          <w:rFonts w:eastAsia="Times New Roman"/>
          <w:lang w:eastAsia="fi-FI"/>
        </w:rPr>
        <w:t xml:space="preserve"> </w:t>
      </w:r>
      <w:r w:rsidR="009139EE" w:rsidRPr="00576DAA">
        <w:rPr>
          <w:rFonts w:eastAsia="Times New Roman"/>
          <w:lang w:eastAsia="fi-FI"/>
        </w:rPr>
        <w:t>between 199</w:t>
      </w:r>
      <w:r w:rsidR="00EA5D11" w:rsidRPr="00576DAA">
        <w:rPr>
          <w:rFonts w:eastAsia="Times New Roman"/>
          <w:lang w:eastAsia="fi-FI"/>
        </w:rPr>
        <w:t>8</w:t>
      </w:r>
      <w:r w:rsidR="009139EE" w:rsidRPr="00576DAA">
        <w:rPr>
          <w:rFonts w:eastAsia="Times New Roman"/>
          <w:lang w:eastAsia="fi-FI"/>
        </w:rPr>
        <w:t xml:space="preserve"> and 2003</w:t>
      </w:r>
      <w:r w:rsidR="00573622" w:rsidRPr="00576DAA">
        <w:rPr>
          <w:rFonts w:eastAsia="Times New Roman"/>
          <w:lang w:eastAsia="fi-FI"/>
        </w:rPr>
        <w:t xml:space="preserve"> (n=71)</w:t>
      </w:r>
      <w:r w:rsidR="00EF169D" w:rsidRPr="00576DAA">
        <w:rPr>
          <w:rFonts w:eastAsia="Times New Roman"/>
          <w:lang w:eastAsia="fi-FI"/>
        </w:rPr>
        <w:t xml:space="preserve"> or neighborhood SES (</w:t>
      </w:r>
      <w:r w:rsidR="003A6650" w:rsidRPr="00576DAA">
        <w:rPr>
          <w:rFonts w:eastAsia="Times New Roman"/>
          <w:lang w:eastAsia="fi-FI"/>
        </w:rPr>
        <w:t xml:space="preserve">i.e. </w:t>
      </w:r>
      <w:r w:rsidR="002D7688" w:rsidRPr="00576DAA">
        <w:rPr>
          <w:rFonts w:eastAsia="Times New Roman"/>
          <w:lang w:eastAsia="fi-FI"/>
        </w:rPr>
        <w:t xml:space="preserve">no information on the grid </w:t>
      </w:r>
      <w:r w:rsidR="002D7688" w:rsidRPr="00576DAA">
        <w:rPr>
          <w:rFonts w:eastAsia="Times New Roman"/>
          <w:lang w:eastAsia="fi-FI"/>
        </w:rPr>
        <w:lastRenderedPageBreak/>
        <w:t xml:space="preserve">data base as they </w:t>
      </w:r>
      <w:r w:rsidR="00924A2B" w:rsidRPr="00576DAA">
        <w:rPr>
          <w:rFonts w:eastAsia="Times New Roman"/>
          <w:lang w:eastAsia="fi-FI"/>
        </w:rPr>
        <w:t xml:space="preserve">lived in </w:t>
      </w:r>
      <w:r w:rsidR="00220D03" w:rsidRPr="00576DAA">
        <w:rPr>
          <w:rFonts w:eastAsia="Times New Roman"/>
          <w:lang w:eastAsia="fi-FI"/>
        </w:rPr>
        <w:t xml:space="preserve">sparsely inhabited </w:t>
      </w:r>
      <w:r w:rsidR="00924A2B" w:rsidRPr="00576DAA">
        <w:rPr>
          <w:rFonts w:eastAsia="Times New Roman"/>
          <w:lang w:eastAsia="fi-FI"/>
        </w:rPr>
        <w:t xml:space="preserve">areas with &lt;10 residents; </w:t>
      </w:r>
      <w:r w:rsidR="00EA5D11" w:rsidRPr="00576DAA">
        <w:rPr>
          <w:rFonts w:eastAsia="Times New Roman"/>
          <w:lang w:eastAsia="fi-FI"/>
        </w:rPr>
        <w:t>n=2</w:t>
      </w:r>
      <w:r w:rsidR="00941183" w:rsidRPr="00576DAA">
        <w:rPr>
          <w:rFonts w:eastAsia="Times New Roman"/>
          <w:lang w:eastAsia="fi-FI"/>
        </w:rPr>
        <w:t>,</w:t>
      </w:r>
      <w:r w:rsidR="00EA5D11" w:rsidRPr="00576DAA">
        <w:rPr>
          <w:rFonts w:eastAsia="Times New Roman"/>
          <w:lang w:eastAsia="fi-FI"/>
        </w:rPr>
        <w:t>256</w:t>
      </w:r>
      <w:r w:rsidR="00EF169D" w:rsidRPr="00576DAA">
        <w:rPr>
          <w:rFonts w:eastAsia="Times New Roman"/>
          <w:lang w:eastAsia="fi-FI"/>
        </w:rPr>
        <w:t xml:space="preserve">), or had not responded to </w:t>
      </w:r>
      <w:r w:rsidR="00CD046D" w:rsidRPr="00576DAA">
        <w:rPr>
          <w:rFonts w:eastAsia="Times New Roman"/>
          <w:lang w:eastAsia="fi-FI"/>
        </w:rPr>
        <w:t xml:space="preserve">the </w:t>
      </w:r>
      <w:r w:rsidR="00EF169D" w:rsidRPr="00576DAA">
        <w:rPr>
          <w:rFonts w:eastAsia="Times New Roman"/>
          <w:lang w:eastAsia="fi-FI"/>
        </w:rPr>
        <w:t>minimum of five food item questions (n=</w:t>
      </w:r>
      <w:r w:rsidR="00EA5D11" w:rsidRPr="00576DAA">
        <w:rPr>
          <w:rFonts w:eastAsia="Times New Roman"/>
          <w:lang w:eastAsia="fi-FI"/>
        </w:rPr>
        <w:t>42</w:t>
      </w:r>
      <w:r w:rsidR="00EF169D" w:rsidRPr="00576DAA">
        <w:rPr>
          <w:rFonts w:eastAsia="Times New Roman"/>
          <w:lang w:eastAsia="fi-FI"/>
        </w:rPr>
        <w:t xml:space="preserve">). Thus, the final </w:t>
      </w:r>
      <w:r w:rsidR="00DE69AC" w:rsidRPr="00576DAA">
        <w:rPr>
          <w:rFonts w:eastAsia="Times New Roman"/>
          <w:lang w:eastAsia="fi-FI"/>
        </w:rPr>
        <w:t xml:space="preserve">study </w:t>
      </w:r>
      <w:r w:rsidR="005B6D68" w:rsidRPr="00576DAA">
        <w:rPr>
          <w:rFonts w:eastAsia="Times New Roman"/>
          <w:lang w:eastAsia="fi-FI"/>
        </w:rPr>
        <w:t>population for</w:t>
      </w:r>
      <w:r w:rsidR="00DE69AC" w:rsidRPr="00576DAA">
        <w:rPr>
          <w:rFonts w:eastAsia="Times New Roman"/>
          <w:lang w:eastAsia="fi-FI"/>
        </w:rPr>
        <w:t xml:space="preserve"> this study </w:t>
      </w:r>
      <w:r w:rsidR="00EF169D" w:rsidRPr="00576DAA">
        <w:rPr>
          <w:rFonts w:eastAsia="Times New Roman"/>
          <w:lang w:eastAsia="fi-FI"/>
        </w:rPr>
        <w:t>was 16</w:t>
      </w:r>
      <w:r w:rsidR="00941183" w:rsidRPr="00576DAA">
        <w:rPr>
          <w:rFonts w:eastAsia="Times New Roman"/>
          <w:lang w:eastAsia="fi-FI"/>
        </w:rPr>
        <w:t>,</w:t>
      </w:r>
      <w:r w:rsidR="00EA5D11" w:rsidRPr="00576DAA">
        <w:rPr>
          <w:rFonts w:eastAsia="Times New Roman"/>
          <w:lang w:eastAsia="fi-FI"/>
        </w:rPr>
        <w:t>522</w:t>
      </w:r>
      <w:r w:rsidR="00EF169D" w:rsidRPr="00576DAA">
        <w:rPr>
          <w:rFonts w:eastAsia="Times New Roman"/>
          <w:lang w:eastAsia="fi-FI"/>
        </w:rPr>
        <w:t>.</w:t>
      </w:r>
      <w:r w:rsidR="002D7688" w:rsidRPr="00576DAA">
        <w:rPr>
          <w:rFonts w:eastAsia="Times New Roman"/>
          <w:lang w:eastAsia="fi-FI"/>
        </w:rPr>
        <w:t xml:space="preserve"> </w:t>
      </w:r>
    </w:p>
    <w:p w14:paraId="2CC29B05" w14:textId="77777777" w:rsidR="00FB699E" w:rsidRPr="00576DAA" w:rsidRDefault="00FB699E" w:rsidP="008C1A3C">
      <w:pPr>
        <w:spacing w:after="0" w:line="360" w:lineRule="auto"/>
        <w:rPr>
          <w:rFonts w:eastAsia="Times New Roman"/>
          <w:b/>
          <w:lang w:eastAsia="fi-FI"/>
        </w:rPr>
      </w:pPr>
    </w:p>
    <w:p w14:paraId="63024620" w14:textId="77777777" w:rsidR="009139EE" w:rsidRPr="00220EE3" w:rsidRDefault="009139EE" w:rsidP="008C1A3C">
      <w:pPr>
        <w:spacing w:after="0" w:line="360" w:lineRule="auto"/>
        <w:rPr>
          <w:rFonts w:eastAsia="Times New Roman"/>
          <w:b/>
          <w:color w:val="2E2E2E"/>
          <w:lang w:eastAsia="fi-FI"/>
        </w:rPr>
      </w:pPr>
      <w:r w:rsidRPr="00220EE3">
        <w:rPr>
          <w:rFonts w:eastAsia="Times New Roman"/>
          <w:b/>
          <w:color w:val="2E2E2E"/>
          <w:lang w:eastAsia="fi-FI"/>
        </w:rPr>
        <w:t>Neighborhood socioeconomic status</w:t>
      </w:r>
    </w:p>
    <w:p w14:paraId="5D9AA814" w14:textId="5883AA64" w:rsidR="00BA052C" w:rsidRDefault="009139EE" w:rsidP="00BA052C">
      <w:pPr>
        <w:spacing w:after="0" w:line="360" w:lineRule="auto"/>
        <w:rPr>
          <w:rFonts w:eastAsia="Times New Roman"/>
          <w:lang w:eastAsia="fi-FI"/>
        </w:rPr>
      </w:pPr>
      <w:r w:rsidRPr="00220EE3">
        <w:rPr>
          <w:rFonts w:eastAsia="Times New Roman"/>
          <w:lang w:eastAsia="fi-FI"/>
        </w:rPr>
        <w:t>Data on neighborhood factors were obtained from the Statistics Finland’s grid database for the year 2000. This database contains information that is based on all Finnish residents on social and economic characteristics at the level of 250×250</w:t>
      </w:r>
      <w:r w:rsidR="00635B61" w:rsidRPr="00220EE3">
        <w:rPr>
          <w:rFonts w:eastAsia="Times New Roman"/>
          <w:lang w:eastAsia="fi-FI"/>
        </w:rPr>
        <w:t xml:space="preserve"> </w:t>
      </w:r>
      <w:r w:rsidRPr="00220EE3">
        <w:rPr>
          <w:rFonts w:eastAsia="Times New Roman"/>
          <w:lang w:eastAsia="fi-FI"/>
        </w:rPr>
        <w:t>m</w:t>
      </w:r>
      <w:r w:rsidR="003E2B97">
        <w:rPr>
          <w:rFonts w:eastAsia="Times New Roman"/>
          <w:vertAlign w:val="superscript"/>
          <w:lang w:eastAsia="fi-FI"/>
        </w:rPr>
        <w:t>2</w:t>
      </w:r>
      <w:r w:rsidRPr="00220EE3">
        <w:rPr>
          <w:rFonts w:eastAsia="Times New Roman"/>
          <w:lang w:eastAsia="fi-FI"/>
        </w:rPr>
        <w:t xml:space="preserve"> grids </w:t>
      </w:r>
      <w:r w:rsidRPr="00220EE3">
        <w:rPr>
          <w:rFonts w:eastAsia="Times New Roman"/>
          <w:lang w:eastAsia="fi-FI"/>
        </w:rPr>
        <w:fldChar w:fldCharType="begin" w:fldLock="1"/>
      </w:r>
      <w:r w:rsidR="003F71F0">
        <w:rPr>
          <w:rFonts w:eastAsia="Times New Roman"/>
          <w:lang w:eastAsia="fi-FI"/>
        </w:rPr>
        <w:instrText>ADDIN CSL_CITATION {"citationItems":[{"id":"ITEM-1","itemData":{"author":[{"dropping-particle":"","family":"Statistics Finland","given":"","non-dropping-particle":"","parse-names":false,"suffix":""}],"id":"ITEM-1","issued":{"date-parts":[["2013"]]},"title":"Grid Database","type":"report"},"uris":["http://www.mendeley.com/documents/?uuid=a0bbb86a-4b2c-4698-b734-2b12cd3f59b5"]}],"mendeley":{"formattedCitation":"(Statistics Finland, 2013)","plainTextFormattedCitation":"(Statistics Finland, 2013)","previouslyFormattedCitation":"(Statistics Finland, 2013)"},"properties":{"noteIndex":0},"schema":"https://github.com/citation-style-language/schema/raw/master/csl-citation.json"}</w:instrText>
      </w:r>
      <w:r w:rsidRPr="00220EE3">
        <w:rPr>
          <w:rFonts w:eastAsia="Times New Roman"/>
          <w:lang w:eastAsia="fi-FI"/>
        </w:rPr>
        <w:fldChar w:fldCharType="separate"/>
      </w:r>
      <w:r w:rsidR="00C12E6F" w:rsidRPr="00C12E6F">
        <w:rPr>
          <w:rFonts w:eastAsia="Times New Roman"/>
          <w:noProof/>
          <w:lang w:eastAsia="fi-FI"/>
        </w:rPr>
        <w:t>(Statistics Finland, 2013)</w:t>
      </w:r>
      <w:r w:rsidRPr="00220EE3">
        <w:rPr>
          <w:rFonts w:eastAsia="Times New Roman"/>
          <w:lang w:eastAsia="fi-FI"/>
        </w:rPr>
        <w:fldChar w:fldCharType="end"/>
      </w:r>
      <w:r w:rsidRPr="00220EE3">
        <w:rPr>
          <w:rFonts w:eastAsia="Times New Roman"/>
          <w:lang w:eastAsia="fi-FI"/>
        </w:rPr>
        <w:t xml:space="preserve">. We </w:t>
      </w:r>
      <w:r w:rsidR="00866388" w:rsidRPr="00220EE3">
        <w:rPr>
          <w:rFonts w:eastAsia="Times New Roman"/>
          <w:lang w:eastAsia="fi-FI"/>
        </w:rPr>
        <w:t>combined</w:t>
      </w:r>
      <w:r w:rsidRPr="00220EE3">
        <w:rPr>
          <w:rFonts w:eastAsia="Times New Roman"/>
          <w:lang w:eastAsia="fi-FI"/>
        </w:rPr>
        <w:t xml:space="preserve"> information on </w:t>
      </w:r>
      <w:r w:rsidR="00866388" w:rsidRPr="00220EE3">
        <w:rPr>
          <w:rFonts w:eastAsia="Times New Roman"/>
          <w:lang w:eastAsia="fi-FI"/>
        </w:rPr>
        <w:t xml:space="preserve">household </w:t>
      </w:r>
      <w:r w:rsidRPr="00220EE3">
        <w:rPr>
          <w:rFonts w:eastAsia="Times New Roman"/>
          <w:lang w:eastAsia="fi-FI"/>
        </w:rPr>
        <w:t>income (coded</w:t>
      </w:r>
      <w:r w:rsidR="00C110B7">
        <w:rPr>
          <w:rFonts w:eastAsia="Times New Roman"/>
          <w:lang w:eastAsia="fi-FI"/>
        </w:rPr>
        <w:t xml:space="preserve"> so that lower income gets higher values</w:t>
      </w:r>
      <w:r w:rsidRPr="00220EE3">
        <w:rPr>
          <w:rFonts w:eastAsia="Times New Roman"/>
          <w:lang w:eastAsia="fi-FI"/>
        </w:rPr>
        <w:t>), unemployment rate</w:t>
      </w:r>
      <w:r w:rsidR="00C110B7">
        <w:rPr>
          <w:rFonts w:eastAsia="Times New Roman"/>
          <w:lang w:eastAsia="fi-FI"/>
        </w:rPr>
        <w:t>,</w:t>
      </w:r>
      <w:r w:rsidRPr="00220EE3">
        <w:rPr>
          <w:rFonts w:eastAsia="Times New Roman"/>
          <w:lang w:eastAsia="fi-FI"/>
        </w:rPr>
        <w:t xml:space="preserve"> and the proportion of those </w:t>
      </w:r>
      <w:r w:rsidR="00C110B7" w:rsidRPr="00C110B7">
        <w:rPr>
          <w:rFonts w:eastAsia="Times New Roman"/>
          <w:lang w:eastAsia="fi-FI"/>
        </w:rPr>
        <w:t>aged</w:t>
      </w:r>
      <w:r w:rsidR="00C110B7">
        <w:rPr>
          <w:rFonts w:eastAsia="Times New Roman"/>
          <w:lang w:eastAsia="fi-FI"/>
        </w:rPr>
        <w:t xml:space="preserve"> </w:t>
      </w:r>
      <w:r w:rsidR="00C110B7" w:rsidRPr="00C110B7">
        <w:rPr>
          <w:rFonts w:eastAsia="Times New Roman"/>
          <w:lang w:eastAsia="fi-FI"/>
        </w:rPr>
        <w:t>&gt;18</w:t>
      </w:r>
      <w:r w:rsidR="00C110B7">
        <w:rPr>
          <w:rFonts w:eastAsia="Times New Roman"/>
          <w:lang w:eastAsia="fi-FI"/>
        </w:rPr>
        <w:t xml:space="preserve"> years whose </w:t>
      </w:r>
      <w:r w:rsidR="00C110B7" w:rsidRPr="00C110B7">
        <w:rPr>
          <w:rFonts w:eastAsia="Times New Roman"/>
          <w:lang w:eastAsia="fi-FI"/>
        </w:rPr>
        <w:t>highest</w:t>
      </w:r>
      <w:r w:rsidR="00C110B7">
        <w:rPr>
          <w:rFonts w:eastAsia="Times New Roman"/>
          <w:lang w:eastAsia="fi-FI"/>
        </w:rPr>
        <w:t xml:space="preserve"> </w:t>
      </w:r>
      <w:r w:rsidR="00C110B7" w:rsidRPr="00C110B7">
        <w:rPr>
          <w:rFonts w:eastAsia="Times New Roman"/>
          <w:lang w:eastAsia="fi-FI"/>
        </w:rPr>
        <w:t>education</w:t>
      </w:r>
      <w:r w:rsidR="00C110B7">
        <w:rPr>
          <w:rFonts w:eastAsia="Times New Roman"/>
          <w:lang w:eastAsia="fi-FI"/>
        </w:rPr>
        <w:t xml:space="preserve"> </w:t>
      </w:r>
      <w:r w:rsidR="00C110B7" w:rsidRPr="00C110B7">
        <w:rPr>
          <w:rFonts w:eastAsia="Times New Roman"/>
          <w:lang w:eastAsia="fi-FI"/>
        </w:rPr>
        <w:t>level</w:t>
      </w:r>
      <w:r w:rsidR="00C110B7">
        <w:rPr>
          <w:rFonts w:eastAsia="Times New Roman"/>
          <w:lang w:eastAsia="fi-FI"/>
        </w:rPr>
        <w:t xml:space="preserve"> </w:t>
      </w:r>
      <w:r w:rsidR="00C110B7" w:rsidRPr="00C110B7">
        <w:rPr>
          <w:rFonts w:eastAsia="Times New Roman"/>
          <w:lang w:eastAsia="fi-FI"/>
        </w:rPr>
        <w:t>was</w:t>
      </w:r>
      <w:r w:rsidR="00C110B7">
        <w:rPr>
          <w:rFonts w:eastAsia="Times New Roman"/>
          <w:lang w:eastAsia="fi-FI"/>
        </w:rPr>
        <w:t xml:space="preserve"> </w:t>
      </w:r>
      <w:r w:rsidR="00C110B7" w:rsidRPr="00C110B7">
        <w:rPr>
          <w:rFonts w:eastAsia="Times New Roman"/>
          <w:lang w:eastAsia="fi-FI"/>
        </w:rPr>
        <w:t>elementary</w:t>
      </w:r>
      <w:r w:rsidR="00C110B7">
        <w:rPr>
          <w:rFonts w:eastAsia="Times New Roman"/>
          <w:lang w:eastAsia="fi-FI"/>
        </w:rPr>
        <w:t xml:space="preserve"> </w:t>
      </w:r>
      <w:r w:rsidR="00C110B7" w:rsidRPr="00C110B7">
        <w:rPr>
          <w:rFonts w:eastAsia="Times New Roman"/>
          <w:lang w:eastAsia="fi-FI"/>
        </w:rPr>
        <w:t xml:space="preserve">school </w:t>
      </w:r>
      <w:r w:rsidR="00C110B7">
        <w:rPr>
          <w:rFonts w:eastAsia="Times New Roman"/>
          <w:lang w:eastAsia="fi-FI"/>
        </w:rPr>
        <w:t xml:space="preserve">(i.e. </w:t>
      </w:r>
      <w:r w:rsidRPr="00220EE3">
        <w:rPr>
          <w:rFonts w:eastAsia="Times New Roman"/>
          <w:lang w:eastAsia="fi-FI"/>
        </w:rPr>
        <w:t>low level of education</w:t>
      </w:r>
      <w:r w:rsidR="00C110B7">
        <w:rPr>
          <w:rFonts w:eastAsia="Times New Roman"/>
          <w:lang w:eastAsia="fi-FI"/>
        </w:rPr>
        <w:t>)</w:t>
      </w:r>
      <w:r w:rsidR="00866388" w:rsidRPr="00220EE3">
        <w:rPr>
          <w:rFonts w:eastAsia="Times New Roman"/>
          <w:lang w:eastAsia="fi-FI"/>
        </w:rPr>
        <w:t xml:space="preserve"> to construct an index</w:t>
      </w:r>
      <w:r w:rsidRPr="00220EE3">
        <w:rPr>
          <w:rFonts w:eastAsia="Times New Roman"/>
          <w:lang w:eastAsia="fi-FI"/>
        </w:rPr>
        <w:t xml:space="preserve"> </w:t>
      </w:r>
      <w:r w:rsidR="00866388" w:rsidRPr="00220EE3">
        <w:rPr>
          <w:rFonts w:eastAsia="Times New Roman"/>
          <w:lang w:eastAsia="fi-FI"/>
        </w:rPr>
        <w:t xml:space="preserve">of </w:t>
      </w:r>
      <w:r w:rsidRPr="00220EE3">
        <w:rPr>
          <w:rFonts w:eastAsia="Times New Roman"/>
          <w:lang w:eastAsia="fi-FI"/>
        </w:rPr>
        <w:t xml:space="preserve">neighborhood </w:t>
      </w:r>
      <w:r w:rsidR="00625B68" w:rsidRPr="00220EE3">
        <w:rPr>
          <w:rFonts w:eastAsia="Times New Roman"/>
          <w:lang w:eastAsia="fi-FI"/>
        </w:rPr>
        <w:t xml:space="preserve">disadvantage </w:t>
      </w:r>
      <w:r w:rsidR="00635B61" w:rsidRPr="00220EE3">
        <w:rPr>
          <w:rFonts w:eastAsia="Times New Roman"/>
          <w:lang w:eastAsia="fi-FI"/>
        </w:rPr>
        <w:lastRenderedPageBreak/>
        <w:fldChar w:fldCharType="begin" w:fldLock="1"/>
      </w:r>
      <w:r w:rsidR="00154AB2">
        <w:rPr>
          <w:rFonts w:eastAsia="Times New Roman"/>
          <w:lang w:eastAsia="fi-FI"/>
        </w:rPr>
        <w:instrText>ADDIN CSL_CITATION {"citationItems":[{"id":"ITEM-1","itemData":{"DOI":"10.1371/journal.pone.0032937","ISSN":"1932-6203","PMID":"22427912","abstract":"BACKGROUND The extent to which neighbourhood characteristics explain accumulation of health behaviours is poorly understood. We examined whether neighbourhood disadvantage was associated with co-occurrence of behaviour-related risk factors, and how much of the neighbourhood differences in the co-occurrence can be explained by individual and neighbourhood level covariates. METHODS The study population consisted of 60 694 Finnish Public Sector Study participants in 2004 and 2008. Neighbourhood disadvantage was determined using small-area level information on household income, education attainment, and unemployment rate, and linked with individual data using Global Positioning System-coordinates. Associations between neighbourhood disadvantage and co-occurrence of three behaviour-related risk factors (smoking, heavy alcohol use, and physical inactivity), and the extent to which individual and neighbourhood level covariates explain neighbourhood differences in co-occurrence of risk factors were determined with multilevel cumulative logistic regression. RESULTS After adjusting for age, sex, marital status, and population density we found a dose-response relationship between neighbourhood disadvantage and co-occurrence of risk factors within each level of individual socioeconomic status. The cumulative odds ratios for the sum of health risks comparing the most to the least disadvantaged neighbourhoods ranged between 1.13 (95% confidence interval (CI): 1.03-1.24) and 1.75 (95% CI, 1.54-1.98). Individual socioeconomic characteristics explained 35%, and neighbourhood disadvantage and population density 17% of the neighbourhood differences in the co-occurrence of risk factors. CONCLUSIONS Co-occurrence of poor health behaviours associated with neighbourhood disadvantage over and above individual's own socioeconomic status. Neighbourhood differences cannot be captured using individual socioeconomic factors alone, but neighbourhood level characteristics should also be considered.","author":[{"dropping-particle":"","family":"Halonen","given":"Jaana I","non-dropping-particle":"","parse-names":false,"suffix":""},{"dropping-particle":"","family":"Kivimäki","given":"Mika","non-dropping-particle":"","parse-names":false,"suffix":""},{"dropping-particle":"","family":"Pentti","given":"Jaana","non-dropping-particle":"","parse-names":false,"suffix":""},{"dropping-particle":"","family":"Kawachi","given":"Ichiro","non-dropping-particle":"","parse-names":false,"suffix":""},{"dropping-particle":"","family":"Virtanen","given":"Marianna","non-dropping-particle":"","parse-names":false,"suffix":""},{"dropping-particle":"","family":"Martikainen","given":"Pekka","non-dropping-particle":"","parse-names":false,"suffix":""},{"dropping-particle":"V","family":"Subramanian","given":"S","non-dropping-particle":"","parse-names":false,"suffix":""},{"dropping-particle":"","family":"Vahtera","given":"Jussi","non-dropping-particle":"","parse-names":false,"suffix":""}],"container-title":"PloS ONE","id":"ITEM-1","issue":"3","issued":{"date-parts":[["2012"]]},"page":"e32937","publisher":"Public Library of Science","title":"Quantifying neighbourhood socioeconomic effects in clustering of behaviour-related risk factors: a multilevel analysis.","type":"article-journal","volume":"7"},"uris":["http://www.mendeley.com/documents/?uuid=39a14a03-a301-4808-8679-223aba98de15"]}],"mendeley":{"formattedCitation":"(Halonen et al., 2012)","plainTextFormattedCitation":"(Halonen et al., 2012)","previouslyFormattedCitation":"(Halonen et al., 2012)"},"properties":{"noteIndex":0},"schema":"https://github.com/citation-style-language/schema/raw/master/csl-citation.json"}</w:instrText>
      </w:r>
      <w:r w:rsidR="00635B61" w:rsidRPr="00220EE3">
        <w:rPr>
          <w:rFonts w:eastAsia="Times New Roman"/>
          <w:lang w:eastAsia="fi-FI"/>
        </w:rPr>
        <w:fldChar w:fldCharType="separate"/>
      </w:r>
      <w:r w:rsidR="00C12E6F" w:rsidRPr="00C12E6F">
        <w:rPr>
          <w:rFonts w:eastAsia="Times New Roman"/>
          <w:noProof/>
          <w:lang w:eastAsia="fi-FI"/>
        </w:rPr>
        <w:t>(Halonen et al., 2012)</w:t>
      </w:r>
      <w:r w:rsidR="00635B61" w:rsidRPr="00220EE3">
        <w:rPr>
          <w:rFonts w:eastAsia="Times New Roman"/>
          <w:lang w:eastAsia="fi-FI"/>
        </w:rPr>
        <w:fldChar w:fldCharType="end"/>
      </w:r>
      <w:r w:rsidR="00220EE3" w:rsidRPr="00220EE3">
        <w:rPr>
          <w:rFonts w:eastAsia="Times New Roman"/>
          <w:lang w:eastAsia="fi-FI"/>
        </w:rPr>
        <w:t xml:space="preserve">. </w:t>
      </w:r>
      <w:r w:rsidRPr="00220EE3">
        <w:rPr>
          <w:rFonts w:eastAsia="Times New Roman"/>
          <w:lang w:eastAsia="fi-FI"/>
        </w:rPr>
        <w:t xml:space="preserve">For each of the three variables, we derived a standardized z score </w:t>
      </w:r>
      <w:r w:rsidR="00635B61" w:rsidRPr="00220EE3">
        <w:rPr>
          <w:rFonts w:eastAsia="Times New Roman"/>
          <w:lang w:eastAsia="fi-FI"/>
        </w:rPr>
        <w:t xml:space="preserve">based on the total Finnish population </w:t>
      </w:r>
      <w:r w:rsidRPr="00220EE3">
        <w:rPr>
          <w:rFonts w:eastAsia="Times New Roman"/>
          <w:lang w:eastAsia="fi-FI"/>
        </w:rPr>
        <w:t xml:space="preserve">(mean=0, SD=1). </w:t>
      </w:r>
      <w:r w:rsidR="00941183" w:rsidRPr="00220EE3">
        <w:rPr>
          <w:rFonts w:eastAsia="Times New Roman"/>
          <w:lang w:eastAsia="fi-FI"/>
        </w:rPr>
        <w:t xml:space="preserve">A score for neighborhood SES was then calculated by taking the mean value across </w:t>
      </w:r>
      <w:r w:rsidR="00FC5F5E">
        <w:rPr>
          <w:rFonts w:eastAsia="Times New Roman"/>
          <w:lang w:eastAsia="fi-FI"/>
        </w:rPr>
        <w:t>the three</w:t>
      </w:r>
      <w:r w:rsidR="00941183" w:rsidRPr="00220EE3">
        <w:rPr>
          <w:rFonts w:eastAsia="Times New Roman"/>
          <w:lang w:eastAsia="fi-FI"/>
        </w:rPr>
        <w:t xml:space="preserve"> z scores.</w:t>
      </w:r>
      <w:r w:rsidR="00F04FB7">
        <w:rPr>
          <w:rFonts w:eastAsia="Times New Roman"/>
          <w:lang w:eastAsia="fi-FI"/>
        </w:rPr>
        <w:t xml:space="preserve"> </w:t>
      </w:r>
      <w:r w:rsidRPr="00220EE3">
        <w:rPr>
          <w:rFonts w:eastAsia="Times New Roman"/>
          <w:lang w:eastAsia="fi-FI"/>
        </w:rPr>
        <w:t xml:space="preserve">We linked these data to the cohort participants’ home </w:t>
      </w:r>
      <w:r w:rsidRPr="00606724">
        <w:rPr>
          <w:rFonts w:eastAsia="Times New Roman"/>
          <w:lang w:eastAsia="fi-FI"/>
        </w:rPr>
        <w:t xml:space="preserve">addresses </w:t>
      </w:r>
      <w:r w:rsidR="00C20E4E" w:rsidRPr="00606724">
        <w:rPr>
          <w:rFonts w:eastAsia="Times New Roman"/>
          <w:lang w:eastAsia="fi-FI"/>
        </w:rPr>
        <w:t xml:space="preserve">with dates of moves </w:t>
      </w:r>
      <w:r w:rsidRPr="00606724">
        <w:rPr>
          <w:rFonts w:eastAsia="Times New Roman"/>
          <w:lang w:eastAsia="fi-FI"/>
        </w:rPr>
        <w:t>between 199</w:t>
      </w:r>
      <w:r w:rsidR="00FF13D1" w:rsidRPr="00606724">
        <w:rPr>
          <w:rFonts w:eastAsia="Times New Roman"/>
          <w:lang w:eastAsia="fi-FI"/>
        </w:rPr>
        <w:t>8</w:t>
      </w:r>
      <w:r w:rsidRPr="00606724">
        <w:rPr>
          <w:rFonts w:eastAsia="Times New Roman"/>
          <w:lang w:eastAsia="fi-FI"/>
        </w:rPr>
        <w:t xml:space="preserve"> and 2003 using the latitude and longitude coordinates. </w:t>
      </w:r>
      <w:r w:rsidR="00606724" w:rsidRPr="00154537">
        <w:rPr>
          <w:rFonts w:eastAsia="Times New Roman"/>
          <w:lang w:eastAsia="fi-FI"/>
        </w:rPr>
        <w:t xml:space="preserve">In total, the 16,522 participants had lived in 11,594 different neighborhoods during the follow-up. </w:t>
      </w:r>
      <w:r w:rsidR="003D43CD" w:rsidRPr="00154537">
        <w:rPr>
          <w:rFonts w:eastAsia="Times New Roman"/>
          <w:lang w:eastAsia="fi-FI"/>
        </w:rPr>
        <w:t xml:space="preserve">We identified those who were non-movers (the same residential address during the entire 6-year period) and movers (multiple residential addresses in the 6-year period; mean number of residential addresses was 3.2). </w:t>
      </w:r>
      <w:r w:rsidR="00BA052C" w:rsidRPr="00220EE3">
        <w:rPr>
          <w:rFonts w:eastAsia="Times New Roman"/>
          <w:lang w:eastAsia="fi-FI"/>
        </w:rPr>
        <w:t xml:space="preserve">For </w:t>
      </w:r>
      <w:r w:rsidR="00BA052C">
        <w:rPr>
          <w:rFonts w:eastAsia="Times New Roman"/>
          <w:lang w:eastAsia="fi-FI"/>
        </w:rPr>
        <w:t>the non-movers and the movers</w:t>
      </w:r>
      <w:r w:rsidR="00BA052C" w:rsidRPr="00220EE3">
        <w:rPr>
          <w:rFonts w:eastAsia="Times New Roman"/>
          <w:lang w:eastAsia="fi-FI"/>
        </w:rPr>
        <w:t xml:space="preserve">, we calculated cumulative </w:t>
      </w:r>
      <w:r w:rsidR="00BA052C">
        <w:rPr>
          <w:rFonts w:eastAsia="Times New Roman"/>
          <w:lang w:eastAsia="fi-FI"/>
        </w:rPr>
        <w:t xml:space="preserve">neighborhood </w:t>
      </w:r>
      <w:r w:rsidR="00BA052C" w:rsidRPr="00220EE3">
        <w:rPr>
          <w:rFonts w:eastAsia="Times New Roman"/>
          <w:lang w:eastAsia="fi-FI"/>
        </w:rPr>
        <w:t>disadvantage</w:t>
      </w:r>
      <w:r w:rsidR="00BA052C">
        <w:rPr>
          <w:rFonts w:eastAsia="Times New Roman"/>
          <w:lang w:eastAsia="fi-FI"/>
        </w:rPr>
        <w:t xml:space="preserve"> (CND)</w:t>
      </w:r>
      <w:r w:rsidR="00BA052C" w:rsidRPr="00220EE3">
        <w:rPr>
          <w:rFonts w:eastAsia="Times New Roman"/>
          <w:lang w:eastAsia="fi-FI"/>
        </w:rPr>
        <w:t xml:space="preserve"> score </w:t>
      </w:r>
      <w:r w:rsidR="00BA052C">
        <w:rPr>
          <w:rFonts w:eastAsia="Times New Roman"/>
          <w:lang w:eastAsia="fi-FI"/>
        </w:rPr>
        <w:t>weighted by</w:t>
      </w:r>
      <w:r w:rsidR="00BA052C" w:rsidRPr="00220EE3">
        <w:rPr>
          <w:rFonts w:eastAsia="Times New Roman"/>
          <w:lang w:eastAsia="fi-FI"/>
        </w:rPr>
        <w:t xml:space="preserve"> residential time</w:t>
      </w:r>
      <w:r w:rsidR="00BA052C">
        <w:rPr>
          <w:rFonts w:eastAsia="Times New Roman"/>
          <w:lang w:eastAsia="fi-FI"/>
        </w:rPr>
        <w:t xml:space="preserve"> in each address</w:t>
      </w:r>
      <w:r w:rsidR="00BA052C" w:rsidRPr="00220EE3">
        <w:rPr>
          <w:rFonts w:eastAsia="Times New Roman"/>
          <w:lang w:eastAsia="fi-FI"/>
        </w:rPr>
        <w:t xml:space="preserve"> </w:t>
      </w:r>
      <w:r w:rsidR="00BA052C" w:rsidRPr="00A277F2">
        <w:rPr>
          <w:rFonts w:eastAsia="Times New Roman"/>
          <w:lang w:eastAsia="fi-FI"/>
        </w:rPr>
        <w:fldChar w:fldCharType="begin" w:fldLock="1"/>
      </w:r>
      <w:r w:rsidR="003F71F0">
        <w:rPr>
          <w:rFonts w:eastAsia="Times New Roman"/>
          <w:lang w:eastAsia="fi-FI"/>
        </w:rPr>
        <w:instrText>ADDIN CSL_CITATION {"citationItems":[{"id":"ITEM-1","itemData":{"author":[{"dropping-particle":"","family":"Halonen","given":"Jaana I.","non-dropping-particle":"","parse-names":false,"suffix":""},{"dropping-particle":"","family":"Stenholm","given":"Sari","non-dropping-particle":"","parse-names":false,"suffix":""},{"dropping-particle":"","family":"Pentti","given":"Jaana","non-dropping-particle":"","parse-names":false,"suffix":""},{"dropping-particle":"","family":"Kawachi","given":"Ichiro","non-dropping-particle":"","parse-names":false,"suffix":""},{"dropping-particle":"","family":"Subramanian","given":"S.V.","non-dropping-particle":"","parse-names":false,"suffix":""},{"dropping-particle":"","family":"Kivimäki","given":"Mika","non-dropping-particle":"","parse-names":false,"suffix":""},{"dropping-particle":"","family":"Vahtera","given":"Jussi","non-dropping-particle":"","parse-names":false,"suffix":""}],"container-title":"Circulation","id":"ITEM-1","issue":"5","issued":{"date-parts":[["2015"]]},"page":"371-379","title":"Childhood Psychosocial Adversity and Adult Neighborhood Disadvantage as Predictors of Cardiovascular DiseaseClinical Perspective","type":"article-journal","volume":"132"},"uris":["http://www.mendeley.com/documents/?uuid=923ee367-c7bb-49ed-b808-d6326320ea71"]}],"mendeley":{"formattedCitation":"(Halonen et al., 2015)","plainTextFormattedCitation":"(Halonen et al., 2015)","previouslyFormattedCitation":"(Halonen et al., 2015)"},"properties":{"noteIndex":0},"schema":"https://github.com/citation-style-language/schema/raw/master/csl-citation.json"}</w:instrText>
      </w:r>
      <w:r w:rsidR="00BA052C" w:rsidRPr="00A277F2">
        <w:rPr>
          <w:rFonts w:eastAsia="Times New Roman"/>
          <w:lang w:eastAsia="fi-FI"/>
        </w:rPr>
        <w:fldChar w:fldCharType="separate"/>
      </w:r>
      <w:r w:rsidR="00BA052C" w:rsidRPr="00C12E6F">
        <w:rPr>
          <w:rFonts w:eastAsia="Times New Roman"/>
          <w:noProof/>
          <w:lang w:eastAsia="fi-FI"/>
        </w:rPr>
        <w:t>(Halonen et al., 2015)</w:t>
      </w:r>
      <w:r w:rsidR="00BA052C" w:rsidRPr="00A277F2">
        <w:rPr>
          <w:rFonts w:eastAsia="Times New Roman"/>
          <w:lang w:eastAsia="fi-FI"/>
        </w:rPr>
        <w:fldChar w:fldCharType="end"/>
      </w:r>
      <w:r w:rsidR="00BA052C">
        <w:rPr>
          <w:rFonts w:eastAsia="Times New Roman"/>
          <w:lang w:eastAsia="fi-FI"/>
        </w:rPr>
        <w:t xml:space="preserve"> using the formula:</w:t>
      </w:r>
    </w:p>
    <w:p w14:paraId="69124549" w14:textId="77777777" w:rsidR="00953E41" w:rsidRDefault="00953E41" w:rsidP="00BA052C">
      <w:pPr>
        <w:spacing w:after="0" w:line="360" w:lineRule="auto"/>
        <w:rPr>
          <w:rFonts w:eastAsia="Times New Roman"/>
          <w:lang w:eastAsia="fi-FI"/>
        </w:rPr>
      </w:pPr>
    </w:p>
    <w:p w14:paraId="1313916B" w14:textId="061C2EAD" w:rsidR="00BA052C" w:rsidRPr="00BA052C" w:rsidRDefault="00BA052C" w:rsidP="006D245A">
      <w:pPr>
        <w:spacing w:after="0" w:line="240" w:lineRule="auto"/>
        <w:rPr>
          <w:rFonts w:eastAsia="Times New Roman"/>
          <w:lang w:eastAsia="fi-FI"/>
        </w:rPr>
      </w:pPr>
      <m:oMath>
        <m:r>
          <w:rPr>
            <w:rFonts w:ascii="Cambria Math" w:eastAsia="Times New Roman" w:hAnsi="Cambria Math"/>
            <w:lang w:eastAsia="fi-FI"/>
          </w:rPr>
          <w:lastRenderedPageBreak/>
          <m:t>CND=</m:t>
        </m:r>
        <m:nary>
          <m:naryPr>
            <m:chr m:val="∑"/>
            <m:grow m:val="1"/>
            <m:ctrlPr>
              <w:rPr>
                <w:rFonts w:ascii="Cambria Math" w:eastAsia="Times New Roman" w:hAnsi="Cambria Math"/>
                <w:i/>
                <w:iCs/>
                <w:lang w:val="fi-FI" w:eastAsia="fi-FI"/>
              </w:rPr>
            </m:ctrlPr>
          </m:naryPr>
          <m:sub>
            <m:r>
              <w:rPr>
                <w:rFonts w:ascii="Cambria Math" w:eastAsia="Times New Roman" w:hAnsi="Cambria Math"/>
                <w:lang w:eastAsia="fi-FI"/>
              </w:rPr>
              <m:t>i=1</m:t>
            </m:r>
          </m:sub>
          <m:sup>
            <m:r>
              <w:rPr>
                <w:rFonts w:ascii="Cambria Math" w:eastAsia="Times New Roman" w:hAnsi="Cambria Math"/>
                <w:lang w:eastAsia="fi-FI"/>
              </w:rPr>
              <m:t>N</m:t>
            </m:r>
          </m:sup>
          <m:e>
            <m:d>
              <m:dPr>
                <m:ctrlPr>
                  <w:rPr>
                    <w:rFonts w:ascii="Cambria Math" w:eastAsia="Times New Roman" w:hAnsi="Cambria Math"/>
                    <w:i/>
                    <w:iCs/>
                    <w:lang w:val="fi-FI" w:eastAsia="fi-FI"/>
                  </w:rPr>
                </m:ctrlPr>
              </m:dPr>
              <m:e>
                <m:sSub>
                  <m:sSubPr>
                    <m:ctrlPr>
                      <w:rPr>
                        <w:rFonts w:ascii="Cambria Math" w:eastAsia="Times New Roman" w:hAnsi="Cambria Math"/>
                        <w:i/>
                        <w:iCs/>
                        <w:lang w:val="fi-FI" w:eastAsia="fi-FI"/>
                      </w:rPr>
                    </m:ctrlPr>
                  </m:sSubPr>
                  <m:e>
                    <m:r>
                      <w:rPr>
                        <w:rFonts w:ascii="Cambria Math" w:eastAsia="Times New Roman" w:hAnsi="Cambria Math"/>
                        <w:lang w:eastAsia="fi-FI"/>
                      </w:rPr>
                      <m:t>T</m:t>
                    </m:r>
                  </m:e>
                  <m:sub>
                    <m:r>
                      <w:rPr>
                        <w:rFonts w:ascii="Cambria Math" w:eastAsia="Times New Roman" w:hAnsi="Cambria Math"/>
                        <w:lang w:eastAsia="fi-FI"/>
                      </w:rPr>
                      <m:t>i</m:t>
                    </m:r>
                  </m:sub>
                </m:sSub>
                <m:sSub>
                  <m:sSubPr>
                    <m:ctrlPr>
                      <w:rPr>
                        <w:rFonts w:ascii="Cambria Math" w:eastAsia="Times New Roman" w:hAnsi="Cambria Math"/>
                        <w:i/>
                        <w:iCs/>
                        <w:lang w:val="fi-FI" w:eastAsia="fi-FI"/>
                      </w:rPr>
                    </m:ctrlPr>
                  </m:sSubPr>
                  <m:e>
                    <m:r>
                      <w:rPr>
                        <w:rFonts w:ascii="Cambria Math" w:eastAsia="Times New Roman" w:hAnsi="Cambria Math"/>
                        <w:lang w:eastAsia="fi-FI"/>
                      </w:rPr>
                      <m:t>D</m:t>
                    </m:r>
                  </m:e>
                  <m:sub>
                    <m:r>
                      <w:rPr>
                        <w:rFonts w:ascii="Cambria Math" w:eastAsia="Times New Roman" w:hAnsi="Cambria Math"/>
                        <w:lang w:eastAsia="fi-FI"/>
                      </w:rPr>
                      <m:t>i</m:t>
                    </m:r>
                  </m:sub>
                </m:sSub>
              </m:e>
            </m:d>
            <m:r>
              <w:rPr>
                <w:rFonts w:ascii="Cambria Math" w:eastAsia="Times New Roman" w:hAnsi="Cambria Math"/>
                <w:lang w:eastAsia="fi-FI"/>
              </w:rPr>
              <m:t>/</m:t>
            </m:r>
          </m:e>
        </m:nary>
        <m:nary>
          <m:naryPr>
            <m:chr m:val="∑"/>
            <m:grow m:val="1"/>
            <m:ctrlPr>
              <w:rPr>
                <w:rFonts w:ascii="Cambria Math" w:eastAsia="Times New Roman" w:hAnsi="Cambria Math"/>
                <w:i/>
                <w:iCs/>
                <w:lang w:val="fi-FI" w:eastAsia="fi-FI"/>
              </w:rPr>
            </m:ctrlPr>
          </m:naryPr>
          <m:sub>
            <m:r>
              <w:rPr>
                <w:rFonts w:ascii="Cambria Math" w:eastAsia="Times New Roman" w:hAnsi="Cambria Math"/>
                <w:lang w:eastAsia="fi-FI"/>
              </w:rPr>
              <m:t>i=1</m:t>
            </m:r>
          </m:sub>
          <m:sup>
            <m:r>
              <w:rPr>
                <w:rFonts w:ascii="Cambria Math" w:eastAsia="Times New Roman" w:hAnsi="Cambria Math"/>
                <w:lang w:eastAsia="fi-FI"/>
              </w:rPr>
              <m:t>N</m:t>
            </m:r>
          </m:sup>
          <m:e>
            <m:d>
              <m:dPr>
                <m:ctrlPr>
                  <w:rPr>
                    <w:rFonts w:ascii="Cambria Math" w:eastAsia="Times New Roman" w:hAnsi="Cambria Math"/>
                    <w:i/>
                    <w:iCs/>
                    <w:lang w:val="fi-FI" w:eastAsia="fi-FI"/>
                  </w:rPr>
                </m:ctrlPr>
              </m:dPr>
              <m:e>
                <m:sSub>
                  <m:sSubPr>
                    <m:ctrlPr>
                      <w:rPr>
                        <w:rFonts w:ascii="Cambria Math" w:eastAsia="Times New Roman" w:hAnsi="Cambria Math"/>
                        <w:i/>
                        <w:iCs/>
                        <w:lang w:val="fi-FI" w:eastAsia="fi-FI"/>
                      </w:rPr>
                    </m:ctrlPr>
                  </m:sSubPr>
                  <m:e>
                    <m:r>
                      <w:rPr>
                        <w:rFonts w:ascii="Cambria Math" w:eastAsia="Times New Roman" w:hAnsi="Cambria Math"/>
                        <w:lang w:eastAsia="fi-FI"/>
                      </w:rPr>
                      <m:t>T</m:t>
                    </m:r>
                  </m:e>
                  <m:sub>
                    <m:r>
                      <w:rPr>
                        <w:rFonts w:ascii="Cambria Math" w:eastAsia="Times New Roman" w:hAnsi="Cambria Math"/>
                        <w:lang w:eastAsia="fi-FI"/>
                      </w:rPr>
                      <m:t>i</m:t>
                    </m:r>
                  </m:sub>
                </m:sSub>
              </m:e>
            </m:d>
          </m:e>
        </m:nary>
      </m:oMath>
      <w:r w:rsidRPr="00BA052C">
        <w:rPr>
          <w:rFonts w:eastAsia="Times New Roman"/>
          <w:lang w:eastAsia="fi-FI"/>
        </w:rPr>
        <w:t>,</w:t>
      </w:r>
      <w:r>
        <w:rPr>
          <w:rFonts w:eastAsia="Times New Roman"/>
          <w:lang w:eastAsia="fi-FI"/>
        </w:rPr>
        <w:t xml:space="preserve"> w</w:t>
      </w:r>
      <w:r w:rsidRPr="00BA052C">
        <w:rPr>
          <w:rFonts w:eastAsia="Times New Roman"/>
          <w:lang w:eastAsia="fi-FI"/>
        </w:rPr>
        <w:t>here</w:t>
      </w:r>
      <w:r>
        <w:rPr>
          <w:rFonts w:eastAsia="Times New Roman"/>
          <w:lang w:eastAsia="fi-FI"/>
        </w:rPr>
        <w:t xml:space="preserve"> </w:t>
      </w:r>
      <w:r w:rsidRPr="00BA052C">
        <w:rPr>
          <w:rFonts w:eastAsia="Times New Roman"/>
          <w:lang w:eastAsia="fi-FI"/>
        </w:rPr>
        <w:t>N = number of home addresses</w:t>
      </w:r>
      <w:r w:rsidR="00953E41">
        <w:rPr>
          <w:rFonts w:eastAsia="Times New Roman"/>
          <w:lang w:eastAsia="fi-FI"/>
        </w:rPr>
        <w:t>;</w:t>
      </w:r>
      <w:r>
        <w:rPr>
          <w:rFonts w:eastAsia="Times New Roman"/>
          <w:lang w:eastAsia="fi-FI"/>
        </w:rPr>
        <w:t xml:space="preserve"> </w:t>
      </w:r>
      <w:r w:rsidRPr="00BA052C">
        <w:rPr>
          <w:rFonts w:eastAsia="Times New Roman"/>
          <w:lang w:eastAsia="fi-FI"/>
        </w:rPr>
        <w:t>T</w:t>
      </w:r>
      <w:r w:rsidRPr="00BA052C">
        <w:rPr>
          <w:rFonts w:eastAsia="Times New Roman"/>
          <w:vertAlign w:val="subscript"/>
          <w:lang w:eastAsia="fi-FI"/>
        </w:rPr>
        <w:t>i</w:t>
      </w:r>
      <w:r w:rsidRPr="00BA052C">
        <w:rPr>
          <w:rFonts w:eastAsia="Times New Roman"/>
          <w:lang w:eastAsia="fi-FI"/>
        </w:rPr>
        <w:t xml:space="preserve"> = residential time in address </w:t>
      </w:r>
      <w:r>
        <w:rPr>
          <w:rFonts w:eastAsia="Times New Roman"/>
          <w:lang w:eastAsia="fi-FI"/>
        </w:rPr>
        <w:t xml:space="preserve">i; </w:t>
      </w:r>
      <w:r w:rsidRPr="00BA052C">
        <w:rPr>
          <w:rFonts w:eastAsia="Times New Roman"/>
          <w:lang w:eastAsia="fi-FI"/>
        </w:rPr>
        <w:t>D</w:t>
      </w:r>
      <w:r w:rsidRPr="00BA052C">
        <w:rPr>
          <w:rFonts w:eastAsia="Times New Roman"/>
          <w:vertAlign w:val="subscript"/>
          <w:lang w:eastAsia="fi-FI"/>
        </w:rPr>
        <w:t>i</w:t>
      </w:r>
      <w:r w:rsidRPr="00BA052C">
        <w:rPr>
          <w:rFonts w:eastAsia="Times New Roman"/>
          <w:lang w:eastAsia="fi-FI"/>
        </w:rPr>
        <w:t xml:space="preserve"> = neighborhood disadvantage in address i</w:t>
      </w:r>
    </w:p>
    <w:p w14:paraId="68970CE4" w14:textId="77777777" w:rsidR="00BA052C" w:rsidRDefault="00BA052C" w:rsidP="006D245A">
      <w:pPr>
        <w:spacing w:after="0" w:line="360" w:lineRule="auto"/>
        <w:rPr>
          <w:rFonts w:eastAsia="Times New Roman"/>
          <w:lang w:eastAsia="fi-FI"/>
        </w:rPr>
      </w:pPr>
    </w:p>
    <w:p w14:paraId="332364B5" w14:textId="2C82C696" w:rsidR="006D245A" w:rsidRDefault="00577E7F" w:rsidP="00BA052C">
      <w:pPr>
        <w:spacing w:after="0" w:line="360" w:lineRule="auto"/>
        <w:rPr>
          <w:rFonts w:eastAsia="Times New Roman"/>
          <w:lang w:eastAsia="fi-FI"/>
        </w:rPr>
      </w:pPr>
      <w:r w:rsidRPr="00E96E90">
        <w:t xml:space="preserve">We divided the cumulative neighborhood disadvantage score into five categories: very low (cumulative neighborhood disadvantage score &gt;1.0), low (0.5 to 1.0), intermediate (&gt;-0.5 to &lt;0.5), high (-0.5 to -1.0) and very high (&lt;-1.0) </w:t>
      </w:r>
      <w:r w:rsidRPr="00E96E90">
        <w:fldChar w:fldCharType="begin" w:fldLock="1"/>
      </w:r>
      <w:r w:rsidRPr="00E96E90">
        <w:instrText>ADDIN CSL_CITATION {"citationItems":[{"id":"ITEM-1","itemData":{"author":[{"dropping-particle":"","family":"Kivimäki","given":"Mika","non-dropping-particle":"","parse-names":false,"suffix":""},{"dropping-particle":"","family":"Vahtera","given":"Jussi","non-dropping-particle":"","parse-names":false,"suffix":""},{"dropping-particle":"","family":"Tabák","given":"AG","non-dropping-particle":"","parse-names":false,"suffix":""},{"dropping-particle":"","family":"Halonen","given":"Jaana I.","non-dropping-particle":"","parse-names":false,"suffix":""},{"dropping-particle":"","family":"Vineis","given":"P","non-dropping-particle":"","parse-names":false,"suffix":""},{"dropping-particle":"","family":"Pentti","given":"Jaana","non-dropping-particle":"","parse-names":false,"suffix":""},{"dropping-particle":"","family":"Kähönen","given":"Mika","non-dropping-particle":"","parse-names":false,"suffix":""},{"dropping-particle":"","family":"Juonala","given":"Markus","non-dropping-particle":"","parse-names":false,"suffix":""},{"dropping-particle":"","family":"Ferrie","given":"JE","non-dropping-particle":"","parse-names":false,"suffix":""},{"dropping-particle":"","family":"Stringhini","given":"S","non-dropping-particle":"","parse-names":false,"suffix":""},{"dropping-particle":"","family":"Raitakari","given":"Olli T.","non-dropping-particle":"","parse-names":false,"suffix":""}],"container-title":"Lancet Public Health","id":"ITEM-1","issued":{"date-parts":[["2018"]]},"title":"Neighbourhood socioeconomic disadvantage, risk factors, and diabetes: a cohort study from childhood to middle age","type":"article-journal"},"uris":["http://www.mendeley.com/documents/?uuid=113fd343-f6eb-4b4e-9c45-e9fb7777a6a6","http://www.mendeley.com/documents/?uuid=e6672b29-c534-4c53-8fd8-ca124ea4dd98","http://www.mendeley.com/documents/?uuid=cffbf93e-f019-4285-9418-9ca8f1c48d8f","http://www.mendeley.com/documents/?uuid=9c93a8cb-0ff0-467f-a8a5-b9c2f5c2e064","http://www.mendeley.com/documents/?uuid=f7d833c1-424e-44b0-8442-580ccb80659f","http://www.mendeley.com/documents/?uuid=df220b0f-55fe-4d5d-86d7-bc0afd6112e9","http://www.mendeley.com/documents/?uuid=6b20bf49-6aea-4828-9508-baf6533c57cf","http://www.mendeley.com/documents/?uuid=8e3f3d3b-7f01-4040-b1e8-398a46c94f31"]}],"mendeley":{"formattedCitation":"(Kivimäki et al., 2018a)","manualFormatting":"(Kivimäki et al., 2018)","plainTextFormattedCitation":"(Kivimäki et al., 2018a)","previouslyFormattedCitation":"(Kivimäki et al., 2018a)"},"properties":{"noteIndex":0},"schema":"https://github.com/citation-style-language/schema/raw/master/csl-citation.json"}</w:instrText>
      </w:r>
      <w:r w:rsidRPr="00E96E90">
        <w:fldChar w:fldCharType="separate"/>
      </w:r>
      <w:r w:rsidRPr="00E96E90">
        <w:t>(Kivimäki et al., 2018)</w:t>
      </w:r>
      <w:r w:rsidRPr="00E96E90">
        <w:fldChar w:fldCharType="end"/>
      </w:r>
      <w:r w:rsidRPr="00E96E90">
        <w:t xml:space="preserve">. The proportion of Finnish adults with primary education only </w:t>
      </w:r>
      <w:r>
        <w:t>was</w:t>
      </w:r>
      <w:r w:rsidRPr="00E96E90">
        <w:t xml:space="preserve"> 56 %</w:t>
      </w:r>
      <w:r>
        <w:t xml:space="preserve"> in areas of low</w:t>
      </w:r>
      <w:r w:rsidRPr="00E96E90">
        <w:t xml:space="preserve"> and 18 % in areas </w:t>
      </w:r>
      <w:r>
        <w:t>of</w:t>
      </w:r>
      <w:r w:rsidRPr="00E96E90">
        <w:t xml:space="preserve"> high neighborhood SES, respectively. </w:t>
      </w:r>
      <w:r>
        <w:t xml:space="preserve">For these groups, average levels of </w:t>
      </w:r>
      <w:r w:rsidR="00EE7E4A">
        <w:t xml:space="preserve">annual </w:t>
      </w:r>
      <w:r>
        <w:t>h</w:t>
      </w:r>
      <w:r w:rsidRPr="00E96E90">
        <w:t>ousehold income were 12,832 euros and 38,483</w:t>
      </w:r>
      <w:r w:rsidRPr="00E96E90" w:rsidDel="00606724">
        <w:t xml:space="preserve"> </w:t>
      </w:r>
      <w:r w:rsidRPr="00E96E90">
        <w:t>euros, and unemployment rate</w:t>
      </w:r>
      <w:r>
        <w:t>s</w:t>
      </w:r>
      <w:r w:rsidRPr="00E96E90">
        <w:t xml:space="preserve"> 30</w:t>
      </w:r>
      <w:r w:rsidRPr="00E96E90" w:rsidDel="00606724">
        <w:t xml:space="preserve"> </w:t>
      </w:r>
      <w:r w:rsidRPr="00E96E90">
        <w:t>% and 3</w:t>
      </w:r>
      <w:r w:rsidRPr="00E96E90" w:rsidDel="00606724">
        <w:t xml:space="preserve"> </w:t>
      </w:r>
      <w:r w:rsidRPr="00E96E90">
        <w:t>%, respectively</w:t>
      </w:r>
    </w:p>
    <w:p w14:paraId="7ABB463C" w14:textId="77777777" w:rsidR="00577E7F" w:rsidRDefault="00577E7F" w:rsidP="00BA052C">
      <w:pPr>
        <w:spacing w:after="0" w:line="360" w:lineRule="auto"/>
        <w:rPr>
          <w:rFonts w:eastAsia="Times New Roman"/>
          <w:lang w:eastAsia="fi-FI"/>
        </w:rPr>
      </w:pPr>
    </w:p>
    <w:p w14:paraId="7D8272E4" w14:textId="77777777" w:rsidR="00577E7F" w:rsidRDefault="00577E7F" w:rsidP="00BA052C">
      <w:pPr>
        <w:spacing w:after="0" w:line="360" w:lineRule="auto"/>
        <w:rPr>
          <w:rFonts w:eastAsia="Times New Roman"/>
          <w:lang w:eastAsia="fi-FI"/>
        </w:rPr>
      </w:pPr>
    </w:p>
    <w:p w14:paraId="4988DB55" w14:textId="77777777" w:rsidR="007A54DC" w:rsidRPr="00220EE3" w:rsidRDefault="007A54DC" w:rsidP="008C1A3C">
      <w:pPr>
        <w:spacing w:after="0" w:line="360" w:lineRule="auto"/>
        <w:rPr>
          <w:rFonts w:eastAsia="Times New Roman"/>
          <w:b/>
          <w:lang w:eastAsia="fi-FI"/>
        </w:rPr>
      </w:pPr>
      <w:r w:rsidRPr="00220EE3">
        <w:rPr>
          <w:rFonts w:eastAsia="Times New Roman"/>
          <w:b/>
          <w:lang w:eastAsia="fi-FI"/>
        </w:rPr>
        <w:t>Dietary habits</w:t>
      </w:r>
    </w:p>
    <w:p w14:paraId="49DD677C" w14:textId="31AB5B64" w:rsidR="00434C1C" w:rsidRPr="00220EE3" w:rsidRDefault="007A54DC" w:rsidP="00434C1C">
      <w:pPr>
        <w:spacing w:after="0" w:line="360" w:lineRule="auto"/>
      </w:pPr>
      <w:r w:rsidRPr="00220EE3">
        <w:rPr>
          <w:rFonts w:eastAsia="Times New Roman"/>
          <w:color w:val="2E2E2E"/>
          <w:lang w:eastAsia="fi-FI"/>
        </w:rPr>
        <w:t xml:space="preserve">The respondents reported their habitual frequency </w:t>
      </w:r>
      <w:r w:rsidR="00457441" w:rsidRPr="00220EE3">
        <w:rPr>
          <w:rFonts w:eastAsia="Times New Roman"/>
          <w:color w:val="2E2E2E"/>
          <w:lang w:eastAsia="fi-FI"/>
        </w:rPr>
        <w:t>of</w:t>
      </w:r>
      <w:r w:rsidR="0099455B" w:rsidRPr="00220EE3">
        <w:rPr>
          <w:rFonts w:eastAsia="Times New Roman"/>
          <w:color w:val="2E2E2E"/>
          <w:lang w:eastAsia="fi-FI"/>
        </w:rPr>
        <w:t xml:space="preserve"> </w:t>
      </w:r>
      <w:r w:rsidR="00505788" w:rsidRPr="00220EE3">
        <w:rPr>
          <w:rFonts w:eastAsia="Times New Roman"/>
          <w:color w:val="2E2E2E"/>
          <w:lang w:eastAsia="fi-FI"/>
        </w:rPr>
        <w:t xml:space="preserve">eating or drinking </w:t>
      </w:r>
      <w:r w:rsidRPr="00220EE3">
        <w:rPr>
          <w:rFonts w:eastAsia="Times New Roman"/>
          <w:color w:val="2E2E2E"/>
          <w:lang w:eastAsia="fi-FI"/>
        </w:rPr>
        <w:t xml:space="preserve">selected </w:t>
      </w:r>
      <w:r w:rsidR="00B10032" w:rsidRPr="00220EE3">
        <w:rPr>
          <w:rFonts w:eastAsia="Times New Roman"/>
          <w:color w:val="2E2E2E"/>
          <w:lang w:eastAsia="fi-FI"/>
        </w:rPr>
        <w:t>dietary components</w:t>
      </w:r>
      <w:r w:rsidR="004B13C8" w:rsidRPr="00220EE3">
        <w:rPr>
          <w:rFonts w:eastAsia="Times New Roman"/>
          <w:color w:val="2E2E2E"/>
          <w:lang w:eastAsia="fi-FI"/>
        </w:rPr>
        <w:t xml:space="preserve"> in 2003</w:t>
      </w:r>
      <w:r w:rsidR="00457441" w:rsidRPr="00220EE3">
        <w:rPr>
          <w:rFonts w:eastAsia="Times New Roman"/>
          <w:color w:val="2E2E2E"/>
          <w:lang w:eastAsia="fi-FI"/>
        </w:rPr>
        <w:t xml:space="preserve">. The </w:t>
      </w:r>
      <w:r w:rsidR="00610D4D" w:rsidRPr="00220EE3">
        <w:rPr>
          <w:rFonts w:eastAsia="Times New Roman"/>
          <w:color w:val="2E2E2E"/>
          <w:lang w:eastAsia="fi-FI"/>
        </w:rPr>
        <w:t>question</w:t>
      </w:r>
      <w:r w:rsidR="00457441" w:rsidRPr="00220EE3">
        <w:rPr>
          <w:rFonts w:eastAsia="Times New Roman"/>
          <w:color w:val="2E2E2E"/>
          <w:lang w:eastAsia="fi-FI"/>
        </w:rPr>
        <w:t xml:space="preserve"> asked</w:t>
      </w:r>
      <w:r w:rsidR="00FC5F5E">
        <w:rPr>
          <w:rFonts w:eastAsia="Times New Roman"/>
          <w:color w:val="2E2E2E"/>
          <w:lang w:eastAsia="fi-FI"/>
        </w:rPr>
        <w:t xml:space="preserve"> was</w:t>
      </w:r>
      <w:r w:rsidR="00505788" w:rsidRPr="00220EE3">
        <w:rPr>
          <w:rFonts w:eastAsia="Times New Roman"/>
          <w:color w:val="2E2E2E"/>
          <w:lang w:eastAsia="fi-FI"/>
        </w:rPr>
        <w:t>:</w:t>
      </w:r>
      <w:r w:rsidR="00610D4D" w:rsidRPr="00220EE3">
        <w:rPr>
          <w:rFonts w:eastAsia="Times New Roman"/>
          <w:color w:val="2E2E2E"/>
          <w:lang w:eastAsia="fi-FI"/>
        </w:rPr>
        <w:t xml:space="preserve"> </w:t>
      </w:r>
      <w:r w:rsidR="0099455B" w:rsidRPr="00220EE3">
        <w:rPr>
          <w:rFonts w:eastAsia="Times New Roman"/>
          <w:color w:val="2E2E2E"/>
          <w:lang w:eastAsia="fi-FI"/>
        </w:rPr>
        <w:t>“</w:t>
      </w:r>
      <w:r w:rsidR="00610D4D" w:rsidRPr="00220EE3">
        <w:rPr>
          <w:rFonts w:eastAsia="Times New Roman"/>
          <w:color w:val="2E2E2E"/>
          <w:lang w:eastAsia="fi-FI"/>
        </w:rPr>
        <w:t xml:space="preserve">How </w:t>
      </w:r>
      <w:r w:rsidR="004054AB" w:rsidRPr="00220EE3">
        <w:rPr>
          <w:rFonts w:eastAsia="Times New Roman"/>
          <w:color w:val="2E2E2E"/>
          <w:lang w:eastAsia="fi-FI"/>
        </w:rPr>
        <w:t xml:space="preserve">often </w:t>
      </w:r>
      <w:r w:rsidR="0099455B" w:rsidRPr="00220EE3">
        <w:rPr>
          <w:rFonts w:eastAsia="Times New Roman"/>
          <w:color w:val="2E2E2E"/>
          <w:lang w:eastAsia="fi-FI"/>
        </w:rPr>
        <w:t xml:space="preserve">have </w:t>
      </w:r>
      <w:r w:rsidR="00610D4D" w:rsidRPr="00220EE3">
        <w:rPr>
          <w:rFonts w:eastAsia="Times New Roman"/>
          <w:color w:val="2E2E2E"/>
          <w:lang w:eastAsia="fi-FI"/>
        </w:rPr>
        <w:t xml:space="preserve">you </w:t>
      </w:r>
      <w:r w:rsidR="004054AB" w:rsidRPr="00220EE3">
        <w:rPr>
          <w:rFonts w:eastAsia="Times New Roman"/>
          <w:color w:val="2E2E2E"/>
          <w:lang w:eastAsia="fi-FI"/>
        </w:rPr>
        <w:t>consumed</w:t>
      </w:r>
      <w:r w:rsidR="0099455B" w:rsidRPr="00220EE3">
        <w:rPr>
          <w:rFonts w:eastAsia="Times New Roman"/>
          <w:color w:val="2E2E2E"/>
          <w:lang w:eastAsia="fi-FI"/>
        </w:rPr>
        <w:t xml:space="preserve"> the</w:t>
      </w:r>
      <w:r w:rsidR="004054AB" w:rsidRPr="00220EE3">
        <w:rPr>
          <w:rFonts w:eastAsia="Times New Roman"/>
          <w:color w:val="2E2E2E"/>
          <w:lang w:eastAsia="fi-FI"/>
        </w:rPr>
        <w:t xml:space="preserve"> </w:t>
      </w:r>
      <w:r w:rsidR="00610D4D" w:rsidRPr="00220EE3">
        <w:rPr>
          <w:rFonts w:eastAsia="Times New Roman"/>
          <w:color w:val="2E2E2E"/>
          <w:lang w:eastAsia="fi-FI"/>
        </w:rPr>
        <w:t>following food</w:t>
      </w:r>
      <w:r w:rsidR="00505788" w:rsidRPr="00220EE3">
        <w:rPr>
          <w:rFonts w:eastAsia="Times New Roman"/>
          <w:color w:val="2E2E2E"/>
          <w:lang w:eastAsia="fi-FI"/>
        </w:rPr>
        <w:t xml:space="preserve"> items</w:t>
      </w:r>
      <w:r w:rsidR="00610D4D" w:rsidRPr="00220EE3">
        <w:rPr>
          <w:rFonts w:eastAsia="Times New Roman"/>
          <w:color w:val="2E2E2E"/>
          <w:lang w:eastAsia="fi-FI"/>
        </w:rPr>
        <w:t>?</w:t>
      </w:r>
      <w:r w:rsidR="0099455B" w:rsidRPr="00220EE3">
        <w:rPr>
          <w:rFonts w:eastAsia="Times New Roman"/>
          <w:color w:val="2E2E2E"/>
          <w:lang w:eastAsia="fi-FI"/>
        </w:rPr>
        <w:t>”</w:t>
      </w:r>
      <w:r w:rsidR="00505788" w:rsidRPr="00220EE3">
        <w:rPr>
          <w:rFonts w:eastAsia="Times New Roman"/>
          <w:color w:val="2E2E2E"/>
          <w:lang w:eastAsia="fi-FI"/>
        </w:rPr>
        <w:t xml:space="preserve"> For each item there were</w:t>
      </w:r>
      <w:r w:rsidR="00610D4D" w:rsidRPr="00220EE3">
        <w:rPr>
          <w:rFonts w:eastAsia="Times New Roman"/>
          <w:color w:val="2E2E2E"/>
          <w:lang w:eastAsia="fi-FI"/>
        </w:rPr>
        <w:t xml:space="preserve"> seven response categories</w:t>
      </w:r>
      <w:r w:rsidR="004054AB" w:rsidRPr="00220EE3">
        <w:rPr>
          <w:rFonts w:eastAsia="Times New Roman"/>
          <w:color w:val="2E2E2E"/>
          <w:lang w:eastAsia="fi-FI"/>
        </w:rPr>
        <w:t>:</w:t>
      </w:r>
      <w:r w:rsidR="00610D4D" w:rsidRPr="00220EE3">
        <w:rPr>
          <w:rFonts w:eastAsia="Times New Roman"/>
          <w:color w:val="2E2E2E"/>
          <w:lang w:eastAsia="fi-FI"/>
        </w:rPr>
        <w:t xml:space="preserve"> 1= 2 times a day or </w:t>
      </w:r>
      <w:r w:rsidR="00941183" w:rsidRPr="00220EE3">
        <w:rPr>
          <w:rFonts w:eastAsia="Times New Roman"/>
          <w:color w:val="2E2E2E"/>
          <w:lang w:eastAsia="fi-FI"/>
        </w:rPr>
        <w:t xml:space="preserve">more </w:t>
      </w:r>
      <w:r w:rsidR="00610D4D" w:rsidRPr="00220EE3">
        <w:rPr>
          <w:rFonts w:eastAsia="Times New Roman"/>
          <w:color w:val="2E2E2E"/>
          <w:lang w:eastAsia="fi-FI"/>
        </w:rPr>
        <w:t>often; 2=once a day; 3=</w:t>
      </w:r>
      <w:r w:rsidR="008150C7" w:rsidRPr="00220EE3">
        <w:rPr>
          <w:rFonts w:eastAsia="Times New Roman"/>
          <w:color w:val="2E2E2E"/>
          <w:lang w:eastAsia="fi-FI"/>
        </w:rPr>
        <w:t xml:space="preserve">on </w:t>
      </w:r>
      <w:r w:rsidR="00610D4D" w:rsidRPr="00220EE3">
        <w:rPr>
          <w:rFonts w:eastAsia="Times New Roman"/>
          <w:color w:val="2E2E2E"/>
          <w:lang w:eastAsia="fi-FI"/>
        </w:rPr>
        <w:t>3</w:t>
      </w:r>
      <w:r w:rsidR="00850B0E" w:rsidRPr="00220EE3">
        <w:rPr>
          <w:rFonts w:eastAsia="Times New Roman"/>
          <w:color w:val="2E2E2E"/>
          <w:lang w:eastAsia="fi-FI"/>
        </w:rPr>
        <w:t xml:space="preserve"> to </w:t>
      </w:r>
      <w:r w:rsidR="00610D4D" w:rsidRPr="00220EE3">
        <w:rPr>
          <w:rFonts w:eastAsia="Times New Roman"/>
          <w:color w:val="2E2E2E"/>
          <w:lang w:eastAsia="fi-FI"/>
        </w:rPr>
        <w:t>6 days a week; 4=</w:t>
      </w:r>
      <w:r w:rsidR="008150C7" w:rsidRPr="00220EE3">
        <w:rPr>
          <w:rFonts w:eastAsia="Times New Roman"/>
          <w:color w:val="2E2E2E"/>
          <w:lang w:eastAsia="fi-FI"/>
        </w:rPr>
        <w:t xml:space="preserve">on </w:t>
      </w:r>
      <w:r w:rsidR="00610D4D" w:rsidRPr="00220EE3">
        <w:rPr>
          <w:rFonts w:eastAsia="Times New Roman"/>
          <w:color w:val="2E2E2E"/>
          <w:lang w:eastAsia="fi-FI"/>
        </w:rPr>
        <w:t>4</w:t>
      </w:r>
      <w:r w:rsidR="00850B0E" w:rsidRPr="00220EE3">
        <w:rPr>
          <w:rFonts w:eastAsia="Times New Roman"/>
          <w:color w:val="2E2E2E"/>
          <w:lang w:eastAsia="fi-FI"/>
        </w:rPr>
        <w:t xml:space="preserve"> to</w:t>
      </w:r>
      <w:r w:rsidR="00941183" w:rsidRPr="00220EE3">
        <w:rPr>
          <w:rFonts w:eastAsia="Times New Roman"/>
          <w:color w:val="2E2E2E"/>
          <w:lang w:eastAsia="fi-FI"/>
        </w:rPr>
        <w:t xml:space="preserve"> </w:t>
      </w:r>
      <w:r w:rsidR="00610D4D" w:rsidRPr="00220EE3">
        <w:rPr>
          <w:rFonts w:eastAsia="Times New Roman"/>
          <w:color w:val="2E2E2E"/>
          <w:lang w:eastAsia="fi-FI"/>
        </w:rPr>
        <w:t>10 days a month; 5=</w:t>
      </w:r>
      <w:r w:rsidR="008150C7" w:rsidRPr="00220EE3">
        <w:rPr>
          <w:rFonts w:eastAsia="Times New Roman"/>
          <w:color w:val="2E2E2E"/>
          <w:lang w:eastAsia="fi-FI"/>
        </w:rPr>
        <w:t xml:space="preserve">on </w:t>
      </w:r>
      <w:r w:rsidR="00610D4D" w:rsidRPr="00220EE3">
        <w:rPr>
          <w:rFonts w:eastAsia="Times New Roman"/>
          <w:color w:val="2E2E2E"/>
          <w:lang w:eastAsia="fi-FI"/>
        </w:rPr>
        <w:t>1</w:t>
      </w:r>
      <w:r w:rsidR="00850B0E" w:rsidRPr="00220EE3">
        <w:rPr>
          <w:rFonts w:eastAsia="Times New Roman"/>
          <w:color w:val="2E2E2E"/>
          <w:lang w:eastAsia="fi-FI"/>
        </w:rPr>
        <w:t xml:space="preserve"> to </w:t>
      </w:r>
      <w:r w:rsidR="00610D4D" w:rsidRPr="00220EE3">
        <w:rPr>
          <w:rFonts w:eastAsia="Times New Roman"/>
          <w:color w:val="2E2E2E"/>
          <w:lang w:eastAsia="fi-FI"/>
        </w:rPr>
        <w:t>2 days a month; 6=rarely;</w:t>
      </w:r>
      <w:r w:rsidR="00FC5F5E">
        <w:rPr>
          <w:rFonts w:eastAsia="Times New Roman"/>
          <w:color w:val="2E2E2E"/>
          <w:lang w:eastAsia="fi-FI"/>
        </w:rPr>
        <w:t xml:space="preserve"> and</w:t>
      </w:r>
      <w:r w:rsidR="00610D4D" w:rsidRPr="00220EE3">
        <w:rPr>
          <w:rFonts w:eastAsia="Times New Roman"/>
          <w:color w:val="2E2E2E"/>
          <w:lang w:eastAsia="fi-FI"/>
        </w:rPr>
        <w:t xml:space="preserve"> 7=never</w:t>
      </w:r>
      <w:r w:rsidR="00AA296B" w:rsidRPr="00220EE3">
        <w:rPr>
          <w:rFonts w:eastAsia="Times New Roman"/>
          <w:color w:val="2E2E2E"/>
          <w:lang w:eastAsia="fi-FI"/>
        </w:rPr>
        <w:t xml:space="preserve">. </w:t>
      </w:r>
      <w:r w:rsidR="00362593" w:rsidRPr="00220EE3">
        <w:rPr>
          <w:rFonts w:eastAsia="Times New Roman"/>
          <w:color w:val="2E2E2E"/>
          <w:lang w:eastAsia="fi-FI"/>
        </w:rPr>
        <w:t>The portion size was not specified.</w:t>
      </w:r>
      <w:r w:rsidR="00AD13B2" w:rsidRPr="00220EE3">
        <w:rPr>
          <w:rFonts w:eastAsia="Times New Roman"/>
          <w:color w:val="2E2E2E"/>
          <w:lang w:eastAsia="fi-FI"/>
        </w:rPr>
        <w:t xml:space="preserve"> </w:t>
      </w:r>
      <w:r w:rsidR="00B10032" w:rsidRPr="00220EE3">
        <w:rPr>
          <w:rFonts w:eastAsia="Times New Roman"/>
          <w:color w:val="2E2E2E"/>
          <w:lang w:eastAsia="fi-FI"/>
        </w:rPr>
        <w:t>The questionnaire included</w:t>
      </w:r>
      <w:r w:rsidR="00AA296B" w:rsidRPr="00220EE3">
        <w:rPr>
          <w:rFonts w:eastAsia="Times New Roman"/>
          <w:color w:val="2E2E2E"/>
          <w:lang w:eastAsia="fi-FI"/>
        </w:rPr>
        <w:t xml:space="preserve"> </w:t>
      </w:r>
      <w:r w:rsidR="0099455B" w:rsidRPr="00220EE3">
        <w:rPr>
          <w:rFonts w:eastAsia="Times New Roman"/>
          <w:color w:val="2E2E2E"/>
          <w:lang w:eastAsia="fi-FI"/>
        </w:rPr>
        <w:t xml:space="preserve">the </w:t>
      </w:r>
      <w:r w:rsidR="00AA296B" w:rsidRPr="00220EE3">
        <w:rPr>
          <w:rFonts w:eastAsia="Times New Roman"/>
          <w:color w:val="2E2E2E"/>
          <w:lang w:eastAsia="fi-FI"/>
        </w:rPr>
        <w:t>following food items or groups</w:t>
      </w:r>
      <w:r w:rsidR="009337D4" w:rsidRPr="00220EE3">
        <w:rPr>
          <w:rFonts w:eastAsia="Times New Roman"/>
          <w:color w:val="2E2E2E"/>
          <w:lang w:eastAsia="fi-FI"/>
        </w:rPr>
        <w:t>:</w:t>
      </w:r>
      <w:r w:rsidR="00AA296B" w:rsidRPr="00220EE3">
        <w:rPr>
          <w:rFonts w:eastAsia="Times New Roman"/>
          <w:color w:val="2E2E2E"/>
          <w:lang w:eastAsia="fi-FI"/>
        </w:rPr>
        <w:t xml:space="preserve"> </w:t>
      </w:r>
      <w:r w:rsidR="00B10032" w:rsidRPr="00220EE3">
        <w:rPr>
          <w:rFonts w:eastAsia="Times New Roman"/>
          <w:color w:val="2E2E2E"/>
          <w:lang w:eastAsia="fi-FI"/>
        </w:rPr>
        <w:t>dark bread</w:t>
      </w:r>
      <w:r w:rsidR="00776C53" w:rsidRPr="00220EE3">
        <w:rPr>
          <w:rFonts w:eastAsia="Times New Roman"/>
          <w:color w:val="2E2E2E"/>
          <w:lang w:eastAsia="fi-FI"/>
        </w:rPr>
        <w:t xml:space="preserve"> (fiber rich)</w:t>
      </w:r>
      <w:r w:rsidR="00D5555E" w:rsidRPr="00220EE3">
        <w:rPr>
          <w:rFonts w:eastAsia="Times New Roman"/>
          <w:color w:val="2E2E2E"/>
          <w:lang w:eastAsia="fi-FI"/>
        </w:rPr>
        <w:t>,</w:t>
      </w:r>
      <w:r w:rsidR="00D347CF" w:rsidRPr="00220EE3">
        <w:rPr>
          <w:rFonts w:eastAsia="Times New Roman"/>
          <w:color w:val="2E2E2E"/>
          <w:lang w:eastAsia="fi-FI"/>
        </w:rPr>
        <w:t xml:space="preserve"> </w:t>
      </w:r>
      <w:r w:rsidR="00B10032" w:rsidRPr="00220EE3">
        <w:rPr>
          <w:rFonts w:eastAsia="Times New Roman"/>
          <w:color w:val="2E2E2E"/>
          <w:lang w:eastAsia="fi-FI"/>
        </w:rPr>
        <w:t>white or brown bread</w:t>
      </w:r>
      <w:r w:rsidR="00AA296B" w:rsidRPr="00220EE3">
        <w:rPr>
          <w:rFonts w:eastAsia="Times New Roman"/>
          <w:color w:val="2E2E2E"/>
          <w:lang w:eastAsia="fi-FI"/>
        </w:rPr>
        <w:t xml:space="preserve">, </w:t>
      </w:r>
      <w:r w:rsidR="00C73009" w:rsidRPr="00220EE3">
        <w:rPr>
          <w:rFonts w:eastAsia="Times New Roman"/>
          <w:color w:val="2E2E2E"/>
          <w:lang w:eastAsia="fi-FI"/>
        </w:rPr>
        <w:t>pastries and sweets</w:t>
      </w:r>
      <w:r w:rsidR="00AA296B" w:rsidRPr="00220EE3">
        <w:rPr>
          <w:rFonts w:eastAsia="Times New Roman"/>
          <w:color w:val="2E2E2E"/>
          <w:lang w:eastAsia="fi-FI"/>
        </w:rPr>
        <w:t>,</w:t>
      </w:r>
      <w:r w:rsidR="00552B4E" w:rsidRPr="00220EE3">
        <w:rPr>
          <w:rFonts w:eastAsia="Times New Roman"/>
          <w:color w:val="2E2E2E"/>
          <w:lang w:eastAsia="fi-FI"/>
        </w:rPr>
        <w:t xml:space="preserve"> </w:t>
      </w:r>
      <w:r w:rsidR="008150C7" w:rsidRPr="00220EE3">
        <w:rPr>
          <w:rFonts w:eastAsia="Times New Roman"/>
          <w:color w:val="2E2E2E"/>
          <w:lang w:eastAsia="fi-FI"/>
        </w:rPr>
        <w:t>p</w:t>
      </w:r>
      <w:r w:rsidR="0099455B" w:rsidRPr="00220EE3">
        <w:rPr>
          <w:rFonts w:eastAsia="Times New Roman"/>
          <w:color w:val="2E2E2E"/>
          <w:lang w:eastAsia="fi-FI"/>
        </w:rPr>
        <w:t xml:space="preserve">otato chips </w:t>
      </w:r>
      <w:r w:rsidR="00457441" w:rsidRPr="00220EE3">
        <w:rPr>
          <w:rFonts w:eastAsia="Times New Roman"/>
          <w:color w:val="2E2E2E"/>
          <w:lang w:eastAsia="fi-FI"/>
        </w:rPr>
        <w:t>and similar snacks</w:t>
      </w:r>
      <w:r w:rsidR="0099455B" w:rsidRPr="00220EE3">
        <w:rPr>
          <w:rFonts w:eastAsia="Times New Roman"/>
          <w:color w:val="2E2E2E"/>
          <w:lang w:eastAsia="fi-FI"/>
        </w:rPr>
        <w:t>, fresh fruits and berries</w:t>
      </w:r>
      <w:r w:rsidR="00285DBF" w:rsidRPr="00220EE3">
        <w:rPr>
          <w:rFonts w:eastAsia="Times New Roman"/>
          <w:color w:val="2E2E2E"/>
          <w:lang w:eastAsia="fi-FI"/>
        </w:rPr>
        <w:t>,</w:t>
      </w:r>
      <w:r w:rsidR="0099455B" w:rsidRPr="00220EE3">
        <w:rPr>
          <w:rFonts w:eastAsia="Times New Roman"/>
          <w:color w:val="2E2E2E"/>
          <w:lang w:eastAsia="fi-FI"/>
        </w:rPr>
        <w:t xml:space="preserve"> vegetables, mushrooms, </w:t>
      </w:r>
      <w:r w:rsidR="0047778E" w:rsidRPr="00220EE3">
        <w:rPr>
          <w:rFonts w:eastAsia="Times New Roman"/>
          <w:color w:val="2E2E2E"/>
          <w:lang w:eastAsia="fi-FI"/>
        </w:rPr>
        <w:t>cheese</w:t>
      </w:r>
      <w:r w:rsidR="00AA296B" w:rsidRPr="00220EE3">
        <w:rPr>
          <w:rFonts w:eastAsia="Times New Roman"/>
          <w:color w:val="2E2E2E"/>
          <w:lang w:eastAsia="fi-FI"/>
        </w:rPr>
        <w:t xml:space="preserve">, </w:t>
      </w:r>
      <w:r w:rsidR="00373EF0" w:rsidRPr="00220EE3">
        <w:rPr>
          <w:rFonts w:eastAsia="Times New Roman"/>
          <w:color w:val="2E2E2E"/>
          <w:lang w:eastAsia="fi-FI"/>
        </w:rPr>
        <w:t>f</w:t>
      </w:r>
      <w:r w:rsidR="00AA296B" w:rsidRPr="00220EE3">
        <w:rPr>
          <w:rFonts w:eastAsia="Times New Roman"/>
          <w:color w:val="2E2E2E"/>
          <w:lang w:eastAsia="fi-FI"/>
        </w:rPr>
        <w:t>at free milk, o</w:t>
      </w:r>
      <w:r w:rsidR="00352884" w:rsidRPr="00220EE3">
        <w:rPr>
          <w:rFonts w:eastAsia="Times New Roman"/>
          <w:color w:val="2E2E2E"/>
          <w:lang w:eastAsia="fi-FI"/>
        </w:rPr>
        <w:t>ther milk</w:t>
      </w:r>
      <w:r w:rsidR="00AA296B" w:rsidRPr="00220EE3">
        <w:rPr>
          <w:rFonts w:eastAsia="Times New Roman"/>
          <w:color w:val="2E2E2E"/>
          <w:lang w:eastAsia="fi-FI"/>
        </w:rPr>
        <w:t xml:space="preserve">, </w:t>
      </w:r>
      <w:r w:rsidR="00352884" w:rsidRPr="00220EE3">
        <w:rPr>
          <w:rFonts w:eastAsia="Times New Roman"/>
          <w:color w:val="2E2E2E"/>
          <w:lang w:eastAsia="fi-FI"/>
        </w:rPr>
        <w:t>soured-milk product</w:t>
      </w:r>
      <w:r w:rsidR="00E32D35" w:rsidRPr="00220EE3">
        <w:rPr>
          <w:rFonts w:eastAsia="Times New Roman"/>
          <w:color w:val="2E2E2E"/>
          <w:lang w:eastAsia="fi-FI"/>
        </w:rPr>
        <w:t>s</w:t>
      </w:r>
      <w:r w:rsidR="00AA296B" w:rsidRPr="00220EE3">
        <w:rPr>
          <w:rFonts w:eastAsia="Times New Roman"/>
          <w:color w:val="2E2E2E"/>
          <w:lang w:eastAsia="fi-FI"/>
        </w:rPr>
        <w:t xml:space="preserve">, </w:t>
      </w:r>
      <w:r w:rsidR="0099455B" w:rsidRPr="00220EE3">
        <w:rPr>
          <w:rFonts w:eastAsia="Times New Roman"/>
          <w:color w:val="2E2E2E"/>
          <w:lang w:eastAsia="fi-FI"/>
        </w:rPr>
        <w:t xml:space="preserve">tea, </w:t>
      </w:r>
      <w:r w:rsidR="00AA296B" w:rsidRPr="00220EE3">
        <w:rPr>
          <w:rFonts w:eastAsia="Times New Roman"/>
          <w:color w:val="2E2E2E"/>
          <w:lang w:eastAsia="fi-FI"/>
        </w:rPr>
        <w:t>s</w:t>
      </w:r>
      <w:r w:rsidR="00701362" w:rsidRPr="00220EE3">
        <w:rPr>
          <w:rFonts w:eastAsia="Times New Roman"/>
          <w:color w:val="2E2E2E"/>
          <w:lang w:eastAsia="fi-FI"/>
        </w:rPr>
        <w:t>ausages</w:t>
      </w:r>
      <w:r w:rsidR="00AA296B" w:rsidRPr="00220EE3">
        <w:rPr>
          <w:rFonts w:eastAsia="Times New Roman"/>
          <w:color w:val="2E2E2E"/>
          <w:lang w:eastAsia="fi-FI"/>
        </w:rPr>
        <w:t>, r</w:t>
      </w:r>
      <w:r w:rsidR="00701362" w:rsidRPr="00220EE3">
        <w:rPr>
          <w:rFonts w:eastAsia="Times New Roman"/>
          <w:color w:val="2E2E2E"/>
          <w:lang w:eastAsia="fi-FI"/>
        </w:rPr>
        <w:t>ed meat (beef, pork, lam</w:t>
      </w:r>
      <w:r w:rsidR="00457441" w:rsidRPr="00220EE3">
        <w:rPr>
          <w:rFonts w:eastAsia="Times New Roman"/>
          <w:color w:val="2E2E2E"/>
          <w:lang w:eastAsia="fi-FI"/>
        </w:rPr>
        <w:t>b</w:t>
      </w:r>
      <w:r w:rsidR="00701362" w:rsidRPr="00220EE3">
        <w:rPr>
          <w:rFonts w:eastAsia="Times New Roman"/>
          <w:color w:val="2E2E2E"/>
          <w:lang w:eastAsia="fi-FI"/>
        </w:rPr>
        <w:t>)</w:t>
      </w:r>
      <w:r w:rsidR="00AA296B" w:rsidRPr="00220EE3">
        <w:rPr>
          <w:rFonts w:eastAsia="Times New Roman"/>
          <w:color w:val="2E2E2E"/>
          <w:lang w:eastAsia="fi-FI"/>
        </w:rPr>
        <w:t xml:space="preserve">, </w:t>
      </w:r>
      <w:r w:rsidR="00701362" w:rsidRPr="00220EE3">
        <w:rPr>
          <w:rFonts w:eastAsia="Times New Roman"/>
          <w:color w:val="2E2E2E"/>
          <w:lang w:eastAsia="fi-FI"/>
        </w:rPr>
        <w:t>chicken or turkey</w:t>
      </w:r>
      <w:r w:rsidR="00AA296B" w:rsidRPr="00220EE3">
        <w:rPr>
          <w:rFonts w:eastAsia="Times New Roman"/>
          <w:color w:val="2E2E2E"/>
          <w:lang w:eastAsia="fi-FI"/>
        </w:rPr>
        <w:t xml:space="preserve">, </w:t>
      </w:r>
      <w:r w:rsidR="00701362" w:rsidRPr="00220EE3">
        <w:rPr>
          <w:rFonts w:eastAsia="Times New Roman"/>
          <w:color w:val="2E2E2E"/>
          <w:lang w:eastAsia="fi-FI"/>
        </w:rPr>
        <w:t>fish</w:t>
      </w:r>
      <w:r w:rsidR="0099455B" w:rsidRPr="00220EE3">
        <w:rPr>
          <w:rFonts w:eastAsia="Times New Roman"/>
          <w:color w:val="2E2E2E"/>
          <w:lang w:eastAsia="fi-FI"/>
        </w:rPr>
        <w:t xml:space="preserve"> and eggs.</w:t>
      </w:r>
      <w:r w:rsidR="00434C1C" w:rsidRPr="00220EE3">
        <w:rPr>
          <w:rFonts w:eastAsia="Times New Roman"/>
          <w:color w:val="2E2E2E"/>
          <w:lang w:eastAsia="fi-FI"/>
        </w:rPr>
        <w:t xml:space="preserve"> </w:t>
      </w:r>
      <w:r w:rsidR="00FD04CD" w:rsidRPr="00220EE3">
        <w:t xml:space="preserve">The respondents reported also their habitual frequency and amount of beer, </w:t>
      </w:r>
      <w:r w:rsidR="00FD04CD" w:rsidRPr="00220EE3">
        <w:lastRenderedPageBreak/>
        <w:t>wine, and spirits</w:t>
      </w:r>
      <w:r w:rsidR="00A844EC" w:rsidRPr="00220EE3">
        <w:t xml:space="preserve"> </w:t>
      </w:r>
      <w:r w:rsidR="00625B68" w:rsidRPr="00220EE3">
        <w:t xml:space="preserve">intake, which was transformed into grams of alcohol per week. One unit of pure alcohol (12 g) was equal </w:t>
      </w:r>
      <w:r w:rsidR="00625B68" w:rsidRPr="00DC7204">
        <w:t xml:space="preserve">to a </w:t>
      </w:r>
      <w:r w:rsidR="0063281B" w:rsidRPr="00DC7204">
        <w:t xml:space="preserve">volume of </w:t>
      </w:r>
      <w:r w:rsidR="00625B68" w:rsidRPr="00DC7204">
        <w:t>12 c</w:t>
      </w:r>
      <w:r w:rsidR="005D146A" w:rsidRPr="00DC7204">
        <w:t>enti</w:t>
      </w:r>
      <w:r w:rsidR="00625B68" w:rsidRPr="00DC7204">
        <w:t>l</w:t>
      </w:r>
      <w:r w:rsidR="005D146A" w:rsidRPr="00DC7204">
        <w:t>iter (cl)</w:t>
      </w:r>
      <w:r w:rsidR="00625B68" w:rsidRPr="00DC7204">
        <w:t xml:space="preserve"> glass of wine, a 4 cl measure of spirits, or a 33 cl bottle of beer.</w:t>
      </w:r>
      <w:r w:rsidR="00625B68" w:rsidRPr="00220EE3">
        <w:t xml:space="preserve"> </w:t>
      </w:r>
      <w:r w:rsidR="00434C1C" w:rsidRPr="00220EE3">
        <w:t>Based on Nordic Nutrition Recommendations (NNR),</w:t>
      </w:r>
      <w:r w:rsidR="00434C1C" w:rsidRPr="00220EE3">
        <w:rPr>
          <w:rFonts w:eastAsia="Times New Roman"/>
          <w:color w:val="2E2E2E"/>
          <w:lang w:eastAsia="fi-FI"/>
        </w:rPr>
        <w:t xml:space="preserve"> </w:t>
      </w:r>
      <w:r w:rsidR="00434C1C" w:rsidRPr="00220EE3">
        <w:t xml:space="preserve">the consumption of alcohol should be limited and not exceed 10 g alcohol per day for women and 20 g per day for men </w:t>
      </w:r>
      <w:r w:rsidR="00434C1C" w:rsidRPr="00220EE3">
        <w:rPr>
          <w:rFonts w:eastAsia="Times New Roman"/>
          <w:color w:val="2E2E2E"/>
          <w:lang w:eastAsia="fi-FI"/>
        </w:rPr>
        <w:fldChar w:fldCharType="begin" w:fldLock="1"/>
      </w:r>
      <w:r w:rsidR="003F71F0">
        <w:rPr>
          <w:rFonts w:eastAsia="Times New Roman"/>
          <w:color w:val="2E2E2E"/>
          <w:lang w:eastAsia="fi-FI"/>
        </w:rPr>
        <w:instrText>ADDIN CSL_CITATION {"citationItems":[{"id":"ITEM-1","itemData":{"DOI":"10.1080/1102680410003794","abstract":"The 4th edition of the Nordic Nutrition Recommendations, NNR 2004, gives the proportions between energy yielding nutrients, recommended daily intakes (RI) of certain vitamins and minerals, and reference values for energy intakes in different age and sex groups. Recommendations are also given for dietary fibre, salt and alcohol. Recommendations on daily physical activity are now included and interaction with physical activity has been taken into account for the individual nutrient recommendations wherever appropriate. For adults 30 minutes of daily physical activity of at least moderate intensity is recommended. More physical activity (about 60 minutes daily) with a moderate and/or vigorous intensity may be needed for prevention of weight gain. For children a minimum of 60 minutes of physical activity every day is recommended. As in the 3rd edition, the recommendation is to limit of the intake of saturated plus trans fatty acids to about 10% of the total energy intake (E%) and of the total fat intake to 30 E%. The intake of carbohydrate and dietary fibres should increase, while the intake of refined sugars should not exceed 10 E%. The RI for vitamin A (women) has been lowered, while it has been increased for vitamin D (children and adults up to 60 y), vitamin C (adults) and folate (women of reproductive age; pregnant and lactating women). NNR is to be used for planning and evaluation of diets, and as a basis for food and nutrition policy, teaching and dietary information.","author":[{"dropping-particle":"","family":"Becker","given":"Wulf","non-dropping-particle":"","parse-names":false,"suffix":""},{"dropping-particle":"","family":"Lyhne","given":"Niels","non-dropping-particle":"","parse-names":false,"suffix":""},{"dropping-particle":"","family":"Pedersen","given":"Agnes N","non-dropping-particle":"","parse-names":false,"suffix":""},{"dropping-particle":"","family":"Aro","given":"Antti","non-dropping-particle":"","parse-names":false,"suffix":""},{"dropping-particle":"","family":"Fogelholm","given":"Mikael","non-dropping-particle":"","parse-names":false,"suffix":""},{"dropping-particle":"","family":"Þhó","given":"Inga","non-dropping-particle":"","parse-names":false,"suffix":""},{"dropping-particle":"","family":"Alexander","given":"Jan","non-dropping-particle":"","parse-names":false,"suffix":""},{"dropping-particle":"","family":"Anderssen","given":"Sigmund A","non-dropping-particle":"","parse-names":false,"suffix":""},{"dropping-particle":"","family":"Meltzer","given":"Helle M","non-dropping-particle":"","parse-names":false,"suffix":""},{"dropping-particle":"","family":"Pedersen","given":"Jan I","non-dropping-particle":"","parse-names":false,"suffix":""}],"container-title":"Scandinavian Journal of Nutrition","id":"ITEM-1","issue":"4","issued":{"date-parts":[["2004"]]},"page":"178-187","title":"Nordic Nutrition Recommendations 2004 Á/ integrating nutrition and physical activity","type":"article-journal","volume":"48"},"uris":["http://www.mendeley.com/documents/?uuid=36f0fdad-d86d-4801-a604-67846b5249cf"]}],"mendeley":{"formattedCitation":"(Becker et al., 2004)","plainTextFormattedCitation":"(Becker et al., 2004)","previouslyFormattedCitation":"(Becker et al., 2004)"},"properties":{"noteIndex":0},"schema":"https://github.com/citation-style-language/schema/raw/master/csl-citation.json"}</w:instrText>
      </w:r>
      <w:r w:rsidR="00434C1C" w:rsidRPr="00220EE3">
        <w:rPr>
          <w:rFonts w:eastAsia="Times New Roman"/>
          <w:color w:val="2E2E2E"/>
          <w:lang w:eastAsia="fi-FI"/>
        </w:rPr>
        <w:fldChar w:fldCharType="separate"/>
      </w:r>
      <w:r w:rsidR="00C12E6F" w:rsidRPr="00C12E6F">
        <w:rPr>
          <w:rFonts w:eastAsia="Times New Roman"/>
          <w:noProof/>
          <w:color w:val="2E2E2E"/>
          <w:lang w:eastAsia="fi-FI"/>
        </w:rPr>
        <w:t>(Becker et al., 2004)</w:t>
      </w:r>
      <w:r w:rsidR="00434C1C" w:rsidRPr="00220EE3">
        <w:rPr>
          <w:rFonts w:eastAsia="Times New Roman"/>
          <w:color w:val="2E2E2E"/>
          <w:lang w:eastAsia="fi-FI"/>
        </w:rPr>
        <w:fldChar w:fldCharType="end"/>
      </w:r>
    </w:p>
    <w:p w14:paraId="43A88EC3" w14:textId="49703D73" w:rsidR="008B0191" w:rsidRPr="00220EE3" w:rsidRDefault="008B0191" w:rsidP="00A844EC">
      <w:pPr>
        <w:spacing w:after="0" w:line="360" w:lineRule="auto"/>
      </w:pPr>
    </w:p>
    <w:p w14:paraId="473E759F" w14:textId="155E6CF7" w:rsidR="007D45EB" w:rsidRPr="00220EE3" w:rsidRDefault="0096258C" w:rsidP="007F4143">
      <w:pPr>
        <w:spacing w:after="0" w:line="360" w:lineRule="auto"/>
        <w:rPr>
          <w:rFonts w:eastAsia="Times New Roman"/>
          <w:strike/>
          <w:lang w:eastAsia="fi-FI"/>
        </w:rPr>
      </w:pPr>
      <w:r w:rsidRPr="00220EE3">
        <w:rPr>
          <w:rFonts w:eastAsia="Times New Roman"/>
          <w:color w:val="2E2E2E"/>
          <w:lang w:eastAsia="fi-FI"/>
        </w:rPr>
        <w:t>From the individual food items</w:t>
      </w:r>
      <w:r w:rsidR="0099455B" w:rsidRPr="00220EE3">
        <w:rPr>
          <w:rFonts w:eastAsia="Times New Roman"/>
          <w:color w:val="2E2E2E"/>
          <w:lang w:eastAsia="fi-FI"/>
        </w:rPr>
        <w:t>,</w:t>
      </w:r>
      <w:r w:rsidR="00276295" w:rsidRPr="00220EE3">
        <w:rPr>
          <w:rFonts w:eastAsia="Times New Roman"/>
          <w:color w:val="2E2E2E"/>
          <w:lang w:eastAsia="fi-FI"/>
        </w:rPr>
        <w:t xml:space="preserve"> we</w:t>
      </w:r>
      <w:r w:rsidR="00DC0693" w:rsidRPr="00220EE3">
        <w:rPr>
          <w:rFonts w:eastAsia="Times New Roman"/>
          <w:color w:val="2E2E2E"/>
          <w:lang w:eastAsia="fi-FI"/>
        </w:rPr>
        <w:t xml:space="preserve"> chose </w:t>
      </w:r>
      <w:r w:rsidR="008150C7" w:rsidRPr="00220EE3">
        <w:rPr>
          <w:rFonts w:eastAsia="Times New Roman"/>
          <w:color w:val="2E2E2E"/>
          <w:lang w:eastAsia="fi-FI"/>
        </w:rPr>
        <w:t>nine</w:t>
      </w:r>
      <w:r w:rsidR="00DC0693" w:rsidRPr="00220EE3">
        <w:rPr>
          <w:rFonts w:eastAsia="Times New Roman"/>
          <w:color w:val="2E2E2E"/>
          <w:lang w:eastAsia="fi-FI"/>
        </w:rPr>
        <w:t xml:space="preserve"> food </w:t>
      </w:r>
      <w:r w:rsidR="0099455B" w:rsidRPr="00220EE3">
        <w:rPr>
          <w:rFonts w:eastAsia="Times New Roman"/>
          <w:color w:val="2E2E2E"/>
          <w:lang w:eastAsia="fi-FI"/>
        </w:rPr>
        <w:t>item</w:t>
      </w:r>
      <w:r w:rsidR="009139EE" w:rsidRPr="00220EE3">
        <w:rPr>
          <w:rFonts w:eastAsia="Times New Roman"/>
          <w:color w:val="2E2E2E"/>
          <w:lang w:eastAsia="fi-FI"/>
        </w:rPr>
        <w:t>s</w:t>
      </w:r>
      <w:r w:rsidR="0099455B" w:rsidRPr="00220EE3">
        <w:rPr>
          <w:rFonts w:eastAsia="Times New Roman"/>
          <w:color w:val="2E2E2E"/>
          <w:lang w:eastAsia="fi-FI"/>
        </w:rPr>
        <w:t xml:space="preserve"> or </w:t>
      </w:r>
      <w:r w:rsidR="00DC0693" w:rsidRPr="00220EE3">
        <w:rPr>
          <w:rFonts w:eastAsia="Times New Roman"/>
          <w:color w:val="2E2E2E"/>
          <w:lang w:eastAsia="fi-FI"/>
        </w:rPr>
        <w:t xml:space="preserve">groups </w:t>
      </w:r>
      <w:r w:rsidR="008C2DD5" w:rsidRPr="00220EE3">
        <w:rPr>
          <w:rFonts w:eastAsia="Times New Roman" w:cs="Times New Roman"/>
          <w:color w:val="2E2E2E"/>
          <w:lang w:eastAsia="fi-FI"/>
        </w:rPr>
        <w:t>[</w:t>
      </w:r>
      <w:r w:rsidR="008C2DD5" w:rsidRPr="00220EE3">
        <w:rPr>
          <w:rFonts w:eastAsia="Times New Roman"/>
          <w:color w:val="2E2E2E"/>
          <w:lang w:eastAsia="fi-FI"/>
        </w:rPr>
        <w:t>1) dark bread, 2) pastries and sweets, 3) fat free milk, 4) sausages, 5) red meat, 6) chicken or turkey, 7) fish, 8) fresh fruits and berries</w:t>
      </w:r>
      <w:r w:rsidR="00BE558A">
        <w:rPr>
          <w:rFonts w:eastAsia="Times New Roman"/>
          <w:color w:val="2E2E2E"/>
          <w:lang w:eastAsia="fi-FI"/>
        </w:rPr>
        <w:t>,</w:t>
      </w:r>
      <w:r w:rsidR="008C2DD5" w:rsidRPr="00220EE3">
        <w:rPr>
          <w:rFonts w:eastAsia="Times New Roman"/>
          <w:color w:val="2E2E2E"/>
          <w:lang w:eastAsia="fi-FI"/>
        </w:rPr>
        <w:t xml:space="preserve"> and 9) vegetables</w:t>
      </w:r>
      <w:r w:rsidR="008C2DD5" w:rsidRPr="00220EE3">
        <w:rPr>
          <w:rFonts w:eastAsia="Times New Roman" w:cs="Times New Roman"/>
          <w:color w:val="2E2E2E"/>
          <w:lang w:eastAsia="fi-FI"/>
        </w:rPr>
        <w:t>]</w:t>
      </w:r>
      <w:r w:rsidR="008C2DD5" w:rsidRPr="00220EE3">
        <w:rPr>
          <w:rFonts w:eastAsia="Times New Roman"/>
          <w:color w:val="2E2E2E"/>
          <w:lang w:eastAsia="fi-FI"/>
        </w:rPr>
        <w:t xml:space="preserve"> </w:t>
      </w:r>
      <w:r w:rsidR="002F4B00" w:rsidRPr="00220EE3">
        <w:rPr>
          <w:rFonts w:eastAsia="Times New Roman"/>
          <w:color w:val="2E2E2E"/>
          <w:lang w:eastAsia="fi-FI"/>
        </w:rPr>
        <w:t xml:space="preserve">which </w:t>
      </w:r>
      <w:r w:rsidR="00A844EC" w:rsidRPr="00220EE3">
        <w:rPr>
          <w:rFonts w:eastAsia="Times New Roman"/>
          <w:color w:val="2E2E2E"/>
          <w:lang w:eastAsia="fi-FI"/>
        </w:rPr>
        <w:t xml:space="preserve">together with alcohol use </w:t>
      </w:r>
      <w:r w:rsidR="00A6453E" w:rsidRPr="00220EE3">
        <w:rPr>
          <w:rFonts w:eastAsia="Times New Roman"/>
          <w:color w:val="2E2E2E"/>
          <w:lang w:eastAsia="fi-FI"/>
        </w:rPr>
        <w:t>were</w:t>
      </w:r>
      <w:r w:rsidR="002F4B00" w:rsidRPr="00220EE3">
        <w:rPr>
          <w:rFonts w:eastAsia="Times New Roman"/>
          <w:color w:val="2E2E2E"/>
          <w:lang w:eastAsia="fi-FI"/>
        </w:rPr>
        <w:t xml:space="preserve"> used </w:t>
      </w:r>
      <w:r w:rsidR="00DC0693" w:rsidRPr="00220EE3">
        <w:rPr>
          <w:rFonts w:eastAsia="Times New Roman"/>
          <w:color w:val="2E2E2E"/>
          <w:lang w:eastAsia="fi-FI"/>
        </w:rPr>
        <w:t xml:space="preserve">to </w:t>
      </w:r>
      <w:r w:rsidR="0099455B" w:rsidRPr="00220EE3">
        <w:rPr>
          <w:rFonts w:eastAsia="Times New Roman"/>
          <w:color w:val="2E2E2E"/>
          <w:lang w:eastAsia="fi-FI"/>
        </w:rPr>
        <w:t>form a dietary index to des</w:t>
      </w:r>
      <w:r w:rsidR="00DC0693" w:rsidRPr="00220EE3">
        <w:rPr>
          <w:rFonts w:eastAsia="Times New Roman"/>
          <w:color w:val="2E2E2E"/>
          <w:lang w:eastAsia="fi-FI"/>
        </w:rPr>
        <w:t xml:space="preserve">cribe </w:t>
      </w:r>
      <w:r w:rsidR="0099455B" w:rsidRPr="00220EE3">
        <w:rPr>
          <w:rFonts w:eastAsia="Times New Roman"/>
          <w:color w:val="2E2E2E"/>
          <w:lang w:eastAsia="fi-FI"/>
        </w:rPr>
        <w:t xml:space="preserve">how well the person </w:t>
      </w:r>
      <w:r w:rsidR="008150C7" w:rsidRPr="00220EE3">
        <w:rPr>
          <w:rFonts w:eastAsia="Times New Roman"/>
          <w:color w:val="2E2E2E"/>
          <w:lang w:eastAsia="fi-FI"/>
        </w:rPr>
        <w:t>adheres to dietary</w:t>
      </w:r>
      <w:r w:rsidR="0099455B" w:rsidRPr="00220EE3">
        <w:rPr>
          <w:rFonts w:eastAsia="Times New Roman"/>
          <w:color w:val="2E2E2E"/>
          <w:lang w:eastAsia="fi-FI"/>
        </w:rPr>
        <w:t xml:space="preserve"> recommendation</w:t>
      </w:r>
      <w:r w:rsidR="008150C7" w:rsidRPr="00220EE3">
        <w:rPr>
          <w:rFonts w:eastAsia="Times New Roman"/>
          <w:color w:val="2E2E2E"/>
          <w:lang w:eastAsia="fi-FI"/>
        </w:rPr>
        <w:t>s</w:t>
      </w:r>
      <w:r w:rsidR="00DC0693" w:rsidRPr="00220EE3">
        <w:rPr>
          <w:rFonts w:eastAsia="Times New Roman"/>
          <w:color w:val="2E2E2E"/>
          <w:lang w:eastAsia="fi-FI"/>
        </w:rPr>
        <w:t xml:space="preserve"> (Table 1)</w:t>
      </w:r>
      <w:r w:rsidR="0099455B" w:rsidRPr="00220EE3">
        <w:rPr>
          <w:rFonts w:eastAsia="Times New Roman"/>
          <w:color w:val="2E2E2E"/>
          <w:lang w:eastAsia="fi-FI"/>
        </w:rPr>
        <w:t>.</w:t>
      </w:r>
      <w:r w:rsidR="007C7F29" w:rsidRPr="00220EE3">
        <w:rPr>
          <w:rFonts w:eastAsia="Times New Roman"/>
          <w:color w:val="2E2E2E"/>
          <w:lang w:eastAsia="fi-FI"/>
        </w:rPr>
        <w:t xml:space="preserve"> </w:t>
      </w:r>
      <w:r w:rsidR="0099455B" w:rsidRPr="00220EE3">
        <w:rPr>
          <w:rFonts w:eastAsia="Times New Roman"/>
          <w:color w:val="2E2E2E"/>
          <w:lang w:eastAsia="fi-FI"/>
        </w:rPr>
        <w:t>Th</w:t>
      </w:r>
      <w:r w:rsidR="00285DBF" w:rsidRPr="00220EE3">
        <w:rPr>
          <w:rFonts w:eastAsia="Times New Roman"/>
          <w:color w:val="2E2E2E"/>
          <w:lang w:eastAsia="fi-FI"/>
        </w:rPr>
        <w:t>e</w:t>
      </w:r>
      <w:r w:rsidR="002F4B00" w:rsidRPr="00220EE3">
        <w:rPr>
          <w:rFonts w:eastAsia="Times New Roman"/>
          <w:color w:val="2E2E2E"/>
          <w:lang w:eastAsia="fi-FI"/>
        </w:rPr>
        <w:t xml:space="preserve"> </w:t>
      </w:r>
      <w:r w:rsidR="007C7F29" w:rsidRPr="00220EE3">
        <w:rPr>
          <w:rFonts w:eastAsia="Times New Roman"/>
          <w:color w:val="2E2E2E"/>
          <w:lang w:eastAsia="fi-FI"/>
        </w:rPr>
        <w:t>selected ten</w:t>
      </w:r>
      <w:r w:rsidR="002F4B00" w:rsidRPr="00220EE3">
        <w:rPr>
          <w:rFonts w:eastAsia="Times New Roman"/>
          <w:color w:val="2E2E2E"/>
          <w:lang w:eastAsia="fi-FI"/>
        </w:rPr>
        <w:t xml:space="preserve"> groups</w:t>
      </w:r>
      <w:r w:rsidR="00285DBF" w:rsidRPr="00220EE3">
        <w:rPr>
          <w:rFonts w:eastAsia="Times New Roman"/>
          <w:color w:val="2E2E2E"/>
          <w:lang w:eastAsia="fi-FI"/>
        </w:rPr>
        <w:t xml:space="preserve"> are</w:t>
      </w:r>
      <w:r w:rsidR="0099455B" w:rsidRPr="00220EE3">
        <w:t xml:space="preserve"> in line</w:t>
      </w:r>
      <w:r w:rsidR="009337D4" w:rsidRPr="00220EE3">
        <w:t xml:space="preserve"> with </w:t>
      </w:r>
      <w:r w:rsidR="008B0191" w:rsidRPr="00220EE3">
        <w:rPr>
          <w:rFonts w:eastAsia="Times New Roman"/>
          <w:color w:val="2E2E2E"/>
          <w:lang w:eastAsia="fi-FI"/>
        </w:rPr>
        <w:t>NNR</w:t>
      </w:r>
      <w:r w:rsidR="00682731" w:rsidRPr="00220EE3">
        <w:rPr>
          <w:rFonts w:eastAsia="Times New Roman"/>
          <w:color w:val="2E2E2E"/>
          <w:lang w:eastAsia="fi-FI"/>
        </w:rPr>
        <w:t xml:space="preserve"> </w:t>
      </w:r>
      <w:r w:rsidR="0099455B" w:rsidRPr="00220EE3">
        <w:rPr>
          <w:rFonts w:eastAsia="Times New Roman"/>
          <w:color w:val="2E2E2E"/>
          <w:lang w:eastAsia="fi-FI"/>
        </w:rPr>
        <w:t xml:space="preserve">2004 </w:t>
      </w:r>
      <w:r w:rsidR="00850B0E" w:rsidRPr="00220EE3">
        <w:rPr>
          <w:rFonts w:eastAsia="Times New Roman"/>
          <w:color w:val="2E2E2E"/>
          <w:lang w:eastAsia="fi-FI"/>
        </w:rPr>
        <w:fldChar w:fldCharType="begin" w:fldLock="1"/>
      </w:r>
      <w:r w:rsidR="003F71F0">
        <w:rPr>
          <w:rFonts w:eastAsia="Times New Roman"/>
          <w:color w:val="2E2E2E"/>
          <w:lang w:eastAsia="fi-FI"/>
        </w:rPr>
        <w:instrText>ADDIN CSL_CITATION {"citationItems":[{"id":"ITEM-1","itemData":{"DOI":"10.1080/1102680410003794","abstract":"The 4th edition of the Nordic Nutrition Recommendations, NNR 2004, gives the proportions between energy yielding nutrients, recommended daily intakes (RI) of certain vitamins and minerals, and reference values for energy intakes in different age and sex groups. Recommendations are also given for dietary fibre, salt and alcohol. Recommendations on daily physical activity are now included and interaction with physical activity has been taken into account for the individual nutrient recommendations wherever appropriate. For adults 30 minutes of daily physical activity of at least moderate intensity is recommended. More physical activity (about 60 minutes daily) with a moderate and/or vigorous intensity may be needed for prevention of weight gain. For children a minimum of 60 minutes of physical activity every day is recommended. As in the 3rd edition, the recommendation is to limit of the intake of saturated plus trans fatty acids to about 10% of the total energy intake (E%) and of the total fat intake to 30 E%. The intake of carbohydrate and dietary fibres should increase, while the intake of refined sugars should not exceed 10 E%. The RI for vitamin A (women) has been lowered, while it has been increased for vitamin D (children and adults up to 60 y), vitamin C (adults) and folate (women of reproductive age; pregnant and lactating women). NNR is to be used for planning and evaluation of diets, and as a basis for food and nutrition policy, teaching and dietary information.","author":[{"dropping-particle":"","family":"Becker","given":"Wulf","non-dropping-particle":"","parse-names":false,"suffix":""},{"dropping-particle":"","family":"Lyhne","given":"Niels","non-dropping-particle":"","parse-names":false,"suffix":""},{"dropping-particle":"","family":"Pedersen","given":"Agnes N","non-dropping-particle":"","parse-names":false,"suffix":""},{"dropping-particle":"","family":"Aro","given":"Antti","non-dropping-particle":"","parse-names":false,"suffix":""},{"dropping-particle":"","family":"Fogelholm","given":"Mikael","non-dropping-particle":"","parse-names":false,"suffix":""},{"dropping-particle":"","family":"Þhó","given":"Inga","non-dropping-particle":"","parse-names":false,"suffix":""},{"dropping-particle":"","family":"Alexander","given":"Jan","non-dropping-particle":"","parse-names":false,"suffix":""},{"dropping-particle":"","family":"Anderssen","given":"Sigmund A","non-dropping-particle":"","parse-names":false,"suffix":""},{"dropping-particle":"","family":"Meltzer","given":"Helle M","non-dropping-particle":"","parse-names":false,"suffix":""},{"dropping-particle":"","family":"Pedersen","given":"Jan I","non-dropping-particle":"","parse-names":false,"suffix":""}],"container-title":"Scandinavian Journal of Nutrition","id":"ITEM-1","issue":"4","issued":{"date-parts":[["2004"]]},"page":"178-187","title":"Nordic Nutrition Recommendations 2004 Á/ integrating nutrition and physical activity","type":"article-journal","volume":"48"},"uris":["http://www.mendeley.com/documents/?uuid=36f0fdad-d86d-4801-a604-67846b5249cf"]}],"mendeley":{"formattedCitation":"(Becker et al., 2004)","plainTextFormattedCitation":"(Becker et al., 2004)","previouslyFormattedCitation":"(Becker et al., 2004)"},"properties":{"noteIndex":0},"schema":"https://github.com/citation-style-language/schema/raw/master/csl-citation.json"}</w:instrText>
      </w:r>
      <w:r w:rsidR="00850B0E" w:rsidRPr="00220EE3">
        <w:rPr>
          <w:rFonts w:eastAsia="Times New Roman"/>
          <w:color w:val="2E2E2E"/>
          <w:lang w:eastAsia="fi-FI"/>
        </w:rPr>
        <w:fldChar w:fldCharType="separate"/>
      </w:r>
      <w:r w:rsidR="00C12E6F" w:rsidRPr="00C12E6F">
        <w:rPr>
          <w:rFonts w:eastAsia="Times New Roman"/>
          <w:noProof/>
          <w:color w:val="2E2E2E"/>
          <w:lang w:eastAsia="fi-FI"/>
        </w:rPr>
        <w:t>(Becker et al., 2004)</w:t>
      </w:r>
      <w:r w:rsidR="00850B0E" w:rsidRPr="00220EE3">
        <w:rPr>
          <w:rFonts w:eastAsia="Times New Roman"/>
          <w:color w:val="2E2E2E"/>
          <w:lang w:eastAsia="fi-FI"/>
        </w:rPr>
        <w:fldChar w:fldCharType="end"/>
      </w:r>
      <w:r w:rsidR="009337D4" w:rsidRPr="00220EE3">
        <w:t xml:space="preserve">. </w:t>
      </w:r>
      <w:r w:rsidR="001C0171" w:rsidRPr="00220EE3">
        <w:t xml:space="preserve">Each recommended choice provides one </w:t>
      </w:r>
      <w:r w:rsidR="001C0171" w:rsidRPr="00220EE3">
        <w:lastRenderedPageBreak/>
        <w:t>point</w:t>
      </w:r>
      <w:r w:rsidR="00285DBF" w:rsidRPr="00220EE3">
        <w:t xml:space="preserve"> for the index</w:t>
      </w:r>
      <w:r w:rsidR="001C0171" w:rsidRPr="00220EE3">
        <w:t xml:space="preserve">, so </w:t>
      </w:r>
      <w:r w:rsidR="008150C7" w:rsidRPr="00220EE3">
        <w:rPr>
          <w:rFonts w:eastAsia="Times New Roman"/>
          <w:lang w:eastAsia="fi-FI"/>
        </w:rPr>
        <w:t xml:space="preserve">the </w:t>
      </w:r>
      <w:r w:rsidR="004E289A" w:rsidRPr="00220EE3">
        <w:rPr>
          <w:rFonts w:eastAsia="Times New Roman"/>
          <w:lang w:eastAsia="fi-FI"/>
        </w:rPr>
        <w:t>overall score</w:t>
      </w:r>
      <w:r w:rsidR="009337D4" w:rsidRPr="00220EE3">
        <w:rPr>
          <w:rFonts w:eastAsia="Times New Roman"/>
          <w:lang w:eastAsia="fi-FI"/>
        </w:rPr>
        <w:t xml:space="preserve"> can var</w:t>
      </w:r>
      <w:r w:rsidR="00276295" w:rsidRPr="00220EE3">
        <w:rPr>
          <w:rFonts w:eastAsia="Times New Roman"/>
          <w:lang w:eastAsia="fi-FI"/>
        </w:rPr>
        <w:t>y</w:t>
      </w:r>
      <w:r w:rsidR="009337D4" w:rsidRPr="00220EE3">
        <w:rPr>
          <w:rFonts w:eastAsia="Times New Roman"/>
          <w:lang w:eastAsia="fi-FI"/>
        </w:rPr>
        <w:t xml:space="preserve"> from 0 to </w:t>
      </w:r>
      <w:r w:rsidR="007D45EB" w:rsidRPr="00220EE3">
        <w:rPr>
          <w:rFonts w:eastAsia="Times New Roman"/>
          <w:lang w:eastAsia="fi-FI"/>
        </w:rPr>
        <w:t>10</w:t>
      </w:r>
      <w:r w:rsidR="009337D4" w:rsidRPr="00220EE3">
        <w:rPr>
          <w:rFonts w:eastAsia="Times New Roman"/>
          <w:lang w:eastAsia="fi-FI"/>
        </w:rPr>
        <w:t xml:space="preserve">, </w:t>
      </w:r>
      <w:r w:rsidR="00806DBD" w:rsidRPr="00220EE3">
        <w:rPr>
          <w:rFonts w:eastAsia="Times New Roman"/>
          <w:lang w:eastAsia="fi-FI"/>
        </w:rPr>
        <w:t xml:space="preserve">the maximum indicating </w:t>
      </w:r>
      <w:r w:rsidR="004E289A" w:rsidRPr="00220EE3">
        <w:rPr>
          <w:rFonts w:eastAsia="Times New Roman"/>
          <w:lang w:eastAsia="fi-FI"/>
        </w:rPr>
        <w:t xml:space="preserve">perfect adherence </w:t>
      </w:r>
      <w:r w:rsidR="00254C74" w:rsidRPr="00220EE3">
        <w:rPr>
          <w:rFonts w:eastAsia="Times New Roman"/>
          <w:lang w:eastAsia="fi-FI"/>
        </w:rPr>
        <w:t>t</w:t>
      </w:r>
      <w:r w:rsidR="009337D4" w:rsidRPr="00220EE3">
        <w:rPr>
          <w:rFonts w:eastAsia="Times New Roman"/>
          <w:lang w:eastAsia="fi-FI"/>
        </w:rPr>
        <w:t>o recommendations.</w:t>
      </w:r>
      <w:r w:rsidR="007C4A7D" w:rsidRPr="00220EE3">
        <w:rPr>
          <w:rFonts w:eastAsia="Times New Roman"/>
          <w:lang w:eastAsia="fi-FI"/>
        </w:rPr>
        <w:t xml:space="preserve"> </w:t>
      </w:r>
      <w:r w:rsidR="007D45EB" w:rsidRPr="00220EE3">
        <w:rPr>
          <w:rFonts w:eastAsia="Times New Roman"/>
          <w:lang w:eastAsia="fi-FI"/>
        </w:rPr>
        <w:t>F</w:t>
      </w:r>
      <w:r w:rsidR="00276295" w:rsidRPr="00220EE3">
        <w:rPr>
          <w:rFonts w:eastAsia="Times New Roman"/>
          <w:lang w:eastAsia="fi-FI"/>
        </w:rPr>
        <w:t>or the analys</w:t>
      </w:r>
      <w:r w:rsidR="008150C7" w:rsidRPr="00220EE3">
        <w:rPr>
          <w:rFonts w:eastAsia="Times New Roman"/>
          <w:lang w:eastAsia="fi-FI"/>
        </w:rPr>
        <w:t>e</w:t>
      </w:r>
      <w:r w:rsidR="00276295" w:rsidRPr="00220EE3">
        <w:rPr>
          <w:rFonts w:eastAsia="Times New Roman"/>
          <w:lang w:eastAsia="fi-FI"/>
        </w:rPr>
        <w:t>s</w:t>
      </w:r>
      <w:r w:rsidR="00567DC7" w:rsidRPr="00220EE3">
        <w:rPr>
          <w:rFonts w:eastAsia="Times New Roman"/>
          <w:lang w:eastAsia="fi-FI"/>
        </w:rPr>
        <w:t>,</w:t>
      </w:r>
      <w:r w:rsidR="007813FF" w:rsidRPr="00220EE3">
        <w:rPr>
          <w:rFonts w:eastAsia="Times New Roman"/>
          <w:lang w:eastAsia="fi-FI"/>
        </w:rPr>
        <w:t xml:space="preserve"> we </w:t>
      </w:r>
      <w:bookmarkStart w:id="2" w:name="OLE_LINK3"/>
      <w:r w:rsidR="007C7F29" w:rsidRPr="00220EE3">
        <w:rPr>
          <w:rFonts w:eastAsia="Times New Roman"/>
          <w:lang w:eastAsia="fi-FI"/>
        </w:rPr>
        <w:t>multiplied the score by 10 to have a percentage s</w:t>
      </w:r>
      <w:r w:rsidR="0007613E" w:rsidRPr="00220EE3">
        <w:rPr>
          <w:rFonts w:eastAsia="Times New Roman"/>
          <w:lang w:eastAsia="fi-FI"/>
        </w:rPr>
        <w:t xml:space="preserve">cale </w:t>
      </w:r>
      <w:r w:rsidR="007D45EB" w:rsidRPr="00220EE3">
        <w:rPr>
          <w:rFonts w:eastAsia="Times New Roman"/>
          <w:lang w:eastAsia="fi-FI"/>
        </w:rPr>
        <w:t>rang</w:t>
      </w:r>
      <w:r w:rsidR="0007613E" w:rsidRPr="00220EE3">
        <w:rPr>
          <w:rFonts w:eastAsia="Times New Roman"/>
          <w:lang w:eastAsia="fi-FI"/>
        </w:rPr>
        <w:t>ing</w:t>
      </w:r>
      <w:r w:rsidR="007D45EB" w:rsidRPr="00220EE3">
        <w:rPr>
          <w:rFonts w:eastAsia="Times New Roman"/>
          <w:lang w:eastAsia="fi-FI"/>
        </w:rPr>
        <w:t xml:space="preserve"> from 0 to 100</w:t>
      </w:r>
      <w:bookmarkEnd w:id="2"/>
      <w:r w:rsidR="007D45EB" w:rsidRPr="00220EE3">
        <w:rPr>
          <w:rFonts w:eastAsia="Times New Roman"/>
          <w:lang w:eastAsia="fi-FI"/>
        </w:rPr>
        <w:t>.</w:t>
      </w:r>
    </w:p>
    <w:p w14:paraId="6DECEE2A" w14:textId="77777777" w:rsidR="00220EE3" w:rsidRDefault="00220EE3" w:rsidP="008C1A3C">
      <w:pPr>
        <w:spacing w:after="0" w:line="360" w:lineRule="auto"/>
        <w:rPr>
          <w:rFonts w:eastAsia="Times New Roman"/>
          <w:b/>
          <w:color w:val="2E2E2E"/>
          <w:lang w:eastAsia="fi-FI"/>
        </w:rPr>
      </w:pPr>
    </w:p>
    <w:p w14:paraId="4D397C5D" w14:textId="77777777" w:rsidR="007532FF" w:rsidRPr="00220EE3" w:rsidDel="00832E60" w:rsidRDefault="007532FF" w:rsidP="007532FF">
      <w:pPr>
        <w:spacing w:after="0" w:line="360" w:lineRule="auto"/>
        <w:rPr>
          <w:rFonts w:eastAsia="Times New Roman"/>
          <w:lang w:eastAsia="fi-FI"/>
        </w:rPr>
      </w:pPr>
      <w:r w:rsidRPr="00DC7204">
        <w:rPr>
          <w:rFonts w:eastAsia="Times New Roman"/>
          <w:lang w:eastAsia="fi-FI"/>
        </w:rPr>
        <w:t xml:space="preserve">To test the validity of the dietary index, we examined associations between adherence to dietary recommendations in 2003 and mortality among the participants. Information on all deaths were obtained from Statistics Finland. The participants were followed until the end 2013. During the mean follow-up of 10.1 (SD 0.8) years there were 437 deaths among the </w:t>
      </w:r>
      <w:r w:rsidRPr="00DC7204">
        <w:rPr>
          <w:rFonts w:cs="Times New Roman"/>
          <w:szCs w:val="24"/>
          <w:lang w:eastAsia="fi-FI"/>
        </w:rPr>
        <w:t>16,522 participants</w:t>
      </w:r>
      <w:r w:rsidRPr="00DC7204">
        <w:rPr>
          <w:rFonts w:eastAsia="Times New Roman"/>
          <w:lang w:eastAsia="fi-FI"/>
        </w:rPr>
        <w:t>. Cox proportional hazard model adjusted for age, sex and education showed that a 10-point increase in the dietary index score was associated with decreased hazard of death (HR 0.90, 95% CI 0.85-</w:t>
      </w:r>
      <w:r w:rsidRPr="00DC7204">
        <w:rPr>
          <w:rFonts w:eastAsia="Times New Roman"/>
          <w:lang w:eastAsia="fi-FI"/>
        </w:rPr>
        <w:lastRenderedPageBreak/>
        <w:t>0.96; p&lt;0.001).</w:t>
      </w:r>
      <w:r w:rsidRPr="00DC7204" w:rsidDel="00832E60">
        <w:rPr>
          <w:rFonts w:eastAsia="Times New Roman"/>
          <w:lang w:eastAsia="fi-FI"/>
        </w:rPr>
        <w:t xml:space="preserve"> This </w:t>
      </w:r>
      <w:r w:rsidRPr="00DC7204">
        <w:rPr>
          <w:rFonts w:eastAsia="Times New Roman"/>
          <w:lang w:eastAsia="fi-FI"/>
        </w:rPr>
        <w:t>supports the validity of</w:t>
      </w:r>
      <w:r w:rsidRPr="00DC7204" w:rsidDel="00832E60">
        <w:rPr>
          <w:rFonts w:eastAsia="Times New Roman"/>
          <w:lang w:eastAsia="fi-FI"/>
        </w:rPr>
        <w:t xml:space="preserve"> the index</w:t>
      </w:r>
      <w:r w:rsidRPr="00DC7204">
        <w:rPr>
          <w:rFonts w:eastAsia="Times New Roman"/>
          <w:lang w:eastAsia="fi-FI"/>
        </w:rPr>
        <w:t xml:space="preserve"> used by us to study neighborhood effects on adherence to dietary recommendations.</w:t>
      </w:r>
    </w:p>
    <w:p w14:paraId="4E1D1849" w14:textId="77777777" w:rsidR="007532FF" w:rsidRPr="00220EE3" w:rsidRDefault="007532FF" w:rsidP="008C1A3C">
      <w:pPr>
        <w:spacing w:after="0" w:line="360" w:lineRule="auto"/>
        <w:rPr>
          <w:rFonts w:eastAsia="Times New Roman"/>
          <w:b/>
          <w:color w:val="2E2E2E"/>
          <w:lang w:eastAsia="fi-FI"/>
        </w:rPr>
      </w:pPr>
    </w:p>
    <w:p w14:paraId="60DF14F6" w14:textId="5C6C3F4F" w:rsidR="009D07BD" w:rsidRDefault="0007040B" w:rsidP="008C1A3C">
      <w:pPr>
        <w:spacing w:after="0" w:line="360" w:lineRule="auto"/>
        <w:rPr>
          <w:rFonts w:eastAsia="Times New Roman"/>
          <w:b/>
          <w:color w:val="2E2E2E"/>
          <w:lang w:eastAsia="fi-FI"/>
        </w:rPr>
      </w:pPr>
      <w:r w:rsidRPr="00220EE3">
        <w:rPr>
          <w:rFonts w:eastAsia="Times New Roman"/>
          <w:b/>
          <w:color w:val="2E2E2E"/>
          <w:lang w:eastAsia="fi-FI"/>
        </w:rPr>
        <w:t>Covariates</w:t>
      </w:r>
    </w:p>
    <w:p w14:paraId="2B9990AD" w14:textId="2EA1904B" w:rsidR="00CE16ED" w:rsidRDefault="00A07D37" w:rsidP="00BA052C">
      <w:pPr>
        <w:spacing w:after="0" w:line="360" w:lineRule="auto"/>
        <w:rPr>
          <w:rFonts w:eastAsia="Times New Roman"/>
          <w:lang w:eastAsia="fi-FI"/>
        </w:rPr>
      </w:pPr>
      <w:r w:rsidRPr="00DC7204">
        <w:rPr>
          <w:rFonts w:eastAsia="Times New Roman"/>
          <w:color w:val="2E2E2E"/>
          <w:lang w:eastAsia="fi-FI"/>
        </w:rPr>
        <w:t xml:space="preserve">Covariates were measured at the same time point than diet. </w:t>
      </w:r>
      <w:r w:rsidR="00BA052C" w:rsidRPr="00DC7204">
        <w:rPr>
          <w:rFonts w:eastAsia="Times New Roman"/>
          <w:color w:val="2E2E2E"/>
          <w:lang w:eastAsia="fi-FI"/>
        </w:rPr>
        <w:t xml:space="preserve">Sociodemographic factors included age, sex, marital status and education. </w:t>
      </w:r>
      <w:r w:rsidR="00C425C2" w:rsidRPr="00DC7204">
        <w:rPr>
          <w:rFonts w:eastAsia="Times New Roman"/>
          <w:color w:val="2E2E2E"/>
          <w:lang w:eastAsia="fi-FI"/>
        </w:rPr>
        <w:t xml:space="preserve">Education was categorized as: basic education, high school/vocational education, college, and university or higher education. Marital status was categorized as living alone (single, widowed, divorced) versus married/cohabiting. </w:t>
      </w:r>
      <w:r w:rsidR="00BA052C" w:rsidRPr="00DC7204">
        <w:rPr>
          <w:rFonts w:eastAsia="Times New Roman"/>
          <w:color w:val="2E2E2E"/>
          <w:lang w:eastAsia="fi-FI"/>
        </w:rPr>
        <w:t xml:space="preserve">Other covariates, likely to associate both with area of residence and dietary habits, included </w:t>
      </w:r>
      <w:r w:rsidR="00B4110C" w:rsidRPr="00DC7204">
        <w:rPr>
          <w:rFonts w:eastAsia="Times New Roman"/>
          <w:color w:val="2E2E2E"/>
          <w:lang w:eastAsia="fi-FI"/>
        </w:rPr>
        <w:t xml:space="preserve">chronic cardio-metabolic diseases noted by medical doctor (no/yes), </w:t>
      </w:r>
      <w:r w:rsidR="00BA052C" w:rsidRPr="00DC7204">
        <w:rPr>
          <w:rFonts w:eastAsia="Times New Roman"/>
          <w:color w:val="2E2E2E"/>
          <w:lang w:eastAsia="fi-FI"/>
        </w:rPr>
        <w:t>severe financial difficulties (no/yes),</w:t>
      </w:r>
      <w:r w:rsidR="00C425C2" w:rsidRPr="00DC7204">
        <w:rPr>
          <w:rFonts w:eastAsia="Times New Roman"/>
          <w:color w:val="2E2E2E"/>
          <w:lang w:eastAsia="fi-FI"/>
        </w:rPr>
        <w:t xml:space="preserve"> </w:t>
      </w:r>
      <w:r w:rsidR="00BA052C" w:rsidRPr="00DC7204">
        <w:rPr>
          <w:rFonts w:eastAsia="Times New Roman"/>
          <w:color w:val="2E2E2E"/>
          <w:lang w:eastAsia="fi-FI"/>
        </w:rPr>
        <w:t xml:space="preserve">death of spouse and/or divorce </w:t>
      </w:r>
      <w:r w:rsidR="00BA052C" w:rsidRPr="00DC7204">
        <w:rPr>
          <w:rFonts w:eastAsia="Times New Roman"/>
          <w:lang w:eastAsia="fi-FI"/>
        </w:rPr>
        <w:t>over the last five years</w:t>
      </w:r>
      <w:r w:rsidR="00BA052C" w:rsidRPr="00DC7204">
        <w:rPr>
          <w:rFonts w:eastAsia="Times New Roman"/>
          <w:color w:val="2E2E2E"/>
          <w:lang w:eastAsia="fi-FI"/>
        </w:rPr>
        <w:t xml:space="preserve">, derived from the 2003 survey responses. </w:t>
      </w:r>
      <w:r w:rsidR="00B4110C" w:rsidRPr="00DC7204">
        <w:rPr>
          <w:rFonts w:eastAsia="Times New Roman"/>
          <w:color w:val="2E2E2E"/>
          <w:lang w:eastAsia="fi-FI"/>
        </w:rPr>
        <w:t xml:space="preserve">To the </w:t>
      </w:r>
      <w:r w:rsidR="00B4110C" w:rsidRPr="00DC7204">
        <w:rPr>
          <w:rFonts w:eastAsia="Times New Roman"/>
          <w:color w:val="2E2E2E"/>
          <w:lang w:eastAsia="fi-FI"/>
        </w:rPr>
        <w:lastRenderedPageBreak/>
        <w:t>chronic cardio-metabolic diseases</w:t>
      </w:r>
      <w:r w:rsidR="00B4110C" w:rsidRPr="00DC7204">
        <w:rPr>
          <w:rFonts w:eastAsia="Times New Roman"/>
          <w:lang w:eastAsia="fi-FI"/>
        </w:rPr>
        <w:t xml:space="preserve"> included hypertension, </w:t>
      </w:r>
      <w:r w:rsidR="00B4110C" w:rsidRPr="00DC7204">
        <w:t xml:space="preserve">diabetes, atrial fibrillation, ischemic heart disease and cerebrovascular disease. </w:t>
      </w:r>
      <w:r w:rsidR="00C425C2" w:rsidRPr="00DC7204">
        <w:rPr>
          <w:rFonts w:eastAsia="Times New Roman"/>
          <w:color w:val="2E2E2E"/>
          <w:lang w:eastAsia="fi-FI"/>
        </w:rPr>
        <w:t xml:space="preserve">Information on death of spouse, divorce and severe financial difficulties was drawn from a list of 21 negative life event types </w:t>
      </w:r>
      <w:r w:rsidR="003F1081" w:rsidRPr="00DC7204">
        <w:rPr>
          <w:rFonts w:eastAsia="Times New Roman"/>
          <w:color w:val="2E2E2E"/>
          <w:lang w:eastAsia="fi-FI"/>
        </w:rPr>
        <w:fldChar w:fldCharType="begin" w:fldLock="1"/>
      </w:r>
      <w:r w:rsidR="003F71F0">
        <w:rPr>
          <w:rFonts w:eastAsia="Times New Roman"/>
          <w:color w:val="2E2E2E"/>
          <w:lang w:eastAsia="fi-FI"/>
        </w:rPr>
        <w:instrText>ADDIN CSL_CITATION {"citationItems":[{"id":"ITEM-1","itemData":{"ISSN":"0161-8105","PMID":"18041486","abstract":"STUDY OBJECTIVES This study examined the effects of liability to anxiety and stressful life events on the onset of sleep disturbances. DESIGN A 5-year longitudinal observational cohort study. PARTICIPANTS A population sample of 16,627 men and women with undisturbed sleep and 2572 with disturbed sleep at baseline. INTERVENTIONS N/A. MEASUREMENTS AND RESULTS Liability to anxiety, as indicated by a general feeling of stressfulness (the Reeder stress inventory) and symptoms of sympathetic nervous system (SNS) hyperactivity, was assessed at baseline. The occurrence of post-baseline life events and sleep disturbances was measured at follow-up five years later. Both liability to anxiety and exposure to negative life events were strongly associated with sleep disturbances. Among the men liable to anxiety, the odds of sleep disturbances were 3.11 (95% CI 1.90-5.10) times higher for those who had experienced a severe life event within 6 months than for the others. For the men not liable to anxiety, the corresponding odds ratio was only 1.13 (95% CI 0.40-3.18). For the men and women liable to anxiety, the odds ratio for sleep disturbance 0-6 months after divorce was 2.05 (95% CI 1.38-3.05), with the corresponding odds ratio being 1.47 (95% CI 0.84-2.58) for the men and women not liable to anxiety. The effects of total or specific life events on sleep after 6 months were not dependent on liability to anxiety. CONCLUSION This study provides prospective evidence that individuals liable to anxiety may be at particularly high risk of post-event sleep disturbances at least during the first months after the event.","author":[{"dropping-particle":"","family":"Vahtera","given":"Jussi","non-dropping-particle":"","parse-names":false,"suffix":""},{"dropping-particle":"","family":"Kivimäki","given":"Mika","non-dropping-particle":"","parse-names":false,"suffix":""},{"dropping-particle":"","family":"Hublin","given":"Christer","non-dropping-particle":"","parse-names":false,"suffix":""},{"dropping-particle":"","family":"Korkeila","given":"Katariina","non-dropping-particle":"","parse-names":false,"suffix":""},{"dropping-particle":"","family":"Suominen","given":"Sakari","non-dropping-particle":"","parse-names":false,"suffix":""},{"dropping-particle":"","family":"Paunio","given":"Tiina","non-dropping-particle":"","parse-names":false,"suffix":""},{"dropping-particle":"","family":"Koskenvuo","given":"Markku","non-dropping-particle":"","parse-names":false,"suffix":""}],"container-title":"Sleep","id":"ITEM-1","issue":"11","issued":{"date-parts":[["2007","11"]]},"page":"1537-46","publisher":"Oxford University Press","title":"Liability to anxiety and severe life events as predictors of new-onset sleep disturbances.","type":"article-journal","volume":"30"},"uris":["http://www.mendeley.com/documents/?uuid=c9bb5a47-082e-3ebd-85f2-2aa91e1f13f9"]}],"mendeley":{"formattedCitation":"(Vahtera et al., 2007)","plainTextFormattedCitation":"(Vahtera et al., 2007)","previouslyFormattedCitation":"(Vahtera et al., 2007)"},"properties":{"noteIndex":0},"schema":"https://github.com/citation-style-language/schema/raw/master/csl-citation.json"}</w:instrText>
      </w:r>
      <w:r w:rsidR="003F1081" w:rsidRPr="00DC7204">
        <w:rPr>
          <w:rFonts w:eastAsia="Times New Roman"/>
          <w:color w:val="2E2E2E"/>
          <w:lang w:eastAsia="fi-FI"/>
        </w:rPr>
        <w:fldChar w:fldCharType="separate"/>
      </w:r>
      <w:r w:rsidR="00D20D43" w:rsidRPr="00DC7204">
        <w:rPr>
          <w:rFonts w:eastAsia="Times New Roman"/>
          <w:noProof/>
          <w:color w:val="2E2E2E"/>
          <w:lang w:eastAsia="fi-FI"/>
        </w:rPr>
        <w:t>(Vahtera et al., 2007)</w:t>
      </w:r>
      <w:r w:rsidR="003F1081" w:rsidRPr="00DC7204">
        <w:rPr>
          <w:rFonts w:eastAsia="Times New Roman"/>
          <w:color w:val="2E2E2E"/>
          <w:lang w:eastAsia="fi-FI"/>
        </w:rPr>
        <w:fldChar w:fldCharType="end"/>
      </w:r>
      <w:r w:rsidR="00C425C2" w:rsidRPr="00DC7204">
        <w:rPr>
          <w:rFonts w:eastAsia="Times New Roman"/>
          <w:color w:val="2E2E2E"/>
          <w:lang w:eastAsia="fi-FI"/>
        </w:rPr>
        <w:t xml:space="preserve">. </w:t>
      </w:r>
      <w:r w:rsidR="00C425C2" w:rsidRPr="00DC7204">
        <w:rPr>
          <w:rFonts w:eastAsia="Times New Roman"/>
          <w:lang w:eastAsia="fi-FI"/>
        </w:rPr>
        <w:t>The response format included the following categories (yes/no): within the previous 6 months, within the pre</w:t>
      </w:r>
      <w:r w:rsidR="00B4110C" w:rsidRPr="00DC7204">
        <w:rPr>
          <w:rFonts w:eastAsia="Times New Roman"/>
          <w:lang w:eastAsia="fi-FI"/>
        </w:rPr>
        <w:t>vious 5 years, over 5 years ago or</w:t>
      </w:r>
      <w:r w:rsidR="00C425C2" w:rsidRPr="00DC7204">
        <w:rPr>
          <w:rFonts w:eastAsia="Times New Roman"/>
          <w:lang w:eastAsia="fi-FI"/>
        </w:rPr>
        <w:t xml:space="preserve"> never. Events occurred within 6 months or 0.5-5 years of the survey, i</w:t>
      </w:r>
      <w:r w:rsidR="003951EF" w:rsidRPr="00DC7204">
        <w:rPr>
          <w:rFonts w:eastAsia="Times New Roman"/>
          <w:lang w:eastAsia="fi-FI"/>
        </w:rPr>
        <w:t>.</w:t>
      </w:r>
      <w:r w:rsidR="00C425C2" w:rsidRPr="00DC7204">
        <w:rPr>
          <w:rFonts w:eastAsia="Times New Roman"/>
          <w:lang w:eastAsia="fi-FI"/>
        </w:rPr>
        <w:t xml:space="preserve">e. within the time window used for cumulative neighborhood SES, were identified.  </w:t>
      </w:r>
      <w:r w:rsidR="00CE16ED" w:rsidRPr="00DC7204">
        <w:rPr>
          <w:rFonts w:eastAsia="Times New Roman"/>
          <w:lang w:eastAsia="fi-FI"/>
        </w:rPr>
        <w:t>Urbanicity in the last residential neighborhood was assessed by population density within the 250mx250m neighborhood grid from the Statistics Finland’s grid database.</w:t>
      </w:r>
    </w:p>
    <w:p w14:paraId="5ADA73B9" w14:textId="77777777" w:rsidR="00E01509" w:rsidRPr="000D0C6C" w:rsidRDefault="00E01509" w:rsidP="00BA052C">
      <w:pPr>
        <w:spacing w:after="0" w:line="360" w:lineRule="auto"/>
        <w:rPr>
          <w:rFonts w:eastAsia="Times New Roman"/>
          <w:lang w:eastAsia="fi-FI"/>
        </w:rPr>
      </w:pPr>
    </w:p>
    <w:p w14:paraId="383ACE60" w14:textId="77777777" w:rsidR="00EA2E8E" w:rsidRPr="00220EE3" w:rsidRDefault="00EA2E8E" w:rsidP="008C1A3C">
      <w:pPr>
        <w:spacing w:after="0" w:line="360" w:lineRule="auto"/>
        <w:rPr>
          <w:rFonts w:eastAsia="Times New Roman"/>
          <w:b/>
          <w:color w:val="2E2E2E"/>
          <w:lang w:eastAsia="fi-FI"/>
        </w:rPr>
      </w:pPr>
      <w:r w:rsidRPr="00220EE3">
        <w:rPr>
          <w:rFonts w:eastAsia="Times New Roman"/>
          <w:b/>
          <w:color w:val="2E2E2E"/>
          <w:lang w:eastAsia="fi-FI"/>
        </w:rPr>
        <w:t>Ethics</w:t>
      </w:r>
    </w:p>
    <w:p w14:paraId="430BFF3C" w14:textId="57342EED" w:rsidR="00EA2E8E" w:rsidRPr="00220EE3" w:rsidRDefault="00EA2E8E" w:rsidP="008C1A3C">
      <w:pPr>
        <w:spacing w:after="0" w:line="360" w:lineRule="auto"/>
        <w:rPr>
          <w:rFonts w:eastAsia="Times New Roman"/>
          <w:color w:val="2E2E2E"/>
          <w:lang w:eastAsia="fi-FI"/>
        </w:rPr>
      </w:pPr>
      <w:r w:rsidRPr="00220EE3">
        <w:rPr>
          <w:rFonts w:eastAsia="Times New Roman"/>
          <w:color w:val="2E2E2E"/>
          <w:lang w:eastAsia="fi-FI"/>
        </w:rPr>
        <w:lastRenderedPageBreak/>
        <w:t>The</w:t>
      </w:r>
      <w:r w:rsidRPr="00220EE3">
        <w:rPr>
          <w:rFonts w:eastAsia="Times New Roman"/>
          <w:strike/>
          <w:color w:val="2E2E2E"/>
          <w:lang w:eastAsia="fi-FI"/>
        </w:rPr>
        <w:t xml:space="preserve"> </w:t>
      </w:r>
      <w:r w:rsidRPr="00220EE3">
        <w:rPr>
          <w:rFonts w:eastAsia="Times New Roman"/>
          <w:color w:val="2E2E2E"/>
          <w:lang w:eastAsia="fi-FI"/>
        </w:rPr>
        <w:t>HeSSup</w:t>
      </w:r>
      <w:r w:rsidR="00B16378" w:rsidRPr="00220EE3">
        <w:rPr>
          <w:rFonts w:eastAsia="Times New Roman"/>
          <w:color w:val="2E2E2E"/>
          <w:lang w:eastAsia="fi-FI"/>
        </w:rPr>
        <w:t xml:space="preserve"> </w:t>
      </w:r>
      <w:r w:rsidR="00285DBF" w:rsidRPr="00220EE3">
        <w:rPr>
          <w:rFonts w:eastAsia="Times New Roman"/>
          <w:color w:val="2E2E2E"/>
          <w:lang w:eastAsia="fi-FI"/>
        </w:rPr>
        <w:t xml:space="preserve">study </w:t>
      </w:r>
      <w:r w:rsidRPr="00220EE3">
        <w:rPr>
          <w:rFonts w:eastAsia="Times New Roman"/>
          <w:color w:val="2E2E2E"/>
          <w:lang w:eastAsia="fi-FI"/>
        </w:rPr>
        <w:t>was approved by the joint ethics committee of the University of Turku and the Turku University Central Hospital.</w:t>
      </w:r>
    </w:p>
    <w:p w14:paraId="3E4B69C7" w14:textId="77777777" w:rsidR="00EA2E8E" w:rsidRPr="00220EE3" w:rsidRDefault="00EA2E8E" w:rsidP="008C1A3C">
      <w:pPr>
        <w:spacing w:after="0" w:line="360" w:lineRule="auto"/>
        <w:rPr>
          <w:rFonts w:eastAsia="Times New Roman"/>
          <w:color w:val="2E2E2E"/>
          <w:lang w:eastAsia="fi-FI"/>
        </w:rPr>
      </w:pPr>
    </w:p>
    <w:p w14:paraId="6E25CDFC" w14:textId="3AE1E384" w:rsidR="00533DED" w:rsidRDefault="00D8183A" w:rsidP="008C1A3C">
      <w:pPr>
        <w:spacing w:after="0" w:line="360" w:lineRule="auto"/>
        <w:rPr>
          <w:rFonts w:eastAsia="Times New Roman"/>
          <w:b/>
          <w:lang w:eastAsia="fi-FI"/>
        </w:rPr>
      </w:pPr>
      <w:r w:rsidRPr="00220EE3">
        <w:rPr>
          <w:rFonts w:eastAsia="Times New Roman"/>
          <w:b/>
          <w:lang w:eastAsia="fi-FI"/>
        </w:rPr>
        <w:t>Statistical methods</w:t>
      </w:r>
      <w:r w:rsidR="001A5DE3" w:rsidRPr="00220EE3">
        <w:rPr>
          <w:rFonts w:eastAsia="Times New Roman"/>
          <w:b/>
          <w:lang w:eastAsia="fi-FI"/>
        </w:rPr>
        <w:t xml:space="preserve"> </w:t>
      </w:r>
    </w:p>
    <w:p w14:paraId="5F1B01E3" w14:textId="0D4A61A4" w:rsidR="00785CE7" w:rsidRDefault="00BA052C" w:rsidP="00E074DD">
      <w:pPr>
        <w:spacing w:after="0" w:line="360" w:lineRule="auto"/>
        <w:rPr>
          <w:rFonts w:eastAsia="Times New Roman"/>
          <w:lang w:eastAsia="fi-FI"/>
        </w:rPr>
      </w:pPr>
      <w:r w:rsidRPr="001B26C1">
        <w:rPr>
          <w:rFonts w:eastAsia="Times New Roman"/>
          <w:lang w:eastAsia="fi-FI"/>
        </w:rPr>
        <w:t xml:space="preserve">Characteristics of the </w:t>
      </w:r>
      <w:r w:rsidR="00E074DD" w:rsidRPr="001B26C1">
        <w:rPr>
          <w:rFonts w:eastAsia="Times New Roman"/>
          <w:lang w:eastAsia="fi-FI"/>
        </w:rPr>
        <w:t xml:space="preserve">non-movers and movers </w:t>
      </w:r>
      <w:r w:rsidRPr="001B26C1">
        <w:rPr>
          <w:rFonts w:eastAsia="Times New Roman"/>
          <w:lang w:eastAsia="fi-FI"/>
        </w:rPr>
        <w:t xml:space="preserve">according to the level of adherence to dietary recommendations were calculated and the significance of the group differences were tested with analysis of variance. </w:t>
      </w:r>
      <w:r w:rsidR="0067558A">
        <w:rPr>
          <w:rFonts w:eastAsia="Times New Roman"/>
          <w:lang w:eastAsia="fi-FI"/>
        </w:rPr>
        <w:t>T</w:t>
      </w:r>
      <w:r w:rsidR="0067558A" w:rsidRPr="001B26C1">
        <w:rPr>
          <w:rFonts w:eastAsia="Times New Roman"/>
          <w:lang w:eastAsia="fi-FI"/>
        </w:rPr>
        <w:t>o examine the association of neighborhood SES categories with individual food items/groups among the non-movers and movers, we used log-binomial regression analyses. The results are presented as</w:t>
      </w:r>
      <w:r w:rsidR="0067558A" w:rsidRPr="001B26C1">
        <w:rPr>
          <w:rFonts w:eastAsia="Times New Roman"/>
          <w:bCs/>
          <w:lang w:eastAsia="fi-FI"/>
        </w:rPr>
        <w:t xml:space="preserve"> prevalence</w:t>
      </w:r>
      <w:r w:rsidR="0067558A" w:rsidRPr="001B26C1">
        <w:rPr>
          <w:rFonts w:eastAsia="Times New Roman"/>
          <w:lang w:eastAsia="fi-FI"/>
        </w:rPr>
        <w:t xml:space="preserve"> with 95% </w:t>
      </w:r>
      <w:r w:rsidR="00AA2BEF" w:rsidRPr="001B26C1">
        <w:rPr>
          <w:rFonts w:eastAsia="Times New Roman"/>
          <w:lang w:eastAsia="fi-FI"/>
        </w:rPr>
        <w:t xml:space="preserve">confidence limits </w:t>
      </w:r>
      <w:r w:rsidR="00AA2BEF">
        <w:rPr>
          <w:rFonts w:eastAsia="Times New Roman"/>
          <w:lang w:eastAsia="fi-FI"/>
        </w:rPr>
        <w:t>(</w:t>
      </w:r>
      <w:r w:rsidR="0067558A">
        <w:rPr>
          <w:rFonts w:eastAsia="Times New Roman"/>
          <w:lang w:eastAsia="fi-FI"/>
        </w:rPr>
        <w:t>CL</w:t>
      </w:r>
      <w:r w:rsidR="00AA2BEF">
        <w:rPr>
          <w:rFonts w:eastAsia="Times New Roman"/>
          <w:lang w:eastAsia="fi-FI"/>
        </w:rPr>
        <w:t>)</w:t>
      </w:r>
      <w:r w:rsidR="0067558A" w:rsidRPr="001B26C1">
        <w:rPr>
          <w:rFonts w:eastAsia="Times New Roman"/>
          <w:lang w:eastAsia="fi-FI"/>
        </w:rPr>
        <w:t xml:space="preserve"> </w:t>
      </w:r>
      <w:r w:rsidR="0067558A" w:rsidRPr="001B26C1">
        <w:rPr>
          <w:rFonts w:eastAsia="Times New Roman"/>
          <w:bCs/>
          <w:lang w:eastAsia="fi-FI"/>
        </w:rPr>
        <w:t xml:space="preserve">of participant’s adherent to recommended amounts of individual food items. </w:t>
      </w:r>
      <w:r w:rsidR="00827650" w:rsidRPr="001B26C1">
        <w:rPr>
          <w:rFonts w:eastAsia="Times New Roman"/>
          <w:lang w:eastAsia="fi-FI"/>
        </w:rPr>
        <w:t>T</w:t>
      </w:r>
      <w:r w:rsidRPr="001B26C1">
        <w:rPr>
          <w:rFonts w:eastAsia="Times New Roman"/>
          <w:lang w:eastAsia="fi-FI"/>
        </w:rPr>
        <w:t xml:space="preserve">he association between </w:t>
      </w:r>
      <w:r w:rsidR="00E074DD" w:rsidRPr="001B26C1">
        <w:rPr>
          <w:rFonts w:eastAsia="Times New Roman"/>
          <w:lang w:eastAsia="fi-FI"/>
        </w:rPr>
        <w:t xml:space="preserve">cumulative </w:t>
      </w:r>
      <w:r w:rsidRPr="001B26C1">
        <w:rPr>
          <w:rFonts w:eastAsia="Times New Roman"/>
          <w:lang w:eastAsia="fi-FI"/>
        </w:rPr>
        <w:lastRenderedPageBreak/>
        <w:t xml:space="preserve">neighborhood SES categories </w:t>
      </w:r>
      <w:r w:rsidR="00E074DD" w:rsidRPr="001B26C1">
        <w:rPr>
          <w:rFonts w:eastAsia="Times New Roman"/>
          <w:lang w:eastAsia="fi-FI"/>
        </w:rPr>
        <w:t xml:space="preserve">over the 6-year period </w:t>
      </w:r>
      <w:r w:rsidRPr="001B26C1">
        <w:rPr>
          <w:rFonts w:eastAsia="Times New Roman"/>
          <w:lang w:eastAsia="fi-FI"/>
        </w:rPr>
        <w:t xml:space="preserve">and the dietary index </w:t>
      </w:r>
      <w:r w:rsidR="00F53433" w:rsidRPr="001B26C1">
        <w:rPr>
          <w:rFonts w:eastAsia="Times New Roman"/>
          <w:lang w:eastAsia="fi-FI"/>
        </w:rPr>
        <w:t xml:space="preserve">among the non-movers and movers </w:t>
      </w:r>
      <w:r w:rsidR="00B6184A">
        <w:rPr>
          <w:rFonts w:eastAsia="Times New Roman"/>
          <w:lang w:eastAsia="fi-FI"/>
        </w:rPr>
        <w:t xml:space="preserve">was assessed </w:t>
      </w:r>
      <w:r w:rsidRPr="001B26C1">
        <w:rPr>
          <w:rFonts w:eastAsia="Times New Roman"/>
          <w:lang w:eastAsia="fi-FI"/>
        </w:rPr>
        <w:t>with general linear models. These results are presented as mean</w:t>
      </w:r>
      <w:r w:rsidR="003B3766" w:rsidRPr="001B26C1">
        <w:rPr>
          <w:rFonts w:eastAsia="Times New Roman"/>
          <w:lang w:eastAsia="fi-FI"/>
        </w:rPr>
        <w:t>s and mean</w:t>
      </w:r>
      <w:r w:rsidRPr="001B26C1">
        <w:rPr>
          <w:rFonts w:eastAsia="Times New Roman"/>
          <w:lang w:eastAsia="fi-FI"/>
        </w:rPr>
        <w:t xml:space="preserve"> differences with 95% </w:t>
      </w:r>
      <w:r w:rsidR="003D7412" w:rsidRPr="001B26C1">
        <w:rPr>
          <w:rFonts w:eastAsia="Times New Roman"/>
          <w:lang w:eastAsia="fi-FI"/>
        </w:rPr>
        <w:t>CL</w:t>
      </w:r>
      <w:r w:rsidRPr="001B26C1">
        <w:rPr>
          <w:rFonts w:eastAsia="Times New Roman"/>
          <w:lang w:eastAsia="fi-FI"/>
        </w:rPr>
        <w:t>. All models were adjusted for sociodemographic factors (sex, age, marital status, and education), major life events (</w:t>
      </w:r>
      <w:r w:rsidR="007C38C2">
        <w:rPr>
          <w:rFonts w:eastAsia="Times New Roman"/>
          <w:lang w:eastAsia="fi-FI"/>
        </w:rPr>
        <w:t>death of spouse, divorce, severe</w:t>
      </w:r>
      <w:r w:rsidRPr="001B26C1">
        <w:rPr>
          <w:rFonts w:eastAsia="Times New Roman"/>
          <w:lang w:eastAsia="fi-FI"/>
        </w:rPr>
        <w:t xml:space="preserve"> financial difficulties), chronic cardio</w:t>
      </w:r>
      <w:r w:rsidR="00EA188E" w:rsidRPr="001B26C1">
        <w:rPr>
          <w:rFonts w:eastAsia="Times New Roman"/>
          <w:lang w:eastAsia="fi-FI"/>
        </w:rPr>
        <w:t>-</w:t>
      </w:r>
      <w:r w:rsidRPr="001B26C1">
        <w:rPr>
          <w:rFonts w:eastAsia="Times New Roman"/>
          <w:lang w:eastAsia="fi-FI"/>
        </w:rPr>
        <w:t xml:space="preserve">metabolic conditions, and </w:t>
      </w:r>
      <w:r w:rsidR="00EA188E" w:rsidRPr="001B26C1">
        <w:rPr>
          <w:rFonts w:eastAsia="Times New Roman"/>
          <w:lang w:eastAsia="fi-FI"/>
        </w:rPr>
        <w:t>urbanicity</w:t>
      </w:r>
      <w:r w:rsidRPr="001B26C1">
        <w:rPr>
          <w:rFonts w:eastAsia="Times New Roman"/>
          <w:lang w:eastAsia="fi-FI"/>
        </w:rPr>
        <w:t xml:space="preserve">. Linear trend was tested using the level of neighborhood SES as a continuous variable. </w:t>
      </w:r>
      <w:r w:rsidR="00E074DD" w:rsidRPr="001B26C1">
        <w:rPr>
          <w:rFonts w:eastAsia="Times New Roman"/>
          <w:lang w:eastAsia="fi-FI"/>
        </w:rPr>
        <w:t xml:space="preserve">Difference in the </w:t>
      </w:r>
      <w:r w:rsidR="00F53433" w:rsidRPr="001B26C1">
        <w:rPr>
          <w:rFonts w:eastAsia="Times New Roman"/>
          <w:lang w:eastAsia="fi-FI"/>
        </w:rPr>
        <w:t>trend between non-movers and movers was examined by including the interaction term ‘moving status*neighborhoo</w:t>
      </w:r>
      <w:r w:rsidR="00C3543C">
        <w:rPr>
          <w:rFonts w:eastAsia="Times New Roman"/>
          <w:lang w:eastAsia="fi-FI"/>
        </w:rPr>
        <w:t xml:space="preserve">d SES’ to the regression model. </w:t>
      </w:r>
      <w:r w:rsidR="00AA2BEF">
        <w:rPr>
          <w:rFonts w:eastAsia="Times New Roman"/>
          <w:lang w:eastAsia="fi-FI"/>
        </w:rPr>
        <w:t>A</w:t>
      </w:r>
      <w:r w:rsidRPr="001B26C1">
        <w:rPr>
          <w:rFonts w:eastAsia="Times New Roman"/>
          <w:lang w:eastAsia="fi-FI"/>
        </w:rPr>
        <w:t xml:space="preserve">dditionally, we examined whether the neighborhood </w:t>
      </w:r>
      <w:r w:rsidR="003D7412" w:rsidRPr="001B26C1">
        <w:rPr>
          <w:rFonts w:eastAsia="Times New Roman"/>
          <w:lang w:eastAsia="fi-FI"/>
        </w:rPr>
        <w:t xml:space="preserve">SES </w:t>
      </w:r>
      <w:r w:rsidRPr="001B26C1">
        <w:rPr>
          <w:rFonts w:eastAsia="Times New Roman"/>
          <w:lang w:eastAsia="fi-FI"/>
        </w:rPr>
        <w:t>– dietary index association</w:t>
      </w:r>
      <w:r w:rsidR="003B3766" w:rsidRPr="001B26C1">
        <w:rPr>
          <w:rFonts w:eastAsia="Times New Roman"/>
          <w:lang w:eastAsia="fi-FI"/>
        </w:rPr>
        <w:t>s among non-movers and movers</w:t>
      </w:r>
      <w:r w:rsidRPr="001B26C1">
        <w:rPr>
          <w:rFonts w:eastAsia="Times New Roman"/>
          <w:lang w:eastAsia="fi-FI"/>
        </w:rPr>
        <w:t xml:space="preserve"> depended on sex-, age- or education </w:t>
      </w:r>
      <w:r w:rsidRPr="001B26C1">
        <w:rPr>
          <w:rFonts w:eastAsia="Times New Roman"/>
          <w:lang w:eastAsia="fi-FI"/>
        </w:rPr>
        <w:lastRenderedPageBreak/>
        <w:t>by adding the corresponding interaction term</w:t>
      </w:r>
      <w:r w:rsidR="003D7412" w:rsidRPr="001B26C1">
        <w:rPr>
          <w:rFonts w:eastAsia="Times New Roman"/>
          <w:lang w:eastAsia="fi-FI"/>
        </w:rPr>
        <w:t>s</w:t>
      </w:r>
      <w:r w:rsidRPr="001B26C1">
        <w:rPr>
          <w:rFonts w:eastAsia="Times New Roman"/>
          <w:lang w:eastAsia="fi-FI"/>
        </w:rPr>
        <w:t xml:space="preserve"> into each regression model. </w:t>
      </w:r>
      <w:r w:rsidR="00C52027" w:rsidRPr="001B26C1">
        <w:rPr>
          <w:rFonts w:eastAsia="Times New Roman"/>
          <w:lang w:eastAsia="fi-FI"/>
        </w:rPr>
        <w:t>W</w:t>
      </w:r>
      <w:r w:rsidRPr="001B26C1">
        <w:rPr>
          <w:rFonts w:eastAsia="Times New Roman"/>
          <w:lang w:eastAsia="fi-FI"/>
        </w:rPr>
        <w:t xml:space="preserve">e did not </w:t>
      </w:r>
      <w:r w:rsidR="00B6184A">
        <w:rPr>
          <w:rFonts w:eastAsia="Times New Roman"/>
          <w:lang w:eastAsia="fi-FI"/>
        </w:rPr>
        <w:t xml:space="preserve">further </w:t>
      </w:r>
      <w:r w:rsidRPr="001B26C1">
        <w:rPr>
          <w:rFonts w:eastAsia="Times New Roman"/>
          <w:lang w:eastAsia="fi-FI"/>
        </w:rPr>
        <w:t xml:space="preserve">examine neighborhood effects in </w:t>
      </w:r>
      <w:r w:rsidR="00C52027" w:rsidRPr="001B26C1">
        <w:rPr>
          <w:rFonts w:eastAsia="Times New Roman"/>
          <w:lang w:eastAsia="fi-FI"/>
        </w:rPr>
        <w:t>sex</w:t>
      </w:r>
      <w:r w:rsidR="00AC1F36">
        <w:rPr>
          <w:rFonts w:eastAsia="Times New Roman"/>
          <w:lang w:eastAsia="fi-FI"/>
        </w:rPr>
        <w:t>, age</w:t>
      </w:r>
      <w:r w:rsidR="00C52027" w:rsidRPr="001B26C1">
        <w:rPr>
          <w:rFonts w:eastAsia="Times New Roman"/>
          <w:lang w:eastAsia="fi-FI"/>
        </w:rPr>
        <w:t xml:space="preserve"> and education</w:t>
      </w:r>
      <w:r w:rsidRPr="001B26C1">
        <w:rPr>
          <w:rFonts w:eastAsia="Times New Roman"/>
          <w:lang w:eastAsia="fi-FI"/>
        </w:rPr>
        <w:t xml:space="preserve"> sub-group</w:t>
      </w:r>
      <w:r w:rsidR="008823B9" w:rsidRPr="001B26C1">
        <w:rPr>
          <w:rFonts w:eastAsia="Times New Roman"/>
          <w:lang w:eastAsia="fi-FI"/>
        </w:rPr>
        <w:t>s</w:t>
      </w:r>
      <w:r w:rsidR="00C52027" w:rsidRPr="001B26C1">
        <w:rPr>
          <w:rFonts w:eastAsia="Times New Roman"/>
          <w:lang w:eastAsia="fi-FI"/>
        </w:rPr>
        <w:t>, because all P-values</w:t>
      </w:r>
      <w:r w:rsidR="003D7412" w:rsidRPr="001B26C1">
        <w:rPr>
          <w:rFonts w:eastAsia="Times New Roman"/>
          <w:lang w:eastAsia="fi-FI"/>
        </w:rPr>
        <w:t xml:space="preserve"> for the interactions</w:t>
      </w:r>
      <w:r w:rsidR="00C52027" w:rsidRPr="001B26C1">
        <w:rPr>
          <w:rFonts w:eastAsia="Times New Roman"/>
          <w:lang w:eastAsia="fi-FI"/>
        </w:rPr>
        <w:t xml:space="preserve"> were non-significant (&gt;0.</w:t>
      </w:r>
      <w:r w:rsidR="00DF4ABD" w:rsidRPr="001B26C1">
        <w:rPr>
          <w:rFonts w:eastAsia="Times New Roman"/>
          <w:lang w:eastAsia="fi-FI"/>
        </w:rPr>
        <w:t>13</w:t>
      </w:r>
      <w:r w:rsidR="00C52027" w:rsidRPr="001B26C1">
        <w:rPr>
          <w:rFonts w:eastAsia="Times New Roman"/>
          <w:lang w:eastAsia="fi-FI"/>
        </w:rPr>
        <w:t>)</w:t>
      </w:r>
      <w:r w:rsidR="00DF4ABD" w:rsidRPr="001B26C1">
        <w:rPr>
          <w:rFonts w:eastAsia="Times New Roman"/>
          <w:lang w:eastAsia="fi-FI"/>
        </w:rPr>
        <w:t xml:space="preserve"> among the two groups</w:t>
      </w:r>
      <w:r w:rsidR="00C52027" w:rsidRPr="001B26C1">
        <w:rPr>
          <w:rFonts w:eastAsia="Times New Roman"/>
          <w:lang w:eastAsia="fi-FI"/>
        </w:rPr>
        <w:t>.</w:t>
      </w:r>
      <w:r w:rsidRPr="001B26C1">
        <w:rPr>
          <w:rFonts w:eastAsia="Times New Roman"/>
          <w:lang w:eastAsia="fi-FI"/>
        </w:rPr>
        <w:t xml:space="preserve"> </w:t>
      </w:r>
    </w:p>
    <w:p w14:paraId="6C132A5C" w14:textId="77777777" w:rsidR="00785CE7" w:rsidRDefault="00785CE7" w:rsidP="00E074DD">
      <w:pPr>
        <w:spacing w:after="0" w:line="360" w:lineRule="auto"/>
        <w:rPr>
          <w:rFonts w:eastAsia="Times New Roman"/>
          <w:lang w:eastAsia="fi-FI"/>
        </w:rPr>
      </w:pPr>
    </w:p>
    <w:p w14:paraId="2589C50F" w14:textId="2CD5D0CB" w:rsidR="00FF0AF1" w:rsidRPr="00FF0AF1" w:rsidRDefault="00FF0AF1" w:rsidP="0067558A">
      <w:pPr>
        <w:spacing w:after="0" w:line="360" w:lineRule="auto"/>
        <w:rPr>
          <w:rFonts w:eastAsia="Times New Roman"/>
          <w:lang w:eastAsia="fi-FI"/>
        </w:rPr>
      </w:pPr>
      <w:r w:rsidRPr="00E96E90">
        <w:t xml:space="preserve">Because average neighborhood conditions </w:t>
      </w:r>
      <w:r>
        <w:t>and changes in these conditions are not necessarily similarly related to diet</w:t>
      </w:r>
      <w:r w:rsidRPr="00E96E90">
        <w:t xml:space="preserve">, we used latent class growth analysis with censored normal model to identify subgroups that are following a similar pattern of annual change in the neighborhood SES during the 6-year follow-up period. </w:t>
      </w:r>
      <w:r>
        <w:t>To determine optimum number of trajectories, w</w:t>
      </w:r>
      <w:r w:rsidRPr="00E96E90">
        <w:t>e adopted an exploratory approach fitt</w:t>
      </w:r>
      <w:r>
        <w:t>ing</w:t>
      </w:r>
      <w:r w:rsidRPr="00E96E90">
        <w:t xml:space="preserve"> two to six latent classes</w:t>
      </w:r>
      <w:r w:rsidRPr="001D7573">
        <w:rPr>
          <w:rFonts w:cs="Times New Roman"/>
          <w:szCs w:val="24"/>
        </w:rPr>
        <w:t xml:space="preserve"> </w:t>
      </w:r>
      <w:r>
        <w:rPr>
          <w:rFonts w:cs="Times New Roman"/>
          <w:szCs w:val="24"/>
        </w:rPr>
        <w:t>and focused only the movers as average neighborhood conditions and trajectories of neighborhood conditions are similar in non-movers</w:t>
      </w:r>
      <w:r w:rsidRPr="00E96E90">
        <w:t xml:space="preserve">. </w:t>
      </w:r>
      <w:r w:rsidRPr="00E96E90">
        <w:lastRenderedPageBreak/>
        <w:t xml:space="preserve">We specified a cubic growth term in all models, assuming that neighborhood SES can both decrease and increase with time. We compared the models using three selection criteria: </w:t>
      </w:r>
      <w:r>
        <w:t>(</w:t>
      </w:r>
      <w:r w:rsidRPr="00E96E90">
        <w:t xml:space="preserve">1) the Bayesian Information Criteria (BIC), where model with lower BIC values indicated well-fitting model </w:t>
      </w:r>
      <w:r w:rsidRPr="00E96E90">
        <w:fldChar w:fldCharType="begin" w:fldLock="1"/>
      </w:r>
      <w:r w:rsidRPr="00E96E90">
        <w:instrText>ADDIN CSL_CITATION {"citationItems":[{"id":"ITEM-1","itemData":{"DOI":"10.1007/s10940-007-9036-0","ISBN":"0000000000000","ISSN":"07484518","abstract":"Over the last 25 years, a life-course perspective on criminal behavior has assumed increasing prominence in the literature. This theoretical development has been accompanied by changes in the statistical models used to analyze criminological data. There are two main statistical modeling techniques currently used to model longitudinal data. These are growth curve models and latent class growth models, also known as group-based trajectory models. Using the well known Cambridge data and the Philadelphia cohort study, this article compares the two \"classical models-conventional growth curve model and group-based trajectory models. In addition, two growth mixture models are introduced that bridge the gap between conventional growth models and group-based trajectory models. For the Cambridge data, the different mixture models yield quite consistent inferences regarding the nature of the underlying trajectories of convictions. For the Philadelphia cohort study, the statistical indicators give stronger guidance on relative model fit. The main goals of this article are to contribute to the discussion about different modeling techniques for analyzing data from a life-course perspective and to provide a concrete step-by-step illustration of such an analysis and model checking.","author":[{"dropping-particle":"","family":"Kreuter","given":"Frauke","non-dropping-particle":"","parse-names":false,"suffix":""},{"dropping-particle":"","family":"Muthén","given":"Bengt","non-dropping-particle":"","parse-names":false,"suffix":""}],"container-title":"Journal of Quantitative Criminology","id":"ITEM-1","issue":"1","issued":{"date-parts":[["2008"]]},"number-of-pages":"1-31","title":"Analyzing criminal trajectory profiles: Bridging multilevel and group-based approaches using growth mixture modeling","type":"book","volume":"24"},"uris":["http://www.mendeley.com/documents/?uuid=e5a9be12-01a6-4d96-8679-ea1919aa0e48"]}],"mendeley":{"formattedCitation":"(Kreuter and Muthén, 2008)","plainTextFormattedCitation":"(Kreuter and Muthén, 2008)","previouslyFormattedCitation":"(Kreuter and Muthén, 2008)"},"properties":{"noteIndex":0},"schema":"https://github.com/citation-style-language/schema/raw/master/csl-citation.json"}</w:instrText>
      </w:r>
      <w:r w:rsidRPr="00E96E90">
        <w:fldChar w:fldCharType="separate"/>
      </w:r>
      <w:r w:rsidRPr="00E96E90">
        <w:t>(Kreuter and Muthén, 2008)</w:t>
      </w:r>
      <w:r w:rsidRPr="00E96E90">
        <w:fldChar w:fldCharType="end"/>
      </w:r>
      <w:r w:rsidRPr="00E96E90">
        <w:t xml:space="preserve">, </w:t>
      </w:r>
      <w:r>
        <w:t>(</w:t>
      </w:r>
      <w:r w:rsidRPr="00E96E90">
        <w:t xml:space="preserve">2) the average posterior probabilities of group membership for each class, where higher values (closer to 1) suggest that the trajectories correctly classify individuals with similar pattern of neighborhood SES, and discriminates between individuals with dissimilar neighborhood patterns </w:t>
      </w:r>
      <w:r w:rsidRPr="00E96E90">
        <w:fldChar w:fldCharType="begin" w:fldLock="1"/>
      </w:r>
      <w:r w:rsidRPr="00E96E90">
        <w:instrText>ADDIN CSL_CITATION {"citationItems":[{"id":"ITEM-1","itemData":{"DOI":"10.20982/tqmp.05.1.p011","ISSN":"1913-4126","abstract":"The present work is an introduction to Latent Class Growth Modelling (LCGM). LCGM is a semi‐parametric statistical technique used to analyze longitudinal data. It is used when the data follows a pattern of change in which both the strength and the direction of the relationship between the independent and dependent variables differ across cases. The analysis identifies distinct subgroups of individuals following a distinct pattern of change over age or time on a variable of interest. The aim of the present tutorial is to introduce readers to LCGM and provide a concrete example of how the analysis can be performed using a real‐world data set and the SAS software package with accompanying PROC TRAJ application. The advantages and limitations of this technique are also discussed.","author":[{"dropping-particle":"","family":"Andruff","given":"Heather","non-dropping-particle":"","parse-names":false,"suffix":""},{"dropping-particle":"","family":"Carraro","given":"Natasha","non-dropping-particle":"","parse-names":false,"suffix":""},{"dropping-particle":"","family":"Thompson","given":"Amanda","non-dropping-particle":"","parse-names":false,"suffix":""},{"dropping-particle":"","family":"Gaudreau","given":"Patrick","non-dropping-particle":"","parse-names":false,"suffix":""},{"dropping-particle":"","family":"Louvet","given":"Benoît","non-dropping-particle":"","parse-names":false,"suffix":""}],"container-title":"Tutorials in Quantitative Methods for Psychology","id":"ITEM-1","issue":"1","issued":{"date-parts":[["2009"]]},"page":"11-24","title":"Latent Class Growth Modelling: A Tutorial","type":"article-journal","volume":"5"},"uris":["http://www.mendeley.com/documents/?uuid=5f87dc6c-aa0b-4a0d-92c0-ac66195d867c"]}],"mendeley":{"formattedCitation":"(Andruff et al., 2009)","plainTextFormattedCitation":"(Andruff et al., 2009)","previouslyFormattedCitation":"(Andruff et al., 2009)"},"properties":{"noteIndex":0},"schema":"https://github.com/citation-style-language/schema/raw/master/csl-citation.json"}</w:instrText>
      </w:r>
      <w:r w:rsidRPr="00E96E90">
        <w:fldChar w:fldCharType="separate"/>
      </w:r>
      <w:r w:rsidRPr="00E96E90">
        <w:t>(Andruff et al., 2009)</w:t>
      </w:r>
      <w:r w:rsidRPr="00E96E90">
        <w:fldChar w:fldCharType="end"/>
      </w:r>
      <w:r w:rsidRPr="00E96E90">
        <w:t xml:space="preserve">, and </w:t>
      </w:r>
      <w:r>
        <w:t>(</w:t>
      </w:r>
      <w:r w:rsidRPr="00E96E90">
        <w:t xml:space="preserve">3) the practical usefulness of the trajectories. To evaluate </w:t>
      </w:r>
      <w:r>
        <w:t>potential</w:t>
      </w:r>
      <w:r w:rsidRPr="00E96E90">
        <w:t xml:space="preserve"> usefulness</w:t>
      </w:r>
      <w:r>
        <w:t xml:space="preserve"> of the result</w:t>
      </w:r>
      <w:r w:rsidRPr="00E96E90">
        <w:t xml:space="preserve">, we examined both the distinctiveness and the sizes (proportions) of the trajectory groups </w:t>
      </w:r>
      <w:r w:rsidRPr="00E96E90">
        <w:fldChar w:fldCharType="begin" w:fldLock="1"/>
      </w:r>
      <w:r w:rsidRPr="00E96E90">
        <w:instrText>ADDIN CSL_CITATION {"citationItems":[{"id":"ITEM-1","itemData":{"DOI":"10.1146/annurev.clinpsy.121208.131413","ISBN":"1548-5943","ISSN":"1548-5943","PMID":"20192788","abstract":"Group-based trajectory models are increasingly being applied in clinical research to map the developmental course of symptoms and assess heterogeneity in response to clinical interventions. In this review, we provide a nontechnical overview of group-based trajectory and growth mixture modeling alongside a sampling of how these models have been applied in clinical research. We discuss the challenges associated with the application of both types of group-based models and propose a set of preliminary guidelines for applied researchers to follow when reporting model results. Future directions in group-based modeling applications are discussed, including the use of trajectory models to facilitate causal inference when random assignment to treatment condition is not possible.","author":[{"dropping-particle":"","family":"Nagin","given":"Daniel","non-dropping-particle":"","parse-names":false,"suffix":""},{"dropping-particle":"","family":"Odgers","given":"Candice L.","non-dropping-particle":"","parse-names":false,"suffix":""}],"container-title":"Annual Review of Clinical Psychology","id":"ITEM-1","issued":{"date-parts":[["2010"]]},"page":"109-138","title":"Group-Based Trajectory Modeling in Clinical Research","type":"article-journal","volume":"6"},"uris":["http://www.mendeley.com/documents/?uuid=9ba92f23-4fb4-4c21-8153-9141fb280eec"]}],"mendeley":{"formattedCitation":"(Nagin and Odgers, 2010)","plainTextFormattedCitation":"(Nagin and Odgers, 2010)","previouslyFormattedCitation":"(Nagin and Odgers, 2010)"},"properties":{"noteIndex":0},"schema":"https://github.com/citation-style-language/schema/raw/master/csl-citation.json"}</w:instrText>
      </w:r>
      <w:r w:rsidRPr="00E96E90">
        <w:fldChar w:fldCharType="separate"/>
      </w:r>
      <w:r w:rsidRPr="00E96E90">
        <w:t>(Nagin and Odgers, 2010)</w:t>
      </w:r>
      <w:r w:rsidRPr="00E96E90">
        <w:fldChar w:fldCharType="end"/>
      </w:r>
      <w:r w:rsidRPr="00E96E90">
        <w:t xml:space="preserve">. For the trajectory groups to serve a useful substantive purpose, they should be distinguishable in terms of their shapes and other explanatory characteristics. They should also be of reasonable sizes (at least </w:t>
      </w:r>
      <w:r w:rsidRPr="00E96E90">
        <w:lastRenderedPageBreak/>
        <w:t xml:space="preserve">five percent) to ensure precision </w:t>
      </w:r>
      <w:r w:rsidRPr="00E96E90">
        <w:fldChar w:fldCharType="begin" w:fldLock="1"/>
      </w:r>
      <w:r w:rsidRPr="00E96E90">
        <w:instrText>ADDIN CSL_CITATION {"citationItems":[{"id":"ITEM-1","itemData":{"author":[{"dropping-particle":"","family":"Muthen","given":"Bengt","non-dropping-particle":"","parse-names":false,"suffix":""},{"dropping-particle":"","family":"Muthen","given":"Linda K","non-dropping-particle":"","parse-names":false,"suffix":""}],"container-title":"Alcoholism: Clininical and Experimental Research","id":"ITEM-1","issue":"6","issued":{"date-parts":[["2000"]]},"page":"882-891","title":"Integrating Person-Centered and Variable-Centered Analyses : Growth Mixture Modeling With Latent Trajectory Classes","type":"article-journal","volume":"24"},"uris":["http://www.mendeley.com/documents/?uuid=6f834a75-866d-4ddc-988a-8031b6ddb8ff"]},{"id":"ITEM-2","itemData":{"DOI":"10.20982/tqmp.05.1.p011","ISSN":"1913-4126","abstract":"The present work is an introduction to Latent Class Growth Modelling (LCGM). LCGM is a semi‐parametric statistical technique used to analyze longitudinal data. It is used when the data follows a pattern of change in which both the strength and the direction of the relationship between the independent and dependent variables differ across cases. The analysis identifies distinct subgroups of individuals following a distinct pattern of change over age or time on a variable of interest. The aim of the present tutorial is to introduce readers to LCGM and provide a concrete example of how the analysis can be performed using a real‐world data set and the SAS software package with accompanying PROC TRAJ application. The advantages and limitations of this technique are also discussed.","author":[{"dropping-particle":"","family":"Andruff","given":"Heather","non-dropping-particle":"","parse-names":false,"suffix":""},{"dropping-particle":"","family":"Carraro","given":"Natasha","non-dropping-particle":"","parse-names":false,"suffix":""},{"dropping-particle":"","family":"Thompson","given":"Amanda","non-dropping-particle":"","parse-names":false,"suffix":""},{"dropping-particle":"","family":"Gaudreau","given":"Patrick","non-dropping-particle":"","parse-names":false,"suffix":""},{"dropping-particle":"","family":"Louvet","given":"Benoît","non-dropping-particle":"","parse-names":false,"suffix":""}],"container-title":"Tutorials in Quantitative Methods for Psychology","id":"ITEM-2","issue":"1","issued":{"date-parts":[["2009"]]},"page":"11-24","title":"Latent Class Growth Modelling: A Tutorial","type":"article-journal","volume":"5"},"uris":["http://www.mendeley.com/documents/?uuid=5f87dc6c-aa0b-4a0d-92c0-ac66195d867c"]}],"mendeley":{"formattedCitation":"(Andruff et al., 2009; Muthen and Muthen, 2000)","plainTextFormattedCitation":"(Andruff et al., 2009; Muthen and Muthen, 2000)","previouslyFormattedCitation":"(Andruff et al., 2009; Muthen and Muthen, 2000)"},"properties":{"noteIndex":0},"schema":"https://github.com/citation-style-language/schema/raw/master/csl-citation.json"}</w:instrText>
      </w:r>
      <w:r w:rsidRPr="00E96E90">
        <w:fldChar w:fldCharType="separate"/>
      </w:r>
      <w:r w:rsidRPr="00E96E90">
        <w:t>(Andruff et al., 2009; Muthen and Muthen, 2000)</w:t>
      </w:r>
      <w:r w:rsidRPr="00E96E90">
        <w:fldChar w:fldCharType="end"/>
      </w:r>
      <w:r w:rsidRPr="00E96E90">
        <w:t>. Upon establishing the optimum number of trajectory classes, we then used general linear models to investigate the associations between each neighborhood SES trajectory and dietary index</w:t>
      </w:r>
      <w:r>
        <w:t xml:space="preserve">. </w:t>
      </w:r>
      <w:r w:rsidRPr="001B26C1">
        <w:rPr>
          <w:rFonts w:eastAsia="Times New Roman"/>
          <w:lang w:eastAsia="fi-FI"/>
        </w:rPr>
        <w:t>All analyses were conducted using the SAS 9.4 Statistical Package (SAS Institute Inc., Cary, North Carolina).</w:t>
      </w:r>
    </w:p>
    <w:p w14:paraId="11443A22" w14:textId="77777777" w:rsidR="002B7BD3" w:rsidRDefault="002B7BD3">
      <w:pPr>
        <w:rPr>
          <w:rFonts w:eastAsia="Times New Roman"/>
          <w:b/>
          <w:lang w:eastAsia="fi-FI"/>
        </w:rPr>
      </w:pPr>
      <w:r>
        <w:rPr>
          <w:rFonts w:eastAsia="Times New Roman"/>
          <w:b/>
          <w:lang w:eastAsia="fi-FI"/>
        </w:rPr>
        <w:br w:type="page"/>
      </w:r>
    </w:p>
    <w:p w14:paraId="74CDB8BF" w14:textId="1E432737" w:rsidR="00A46A8F" w:rsidRDefault="00533DED" w:rsidP="008C1A3C">
      <w:pPr>
        <w:spacing w:after="0" w:line="360" w:lineRule="auto"/>
        <w:rPr>
          <w:rFonts w:eastAsia="Times New Roman"/>
          <w:b/>
          <w:lang w:eastAsia="fi-FI"/>
        </w:rPr>
      </w:pPr>
      <w:r w:rsidRPr="00220EE3">
        <w:rPr>
          <w:rFonts w:eastAsia="Times New Roman"/>
          <w:b/>
          <w:lang w:eastAsia="fi-FI"/>
        </w:rPr>
        <w:lastRenderedPageBreak/>
        <w:t>Results</w:t>
      </w:r>
    </w:p>
    <w:p w14:paraId="5D10B8D2" w14:textId="4BA0A9D3" w:rsidR="00A37EDA" w:rsidRPr="00220EE3" w:rsidRDefault="00CD0D6B" w:rsidP="008C1A3C">
      <w:pPr>
        <w:spacing w:after="0" w:line="360" w:lineRule="auto"/>
        <w:rPr>
          <w:rFonts w:eastAsia="Times New Roman"/>
          <w:lang w:eastAsia="fi-FI"/>
        </w:rPr>
      </w:pPr>
      <w:r w:rsidRPr="00220EE3">
        <w:rPr>
          <w:rFonts w:eastAsia="Times New Roman"/>
          <w:lang w:eastAsia="fi-FI"/>
        </w:rPr>
        <w:t>P</w:t>
      </w:r>
      <w:r w:rsidR="00A37EDA" w:rsidRPr="00220EE3">
        <w:rPr>
          <w:rFonts w:eastAsia="Times New Roman"/>
          <w:lang w:eastAsia="fi-FI"/>
        </w:rPr>
        <w:t xml:space="preserve">ercentages of </w:t>
      </w:r>
      <w:r w:rsidRPr="00220EE3">
        <w:rPr>
          <w:rFonts w:eastAsia="Times New Roman"/>
          <w:lang w:eastAsia="fi-FI"/>
        </w:rPr>
        <w:t>participants</w:t>
      </w:r>
      <w:r w:rsidR="00A277F2">
        <w:rPr>
          <w:rFonts w:eastAsia="Times New Roman"/>
          <w:lang w:eastAsia="fi-FI"/>
        </w:rPr>
        <w:t xml:space="preserve"> (n=16,522)</w:t>
      </w:r>
      <w:r w:rsidRPr="00220EE3">
        <w:rPr>
          <w:rFonts w:eastAsia="Times New Roman"/>
          <w:lang w:eastAsia="fi-FI"/>
        </w:rPr>
        <w:t xml:space="preserve"> adhering to recommendations of the</w:t>
      </w:r>
      <w:r w:rsidR="00A37EDA" w:rsidRPr="00220EE3">
        <w:rPr>
          <w:rFonts w:eastAsia="Times New Roman"/>
          <w:lang w:eastAsia="fi-FI"/>
        </w:rPr>
        <w:t xml:space="preserve"> single food items/groups </w:t>
      </w:r>
      <w:r w:rsidR="00D53FCF" w:rsidRPr="00220EE3">
        <w:rPr>
          <w:rFonts w:eastAsia="Times New Roman"/>
          <w:lang w:eastAsia="fi-FI"/>
        </w:rPr>
        <w:t>are</w:t>
      </w:r>
      <w:r w:rsidR="00A37EDA" w:rsidRPr="00220EE3">
        <w:rPr>
          <w:rFonts w:eastAsia="Times New Roman"/>
          <w:lang w:eastAsia="fi-FI"/>
        </w:rPr>
        <w:t xml:space="preserve"> shown in </w:t>
      </w:r>
      <w:r w:rsidR="00250C3A" w:rsidRPr="00220EE3">
        <w:rPr>
          <w:rFonts w:eastAsia="Times New Roman"/>
          <w:lang w:eastAsia="fi-FI"/>
        </w:rPr>
        <w:t>Table 1</w:t>
      </w:r>
      <w:r w:rsidR="00A37EDA" w:rsidRPr="00220EE3">
        <w:rPr>
          <w:rFonts w:eastAsia="Times New Roman"/>
          <w:lang w:eastAsia="fi-FI"/>
        </w:rPr>
        <w:t xml:space="preserve">. </w:t>
      </w:r>
      <w:r w:rsidRPr="00220EE3">
        <w:rPr>
          <w:rFonts w:eastAsia="Times New Roman"/>
          <w:lang w:eastAsia="fi-FI"/>
        </w:rPr>
        <w:t>Consumption</w:t>
      </w:r>
      <w:r w:rsidR="00250C3A" w:rsidRPr="00220EE3">
        <w:rPr>
          <w:rFonts w:eastAsia="Times New Roman"/>
          <w:lang w:eastAsia="fi-FI"/>
        </w:rPr>
        <w:t xml:space="preserve"> of dark bread </w:t>
      </w:r>
      <w:r w:rsidRPr="00220EE3">
        <w:rPr>
          <w:rFonts w:eastAsia="Times New Roman"/>
          <w:lang w:eastAsia="fi-FI"/>
        </w:rPr>
        <w:t>wa</w:t>
      </w:r>
      <w:r w:rsidR="00250C3A" w:rsidRPr="00220EE3">
        <w:rPr>
          <w:rFonts w:eastAsia="Times New Roman"/>
          <w:lang w:eastAsia="fi-FI"/>
        </w:rPr>
        <w:t xml:space="preserve">s at the recommended level </w:t>
      </w:r>
      <w:r w:rsidRPr="00220EE3">
        <w:rPr>
          <w:rFonts w:eastAsia="Times New Roman"/>
          <w:lang w:eastAsia="fi-FI"/>
        </w:rPr>
        <w:t>among</w:t>
      </w:r>
      <w:r w:rsidR="000919BC" w:rsidRPr="00220EE3">
        <w:rPr>
          <w:rFonts w:eastAsia="Times New Roman"/>
          <w:lang w:eastAsia="fi-FI"/>
        </w:rPr>
        <w:t xml:space="preserve"> 37% </w:t>
      </w:r>
      <w:r w:rsidR="00250C3A" w:rsidRPr="00220EE3">
        <w:rPr>
          <w:rFonts w:eastAsia="Times New Roman"/>
          <w:lang w:eastAsia="fi-FI"/>
        </w:rPr>
        <w:t xml:space="preserve">of </w:t>
      </w:r>
      <w:r w:rsidRPr="00220EE3">
        <w:rPr>
          <w:rFonts w:eastAsia="Times New Roman"/>
          <w:lang w:eastAsia="fi-FI"/>
        </w:rPr>
        <w:t xml:space="preserve">the </w:t>
      </w:r>
      <w:r w:rsidR="00250C3A" w:rsidRPr="00220EE3">
        <w:rPr>
          <w:rFonts w:eastAsia="Times New Roman"/>
          <w:lang w:eastAsia="fi-FI"/>
        </w:rPr>
        <w:t xml:space="preserve">participants, </w:t>
      </w:r>
      <w:r w:rsidR="004A7916" w:rsidRPr="00220EE3">
        <w:rPr>
          <w:rFonts w:eastAsia="Times New Roman"/>
          <w:lang w:eastAsia="fi-FI"/>
        </w:rPr>
        <w:t>and</w:t>
      </w:r>
      <w:r w:rsidR="00250C3A" w:rsidRPr="00220EE3">
        <w:rPr>
          <w:rFonts w:eastAsia="Times New Roman"/>
          <w:lang w:eastAsia="fi-FI"/>
        </w:rPr>
        <w:t xml:space="preserve"> </w:t>
      </w:r>
      <w:r w:rsidR="00070EE8" w:rsidRPr="00220EE3">
        <w:rPr>
          <w:rFonts w:eastAsia="Times New Roman"/>
          <w:lang w:eastAsia="fi-FI"/>
        </w:rPr>
        <w:t>49%</w:t>
      </w:r>
      <w:r w:rsidR="00250C3A" w:rsidRPr="00220EE3">
        <w:rPr>
          <w:rFonts w:eastAsia="Times New Roman"/>
          <w:lang w:eastAsia="fi-FI"/>
        </w:rPr>
        <w:t xml:space="preserve"> of </w:t>
      </w:r>
      <w:r w:rsidRPr="00220EE3">
        <w:rPr>
          <w:rFonts w:eastAsia="Times New Roman"/>
          <w:lang w:eastAsia="fi-FI"/>
        </w:rPr>
        <w:t xml:space="preserve">the </w:t>
      </w:r>
      <w:r w:rsidR="00250C3A" w:rsidRPr="00220EE3">
        <w:rPr>
          <w:rFonts w:eastAsia="Times New Roman"/>
          <w:lang w:eastAsia="fi-FI"/>
        </w:rPr>
        <w:t>participant</w:t>
      </w:r>
      <w:r w:rsidRPr="00220EE3">
        <w:rPr>
          <w:rFonts w:eastAsia="Times New Roman"/>
          <w:lang w:eastAsia="fi-FI"/>
        </w:rPr>
        <w:t>s</w:t>
      </w:r>
      <w:r w:rsidR="00250C3A" w:rsidRPr="00220EE3">
        <w:rPr>
          <w:rFonts w:eastAsia="Times New Roman"/>
          <w:lang w:eastAsia="fi-FI"/>
        </w:rPr>
        <w:t xml:space="preserve"> consumed pastries and sweet as little as recommended. </w:t>
      </w:r>
      <w:r w:rsidR="000919BC" w:rsidRPr="00220EE3">
        <w:rPr>
          <w:rFonts w:eastAsia="Times New Roman"/>
          <w:lang w:eastAsia="fi-FI"/>
        </w:rPr>
        <w:t>Over</w:t>
      </w:r>
      <w:r w:rsidR="00250C3A" w:rsidRPr="00220EE3">
        <w:rPr>
          <w:rFonts w:eastAsia="Times New Roman"/>
          <w:lang w:eastAsia="fi-FI"/>
        </w:rPr>
        <w:t xml:space="preserve"> 4</w:t>
      </w:r>
      <w:r w:rsidR="000919BC" w:rsidRPr="00220EE3">
        <w:rPr>
          <w:rFonts w:eastAsia="Times New Roman"/>
          <w:lang w:eastAsia="fi-FI"/>
        </w:rPr>
        <w:t>0</w:t>
      </w:r>
      <w:r w:rsidR="00250C3A" w:rsidRPr="00220EE3">
        <w:rPr>
          <w:rFonts w:eastAsia="Times New Roman"/>
          <w:lang w:eastAsia="fi-FI"/>
        </w:rPr>
        <w:t xml:space="preserve">% of </w:t>
      </w:r>
      <w:r w:rsidRPr="00220EE3">
        <w:rPr>
          <w:rFonts w:eastAsia="Times New Roman"/>
          <w:lang w:eastAsia="fi-FI"/>
        </w:rPr>
        <w:t xml:space="preserve">the </w:t>
      </w:r>
      <w:r w:rsidR="00250C3A" w:rsidRPr="00220EE3">
        <w:rPr>
          <w:rFonts w:eastAsia="Times New Roman"/>
          <w:lang w:eastAsia="fi-FI"/>
        </w:rPr>
        <w:t xml:space="preserve">participants used fat free milk according to the recommendation, at least once a day. The use of </w:t>
      </w:r>
      <w:r w:rsidR="006E03CC" w:rsidRPr="00220EE3">
        <w:rPr>
          <w:rFonts w:eastAsia="Times New Roman"/>
          <w:lang w:eastAsia="fi-FI"/>
        </w:rPr>
        <w:t>sausages</w:t>
      </w:r>
      <w:r w:rsidR="00250C3A" w:rsidRPr="00220EE3">
        <w:rPr>
          <w:rFonts w:eastAsia="Times New Roman"/>
          <w:lang w:eastAsia="fi-FI"/>
        </w:rPr>
        <w:t xml:space="preserve">, meat </w:t>
      </w:r>
      <w:r w:rsidR="00C850E4" w:rsidRPr="00220EE3">
        <w:rPr>
          <w:rFonts w:eastAsia="Times New Roman"/>
          <w:lang w:eastAsia="fi-FI"/>
        </w:rPr>
        <w:t xml:space="preserve">including lean meat </w:t>
      </w:r>
      <w:r w:rsidR="00250C3A" w:rsidRPr="00220EE3">
        <w:rPr>
          <w:rFonts w:eastAsia="Times New Roman"/>
          <w:lang w:eastAsia="fi-FI"/>
        </w:rPr>
        <w:t xml:space="preserve">and fish was in line with the recommendations among most participants (the percentages varied between 61 and 81). </w:t>
      </w:r>
      <w:r w:rsidR="00A37EDA" w:rsidRPr="00220EE3">
        <w:rPr>
          <w:rFonts w:eastAsia="Times New Roman"/>
          <w:lang w:eastAsia="fi-FI"/>
        </w:rPr>
        <w:t xml:space="preserve">Less than 20% of </w:t>
      </w:r>
      <w:r w:rsidRPr="00220EE3">
        <w:rPr>
          <w:rFonts w:eastAsia="Times New Roman"/>
          <w:lang w:eastAsia="fi-FI"/>
        </w:rPr>
        <w:t xml:space="preserve">the </w:t>
      </w:r>
      <w:r w:rsidR="00A37EDA" w:rsidRPr="00220EE3">
        <w:rPr>
          <w:rFonts w:eastAsia="Times New Roman"/>
          <w:lang w:eastAsia="fi-FI"/>
        </w:rPr>
        <w:t xml:space="preserve">participants </w:t>
      </w:r>
      <w:r w:rsidRPr="00220EE3">
        <w:rPr>
          <w:rFonts w:eastAsia="Times New Roman"/>
          <w:lang w:eastAsia="fi-FI"/>
        </w:rPr>
        <w:t>consumed</w:t>
      </w:r>
      <w:r w:rsidR="00A37EDA" w:rsidRPr="00220EE3">
        <w:rPr>
          <w:rFonts w:eastAsia="Times New Roman"/>
          <w:lang w:eastAsia="fi-FI"/>
        </w:rPr>
        <w:t xml:space="preserve"> vegetables as well as fruit</w:t>
      </w:r>
      <w:r w:rsidR="00381733" w:rsidRPr="00220EE3">
        <w:rPr>
          <w:rFonts w:eastAsia="Times New Roman"/>
          <w:lang w:eastAsia="fi-FI"/>
        </w:rPr>
        <w:t>s</w:t>
      </w:r>
      <w:r w:rsidR="00A37EDA" w:rsidRPr="00220EE3">
        <w:rPr>
          <w:rFonts w:eastAsia="Times New Roman"/>
          <w:lang w:eastAsia="fi-FI"/>
        </w:rPr>
        <w:t xml:space="preserve"> and berries as recommended</w:t>
      </w:r>
      <w:r w:rsidR="003A4F1F" w:rsidRPr="00220EE3">
        <w:rPr>
          <w:rFonts w:eastAsia="Times New Roman"/>
          <w:lang w:eastAsia="fi-FI"/>
        </w:rPr>
        <w:t xml:space="preserve"> </w:t>
      </w:r>
      <w:r w:rsidR="000A0C85" w:rsidRPr="00220EE3">
        <w:rPr>
          <w:rFonts w:eastAsia="Times New Roman"/>
          <w:lang w:eastAsia="fi-FI"/>
        </w:rPr>
        <w:t xml:space="preserve">and 77% limited alcohol consumption </w:t>
      </w:r>
      <w:r w:rsidR="00381733" w:rsidRPr="00220EE3">
        <w:rPr>
          <w:rFonts w:eastAsia="Times New Roman"/>
          <w:lang w:eastAsia="fi-FI"/>
        </w:rPr>
        <w:t xml:space="preserve">to the </w:t>
      </w:r>
      <w:r w:rsidR="000A0C85" w:rsidRPr="00220EE3">
        <w:rPr>
          <w:rFonts w:eastAsia="Times New Roman"/>
          <w:lang w:eastAsia="fi-FI"/>
        </w:rPr>
        <w:t>recommended</w:t>
      </w:r>
      <w:r w:rsidR="00381733" w:rsidRPr="00220EE3">
        <w:rPr>
          <w:rFonts w:eastAsia="Times New Roman"/>
          <w:lang w:eastAsia="fi-FI"/>
        </w:rPr>
        <w:t xml:space="preserve"> level</w:t>
      </w:r>
      <w:r w:rsidR="000A0C85" w:rsidRPr="00220EE3">
        <w:rPr>
          <w:rFonts w:eastAsia="Times New Roman"/>
          <w:lang w:eastAsia="fi-FI"/>
        </w:rPr>
        <w:t xml:space="preserve"> </w:t>
      </w:r>
      <w:r w:rsidR="003A4F1F" w:rsidRPr="00220EE3">
        <w:rPr>
          <w:rFonts w:eastAsia="Times New Roman"/>
          <w:lang w:eastAsia="fi-FI"/>
        </w:rPr>
        <w:t>(Table 1)</w:t>
      </w:r>
      <w:r w:rsidR="00A37EDA" w:rsidRPr="00220EE3">
        <w:rPr>
          <w:rFonts w:eastAsia="Times New Roman"/>
          <w:lang w:eastAsia="fi-FI"/>
        </w:rPr>
        <w:t xml:space="preserve">. </w:t>
      </w:r>
    </w:p>
    <w:p w14:paraId="667167C8" w14:textId="77777777" w:rsidR="003A4F1F" w:rsidRDefault="003A4F1F" w:rsidP="003A4F1F">
      <w:pPr>
        <w:spacing w:after="0" w:line="360" w:lineRule="auto"/>
        <w:rPr>
          <w:rFonts w:eastAsia="Times New Roman"/>
          <w:color w:val="2E2E2E"/>
          <w:lang w:eastAsia="fi-FI"/>
        </w:rPr>
      </w:pPr>
    </w:p>
    <w:p w14:paraId="182D877E" w14:textId="6B13D803" w:rsidR="00CF0E55" w:rsidRPr="00220EE3" w:rsidRDefault="00E77ECE" w:rsidP="00CF0E55">
      <w:pPr>
        <w:spacing w:after="0" w:line="360" w:lineRule="auto"/>
        <w:rPr>
          <w:rFonts w:eastAsia="Times New Roman"/>
          <w:lang w:eastAsia="fi-FI"/>
        </w:rPr>
      </w:pPr>
      <w:r w:rsidRPr="00DC7204">
        <w:rPr>
          <w:rFonts w:eastAsia="Times New Roman"/>
          <w:lang w:eastAsia="fi-FI"/>
        </w:rPr>
        <w:lastRenderedPageBreak/>
        <w:t xml:space="preserve">Half of the participants </w:t>
      </w:r>
      <w:r w:rsidR="00A84FB1">
        <w:rPr>
          <w:rFonts w:eastAsia="Times New Roman"/>
          <w:lang w:eastAsia="fi-FI"/>
        </w:rPr>
        <w:t>had lived</w:t>
      </w:r>
      <w:r w:rsidRPr="00DC7204">
        <w:rPr>
          <w:rFonts w:eastAsia="Times New Roman"/>
          <w:lang w:eastAsia="fi-FI"/>
        </w:rPr>
        <w:t xml:space="preserve"> in the same address the whole 6-year period, while another half were movers</w:t>
      </w:r>
      <w:r w:rsidR="00AA2BEF">
        <w:rPr>
          <w:rFonts w:eastAsia="Times New Roman"/>
          <w:lang w:eastAsia="fi-FI"/>
        </w:rPr>
        <w:t xml:space="preserve"> (Table 2)</w:t>
      </w:r>
      <w:r w:rsidRPr="00DC7204">
        <w:rPr>
          <w:rFonts w:eastAsia="Times New Roman"/>
          <w:lang w:eastAsia="fi-FI"/>
        </w:rPr>
        <w:t>. Among both non-movers and movers, over half of the participants were women and cohabiting. A majority of the participants had higher, i.e. college or university education. Compared to the non-movers, the movers were much younger</w:t>
      </w:r>
      <w:r w:rsidR="00AC2119">
        <w:rPr>
          <w:rFonts w:eastAsia="Times New Roman"/>
          <w:lang w:eastAsia="fi-FI"/>
        </w:rPr>
        <w:t xml:space="preserve"> (Table 2)</w:t>
      </w:r>
      <w:r w:rsidRPr="00DC7204">
        <w:rPr>
          <w:rFonts w:eastAsia="Times New Roman"/>
          <w:lang w:eastAsia="fi-FI"/>
        </w:rPr>
        <w:t>.</w:t>
      </w:r>
      <w:r>
        <w:rPr>
          <w:rFonts w:eastAsia="Times New Roman"/>
          <w:lang w:eastAsia="fi-FI"/>
        </w:rPr>
        <w:t xml:space="preserve"> </w:t>
      </w:r>
      <w:r w:rsidR="00CF0E55" w:rsidRPr="00DC7204">
        <w:rPr>
          <w:rFonts w:eastAsia="Times New Roman"/>
          <w:lang w:eastAsia="fi-FI"/>
        </w:rPr>
        <w:t>Among both non-movers and movers, half of the all 10 food items/groups were consumed as recommended, as indicated by a mean dietary score of 51.6 (SD 17.2) and 49.3 (SD 1</w:t>
      </w:r>
      <w:r w:rsidR="00E234F4" w:rsidRPr="00DC7204">
        <w:rPr>
          <w:rFonts w:eastAsia="Times New Roman"/>
          <w:lang w:eastAsia="fi-FI"/>
        </w:rPr>
        <w:t>6</w:t>
      </w:r>
      <w:r w:rsidR="00CF0E55" w:rsidRPr="00DC7204">
        <w:rPr>
          <w:rFonts w:eastAsia="Times New Roman"/>
          <w:lang w:eastAsia="fi-FI"/>
        </w:rPr>
        <w:t xml:space="preserve">.2), respectively (Table 2). Those having good adherence to dietary recommendations were characterized by female gender, older age, higher </w:t>
      </w:r>
      <w:r w:rsidR="00CF0E55" w:rsidRPr="00DC7204">
        <w:rPr>
          <w:rFonts w:eastAsia="Times New Roman" w:cs="Times New Roman"/>
          <w:szCs w:val="24"/>
          <w:lang w:eastAsia="fi-FI"/>
        </w:rPr>
        <w:t>education</w:t>
      </w:r>
      <w:r w:rsidR="00CF0E55" w:rsidRPr="00DC7204">
        <w:rPr>
          <w:rStyle w:val="CommentReference"/>
          <w:rFonts w:eastAsia="Calibri" w:cs="Times New Roman"/>
          <w:sz w:val="24"/>
          <w:szCs w:val="24"/>
        </w:rPr>
        <w:t xml:space="preserve">, and living in neighborhoods with </w:t>
      </w:r>
      <w:r w:rsidR="00CF0E55" w:rsidRPr="00DC7204">
        <w:rPr>
          <w:rFonts w:eastAsia="Times New Roman" w:cs="Times New Roman"/>
          <w:szCs w:val="24"/>
          <w:lang w:eastAsia="fi-FI"/>
        </w:rPr>
        <w:t>high population</w:t>
      </w:r>
      <w:r w:rsidR="00CF0E55" w:rsidRPr="00DC7204">
        <w:rPr>
          <w:rFonts w:eastAsia="Times New Roman"/>
          <w:lang w:eastAsia="fi-FI"/>
        </w:rPr>
        <w:t xml:space="preserve"> density while severe financial difficulties and divorce </w:t>
      </w:r>
      <w:r w:rsidR="00274AD5" w:rsidRPr="00DC7204">
        <w:rPr>
          <w:rFonts w:eastAsia="Times New Roman"/>
          <w:lang w:eastAsia="fi-FI"/>
        </w:rPr>
        <w:t xml:space="preserve">were </w:t>
      </w:r>
      <w:r w:rsidR="00CF0E55" w:rsidRPr="00DC7204">
        <w:rPr>
          <w:rFonts w:eastAsia="Times New Roman"/>
          <w:lang w:eastAsia="fi-FI"/>
        </w:rPr>
        <w:t>associated with worse adherence, among both non-movers and movers.</w:t>
      </w:r>
      <w:r w:rsidR="00CF0E55">
        <w:rPr>
          <w:rFonts w:eastAsia="Times New Roman"/>
          <w:lang w:eastAsia="fi-FI"/>
        </w:rPr>
        <w:t xml:space="preserve"> </w:t>
      </w:r>
    </w:p>
    <w:p w14:paraId="1887C495" w14:textId="77777777" w:rsidR="0067558A" w:rsidRDefault="0067558A" w:rsidP="0067558A">
      <w:pPr>
        <w:spacing w:after="0" w:line="360" w:lineRule="auto"/>
        <w:rPr>
          <w:rFonts w:eastAsia="Times New Roman"/>
          <w:b/>
          <w:lang w:eastAsia="fi-FI"/>
        </w:rPr>
      </w:pPr>
    </w:p>
    <w:p w14:paraId="66ABD53C" w14:textId="77777777" w:rsidR="0067558A" w:rsidRPr="00DF4ABD" w:rsidRDefault="0067558A" w:rsidP="0067558A">
      <w:pPr>
        <w:spacing w:after="0" w:line="360" w:lineRule="auto"/>
        <w:rPr>
          <w:rFonts w:eastAsia="Times New Roman"/>
          <w:b/>
          <w:lang w:eastAsia="fi-FI"/>
        </w:rPr>
      </w:pPr>
      <w:r w:rsidRPr="00DF4ABD">
        <w:rPr>
          <w:rFonts w:eastAsia="Times New Roman"/>
          <w:b/>
          <w:lang w:eastAsia="fi-FI"/>
        </w:rPr>
        <w:lastRenderedPageBreak/>
        <w:t xml:space="preserve">Cumulative neighborhood SES and </w:t>
      </w:r>
      <w:r w:rsidRPr="00826542">
        <w:rPr>
          <w:rFonts w:eastAsia="Times New Roman"/>
          <w:b/>
          <w:lang w:eastAsia="fi-FI"/>
        </w:rPr>
        <w:t>single food items</w:t>
      </w:r>
    </w:p>
    <w:p w14:paraId="692055C8" w14:textId="77777777" w:rsidR="0067558A" w:rsidRPr="00AA59C0" w:rsidRDefault="0067558A" w:rsidP="0067558A">
      <w:pPr>
        <w:spacing w:after="0" w:line="360" w:lineRule="auto"/>
        <w:rPr>
          <w:rFonts w:eastAsia="Times New Roman"/>
          <w:lang w:eastAsia="fi-FI"/>
        </w:rPr>
      </w:pPr>
      <w:r w:rsidRPr="00547A37">
        <w:rPr>
          <w:rFonts w:eastAsia="Times New Roman"/>
          <w:lang w:eastAsia="fi-FI"/>
        </w:rPr>
        <w:t xml:space="preserve">The adherence to the recommendations of single food items/groups and alcohol consumption by the level of cumulative neighborhood SES among the non-movers and movers are presented in Table 3. Among both groups, there was a linear positive association between increasing cumulative neighborhood SES and the likelihood to conform to the recommendations regarding sausages, </w:t>
      </w:r>
      <w:r>
        <w:rPr>
          <w:rFonts w:eastAsia="Times New Roman"/>
          <w:lang w:eastAsia="fi-FI"/>
        </w:rPr>
        <w:t xml:space="preserve">read meat, </w:t>
      </w:r>
      <w:r w:rsidRPr="00547A37">
        <w:rPr>
          <w:rFonts w:eastAsia="Times New Roman"/>
          <w:lang w:eastAsia="fi-FI"/>
        </w:rPr>
        <w:t>chicken/turkey, fish and vegetables, while this association reversed in the likelihood to conform to recommendations about dark bread and alcohol consumption. A corresponding positive association was also observed in relation to the recommendations regarding pastries and sweets, but only among non-movers. The consumption of fat free milk or fruits and berries did not associate with neighborhood SES.</w:t>
      </w:r>
      <w:r w:rsidRPr="00DF4ABD">
        <w:rPr>
          <w:rFonts w:eastAsia="Times New Roman"/>
          <w:lang w:eastAsia="fi-FI"/>
        </w:rPr>
        <w:t xml:space="preserve"> </w:t>
      </w:r>
    </w:p>
    <w:p w14:paraId="393FC4FC" w14:textId="77777777" w:rsidR="00DF4ABD" w:rsidRPr="00FF6137" w:rsidRDefault="00DF4ABD" w:rsidP="000D7FF0">
      <w:pPr>
        <w:spacing w:after="0" w:line="360" w:lineRule="auto"/>
        <w:rPr>
          <w:rFonts w:eastAsia="Times New Roman"/>
          <w:lang w:eastAsia="fi-FI"/>
        </w:rPr>
      </w:pPr>
    </w:p>
    <w:p w14:paraId="5E74B968" w14:textId="51C9DD89" w:rsidR="00DF4ABD" w:rsidRPr="001B26C1" w:rsidRDefault="00DF4ABD" w:rsidP="000D7FF0">
      <w:pPr>
        <w:spacing w:after="0" w:line="360" w:lineRule="auto"/>
        <w:rPr>
          <w:rFonts w:eastAsia="Times New Roman"/>
          <w:b/>
          <w:lang w:eastAsia="fi-FI"/>
        </w:rPr>
      </w:pPr>
      <w:r w:rsidRPr="001B26C1">
        <w:rPr>
          <w:rFonts w:eastAsia="Times New Roman"/>
          <w:b/>
          <w:lang w:eastAsia="fi-FI"/>
        </w:rPr>
        <w:lastRenderedPageBreak/>
        <w:t>Cumulative neighborhood SES and dietary index</w:t>
      </w:r>
    </w:p>
    <w:p w14:paraId="26A75D67" w14:textId="61459876" w:rsidR="004C246C" w:rsidRPr="000024A8" w:rsidRDefault="000D7FF0" w:rsidP="004C246C">
      <w:pPr>
        <w:spacing w:after="0" w:line="360" w:lineRule="auto"/>
      </w:pPr>
      <w:r w:rsidRPr="000024A8">
        <w:t xml:space="preserve">In the total </w:t>
      </w:r>
      <w:r>
        <w:t>population</w:t>
      </w:r>
      <w:r w:rsidRPr="000024A8">
        <w:t xml:space="preserve"> with non-movers and movers combined, </w:t>
      </w:r>
      <w:r w:rsidR="000E415D">
        <w:t xml:space="preserve">each </w:t>
      </w:r>
      <w:r w:rsidRPr="000024A8">
        <w:t xml:space="preserve">1-SD increase in the original continuous cumulative neighborhood SES </w:t>
      </w:r>
      <w:r w:rsidR="000E415D">
        <w:t xml:space="preserve">was </w:t>
      </w:r>
      <w:r w:rsidRPr="000024A8">
        <w:t xml:space="preserve">associated with 1.68 (95% CL 1.32-2.02) points higher dietary score. As shown in Figure 1, </w:t>
      </w:r>
      <w:r w:rsidR="004C246C" w:rsidRPr="000024A8">
        <w:t xml:space="preserve">those living in low SES neighborhoods </w:t>
      </w:r>
      <w:r w:rsidR="004C246C">
        <w:t xml:space="preserve">had </w:t>
      </w:r>
      <w:r w:rsidR="004C246C" w:rsidRPr="000024A8">
        <w:t>lowest dietary index mean scores within the non-movers and movers</w:t>
      </w:r>
      <w:r w:rsidR="004C246C">
        <w:t>. I</w:t>
      </w:r>
      <w:r w:rsidR="004C246C" w:rsidRPr="000024A8">
        <w:t xml:space="preserve">n both groups </w:t>
      </w:r>
      <w:r w:rsidR="004C246C">
        <w:t>a higher</w:t>
      </w:r>
      <w:r w:rsidR="004C246C" w:rsidRPr="000024A8">
        <w:t xml:space="preserve"> cumulative neighborhood SES was associated with </w:t>
      </w:r>
      <w:r w:rsidR="004C246C">
        <w:t xml:space="preserve">a </w:t>
      </w:r>
      <w:r w:rsidR="004C246C" w:rsidRPr="000024A8">
        <w:t xml:space="preserve">higher dietary index score. These associations were linear (p&lt;0.001), with no evidence </w:t>
      </w:r>
      <w:r w:rsidR="004C246C">
        <w:t>of</w:t>
      </w:r>
      <w:r w:rsidR="004C246C" w:rsidRPr="000024A8">
        <w:t xml:space="preserve"> a trend difference (test of interaction P=0.14). Among non-movers, those who had lived in a very high SES neighborhood had 1.65 (95% CL 0.09-3.21) points higher mean dietary score compared to those living in the lowest SES neighborhood when adjusted for the covariates. Among the movers, the corresponding mean difference was 3.75 (95% CL 1.70-5.80) points</w:t>
      </w:r>
      <w:r w:rsidR="004C246C">
        <w:t>.</w:t>
      </w:r>
    </w:p>
    <w:p w14:paraId="0C5BD00B" w14:textId="02E858E8" w:rsidR="000D7FF0" w:rsidRDefault="000D7FF0" w:rsidP="004C246C">
      <w:pPr>
        <w:spacing w:line="360" w:lineRule="auto"/>
        <w:rPr>
          <w:rFonts w:eastAsia="Times New Roman"/>
          <w:b/>
          <w:lang w:eastAsia="fi-FI"/>
        </w:rPr>
      </w:pPr>
    </w:p>
    <w:p w14:paraId="55372ED4" w14:textId="7F976A97" w:rsidR="00C40B6F" w:rsidRPr="001B26C1" w:rsidRDefault="00C40B6F" w:rsidP="00CE2B62">
      <w:pPr>
        <w:spacing w:line="360" w:lineRule="auto"/>
        <w:rPr>
          <w:rFonts w:eastAsia="Times New Roman"/>
          <w:b/>
          <w:lang w:eastAsia="fi-FI"/>
        </w:rPr>
      </w:pPr>
      <w:r w:rsidRPr="001B26C1">
        <w:rPr>
          <w:rFonts w:eastAsia="Times New Roman"/>
          <w:b/>
          <w:lang w:eastAsia="fi-FI"/>
        </w:rPr>
        <w:t>Neighborhood SES trajectories and dietary index</w:t>
      </w:r>
    </w:p>
    <w:p w14:paraId="4844A43D" w14:textId="191FD99B" w:rsidR="00DF4ABD" w:rsidRPr="00E074DD" w:rsidRDefault="00577B59" w:rsidP="00577B59">
      <w:pPr>
        <w:spacing w:after="0" w:line="360" w:lineRule="auto"/>
      </w:pPr>
      <w:r w:rsidRPr="000024A8">
        <w:rPr>
          <w:bCs/>
          <w:lang w:val="en-GB"/>
        </w:rPr>
        <w:t xml:space="preserve">The trajectory analyses suggested </w:t>
      </w:r>
      <w:r>
        <w:rPr>
          <w:bCs/>
          <w:lang w:val="en-GB"/>
        </w:rPr>
        <w:t xml:space="preserve">five types of trajectories </w:t>
      </w:r>
      <w:r w:rsidRPr="000024A8">
        <w:rPr>
          <w:bCs/>
          <w:lang w:val="en-GB"/>
        </w:rPr>
        <w:t xml:space="preserve">as </w:t>
      </w:r>
      <w:r>
        <w:rPr>
          <w:bCs/>
          <w:lang w:val="en-GB"/>
        </w:rPr>
        <w:t xml:space="preserve">the </w:t>
      </w:r>
      <w:r w:rsidRPr="000024A8">
        <w:rPr>
          <w:bCs/>
          <w:lang w:val="en-GB"/>
        </w:rPr>
        <w:t xml:space="preserve">optimal solution </w:t>
      </w:r>
      <w:r>
        <w:rPr>
          <w:bCs/>
          <w:lang w:val="en-GB"/>
        </w:rPr>
        <w:t xml:space="preserve">to characterize </w:t>
      </w:r>
      <w:r w:rsidRPr="000024A8">
        <w:rPr>
          <w:bCs/>
          <w:lang w:val="en-GB"/>
        </w:rPr>
        <w:t>the movers over the 6-year period (supplemental Table 1)</w:t>
      </w:r>
      <w:r>
        <w:rPr>
          <w:bCs/>
          <w:lang w:val="en-GB"/>
        </w:rPr>
        <w:t xml:space="preserve">. </w:t>
      </w:r>
      <w:r w:rsidR="00CE2B62" w:rsidRPr="000024A8">
        <w:rPr>
          <w:bCs/>
          <w:lang w:val="en-GB"/>
        </w:rPr>
        <w:t>As shown in Figure 2, t</w:t>
      </w:r>
      <w:r w:rsidR="00CE2B62" w:rsidRPr="000024A8">
        <w:t xml:space="preserve">he 5-class trajectory included four groups that maintained a similar neighborhood SES level throughout the follow-up </w:t>
      </w:r>
      <w:r w:rsidR="00CE2B62">
        <w:t>period:</w:t>
      </w:r>
      <w:r w:rsidR="00CE2B62" w:rsidRPr="000024A8">
        <w:t xml:space="preserve"> stable high (21% of participants), stable intermediate (42%), stable low (25%) and stable very low (6%). In addition, an upward trajectory (7%) was </w:t>
      </w:r>
      <w:r w:rsidR="00CE2B62">
        <w:t>identified</w:t>
      </w:r>
      <w:r w:rsidR="00CE2B62" w:rsidRPr="000024A8">
        <w:t xml:space="preserve">, </w:t>
      </w:r>
      <w:r w:rsidR="00CE2B62">
        <w:t>characterized by a low</w:t>
      </w:r>
      <w:r w:rsidR="00CE2B62" w:rsidRPr="000024A8">
        <w:t xml:space="preserve"> initial neighborhood SES level w</w:t>
      </w:r>
      <w:r w:rsidR="00CE2B62">
        <w:t>hich</w:t>
      </w:r>
      <w:r w:rsidR="00CE2B62" w:rsidRPr="000024A8">
        <w:t xml:space="preserve"> gradually i</w:t>
      </w:r>
      <w:r>
        <w:t xml:space="preserve">mproved </w:t>
      </w:r>
      <w:r w:rsidR="00CE2B62" w:rsidRPr="000024A8">
        <w:t xml:space="preserve">over </w:t>
      </w:r>
      <w:r w:rsidR="00CE2B62" w:rsidRPr="00D55C05">
        <w:t>time.</w:t>
      </w:r>
      <w:r w:rsidR="00CE2B62" w:rsidRPr="00D55C05">
        <w:rPr>
          <w:bCs/>
          <w:lang w:val="en-GB"/>
        </w:rPr>
        <w:t xml:space="preserve"> </w:t>
      </w:r>
      <w:r w:rsidR="00CE2B62" w:rsidRPr="00D55C05">
        <w:t xml:space="preserve">Figure 2 shows the lowest dietary score, 46.2, for stable very low trajectory </w:t>
      </w:r>
      <w:r w:rsidR="002D6D84" w:rsidRPr="00D55C05">
        <w:t xml:space="preserve">and </w:t>
      </w:r>
      <w:r w:rsidR="00F72CE7" w:rsidRPr="00D55C05">
        <w:t xml:space="preserve">slightly higher score, </w:t>
      </w:r>
      <w:r w:rsidR="002D6D84" w:rsidRPr="00D55C05">
        <w:t>48.5</w:t>
      </w:r>
      <w:r w:rsidR="00F72CE7" w:rsidRPr="00D55C05">
        <w:t>,</w:t>
      </w:r>
      <w:r w:rsidR="002D6D84" w:rsidRPr="00D55C05">
        <w:t xml:space="preserve"> for par</w:t>
      </w:r>
      <w:r w:rsidR="002D6D84" w:rsidRPr="00D55C05">
        <w:lastRenderedPageBreak/>
        <w:t>ticipants in the stable low trajectory. H</w:t>
      </w:r>
      <w:r w:rsidR="00CE2B62" w:rsidRPr="00D55C05">
        <w:t>igher score</w:t>
      </w:r>
      <w:r w:rsidR="002D6D84" w:rsidRPr="00D55C05">
        <w:t>s</w:t>
      </w:r>
      <w:r w:rsidR="00CE2B62" w:rsidRPr="00D55C05">
        <w:t xml:space="preserve"> - 49.8 to 50.0 </w:t>
      </w:r>
      <w:r w:rsidR="002D6D84" w:rsidRPr="00D55C05">
        <w:t>–</w:t>
      </w:r>
      <w:r w:rsidR="00CE2B62" w:rsidRPr="00D55C05">
        <w:t xml:space="preserve"> </w:t>
      </w:r>
      <w:r w:rsidR="002D6D84" w:rsidRPr="00D55C05">
        <w:t xml:space="preserve">were observed </w:t>
      </w:r>
      <w:r w:rsidR="00CE2B62" w:rsidRPr="00D55C05">
        <w:t xml:space="preserve">for stable </w:t>
      </w:r>
      <w:r w:rsidR="002D6D84" w:rsidRPr="00D55C05">
        <w:t xml:space="preserve">intermediate, </w:t>
      </w:r>
      <w:r w:rsidR="00CE2B62" w:rsidRPr="00D55C05">
        <w:t xml:space="preserve">stable </w:t>
      </w:r>
      <w:r w:rsidR="002D6D84" w:rsidRPr="00D55C05">
        <w:t xml:space="preserve">high and upward </w:t>
      </w:r>
      <w:r w:rsidR="00CE2B62" w:rsidRPr="00D55C05">
        <w:t xml:space="preserve">trajectories. </w:t>
      </w:r>
      <w:r w:rsidR="00F72CE7" w:rsidRPr="00D55C05">
        <w:t xml:space="preserve">Mean difference in dietary score between upward and stable very low was similar to that between stable </w:t>
      </w:r>
      <w:r w:rsidR="00B340D8" w:rsidRPr="00D55C05">
        <w:t>high</w:t>
      </w:r>
      <w:r w:rsidR="00F72CE7" w:rsidRPr="00D55C05">
        <w:t xml:space="preserve"> and stable very low.</w:t>
      </w:r>
    </w:p>
    <w:p w14:paraId="3EC2E44A" w14:textId="77777777" w:rsidR="00AA59C0" w:rsidRDefault="00AA59C0">
      <w:pPr>
        <w:rPr>
          <w:rFonts w:eastAsia="Times New Roman"/>
          <w:b/>
          <w:lang w:eastAsia="fi-FI"/>
        </w:rPr>
      </w:pPr>
      <w:r>
        <w:rPr>
          <w:rFonts w:eastAsia="Times New Roman"/>
          <w:b/>
          <w:lang w:eastAsia="fi-FI"/>
        </w:rPr>
        <w:br w:type="page"/>
      </w:r>
    </w:p>
    <w:p w14:paraId="16AD3D8C" w14:textId="12D2DF08" w:rsidR="00147302" w:rsidRPr="00220EE3" w:rsidRDefault="00533DED" w:rsidP="008C1A3C">
      <w:pPr>
        <w:spacing w:after="0" w:line="360" w:lineRule="auto"/>
        <w:rPr>
          <w:color w:val="0D0D0D"/>
          <w:kern w:val="36"/>
          <w:sz w:val="20"/>
          <w:szCs w:val="20"/>
        </w:rPr>
      </w:pPr>
      <w:r w:rsidRPr="00220EE3">
        <w:rPr>
          <w:rFonts w:eastAsia="Times New Roman"/>
          <w:b/>
          <w:lang w:eastAsia="fi-FI"/>
        </w:rPr>
        <w:lastRenderedPageBreak/>
        <w:t>Discussion</w:t>
      </w:r>
    </w:p>
    <w:p w14:paraId="45100430" w14:textId="67F08753" w:rsidR="00474CB3" w:rsidRPr="00220EE3" w:rsidRDefault="00474CB3" w:rsidP="00474CB3">
      <w:pPr>
        <w:spacing w:after="0" w:line="360" w:lineRule="auto"/>
        <w:rPr>
          <w:strike/>
        </w:rPr>
      </w:pPr>
      <w:r w:rsidRPr="00220EE3">
        <w:rPr>
          <w:rFonts w:cs="Times New Roman"/>
          <w:szCs w:val="24"/>
        </w:rPr>
        <w:t>The present study is, to our knowledge, one of the first to assess the relationship between stable and changed</w:t>
      </w:r>
      <w:r w:rsidRPr="00220EE3">
        <w:t xml:space="preserve"> neighborhood socioeconomic status </w:t>
      </w:r>
      <w:r w:rsidRPr="00220EE3">
        <w:rPr>
          <w:rFonts w:cs="Times New Roman"/>
          <w:szCs w:val="24"/>
        </w:rPr>
        <w:t xml:space="preserve">and adherence to dietary recommendations. In this study of nearly 17,000 Finnish adults, we found that those living in the highest SES neighborhoods had </w:t>
      </w:r>
      <w:r w:rsidR="00CD5024">
        <w:rPr>
          <w:rFonts w:cs="Times New Roman"/>
          <w:szCs w:val="24"/>
        </w:rPr>
        <w:t xml:space="preserve">better adherence </w:t>
      </w:r>
      <w:r w:rsidRPr="00220EE3">
        <w:rPr>
          <w:rFonts w:cs="Times New Roman"/>
          <w:szCs w:val="24"/>
        </w:rPr>
        <w:t xml:space="preserve">to dietary recommendations </w:t>
      </w:r>
      <w:r w:rsidR="00CD5024">
        <w:rPr>
          <w:rFonts w:cs="Times New Roman"/>
          <w:szCs w:val="24"/>
        </w:rPr>
        <w:t>than those</w:t>
      </w:r>
      <w:r w:rsidRPr="00220EE3">
        <w:rPr>
          <w:rFonts w:cs="Times New Roman"/>
          <w:szCs w:val="24"/>
        </w:rPr>
        <w:t xml:space="preserve"> who lived in the lowest SES </w:t>
      </w:r>
      <w:r w:rsidR="001B0732">
        <w:rPr>
          <w:rFonts w:cs="Times New Roman"/>
          <w:szCs w:val="24"/>
        </w:rPr>
        <w:t>neighborhoods</w:t>
      </w:r>
      <w:r w:rsidRPr="00220EE3">
        <w:rPr>
          <w:rFonts w:cs="Times New Roman"/>
          <w:szCs w:val="24"/>
        </w:rPr>
        <w:t xml:space="preserve">. </w:t>
      </w:r>
      <w:r w:rsidRPr="00241270">
        <w:rPr>
          <w:rFonts w:cs="Times New Roman"/>
          <w:szCs w:val="24"/>
        </w:rPr>
        <w:t>Moving into a higher SES neighborhood was also associated with better adherence to dietary recommendations, whereas the</w:t>
      </w:r>
      <w:r w:rsidR="004467C7">
        <w:rPr>
          <w:rFonts w:cs="Times New Roman"/>
          <w:szCs w:val="24"/>
        </w:rPr>
        <w:t xml:space="preserve"> </w:t>
      </w:r>
      <w:r w:rsidR="00862F71">
        <w:rPr>
          <w:rFonts w:cs="Times New Roman"/>
          <w:szCs w:val="24"/>
        </w:rPr>
        <w:t xml:space="preserve">trajectory </w:t>
      </w:r>
      <w:r w:rsidR="004467C7">
        <w:rPr>
          <w:rFonts w:cs="Times New Roman"/>
          <w:szCs w:val="24"/>
        </w:rPr>
        <w:t xml:space="preserve">analysis did not identify a group </w:t>
      </w:r>
      <w:r w:rsidR="00862F71">
        <w:rPr>
          <w:rFonts w:cs="Times New Roman"/>
          <w:szCs w:val="24"/>
        </w:rPr>
        <w:t>who would have</w:t>
      </w:r>
      <w:r w:rsidRPr="00241270">
        <w:rPr>
          <w:rFonts w:cs="Times New Roman"/>
          <w:szCs w:val="24"/>
        </w:rPr>
        <w:t xml:space="preserve"> mov</w:t>
      </w:r>
      <w:r w:rsidR="00862F71">
        <w:rPr>
          <w:rFonts w:cs="Times New Roman"/>
          <w:szCs w:val="24"/>
        </w:rPr>
        <w:t>ed</w:t>
      </w:r>
      <w:r w:rsidRPr="00241270">
        <w:rPr>
          <w:rFonts w:cs="Times New Roman"/>
          <w:szCs w:val="24"/>
        </w:rPr>
        <w:t xml:space="preserve"> into lower SES neighborhood</w:t>
      </w:r>
      <w:r w:rsidR="00851888" w:rsidRPr="00241270">
        <w:rPr>
          <w:rFonts w:cs="Times New Roman"/>
          <w:szCs w:val="24"/>
        </w:rPr>
        <w:t>s</w:t>
      </w:r>
      <w:r w:rsidRPr="00241270">
        <w:rPr>
          <w:rFonts w:cs="Times New Roman"/>
          <w:szCs w:val="24"/>
        </w:rPr>
        <w:t>.</w:t>
      </w:r>
      <w:r w:rsidRPr="00220EE3">
        <w:rPr>
          <w:rFonts w:cs="Times New Roman"/>
          <w:szCs w:val="24"/>
        </w:rPr>
        <w:t xml:space="preserve"> </w:t>
      </w:r>
    </w:p>
    <w:p w14:paraId="4CF187DE" w14:textId="77777777" w:rsidR="00474CB3" w:rsidRDefault="00474CB3" w:rsidP="008C1A3C">
      <w:pPr>
        <w:spacing w:after="0" w:line="360" w:lineRule="auto"/>
      </w:pPr>
    </w:p>
    <w:p w14:paraId="764E56C7" w14:textId="0C41F603" w:rsidR="00C23E10" w:rsidRDefault="007F76DF" w:rsidP="00241270">
      <w:pPr>
        <w:spacing w:after="0" w:line="360" w:lineRule="auto"/>
        <w:rPr>
          <w:rFonts w:eastAsia="Times New Roman" w:cs="Times New Roman"/>
          <w:szCs w:val="24"/>
          <w:lang w:eastAsia="fi-FI"/>
        </w:rPr>
      </w:pPr>
      <w:r w:rsidRPr="00220EE3">
        <w:rPr>
          <w:rFonts w:eastAsia="Times New Roman" w:cs="Times New Roman"/>
          <w:szCs w:val="24"/>
          <w:lang w:eastAsia="fi-FI"/>
        </w:rPr>
        <w:t xml:space="preserve">Dietary guidelines for individual food items used by us are based on research evidence </w:t>
      </w:r>
      <w:r w:rsidR="006D0E3D" w:rsidRPr="00220EE3">
        <w:rPr>
          <w:rFonts w:eastAsia="Times New Roman" w:cs="Times New Roman"/>
          <w:szCs w:val="24"/>
          <w:lang w:eastAsia="fi-FI"/>
        </w:rPr>
        <w:t xml:space="preserve">indicating </w:t>
      </w:r>
      <w:r w:rsidRPr="00220EE3">
        <w:rPr>
          <w:rFonts w:eastAsia="Times New Roman" w:cs="Times New Roman"/>
          <w:szCs w:val="24"/>
          <w:lang w:eastAsia="fi-FI"/>
        </w:rPr>
        <w:t>that d</w:t>
      </w:r>
      <w:r w:rsidRPr="00220EE3">
        <w:t xml:space="preserve">iets with plenty of </w:t>
      </w:r>
      <w:r w:rsidR="006D0E3D" w:rsidRPr="00220EE3">
        <w:t>vegetarian</w:t>
      </w:r>
      <w:r w:rsidRPr="00220EE3">
        <w:t xml:space="preserve"> foods, fish, and low-fat dairy products are associated with a </w:t>
      </w:r>
      <w:r w:rsidRPr="00220EE3">
        <w:lastRenderedPageBreak/>
        <w:t xml:space="preserve">lower risk of most chronic diseases, whereas diets high in red and processed meats are associated with adverse health effects </w:t>
      </w:r>
      <w:r w:rsidRPr="00220EE3">
        <w:fldChar w:fldCharType="begin" w:fldLock="1"/>
      </w:r>
      <w:r w:rsidR="00154AB2">
        <w:instrText>ADDIN CSL_CITATION {"citationItems":[{"id":"ITEM-1","itemData":{"DOI":"10.3402/fnr.v57i0.20523","PMID":"23467387","abstract":"Nutrients and other bioactive constituents of foods may interact with each other and the surrounding food matrix in complex ways. Therefore, associations between single nutrients and chronic disease may be difficult to identify and interpret, but when dietary patterns (DPs) are examined the combination of many food factors will be considered. An explorative literature search of published review articles was conducted to obtain a fuller understanding of current DPs in epidemiological research, to discuss pros and cons of DPs in nutrition research, and to identify results of studies linking DPs to chronic disease risk in adults. Randomized feeding trials providing the experimental diets to study participants have repeatedly demonstrated that diets based on current dietary recommendations are associated with important health benefits. Systematic reviews of feeding trials and prospective population studies of DPs and chronic disease risk reach similar conclusions regardless of the methodology used to construct DPs. However, to date only a few review articles of DP studies have followed a systematic process using independent reviewers with strict inclusion, exclusion, and study quality criteria. Diets with plenty of plants foods, fish, and seafood that preferably include vegetable oils and low-fat dairy products are associated with a lower risk of most chronic diseases. In contrast, Western-type DPs with food products low in essential nutrients and high in energy, like sugar-sweetened beverages, sweets, refined cereals and solid fats (e.g. butter), and high in red and processed meats, are associated with adverse health effects. An emphasis on high-quality original research, and systematic reviews following a structured process to objectively select and judge studies, is needed in order to enforce a strong future knowledge base regarding DPs and chronic disease.","author":[{"dropping-particle":"","family":"Wirfält","given":"Elisabet","non-dropping-particle":"","parse-names":false,"suffix":""},{"dropping-particle":"","family":"Drake","given":"Isabel","non-dropping-particle":"","parse-names":false,"suffix":""},{"dropping-particle":"","family":"Wallström","given":"Peter","non-dropping-particle":"","parse-names":false,"suffix":""}],"container-title":"Food &amp; Nutrition Research","id":"ITEM-1","issued":{"date-parts":[["2013"]]},"page":"20523-","publisher":"Taylor &amp; Francis","title":"What do review papers conclude about food and dietary patterns?","type":"article-journal","volume":"57"},"uris":["http://www.mendeley.com/documents/?uuid=16ab3afd-7947-499a-a24f-0c44319e88e2"]}],"mendeley":{"formattedCitation":"(Wirfält et al., 2013)","plainTextFormattedCitation":"(Wirfält et al., 2013)","previouslyFormattedCitation":"(Wirfält et al., 2013)"},"properties":{"noteIndex":0},"schema":"https://github.com/citation-style-language/schema/raw/master/csl-citation.json"}</w:instrText>
      </w:r>
      <w:r w:rsidRPr="00220EE3">
        <w:fldChar w:fldCharType="separate"/>
      </w:r>
      <w:r w:rsidR="00C12E6F" w:rsidRPr="00C12E6F">
        <w:rPr>
          <w:noProof/>
        </w:rPr>
        <w:t>(Wirfält et al., 2013)</w:t>
      </w:r>
      <w:r w:rsidRPr="00220EE3">
        <w:fldChar w:fldCharType="end"/>
      </w:r>
      <w:r w:rsidRPr="00220EE3">
        <w:t xml:space="preserve">. </w:t>
      </w:r>
      <w:r w:rsidR="001D77E1" w:rsidRPr="001D21A9">
        <w:t xml:space="preserve">We found that </w:t>
      </w:r>
      <w:r w:rsidR="00114D80" w:rsidRPr="001D21A9">
        <w:rPr>
          <w:rFonts w:eastAsia="Times New Roman" w:cs="Times New Roman"/>
          <w:szCs w:val="24"/>
          <w:lang w:eastAsia="fi-FI"/>
        </w:rPr>
        <w:t>participants</w:t>
      </w:r>
      <w:r w:rsidR="001D77E1" w:rsidRPr="001D21A9">
        <w:rPr>
          <w:rFonts w:eastAsia="Times New Roman" w:cs="Times New Roman"/>
          <w:szCs w:val="24"/>
          <w:lang w:eastAsia="fi-FI"/>
        </w:rPr>
        <w:t xml:space="preserve"> living in </w:t>
      </w:r>
      <w:r w:rsidR="00114D80" w:rsidRPr="001D21A9">
        <w:rPr>
          <w:rFonts w:eastAsia="Times New Roman" w:cs="Times New Roman"/>
          <w:szCs w:val="24"/>
          <w:lang w:eastAsia="fi-FI"/>
        </w:rPr>
        <w:t xml:space="preserve">high SES </w:t>
      </w:r>
      <w:r w:rsidR="001D77E1" w:rsidRPr="001D21A9">
        <w:rPr>
          <w:rFonts w:eastAsia="Times New Roman" w:cs="Times New Roman"/>
          <w:szCs w:val="24"/>
          <w:lang w:eastAsia="fi-FI"/>
        </w:rPr>
        <w:t>neighborhoods</w:t>
      </w:r>
      <w:r w:rsidR="00114D80" w:rsidRPr="001D21A9">
        <w:rPr>
          <w:rFonts w:eastAsia="Times New Roman" w:cs="Times New Roman"/>
          <w:szCs w:val="24"/>
          <w:lang w:eastAsia="fi-FI"/>
        </w:rPr>
        <w:t xml:space="preserve"> ha</w:t>
      </w:r>
      <w:r w:rsidR="001D77E1" w:rsidRPr="001D21A9">
        <w:rPr>
          <w:rFonts w:eastAsia="Times New Roman" w:cs="Times New Roman"/>
          <w:szCs w:val="24"/>
          <w:lang w:eastAsia="fi-FI"/>
        </w:rPr>
        <w:t>d</w:t>
      </w:r>
      <w:r w:rsidR="00114D80" w:rsidRPr="001D21A9">
        <w:rPr>
          <w:rFonts w:eastAsia="Times New Roman" w:cs="Times New Roman"/>
          <w:szCs w:val="24"/>
          <w:lang w:eastAsia="fi-FI"/>
        </w:rPr>
        <w:t xml:space="preserve"> better adherence to dietary re</w:t>
      </w:r>
      <w:r w:rsidR="00112BE8" w:rsidRPr="001D21A9">
        <w:rPr>
          <w:rFonts w:eastAsia="Times New Roman" w:cs="Times New Roman"/>
          <w:szCs w:val="24"/>
          <w:lang w:eastAsia="fi-FI"/>
        </w:rPr>
        <w:t>commendations regarding</w:t>
      </w:r>
      <w:r w:rsidR="00681999" w:rsidRPr="001D21A9">
        <w:rPr>
          <w:rFonts w:eastAsia="Times New Roman" w:cs="Times New Roman"/>
          <w:szCs w:val="24"/>
          <w:lang w:eastAsia="fi-FI"/>
        </w:rPr>
        <w:t xml:space="preserve"> </w:t>
      </w:r>
      <w:r w:rsidR="00112BE8" w:rsidRPr="001D21A9">
        <w:rPr>
          <w:rFonts w:eastAsia="Times New Roman" w:cs="Times New Roman"/>
          <w:szCs w:val="24"/>
          <w:lang w:eastAsia="fi-FI"/>
        </w:rPr>
        <w:t>fish</w:t>
      </w:r>
      <w:r w:rsidR="00114D80" w:rsidRPr="001D21A9">
        <w:rPr>
          <w:rFonts w:eastAsia="Times New Roman" w:cs="Times New Roman"/>
          <w:szCs w:val="24"/>
          <w:lang w:eastAsia="fi-FI"/>
        </w:rPr>
        <w:t xml:space="preserve"> </w:t>
      </w:r>
      <w:r w:rsidR="009822A6" w:rsidRPr="001D21A9">
        <w:rPr>
          <w:rFonts w:eastAsia="Times New Roman" w:cs="Times New Roman"/>
          <w:szCs w:val="24"/>
          <w:lang w:eastAsia="fi-FI"/>
        </w:rPr>
        <w:t xml:space="preserve">and </w:t>
      </w:r>
      <w:r w:rsidR="00114D80" w:rsidRPr="001D21A9">
        <w:rPr>
          <w:rFonts w:eastAsia="Times New Roman" w:cs="Times New Roman"/>
          <w:szCs w:val="24"/>
          <w:lang w:eastAsia="fi-FI"/>
        </w:rPr>
        <w:t>vegetable</w:t>
      </w:r>
      <w:r w:rsidR="00681999" w:rsidRPr="001D21A9">
        <w:rPr>
          <w:rFonts w:eastAsia="Times New Roman" w:cs="Times New Roman"/>
          <w:szCs w:val="24"/>
          <w:lang w:eastAsia="fi-FI"/>
        </w:rPr>
        <w:t xml:space="preserve"> con</w:t>
      </w:r>
      <w:r w:rsidR="00A63553" w:rsidRPr="001D21A9">
        <w:rPr>
          <w:rFonts w:eastAsia="Times New Roman" w:cs="Times New Roman"/>
          <w:szCs w:val="24"/>
          <w:lang w:eastAsia="fi-FI"/>
        </w:rPr>
        <w:t>s</w:t>
      </w:r>
      <w:r w:rsidR="00681999" w:rsidRPr="001D21A9">
        <w:rPr>
          <w:rFonts w:eastAsia="Times New Roman" w:cs="Times New Roman"/>
          <w:szCs w:val="24"/>
          <w:lang w:eastAsia="fi-FI"/>
        </w:rPr>
        <w:t>umption</w:t>
      </w:r>
      <w:r w:rsidR="00BE02DB" w:rsidRPr="001D21A9">
        <w:rPr>
          <w:rFonts w:eastAsia="Times New Roman" w:cs="Times New Roman"/>
          <w:szCs w:val="24"/>
          <w:lang w:eastAsia="fi-FI"/>
        </w:rPr>
        <w:t>.</w:t>
      </w:r>
      <w:r w:rsidR="00114D80" w:rsidRPr="001D21A9">
        <w:rPr>
          <w:szCs w:val="24"/>
        </w:rPr>
        <w:t xml:space="preserve"> </w:t>
      </w:r>
      <w:r w:rsidR="009822A6" w:rsidRPr="001D21A9">
        <w:rPr>
          <w:szCs w:val="24"/>
        </w:rPr>
        <w:t>P</w:t>
      </w:r>
      <w:r w:rsidR="005B6420" w:rsidRPr="001D21A9">
        <w:rPr>
          <w:rFonts w:cs="Times New Roman"/>
          <w:szCs w:val="24"/>
        </w:rPr>
        <w:t xml:space="preserve">rior </w:t>
      </w:r>
      <w:r w:rsidR="005B6420" w:rsidRPr="00220EE3">
        <w:rPr>
          <w:rFonts w:cs="Times New Roman"/>
          <w:szCs w:val="24"/>
        </w:rPr>
        <w:t xml:space="preserve">studies have mostly </w:t>
      </w:r>
      <w:r w:rsidR="00526669" w:rsidRPr="00220EE3">
        <w:rPr>
          <w:rFonts w:cs="Times New Roman"/>
          <w:szCs w:val="24"/>
        </w:rPr>
        <w:t xml:space="preserve">focused </w:t>
      </w:r>
      <w:r w:rsidR="008E2D39" w:rsidRPr="00220EE3">
        <w:rPr>
          <w:rFonts w:cs="Times New Roman"/>
          <w:szCs w:val="24"/>
        </w:rPr>
        <w:t xml:space="preserve">only </w:t>
      </w:r>
      <w:r w:rsidR="005B6420" w:rsidRPr="00220EE3">
        <w:rPr>
          <w:rFonts w:cs="Times New Roman"/>
          <w:szCs w:val="24"/>
        </w:rPr>
        <w:t xml:space="preserve">on </w:t>
      </w:r>
      <w:r w:rsidR="00526669" w:rsidRPr="00220EE3">
        <w:rPr>
          <w:rFonts w:cs="Times New Roman"/>
          <w:szCs w:val="24"/>
        </w:rPr>
        <w:t>vegetable and fruit consumption</w:t>
      </w:r>
      <w:r w:rsidR="005B6420" w:rsidRPr="00220EE3">
        <w:rPr>
          <w:rFonts w:cs="Times New Roman"/>
          <w:szCs w:val="24"/>
        </w:rPr>
        <w:t xml:space="preserve"> with mixed findings</w:t>
      </w:r>
      <w:r w:rsidR="00526669" w:rsidRPr="00220EE3">
        <w:rPr>
          <w:rFonts w:cs="Times New Roman"/>
          <w:szCs w:val="24"/>
        </w:rPr>
        <w:t xml:space="preserve"> </w:t>
      </w:r>
      <w:r w:rsidR="00526669" w:rsidRPr="00220EE3">
        <w:fldChar w:fldCharType="begin" w:fldLock="1"/>
      </w:r>
      <w:r w:rsidR="00154AB2">
        <w:instrText>ADDIN CSL_CITATION {"citationItems":[{"id":"ITEM-1","itemData":{"DOI":"10.1186/s12966-015-0229-x","ISSN":"1479-5868","PMID":"25997451","abstract":"BACKGROUND Low fruit and vegetable consumption is a risk factor for poor health. Studies have shown consumption varies across neighbourhoods, with lower intakes in disadvantaged neighbourhoods. However, findings are inconsistent, suggesting that socio-spatial inequities in diet could be context-specific, highlighting a need for international comparisons across contexts. This study examined variations in fruit and vegetable consumption among adults from neighbourhoods of varying socioeconomic status (SES) across seven countries (Australia, Canada, Netherlands, New Zealand, Portugal, Scotland, US). METHODS Data from seven existing studies, identified through literature searches and knowledge of co-authors, which collected measures of both neighbourhood-level SES and fruit and vegetable consumption were used. Logistic regression was used to examine associations between neighbourhood-level SES and binary fruit and vegetable consumption separately, adjusting for neighbourhood clustering and age, gender and education. As much as possible, variables were treated in a consistent manner in the analysis for each study to allow the identification of patterns of association within study and to examine differences in the associations across studies. RESULTS Adjusted analyses showed evidence of an association between neighbourhood-level SES and fruit consumption in Canada, New Zealand and Scotland, with increased odds of greater fruit intake in higher SES neighbourhoods. In Australia, Canada, New Zealand and Portugal, those residing in higher SES neighbourhoods had increased odds of greater vegetable intake. The other studies showed no evidence of a difference by neighbourhood-level SES. CONCLUSIONS Acknowledging discrepancies across studies in terms of sampling, measures, and definitions of neighbourhoods, this opportunistic study, which treated data in a consistent manner, suggests that associations between diet and neighbourhood-level socioeconomic status vary across countries. Neighbourhood socioeconomic disadvantage may differentially impact on access to resources in which produce is available in different countries. Neighbourhood environments have the potential to influence behaviour and further research is required to examine the context in which these associations arise.","author":[{"dropping-particle":"","family":"Ball","given":"Kylie","non-dropping-particle":"","parse-names":false,"suffix":""},{"dropping-particle":"","family":"Lamb","given":"Karen E","non-dropping-particle":"","parse-names":false,"suffix":""},{"dropping-particle":"","family":"Costa","given":"Claudia","non-dropping-particle":"","parse-names":false,"suffix":""},{"dropping-particle":"","family":"Cutumisu","given":"Nicoleta","non-dropping-particle":"","parse-names":false,"suffix":""},{"dropping-particle":"","family":"Ellaway","given":"Anne","non-dropping-particle":"","parse-names":false,"suffix":""},{"dropping-particle":"","family":"Kamphuis","given":"Carlijn B M","non-dropping-particle":"","parse-names":false,"suffix":""},{"dropping-particle":"","family":"Mentz","given":"Graciela","non-dropping-particle":"","parse-names":false,"suffix":""},{"dropping-particle":"","family":"Pearce","given":"Jamie","non-dropping-particle":"","parse-names":false,"suffix":""},{"dropping-particle":"","family":"Santana","given":"Paula","non-dropping-particle":"","parse-names":false,"suffix":""},{"dropping-particle":"","family":"Santos","given":"Rita","non-dropping-particle":"","parse-names":false,"suffix":""},{"dropping-particle":"","family":"Schulz","given":"Amy J","non-dropping-particle":"","parse-names":false,"suffix":""},{"dropping-particle":"","family":"Spence","given":"John C","non-dropping-particle":"","parse-names":false,"suffix":""},{"dropping-particle":"","family":"Thornton","given":"Lukar E","non-dropping-particle":"","parse-names":false,"suffix":""},{"dropping-particle":"","family":"Lenthe","given":"Frank J","non-dropping-particle":"van","parse-names":false,"suffix":""},{"dropping-particle":"","family":"Zenk","given":"Shannon N","non-dropping-particle":"","parse-names":false,"suffix":""}],"container-title":"The International Journal of Behavioral Nutrition and Physical Activity","id":"ITEM-1","issued":{"date-parts":[["2015","5"]]},"page":"68","publisher":"BioMed Central","title":"Neighbourhood socioeconomic disadvantage and fruit and vegetable consumption: a seven countries comparison.","type":"article-journal","volume":"12"},"uris":["http://www.mendeley.com/documents/?uuid=ee9552dd-0e80-49a0-8d6f-86698a112c97"]}],"mendeley":{"formattedCitation":"(Ball et al., 2015)","plainTextFormattedCitation":"(Ball et al., 2015)","previouslyFormattedCitation":"(Ball et al., 2015)"},"properties":{"noteIndex":0},"schema":"https://github.com/citation-style-language/schema/raw/master/csl-citation.json"}</w:instrText>
      </w:r>
      <w:r w:rsidR="00526669" w:rsidRPr="00220EE3">
        <w:fldChar w:fldCharType="separate"/>
      </w:r>
      <w:r w:rsidR="00C12E6F" w:rsidRPr="00C12E6F">
        <w:rPr>
          <w:noProof/>
        </w:rPr>
        <w:t>(Ball et al., 2015)</w:t>
      </w:r>
      <w:r w:rsidR="00526669" w:rsidRPr="00220EE3">
        <w:fldChar w:fldCharType="end"/>
      </w:r>
      <w:r w:rsidR="00274442" w:rsidRPr="00220EE3">
        <w:t xml:space="preserve">. </w:t>
      </w:r>
      <w:r w:rsidR="00274442" w:rsidRPr="009831CC">
        <w:t>S</w:t>
      </w:r>
      <w:r w:rsidR="00D87D5C" w:rsidRPr="009831CC">
        <w:t>ome</w:t>
      </w:r>
      <w:r w:rsidR="0069038D" w:rsidRPr="009831CC">
        <w:rPr>
          <w:rFonts w:cs="Times New Roman"/>
          <w:szCs w:val="24"/>
        </w:rPr>
        <w:t xml:space="preserve"> </w:t>
      </w:r>
      <w:r w:rsidR="00274442" w:rsidRPr="009831CC">
        <w:rPr>
          <w:rFonts w:cs="Times New Roman"/>
          <w:szCs w:val="24"/>
        </w:rPr>
        <w:t xml:space="preserve">studies </w:t>
      </w:r>
      <w:r w:rsidR="0069038D" w:rsidRPr="009831CC">
        <w:rPr>
          <w:rFonts w:cs="Times New Roman"/>
          <w:szCs w:val="24"/>
        </w:rPr>
        <w:t xml:space="preserve">have </w:t>
      </w:r>
      <w:r w:rsidR="00DD6BF1" w:rsidRPr="009831CC">
        <w:rPr>
          <w:rFonts w:cs="Times New Roman"/>
          <w:szCs w:val="24"/>
        </w:rPr>
        <w:t>not found any</w:t>
      </w:r>
      <w:r w:rsidR="00371F30" w:rsidRPr="009831CC">
        <w:t xml:space="preserve"> association between area SES and </w:t>
      </w:r>
      <w:r w:rsidR="00D87D5C" w:rsidRPr="009831CC">
        <w:t xml:space="preserve">variety in </w:t>
      </w:r>
      <w:r w:rsidR="00371F30" w:rsidRPr="009831CC">
        <w:t xml:space="preserve">vegetable </w:t>
      </w:r>
      <w:r w:rsidR="00D87D5C" w:rsidRPr="009831CC">
        <w:t>consumption</w:t>
      </w:r>
      <w:r w:rsidR="00343862" w:rsidRPr="009831CC">
        <w:t xml:space="preserve"> </w:t>
      </w:r>
      <w:r w:rsidR="00343862" w:rsidRPr="009831CC">
        <w:fldChar w:fldCharType="begin" w:fldLock="1"/>
      </w:r>
      <w:r w:rsidR="00154AB2">
        <w:instrText>ADDIN CSL_CITATION {"citationItems":[{"id":"ITEM-1","itemData":{"DOI":"10.1371/journal.pone.0139297","PMID":"26506251","abstract":"Background: There has been increasing interest in neighbourhoods’ influence on individuals’ health-risk behaviours, such as smoking, alcohol consumption, physical activity and diet. The aim of this review was to systematically review recent studies on health-risk behaviour among adults who live in deprived neighbourhoods compared with those who live in non-deprived neighbourhoods and to summarise what kind of operationalisations of neighbourhood deprivation that were used in the studies. Methods: PRISMA guidelines for systematic reviews were followed. Systematic searches were performed in PubMed, Embase, Web of Science and Sociological Abstracts using relevant search terms, Boolean operators, and truncation, and reference lists were scanned. Quantitative observational studies that examined health-risk behaviour in deprived neighbourhoods compared with non-deprived neighbourhoods were eligible for inclusion. Results: The inclusion criteria were met by 22 studies. The available literature showed a positive association between smoking and physical inactivity and living in deprived neighbourhoods compared with non-deprived neighbourhoods. In regard to low fruit and vegetable consumption and alcohol consumption, the results were ambiguous, and no clear differences were found. Numerous different operationalisations of neighbourhood deprivation were used in the studies. Conclusion: Substantial evidence indicates that future health interventions in deprived neighbourhoods should focus on smoking and physical inactivity. We suggest that alcohol interventions should be population based rather than based on the specific needs of deprived neighbourhoods. More research is needed on fruit and vegetable consumption. In future studies, the lack of a uniform operationalisation of neighbourhood deprivation must be addressed. [ABSTRACT FROM AUTHOR]","author":[{"dropping-particle":"","family":"Algren","given":"Maria Holst","non-dropping-particle":"","parse-names":false,"suffix":""},{"dropping-particle":"","family":"Bak","given":"Carsten Kronborg","non-dropping-particle":"","parse-names":false,"suffix":""},{"dropping-particle":"","family":"Berg-Beckhoff","given":"Gabriele","non-dropping-particle":"","parse-names":false,"suffix":""},{"dropping-particle":"","family":"Andersen","given":"Pernille Tanggaard","non-dropping-particle":"","parse-names":false,"suffix":""}],"container-title":"PLoS ONE","id":"ITEM-1","issued":{"date-parts":[["2015"]]},"page":"e0139297","title":"Health-risk behaviour in deprived neighbourhoods compared with non-deprived neighbourhoods: A systematic literature review of quantitative observational studies","type":"article"},"uris":["http://www.mendeley.com/documents/?uuid=ba335862-661b-4026-aaa6-36839ef69022"]},{"id":"ITEM-2","itemData":{"DOI":"10.1017/S1368980009004911","ISSN":"1368-9800","PMID":"19243671","abstract":"OBJECTIVE The present study examined the association between area socio-economic status (SES) and food purchasing behaviour. DESIGN Data were collected by mail survey (64.2 % response rate). Area SES was indicated by the proportion of households in each area earning less than $AUS 400 per week, and individual-level socio-economic position was measured using education, occupation and household income. Food purchasing was measured on the basis of compliance with dietary guideline recommendations (for grocery foods) and variety of fruit and vegetable purchase. Multilevel regression analysis examined the association between area SES and food purchase after adjustment for individual-level demographic (age, sex, household composition) and socio-economic factors. SETTING Melbourne city, Australia, 2003. SUBJECTS Residents of 2564 households located in fifty small areas. RESULTS Residents of low-SES areas were significantly less likely than their counterparts in advantaged areas to purchase grocery foods that were high in fibre and low in fat, salt and sugar; and they purchased a smaller variety of fruits. There was no evidence of an association between area SES and vegetable variety. CONCLUSIONS In Melbourne, area SES was associated with some food purchasing behaviours independent of individual-level factors, suggesting that areas in this city may be differentiated on the basis of food availability, accessibility and affordability, making the purchase of some types of foods more difficult in disadvantaged areas.","author":[{"dropping-particle":"","family":"Turrell","given":"Gavin","non-dropping-particle":"","parse-names":false,"suffix":""},{"dropping-particle":"","family":"Bentley","given":"Rebecca","non-dropping-particle":"","parse-names":false,"suffix":""},{"dropping-particle":"","family":"Thomas","given":"Lyndal R","non-dropping-particle":"","parse-names":false,"suffix":""},{"dropping-particle":"","family":"Jolley","given":"Damien","non-dropping-particle":"","parse-names":false,"suffix":""},{"dropping-particle":"","family":"Subramanian","given":"SV","non-dropping-particle":"","parse-names":false,"suffix":""},{"dropping-particle":"","family":"Kavanagh","given":"Anne M","non-dropping-particle":"","parse-names":false,"suffix":""}],"container-title":"Public Health Nutrition","id":"ITEM-2","issue":"11","issued":{"date-parts":[["2009","11"]]},"page":"2074-2083","title":"A multilevel study of area socio-economic status and food purchasing behaviour","type":"article-journal","volume":"12"},"uris":["http://www.mendeley.com/documents/?uuid=2a1d5eb5-1129-42e7-a61a-1497e64bfbec"]}],"mendeley":{"formattedCitation":"(Algren et al., 2015; Turrell et al., 2009)","plainTextFormattedCitation":"(Algren et al., 2015; Turrell et al., 2009)","previouslyFormattedCitation":"(Algren et al., 2015; Turrell et al., 2009)"},"properties":{"noteIndex":0},"schema":"https://github.com/citation-style-language/schema/raw/master/csl-citation.json"}</w:instrText>
      </w:r>
      <w:r w:rsidR="00343862" w:rsidRPr="009831CC">
        <w:fldChar w:fldCharType="separate"/>
      </w:r>
      <w:r w:rsidR="00C12E6F" w:rsidRPr="009831CC">
        <w:rPr>
          <w:noProof/>
        </w:rPr>
        <w:t>(Algren et al., 2015; Turrell et al., 2009)</w:t>
      </w:r>
      <w:r w:rsidR="00343862" w:rsidRPr="009831CC">
        <w:fldChar w:fldCharType="end"/>
      </w:r>
      <w:r w:rsidR="00D87D5C" w:rsidRPr="009831CC">
        <w:t>,</w:t>
      </w:r>
      <w:r w:rsidR="00371F30" w:rsidRPr="009831CC">
        <w:t xml:space="preserve"> or </w:t>
      </w:r>
      <w:r w:rsidR="0069038D" w:rsidRPr="009831CC">
        <w:rPr>
          <w:rFonts w:cs="Times New Roman"/>
          <w:szCs w:val="24"/>
        </w:rPr>
        <w:t xml:space="preserve">only small </w:t>
      </w:r>
      <w:r w:rsidR="00CB2AB8" w:rsidRPr="009831CC">
        <w:rPr>
          <w:rFonts w:cs="Times New Roman"/>
          <w:szCs w:val="24"/>
        </w:rPr>
        <w:t xml:space="preserve">or modest </w:t>
      </w:r>
      <w:r w:rsidR="00D87D5C" w:rsidRPr="009831CC">
        <w:rPr>
          <w:rFonts w:cs="Times New Roman"/>
          <w:szCs w:val="24"/>
        </w:rPr>
        <w:t>associations regarding</w:t>
      </w:r>
      <w:r w:rsidR="0069038D" w:rsidRPr="009831CC">
        <w:t xml:space="preserve"> consumption of fruits and vegetables</w:t>
      </w:r>
      <w:r w:rsidR="00A63553" w:rsidRPr="009831CC">
        <w:t xml:space="preserve"> </w:t>
      </w:r>
      <w:r w:rsidR="007F62D5" w:rsidRPr="009831CC">
        <w:fldChar w:fldCharType="begin" w:fldLock="1"/>
      </w:r>
      <w:r w:rsidR="00154AB2">
        <w:instrText>ADDIN CSL_CITATION {"citationItems":[{"id":"ITEM-1","itemData":{"DOI":"10.1186/1471-2458-13-1103","ISSN":"1471-2458","PMID":"24289151","abstract":"BACKGROUND Most studies of the association between neighborhood socioeconomic deprivation and individual lifestyles leading to cardiovascular disease focused on a single cardiovascular risk factor. The concomitant assessment of more than one risk factor may provide clues to specific mechanisms linking neighborhood disadvantage to individual lifestyles. We investigated the association of neighborhood deprivation with fruits and vegetables consumption and leisure-time physical activity in adults living in an urban center in Portugal. METHODS In 1999-2003, we assembled a random sample of 2081 adult residents in the city of Porto. Data on sociodemographic characteristics were collected by trained interviewers using structured questionnaires. Fruits and vegetables consumption was estimated using a validated 82-item semiquantitative food frequency questionnaire covering the previous year and expressed in portions per day. Physical activity was evaluated using a questionnaire exploring leisure-time activities over the previous year and expressed in metabolic equivalents (MET).minute/day. Self-reported address was used to place individuals in neighborhoods. Neighborhoods' socioeconomic characterization was based on aggregated data at the census block level provided by the 2001 National Census. Latent class analysis models were used to identify three discrete socioeconomic classes of neighborhoods. Random effects models with random intercepts at the neighborhood level were used to explore clustering and contextual effects of neighborhood deprivation on each of the outcomes. RESULTS We found evidence of neighborhood clustering of fruits and vegetables consumption and leisure-time physical activity that persisted after adjustment for neighborhood deprivation only among women. Women living in the most deprived neighborhoods presented a consumption increase of 0.43 (95% CI: -0.033 to 0.89) portions of fruits and vegetables per day and a decrease in leisure-time physical activity of 47.8 (95% CI: -91.8 to 1.41) MET.minute/day, when compared to those living in the most affluent neighborhoods. Among men, no contextual neighborhood deprivation effects were observed. CONCLUSION Overall, neighborhood deprivation had a small effect on the consumption of fruits and vegetables and leisure-time physical activity. Neighborhood factors other than socioeconomic deprivation may still impact on the studied outcomes among women. This study provides relevant information for the desi…","author":[{"dropping-particle":"","family":"Alves","given":"Luís","non-dropping-particle":"","parse-names":false,"suffix":""},{"dropping-particle":"","family":"Silva","given":"Susana","non-dropping-particle":"","parse-names":false,"suffix":""},{"dropping-particle":"","family":"Severo","given":"Milton","non-dropping-particle":"","parse-names":false,"suffix":""},{"dropping-particle":"","family":"Costa","given":"Diogo","non-dropping-particle":"","parse-names":false,"suffix":""},{"dropping-particle":"","family":"Pina","given":"Maria Fátima","non-dropping-particle":"","parse-names":false,"suffix":""},{"dropping-particle":"","family":"Barros","given":"Henrique","non-dropping-particle":"","parse-names":false,"suffix":""},{"dropping-particle":"","family":"Azevedo","given":"Ana","non-dropping-particle":"","parse-names":false,"suffix":""}],"container-title":"BMC Public Health","id":"ITEM-1","issued":{"date-parts":[["2013","12"]]},"page":"1103","publisher":"BioMed Central","title":"Association between neighborhood deprivation and fruits and vegetables consumption and leisure-time physical activity: a cross-sectional multilevel analysis.","type":"article-journal","volume":"13"},"uris":["http://www.mendeley.com/documents/?uuid=40e4e2be-62f2-4dd5-aae3-b9ef1d4516a6"]},{"id":"ITEM-2","itemData":{"DOI":"10.1186/s12966-015-0229-x","ISSN":"1479-5868","PMID":"25997451","abstract":"BACKGROUND Low fruit and vegetable consumption is a risk factor for poor health. Studies have shown consumption varies across neighbourhoods, with lower intakes in disadvantaged neighbourhoods. However, findings are inconsistent, suggesting that socio-spatial inequities in diet could be context-specific, highlighting a need for international comparisons across contexts. This study examined variations in fruit and vegetable consumption among adults from neighbourhoods of varying socioeconomic status (SES) across seven countries (Australia, Canada, Netherlands, New Zealand, Portugal, Scotland, US). METHODS Data from seven existing studies, identified through literature searches and knowledge of co-authors, which collected measures of both neighbourhood-level SES and fruit and vegetable consumption were used. Logistic regression was used to examine associations between neighbourhood-level SES and binary fruit and vegetable consumption separately, adjusting for neighbourhood clustering and age, gender and education. As much as possible, variables were treated in a consistent manner in the analysis for each study to allow the identification of patterns of association within study and to examine differences in the associations across studies. RESULTS Adjusted analyses showed evidence of an association between neighbourhood-level SES and fruit consumption in Canada, New Zealand and Scotland, with increased odds of greater fruit intake in higher SES neighbourhoods. In Australia, Canada, New Zealand and Portugal, those residing in higher SES neighbourhoods had increased odds of greater vegetable intake. The other studies showed no evidence of a difference by neighbourhood-level SES. CONCLUSIONS Acknowledging discrepancies across studies in terms of sampling, measures, and definitions of neighbourhoods, this opportunistic study, which treated data in a consistent manner, suggests that associations between diet and neighbourhood-level socioeconomic status vary across countries. Neighbourhood socioeconomic disadvantage may differentially impact on access to resources in which produce is available in different countries. Neighbourhood environments have the potential to influence behaviour and further research is required to examine the context in which these associations arise.","author":[{"dropping-particle":"","family":"Ball","given":"Kylie","non-dropping-particle":"","parse-names":false,"suffix":""},{"dropping-particle":"","family":"Lamb","given":"Karen E","non-dropping-particle":"","parse-names":false,"suffix":""},{"dropping-particle":"","family":"Costa","given":"Claudia","non-dropping-particle":"","parse-names":false,"suffix":""},{"dropping-particle":"","family":"Cutumisu","given":"Nicoleta","non-dropping-particle":"","parse-names":false,"suffix":""},{"dropping-particle":"","family":"Ellaway","given":"Anne","non-dropping-particle":"","parse-names":false,"suffix":""},{"dropping-particle":"","family":"Kamphuis","given":"Carlijn B M","non-dropping-particle":"","parse-names":false,"suffix":""},{"dropping-particle":"","family":"Mentz","given":"Graciela","non-dropping-particle":"","parse-names":false,"suffix":""},{"dropping-particle":"","family":"Pearce","given":"Jamie","non-dropping-particle":"","parse-names":false,"suffix":""},{"dropping-particle":"","family":"Santana","given":"Paula","non-dropping-particle":"","parse-names":false,"suffix":""},{"dropping-particle":"","family":"Santos","given":"Rita","non-dropping-particle":"","parse-names":false,"suffix":""},{"dropping-particle":"","family":"Schulz","given":"Amy J","non-dropping-particle":"","parse-names":false,"suffix":""},{"dropping-particle":"","family":"Spence","given":"John C","non-dropping-particle":"","parse-names":false,"suffix":""},{"dropping-particle":"","family":"Thornton","given":"Lukar E","non-dropping-particle":"","parse-names":false,"suffix":""},{"dropping-particle":"","family":"Lenthe","given":"Frank J","non-dropping-particle":"van","parse-names":false,"suffix":""},{"dropping-particle":"","family":"Zenk","given":"Shannon N","non-dropping-particle":"","parse-names":false,"suffix":""}],"container-title":"The International Journal of Behavioral Nutrition and Physical Activity","id":"ITEM-2","issued":{"date-parts":[["2015","5"]]},"page":"68","publisher":"BioMed Central","title":"Neighbourhood socioeconomic disadvantage and fruit and vegetable consumption: a seven countries comparison.","type":"article-journal","volume":"12"},"uris":["http://www.mendeley.com/documents/?uuid=ee9552dd-0e80-49a0-8d6f-86698a112c97"]}],"mendeley":{"formattedCitation":"(Alves et al., 2013; Ball et al., 2015)","plainTextFormattedCitation":"(Alves et al., 2013; Ball et al., 2015)","previouslyFormattedCitation":"(Alves et al., 2013; Ball et al., 2015)"},"properties":{"noteIndex":0},"schema":"https://github.com/citation-style-language/schema/raw/master/csl-citation.json"}</w:instrText>
      </w:r>
      <w:r w:rsidR="007F62D5" w:rsidRPr="009831CC">
        <w:fldChar w:fldCharType="separate"/>
      </w:r>
      <w:r w:rsidR="00C12E6F" w:rsidRPr="009831CC">
        <w:rPr>
          <w:noProof/>
        </w:rPr>
        <w:t>(Alves et al., 2013; Ball et al., 2015)</w:t>
      </w:r>
      <w:r w:rsidR="007F62D5" w:rsidRPr="009831CC">
        <w:fldChar w:fldCharType="end"/>
      </w:r>
      <w:r w:rsidR="00D87D5C" w:rsidRPr="009831CC">
        <w:t>, whereas other</w:t>
      </w:r>
      <w:r w:rsidR="00114D80" w:rsidRPr="009831CC">
        <w:t>s</w:t>
      </w:r>
      <w:r w:rsidR="00D87D5C" w:rsidRPr="009831CC">
        <w:t xml:space="preserve"> have observed</w:t>
      </w:r>
      <w:r w:rsidR="00371F30" w:rsidRPr="009831CC">
        <w:t xml:space="preserve"> strong positive association</w:t>
      </w:r>
      <w:r w:rsidR="00D87D5C" w:rsidRPr="009831CC">
        <w:t>s</w:t>
      </w:r>
      <w:r w:rsidR="003E76EA">
        <w:t xml:space="preserve"> </w:t>
      </w:r>
      <w:r w:rsidR="003E76EA">
        <w:fldChar w:fldCharType="begin" w:fldLock="1"/>
      </w:r>
      <w:r w:rsidR="000E0562">
        <w:instrText>ADDIN CSL_CITATION {"citationItems":[{"id":"ITEM-1","itemData":{"DOI":"10.1016/j.micinf.2011.07.011.Innate","ISBN":"6176321972","ISSN":"1938-3207","PMID":"18541581","abstract":"BACKGROUND Socioeconomic and racial-ethnic disparities in health status across the United States are large and persistent. Obesity rates are rising faster in black and Hispanic populations than in white populations, and they foreshadow even greater disparities in chronic illnesses such as diabetes and cardiovascular disease in years to come. Factors that influence dietary intake of fruit and vegetables in these populations are only partly understood. OBJECTIVES We examined associations between fruit and vegetable intake and neighborhood socioeconomic status (SES), analyzed whether neighborhood SES explains racial differences in intake, and explored the extent to which neighborhood SES has differential effects by race-ethnicity of US adults. DESIGN Using geocoded residential addresses from the Third National Health and Nutrition Examination Survey, we merged individual-level data with county and census tract-level US Census data. We estimated 3-level hierarchical models predicting fruit and vegetable intake with individual characteristics and an index of neighborhood SES as explanatory variables. RESULTS Neighborhood SES was positively associated with fruit and vegetable intake: a 1-SD increase in the neighborhood SES index was associated with consumption of nearly 2 additional servings of fruit and vegetables per week. Neighborhood SES explained some of the black-white disparity in fruit and vegetable intake and was differentially associated with fruit and vegetable intake among whites, blacks, and Mexican Americans. CONCLUSIONS The positive association of neighborhood SES with fruit and vegetable intake is one important pathway through which the social environment of neighborhoods affects population health and nutrition for whites, blacks, and Hispanics in the United States.","author":[{"dropping-particle":"","family":"Dubowitz","given":"Tamara","non-dropping-particle":"","parse-names":false,"suffix":""},{"dropping-particle":"","family":"Heron","given":"Melonie","non-dropping-particle":"","parse-names":false,"suffix":""},{"dropping-particle":"","family":"Bird","given":"Chloe E","non-dropping-particle":"","parse-names":false,"suffix":""},{"dropping-particle":"","family":"Lurie","given":"Nicole","non-dropping-particle":"","parse-names":false,"suffix":""},{"dropping-particle":"","family":"Finch","given":"Brian K","non-dropping-particle":"","parse-names":false,"suffix":""},{"dropping-particle":"","family":"Basurto-Dávila","given":"Ricardo","non-dropping-particle":"","parse-names":false,"suffix":""},{"dropping-particle":"","family":"Hale","given":"Lauren","non-dropping-particle":"","parse-names":false,"suffix":""},{"dropping-particle":"","family":"Escarce","given":"José J","non-dropping-particle":"","parse-names":false,"suffix":""}],"container-title":"The American Journal of Clinical Nutrition","id":"ITEM-1","issue":"6","issued":{"date-parts":[["2008","6"]]},"page":"1883-1891","publisher":"NIH Public Access","title":"Neighborhood socioeconomic status and fruit and vegetable intake among whites, blacks, and Mexican Americans in the United States.","type":"article-journal","volume":"87"},"uris":["http://www.mendeley.com/documents/?uuid=f9d1be26-2e92-4246-8af1-625d8b4e1d45"]},{"id":"ITEM-2","itemData":{"author":[{"dropping-particle":"","family":"Kivimäki","given":"Mika","non-dropping-particle":"","parse-names":false,"suffix":""},{"dropping-particle":"","family":"Vahtera","given":"Jussi","non-dropping-particle":"","parse-names":false,"suffix":""},{"dropping-particle":"","family":"Tabák","given":"AG","non-dropping-particle":"","parse-names":false,"suffix":""},{"dropping-particle":"","family":"Halonen","given":"Jaana I.","non-dropping-particle":"","parse-names":false,"suffix":""},{"dropping-particle":"","family":"Vineis","given":"P","non-dropping-particle":"","parse-names":false,"suffix":""},{"dropping-particle":"","family":"Pentti","given":"Jaana","non-dropping-particle":"","parse-names":false,"suffix":""},{"dropping-particle":"","family":"Kähönen","given":"Mika","non-dropping-particle":"","parse-names":false,"suffix":""},{"dropping-particle":"","family":"Juonala","given":"Markus","non-dropping-particle":"","parse-names":false,"suffix":""},{"dropping-particle":"","family":"Ferrie","given":"JE","non-dropping-particle":"","parse-names":false,"suffix":""},{"dropping-particle":"","family":"Stringhini","given":"S","non-dropping-particle":"","parse-names":false,"suffix":""},{"dropping-particle":"","family":"Raitakari","given":"Olli T.","non-dropping-particle":"","parse-names":false,"suffix":""}],"container-title":"Lancet Public Health","id":"ITEM-2","issued":{"date-parts":[["2018"]]},"title":"Neighbourhood socioeconomic disadvantage, risk factors, and diabetes: a cohort study from childhood to middle age","type":"article-journal"},"uris":["http://www.mendeley.com/documents/?uuid=8e3f3d3b-7f01-4040-b1e8-398a46c94f31","http://www.mendeley.com/documents/?uuid=6b20bf49-6aea-4828-9508-baf6533c57cf","http://www.mendeley.com/documents/?uuid=1fea9cf4-fd14-4c4b-9fe5-b5b57d2f4147"]}],"mendeley":{"formattedCitation":"(Dubowitz et al., 2008; Kivimäki et al., 2018a)","manualFormatting":"(Dubowitz et al., 2008; Kivimäki et al., 2018)","plainTextFormattedCitation":"(Dubowitz et al., 2008; Kivimäki et al., 2018a)","previouslyFormattedCitation":"(Dubowitz et al., 2008; Kivimäki et al., 2018a)"},"properties":{"noteIndex":0},"schema":"https://github.com/citation-style-language/schema/raw/master/csl-citation.json"}</w:instrText>
      </w:r>
      <w:r w:rsidR="003E76EA">
        <w:fldChar w:fldCharType="separate"/>
      </w:r>
      <w:r w:rsidR="003E76EA" w:rsidRPr="003E76EA">
        <w:rPr>
          <w:noProof/>
        </w:rPr>
        <w:t>(Dubowitz et al., 2008; Kivimäki et al., 2018)</w:t>
      </w:r>
      <w:r w:rsidR="003E76EA">
        <w:fldChar w:fldCharType="end"/>
      </w:r>
      <w:r w:rsidR="00D87D5C" w:rsidRPr="009831CC">
        <w:t>.</w:t>
      </w:r>
      <w:r w:rsidR="00C23E10">
        <w:t xml:space="preserve"> </w:t>
      </w:r>
      <w:r w:rsidR="00241270" w:rsidRPr="00241270">
        <w:t xml:space="preserve">It is possible that these associations are dependent on other factors typically not measured in those studies, such as living close to supermarkets, convenience stores, fast-food restaurants </w:t>
      </w:r>
      <w:r w:rsidR="006203B2" w:rsidRPr="006203B2">
        <w:rPr>
          <w:color w:val="000000" w:themeColor="text1"/>
        </w:rPr>
        <w:fldChar w:fldCharType="begin" w:fldLock="1"/>
      </w:r>
      <w:r w:rsidR="00154AB2">
        <w:rPr>
          <w:color w:val="000000" w:themeColor="text1"/>
        </w:rPr>
        <w:instrText xml:space="preserve">ADDIN CSL_CITATION {"citationItems":[{"id":"ITEM-1","itemData":{"DOI":"10.1111/j.1467-789X.2010.00715.x","ISSN":"14677881","author":[{"dropping-particle":"","family":"Fleischhacker","given":"S. E.","non-dropping-particle":"","parse-names":false,"suffix":""},{"dropping-particle":"","family":"Evenson","given":"K. R.","non-dropping-particle":"","parse-names":false,"suffix":""},{"dropping-particle":"","family":"Rodriguez","given":"D. A.","non-dropping-particle":"","parse-names":false,"suffix":""},{"dropping-particle":"","family":"Ammerman","given":"A. S.","non-dropping-particle":"","parse-names":false,"suffix":""}],"container-title":"Obesity Reviews","id":"ITEM-1","issue":"5","issued":{"date-parts":[["2011","5"]]},"page":"e460-e471","publisher":"Blackwell Publishing Ltd","title":"A systematic review of fast food access studies","type":"article-journal","volume":"12"},"uris":["http://www.mendeley.com/documents/?uuid=fd9bab25-4a2c-4a6e-9b4d-10741e8085df"]},{"id":"ITEM-2","itemData":{"DOI":"10.1017/S1368980007000079","ISSN":"1368-9800","PMID":"17582241","abstract":"OBJECTIVE Public health professionals continue to see the benefits of fruit and vegetable consumption on population health. While studies that evaluate the availability of produce are sparse in the medical literature, disparities in availability may explain the disproportional intake of produce for some people. Therefore, the purpose of this study was to evaluate the availability and variety of produce located in two racially and economically diverse urban neighbourhoods. DESIGN A cross-sectional study was conducted in which 50% of the supermarkets, small grocery stores, delicatessens, and fruit and vegetable markets located in specific neighbourhoods were randomly sampled and surveyed between September 2004 and July 2005. Food stores were evaluated for the availability of 20 types of fresh fruits and 19 types of fresh vegetables, as well as their varieties and whether they were canned, frozen or previously prepared. 2000 US Census information was used to determine characteristics of the geo-coded census tracts where the food stores were located. SETTING Brooklyn, New York. RESULTS A supermarket was located in approximately every third census tract in predominantly white areas (prevalence = 0.33) and every fourth census tract in racially mixed areas (prevalence = 0.27). There were no supermarkets located in the predominantly black areas. With the exception of bananas, potatoes, okra and yucca, a lower proportion of predominantly black area stores carried fresh produce, while supermarkets carried the largest variety of produce types. Canned and frozen fruits and vegetables were found in the majority of stores, whereas prepared and organic produce was limited to predominantly white area stores. CONCLUSIONS These data demonstrate that the availability and variety of fresh produce is associated with neighbourhood racial composition and may be a factor contributing to differences in intake among residents.","author":[{"dropping-particle":"","family":"Morland","given":"Kimberly","non-dropping-particle":"","parse-names":false,"suffix":""},{"dropping-particle":"","family":"Filomena","given":"Susan","non-dropping-particle":"","parse-names":false,"suffix":""}],"container-title":"Public Health Nutrition","id":"ITEM-2","issue":"12","issued":{"date-parts":[["2007","12"]]},"page":"1481-1489","title":"Disparities in the availability of fruits and vegetables between racially segregated urban neighbourhoods.","type":"article-journal","volume":"10"},"uris":["http://www.mendeley.com/documents/?uuid=a461bf12-9bcd-4480-906c-3bb6a6d3ec99"]},{"id":"ITEM-3","itemData":{"ISSN":"0964-7058","PMID":"24901086","abstract":"We reviewed the literature that examines the association between the built environment and diet. The MEDLINE electronic database was searched. Eligible articles must have been published between 2000 and 2013, in the English language, and must have been conducted among a population-based sample of adults older than 18 years of age. Twenty-four articles met the inclusion criteria. The majority of studies (over 70%) focused on fruit and vegetable consumption. Most studies (88%) found a statistically significant relationship between diet and some aspect of the built environment. However, the results across studies were not consistent. These inconsistencies may be attributable to methodological challenges, including differing definitions of neighbourhood, and inconsistent approaches to measuring built environment features and diet. In order to explore the complex relationship between built environment and people's dietary behaviour, research design needs to be improved, and the items people actually buy need to be examined. In addition, more research is needed to investigate the causal pathways linking environmental factors and dietary intake. </w:instrText>
      </w:r>
      <w:r w:rsidR="00154AB2">
        <w:rPr>
          <w:rFonts w:ascii="MS Gothic" w:hAnsi="MS Gothic" w:cs="MS Gothic"/>
          <w:color w:val="000000" w:themeColor="text1"/>
        </w:rPr>
        <w:instrText>我</w:instrText>
      </w:r>
      <w:r w:rsidR="00154AB2">
        <w:rPr>
          <w:rFonts w:ascii="Microsoft JhengHei" w:eastAsia="Microsoft JhengHei" w:hAnsi="Microsoft JhengHei" w:cs="Microsoft JhengHei" w:hint="eastAsia"/>
          <w:color w:val="000000" w:themeColor="text1"/>
        </w:rPr>
        <w:instrText>们对居住环境和饮食的相关文献进行了整理和研究。文献主要从</w:instrText>
      </w:r>
      <w:r w:rsidR="00154AB2">
        <w:rPr>
          <w:color w:val="000000" w:themeColor="text1"/>
        </w:rPr>
        <w:instrText xml:space="preserve"> MEDLINE </w:instrText>
      </w:r>
      <w:r w:rsidR="00154AB2">
        <w:rPr>
          <w:rFonts w:ascii="Microsoft JhengHei" w:eastAsia="Microsoft JhengHei" w:hAnsi="Microsoft JhengHei" w:cs="Microsoft JhengHei" w:hint="eastAsia"/>
          <w:color w:val="000000" w:themeColor="text1"/>
        </w:rPr>
        <w:instrText>电子数据库获得。我们收录文献的条件是</w:instrText>
      </w:r>
      <w:r w:rsidR="00154AB2">
        <w:rPr>
          <w:color w:val="000000" w:themeColor="text1"/>
        </w:rPr>
        <w:instrText xml:space="preserve">2000-2013 </w:instrText>
      </w:r>
      <w:r w:rsidR="00154AB2">
        <w:rPr>
          <w:rFonts w:ascii="MS Gothic" w:hAnsi="MS Gothic" w:cs="MS Gothic"/>
          <w:color w:val="000000" w:themeColor="text1"/>
        </w:rPr>
        <w:instrText>年</w:instrText>
      </w:r>
      <w:r w:rsidR="00154AB2">
        <w:rPr>
          <w:rFonts w:ascii="Microsoft JhengHei" w:eastAsia="Microsoft JhengHei" w:hAnsi="Microsoft JhengHei" w:cs="Microsoft JhengHei" w:hint="eastAsia"/>
          <w:color w:val="000000" w:themeColor="text1"/>
        </w:rPr>
        <w:instrText>发表的英</w:instrText>
      </w:r>
      <w:r w:rsidR="00154AB2">
        <w:rPr>
          <w:color w:val="000000" w:themeColor="text1"/>
        </w:rPr>
        <w:instrText xml:space="preserve"> </w:instrText>
      </w:r>
      <w:r w:rsidR="00154AB2">
        <w:rPr>
          <w:rFonts w:ascii="MS Gothic" w:hAnsi="MS Gothic" w:cs="MS Gothic"/>
          <w:color w:val="000000" w:themeColor="text1"/>
        </w:rPr>
        <w:instrText>文文章，</w:instrText>
      </w:r>
      <w:r w:rsidR="00154AB2">
        <w:rPr>
          <w:rFonts w:ascii="Microsoft JhengHei" w:eastAsia="Microsoft JhengHei" w:hAnsi="Microsoft JhengHei" w:cs="Microsoft JhengHei" w:hint="eastAsia"/>
          <w:color w:val="000000" w:themeColor="text1"/>
        </w:rPr>
        <w:instrText>调查人群年龄为</w:instrText>
      </w:r>
      <w:r w:rsidR="00154AB2">
        <w:rPr>
          <w:color w:val="000000" w:themeColor="text1"/>
        </w:rPr>
        <w:instrText xml:space="preserve">18 </w:instrText>
      </w:r>
      <w:r w:rsidR="00154AB2">
        <w:rPr>
          <w:rFonts w:ascii="Microsoft JhengHei" w:eastAsia="Microsoft JhengHei" w:hAnsi="Microsoft JhengHei" w:cs="Microsoft JhengHei" w:hint="eastAsia"/>
          <w:color w:val="000000" w:themeColor="text1"/>
        </w:rPr>
        <w:instrText>岁以上。结果有</w:instrText>
      </w:r>
      <w:r w:rsidR="00154AB2">
        <w:rPr>
          <w:color w:val="000000" w:themeColor="text1"/>
        </w:rPr>
        <w:instrText xml:space="preserve">24 </w:instrText>
      </w:r>
      <w:r w:rsidR="00154AB2">
        <w:rPr>
          <w:rFonts w:ascii="MS Gothic" w:hAnsi="MS Gothic" w:cs="MS Gothic"/>
          <w:color w:val="000000" w:themeColor="text1"/>
        </w:rPr>
        <w:instrText>篇文章符合要求。多数文献</w:instrText>
      </w:r>
      <w:r w:rsidR="00154AB2">
        <w:rPr>
          <w:color w:val="000000" w:themeColor="text1"/>
        </w:rPr>
        <w:instrText xml:space="preserve"> (70%)</w:instrText>
      </w:r>
      <w:r w:rsidR="00154AB2">
        <w:rPr>
          <w:rFonts w:ascii="MS Gothic" w:hAnsi="MS Gothic" w:cs="MS Gothic"/>
          <w:color w:val="000000" w:themeColor="text1"/>
        </w:rPr>
        <w:instrText>是研究蔬菜和水果的消</w:instrText>
      </w:r>
      <w:r w:rsidR="00154AB2">
        <w:rPr>
          <w:rFonts w:ascii="Microsoft JhengHei" w:eastAsia="Microsoft JhengHei" w:hAnsi="Microsoft JhengHei" w:cs="Microsoft JhengHei" w:hint="eastAsia"/>
          <w:color w:val="000000" w:themeColor="text1"/>
        </w:rPr>
        <w:instrText>费情况，大部分文献</w:instrText>
      </w:r>
      <w:r w:rsidR="00154AB2">
        <w:rPr>
          <w:color w:val="000000" w:themeColor="text1"/>
        </w:rPr>
        <w:instrText>(88%)</w:instrText>
      </w:r>
      <w:r w:rsidR="00154AB2">
        <w:rPr>
          <w:rFonts w:ascii="MS Gothic" w:hAnsi="MS Gothic" w:cs="MS Gothic"/>
          <w:color w:val="000000" w:themeColor="text1"/>
        </w:rPr>
        <w:instrText>的研究都</w:instrText>
      </w:r>
      <w:r w:rsidR="00154AB2">
        <w:rPr>
          <w:rFonts w:ascii="Microsoft JhengHei" w:eastAsia="Microsoft JhengHei" w:hAnsi="Microsoft JhengHei" w:cs="Microsoft JhengHei" w:hint="eastAsia"/>
          <w:color w:val="000000" w:themeColor="text1"/>
        </w:rPr>
        <w:instrText>认为饮食和</w:instrText>
      </w:r>
      <w:r w:rsidR="00154AB2">
        <w:rPr>
          <w:color w:val="000000" w:themeColor="text1"/>
        </w:rPr>
        <w:instrText xml:space="preserve"> </w:instrText>
      </w:r>
      <w:r w:rsidR="00154AB2">
        <w:rPr>
          <w:rFonts w:ascii="MS Gothic" w:hAnsi="MS Gothic" w:cs="MS Gothic"/>
          <w:color w:val="000000" w:themeColor="text1"/>
        </w:rPr>
        <w:instrText>居住</w:instrText>
      </w:r>
      <w:r w:rsidR="00154AB2">
        <w:rPr>
          <w:rFonts w:ascii="Microsoft JhengHei" w:eastAsia="Microsoft JhengHei" w:hAnsi="Microsoft JhengHei" w:cs="Microsoft JhengHei" w:hint="eastAsia"/>
          <w:color w:val="000000" w:themeColor="text1"/>
        </w:rPr>
        <w:instrText>环境的某一方面有关联。然而各个研究的结果却并不一致。或许是由于</w:instrText>
      </w:r>
      <w:r w:rsidR="00154AB2">
        <w:rPr>
          <w:color w:val="000000" w:themeColor="text1"/>
        </w:rPr>
        <w:instrText xml:space="preserve"> </w:instrText>
      </w:r>
      <w:r w:rsidR="00154AB2">
        <w:rPr>
          <w:rFonts w:ascii="MS Gothic" w:hAnsi="MS Gothic" w:cs="MS Gothic"/>
          <w:color w:val="000000" w:themeColor="text1"/>
        </w:rPr>
        <w:instrText>采用了不同的研究方法，包括</w:instrText>
      </w:r>
      <w:r w:rsidR="00154AB2">
        <w:rPr>
          <w:rFonts w:ascii="Microsoft JhengHei" w:eastAsia="Microsoft JhengHei" w:hAnsi="Microsoft JhengHei" w:cs="Microsoft JhengHei" w:hint="eastAsia"/>
          <w:color w:val="000000" w:themeColor="text1"/>
        </w:rPr>
        <w:instrText>对邻里的定义不同，以及对居住环境饮食特征</w:instrText>
      </w:r>
      <w:r w:rsidR="00154AB2">
        <w:rPr>
          <w:color w:val="000000" w:themeColor="text1"/>
        </w:rPr>
        <w:instrText xml:space="preserve"> </w:instrText>
      </w:r>
      <w:r w:rsidR="00154AB2">
        <w:rPr>
          <w:rFonts w:ascii="MS Gothic" w:hAnsi="MS Gothic" w:cs="MS Gothic"/>
          <w:color w:val="000000" w:themeColor="text1"/>
        </w:rPr>
        <w:instrText>的</w:instrText>
      </w:r>
      <w:r w:rsidR="00154AB2">
        <w:rPr>
          <w:rFonts w:ascii="Microsoft JhengHei" w:eastAsia="Microsoft JhengHei" w:hAnsi="Microsoft JhengHei" w:cs="Microsoft JhengHei" w:hint="eastAsia"/>
          <w:color w:val="000000" w:themeColor="text1"/>
        </w:rPr>
        <w:instrText>测定不同。为了更加深入了解居住环境和人们饮食习惯的复杂关系，研究</w:instrText>
      </w:r>
      <w:r w:rsidR="00154AB2">
        <w:rPr>
          <w:color w:val="000000" w:themeColor="text1"/>
        </w:rPr>
        <w:instrText xml:space="preserve"> </w:instrText>
      </w:r>
      <w:r w:rsidR="00154AB2">
        <w:rPr>
          <w:rFonts w:ascii="Microsoft JhengHei" w:eastAsia="Microsoft JhengHei" w:hAnsi="Microsoft JhengHei" w:cs="Microsoft JhengHei" w:hint="eastAsia"/>
          <w:color w:val="000000" w:themeColor="text1"/>
        </w:rPr>
        <w:instrText>设计应当有所改进，并将人们实际购买的物品归入研究范围。此外，也应该</w:instrText>
      </w:r>
      <w:r w:rsidR="00154AB2">
        <w:rPr>
          <w:color w:val="000000" w:themeColor="text1"/>
        </w:rPr>
        <w:instrText xml:space="preserve"> </w:instrText>
      </w:r>
      <w:r w:rsidR="00154AB2">
        <w:rPr>
          <w:rFonts w:ascii="Microsoft JhengHei" w:eastAsia="Microsoft JhengHei" w:hAnsi="Microsoft JhengHei" w:cs="Microsoft JhengHei" w:hint="eastAsia"/>
          <w:color w:val="000000" w:themeColor="text1"/>
        </w:rPr>
        <w:instrText>对环境因素和食物摄入的因果关系加以研究。</w:instrText>
      </w:r>
      <w:r w:rsidR="00154AB2">
        <w:rPr>
          <w:color w:val="000000" w:themeColor="text1"/>
        </w:rPr>
        <w:instrText>","author":[{"dropping-particle":"","family":"Rahmanian","given":"Elham","non-dropping-particle":"","parse-names":false,"suffix":""},{"dropping-particle":"","family":"Gasevic","given":"Danijela","non-dropping-particle":"","parse-names":false,"suffix":""},{"dropping-particle":"","family":"Vukmirovich","given":"Ina","non-dropping-particle":"","parse-names":false,"suffix":""},{"dropping-particle":"","family":"Lear","given":"Scott A","non-dropping-particle":"","parse-names":false,"suffix":""}],"container-title":"Asia Pacific Journal of Clinical Nutrition","id":"ITEM-3","issue":"2","issued":{"date-parts":[["2014"]]},"page":"183-96","title":"The association between the built environment and dietary intake - a systematic review.","type":"article-journal","volume":"23"},"uris":["http://www.mendeley.com/documents/?uuid=a21e6a17-9730-4b44-97b7-b37ad8445f43"]},{"id":"ITEM-4","itemData":{"abstract":"Background Little is known about how diet-related and activity-related amenities relate to residential location behaviour. Understanding these relationships is essential for addressing residential self-selection bias. Methods Using 25 years (6 examinations) of data from the Coronary Artery Risk Development in Young Adults (CARDIA) study (n=11 013 observations) and linked neighbourhood-level data from the 4 CARDIA baseline cities (Birmingham, Alabama; Chicago, Illinois; Minneapolis, Minnesota; Oakland, California, USA), we characterised participants' neighbourhoods as having low, average or high road connectivity and amenities using non-hierarchical cluster analysis. We then used repeated measures multinomial logistic regression with random effects to examine the associations between individual-level sociodemographics and neighbourhood-level characteristics with residential neighbourhood types over the 25-year period, and whether these associations differed by individual-level income. Results Being female was positively associated with living in neighbourhoods with low (vs high) road connectivity and activity-related and diet-related amenities among high-income individuals only. At all income levels, a higher percentage of neighbourhood white population and neighbourhood population &lt;18 years were associated with living in neighbourhoods with low (vs high) connectivity and amenities. Individual-level race; age; and educational attainment, neighbourhood socioeconomic status and housing prices did not influence residential location behaviour related to neighbourhood connectivity and amenities at any income level. Conclusions Neighbourhood-level factors appeared to play a comparatively greater role in shaping residential location behaviour than individual-level sociodemographics. Our study is an important step in understanding how residential locational behaviour relates to amenities and physical activity opportunities, and may help mitigate residential self-selection bias in built environment studies. BACKGROUND","author":[{"dropping-particle":"","family":"Rummo","given":"Pasquale E","non-dropping-particle":"","parse-names":false,"suffix":""},</w:instrText>
      </w:r>
      <w:r w:rsidR="00154AB2" w:rsidRPr="00154AB2">
        <w:rPr>
          <w:color w:val="000000" w:themeColor="text1"/>
          <w:lang w:val="sv-SE"/>
        </w:rPr>
        <w:instrText>{"dropping-particle":"","family":"Guilkey","given":"David K","non-dropping-particle":"","parse-names":false,"suffix":""},{"dropping-particle":"","family":"Shikany","given":"James M","non-dropping-particle":"","parse-names":false,"suffix":""},{"dropping-particle":"","family":"Reis","given":"Jared P","non-dropping-particle":"","parse-names":false,"suffix":""},{"dropping-particle":"","family":"Gordon-Larsen","given":"Penny","non-dropping-particle":"","parse-names":false,"suffix":""}],"container-title":"Journal of Epidemiol Community Health","id":"ITEM-4","issued":{"date-parts":[["2017"]]},"page":"261-268","title":"How do individual-level sociodemographics and neighbourhood-level characteristics influence residential location behaviour in the context of the food and built environment? Findings from 25 years of follow-up in the CARDIA Study","type":"article-journal","volume":"71"},"uris":["http://www.mendeley.com/documents/?uuid=4bbda47e-97e1-4697-8cb2-6c548dccc45d"]}],"mendeley":{"formattedCitation":"(Fleischhacker et al., 2011; Morland and Filomena, 2007; Rahmanian et al., 2014; Rummo et al., 2017)","plainTextFormattedCitation":"(Fleischhacker et al., 2011; Morland and Filomena, 2007; Rahmanian et al., 2014; Rummo et al., 2017)","previouslyFormattedCitation":"(Fleischhacker et al., 2011; Morland and Filomena, 2007; Rahmanian et al., 2014; Rummo et al., 2017)"},"properties":{"noteIndex":0},"schema":"https://github.com/citation-style-language/schema/raw/master/csl-citation.json"}</w:instrText>
      </w:r>
      <w:r w:rsidR="006203B2" w:rsidRPr="006203B2">
        <w:rPr>
          <w:color w:val="000000" w:themeColor="text1"/>
        </w:rPr>
        <w:fldChar w:fldCharType="separate"/>
      </w:r>
      <w:r w:rsidR="006203B2" w:rsidRPr="006203B2">
        <w:rPr>
          <w:noProof/>
          <w:color w:val="000000" w:themeColor="text1"/>
          <w:lang w:val="sv-SE"/>
        </w:rPr>
        <w:t xml:space="preserve">(Fleischhacker et al., 2011; Morland and Filomena, 2007; Rahmanian et al., </w:t>
      </w:r>
      <w:r w:rsidR="006203B2" w:rsidRPr="006203B2">
        <w:rPr>
          <w:noProof/>
          <w:color w:val="000000" w:themeColor="text1"/>
          <w:lang w:val="sv-SE"/>
        </w:rPr>
        <w:lastRenderedPageBreak/>
        <w:t>2014; Rummo et al., 2017)</w:t>
      </w:r>
      <w:r w:rsidR="006203B2" w:rsidRPr="006203B2">
        <w:rPr>
          <w:color w:val="000000" w:themeColor="text1"/>
        </w:rPr>
        <w:fldChar w:fldCharType="end"/>
      </w:r>
      <w:r w:rsidR="006203B2" w:rsidRPr="006203B2">
        <w:rPr>
          <w:color w:val="000000" w:themeColor="text1"/>
          <w:lang w:val="sv-SE"/>
        </w:rPr>
        <w:t>.</w:t>
      </w:r>
      <w:r w:rsidR="00862F71" w:rsidRPr="006203B2">
        <w:rPr>
          <w:color w:val="000000" w:themeColor="text1"/>
          <w:lang w:val="sv-SE"/>
        </w:rPr>
        <w:t xml:space="preserve"> </w:t>
      </w:r>
      <w:r w:rsidR="00B56DE9" w:rsidRPr="00241270">
        <w:t xml:space="preserve">Availability of fruits and vegetables has </w:t>
      </w:r>
      <w:r w:rsidR="00B56DE9">
        <w:t xml:space="preserve">also </w:t>
      </w:r>
      <w:r w:rsidR="00B56DE9" w:rsidRPr="00241270">
        <w:t xml:space="preserve">been linked to their consumption (Li et al., 2017; Morland and Filomena, 2007). </w:t>
      </w:r>
      <w:r w:rsidR="00C23E10" w:rsidRPr="00545271">
        <w:t xml:space="preserve">We found a linear association </w:t>
      </w:r>
      <w:r w:rsidR="00C23E10">
        <w:t>between</w:t>
      </w:r>
      <w:r w:rsidR="00C23E10" w:rsidRPr="00545271">
        <w:t xml:space="preserve"> higher neighborhood SES and </w:t>
      </w:r>
      <w:r w:rsidR="00C23E10">
        <w:t xml:space="preserve">higher </w:t>
      </w:r>
      <w:r w:rsidR="00C23E10" w:rsidRPr="00545271">
        <w:t>vegetable consumption, but no</w:t>
      </w:r>
      <w:r w:rsidR="00C23E10">
        <w:t xml:space="preserve"> association with consumption of</w:t>
      </w:r>
      <w:r w:rsidR="00C23E10" w:rsidRPr="00545271">
        <w:t xml:space="preserve"> fresh fruits and berries. The </w:t>
      </w:r>
      <w:r w:rsidR="00C23E10">
        <w:t>reasons for this difference are unclear. R</w:t>
      </w:r>
      <w:r w:rsidR="00C23E10" w:rsidRPr="00545271">
        <w:t>ural areas</w:t>
      </w:r>
      <w:r w:rsidR="00DC4F36">
        <w:t xml:space="preserve"> often</w:t>
      </w:r>
      <w:r w:rsidR="00C23E10" w:rsidRPr="00545271">
        <w:t xml:space="preserve"> have a lower neighborhood SES, but offer good possibilities to pick up and preserve berries for own use</w:t>
      </w:r>
      <w:r w:rsidR="00C23E10">
        <w:t xml:space="preserve">, potentially masking an association between neighborhood SES and consumption of berries. </w:t>
      </w:r>
      <w:r w:rsidR="00862F71">
        <w:t>However, t</w:t>
      </w:r>
      <w:r w:rsidR="00C23E10">
        <w:t>his is an unlikely explanation for our findings</w:t>
      </w:r>
      <w:r w:rsidR="00C23E10" w:rsidRPr="00545271">
        <w:t xml:space="preserve"> </w:t>
      </w:r>
      <w:r w:rsidR="00C23E10">
        <w:t>as urbanicity was taken into account in the analysis</w:t>
      </w:r>
      <w:r w:rsidR="00C23E10" w:rsidRPr="00545271">
        <w:t>.</w:t>
      </w:r>
    </w:p>
    <w:p w14:paraId="348EDAC6" w14:textId="77777777" w:rsidR="00C23E10" w:rsidRDefault="00C23E10" w:rsidP="00723130">
      <w:pPr>
        <w:spacing w:after="0" w:line="360" w:lineRule="auto"/>
        <w:rPr>
          <w:highlight w:val="yellow"/>
        </w:rPr>
      </w:pPr>
    </w:p>
    <w:p w14:paraId="00F6F284" w14:textId="4D0E3194" w:rsidR="00903173" w:rsidRPr="00AE3CBF" w:rsidRDefault="00903173" w:rsidP="008C1A3C">
      <w:pPr>
        <w:spacing w:after="0" w:line="360" w:lineRule="auto"/>
      </w:pPr>
      <w:r w:rsidRPr="00220EE3">
        <w:rPr>
          <w:rFonts w:eastAsia="Times New Roman" w:cs="Times New Roman"/>
          <w:szCs w:val="24"/>
          <w:lang w:eastAsia="fi-FI"/>
        </w:rPr>
        <w:t>Studies examining broader dietary habits are scar</w:t>
      </w:r>
      <w:r w:rsidR="008E298C" w:rsidRPr="00220EE3">
        <w:rPr>
          <w:rFonts w:eastAsia="Times New Roman" w:cs="Times New Roman"/>
          <w:szCs w:val="24"/>
          <w:lang w:eastAsia="fi-FI"/>
        </w:rPr>
        <w:t>c</w:t>
      </w:r>
      <w:r w:rsidRPr="00220EE3">
        <w:rPr>
          <w:rFonts w:eastAsia="Times New Roman" w:cs="Times New Roman"/>
          <w:szCs w:val="24"/>
          <w:lang w:eastAsia="fi-FI"/>
        </w:rPr>
        <w:t xml:space="preserve">e. In one prior study, </w:t>
      </w:r>
      <w:r w:rsidR="008E298C" w:rsidRPr="00220EE3">
        <w:rPr>
          <w:rFonts w:eastAsia="Times New Roman" w:cs="Times New Roman"/>
          <w:szCs w:val="24"/>
          <w:lang w:eastAsia="fi-FI"/>
        </w:rPr>
        <w:t>higher</w:t>
      </w:r>
      <w:r w:rsidRPr="00220EE3">
        <w:rPr>
          <w:rFonts w:eastAsia="Times New Roman" w:cs="Times New Roman"/>
          <w:szCs w:val="24"/>
          <w:lang w:eastAsia="fi-FI"/>
        </w:rPr>
        <w:t xml:space="preserve"> residential property values </w:t>
      </w:r>
      <w:r w:rsidR="008E298C" w:rsidRPr="00220EE3">
        <w:rPr>
          <w:rFonts w:eastAsia="Times New Roman" w:cs="Times New Roman"/>
          <w:szCs w:val="24"/>
          <w:lang w:eastAsia="fi-FI"/>
        </w:rPr>
        <w:t>(</w:t>
      </w:r>
      <w:r w:rsidRPr="00220EE3">
        <w:rPr>
          <w:rFonts w:eastAsia="Times New Roman" w:cs="Times New Roman"/>
          <w:szCs w:val="24"/>
          <w:lang w:eastAsia="fi-FI"/>
        </w:rPr>
        <w:t>as</w:t>
      </w:r>
      <w:r w:rsidR="008E298C" w:rsidRPr="00220EE3">
        <w:rPr>
          <w:rFonts w:eastAsia="Times New Roman" w:cs="Times New Roman"/>
          <w:szCs w:val="24"/>
          <w:lang w:eastAsia="fi-FI"/>
        </w:rPr>
        <w:t xml:space="preserve"> a measure of neighborhood SES) </w:t>
      </w:r>
      <w:r w:rsidRPr="00220EE3">
        <w:rPr>
          <w:rFonts w:eastAsia="Times New Roman" w:cs="Times New Roman"/>
          <w:szCs w:val="24"/>
          <w:lang w:eastAsia="fi-FI"/>
        </w:rPr>
        <w:t xml:space="preserve">were associated with higher healthy eating </w:t>
      </w:r>
      <w:r w:rsidR="00BE558A">
        <w:rPr>
          <w:rFonts w:eastAsia="Times New Roman" w:cs="Times New Roman"/>
          <w:szCs w:val="24"/>
          <w:lang w:eastAsia="fi-FI"/>
        </w:rPr>
        <w:t xml:space="preserve">index </w:t>
      </w:r>
      <w:r w:rsidRPr="00220EE3">
        <w:rPr>
          <w:rFonts w:eastAsia="Times New Roman" w:cs="Times New Roman"/>
          <w:szCs w:val="24"/>
          <w:lang w:eastAsia="fi-FI"/>
        </w:rPr>
        <w:lastRenderedPageBreak/>
        <w:t xml:space="preserve">scores </w:t>
      </w:r>
      <w:r w:rsidR="006A508D" w:rsidRPr="003F71F0">
        <w:rPr>
          <w:rFonts w:eastAsia="Times New Roman" w:cs="Times New Roman"/>
          <w:szCs w:val="24"/>
          <w:lang w:eastAsia="fi-FI"/>
        </w:rPr>
        <w:fldChar w:fldCharType="begin" w:fldLock="1"/>
      </w:r>
      <w:r w:rsidR="00154AB2">
        <w:rPr>
          <w:rFonts w:eastAsia="Times New Roman" w:cs="Times New Roman"/>
          <w:szCs w:val="24"/>
          <w:lang w:eastAsia="fi-FI"/>
        </w:rPr>
        <w:instrText>ADDIN CSL_CITATION {"citationItems":[{"id":"ITEM-1","itemData":{"DOI":"10.1016/j.ypmed.2015.11.021","ISSN":"1096-0260","PMID":"26657348","abstract":"BACKGROUND Higher socioeconomic status (SES) has been linked with higher-quality diets. New GIS methods allow for geographic mapping of diet quality at a very granular level. OBJECTIVE To examine the geographic distribution of two measures of diet quality: Healthy Eating Index (HEI 2005 and HEI 2010) in relation to residential property values in Seattle-King County. METHODS The Seattle Obesity Study (SOS) collected data from a population-based sample of King County adults in 2008-09. Socio-demographic data were obtained by 20-min telephone survey. Dietary data were obtained from food frequency questionnaires (FFQs). Home addresses were geocoded to the tax parcel and residential property values were obtained from the King County tax assessor. Multivariable regression analyses using 1116 adults tested associations between SES variables and diet quality measured (HEI scores). RESULTS Residential property values, education, and incomes were associated with higher HEI scores in bivariate analyses. Property values were not collinear with either education or income. In adjusted multivariable models, education and residential property were better associated with HEI, compared to than income. Mapping of HEI-2005 and HEI-2010 at the census block level illustrated the geographic distribution of diet quality across Seattle-King County. CONCLUSION The use of residential property values, an objective measure of SES, allowed for the first visual exploration of diet quality at high spatial resolution: the census block level.","author":[{"dropping-particle":"","family":"Drewnowski","given":"Adam","non-dropping-particle":"","parse-names":false,"suffix":""},{"dropping-particle":"","family":"Aggarwal","given":"Anju","non-dropping-particle":"","parse-names":false,"suffix":""},{"dropping-particle":"","family":"Cook","given":"Andrea","non-dropping-particle":"","parse-names":false,"suffix":""},{"dropping-particle":"","family":"Stewart","given":"Orion","non-dropping-particle":"","parse-names":false,"suffix":""},{"dropping-particle":"","family":"Moudon","given":"Anne Vernez","non-dropping-particle":"","parse-names":false,"suffix":""}],"container-title":"Preventive Medicine","id":"ITEM-1","issued":{"date-parts":[["2016","2"]]},"page":"46-55","title":"Geographic disparities in Healthy Eating Index scores (HEI-2005 and 2010) by residential property values: Findings from Seattle Obesity Study (SOS).","type":"article-journal","volume":"83"},"uris":["http://www.mendeley.com/documents/?uuid=42de5e9b-4a50-4b11-a790-c04f6e17c10e"]}],"mendeley":{"formattedCitation":"(Drewnowski et al., 2016)","plainTextFormattedCitation":"(Drewnowski et al., 2016)","previouslyFormattedCitation":"(Drewnowski et al., 2016)"},"properties":{"noteIndex":0},"schema":"https://github.com/citation-style-language/schema/raw/master/csl-citation.json"}</w:instrText>
      </w:r>
      <w:r w:rsidR="006A508D" w:rsidRPr="003F71F0">
        <w:rPr>
          <w:rFonts w:eastAsia="Times New Roman" w:cs="Times New Roman"/>
          <w:szCs w:val="24"/>
          <w:lang w:eastAsia="fi-FI"/>
        </w:rPr>
        <w:fldChar w:fldCharType="separate"/>
      </w:r>
      <w:r w:rsidR="00C12E6F" w:rsidRPr="003F71F0">
        <w:rPr>
          <w:rFonts w:eastAsia="Times New Roman" w:cs="Times New Roman"/>
          <w:noProof/>
          <w:szCs w:val="24"/>
          <w:lang w:eastAsia="fi-FI"/>
        </w:rPr>
        <w:t>(Drewnowski et al., 2016)</w:t>
      </w:r>
      <w:r w:rsidR="006A508D" w:rsidRPr="003F71F0">
        <w:rPr>
          <w:rFonts w:eastAsia="Times New Roman" w:cs="Times New Roman"/>
          <w:szCs w:val="24"/>
          <w:lang w:eastAsia="fi-FI"/>
        </w:rPr>
        <w:fldChar w:fldCharType="end"/>
      </w:r>
      <w:r w:rsidRPr="003F71F0">
        <w:rPr>
          <w:rFonts w:eastAsia="Times New Roman" w:cs="Times New Roman"/>
          <w:szCs w:val="24"/>
          <w:lang w:eastAsia="fi-FI"/>
        </w:rPr>
        <w:t>. Our finding</w:t>
      </w:r>
      <w:r w:rsidR="001D77E1" w:rsidRPr="003F71F0">
        <w:rPr>
          <w:rFonts w:eastAsia="Times New Roman" w:cs="Times New Roman"/>
          <w:szCs w:val="24"/>
          <w:lang w:eastAsia="fi-FI"/>
        </w:rPr>
        <w:t xml:space="preserve"> of</w:t>
      </w:r>
      <w:r w:rsidRPr="003F71F0">
        <w:rPr>
          <w:rFonts w:eastAsia="Times New Roman" w:cs="Times New Roman"/>
          <w:szCs w:val="24"/>
          <w:lang w:eastAsia="fi-FI"/>
        </w:rPr>
        <w:t xml:space="preserve"> a</w:t>
      </w:r>
      <w:r w:rsidR="009822A6" w:rsidRPr="003F71F0">
        <w:rPr>
          <w:rFonts w:eastAsia="Times New Roman" w:cs="Times New Roman"/>
          <w:szCs w:val="24"/>
          <w:lang w:eastAsia="fi-FI"/>
        </w:rPr>
        <w:t xml:space="preserve">n </w:t>
      </w:r>
      <w:r w:rsidRPr="003F71F0">
        <w:rPr>
          <w:rFonts w:cs="Times New Roman"/>
          <w:szCs w:val="24"/>
        </w:rPr>
        <w:t xml:space="preserve">association </w:t>
      </w:r>
      <w:r w:rsidRPr="00DB28FC">
        <w:rPr>
          <w:rFonts w:cs="Times New Roman"/>
          <w:szCs w:val="24"/>
        </w:rPr>
        <w:t xml:space="preserve">between </w:t>
      </w:r>
      <w:r w:rsidR="009822A6" w:rsidRPr="00DB28FC">
        <w:rPr>
          <w:rFonts w:cs="Times New Roman"/>
          <w:szCs w:val="24"/>
        </w:rPr>
        <w:t xml:space="preserve">high </w:t>
      </w:r>
      <w:r w:rsidR="00DB28FC" w:rsidRPr="00DB28FC">
        <w:rPr>
          <w:rFonts w:cs="Times New Roman"/>
          <w:szCs w:val="24"/>
        </w:rPr>
        <w:t xml:space="preserve">cumulative </w:t>
      </w:r>
      <w:r w:rsidR="009822A6" w:rsidRPr="00DB28FC">
        <w:rPr>
          <w:rFonts w:cs="Times New Roman"/>
          <w:szCs w:val="24"/>
        </w:rPr>
        <w:t>and incre</w:t>
      </w:r>
      <w:r w:rsidR="00050EC0" w:rsidRPr="00DB28FC">
        <w:rPr>
          <w:rFonts w:cs="Times New Roman"/>
          <w:szCs w:val="24"/>
        </w:rPr>
        <w:t>a</w:t>
      </w:r>
      <w:r w:rsidR="009822A6" w:rsidRPr="00DB28FC">
        <w:rPr>
          <w:rFonts w:cs="Times New Roman"/>
          <w:szCs w:val="24"/>
        </w:rPr>
        <w:t>sed</w:t>
      </w:r>
      <w:r w:rsidRPr="00DB28FC">
        <w:rPr>
          <w:rFonts w:cs="Times New Roman"/>
          <w:szCs w:val="24"/>
        </w:rPr>
        <w:t xml:space="preserve"> neighborhood SES and </w:t>
      </w:r>
      <w:r w:rsidR="001D77E1" w:rsidRPr="00DB28FC">
        <w:rPr>
          <w:rFonts w:cs="Times New Roman"/>
          <w:szCs w:val="24"/>
        </w:rPr>
        <w:t xml:space="preserve">adherence to </w:t>
      </w:r>
      <w:r w:rsidRPr="00DB28FC">
        <w:rPr>
          <w:rFonts w:cs="Times New Roman"/>
          <w:szCs w:val="24"/>
        </w:rPr>
        <w:t>diet</w:t>
      </w:r>
      <w:r w:rsidR="001D77E1" w:rsidRPr="00DB28FC">
        <w:rPr>
          <w:rFonts w:cs="Times New Roman"/>
          <w:szCs w:val="24"/>
        </w:rPr>
        <w:t xml:space="preserve">ary recommendations </w:t>
      </w:r>
      <w:r w:rsidRPr="00DB28FC">
        <w:rPr>
          <w:rFonts w:cs="Times New Roman"/>
          <w:szCs w:val="24"/>
        </w:rPr>
        <w:t>was similar</w:t>
      </w:r>
      <w:r w:rsidR="008E298C" w:rsidRPr="00DB28FC">
        <w:rPr>
          <w:rFonts w:cs="Times New Roman"/>
          <w:szCs w:val="24"/>
        </w:rPr>
        <w:t xml:space="preserve"> </w:t>
      </w:r>
      <w:r w:rsidR="001D77E1" w:rsidRPr="00DB28FC">
        <w:rPr>
          <w:rFonts w:cs="Times New Roman"/>
          <w:szCs w:val="24"/>
        </w:rPr>
        <w:t xml:space="preserve">in spite of the </w:t>
      </w:r>
      <w:r w:rsidR="001D77E1" w:rsidRPr="003F71F0">
        <w:rPr>
          <w:rFonts w:cs="Times New Roman"/>
          <w:szCs w:val="24"/>
        </w:rPr>
        <w:t>differences in the indicator of</w:t>
      </w:r>
      <w:r w:rsidR="008E298C" w:rsidRPr="003F71F0">
        <w:rPr>
          <w:rFonts w:cs="Times New Roman"/>
          <w:szCs w:val="24"/>
        </w:rPr>
        <w:t xml:space="preserve"> neighborhood SES</w:t>
      </w:r>
      <w:r w:rsidR="001B0732" w:rsidRPr="003F71F0">
        <w:rPr>
          <w:rFonts w:cs="Times New Roman"/>
          <w:szCs w:val="24"/>
        </w:rPr>
        <w:t xml:space="preserve"> and dietary </w:t>
      </w:r>
      <w:r w:rsidR="00AE3CBF" w:rsidRPr="003F71F0">
        <w:rPr>
          <w:rFonts w:cs="Times New Roman"/>
          <w:szCs w:val="24"/>
        </w:rPr>
        <w:t>indices</w:t>
      </w:r>
      <w:r w:rsidR="008E298C" w:rsidRPr="003F71F0">
        <w:rPr>
          <w:rFonts w:cs="Times New Roman"/>
          <w:szCs w:val="24"/>
        </w:rPr>
        <w:t xml:space="preserve">. </w:t>
      </w:r>
      <w:r w:rsidR="00F61164">
        <w:rPr>
          <w:rFonts w:cs="Times New Roman"/>
          <w:color w:val="131413"/>
          <w:szCs w:val="24"/>
        </w:rPr>
        <w:t xml:space="preserve">To our knowledge, no prior study has examined how trajectories of neighborhood SES are linked to dietary </w:t>
      </w:r>
      <w:r w:rsidR="00F61164" w:rsidRPr="00D55C05">
        <w:rPr>
          <w:rFonts w:cs="Times New Roman"/>
          <w:color w:val="131413"/>
          <w:szCs w:val="24"/>
        </w:rPr>
        <w:t>habits.</w:t>
      </w:r>
      <w:r w:rsidR="002E52E4" w:rsidRPr="00D55C05">
        <w:rPr>
          <w:rFonts w:cs="Times New Roman"/>
          <w:color w:val="131413"/>
          <w:szCs w:val="24"/>
        </w:rPr>
        <w:t xml:space="preserve"> </w:t>
      </w:r>
      <w:r w:rsidR="00E649A9" w:rsidRPr="00D55C05">
        <w:rPr>
          <w:rFonts w:cs="Times New Roman"/>
          <w:color w:val="131413"/>
          <w:szCs w:val="24"/>
        </w:rPr>
        <w:t>We observed that upward trajectory was associated with as high dietary index scores as stable high trajectory. This finding suggests that high SES areas might offer healthier food environments than low SES areas, leading to improvement of dietary habits among those who move from low to high SES areas.</w:t>
      </w:r>
      <w:r w:rsidR="00DB28FC" w:rsidRPr="00D55C05">
        <w:rPr>
          <w:rFonts w:cs="Times New Roman"/>
          <w:color w:val="131413"/>
          <w:szCs w:val="24"/>
        </w:rPr>
        <w:t xml:space="preserve"> S</w:t>
      </w:r>
      <w:r w:rsidR="00F61164" w:rsidRPr="00D55C05">
        <w:t xml:space="preserve">ome </w:t>
      </w:r>
      <w:r w:rsidR="0082188D" w:rsidRPr="00D55C05">
        <w:t>studies</w:t>
      </w:r>
      <w:r w:rsidR="00D27A7B" w:rsidRPr="00D55C05">
        <w:t xml:space="preserve">, however, </w:t>
      </w:r>
      <w:r w:rsidR="00F61164" w:rsidRPr="00D55C05">
        <w:t>have</w:t>
      </w:r>
      <w:r w:rsidR="0082188D" w:rsidRPr="00D55C05">
        <w:t xml:space="preserve"> </w:t>
      </w:r>
      <w:r w:rsidR="008E298C" w:rsidRPr="00D55C05">
        <w:t>suggest</w:t>
      </w:r>
      <w:r w:rsidR="00F61164" w:rsidRPr="00D55C05">
        <w:t>ed</w:t>
      </w:r>
      <w:r w:rsidR="008E298C" w:rsidRPr="00D55C05">
        <w:t xml:space="preserve"> that an individual's own socio-economic </w:t>
      </w:r>
      <w:r w:rsidR="001E573E" w:rsidRPr="00D55C05">
        <w:t>status</w:t>
      </w:r>
      <w:r w:rsidR="008E298C" w:rsidRPr="00D55C05">
        <w:t xml:space="preserve"> play a more</w:t>
      </w:r>
      <w:r w:rsidR="008E298C" w:rsidRPr="00220EE3">
        <w:t xml:space="preserve"> important role in shaping</w:t>
      </w:r>
      <w:r w:rsidR="002B6A16" w:rsidRPr="00220EE3">
        <w:t xml:space="preserve"> the</w:t>
      </w:r>
      <w:r w:rsidR="008E298C" w:rsidRPr="00220EE3">
        <w:t xml:space="preserve"> diet than the area</w:t>
      </w:r>
      <w:r w:rsidR="006D0E3D" w:rsidRPr="00220EE3">
        <w:t>-</w:t>
      </w:r>
      <w:r w:rsidR="00BE2694" w:rsidRPr="00220EE3">
        <w:t xml:space="preserve">level </w:t>
      </w:r>
      <w:r w:rsidR="008E298C" w:rsidRPr="00220EE3">
        <w:t xml:space="preserve">socioeconomic </w:t>
      </w:r>
      <w:r w:rsidR="001E573E" w:rsidRPr="00220EE3">
        <w:t>status</w:t>
      </w:r>
      <w:r w:rsidR="008E298C" w:rsidRPr="00220EE3">
        <w:t>: a Dutch study</w:t>
      </w:r>
      <w:r w:rsidR="00C90E3A" w:rsidRPr="00220EE3">
        <w:t xml:space="preserve"> did not</w:t>
      </w:r>
      <w:r w:rsidR="008E298C" w:rsidRPr="00220EE3">
        <w:t xml:space="preserve"> report </w:t>
      </w:r>
      <w:r w:rsidR="00C90E3A" w:rsidRPr="00220EE3">
        <w:t>any</w:t>
      </w:r>
      <w:r w:rsidR="008E298C" w:rsidRPr="00220EE3">
        <w:t xml:space="preserve"> independent influen</w:t>
      </w:r>
      <w:r w:rsidR="001E573E" w:rsidRPr="00220EE3">
        <w:t>ce of area-level socioeconomic status</w:t>
      </w:r>
      <w:r w:rsidR="00772262" w:rsidRPr="00220EE3">
        <w:t xml:space="preserve"> on diet</w:t>
      </w:r>
      <w:r w:rsidR="004E6D3D" w:rsidRPr="00220EE3">
        <w:t xml:space="preserve">, such as </w:t>
      </w:r>
      <w:r w:rsidR="00772262" w:rsidRPr="00220EE3">
        <w:rPr>
          <w:rFonts w:eastAsia="Times New Roman" w:cs="Times New Roman"/>
          <w:szCs w:val="24"/>
          <w:lang w:eastAsia="fi-FI"/>
        </w:rPr>
        <w:t>food choice, breakfast consumption and fruit intake</w:t>
      </w:r>
      <w:r w:rsidRPr="00220EE3">
        <w:t xml:space="preserve"> </w:t>
      </w:r>
      <w:r w:rsidRPr="00220EE3">
        <w:fldChar w:fldCharType="begin" w:fldLock="1"/>
      </w:r>
      <w:r w:rsidR="00154AB2">
        <w:instrText>ADDIN CSL_CITATION {"citationItems":[{"id":"ITEM-1","itemData":{"ISSN":"1368-9800","PMID":"16480537","abstract":"OBJECTIVE To examine the influence of individual- and area-level socio-economic characteristics on food choice behaviour and dietary intake. SETTING The city of Eindhoven in the south-east Netherlands. DESIGN A total of 1339 men and women aged 25-79 years were sampled from 85 areas (mean number of participants per area = 18.4, range 2-49). Information on socio-economic position (SEP) and diet was collected by structured face-to-face interviews (response rate 80.9%). Individual-level SEP was measured by education and household income, and area-level deprivation was measured using a composite index that included residents' education, occupation and employment status. Diet was measured on the basis of (1) a grocery food index that captured compliance with dietary guidelines, (2) breakfast consumption and (3) intakes of fruit, total fat and saturated fat. Multilevel analyses were performed to examine the independent effects of individual- and area-level socio-economic characteristics on the dietary outcome variables. RESULTS After adjusting for individual-level SEP, few trends or significant effects of area deprivation were found for the dietary outcomes. Significant associations were found between individual-level SEP and food choice, breakfast consumption and fruit intake, with participants from disadvantaged backgrounds being less likely to report food behaviours or nutrient intakes consistent with dietary recommendations. CONCLUSIONS The findings suggest that an individual's socio-economic characteristics play a more important role in shaping diet than the socio-economic characteristics of the area in which they live. In this Dutch study, no independent influence of area-level socio-economic characteristics on diet was detected, which contrasts with findings from the USA, the UK and Finland.","author":[{"dropping-particle":"","family":"Giskes","given":"Katrina","non-dropping-particle":"","parse-names":false,"suffix":""},{"dropping-particle":"","family":"Turrell","given":"Gavin","non-dropping-particle":"","parse-names":false,"suffix":""},{"dropping-particle":"","family":"Lenthe","given":"Frank J","non-dropping-particle":"van","parse-names":false,"suffix":""},{"dropping-particle":"","family":"Brug","given":"Johannes","non-dropping-particle":"","parse-names":false,"suffix":""},{"dropping-particle":"","family":"Mackenbach","given":"Johan P","non-dropping-particle":"","parse-names":false,"suffix":""}],"container-title":"Public Health Nutrition","id":"ITEM-1","issue":"1","issued":{"date-parts":[["2006","2"]]},"page":"75-83","title":"A multilevel study of socio-economic inequalities in food choice behaviour and dietary intake among the Dutch population: the GLOBE study.","type":"article-journal","volume":"9"},"uris":["http://www.mendeley.com/documents/?uuid=cfaf51c0-1d6f-4acd-8085-9aa090e5ba34"]}],"mendeley":{"formattedCitation":"(Giskes et al., 2006)","plainTextFormattedCitation":"(Giskes et al., 2006)","previouslyFormattedCitation":"(Giskes et al., 2006)"},"properties":{"noteIndex":0},"schema":"https://github.com/citation-style-language/schema/raw/master/csl-citation.json"}</w:instrText>
      </w:r>
      <w:r w:rsidRPr="00220EE3">
        <w:fldChar w:fldCharType="separate"/>
      </w:r>
      <w:r w:rsidR="00C12E6F" w:rsidRPr="00C12E6F">
        <w:rPr>
          <w:noProof/>
        </w:rPr>
        <w:t>(Giskes et al., 2006)</w:t>
      </w:r>
      <w:r w:rsidRPr="00220EE3">
        <w:fldChar w:fldCharType="end"/>
      </w:r>
      <w:r w:rsidR="008E298C" w:rsidRPr="00220EE3">
        <w:t>.</w:t>
      </w:r>
      <w:r w:rsidR="001D0647" w:rsidRPr="00220EE3">
        <w:t xml:space="preserve"> </w:t>
      </w:r>
      <w:r w:rsidR="00B32756" w:rsidRPr="00220EE3">
        <w:t xml:space="preserve">However, the </w:t>
      </w:r>
      <w:r w:rsidR="00B32756" w:rsidRPr="00220EE3">
        <w:lastRenderedPageBreak/>
        <w:t xml:space="preserve">neighborhood SES in that study was not based on the characteristics of the total population of the residential areas, but on that of the GLOBE study participants, and their study sample was </w:t>
      </w:r>
      <w:r w:rsidR="00851888">
        <w:t>much</w:t>
      </w:r>
      <w:r w:rsidR="00B32756" w:rsidRPr="00220EE3">
        <w:t xml:space="preserve"> small</w:t>
      </w:r>
      <w:r w:rsidR="00851888">
        <w:t>er</w:t>
      </w:r>
      <w:r w:rsidR="00B32756" w:rsidRPr="00220EE3">
        <w:t xml:space="preserve"> (n=1339). </w:t>
      </w:r>
    </w:p>
    <w:p w14:paraId="4A0A5052" w14:textId="77777777" w:rsidR="00282174" w:rsidRPr="00220EE3" w:rsidRDefault="00282174" w:rsidP="008C1A3C">
      <w:pPr>
        <w:spacing w:after="0" w:line="360" w:lineRule="auto"/>
      </w:pPr>
    </w:p>
    <w:p w14:paraId="020FD8D2" w14:textId="2472A452" w:rsidR="001D0647" w:rsidRPr="00220EE3" w:rsidRDefault="00903173" w:rsidP="008C1A3C">
      <w:pPr>
        <w:spacing w:after="0" w:line="360" w:lineRule="auto"/>
      </w:pPr>
      <w:r w:rsidRPr="00220EE3">
        <w:rPr>
          <w:rFonts w:eastAsia="Times New Roman" w:cs="Times New Roman"/>
          <w:szCs w:val="24"/>
          <w:lang w:eastAsia="fi-FI"/>
        </w:rPr>
        <w:t xml:space="preserve">Reasons for the associations between neighborhood SES and dietary habits can be related to the </w:t>
      </w:r>
      <w:r w:rsidR="00DC4243" w:rsidRPr="00220EE3">
        <w:rPr>
          <w:rFonts w:eastAsia="Times New Roman" w:cs="Times New Roman"/>
          <w:szCs w:val="24"/>
          <w:lang w:eastAsia="fi-FI"/>
        </w:rPr>
        <w:t xml:space="preserve">local </w:t>
      </w:r>
      <w:r w:rsidRPr="00220EE3">
        <w:rPr>
          <w:rFonts w:eastAsia="Times New Roman" w:cs="Times New Roman"/>
          <w:szCs w:val="24"/>
          <w:lang w:eastAsia="fi-FI"/>
        </w:rPr>
        <w:t>food environments.</w:t>
      </w:r>
      <w:r w:rsidRPr="00220EE3">
        <w:rPr>
          <w:rFonts w:cs="Times New Roman"/>
          <w:color w:val="131413"/>
          <w:szCs w:val="24"/>
        </w:rPr>
        <w:t xml:space="preserve"> </w:t>
      </w:r>
      <w:r w:rsidRPr="00220EE3">
        <w:rPr>
          <w:rFonts w:eastAsia="Times New Roman" w:cs="Times New Roman"/>
          <w:szCs w:val="24"/>
          <w:lang w:eastAsia="fi-FI"/>
        </w:rPr>
        <w:t xml:space="preserve">Previous studies have reported </w:t>
      </w:r>
      <w:r w:rsidR="00B34E4C" w:rsidRPr="00220EE3">
        <w:rPr>
          <w:rFonts w:eastAsia="Times New Roman" w:cs="Times New Roman"/>
          <w:szCs w:val="24"/>
          <w:lang w:eastAsia="fi-FI"/>
        </w:rPr>
        <w:t>disparities in neighborhood food environment</w:t>
      </w:r>
      <w:r w:rsidR="00EE6EAB" w:rsidRPr="00220EE3">
        <w:rPr>
          <w:rFonts w:eastAsia="Times New Roman" w:cs="Times New Roman"/>
          <w:szCs w:val="24"/>
          <w:lang w:eastAsia="fi-FI"/>
        </w:rPr>
        <w:t xml:space="preserve"> in low </w:t>
      </w:r>
      <w:r w:rsidR="00185F6E" w:rsidRPr="00220EE3">
        <w:rPr>
          <w:rFonts w:eastAsia="Times New Roman" w:cs="Times New Roman"/>
          <w:szCs w:val="24"/>
          <w:lang w:eastAsia="fi-FI"/>
        </w:rPr>
        <w:t xml:space="preserve">and high </w:t>
      </w:r>
      <w:r w:rsidR="00EE6EAB" w:rsidRPr="00220EE3">
        <w:rPr>
          <w:rFonts w:eastAsia="Times New Roman" w:cs="Times New Roman"/>
          <w:szCs w:val="24"/>
          <w:lang w:eastAsia="fi-FI"/>
        </w:rPr>
        <w:t>SES neighbo</w:t>
      </w:r>
      <w:r w:rsidR="0062011A" w:rsidRPr="00220EE3">
        <w:rPr>
          <w:rFonts w:eastAsia="Times New Roman" w:cs="Times New Roman"/>
          <w:szCs w:val="24"/>
          <w:lang w:eastAsia="fi-FI"/>
        </w:rPr>
        <w:t>r</w:t>
      </w:r>
      <w:r w:rsidR="00EE6EAB" w:rsidRPr="00220EE3">
        <w:rPr>
          <w:rFonts w:eastAsia="Times New Roman" w:cs="Times New Roman"/>
          <w:szCs w:val="24"/>
          <w:lang w:eastAsia="fi-FI"/>
        </w:rPr>
        <w:t>hoods</w:t>
      </w:r>
      <w:r w:rsidR="00B34E4C" w:rsidRPr="00220EE3">
        <w:rPr>
          <w:rFonts w:eastAsia="Times New Roman" w:cs="Times New Roman"/>
          <w:szCs w:val="24"/>
          <w:lang w:eastAsia="fi-FI"/>
        </w:rPr>
        <w:t xml:space="preserve">, which may result in </w:t>
      </w:r>
      <w:r w:rsidR="0062011A" w:rsidRPr="00220EE3">
        <w:rPr>
          <w:rFonts w:eastAsia="Times New Roman" w:cs="Times New Roman"/>
          <w:szCs w:val="24"/>
          <w:lang w:eastAsia="fi-FI"/>
        </w:rPr>
        <w:t>difference</w:t>
      </w:r>
      <w:r w:rsidR="006D0E3D" w:rsidRPr="00220EE3">
        <w:rPr>
          <w:rFonts w:eastAsia="Times New Roman" w:cs="Times New Roman"/>
          <w:szCs w:val="24"/>
          <w:lang w:eastAsia="fi-FI"/>
        </w:rPr>
        <w:t>s</w:t>
      </w:r>
      <w:r w:rsidR="0062011A" w:rsidRPr="00220EE3">
        <w:rPr>
          <w:rFonts w:eastAsia="Times New Roman" w:cs="Times New Roman"/>
          <w:szCs w:val="24"/>
          <w:lang w:eastAsia="fi-FI"/>
        </w:rPr>
        <w:t xml:space="preserve"> in </w:t>
      </w:r>
      <w:r w:rsidRPr="00220EE3">
        <w:rPr>
          <w:rFonts w:eastAsia="Times New Roman" w:cs="Times New Roman"/>
          <w:szCs w:val="24"/>
          <w:lang w:eastAsia="fi-FI"/>
        </w:rPr>
        <w:t xml:space="preserve">overall dietary habits </w:t>
      </w:r>
      <w:r w:rsidRPr="00220EE3">
        <w:rPr>
          <w:rFonts w:eastAsia="Times New Roman" w:cs="Times New Roman"/>
          <w:szCs w:val="24"/>
          <w:lang w:eastAsia="fi-FI"/>
        </w:rPr>
        <w:fldChar w:fldCharType="begin" w:fldLock="1"/>
      </w:r>
      <w:r w:rsidR="000D4516">
        <w:rPr>
          <w:rFonts w:eastAsia="Times New Roman" w:cs="Times New Roman"/>
          <w:szCs w:val="24"/>
          <w:lang w:eastAsia="fi-FI"/>
        </w:rPr>
        <w:instrText>ADDIN CSL_CITATION {"citationItems":[{"id":"ITEM-1","itemData":{"ISSN":"1545-1151","PMID":"19527577","abstract":"INTRODUCTION \"Food deserts,\" areas characterized by poor access to healthy and affordable food, may contribute to social and spatial disparities in diet and diet-related health outcomes. However, the extent to which food deserts exist is debated. We review the evidence for the existence of food deserts in socioeconomically disadvantaged areas. METHODS We conducted a systematic review of primary, quantitative, observational studies, published in English or French, that used geographic or market-basket approaches in high-income countries. The literature search included electronic and hand searches and peer-reviewed and grey literature from 1966 through 2007. We also contacted key researchers to identify other studies. We analyzed the findings and quality of the studies qualitatively. RESULTS Forty-nine studies in 5 countries met inclusion criteria; the amount and consistency of the evidence varied by country. These studies were a mix of geographic and market-basket approaches, but the methodologic quality of studies and completeness of reported findings were mixed. We found clear evidence for disparities in food access in the United States by income and race. Findings from other high-income countries were sparse and equivocal. CONCLUSION This review suggests that food deserts exist in the United States, where area-level deprivation compounds individual disadvantage. Evidence for the existence of food deserts in other high-income nations is weak.","author":[{"dropping-particle":"","family":"Beaulac","given":"Julie","non-dropping-particle":"","parse-names":false,"suffix":""},{"dropping-particle":"","family":"Kristjansson","given":"Elizabeth","non-dropping-particle":"","parse-names":false,"suffix":""},{"dropping-particle":"","family":"Cummins","given":"Steven","non-dropping-particle":"","parse-names":false,"suffix":""}],"container-title":"Preventing Chronic Disease","id":"ITEM-1","issue":"3","issued":{"date-parts":[["2009"]]},"page":"A105","publisher":"Centers for Disease Control and Prevention","title":"A systematic review of food deserts, 1966-2007.","type":"article-journal","volume":"6"},"uris":["http://www.mendeley.com/documents/?uuid=d5183073-968c-4239-a1e5-337532041cd2"]},{"id":"ITEM-2","itemData":{"DOI":"10.1016/j.jada.2011.09.017","ISSN":"1878-3570","PMID":"22117655","author":[{"dropping-particle":"","family":"Gordon-Larsen","given":"Penny","non-dropping-particle":"","parse-names":false,"suffix":""},{"dropping-particle":"","family":"Popkin","given":"Barry","non-dropping-particle":"","parse-names":false,"suffix":""}],"container-title":"Journal of the American Dietetic Association","id":"ITEM-2","issue":"12","issued":{"date-parts":[["2011","12"]]},"page":"1816-9","publisher":"NIH Public Access","title":"Understanding socioeconomic and racial/ethnic status disparities in diet, exercise, and weight: underlying contextual factors and pathways.","type":"article-journal","volume":"111"},"uris":["http://www.mendeley.com/documents/?uuid=13ff3ad7-c491-472a-8265-031d4df8be84"]},{"id":"ITEM-3","itemData":{"ISSN":"0090-0036","PMID":"12406805","abstract":"OBJECTIVES We studied the association between the local food environment and residents' report of recommended dietary intake. METHODS Recommended intakes of foods and nutrients for 10 623 Atherosclerosis Risk in Communities participants were estimated from food frequency questionnaires. Supermarkets, grocery stores, and full-service and fast-food restaurants were geocoded to census tracts. RESULTS Black Americans' fruit and vegetable intake increased by 32% for each additional supermarket in the census tract (relative risk [RR] = 1.32; 95% confidence interval [CI] = 1.08, 1.60). White Americans' fruit and vegetable intake increased by 11% with the presence of 1 or more supermarket (RR = 1.11; 95% CI = 0.93, 1.32). CONCLUSIONS These findings suggest the local food environment is associated with residents' recommended diets.","author":[{"dropping-particle":"","family":"Morland","given":"K","non-dropping-particle":"","parse-names":false,"suffix":""},{"dropping-particle":"","family":"Wing","given":"S","non-dropping-particle":"","parse-names":false,"suffix":""},{"dropping-particle":"","family":"Diez Roux","given":"A","non-dropping-particle":"","parse-names":false,"suffix":""}],"container-title":"American Journal of Public Health","id":"ITEM-3","issue":"11","issued":{"date-parts":[["2002","11"]]},"page":"1761-1767","publisher":"American Public Health Association","title":"The contextual effect of the local food environment on residents' diets: the atherosclerosis risk in communities study.","type":"article-journal","volume":"92"},"uris":["http://www.mendeley.com/documents/?uuid=5a5ffb5d-b5e1-4065-92b1-2ab095422e43"]},{"id":"ITEM-4","itemData":{"DOI":"10.1017/S1368980007000079","ISSN":"1368-9800","PMID":"17582241","abstract":"OBJECTIVE Public health professionals continue to see the benefits of fruit and vegetable consumption on population health. While studies that evaluate the availability of produce are sparse in the medical literature, disparities in availability may explain the disproportional intake of produce for some people. Therefore, the purpose of this study was to evaluate the availability and variety of produce located in two racially and economically diverse urban neighbourhoods. DESIGN A cross-sectional study was conducted in which 50% of the supermarkets, small grocery stores, delicatessens, and fruit and vegetable markets located in specific neighbourhoods were randomly sampled and surveyed between September 2004 and July 2005. Food stores were evaluated for the availability of 20 types of fresh fruits and 19 types of fresh vegetables, as well as their varieties and whether they were canned, frozen or previously prepared. 2000 US Census information was used to determine characteristics of the geo-coded census tracts where the food stores were located. SETTING Brooklyn, New York. RESULTS A supermarket was located in approximately every third census tract in predominantly white areas (prevalence = 0.33) and every fourth census tract in racially mixed areas (prevalence = 0.27). There were no supermarkets located in the predominantly black areas. With the exception of bananas, potatoes, okra and yucca, a lower proportion of predominantly black area stores carried fresh produce, while supermarkets carried the largest variety of produce types. Canned and frozen fruits and vegetables were found in the majority of stores, whereas prepared and organic produce was limited to predominantly white area stores. CONCLUSIONS These data demonstrate that the availability and variety of fresh produce is associated with neighbourhood racial composition and may be a factor contributing to differences in intake among residents.","author":[{"dropping-particle":"","family":"Morland","given":"Kimberly","non-dropping-particle":"","parse-names":false,"suffix":""},{"dropping-particle":"","family":"Filomena","given":"Susan","non-dropping-particle":"","parse-names":false,"suffix":""}],"container-title":"Public Health Nutrition","id":"ITEM-4","issue":"12","issued":{"date-parts":[["2007","12"]]},"page":"1481-1489","title":"Disparities in the availability of fruits and vegetables between racially segregated urban neighbourhoods.","type":"article-journal","volume":"10"},"uris":["http://www.mendeley.com/documents/?uuid=a461bf12-9bcd-4480-906c-3bb6a6d3ec99"]}],"mendeley":{"formattedCitation":"(Beaulac et al., 2009; Gordon-Larsen and Popkin, 2011; Morland et al., 2002; Morland and Filomena, 2007)","plainTextFormattedCitation":"(Beaulac et al., 2009; Gordon-Larsen and Popkin, 2011; Morland et al., 2002; Morland and Filomena, 2007)","previouslyFormattedCitation":"(Beaulac et al., 2009; Gordon-Larsen and Popkin, 2011; Morland et al., 2002; Morland and Filomena, 2007)"},"properties":{"noteIndex":0},"schema":"https://github.com/citation-style-language/schema/raw/master/csl-citation.json"}</w:instrText>
      </w:r>
      <w:r w:rsidRPr="00220EE3">
        <w:rPr>
          <w:rFonts w:eastAsia="Times New Roman" w:cs="Times New Roman"/>
          <w:szCs w:val="24"/>
          <w:lang w:eastAsia="fi-FI"/>
        </w:rPr>
        <w:fldChar w:fldCharType="separate"/>
      </w:r>
      <w:r w:rsidR="00C12E6F" w:rsidRPr="00C12E6F">
        <w:rPr>
          <w:rFonts w:eastAsia="Times New Roman" w:cs="Times New Roman"/>
          <w:noProof/>
          <w:szCs w:val="24"/>
          <w:lang w:eastAsia="fi-FI"/>
        </w:rPr>
        <w:t>(Beaulac et al., 2009; Gordon-Larsen and Popkin, 2011; Morland et al., 2002; Morland and Filomena, 2007)</w:t>
      </w:r>
      <w:r w:rsidRPr="00220EE3">
        <w:rPr>
          <w:rFonts w:eastAsia="Times New Roman" w:cs="Times New Roman"/>
          <w:szCs w:val="24"/>
          <w:lang w:eastAsia="fi-FI"/>
        </w:rPr>
        <w:fldChar w:fldCharType="end"/>
      </w:r>
      <w:r w:rsidRPr="00220EE3">
        <w:rPr>
          <w:rFonts w:eastAsia="Times New Roman" w:cs="Times New Roman"/>
          <w:szCs w:val="24"/>
          <w:lang w:eastAsia="fi-FI"/>
        </w:rPr>
        <w:t>.</w:t>
      </w:r>
      <w:r w:rsidR="00F06556" w:rsidRPr="00220EE3">
        <w:rPr>
          <w:rFonts w:eastAsia="Times New Roman" w:cs="Times New Roman"/>
          <w:szCs w:val="24"/>
          <w:lang w:eastAsia="fi-FI"/>
        </w:rPr>
        <w:t xml:space="preserve"> </w:t>
      </w:r>
      <w:r w:rsidR="00EE6EAB" w:rsidRPr="00220EE3">
        <w:rPr>
          <w:rFonts w:eastAsia="Times New Roman" w:cs="Times New Roman"/>
          <w:szCs w:val="24"/>
          <w:lang w:eastAsia="fi-FI"/>
        </w:rPr>
        <w:t>For example, t</w:t>
      </w:r>
      <w:r w:rsidR="001D0647" w:rsidRPr="00220EE3">
        <w:rPr>
          <w:rFonts w:eastAsia="Times New Roman" w:cs="Times New Roman"/>
          <w:szCs w:val="24"/>
          <w:lang w:eastAsia="fi-FI"/>
        </w:rPr>
        <w:t>he availability of fast-food restaurants</w:t>
      </w:r>
      <w:r w:rsidR="00862F71">
        <w:rPr>
          <w:rFonts w:eastAsia="Times New Roman" w:cs="Times New Roman"/>
          <w:szCs w:val="24"/>
          <w:lang w:eastAsia="fi-FI"/>
        </w:rPr>
        <w:t>,</w:t>
      </w:r>
      <w:r w:rsidR="00EE6EAB" w:rsidRPr="00220EE3">
        <w:rPr>
          <w:rFonts w:eastAsia="Times New Roman" w:cs="Times New Roman"/>
          <w:szCs w:val="24"/>
          <w:lang w:eastAsia="fi-FI"/>
        </w:rPr>
        <w:t xml:space="preserve"> and</w:t>
      </w:r>
      <w:r w:rsidR="001D0647" w:rsidRPr="00220EE3">
        <w:rPr>
          <w:rFonts w:eastAsia="Times New Roman" w:cs="Times New Roman"/>
          <w:szCs w:val="24"/>
          <w:lang w:eastAsia="fi-FI"/>
        </w:rPr>
        <w:t xml:space="preserve"> energy-dense foods and </w:t>
      </w:r>
      <w:r w:rsidR="001D0647" w:rsidRPr="00220EE3">
        <w:t xml:space="preserve">food sources </w:t>
      </w:r>
      <w:r w:rsidR="00EE6EAB" w:rsidRPr="00220EE3">
        <w:t>is</w:t>
      </w:r>
      <w:r w:rsidR="001D0647" w:rsidRPr="00220EE3">
        <w:rPr>
          <w:rFonts w:eastAsia="Times New Roman" w:cs="Times New Roman"/>
          <w:szCs w:val="24"/>
          <w:lang w:eastAsia="fi-FI"/>
        </w:rPr>
        <w:t xml:space="preserve"> </w:t>
      </w:r>
      <w:r w:rsidR="0062011A" w:rsidRPr="00220EE3">
        <w:rPr>
          <w:rFonts w:eastAsia="Times New Roman" w:cs="Times New Roman"/>
          <w:szCs w:val="24"/>
          <w:lang w:eastAsia="fi-FI"/>
        </w:rPr>
        <w:t xml:space="preserve">often </w:t>
      </w:r>
      <w:r w:rsidR="001D0647" w:rsidRPr="00220EE3">
        <w:rPr>
          <w:rFonts w:eastAsia="Times New Roman" w:cs="Times New Roman"/>
          <w:szCs w:val="24"/>
          <w:lang w:eastAsia="fi-FI"/>
        </w:rPr>
        <w:t>greater in</w:t>
      </w:r>
      <w:r w:rsidR="00EE6EAB" w:rsidRPr="00220EE3">
        <w:rPr>
          <w:rFonts w:eastAsia="Times New Roman" w:cs="Times New Roman"/>
          <w:szCs w:val="24"/>
          <w:lang w:eastAsia="fi-FI"/>
        </w:rPr>
        <w:t xml:space="preserve"> lower</w:t>
      </w:r>
      <w:r w:rsidR="001D0647" w:rsidRPr="00220EE3">
        <w:rPr>
          <w:rFonts w:eastAsia="Times New Roman" w:cs="Times New Roman"/>
          <w:szCs w:val="24"/>
          <w:lang w:eastAsia="fi-FI"/>
        </w:rPr>
        <w:t>-income and minority neighborhoods</w:t>
      </w:r>
      <w:r w:rsidR="00EE6EAB" w:rsidRPr="00220EE3">
        <w:rPr>
          <w:rFonts w:eastAsia="Times New Roman" w:cs="Times New Roman"/>
          <w:szCs w:val="24"/>
          <w:lang w:eastAsia="fi-FI"/>
        </w:rPr>
        <w:t xml:space="preserve"> than in affluent neig</w:t>
      </w:r>
      <w:r w:rsidR="00343862" w:rsidRPr="00220EE3">
        <w:rPr>
          <w:rFonts w:eastAsia="Times New Roman" w:cs="Times New Roman"/>
          <w:szCs w:val="24"/>
          <w:lang w:eastAsia="fi-FI"/>
        </w:rPr>
        <w:t>h</w:t>
      </w:r>
      <w:r w:rsidR="00EE6EAB" w:rsidRPr="00220EE3">
        <w:rPr>
          <w:rFonts w:eastAsia="Times New Roman" w:cs="Times New Roman"/>
          <w:szCs w:val="24"/>
          <w:lang w:eastAsia="fi-FI"/>
        </w:rPr>
        <w:t>borhoods</w:t>
      </w:r>
      <w:r w:rsidR="006D0E3D" w:rsidRPr="00220EE3">
        <w:rPr>
          <w:rFonts w:eastAsia="Times New Roman" w:cs="Times New Roman"/>
          <w:szCs w:val="24"/>
          <w:lang w:eastAsia="fi-FI"/>
        </w:rPr>
        <w:t xml:space="preserve"> </w:t>
      </w:r>
      <w:r w:rsidR="001D0647" w:rsidRPr="00220EE3">
        <w:rPr>
          <w:rFonts w:eastAsia="Times New Roman" w:cs="Times New Roman"/>
          <w:szCs w:val="24"/>
          <w:lang w:eastAsia="fi-FI"/>
        </w:rPr>
        <w:fldChar w:fldCharType="begin" w:fldLock="1"/>
      </w:r>
      <w:r w:rsidR="00154AB2">
        <w:rPr>
          <w:rFonts w:eastAsia="Times New Roman" w:cs="Times New Roman"/>
          <w:szCs w:val="24"/>
          <w:lang w:eastAsia="fi-FI"/>
        </w:rPr>
        <w:instrText>ADDIN CSL_CITATION {"citationItems":[{"id":"ITEM-1","itemData":{"DOI":"10.1016/j.pmedr.2016.05.008","PMID":"27413663","abstract":"This study analyzed the impact of area residential property values, an objective measure of socioeconomic status (SES), on self-rated health (SRH) in Seattle, Washington and Paris, France. This study brings forth a valuable comparison of SRH between cities that have contrasting urban forms, population compositions, residential segregation, food systems and transportation modes. The SOS (Seattle Obesity Study) was based on a representative sample of 1394 adult residents of Seattle and King County in the United States. The RECORD Study (Residential Environment and Coronary Heart Disease) was based on 7131 adult residents of Paris and its suburbs in France. Socio-demographics, SRH and body weights were obtained from telephone surveys (SOS) and in-person interviews (RECORD). All home addresses were geocoded using ArcGIS 9.3.1 (ESRI, Redlands, CA). Residential property values were obtained from tax records (Seattle) and from real estate sales (Paris). Binary logistic regression models were used to test the associations among demographic and SES variables and SRH. Higher area property values significantly associated with better SRH, adjusting for age, gender, individual education, incomes, and BMI. The associations were significant for both cities. A one-unit increase in body mass index (BMI) was more detrimental to SRH in Seattle than in Paris. In both cities, higher area residential property values were related to a significantly lower obesity risk and better SRH. Ranked residential property values can be useful for health and weight studies, including those involving social inequalities and cross-country comparisons.","author":[{"dropping-particle":"","family":"Jiao","given":"Junfeng","non-dropping-particle":"","parse-names":false,"suffix":""},{"dropping-particle":"","family":"Drewnowski","given":"Adam","non-dropping-particle":"","parse-names":false,"suffix":""},{"dropping-particle":"","family":"Moudon","given":"Anne Vernez","non-dropping-particle":"","parse-names":false,"suffix":""},{"dropping-particle":"","family":"Aggarwal","given":"Anju","non-dropping-particle":"","parse-names":false,"suffix":""},{"dropping-particle":"","family":"Oppert","given":"Jean-Michel","non-dropping-particle":"","parse-names":false,"suffix":""},{"dropping-particle":"","family":"Charreire","given":"Helene","non-dropping-particle":"","parse-names":false,"suffix":""},{"dropping-particle":"","family":"Chaix","given":"Basile","non-dropping-particle":"","parse-names":false,"suffix":""}],"container-title":"Preventive Medicine Reports","id":"ITEM-1","issued":{"date-parts":[["2016","12"]]},"page":"68-74","publisher":"Elsevier","title":"The impact of area residential property values on self-rated health: A cross-sectional comparative study of Seattle and Paris.","type":"article-journal","volume":"4"},"uris":["http://www.mendeley.com/documents/?uuid=2affa270-53b4-4035-928c-8c41195ff4cd"]},{"id":"ITEM-2","itemData":{"DOI":"10.2105/AJPH.2012.300865","ISSN":"1541-0048","PMID":"22813465","abstract":"Environmental justice is concerned with an equitable distribution of environmental burdens. These burdens comprise immediate health hazards as well as subtle inequities, such as limited access to healthy foods. We reviewed the literature on neighborhood disparities in access to fast-food outlets and convenience stores. Low-income neighborhoods offered greater access to food sources that promote unhealthy eating. The distribution of fast-food outlets and convenience stores differed by the racial/ethnic characteristics of the neighborhood. Further research is needed to address the limitations of current studies, identify effective policy actions to achieve environmental justice, and evaluate intervention strategies to promote lifelong healthy eating habits, optimum health, and vibrant communities.","author":[{"dropping-particle":"","family":"Hilmers","given":"Angela","non-dropping-particle":"","parse-names":false,"suffix":""},{"dropping-particle":"","family":"Hilmers","given":"David C","non-dropping-particle":"","parse-names":false,"suffix":""},{"dropping-particle":"","family":"Dave","given":"Jayna","non-dropping-particle":"","parse-names":false,"suffix":""}],"container-title":"American Journal of Public Health","id":"ITEM-2","issue":"9","issued":{"date-parts":[["2012","9"]]},"page":"1644-1654","publisher":"American Public Health Association","title":"Neighborhood disparities in access to healthy foods and their effects on environmental justice.","type":"article-journal","volume":"102"},"uris":["http://www.mendeley.com/documents/?uuid=4c3067a6-f4c2-4dc6-b532-1e1017478ca9"]},{"id":"ITEM-3","itemData":{"DOI":"10.1017/S1368980009004911","ISSN":"1368-9800","PMID":"19243671","abstract":"OBJECTIVE The present study examined the association between area socio-economic status (SES) and food purchasing behaviour. DESIGN Data were collected by mail survey (64.2 % response rate). Area SES was indicated by the proportion of households in each area earning less than $AUS 400 per week, and individual-level socio-economic position was measured using education, occupation and household income. Food purchasing was measured on the basis of compliance with dietary guideline recommendations (for grocery foods) and variety of fruit and vegetable purchase. Multilevel regression analysis examined the association between area SES and food purchase after adjustment for individual-level demographic (age, sex, household composition) and socio-economic factors. SETTING Melbourne city, Australia, 2003. SUBJECTS Residents of 2564 households located in fifty small areas. RESULTS Residents of low-SES areas were significantly less likely than their counterparts in advantaged areas to purchase grocery foods that were high in fibre and low in fat, salt and sugar; and they purchased a smaller variety of fruits. There was no evidence of an association between area SES and vegetable variety. CONCLUSIONS In Melbourne, area SES was associated with some food purchasing behaviours independent of individual-level factors, suggesting that areas in this city may be differentiated on the basis of food availability, accessibility and affordability, making the purchase of some types of foods more difficult in disadvantaged areas.","author":[{"dropping-particle":"","family":"Turrell","given":"Gavin","non-dropping-particle":"","parse-names":false,"suffix":""},{"dropping-particle":"","family":"Bentley","given":"Rebecca","non-dropping-particle":"","parse-names":false,"suffix":""},{"dropping-particle":"","family":"Thomas","given":"Lyndal R","non-dropping-particle":"","parse-names":false,"suffix":""},{"dropping-particle":"","family":"Jolley","given":"Damien","non-dropping-particle":"","parse-names":false,"suffix":""},{"dropping-particle":"","family":"Subramanian","given":"SV","non-dropping-particle":"","parse-names":false,"suffix":""},{"dropping-particle":"","family":"Kavanagh","given":"Anne M","non-dropping-particle":"","parse-names":false,"suffix":""}],"container-title":"Public Health Nutrition","id":"ITEM-3","issue":"11","issued":{"date-parts":[["2009","11"]]},"page":"2074-2083","title":"A multilevel study of area socio-economic status and food purchasing behaviour","type":"article-journal","volume":"12"},"uris":["http://www.mendeley.com/documents/?uuid=2a1d5eb5-1129-42e7-a61a-1497e64bfbec"]}],"mendeley":{"formattedCitation":"(Hilmers et al., 2012; Jiao et al., 2016; Turrell et al., 2009)","plainTextFormattedCitation":"(Hilmers et al., 2012; Jiao et al., 2016; Turrell et al., 2009)","previouslyFormattedCitation":"(Hilmers et al., 2012; Jiao et al., 2016; Turrell et al., 2009)"},"properties":{"noteIndex":0},"schema":"https://github.com/citation-style-language/schema/raw/master/csl-citation.json"}</w:instrText>
      </w:r>
      <w:r w:rsidR="001D0647" w:rsidRPr="00220EE3">
        <w:rPr>
          <w:rFonts w:eastAsia="Times New Roman" w:cs="Times New Roman"/>
          <w:szCs w:val="24"/>
          <w:lang w:eastAsia="fi-FI"/>
        </w:rPr>
        <w:fldChar w:fldCharType="separate"/>
      </w:r>
      <w:r w:rsidR="00C12E6F" w:rsidRPr="00C12E6F">
        <w:rPr>
          <w:rFonts w:eastAsia="Times New Roman" w:cs="Times New Roman"/>
          <w:noProof/>
          <w:szCs w:val="24"/>
          <w:lang w:eastAsia="fi-FI"/>
        </w:rPr>
        <w:t>(Hilmers et al., 2012; Jiao et al., 2016; Turrell et al., 2009)</w:t>
      </w:r>
      <w:r w:rsidR="001D0647" w:rsidRPr="00220EE3">
        <w:rPr>
          <w:rFonts w:eastAsia="Times New Roman" w:cs="Times New Roman"/>
          <w:szCs w:val="24"/>
          <w:lang w:eastAsia="fi-FI"/>
        </w:rPr>
        <w:fldChar w:fldCharType="end"/>
      </w:r>
      <w:r w:rsidR="001D0647" w:rsidRPr="00220EE3">
        <w:t xml:space="preserve">. </w:t>
      </w:r>
    </w:p>
    <w:p w14:paraId="5241600E" w14:textId="77777777" w:rsidR="001D0647" w:rsidRPr="00220EE3" w:rsidRDefault="001D0647" w:rsidP="008C1A3C">
      <w:pPr>
        <w:spacing w:after="0" w:line="360" w:lineRule="auto"/>
        <w:rPr>
          <w:rFonts w:eastAsia="Times New Roman" w:cs="Times New Roman"/>
          <w:szCs w:val="24"/>
          <w:lang w:eastAsia="fi-FI"/>
        </w:rPr>
      </w:pPr>
    </w:p>
    <w:p w14:paraId="253B14C1" w14:textId="0C55E3E3" w:rsidR="00480C60" w:rsidRPr="00220EE3" w:rsidRDefault="00903173" w:rsidP="008C1A3C">
      <w:pPr>
        <w:widowControl w:val="0"/>
        <w:autoSpaceDE w:val="0"/>
        <w:autoSpaceDN w:val="0"/>
        <w:adjustRightInd w:val="0"/>
        <w:spacing w:after="0" w:line="360" w:lineRule="auto"/>
        <w:jc w:val="both"/>
        <w:rPr>
          <w:rFonts w:cs="Times New Roman"/>
          <w:szCs w:val="24"/>
        </w:rPr>
      </w:pPr>
      <w:r w:rsidRPr="00220EE3">
        <w:rPr>
          <w:rFonts w:eastAsia="Times New Roman" w:cs="Times New Roman"/>
          <w:szCs w:val="24"/>
          <w:lang w:eastAsia="fi-FI"/>
        </w:rPr>
        <w:t xml:space="preserve">Some research </w:t>
      </w:r>
      <w:r w:rsidR="00F06556" w:rsidRPr="00220EE3">
        <w:rPr>
          <w:rFonts w:eastAsia="Times New Roman" w:cs="Times New Roman"/>
          <w:szCs w:val="24"/>
          <w:lang w:eastAsia="fi-FI"/>
        </w:rPr>
        <w:t xml:space="preserve">also </w:t>
      </w:r>
      <w:r w:rsidRPr="00220EE3">
        <w:rPr>
          <w:rFonts w:eastAsia="Times New Roman" w:cs="Times New Roman"/>
          <w:szCs w:val="24"/>
          <w:lang w:eastAsia="fi-FI"/>
        </w:rPr>
        <w:t xml:space="preserve">suggests that neighborhood residents who have better access to supermarkets </w:t>
      </w:r>
      <w:r w:rsidR="00B34E4C" w:rsidRPr="00220EE3">
        <w:rPr>
          <w:rFonts w:eastAsia="Times New Roman" w:cs="Times New Roman"/>
          <w:szCs w:val="24"/>
          <w:lang w:eastAsia="fi-FI"/>
        </w:rPr>
        <w:t xml:space="preserve">with a large variety of healthy foods </w:t>
      </w:r>
      <w:r w:rsidRPr="00220EE3">
        <w:rPr>
          <w:rFonts w:eastAsia="Times New Roman" w:cs="Times New Roman"/>
          <w:szCs w:val="24"/>
          <w:lang w:eastAsia="fi-FI"/>
        </w:rPr>
        <w:t xml:space="preserve">and limited access to </w:t>
      </w:r>
      <w:r w:rsidR="00090699" w:rsidRPr="00220EE3">
        <w:rPr>
          <w:rFonts w:eastAsia="Times New Roman" w:cs="Times New Roman"/>
          <w:szCs w:val="24"/>
          <w:lang w:eastAsia="fi-FI"/>
        </w:rPr>
        <w:t xml:space="preserve">small </w:t>
      </w:r>
      <w:r w:rsidR="000C788F" w:rsidRPr="00220EE3">
        <w:rPr>
          <w:rFonts w:eastAsia="Times New Roman" w:cs="Times New Roman"/>
          <w:szCs w:val="24"/>
          <w:lang w:eastAsia="fi-FI"/>
        </w:rPr>
        <w:t xml:space="preserve">food stores </w:t>
      </w:r>
      <w:r w:rsidR="00F06556" w:rsidRPr="00220EE3">
        <w:rPr>
          <w:rFonts w:eastAsia="Times New Roman" w:cs="Times New Roman"/>
          <w:szCs w:val="24"/>
          <w:lang w:eastAsia="fi-FI"/>
        </w:rPr>
        <w:t>or fast-food restaurants</w:t>
      </w:r>
      <w:r w:rsidRPr="00220EE3">
        <w:rPr>
          <w:rFonts w:eastAsia="Times New Roman" w:cs="Times New Roman"/>
          <w:szCs w:val="24"/>
          <w:lang w:eastAsia="fi-FI"/>
        </w:rPr>
        <w:t xml:space="preserve"> tend to have healthier diets</w:t>
      </w:r>
      <w:r w:rsidR="000C788F" w:rsidRPr="00220EE3">
        <w:rPr>
          <w:rFonts w:eastAsia="Times New Roman" w:cs="Times New Roman"/>
          <w:szCs w:val="24"/>
          <w:lang w:eastAsia="fi-FI"/>
        </w:rPr>
        <w:t xml:space="preserve"> and even lower level of </w:t>
      </w:r>
      <w:r w:rsidR="00836CD9" w:rsidRPr="00220EE3">
        <w:rPr>
          <w:rFonts w:eastAsia="Times New Roman" w:cs="Times New Roman"/>
          <w:szCs w:val="24"/>
          <w:lang w:eastAsia="fi-FI"/>
        </w:rPr>
        <w:t>obesity</w:t>
      </w:r>
      <w:r w:rsidR="00343862" w:rsidRPr="00220EE3">
        <w:rPr>
          <w:rFonts w:eastAsia="Times New Roman" w:cs="Times New Roman"/>
          <w:szCs w:val="24"/>
          <w:lang w:eastAsia="fi-FI"/>
        </w:rPr>
        <w:t xml:space="preserve"> </w:t>
      </w:r>
      <w:r w:rsidR="00343862" w:rsidRPr="00220EE3">
        <w:rPr>
          <w:rFonts w:eastAsia="Times New Roman" w:cs="Times New Roman"/>
          <w:szCs w:val="24"/>
          <w:lang w:eastAsia="fi-FI"/>
        </w:rPr>
        <w:fldChar w:fldCharType="begin" w:fldLock="1"/>
      </w:r>
      <w:r w:rsidR="00154AB2">
        <w:rPr>
          <w:rFonts w:eastAsia="Times New Roman" w:cs="Times New Roman"/>
          <w:szCs w:val="24"/>
          <w:lang w:eastAsia="fi-FI"/>
        </w:rPr>
        <w:instrText>ADDIN CSL_CITATION {"citationItems":[{"id":"ITEM-1","itemData":{"DOI":"10.1016/j.healthplace.2013.09.015","ISSN":"1873-2054","PMID":"24200470","abstract":"This review summarises the evidence for inequalities in community and consumer nutrition environments from ten previous review articles, and also assesses the evidence for the effect of the community and consumer nutrition environments on dietary intake. There is evidence for inequalities in food access in the US but trends are less apparent in other developed countries. There is a trend for greater access and availability to healthy and less healthy foods relating to better and poorer dietary outcomes respectively. Trends for price show that higher prices of healthy foods are associated with better dietary outcomes. More nuanced measures of the food environment, including multidimensional and individualised approaches, would enhance the state of the evidence and help inform future interventions.","author":[{"dropping-particle":"","family":"Black","given":"Christina","non-dropping-particle":"","parse-names":false,"suffix":""},{"dropping-particle":"","family":"Moon","given":"Graham","non-dropping-particle":"","parse-names":false,"suffix":""},{"dropping-particle":"","family":"Baird","given":"Janis","non-dropping-particle":"","parse-names":false,"suffix":""}],"container-title":"Health &amp; Place","id":"ITEM-1","issued":{"date-parts":[["2014","5"]]},"page":"229-242","publisher":"Europe PMC Funders","title":"Dietary inequalities: what is the evidence for the effect of the neighbourhood food environment?","type":"article-journal","volume":"27"},"uris":["http://www.mendeley.com/documents/?uuid=1cbb1992-d9d6-4261-a317-6f936e51bbf1"]},{"id":"ITEM-2","itemData":{"DOI":"10.1016/j.amepre.2008.09.025","ISSN":"07493797","abstract":"BACKGROUND Poor dietary patterns and obesity, established risk factors for chronic disease, have been linked to neighborhood deprivation, neighborhood minority composition, and low area population density. Neighborhood differences in access to food may have an important influence on these relationships and health disparities in the U.S. This article reviews research relating to the presence, nature, and implications of neighborhood differences in access to food. METHODS A snowball strategy was used to identify relevant research studies (n=54) completed in the U.S. and published between 1985 and April 2008. RESULTS Research suggests that neighborhood residents who have better access to supermarkets and limited access to convenience stores tend to have healthier diets and lower levels of obesity. Results from studies examining the accessibility of restaurants are less consistent, but there is some evidence to suggest that residents with limited access to fast-food restaurants have healthier diets and lower levels of obesity. National and local studies across the U.S. suggest that residents of low-income, minority, and rural neighborhoods are most often affected by poor access to supermarkets and healthful food. In contrast, the availability of fast-food restaurants and energy-dense foods has been found to be greater in lower-income and minority neighborhoods. CONCLUSIONS Neighborhood disparities in access to food are of great concern because of their potential to influence dietary intake and obesity. Additional research is needed to address various limitations of current studies, identify effective policy actions, and evaluate intervention strategies designed to promote more equitable access to healthy foods.","author":[{"dropping-particle":"","family":"Larson","given":"Nicole I.","non-dropping-particle":"","parse-names":false,"suffix":""},{"dropping-particle":"","family":"Story","given":"Mary T.","non-dropping-particle":"","parse-names":false,"suffix":""},{"dropping-particle":"","family":"Nelson","given":"Melissa C.","non-dropping-particle":"","parse-names":false,"suffix":""}],"container-title":"American Journal of Preventive Medicine","id":"ITEM-2","issue":"1","issued":{"date-parts":[["2009"]]},"page":"74-81","title":"Neighborhood Environments: Disparities in Access to Healthy Foods in the U.S.","type":"article-journal","volume":"36"},"uris":["http://www.mendeley.com/documents/?uuid=aa262914-3bd9-4f02-9f8f-137e35e85dd9"]},{"id":"ITEM-3","itemData":{"DOI":"10.1016/j.healthplace.2015.02.012","ISSN":"1873-2054","PMID":"25841285","abstract":"Socioeconomic disparities in the food environment are known to exist but with little understanding of change over time. This study investigated the density of takeaway food outlets and presence of supermarkets in Norfolk, UK between 1990 and 2008. Data on food retail outlet locations were collected from telephone directories and aggregated within electoral wards. Supermarket presence was not associated with area deprivation over time. Takeaway food outlet density increased overall, and was significantly higher in more deprived areas at all time points; furthermore, socioeconomic disparities in takeaway food outlet density increased across the study period. These findings add to existing evidence and help assess the need for environmental interventions to reduce disparities in the prevalence of unhealthy food outlets.","author":[{"dropping-particle":"","family":"Maguire","given":"Eva R","non-dropping-particle":"","parse-names":false,"suffix":""},{"dropping-particle":"","family":"Burgoine","given":"Thomas","non-dropping-particle":"","parse-names":false,"suffix":""},{"dropping-particle":"","family":"Monsivais","given":"Pablo","non-dropping-particle":"","parse-names":false,"suffix":""}],"container-title":"Health &amp; Place","id":"ITEM-3","issued":{"date-parts":[["2015","5"]]},"page":"142-147","publisher":"Elsevier","title":"Area deprivation and the food environment over time: A repeated cross-sectional study on takeaway outlet density and supermarket presence in Norfolk, UK, 1990-2008.","type":"article-journal","volume":"33"},"uris":["http://www.mendeley.com/documents/?uuid=a0b77111-b9cf-4dd4-9bc0-d1ecafe85de0"]},{"id":"ITEM-4","itemData":{"DOI":"10.1136/jech.2006.051680","ISSN":"0143-005X","PMID":"17496257","abstract":"OBJECTIVE To determine whether socioeconomic and food-related physical characteristics of the neighbourhood are associated with body mass index (BMI; kg/m(2)) independently of individual-level sociodemographic and behavioural characteristics. DESIGN AND METHODS Observational study using (1) individual-level data previously gathered in five cross-sectional surveys conducted by the Stanford Heart Disease Prevention Program between 1979 and 1990 and (2) neighbourhood-level data from (a) the census to describe socioeconomic characteristics and (b) data obtained from government and commercial sources to describe exposure to different types of retail food stores as measured by store proximity, and count of stores per square mile. Data were analysed using multilevel modelling procedures. The setting was 82 neighbourhoods in agricultural regions of California. PARTICIPANTS 7595 adults, aged 25-74 years. RESULTS After adjusting for age, gender, ethnicity, individual-level socioeconomic status, smoking, physical activity and nutrition knowledge, it was found that (1) adults who lived in low socioeconomic neighbourhoods had a higher mean BMI than adults who lived in high socioeconomic neighbourhoods; (2) higher neighbourhood density of small grocery stores was associated with higher BMI among women; and (3) closer proximity to chain supermarkets was associated with higher BMI among women. CONCLUSION Living in low socioeconomic neighbourhoods, and in environments where healthy food is not readily available, is found to be associated with increased obesity risk. Unlike other studies which examined populations in other parts of the US, a positive association between living close to supermarkets and reduced obesity risk was not found in this study. A better understanding of the mechanisms by which neighbourhood physical characteristics influence obesity risk is needed.","author":[{"dropping-particle":"","family":"Wang","given":"May C","non-dropping-particle":"","parse-names":false,"suffix":""},{"dropping-particle":"","family":"Kim","given":"Soowon","non-dropping-particle":"","parse-names":false,"suffix":""},{"dropping-particle":"","family":"Gonzalez","given":"Alma A","non-dropping-particle":"","parse-names":false,"suffix":""},{"dropping-particle":"","family":"MacLeod","given":"Kara E","non-dropping-particle":"","parse-names":false,"suffix":""},{"dropping-particle":"","family":"Winkleby","given":"Marilyn A","non-dropping-particle":"","parse-names":false,"suffix":""}],"container-title":"Journal of Epidemiology and Community Health","id":"ITEM-4","issue":"6","issued":{"date-parts":[["2007","6"]]},"page":"491-498","publisher":"BMJ Group","title":"Socioeconomic and food-related physical characteristics of the neighbourhood environment are associated with body mass index.","type":"article-journal","volume":"61"},"uris":["http://www.mendeley.com/documents/?uuid=5ebd3b89-db9b-4280-b95c-c193e79ce2e0"]}],"mendeley":{"formattedCitation":"(Black et al., 2014; Larson et al., 2009; Maguire et al., 2015; Wang et al., 2007)","plainTextFormattedCitation":"(Black et al., 2014; Larson et al., 2009; Maguire et al., 2015; Wang et al., 2007)","previouslyFormattedCitation":"(Black et al., 2014; Larson et al., 2009; Maguire et al., 2015; Wang et al., 2007)"},"properties":{"noteIndex":0},"schema":"https://github.com/citation-style-language/schema/raw/master/csl-citation.json"}</w:instrText>
      </w:r>
      <w:r w:rsidR="00343862" w:rsidRPr="00220EE3">
        <w:rPr>
          <w:rFonts w:eastAsia="Times New Roman" w:cs="Times New Roman"/>
          <w:szCs w:val="24"/>
          <w:lang w:eastAsia="fi-FI"/>
        </w:rPr>
        <w:fldChar w:fldCharType="separate"/>
      </w:r>
      <w:r w:rsidR="00C12E6F" w:rsidRPr="00C12E6F">
        <w:rPr>
          <w:rFonts w:eastAsia="Times New Roman" w:cs="Times New Roman"/>
          <w:noProof/>
          <w:szCs w:val="24"/>
          <w:lang w:eastAsia="fi-FI"/>
        </w:rPr>
        <w:t>(Black et al., 2014; Larson et al., 2009; Maguire et al., 2015; Wang et al., 2007)</w:t>
      </w:r>
      <w:r w:rsidR="00343862" w:rsidRPr="00220EE3">
        <w:rPr>
          <w:rFonts w:eastAsia="Times New Roman" w:cs="Times New Roman"/>
          <w:szCs w:val="24"/>
          <w:lang w:eastAsia="fi-FI"/>
        </w:rPr>
        <w:fldChar w:fldCharType="end"/>
      </w:r>
      <w:r w:rsidR="005953C4" w:rsidRPr="00220EE3">
        <w:rPr>
          <w:rFonts w:eastAsia="Times New Roman" w:cs="Times New Roman"/>
          <w:szCs w:val="24"/>
          <w:lang w:eastAsia="fi-FI"/>
        </w:rPr>
        <w:t xml:space="preserve">. </w:t>
      </w:r>
      <w:r w:rsidR="00914C71" w:rsidRPr="00220EE3">
        <w:rPr>
          <w:rFonts w:eastAsia="Times New Roman" w:cs="Times New Roman"/>
          <w:szCs w:val="24"/>
          <w:lang w:eastAsia="fi-FI"/>
        </w:rPr>
        <w:t>On the other hand,</w:t>
      </w:r>
      <w:r w:rsidR="008C7EF5" w:rsidRPr="00220EE3">
        <w:rPr>
          <w:rFonts w:cs="Times New Roman"/>
          <w:color w:val="131413"/>
          <w:szCs w:val="24"/>
        </w:rPr>
        <w:t xml:space="preserve"> a higher number of food destinations</w:t>
      </w:r>
      <w:r w:rsidR="00914C71" w:rsidRPr="00220EE3">
        <w:rPr>
          <w:rFonts w:cs="Times New Roman"/>
          <w:color w:val="131413"/>
          <w:szCs w:val="24"/>
        </w:rPr>
        <w:t xml:space="preserve"> </w:t>
      </w:r>
      <w:r w:rsidR="008C7EF5" w:rsidRPr="00220EE3">
        <w:rPr>
          <w:rFonts w:cs="Times New Roman"/>
          <w:color w:val="131413"/>
          <w:szCs w:val="24"/>
        </w:rPr>
        <w:t xml:space="preserve">within 400 m of home, regardless of </w:t>
      </w:r>
      <w:r w:rsidR="00AE3CBF">
        <w:rPr>
          <w:rFonts w:cs="Times New Roman"/>
          <w:color w:val="131413"/>
          <w:szCs w:val="24"/>
        </w:rPr>
        <w:t xml:space="preserve">the </w:t>
      </w:r>
      <w:r w:rsidR="008C7EF5" w:rsidRPr="00220EE3">
        <w:rPr>
          <w:rFonts w:cs="Times New Roman"/>
          <w:color w:val="131413"/>
          <w:szCs w:val="24"/>
        </w:rPr>
        <w:t>food destination</w:t>
      </w:r>
      <w:r w:rsidR="00914C71" w:rsidRPr="00220EE3">
        <w:rPr>
          <w:rFonts w:cs="Times New Roman"/>
          <w:color w:val="131413"/>
          <w:szCs w:val="24"/>
        </w:rPr>
        <w:t xml:space="preserve"> </w:t>
      </w:r>
      <w:r w:rsidR="008C7EF5" w:rsidRPr="00220EE3">
        <w:rPr>
          <w:rFonts w:cs="Times New Roman"/>
          <w:color w:val="131413"/>
          <w:szCs w:val="24"/>
        </w:rPr>
        <w:t xml:space="preserve">type, </w:t>
      </w:r>
      <w:r w:rsidR="00914C71" w:rsidRPr="00220EE3">
        <w:rPr>
          <w:rFonts w:eastAsia="Times New Roman" w:cs="Times New Roman"/>
          <w:szCs w:val="24"/>
          <w:lang w:eastAsia="fi-FI"/>
        </w:rPr>
        <w:t xml:space="preserve">has also been associated with better diet quality in adults </w:t>
      </w:r>
      <w:r w:rsidR="00914C71" w:rsidRPr="00220EE3">
        <w:rPr>
          <w:rFonts w:eastAsia="Times New Roman" w:cs="Times New Roman"/>
          <w:szCs w:val="24"/>
          <w:lang w:eastAsia="fi-FI"/>
        </w:rPr>
        <w:fldChar w:fldCharType="begin" w:fldLock="1"/>
      </w:r>
      <w:r w:rsidR="00154AB2">
        <w:rPr>
          <w:rFonts w:eastAsia="Times New Roman" w:cs="Times New Roman"/>
          <w:szCs w:val="24"/>
          <w:lang w:eastAsia="fi-FI"/>
        </w:rPr>
        <w:instrText>ADDIN CSL_CITATION {"citationItems":[{"id":"ITEM-1","itemData":{"DOI":"10.1186/s12889-016-3631-7","ISSN":"1471-2458","PMID":"27633380","abstract":"BACKGROUND The neighbourhood environment may play an important role in diet quality. Most previous research has examined the associations between neighbourhood food environment and diet quality, and neighbourhood socioeconomic status and diet quality separately. This study investigated the independent and joint effects of neighbourhood food environment and neighbourhood socioeconomic status in relation to diet quality in Canadian adults. METHODS We undertook a cross-sectional study with n = 446 adults in Calgary, Alberta (Canada). Individual-level data on diet and socio-demographic and health-related characteristics were captured from two self-report internet-based questionnaires, the Canadian Diet History Questionnaire II (C-DHQ II) and the Past Year Physical Activity Questionnaire (PAQ). Neighbourhood environment data were derived from dissemination area level Canadian Census data, and Geographical Information Systems (GIS) databases. Neighbourhood was defined as a 400 m network-based 'walkshed' around each participant's household. Using GIS we objectively-assessed the density, diversity, and presence of specific food destination types within the participant's walkshed. A seven variable socioeconomic deprivation index was derived from Canadian Census variables and estimated for each walkshed. The Canadian adapted Healthy Eating Index (C-HEI), used to assess diet quality was estimated from food intakes reported on C-DHQ II. Multivariable linear regression was used to test for associations between walkshed food environment variables, walkshed socioeconomic status, and diet quality (C-HEI), adjusting for individual level socio-demographic and health-related covariates. Interaction effects between walkshed socioeconomic status and walkshed food environment variables on diet quality (C-HEI) were also tested. RESULTS After adjustment for covariates, food destination density was positively associated with the C-HEI (β 0.06, 95 % CI 0.01-0.12, p = 0.04) though the magnitude of the association was small. Walkshed socioeconomic status was not significantly associated with the C-HEI. We found no statistically significant interactions between walkshed food environment variables and socioeconomic status in relation to the C-HEI. Self-reported physical and mental health, time spent in neighbourhood, and dog ownership were also significantly (p &lt; .05) associated with diet quality. CONCLUSIONS Our findings suggest that larger density of local food destinations may is…","author":[{"dropping-particle":"","family":"McInerney","given":"Maria","non-dropping-particle":"","parse-names":false,"suffix":""},{"dropping-particle":"","family":"Csizmadi","given":"Ilona","non-dropping-particle":"","parse-names":false,"suffix":""},{"dropping-particle":"","family":"Friedenreich","given":"Christine M","non-dropping-particle":"","parse-names":false,"suffix":""},{"dropping-particle":"","family":"Uribe","given":"Francisco Alaniz","non-dropping-particle":"","parse-names":false,"suffix":""},{"dropping-particle":"","family":"Nettel-Aguirre","given":"Alberto","non-dropping-particle":"","parse-names":false,"suffix":""},{"dropping-particle":"","family":"McLaren","given":"Lindsay","non-dropping-particle":"","parse-names":false,"suffix":""},{"dropping-particle":"","family":"Potestio","given":"Melissa","non-dropping-particle":"","parse-names":false,"suffix":""},{"dropping-particle":"","family":"Sandalack","given":"Beverly","non-dropping-particle":"","parse-names":false,"suffix":""},{"dropping-particle":"","family":"McCormack","given":"Gavin R","non-dropping-particle":"","parse-names":false,"suffix":""}],"container-title":"BMC Public Health","id":"ITEM-1","issued":{"date-parts":[["2016","9"]]},"page":"984-","publisher":"BioMed Central","title":"Associations between the neighbourhood food environment, neighbourhood socioeconomic status, and diet quality: An observational study.","type":"article-journal","volume":"16"},"uris":["http://www.mendeley.com/documents/?uuid=c79e57a5-a0ca-44b1-8739-f88f6e22c229"]}],"mendeley":{"formattedCitation":"(McInerney et al., 2016)","plainTextFormattedCitation":"(McInerney et al., 2016)","previouslyFormattedCitation":"(McInerney et al., 2016)"},"properties":{"noteIndex":0},"schema":"https://github.com/citation-style-language/schema/raw/master/csl-citation.json"}</w:instrText>
      </w:r>
      <w:r w:rsidR="00914C71" w:rsidRPr="00220EE3">
        <w:rPr>
          <w:rFonts w:eastAsia="Times New Roman" w:cs="Times New Roman"/>
          <w:szCs w:val="24"/>
          <w:lang w:eastAsia="fi-FI"/>
        </w:rPr>
        <w:fldChar w:fldCharType="separate"/>
      </w:r>
      <w:r w:rsidR="00C12E6F" w:rsidRPr="00C12E6F">
        <w:rPr>
          <w:rFonts w:eastAsia="Times New Roman" w:cs="Times New Roman"/>
          <w:noProof/>
          <w:szCs w:val="24"/>
          <w:lang w:eastAsia="fi-FI"/>
        </w:rPr>
        <w:t>(McInerney et al., 2016)</w:t>
      </w:r>
      <w:r w:rsidR="00914C71" w:rsidRPr="00220EE3">
        <w:rPr>
          <w:rFonts w:eastAsia="Times New Roman" w:cs="Times New Roman"/>
          <w:szCs w:val="24"/>
          <w:lang w:eastAsia="fi-FI"/>
        </w:rPr>
        <w:fldChar w:fldCharType="end"/>
      </w:r>
      <w:r w:rsidR="00914C71" w:rsidRPr="00220EE3">
        <w:rPr>
          <w:rFonts w:eastAsia="Times New Roman" w:cs="Times New Roman"/>
          <w:szCs w:val="24"/>
          <w:lang w:eastAsia="fi-FI"/>
        </w:rPr>
        <w:t>.</w:t>
      </w:r>
      <w:r w:rsidR="0089260C" w:rsidRPr="00220EE3">
        <w:rPr>
          <w:rFonts w:eastAsia="Times New Roman" w:cs="Times New Roman"/>
          <w:szCs w:val="24"/>
          <w:lang w:eastAsia="fi-FI"/>
        </w:rPr>
        <w:t xml:space="preserve"> In addition</w:t>
      </w:r>
      <w:r w:rsidR="00B34E4C" w:rsidRPr="00220EE3">
        <w:rPr>
          <w:rFonts w:eastAsia="Times New Roman" w:cs="Times New Roman"/>
          <w:szCs w:val="24"/>
          <w:lang w:eastAsia="fi-FI"/>
        </w:rPr>
        <w:t xml:space="preserve"> to the availability of food</w:t>
      </w:r>
      <w:r w:rsidR="0089260C" w:rsidRPr="00220EE3">
        <w:rPr>
          <w:rFonts w:eastAsia="Times New Roman" w:cs="Times New Roman"/>
          <w:szCs w:val="24"/>
          <w:lang w:eastAsia="fi-FI"/>
        </w:rPr>
        <w:t xml:space="preserve">, differences in food consumption can be explained by the cost of the </w:t>
      </w:r>
      <w:r w:rsidR="00125F74" w:rsidRPr="00220EE3">
        <w:rPr>
          <w:rFonts w:eastAsia="Times New Roman" w:cs="Times New Roman"/>
          <w:szCs w:val="24"/>
          <w:lang w:eastAsia="fi-FI"/>
        </w:rPr>
        <w:t>food products</w:t>
      </w:r>
      <w:r w:rsidR="0089260C" w:rsidRPr="00220EE3">
        <w:rPr>
          <w:rFonts w:eastAsia="Times New Roman" w:cs="Times New Roman"/>
          <w:szCs w:val="24"/>
          <w:lang w:eastAsia="fi-FI"/>
        </w:rPr>
        <w:t xml:space="preserve">. It has been shown that the higher cost of more nutritious diets may contribute to socioeconomic disparities in health </w:t>
      </w:r>
      <w:r w:rsidR="0089260C" w:rsidRPr="00220EE3">
        <w:rPr>
          <w:rFonts w:eastAsia="Times New Roman" w:cs="Times New Roman"/>
          <w:szCs w:val="24"/>
          <w:lang w:eastAsia="fi-FI"/>
        </w:rPr>
        <w:fldChar w:fldCharType="begin" w:fldLock="1"/>
      </w:r>
      <w:r w:rsidR="00154AB2">
        <w:rPr>
          <w:rFonts w:eastAsia="Times New Roman" w:cs="Times New Roman"/>
          <w:szCs w:val="24"/>
          <w:lang w:eastAsia="fi-FI"/>
        </w:rPr>
        <w:instrText>ADDIN CSL_CITATION {"citationItems":[{"id":"ITEM-1","itemData":{"DOI":"10.1136/jech.2010.122333","ISSN":"1470-2738","PMID":"21148819","abstract":"BACKGROUND Socio-economic disparities in nutrition are well documented. This study tested the hypothesis that socio-economic differences in nutrient intakes can be accounted for, in part, by diet cost. METHODS A representative sample of 1295 adults in King County (WA) was surveyed in 2008-2009, and usual dietary intakes were assessed based on a food-frequency questionnaire. The monetary value of individual diets was estimated using local retail supermarket prices for 384 foods. Nutrients of concern as identified by the 2005 Dietary Guidelines Advisory Committee were fibre, vitamins A, C and E, calcium, magnesium and potassium. A nutrient density score based on all seven nutrients was another dependent measure. General linear models and linear regressions were used to examine associations among education and income, nutrient density measure and diet cost. Analyses were conducted in 2009-2010. RESULTS Controlling for energy and other covariates, higher-cost diets were significantly higher in all seven nutrients and in overall nutrient density. Higher education and income were positively and significantly associated with the nutrient density measure, but these effects were greatly attenuated with the inclusion of the cost variable in the model. CONCLUSIONS Socio-economic differences in nutrient intake can be substantially explained by the monetary cost of the diet. The higher cost of more nutritious diets may contribute to socio-economic disparities in health and should be taken into account in the formulation of nutrition and public health policy.","author":[{"dropping-particle":"","family":"Monsivais","given":"Pablo","non-dropping-particle":"","parse-names":false,"suffix":""},{"dropping-particle":"","family":"Aggarwal","given":"Anju","non-dropping-particle":"","parse-names":false,"suffix":""},{"dropping-particle":"","family":"Drewnowski","given":"Adam","non-dropping-particle":"","parse-names":false,"suffix":""}],"container-title":"Journal of Epidemiology and Community Health","id":"ITEM-1","issue":"6","issued":{"date-parts":[["2012","6"]]},"page":"530-535","publisher":"NIH Public Access","title":"Are socio-economic disparities in diet quality explained by diet cost?","type":"article-journal","volume":"66"},"uris":["http://www.mendeley.com/documents/?uuid=208ef7cb-2c2b-4652-933f-f666581ef451"]}],"mendeley":{"formattedCitation":"(Monsivais et al., 2012)","plainTextFormattedCitation":"(Monsivais et al., 2012)","previouslyFormattedCitation":"(Monsivais et al., 2012)"},"properties":{"noteIndex":0},"schema":"https://github.com/citation-style-language/schema/raw/master/csl-citation.json"}</w:instrText>
      </w:r>
      <w:r w:rsidR="0089260C" w:rsidRPr="00220EE3">
        <w:rPr>
          <w:rFonts w:eastAsia="Times New Roman" w:cs="Times New Roman"/>
          <w:szCs w:val="24"/>
          <w:lang w:eastAsia="fi-FI"/>
        </w:rPr>
        <w:fldChar w:fldCharType="separate"/>
      </w:r>
      <w:r w:rsidR="00C12E6F" w:rsidRPr="00C12E6F">
        <w:rPr>
          <w:rFonts w:eastAsia="Times New Roman" w:cs="Times New Roman"/>
          <w:noProof/>
          <w:szCs w:val="24"/>
          <w:lang w:eastAsia="fi-FI"/>
        </w:rPr>
        <w:t>(Monsivais et al., 2012)</w:t>
      </w:r>
      <w:r w:rsidR="0089260C" w:rsidRPr="00220EE3">
        <w:rPr>
          <w:rFonts w:eastAsia="Times New Roman" w:cs="Times New Roman"/>
          <w:szCs w:val="24"/>
          <w:lang w:eastAsia="fi-FI"/>
        </w:rPr>
        <w:fldChar w:fldCharType="end"/>
      </w:r>
      <w:r w:rsidR="0089260C" w:rsidRPr="00220EE3">
        <w:rPr>
          <w:rFonts w:eastAsia="Times New Roman" w:cs="Times New Roman"/>
          <w:szCs w:val="24"/>
          <w:lang w:eastAsia="fi-FI"/>
        </w:rPr>
        <w:t>.</w:t>
      </w:r>
      <w:r w:rsidR="001B6146" w:rsidRPr="00220EE3">
        <w:rPr>
          <w:rFonts w:eastAsia="Times New Roman" w:cs="Times New Roman"/>
          <w:szCs w:val="24"/>
          <w:lang w:eastAsia="fi-FI"/>
        </w:rPr>
        <w:t xml:space="preserve"> </w:t>
      </w:r>
      <w:r w:rsidR="00F37144" w:rsidRPr="00220EE3">
        <w:rPr>
          <w:rFonts w:cs="Times New Roman"/>
          <w:color w:val="131413"/>
          <w:szCs w:val="24"/>
        </w:rPr>
        <w:t xml:space="preserve">It should be kept in mind, though, that </w:t>
      </w:r>
      <w:r w:rsidR="0062011A" w:rsidRPr="00220EE3">
        <w:rPr>
          <w:rFonts w:cs="Times New Roman"/>
          <w:color w:val="131413"/>
          <w:szCs w:val="24"/>
        </w:rPr>
        <w:t xml:space="preserve">a </w:t>
      </w:r>
      <w:r w:rsidR="00F37144" w:rsidRPr="00220EE3">
        <w:rPr>
          <w:rFonts w:cs="Times New Roman"/>
          <w:color w:val="131413"/>
          <w:szCs w:val="24"/>
        </w:rPr>
        <w:t>majority of the food environment studies are from the US where the</w:t>
      </w:r>
      <w:r w:rsidR="00480C60" w:rsidRPr="00220EE3">
        <w:rPr>
          <w:rFonts w:cs="Times New Roman"/>
          <w:szCs w:val="24"/>
        </w:rPr>
        <w:t xml:space="preserve"> relationships between socioeconomic factors and </w:t>
      </w:r>
      <w:r w:rsidR="00902EFB" w:rsidRPr="00220EE3">
        <w:rPr>
          <w:rFonts w:cs="Times New Roman"/>
          <w:szCs w:val="24"/>
        </w:rPr>
        <w:t>health</w:t>
      </w:r>
      <w:r w:rsidR="00480C60" w:rsidRPr="00220EE3">
        <w:rPr>
          <w:rFonts w:cs="Times New Roman"/>
          <w:szCs w:val="24"/>
        </w:rPr>
        <w:t xml:space="preserve"> may be </w:t>
      </w:r>
      <w:r w:rsidR="00480C60" w:rsidRPr="00220EE3">
        <w:rPr>
          <w:rFonts w:cs="Times New Roman"/>
          <w:szCs w:val="24"/>
        </w:rPr>
        <w:lastRenderedPageBreak/>
        <w:t xml:space="preserve">more observable than in other </w:t>
      </w:r>
      <w:r w:rsidR="00DC4243" w:rsidRPr="00220EE3">
        <w:rPr>
          <w:rFonts w:cs="Times New Roman"/>
          <w:szCs w:val="24"/>
        </w:rPr>
        <w:t>countries</w:t>
      </w:r>
      <w:r w:rsidR="00902EFB" w:rsidRPr="00220EE3">
        <w:rPr>
          <w:rFonts w:cs="Times New Roman"/>
          <w:szCs w:val="24"/>
        </w:rPr>
        <w:t xml:space="preserve"> </w:t>
      </w:r>
      <w:r w:rsidR="00902EFB" w:rsidRPr="00220EE3">
        <w:rPr>
          <w:rFonts w:cs="Times New Roman"/>
          <w:szCs w:val="24"/>
        </w:rPr>
        <w:fldChar w:fldCharType="begin" w:fldLock="1"/>
      </w:r>
      <w:r w:rsidR="003F71F0">
        <w:rPr>
          <w:rFonts w:cs="Times New Roman"/>
          <w:szCs w:val="24"/>
        </w:rPr>
        <w:instrText>ADDIN CSL_CITATION {"citationItems":[{"id":"ITEM-1","itemData":{"DOI":"10.1093/ije/dyi276","ISBN":"0300-5771","ISSN":"03005771","PMID":"16338945","abstract":"Recent observational studies have found that dietary patterns and obesity rates vary between neighbourhoods, with living in a low-income or deprived area independently associated with the prevalence of obesity and the consumption of a poor diet. Such associations have been consistently reported in countries such as the UK,20–24 The Netherlands,25,26 Sweden,27 Australia,28,29 US30–32, and Canada33. It has been suggested that this may be due to a process of ‘deprivation amplification’,34 whereby exposure to poor quality food environments amplifies individual risk factors for obesity such as low income, absence of transport, and poor cooking skills or knowledge. Environmental influences on diet are partly considered to involve two pathways: access to foods for home consumption from supermarkets and grocery stores, and access to ready made food for home and out-of-home consumption (e.g. takeaways, restaurants). In this commentary we review and assess the role of these two elements of the local food environment in producing the patterning of obesity by socioeconomic status. The picture from North America is thus reasonably consistent; places inhabited by poorer people and black people have poorer access to ‘healthier’ foods. However, the picture outside North America is different, the UK research undertaken in the late 1980s and early 1990s did suggest similar inequalities, with high prices and poor availability being associated with area deprivation.52–54 However, these findings were derived from mainly small-scale local surveys and in some cases data have been misintepreted by policy-makers.55 More recently, larger and more robust empirical observational studies in major urban centres in the UK have found no independent association between neighbourhood food retail provision, individual diet, and fruit and vegetable intake56,57; no differences in food price, food availability, and access to supermarkets between deprived and affluent areas58–60; and reasonable availability of a range of ‘healthy’ foods across contrasting urban areas.58,61 Researchers have also found that, in England, few low-income consumers report any problems in using supermarkets, despite transport difficulties, or perceived problems in the choice of shops or fruit and vegetables.62 Studies in Northern Ireland found that even though consumers who used small stores within their local area were at a price disadvantage,63 there was little evidence that consumers regarded travelling to edge-…","author":[{"dropping-particle":"","family":"Cummins","given":"Steven","non-dropping-particle":"","parse-names":false,"suffix":""},{"dropping-particle":"","family":"Macintyre","given":"Sally","non-dropping-particle":"","parse-names":false,"suffix":""}],"container-title":"International Journal of Epidemiology","id":"ITEM-1","issue":"1","issued":{"date-parts":[["2006","7"]]},"page":"100-104","publisher":"Oxford University Press","title":"Food environments and obesity - Neighbourhood or nation?","type":"article","volume":"35"},"uris":["http://www.mendeley.com/documents/?uuid=a9a34587-4855-4617-bb74-54d85365bde8"]}],"mendeley":{"formattedCitation":"(Cummins and Macintyre, 2006)","plainTextFormattedCitation":"(Cummins and Macintyre, 2006)","previouslyFormattedCitation":"(Cummins and Macintyre, 2006)"},"properties":{"noteIndex":0},"schema":"https://github.com/citation-style-language/schema/raw/master/csl-citation.json"}</w:instrText>
      </w:r>
      <w:r w:rsidR="00902EFB" w:rsidRPr="00220EE3">
        <w:rPr>
          <w:rFonts w:cs="Times New Roman"/>
          <w:szCs w:val="24"/>
        </w:rPr>
        <w:fldChar w:fldCharType="separate"/>
      </w:r>
      <w:r w:rsidR="00C12E6F" w:rsidRPr="00C12E6F">
        <w:rPr>
          <w:rFonts w:cs="Times New Roman"/>
          <w:noProof/>
          <w:szCs w:val="24"/>
        </w:rPr>
        <w:t>(Cummins and Macintyre, 2006)</w:t>
      </w:r>
      <w:r w:rsidR="00902EFB" w:rsidRPr="00220EE3">
        <w:rPr>
          <w:rFonts w:cs="Times New Roman"/>
          <w:szCs w:val="24"/>
        </w:rPr>
        <w:fldChar w:fldCharType="end"/>
      </w:r>
      <w:r w:rsidR="00902EFB" w:rsidRPr="00220EE3">
        <w:rPr>
          <w:rFonts w:cs="Times New Roman"/>
          <w:szCs w:val="24"/>
        </w:rPr>
        <w:t>.</w:t>
      </w:r>
      <w:r w:rsidR="00F37144" w:rsidRPr="00220EE3">
        <w:rPr>
          <w:rFonts w:cs="Times New Roman"/>
          <w:szCs w:val="24"/>
        </w:rPr>
        <w:t xml:space="preserve"> Thus, more research on the mechanisms between neighborhood SES and diet are needed.</w:t>
      </w:r>
      <w:r w:rsidR="00C13F44" w:rsidRPr="00220EE3">
        <w:rPr>
          <w:rFonts w:cs="Times New Roman"/>
          <w:szCs w:val="24"/>
        </w:rPr>
        <w:t xml:space="preserve"> However, </w:t>
      </w:r>
      <w:r w:rsidR="00EA068E" w:rsidRPr="00220EE3">
        <w:rPr>
          <w:rFonts w:cs="Times New Roman"/>
          <w:szCs w:val="24"/>
        </w:rPr>
        <w:t xml:space="preserve">even if the gradient related to neighborhood SES could </w:t>
      </w:r>
      <w:r w:rsidR="00EA068E">
        <w:rPr>
          <w:rFonts w:cs="Times New Roman"/>
          <w:szCs w:val="24"/>
        </w:rPr>
        <w:t xml:space="preserve">be attenuated </w:t>
      </w:r>
      <w:r w:rsidR="00EA068E" w:rsidRPr="00220EE3">
        <w:rPr>
          <w:rFonts w:cs="Times New Roman"/>
          <w:szCs w:val="24"/>
        </w:rPr>
        <w:t xml:space="preserve">by external measures, </w:t>
      </w:r>
      <w:r w:rsidR="00C13F44" w:rsidRPr="00220EE3">
        <w:rPr>
          <w:rFonts w:cs="Times New Roman"/>
          <w:szCs w:val="24"/>
        </w:rPr>
        <w:t xml:space="preserve">the adherence to dietary recommendations was </w:t>
      </w:r>
      <w:r w:rsidR="00EA068E" w:rsidRPr="00220EE3">
        <w:rPr>
          <w:rFonts w:cs="Times New Roman"/>
          <w:szCs w:val="24"/>
        </w:rPr>
        <w:t>overall</w:t>
      </w:r>
      <w:r w:rsidR="00C13F44" w:rsidRPr="00220EE3">
        <w:rPr>
          <w:rFonts w:cs="Times New Roman"/>
          <w:szCs w:val="24"/>
        </w:rPr>
        <w:t xml:space="preserve"> rather low, especially regarding consumption of fresh fruit</w:t>
      </w:r>
      <w:r w:rsidR="00AE3CBF">
        <w:rPr>
          <w:rFonts w:cs="Times New Roman"/>
          <w:szCs w:val="24"/>
        </w:rPr>
        <w:t>s</w:t>
      </w:r>
      <w:r w:rsidR="00C13F44" w:rsidRPr="00220EE3">
        <w:rPr>
          <w:rFonts w:cs="Times New Roman"/>
          <w:szCs w:val="24"/>
        </w:rPr>
        <w:t xml:space="preserve"> and berries</w:t>
      </w:r>
      <w:r w:rsidR="00EA068E">
        <w:rPr>
          <w:rFonts w:cs="Times New Roman"/>
          <w:szCs w:val="24"/>
        </w:rPr>
        <w:t>. Thus,</w:t>
      </w:r>
      <w:r w:rsidR="00C13F44" w:rsidRPr="00220EE3">
        <w:rPr>
          <w:rFonts w:cs="Times New Roman"/>
          <w:szCs w:val="24"/>
        </w:rPr>
        <w:t xml:space="preserve"> improving the general adherence to dietary recommendation remains</w:t>
      </w:r>
      <w:r w:rsidR="00AE3CBF">
        <w:rPr>
          <w:rFonts w:cs="Times New Roman"/>
          <w:szCs w:val="24"/>
        </w:rPr>
        <w:t xml:space="preserve"> </w:t>
      </w:r>
      <w:r w:rsidR="00CE5B10">
        <w:rPr>
          <w:rFonts w:cs="Times New Roman"/>
          <w:szCs w:val="24"/>
        </w:rPr>
        <w:t>a</w:t>
      </w:r>
      <w:r w:rsidR="00C13F44" w:rsidRPr="00220EE3">
        <w:rPr>
          <w:rFonts w:cs="Times New Roman"/>
          <w:szCs w:val="24"/>
        </w:rPr>
        <w:t xml:space="preserve"> challenge</w:t>
      </w:r>
      <w:r w:rsidR="00CE5B10">
        <w:rPr>
          <w:rFonts w:cs="Times New Roman"/>
          <w:szCs w:val="24"/>
        </w:rPr>
        <w:t xml:space="preserve"> of its own</w:t>
      </w:r>
      <w:r w:rsidR="00C13F44" w:rsidRPr="00220EE3">
        <w:rPr>
          <w:rFonts w:cs="Times New Roman"/>
          <w:szCs w:val="24"/>
        </w:rPr>
        <w:t xml:space="preserve">.  </w:t>
      </w:r>
    </w:p>
    <w:p w14:paraId="5593C185" w14:textId="77777777" w:rsidR="00F40B56" w:rsidRPr="00220EE3" w:rsidRDefault="00F40B56" w:rsidP="00F40B56">
      <w:pPr>
        <w:spacing w:after="0" w:line="360" w:lineRule="auto"/>
        <w:rPr>
          <w:rFonts w:cs="Times New Roman"/>
          <w:szCs w:val="24"/>
        </w:rPr>
      </w:pPr>
    </w:p>
    <w:p w14:paraId="2073F412" w14:textId="77777777" w:rsidR="00F40B56" w:rsidRPr="00C3543C" w:rsidRDefault="00F40B56" w:rsidP="00F40B56">
      <w:pPr>
        <w:autoSpaceDE w:val="0"/>
        <w:autoSpaceDN w:val="0"/>
        <w:adjustRightInd w:val="0"/>
        <w:spacing w:after="0" w:line="360" w:lineRule="auto"/>
        <w:rPr>
          <w:rFonts w:eastAsia="Times New Roman" w:cs="Times New Roman"/>
          <w:szCs w:val="24"/>
          <w:lang w:eastAsia="fi-FI"/>
        </w:rPr>
      </w:pPr>
      <w:r w:rsidRPr="00C3543C">
        <w:rPr>
          <w:rFonts w:eastAsia="Times New Roman" w:cs="Times New Roman"/>
          <w:szCs w:val="24"/>
          <w:lang w:eastAsia="fi-FI"/>
        </w:rPr>
        <w:t>The major strength of our study is the utilization a high resolution (250x250 m</w:t>
      </w:r>
      <w:r w:rsidRPr="00C3543C">
        <w:rPr>
          <w:rFonts w:eastAsia="Times New Roman" w:cs="Times New Roman"/>
          <w:szCs w:val="24"/>
          <w:vertAlign w:val="superscript"/>
          <w:lang w:eastAsia="fi-FI"/>
        </w:rPr>
        <w:t>2</w:t>
      </w:r>
      <w:r w:rsidRPr="00C3543C">
        <w:rPr>
          <w:rFonts w:eastAsia="Times New Roman" w:cs="Times New Roman"/>
          <w:szCs w:val="24"/>
          <w:lang w:eastAsia="fi-FI"/>
        </w:rPr>
        <w:t xml:space="preserve">) grid database linked to </w:t>
      </w:r>
      <w:r w:rsidRPr="00C3543C">
        <w:rPr>
          <w:rFonts w:eastAsia="Times New Roman"/>
          <w:lang w:eastAsia="fi-FI"/>
        </w:rPr>
        <w:t>data to all home addresses of the participants over a</w:t>
      </w:r>
      <w:r w:rsidRPr="00C3543C">
        <w:rPr>
          <w:rFonts w:eastAsia="Times New Roman" w:cs="Times New Roman"/>
          <w:szCs w:val="24"/>
          <w:lang w:eastAsia="fi-FI"/>
        </w:rPr>
        <w:t xml:space="preserve"> 6-year time window prior to the assessment of adherence to healthy diet. The chronological order of the exposure and outcome, as </w:t>
      </w:r>
      <w:r w:rsidRPr="00C3543C">
        <w:rPr>
          <w:rFonts w:eastAsia="Times New Roman" w:cs="Times New Roman"/>
          <w:szCs w:val="24"/>
          <w:lang w:eastAsia="fi-FI"/>
        </w:rPr>
        <w:lastRenderedPageBreak/>
        <w:t xml:space="preserve">well as the possibility to examine associations separately for non-movers and movers controlling for </w:t>
      </w:r>
      <w:r w:rsidRPr="00C3543C">
        <w:rPr>
          <w:rFonts w:eastAsia="Times New Roman"/>
          <w:lang w:eastAsia="fi-FI"/>
        </w:rPr>
        <w:t>individual-level sociodemographic factors</w:t>
      </w:r>
      <w:r w:rsidRPr="00C3543C">
        <w:rPr>
          <w:rFonts w:eastAsia="Times New Roman" w:cs="Times New Roman"/>
          <w:szCs w:val="24"/>
          <w:lang w:eastAsia="fi-FI"/>
        </w:rPr>
        <w:t xml:space="preserve"> add to the validity of our findings.</w:t>
      </w:r>
    </w:p>
    <w:p w14:paraId="7ED412E0" w14:textId="77777777" w:rsidR="00480C60" w:rsidRDefault="00480C60" w:rsidP="008C1A3C">
      <w:pPr>
        <w:spacing w:after="0" w:line="360" w:lineRule="auto"/>
        <w:rPr>
          <w:rFonts w:cs="Times New Roman"/>
          <w:szCs w:val="24"/>
        </w:rPr>
      </w:pPr>
    </w:p>
    <w:p w14:paraId="2546562E" w14:textId="622B6593" w:rsidR="00FF6137" w:rsidRDefault="00FF6137" w:rsidP="00FF6137">
      <w:pPr>
        <w:autoSpaceDE w:val="0"/>
        <w:autoSpaceDN w:val="0"/>
        <w:adjustRightInd w:val="0"/>
        <w:spacing w:after="0" w:line="360" w:lineRule="auto"/>
        <w:rPr>
          <w:rFonts w:cs="Times New Roman"/>
          <w:szCs w:val="24"/>
        </w:rPr>
      </w:pPr>
      <w:r w:rsidRPr="00220EE3">
        <w:rPr>
          <w:rFonts w:eastAsia="Times New Roman" w:cs="Times New Roman"/>
          <w:szCs w:val="24"/>
          <w:lang w:eastAsia="fi-FI"/>
        </w:rPr>
        <w:t xml:space="preserve">This study has also </w:t>
      </w:r>
      <w:r w:rsidR="005703E0">
        <w:rPr>
          <w:rFonts w:eastAsia="Times New Roman" w:cs="Times New Roman"/>
          <w:szCs w:val="24"/>
          <w:lang w:eastAsia="fi-FI"/>
        </w:rPr>
        <w:t>s</w:t>
      </w:r>
      <w:r w:rsidR="00C3543C">
        <w:rPr>
          <w:rFonts w:eastAsia="Times New Roman" w:cs="Times New Roman"/>
          <w:szCs w:val="24"/>
          <w:lang w:eastAsia="fi-FI"/>
        </w:rPr>
        <w:t>ome</w:t>
      </w:r>
      <w:r w:rsidRPr="00220EE3">
        <w:rPr>
          <w:rFonts w:eastAsia="Times New Roman" w:cs="Times New Roman"/>
          <w:szCs w:val="24"/>
          <w:lang w:eastAsia="fi-FI"/>
        </w:rPr>
        <w:t xml:space="preserve"> limitations.</w:t>
      </w:r>
      <w:r>
        <w:rPr>
          <w:rFonts w:eastAsia="Times New Roman" w:cs="Times New Roman"/>
          <w:szCs w:val="24"/>
          <w:lang w:eastAsia="fi-FI"/>
        </w:rPr>
        <w:t xml:space="preserve"> </w:t>
      </w:r>
      <w:r w:rsidRPr="00A63B36">
        <w:t>Measurement of dietary index at one time point only is a major limitation, although dietary patterns are quite consistent from childhood to adulthood</w:t>
      </w:r>
      <w:r w:rsidR="000E0562">
        <w:t xml:space="preserve"> </w:t>
      </w:r>
      <w:r w:rsidR="000E0562">
        <w:fldChar w:fldCharType="begin" w:fldLock="1"/>
      </w:r>
      <w:r w:rsidR="00B6296F">
        <w:instrText>ADDIN CSL_CITATION {"citationItems":[{"id":"ITEM-1","itemData":{"PMID":"16022763","abstract":"Dietary patterns are useful in nutritional epidemiology, providing a comprehensive alternative to the traditional approach based on single nutrients. The Cardiovascular Risk in Young Finns Study is a prospective cohort study with a 21-year follow-up. At baseline, detailed quantitative information on subjects’ food consumption was obtained using a 48 h dietary recall method (n 1768, aged 3–18 years). The interviews were repeated after 6 and 21 years (n 1200 and n 1037, respectively). We conducted a principal component analysis to identify major dietary patterns at each study point. A set of two similar patterns was recognised throughout the study. Pattern 1 was positively correlated with consumption of traditional Finnish foods, such as rye, potatoes, milk, butter, sausages and coffee, and negatively correlated with fruit, berries and dairy products other than milk. Pattern 1 type of diet was more common among male subjects, smokers and those living in rural areas. Pattern 2, predominant among female subjects, non-smokers and in urban areas, was characterised by more health-conscious food choices such as vegetables, legumes and nuts, tea, rye, cheese and other dairy products, and also by consumption of alcoholic beverages. Tracking of the pattern scores was observed, particularly among subjects who were adolescents at baseline. Of those originally belonging to the uppermost quintile of pattern 1 and 2 scores, 41 and 38% respectively, persisted in the same quintile 21 years later. Our results suggest that food behaviour and concrete food choices are established already in childhood or adolescence and may significantly track into adulthood.","author":[{"dropping-particle":"","family":"Mikkilä","given":"Vera","non-dropping-particle":"","parse-names":false,"suffix":""},{"dropping-particle":"","family":"Räsänen","given":"Leena","non-dropping-particle":"","parse-names":false,"suffix":""},{"dropping-particle":"","family":"Raitakari","given":"Olli T.","non-dropping-particle":"","parse-names":false,"suffix":""},{"dropping-particle":"","family":"Pietinen","given":"Pirjo","non-dropping-particle":"","parse-names":false,"suffix":""},{"dropping-particle":"","family":"Viikari","given":"Jorma","non-dropping-particle":"","parse-names":false,"suffix":""}],"container-title":"British Journal of Nutrition","id":"ITEM-1","issue":"2","issued":{"date-parts":[["2005"]]},"page":"923-931","title":"Consistent dietary patterns identified from childhood to adulthood: The Cardiovascular Risk in Young Finns Study","type":"article-journal","volume":"93"},"uris":["http://www.mendeley.com/documents/?uuid=97fb951d-c02b-4ad8-9043-a8422e248a4c"]},{"id":"ITEM-2","itemData":{"DOI":"10.1016/S2468-2667(18)30111-7","ISSN":"2468-2667","PMID":"30030110","abstract":"BACKGROUND Neighbourhood socioeconomic disadvantage has been linked to increased diabetes risk, but little is known about differences in risk factors in childhood and adulthood in those with high and low neighbourhood socioeconomic disadvantage, or about the association between long-term neighbourhood socioeconomic disadvantage and incidence of diabetes in adulthood. We used data from the prospective, population-based Young Finns Study to address these questions. METHODS We did a nationwide population-based cohort study in Finland using data from The Young Finns Study, which included 3467 participants aged 6-18 years followed up for over 30 years via eight repeated biomedical examinations and linkage to electronic health records. Participants were also linked to national grid data on neighbourhood disadvantage via their residential address from age 6-48 years. We used these data to examine differences in ten risk factors (dietary habits, physical activity, daily smoking, body-mass index, systolic blood pressure, fasting HDL cholesterol, fasting triglycerides, fasting plasma glucose, fasting serum insulin, and homoeostasis model assessment insulin sensitivity) from childhood (6-21 years) to adulthood (22-48 years) among individuals with high (&gt;0·5 SD above the national mean) and low (≥0·5 SD below the national mean) neighbourhood socioeconomic disadvantage, and the association of cumulative neighbourhood socioeconomic disadvantage with six cardiometabolic risk factors (obesity, high waist circumference, fatty liver, hypertension, carotid plaque, and left ventricle mass index) and diabetes by middle age (22-48 years). We used logistic and linear regression analyses to assess the effects of neighbourhood disadvantage on cardiometabolic and diabetes risk, controlling for potential confounders (age, sex, and individual socioeconomic disadvantage). FINDINGS We included data for 3002 individuals with risk factor assessment in childhood and adulthood. Of whom, 2048 underwent a clinical examination during the last follow-up at age 33-48 years. Differences in risk factors by neighbourhood socioeconomic disadvantage at the beginning of follow-up were small, but large differences emerged over the follow-up. High neighbourhood socioeconomic disadvantage was characterised by decreased fruit and vegetable intake as early as age 6 years, decreased physical activity, and increased prevalence of daily smoking from adolescence (12 years) onwards, and decreased homoeostasi…","author":[{"dropping-particle":"","family":"Kivimäki","given":"Mika","non-dropping-particle":"","parse-names":false,"suffix":""},{"dropping-particle":"","family":"Vahtera","given":"Jussi","non-dropping-particle":"","parse-names":false,"suffix":""},{"dropping-particle":"","family":"Tabák","given":"Adam G","non-dropping-particle":"","parse-names":false,"suffix":""},{"dropping-particle":"","family":"Halonen","given":"Jaana I","non-dropping-particle":"","parse-names":false,"suffix":""},{"dropping-particle":"","family":"Vineis","given":"Paolo","non-dropping-particle":"","parse-names":false,"suffix":""},{"dropping-particle":"","family":"Pentti","given":"Jaana","non-dropping-particle":"","parse-names":false,"suffix":""},{"dropping-particle":"","family":"Pahkala","given":"Katja","non-dropping-particle":"","parse-names":false,"suffix":""},{"dropping-particle":"","family":"Rovio","given":"Suvi","non-dropping-particle":"","parse-names":false,"suffix":""},{"dropping-particle":"","family":"Viikari","given":"Jorma","non-dropping-particle":"","parse-names":false,"suffix":""},{"dropping-particle":"","family":"Kähönen","given":"Mika","non-dropping-particle":"","parse-names":false,"suffix":""},{"dropping-particle":"","family":"Juonala","given":"Markus","non-dropping-particle":"","parse-names":false,"suffix":""},{"dropping-particle":"","family":"Ferrie","given":"Jane E","non-dropping-particle":"","parse-names":false,"suffix":""},{"dropping-particle":"","family":"Stringhini","given":"Silvia","non-dropping-particle":"","parse-names":false,"suffix":""},{"dropping-particle":"","family":"Raitakari","given":"Olli T","non-dropping-particle":"","parse-names":false,"suffix":""}],"container-title":"The Lancet. Public Health","id":"ITEM-2","issue":"8","issued":{"date-parts":[["2018","8"]]},"page":"e365-e373","publisher":"Elsevier","title":"Neighbourhood socioeconomic disadvantage, risk factors, and diabetes from childhood to middle age in the Young Finns Study: a cohort study.","type":"article-journal","volume":"3"},"uris":["http://www.mendeley.com/documents/?uuid=d42298d9-4834-39e0-b257-23544a0f928b"]}],"mendeley":{"formattedCitation":"(Kivimäki et al., 2018b; Mikkilä et al., 2005)","manualFormatting":"(Kivimäki et al., 2018; Mikkilä et al., 2005)","plainTextFormattedCitation":"(Kivimäki et al., 2018b; Mikkilä et al., 2005)","previouslyFormattedCitation":"(Kivimäki et al., 2018b; Mikkilä et al., 2005)"},"properties":{"noteIndex":0},"schema":"https://github.com/citation-style-language/schema/raw/master/csl-citation.json"}</w:instrText>
      </w:r>
      <w:r w:rsidR="000E0562">
        <w:fldChar w:fldCharType="separate"/>
      </w:r>
      <w:r w:rsidR="000E0562">
        <w:rPr>
          <w:noProof/>
        </w:rPr>
        <w:t>(Kivimäki et al., 2018</w:t>
      </w:r>
      <w:r w:rsidR="000E0562" w:rsidRPr="000E0562">
        <w:rPr>
          <w:noProof/>
        </w:rPr>
        <w:t>; Mikkilä et al., 2005)</w:t>
      </w:r>
      <w:r w:rsidR="000E0562">
        <w:fldChar w:fldCharType="end"/>
      </w:r>
      <w:r w:rsidR="00586521">
        <w:t>.</w:t>
      </w:r>
      <w:r w:rsidR="004748F6">
        <w:t xml:space="preserve"> </w:t>
      </w:r>
      <w:r w:rsidRPr="00A63B36">
        <w:t xml:space="preserve">  Thus, we cannot rule out selection (i.e. dietary preferences in selecting living environments) as an alternative explanation for our findings</w:t>
      </w:r>
      <w:r w:rsidRPr="00FF6137">
        <w:t xml:space="preserve">. Second, </w:t>
      </w:r>
      <w:r w:rsidRPr="00FF6137">
        <w:rPr>
          <w:rFonts w:eastAsia="Times New Roman" w:cs="Times New Roman"/>
          <w:szCs w:val="24"/>
          <w:lang w:eastAsia="fi-FI"/>
        </w:rPr>
        <w:t>w</w:t>
      </w:r>
      <w:r w:rsidRPr="00FF6137">
        <w:rPr>
          <w:rFonts w:eastAsia="Times New Roman"/>
          <w:szCs w:val="24"/>
          <w:lang w:eastAsia="fi-FI"/>
        </w:rPr>
        <w:t>e did not take into account clustering of similar observations at the neighborhood level</w:t>
      </w:r>
      <w:r w:rsidRPr="00FF6137">
        <w:rPr>
          <w:rFonts w:eastAsia="Times New Roman" w:cs="Times New Roman"/>
          <w:szCs w:val="24"/>
          <w:lang w:eastAsia="fi-FI"/>
        </w:rPr>
        <w:t xml:space="preserve"> in the analyses</w:t>
      </w:r>
      <w:r w:rsidRPr="00FF6137">
        <w:rPr>
          <w:rFonts w:eastAsia="Times New Roman"/>
          <w:szCs w:val="24"/>
          <w:lang w:eastAsia="fi-FI"/>
        </w:rPr>
        <w:t>. However, the population sample was not drawn from specific neighborhoods and the exposure was</w:t>
      </w:r>
      <w:r w:rsidRPr="00FF6137">
        <w:rPr>
          <w:rFonts w:eastAsia="Times New Roman"/>
          <w:lang w:eastAsia="fi-FI"/>
        </w:rPr>
        <w:t xml:space="preserve"> based on 6-year residential history that was used to calculate average level of and </w:t>
      </w:r>
      <w:r w:rsidRPr="00FF6137">
        <w:rPr>
          <w:rFonts w:eastAsia="Times New Roman"/>
          <w:lang w:eastAsia="fi-FI"/>
        </w:rPr>
        <w:lastRenderedPageBreak/>
        <w:t>temporal trends</w:t>
      </w:r>
      <w:r w:rsidRPr="00FF6137">
        <w:rPr>
          <w:rFonts w:eastAsia="Times New Roman"/>
          <w:szCs w:val="24"/>
          <w:lang w:eastAsia="fi-FI"/>
        </w:rPr>
        <w:t xml:space="preserve"> in neighborhood </w:t>
      </w:r>
      <w:r w:rsidRPr="00FF6137">
        <w:rPr>
          <w:rFonts w:eastAsia="Times New Roman"/>
          <w:lang w:eastAsia="fi-FI"/>
        </w:rPr>
        <w:t xml:space="preserve">SES. As there are </w:t>
      </w:r>
      <w:r w:rsidRPr="00FF6137">
        <w:rPr>
          <w:rFonts w:eastAsia="Times New Roman"/>
          <w:szCs w:val="24"/>
          <w:lang w:eastAsia="fi-FI"/>
        </w:rPr>
        <w:t>&gt;50,000 neighborhoods with at least 10 residents</w:t>
      </w:r>
      <w:r w:rsidRPr="00FF6137">
        <w:rPr>
          <w:rFonts w:eastAsia="Times New Roman"/>
          <w:lang w:eastAsia="fi-FI"/>
        </w:rPr>
        <w:t xml:space="preserve"> i</w:t>
      </w:r>
      <w:r w:rsidRPr="00FF6137">
        <w:rPr>
          <w:rFonts w:eastAsia="Times New Roman"/>
          <w:szCs w:val="24"/>
          <w:lang w:eastAsia="fi-FI"/>
        </w:rPr>
        <w:t>n the Statistics Finland’s grid database, clustering at the neighborhood-level is highly unlikely. Third, b</w:t>
      </w:r>
      <w:r w:rsidRPr="00FF6137">
        <w:rPr>
          <w:rFonts w:eastAsia="Times New Roman"/>
          <w:lang w:eastAsia="fi-FI"/>
        </w:rPr>
        <w:t xml:space="preserve">ecause our neighborhood data was from the Statistics Finland’s grid database for the year 2000, </w:t>
      </w:r>
      <w:r w:rsidRPr="00FF6137">
        <w:t>we could not take into account changes in neighborhoods in non-movers over time. However,</w:t>
      </w:r>
      <w:r w:rsidRPr="00FF6137">
        <w:rPr>
          <w:rFonts w:eastAsia="Times New Roman"/>
          <w:lang w:eastAsia="fi-FI"/>
        </w:rPr>
        <w:t xml:space="preserve"> relative differences between ne</w:t>
      </w:r>
      <w:r w:rsidR="009C3839">
        <w:rPr>
          <w:rFonts w:eastAsia="Times New Roman"/>
          <w:lang w:eastAsia="fi-FI"/>
        </w:rPr>
        <w:t>ighborhoods change slowly</w:t>
      </w:r>
      <w:r w:rsidR="009B31E5">
        <w:rPr>
          <w:rFonts w:eastAsia="Times New Roman"/>
          <w:lang w:eastAsia="fi-FI"/>
        </w:rPr>
        <w:t xml:space="preserve"> </w:t>
      </w:r>
      <w:r w:rsidR="009B31E5">
        <w:rPr>
          <w:rFonts w:eastAsia="Times New Roman"/>
          <w:lang w:eastAsia="fi-FI"/>
        </w:rPr>
        <w:fldChar w:fldCharType="begin" w:fldLock="1"/>
      </w:r>
      <w:r w:rsidR="00154AB2">
        <w:rPr>
          <w:rFonts w:eastAsia="Times New Roman"/>
          <w:lang w:eastAsia="fi-FI"/>
        </w:rPr>
        <w:instrText>ADDIN CSL_CITATION {"citationItems":[{"id":"ITEM-1","itemData":{"DOI":"10.1097/EDE.0000000000000530","ISBN":"0000000000000","ISSN":"15315487","PMID":"27337178","abstract":"BACKGROUND Evidence for an association between neighborhood disadvantage and smoking is mixed and mainly based on cross-sectional studies. To shed light on the causality of this association, we examined whether change in neighborhood socioeconomic disadvantage is associated with within-individual change in smoking behaviors. METHODS The study population comprised participants of the Finnish Public Sector study who reported a change in their smoking behavior between surveys in 2008/2009 and 2012/2013. We linked participants' residential addresses to a total population database on neighborhood disadvantage with 250 × 250-m resolution. The outcome variables were changes in smoking status (being a smoker vs. not) as well as the intensity (heavy/moderate vs. light smoker). We used longitudinal case-crossover design, a method that accounts for time-invariant confounders by design. We adjusted models for time-varying covariates. RESULTS Of the 3,443 participants, 1,714 quit, while 967 began to smoke between surveys. Smoking intensity increased among 398 and decreased among 364 participants. The level of neighborhood disadvantage changed for 1,078 participants because they moved residence. Increased disadvantage was associated with increased odds of being a smoker (odds ratio of taking up smoking 1.23 [95% confidence interval: 1.2, 1.5] per 1 SD increase in standardized national disadvantage score). Odds ratio for being a heavy/moderate (vs. light) smoker was 1.14 (95% confidence interval: 0.85, 1.52) when disadvantage increased by 1 SD. CONCLUSIONS These within-individual results link an increase in neighborhood socioeconomic disadvantage, due to move in residence, with subsequent smoking behaviors.","author":[{"dropping-particle":"","family":"Halonen","given":"Jaana I.","non-dropping-particle":"","parse-names":false,"suffix":""},{"dropping-particle":"","family":"Pulakka","given":"Anna","non-dropping-particle":"","parse-names":false,"suffix":""},{"dropping-particle":"","family":"Stenholm","given":"Sari","non-dropping-particle":"","parse-names":false,"suffix":""},{"dropping-particle":"","family":"Pentti","given":"Jaana","non-dropping-particle":"","parse-names":false,"suffix":""},{"dropping-particle":"","family":"Kawachi","given":"Ichiro","non-dropping-particle":"","parse-names":false,"suffix":""},{"dropping-particle":"","family":"Kivimäki","given":"Mika","non-dropping-particle":"","parse-names":false,"suffix":""},{"dropping-particle":"","family":"Vahtera","given":"Jussi","non-dropping-particle":"","parse-names":false,"suffix":""}],"container-title":"Epidemiology","id":"ITEM-1","issue":"6","issued":{"date-parts":[["2016"]]},"page":"803-809","title":"Change in neighborhood disadvantage and change in smoking behaviors in adults: A longitudinal, within-individual study","type":"article-journal","volume":"27"},"uris":["http://www.mendeley.com/documents/?uuid=b65bd798-9c77-41f7-9a64-42ce0db53c5d"]},{"id":"ITEM-2","itemData":{"DOI":"10.1016/S2468-2667(18)30111-7","ISSN":"2468-2667","PMID":"30030110","abstract":"BACKGROUND Neighbourhood socioeconomic disadvantage has been linked to increased diabetes risk, but little is known about differences in risk factors in childhood and adulthood in those with high and low neighbourhood socioeconomic disadvantage, or about the association between long-term neighbourhood socioeconomic disadvantage and incidence of diabetes in adulthood. We used data from the prospective, population-based Young Finns Study to address these questions. METHODS We did a nationwide population-based cohort study in Finland using data from The Young Finns Study, which included 3467 participants aged 6-18 years followed up for over 30 years via eight repeated biomedical examinations and linkage to electronic health records. Participants were also linked to national grid data on neighbourhood disadvantage via their residential address from age 6-48 years. We used these data to examine differences in ten risk factors (dietary habits, physical activity, daily smoking, body-mass index, systolic blood pressure, fasting HDL cholesterol, fasting triglycerides, fasting plasma glucose, fasting serum insulin, and homoeostasis model assessment insulin sensitivity) from childhood (6-21 years) to adulthood (22-48 years) among individuals with high (&gt;0·5 SD above the national mean) and low (≥0·5 SD below the national mean) neighbourhood socioeconomic disadvantage, and the association of cumulative neighbourhood socioeconomic disadvantage with six cardiometabolic risk factors (obesity, high waist circumference, fatty liver, hypertension, carotid plaque, and left ventricle mass index) and diabetes by middle age (22-48 years). We used logistic and linear regression analyses to assess the effects of neighbourhood disadvantage on cardiometabolic and diabetes risk, controlling for potential confounders (age, sex, and individual socioeconomic disadvantage). FINDINGS We included data for 3002 individuals with risk factor assessment in childhood and adulthood. Of whom, 2048 underwent a clinical examination during the last follow-up at age 33-48 years. Differences in risk factors by neighbourhood socioeconomic disadvantage at the beginning of follow-up were small, but large differences emerged over the follow-up. High neighbourhood socioeconomic disadvantage was characterised by decreased fruit and vegetable intake as early as age 6 years, decreased physical activity, and increased prevalence of daily smoking from adolescence (12 years) onwards, and decreased homoeostasi…","author":[{"dropping-particle":"","family":"Kivimäki","given":"Mika","non-dropping-particle":"","parse-names":false,"suffix":""},{"dropping-particle":"","family":"Vahtera","given":"Jussi","non-dropping-particle":"","parse-names":false,"suffix":""},{"dropping-particle":"","family":"Tabák","given":"Adam G","non-dropping-particle":"","parse-names":false,"suffix":""},{"dropping-particle":"","family":"Halonen","given":"Jaana I","non-dropping-particle":"","parse-names":false,"suffix":""},{"dropping-particle":"","family":"Vineis","given":"Paolo","non-dropping-particle":"","parse-names":false,"suffix":""},{"dropping-particle":"","family":"Pentti","given":"Jaana","non-dropping-particle":"","parse-names":false,"suffix":""},{"dropping-particle":"","family":"Pahkala","given":"Katja","non-dropping-particle":"","parse-names":false,"suffix":""},{"dropping-particle":"","family":"Rovio","given":"Suvi","non-dropping-particle":"","parse-names":false,"suffix":""},{"dropping-particle":"","family":"Viikari","given":"Jorma","non-dropping-particle":"","parse-names":false,"suffix":""},{"dropping-particle":"","family":"Kähönen","given":"Mika","non-dropping-particle":"","parse-names":false,"suffix":""},{"dropping-particle":"","family":"Juonala","given":"Markus","non-dropping-particle":"","parse-names":false,"suffix":""},{"dropping-particle":"","family":"Ferrie","given":"Jane E","non-dropping-particle":"","parse-names":false,"suffix":""},{"dropping-particle":"","family":"Stringhini","given":"Silvia","non-dropping-particle":"","parse-names":false,"suffix":""},{"dropping-particle":"","family":"Raitakari","given":"Olli T","non-dropping-particle":"","parse-names":false,"suffix":""}],"container-title":"The Lancet. Public Health","id":"ITEM-2","issue":"8","issued":{"date-parts":[["2018","8"]]},"page":"e365-e373","publisher":"Elsevier","title":"Neighbourhood socioeconomic disadvantage, risk factors, and diabetes from childhood to middle age in the Young Finns Study: a cohort study.","type":"article-journal","volume":"3"},"uris":["http://www.mendeley.com/documents/?uuid=d42298d9-4834-39e0-b257-23544a0f928b"]}],"mendeley":{"formattedCitation":"(Halonen et al., 2016; Kivimäki et al., 2018b)","manualFormatting":"(Halonen et al., 2016; Kivimäki et al., 2018)","plainTextFormattedCitation":"(Halonen et al., 2016; Kivimäki et al., 2018b)","previouslyFormattedCitation":"(Halonen et al., 2016; Kivimäki et al., 2018b)"},"properties":{"noteIndex":0},"schema":"https://github.com/citation-style-language/schema/raw/master/csl-citation.json"}</w:instrText>
      </w:r>
      <w:r w:rsidR="009B31E5">
        <w:rPr>
          <w:rFonts w:eastAsia="Times New Roman"/>
          <w:lang w:eastAsia="fi-FI"/>
        </w:rPr>
        <w:fldChar w:fldCharType="separate"/>
      </w:r>
      <w:r w:rsidR="009B31E5" w:rsidRPr="009B31E5">
        <w:rPr>
          <w:rFonts w:eastAsia="Times New Roman"/>
          <w:noProof/>
          <w:lang w:eastAsia="fi-FI"/>
        </w:rPr>
        <w:t>(Halonen et a</w:t>
      </w:r>
      <w:r w:rsidR="009B31E5">
        <w:rPr>
          <w:rFonts w:eastAsia="Times New Roman"/>
          <w:noProof/>
          <w:lang w:eastAsia="fi-FI"/>
        </w:rPr>
        <w:t>l., 2016; Kivimäki et al., 2018</w:t>
      </w:r>
      <w:r w:rsidR="009B31E5" w:rsidRPr="009B31E5">
        <w:rPr>
          <w:rFonts w:eastAsia="Times New Roman"/>
          <w:noProof/>
          <w:lang w:eastAsia="fi-FI"/>
        </w:rPr>
        <w:t>)</w:t>
      </w:r>
      <w:r w:rsidR="009B31E5">
        <w:rPr>
          <w:rFonts w:eastAsia="Times New Roman"/>
          <w:lang w:eastAsia="fi-FI"/>
        </w:rPr>
        <w:fldChar w:fldCharType="end"/>
      </w:r>
      <w:r w:rsidR="009B31E5">
        <w:rPr>
          <w:rFonts w:eastAsia="Times New Roman"/>
          <w:lang w:eastAsia="fi-FI"/>
        </w:rPr>
        <w:t>.</w:t>
      </w:r>
      <w:r w:rsidRPr="009C3839">
        <w:rPr>
          <w:rFonts w:eastAsia="Times New Roman"/>
          <w:lang w:eastAsia="fi-FI"/>
        </w:rPr>
        <w:t xml:space="preserve"> </w:t>
      </w:r>
      <w:r w:rsidRPr="00FF6137">
        <w:rPr>
          <w:rFonts w:eastAsia="Times New Roman"/>
          <w:lang w:eastAsia="fi-FI"/>
        </w:rPr>
        <w:t xml:space="preserve">Indeed, the correlation of relative neighborhood SES in 2000 with that in 2009 grid database is 0.78 suggesting that our findings are still valid. </w:t>
      </w:r>
      <w:r w:rsidRPr="00FF6137">
        <w:rPr>
          <w:rFonts w:eastAsia="Times New Roman"/>
          <w:szCs w:val="24"/>
          <w:lang w:eastAsia="fi-FI"/>
        </w:rPr>
        <w:t xml:space="preserve">Fourth, we had no </w:t>
      </w:r>
      <w:r w:rsidRPr="00A63B36">
        <w:rPr>
          <w:rFonts w:eastAsia="Times New Roman"/>
          <w:szCs w:val="24"/>
          <w:lang w:eastAsia="fi-FI"/>
        </w:rPr>
        <w:t>information about the reasons for moving from one neighborhood to another. If the same reason influenced dietary choices, then they could introduce bias to our results. In multivariable adjusted analyses, we could control for a number of such factors including chronic illnesses like cardio</w:t>
      </w:r>
      <w:r w:rsidRPr="00A63B36">
        <w:rPr>
          <w:rFonts w:eastAsia="Times New Roman"/>
          <w:szCs w:val="24"/>
          <w:lang w:eastAsia="fi-FI"/>
        </w:rPr>
        <w:lastRenderedPageBreak/>
        <w:t xml:space="preserve">vascular diseases and diabetes </w:t>
      </w:r>
      <w:r>
        <w:rPr>
          <w:rFonts w:eastAsia="Times New Roman"/>
          <w:szCs w:val="24"/>
          <w:lang w:eastAsia="fi-FI"/>
        </w:rPr>
        <w:t>that may</w:t>
      </w:r>
      <w:r w:rsidRPr="00A63B36">
        <w:rPr>
          <w:rFonts w:eastAsia="Times New Roman"/>
          <w:szCs w:val="24"/>
          <w:lang w:eastAsia="fi-FI"/>
        </w:rPr>
        <w:t xml:space="preserve"> require diet modification</w:t>
      </w:r>
      <w:r>
        <w:rPr>
          <w:rFonts w:eastAsia="Times New Roman"/>
          <w:szCs w:val="24"/>
          <w:lang w:eastAsia="fi-FI"/>
        </w:rPr>
        <w:t>,</w:t>
      </w:r>
      <w:r w:rsidRPr="00A63B36">
        <w:rPr>
          <w:rFonts w:eastAsia="Times New Roman"/>
          <w:szCs w:val="24"/>
          <w:lang w:eastAsia="fi-FI"/>
        </w:rPr>
        <w:t xml:space="preserve"> as well as severe financial difficulties, divorce and spousal bereavement.</w:t>
      </w:r>
      <w:r>
        <w:rPr>
          <w:rFonts w:eastAsia="Times New Roman"/>
          <w:szCs w:val="24"/>
          <w:lang w:eastAsia="fi-FI"/>
        </w:rPr>
        <w:t xml:space="preserve"> </w:t>
      </w:r>
      <w:r>
        <w:rPr>
          <w:rFonts w:eastAsia="Times New Roman" w:cs="Times New Roman"/>
          <w:szCs w:val="24"/>
          <w:lang w:eastAsia="fi-FI"/>
        </w:rPr>
        <w:t>Fifth,</w:t>
      </w:r>
      <w:r w:rsidRPr="00220EE3">
        <w:rPr>
          <w:rFonts w:eastAsia="Times New Roman" w:cs="Times New Roman"/>
          <w:szCs w:val="24"/>
          <w:lang w:eastAsia="fi-FI"/>
        </w:rPr>
        <w:t xml:space="preserve"> use of self-reported dietary data may have resulted in bias, as respondents may have systematically under- or over-reported the consumption of individual food items (social desirability). An additional limitation relates to the use of a brief food frequency questionnaire that was used to characterize the individual dietary patterns in general. Food frequency questionnaires may not adequately assess absolute intakes, but they are useful for ranking persons according to relative consumption within a study population </w:t>
      </w:r>
      <w:r w:rsidRPr="00220EE3">
        <w:rPr>
          <w:rFonts w:eastAsia="Times New Roman" w:cs="Times New Roman"/>
          <w:szCs w:val="24"/>
          <w:lang w:eastAsia="fi-FI"/>
        </w:rPr>
        <w:fldChar w:fldCharType="begin" w:fldLock="1"/>
      </w:r>
      <w:r w:rsidR="00154AB2">
        <w:rPr>
          <w:rFonts w:eastAsia="Times New Roman" w:cs="Times New Roman"/>
          <w:szCs w:val="24"/>
          <w:lang w:eastAsia="fi-FI"/>
        </w:rPr>
        <w:instrText>ADDIN CSL_CITATION {"citationItems":[{"id":"ITEM-1","itemData":{"ISSN":"0002-9165","PMID":"9989687","abstract":"BACKGROUND Recently, the analysis of dietary patterns has emerged as a possible approach to examining diet-disease relations. OBJECTIVE We examined the reproducibility and validity of dietary patterns defined by factor analysis using dietary data collected with a food-frequency questionnaire (FFQ). DESIGN We enrolled a subsample of men (n = 127) from the Health Professionals Follow-up Study in a diet-validation study in 1986. A 131-item FFQ was administered twice, 1 y apart, and two 1-wk diet records and blood samples were collected during this 1-y interval. RESULTS Using factor analysis, we identified 2 major eating patterns, which were qualitatively similar across the 2 FFQs and the diet records. The first factor, the prudent dietary pattern, was characterized by a high intake of vegetables, fruit, legumes, whole grains, and fish and other seafood, whereas the second factor, the Western pattern, was characterized by a high intake of processed meat, red meat, butter, high-fat dairy products, eggs, and refined grains. The reliability correlations for the factor scores between the 2 FFQs were 0.70 for the prudent pattern and 0.67 for the Western pattern. The correlations (corrected for week-to-week variation in diet records) between the 2 FFQs and diet records ranged from 0.45 to 0.74 for the 2 patterns. In addition, the correlations between the factor scores and nutrient intakes and plasma concentrations of biomarkers were in the expected direction. CONCLUSIONS These data indicate reasonable reproducibility and validity of the major dietary patterns defined by factor analysis with data from an FFQ.","author":[{"dropping-particle":"","family":"Hu","given":"F B","non-dropping-particle":"","parse-names":false,"suffix":""},{"dropping-particle":"","family":"Rimm","given":"E","non-dropping-particle":"","parse-names":false,"suffix":""},{"dropping-particle":"","family":"Smith-Warner","given":"S A","non-dropping-particle":"","parse-names":false,"suffix":""},{"dropping-particle":"","family":"Feskanich","given":"D","non-dropping-particle":"","parse-names":false,"suffix":""},{"dropping-particle":"","family":"Stampfer","given":"M J","non-dropping-particle":"","parse-names":false,"suffix":""},{"dropping-particle":"","family":"Ascherio","given":"A","non-dropping-particle":"","parse-names":false,"suffix":""},{"dropping-particle":"","family":"Sampson","given":"L","non-dropping-particle":"","parse-names":false,"suffix":""},{"dropping-particle":"","family":"Willett","given":"W C","non-dropping-particle":"","parse-names":false,"suffix":""}],"container-title":"The American Journal of Clinical Nutrition","id":"ITEM-1","issue":"2","issued":{"date-parts":[["1999","2"]]},"page":"243-249","publisher":"American Society for Nutrition","title":"Reproducibility and validity of dietary patterns assessed with a food-frequency questionnaire.","type":"article-journal","volume":"69"},"uris":["http://www.mendeley.com/documents/?uuid=ebf10fc9-cfac-46ea-aead-797b24013e56"]}],"mendeley":{"formattedCitation":"(Hu et al., 1999)","plainTextFormattedCitation":"(Hu et al., 1999)","previouslyFormattedCitation":"(Hu et al., 1999)"},"properties":{"noteIndex":0},"schema":"https://github.com/citation-style-language/schema/raw/master/csl-citation.json"}</w:instrText>
      </w:r>
      <w:r w:rsidRPr="00220EE3">
        <w:rPr>
          <w:rFonts w:eastAsia="Times New Roman" w:cs="Times New Roman"/>
          <w:szCs w:val="24"/>
          <w:lang w:eastAsia="fi-FI"/>
        </w:rPr>
        <w:fldChar w:fldCharType="separate"/>
      </w:r>
      <w:r w:rsidRPr="00C12E6F">
        <w:rPr>
          <w:rFonts w:eastAsia="Times New Roman" w:cs="Times New Roman"/>
          <w:noProof/>
          <w:szCs w:val="24"/>
          <w:lang w:eastAsia="fi-FI"/>
        </w:rPr>
        <w:t>(Hu et al., 1999)</w:t>
      </w:r>
      <w:r w:rsidRPr="00220EE3">
        <w:rPr>
          <w:rFonts w:eastAsia="Times New Roman" w:cs="Times New Roman"/>
          <w:szCs w:val="24"/>
          <w:lang w:eastAsia="fi-FI"/>
        </w:rPr>
        <w:fldChar w:fldCharType="end"/>
      </w:r>
      <w:r w:rsidRPr="00220EE3">
        <w:rPr>
          <w:rFonts w:eastAsia="Times New Roman" w:cs="Times New Roman"/>
          <w:szCs w:val="24"/>
          <w:lang w:eastAsia="fi-FI"/>
        </w:rPr>
        <w:t>. We included to our healthy eating index all those food groups</w:t>
      </w:r>
      <w:r>
        <w:rPr>
          <w:rFonts w:eastAsia="Times New Roman" w:cs="Times New Roman"/>
          <w:szCs w:val="24"/>
          <w:lang w:eastAsia="fi-FI"/>
        </w:rPr>
        <w:t xml:space="preserve"> for</w:t>
      </w:r>
      <w:r w:rsidRPr="00220EE3">
        <w:rPr>
          <w:rFonts w:eastAsia="Times New Roman" w:cs="Times New Roman"/>
          <w:szCs w:val="24"/>
          <w:lang w:eastAsia="fi-FI"/>
        </w:rPr>
        <w:t xml:space="preserve"> which the justification for the recommendation was obtained </w:t>
      </w:r>
      <w:r w:rsidRPr="00220EE3">
        <w:rPr>
          <w:rFonts w:eastAsia="Times New Roman" w:cs="Times New Roman"/>
          <w:szCs w:val="24"/>
          <w:lang w:eastAsia="fi-FI"/>
        </w:rPr>
        <w:fldChar w:fldCharType="begin" w:fldLock="1"/>
      </w:r>
      <w:r w:rsidR="009C3839">
        <w:rPr>
          <w:rFonts w:eastAsia="Times New Roman" w:cs="Times New Roman"/>
          <w:szCs w:val="24"/>
          <w:lang w:eastAsia="fi-FI"/>
        </w:rPr>
        <w:instrText>ADDIN CSL_CITATION {"citationItems":[{"id":"ITEM-1","itemData":{"DOI":"10.1080/1102680410003794","abstract":"The 4th edition of the Nordic Nutrition Recommendations, NNR 2004, gives the proportions between energy yielding nutrients, recommended daily intakes (RI) of certain vitamins and minerals, and reference values for energy intakes in different age and sex groups. Recommendations are also given for dietary fibre, salt and alcohol. Recommendations on daily physical activity are now included and interaction with physical activity has been taken into account for the individual nutrient recommendations wherever appropriate. For adults 30 minutes of daily physical activity of at least moderate intensity is recommended. More physical activity (about 60 minutes daily) with a moderate and/or vigorous intensity may be needed for prevention of weight gain. For children a minimum of 60 minutes of physical activity every day is recommended. As in the 3rd edition, the recommendation is to limit of the intake of saturated plus trans fatty acids to about 10% of the total energy intake (E%) and of the total fat intake to 30 E%. The intake of carbohydrate and dietary fibres should increase, while the intake of refined sugars should not exceed 10 E%. The RI for vitamin A (women) has been lowered, while it has been increased for vitamin D (children and adults up to 60 y), vitamin C (adults) and folate (women of reproductive age; pregnant and lactating women). NNR is to be used for planning and evaluation of diets, and as a basis for food and nutrition policy, teaching and dietary information.","author":[{"dropping-particle":"","family":"Becker","given":"Wulf","non-dropping-particle":"","parse-names":false,"suffix":""},{"dropping-particle":"","family":"Lyhne","given":"Niels","non-dropping-particle":"","parse-names":false,"suffix":""},{"dropping-particle":"","family":"Pedersen","given":"Agnes N","non-dropping-particle":"","parse-names":false,"suffix":""},{"dropping-particle":"","family":"Aro","given":"Antti","non-dropping-particle":"","parse-names":false,"suffix":""},{"dropping-particle":"","family":"Fogelholm","given":"Mikael","non-dropping-particle":"","parse-names":false,"suffix":""},{"dropping-particle":"","family":"Þhó","given":"Inga","non-dropping-particle":"","parse-names":false,"suffix":""},{"dropping-particle":"","family":"Alexander","given":"Jan","non-dropping-particle":"","parse-names":false,"suffix":""},{"dropping-particle":"","family":"Anderssen","given":"Sigmund A","non-dropping-particle":"","parse-names":false,"suffix":""},{"dropping-particle":"","family":"Meltzer","given":"Helle M","non-dropping-particle":"","parse-names":false,"suffix":""},{"dropping-particle":"","family":"Pedersen","given":"Jan I","non-dropping-particle":"","parse-names":false,"suffix":""}],"container-title":"Scandinavian Journal of Nutrition","id":"ITEM-1","issue":"4","issued":{"date-parts":[["2004"]]},"page":"178-187","title":"Nordic Nutrition Recommendations 2004 Á/ integrating nutrition and physical activity","type":"article-journal","volume":"48"},"uris":["http://www.mendeley.com/documents/?uuid=36f0fdad-d86d-4801-a604-67846b5249cf"]}],"mendeley":{"formattedCitation":"(Becker et al., 2004)","plainTextFormattedCitation":"(Becker et al., 2004)","previouslyFormattedCitation":"(Becker et al., 2004)"},"properties":{"noteIndex":0},"schema":"https://github.com/citation-style-language/schema/raw/master/csl-citation.json"}</w:instrText>
      </w:r>
      <w:r w:rsidRPr="00220EE3">
        <w:rPr>
          <w:rFonts w:eastAsia="Times New Roman" w:cs="Times New Roman"/>
          <w:szCs w:val="24"/>
          <w:lang w:eastAsia="fi-FI"/>
        </w:rPr>
        <w:fldChar w:fldCharType="separate"/>
      </w:r>
      <w:r w:rsidRPr="00C12E6F">
        <w:rPr>
          <w:rFonts w:eastAsia="Times New Roman" w:cs="Times New Roman"/>
          <w:noProof/>
          <w:szCs w:val="24"/>
          <w:lang w:eastAsia="fi-FI"/>
        </w:rPr>
        <w:t>(Becker et al., 2004)</w:t>
      </w:r>
      <w:r w:rsidRPr="00220EE3">
        <w:rPr>
          <w:rFonts w:eastAsia="Times New Roman" w:cs="Times New Roman"/>
          <w:szCs w:val="24"/>
          <w:lang w:eastAsia="fi-FI"/>
        </w:rPr>
        <w:fldChar w:fldCharType="end"/>
      </w:r>
      <w:r w:rsidRPr="00220EE3">
        <w:rPr>
          <w:rFonts w:eastAsia="Times New Roman" w:cs="Times New Roman"/>
          <w:szCs w:val="24"/>
          <w:lang w:eastAsia="fi-FI"/>
        </w:rPr>
        <w:t>. For example</w:t>
      </w:r>
      <w:r>
        <w:rPr>
          <w:rFonts w:eastAsia="Times New Roman" w:cs="Times New Roman"/>
          <w:szCs w:val="24"/>
          <w:lang w:eastAsia="fi-FI"/>
        </w:rPr>
        <w:t>,</w:t>
      </w:r>
      <w:r w:rsidRPr="00220EE3">
        <w:rPr>
          <w:rFonts w:eastAsia="Times New Roman" w:cs="Times New Roman"/>
          <w:szCs w:val="24"/>
          <w:lang w:eastAsia="fi-FI"/>
        </w:rPr>
        <w:t xml:space="preserve"> milk and milk products provide several nutrients,</w:t>
      </w:r>
      <w:r>
        <w:rPr>
          <w:rFonts w:eastAsia="Times New Roman" w:cs="Times New Roman"/>
          <w:szCs w:val="24"/>
          <w:lang w:eastAsia="fi-FI"/>
        </w:rPr>
        <w:t xml:space="preserve"> but</w:t>
      </w:r>
      <w:r w:rsidRPr="00220EE3">
        <w:rPr>
          <w:rFonts w:eastAsia="Times New Roman" w:cs="Times New Roman"/>
          <w:szCs w:val="24"/>
          <w:lang w:eastAsia="fi-FI"/>
        </w:rPr>
        <w:t xml:space="preserve"> also </w:t>
      </w:r>
      <w:r>
        <w:rPr>
          <w:rFonts w:eastAsia="Times New Roman" w:cs="Times New Roman"/>
          <w:szCs w:val="24"/>
          <w:lang w:eastAsia="fi-FI"/>
        </w:rPr>
        <w:t xml:space="preserve">a </w:t>
      </w:r>
      <w:r w:rsidRPr="00220EE3">
        <w:rPr>
          <w:rFonts w:eastAsia="Times New Roman" w:cs="Times New Roman"/>
          <w:szCs w:val="24"/>
          <w:lang w:eastAsia="fi-FI"/>
        </w:rPr>
        <w:t xml:space="preserve">lot of saturated fat, </w:t>
      </w:r>
      <w:r>
        <w:rPr>
          <w:rFonts w:eastAsia="Times New Roman" w:cs="Times New Roman"/>
          <w:szCs w:val="24"/>
          <w:lang w:eastAsia="fi-FI"/>
        </w:rPr>
        <w:t xml:space="preserve">which is why </w:t>
      </w:r>
      <w:r w:rsidRPr="00220EE3">
        <w:rPr>
          <w:rFonts w:eastAsia="Times New Roman" w:cs="Times New Roman"/>
          <w:szCs w:val="24"/>
          <w:lang w:eastAsia="fi-FI"/>
        </w:rPr>
        <w:t>use of low-fat variants</w:t>
      </w:r>
      <w:r>
        <w:rPr>
          <w:rFonts w:eastAsia="Times New Roman" w:cs="Times New Roman"/>
          <w:szCs w:val="24"/>
          <w:lang w:eastAsia="fi-FI"/>
        </w:rPr>
        <w:t xml:space="preserve"> is </w:t>
      </w:r>
      <w:r>
        <w:rPr>
          <w:rFonts w:eastAsia="Times New Roman" w:cs="Times New Roman"/>
          <w:szCs w:val="24"/>
          <w:lang w:eastAsia="fi-FI"/>
        </w:rPr>
        <w:lastRenderedPageBreak/>
        <w:t>recommended. We included fat free milk as that was the only low-fat variant in our questionnaire</w:t>
      </w:r>
      <w:r w:rsidRPr="00220EE3">
        <w:rPr>
          <w:rFonts w:eastAsia="Times New Roman" w:cs="Times New Roman"/>
          <w:szCs w:val="24"/>
          <w:lang w:eastAsia="fi-FI"/>
        </w:rPr>
        <w:t>. In</w:t>
      </w:r>
      <w:r>
        <w:rPr>
          <w:rFonts w:eastAsia="Times New Roman" w:cs="Times New Roman"/>
          <w:szCs w:val="24"/>
          <w:lang w:eastAsia="fi-FI"/>
        </w:rPr>
        <w:t xml:space="preserve"> addition</w:t>
      </w:r>
      <w:r w:rsidRPr="00220EE3">
        <w:rPr>
          <w:rFonts w:eastAsia="Times New Roman" w:cs="Times New Roman"/>
          <w:szCs w:val="24"/>
          <w:lang w:eastAsia="fi-FI"/>
        </w:rPr>
        <w:t>, consumption of moderate amount of lean meat was recommended</w:t>
      </w:r>
      <w:r>
        <w:rPr>
          <w:rFonts w:eastAsia="Times New Roman" w:cs="Times New Roman"/>
          <w:szCs w:val="24"/>
          <w:lang w:eastAsia="fi-FI"/>
        </w:rPr>
        <w:t>, for which we used consumption of chicken and turkey requested in our questionnaire</w:t>
      </w:r>
      <w:r w:rsidRPr="00220EE3">
        <w:rPr>
          <w:rFonts w:eastAsia="Times New Roman" w:cs="Times New Roman"/>
          <w:szCs w:val="24"/>
          <w:lang w:eastAsia="fi-FI"/>
        </w:rPr>
        <w:t xml:space="preserve">. </w:t>
      </w:r>
      <w:r w:rsidRPr="00220EE3">
        <w:rPr>
          <w:rStyle w:val="shorttext"/>
          <w:lang w:val="en"/>
        </w:rPr>
        <w:t xml:space="preserve">Supporting </w:t>
      </w:r>
      <w:r>
        <w:rPr>
          <w:rStyle w:val="shorttext"/>
          <w:lang w:val="en"/>
        </w:rPr>
        <w:t xml:space="preserve">the </w:t>
      </w:r>
      <w:r w:rsidRPr="00220EE3">
        <w:rPr>
          <w:rStyle w:val="shorttext"/>
          <w:lang w:val="en"/>
        </w:rPr>
        <w:t xml:space="preserve">validity of our </w:t>
      </w:r>
      <w:r>
        <w:rPr>
          <w:rStyle w:val="shorttext"/>
          <w:lang w:val="en"/>
        </w:rPr>
        <w:t xml:space="preserve">dietary </w:t>
      </w:r>
      <w:r w:rsidRPr="00220EE3">
        <w:rPr>
          <w:rStyle w:val="shorttext"/>
          <w:lang w:val="en"/>
        </w:rPr>
        <w:t>index</w:t>
      </w:r>
      <w:r w:rsidRPr="00220EE3">
        <w:rPr>
          <w:rFonts w:eastAsia="Times New Roman" w:cs="Times New Roman"/>
          <w:szCs w:val="24"/>
          <w:lang w:eastAsia="fi-FI"/>
        </w:rPr>
        <w:t>, we found that the higher the scores of</w:t>
      </w:r>
      <w:r>
        <w:rPr>
          <w:rFonts w:eastAsia="Times New Roman" w:cs="Times New Roman"/>
          <w:szCs w:val="24"/>
          <w:lang w:eastAsia="fi-FI"/>
        </w:rPr>
        <w:t xml:space="preserve"> the index, the </w:t>
      </w:r>
      <w:r w:rsidRPr="00220EE3">
        <w:rPr>
          <w:rFonts w:eastAsia="Times New Roman" w:cs="Times New Roman"/>
          <w:szCs w:val="24"/>
          <w:lang w:eastAsia="fi-FI"/>
        </w:rPr>
        <w:t>lower the ri</w:t>
      </w:r>
      <w:r>
        <w:rPr>
          <w:rFonts w:eastAsia="Times New Roman" w:cs="Times New Roman"/>
          <w:szCs w:val="24"/>
          <w:lang w:eastAsia="fi-FI"/>
        </w:rPr>
        <w:t>sk of death among participants was</w:t>
      </w:r>
      <w:r w:rsidRPr="00220EE3">
        <w:rPr>
          <w:rFonts w:eastAsia="Times New Roman" w:cs="Times New Roman"/>
          <w:szCs w:val="24"/>
          <w:lang w:eastAsia="fi-FI"/>
        </w:rPr>
        <w:t>. A</w:t>
      </w:r>
      <w:r w:rsidRPr="00220EE3">
        <w:rPr>
          <w:rFonts w:eastAsia="Times New Roman"/>
          <w:lang w:eastAsia="fi-FI"/>
        </w:rPr>
        <w:t xml:space="preserve">s poor diet is a leading risk factor for non-communicable diseases </w:t>
      </w:r>
      <w:r w:rsidRPr="00220EE3">
        <w:rPr>
          <w:rFonts w:eastAsia="Times New Roman"/>
          <w:lang w:eastAsia="fi-FI"/>
        </w:rPr>
        <w:fldChar w:fldCharType="begin" w:fldLock="1"/>
      </w:r>
      <w:r w:rsidR="009C3839">
        <w:rPr>
          <w:rFonts w:eastAsia="Times New Roman"/>
          <w:lang w:eastAsia="fi-FI"/>
        </w:rPr>
        <w:instrText>ADDIN CSL_CITATION {"citationItems":[{"id":"ITEM-1","itemData":{"DOI":"10.1016/S0140-6736(17)32366-8","ISSN":"01406736","author":[{"dropping-particle":"","family":"GBD 2016","given":"","non-dropping-particle":"","parse-names":false,"suffix":""},{"dropping-particle":"","family":"Collaborators","given":"","non-dropping-particle":"","parse-names":false,"suffix":""}],"container-title":"The Lancet","id":"ITEM-1","issue":"10100","issued":{"date-parts":[["2017","9"]]},"page":"1345-1422","title":"Global, regional, and national comparative risk assessment of 84 behavioural, environmental and occupational, and metabolic risks or clusters of risks, 1990–2016: a systematic analysis for the Global Burden of Disease Study 2016","type":"article-journal","volume":"390"},"uris":["http://www.mendeley.com/documents/?uuid=5b48c5dd-4707-46ea-9fd4-c9ed3f9d122e"]}],"mendeley":{"formattedCitation":"(GBD 2016 and Collaborators, 2017)","plainTextFormattedCitation":"(GBD 2016 and Collaborators, 2017)","previouslyFormattedCitation":"(GBD 2016 and Collaborators, 2017)"},"properties":{"noteIndex":0},"schema":"https://github.com/citation-style-language/schema/raw/master/csl-citation.json"}</w:instrText>
      </w:r>
      <w:r w:rsidRPr="00220EE3">
        <w:rPr>
          <w:rFonts w:eastAsia="Times New Roman"/>
          <w:lang w:eastAsia="fi-FI"/>
        </w:rPr>
        <w:fldChar w:fldCharType="separate"/>
      </w:r>
      <w:r w:rsidRPr="00C12E6F">
        <w:rPr>
          <w:rFonts w:eastAsia="Times New Roman"/>
          <w:noProof/>
          <w:lang w:eastAsia="fi-FI"/>
        </w:rPr>
        <w:t>(GBD 2016 and Collaborators, 2017)</w:t>
      </w:r>
      <w:r w:rsidRPr="00220EE3">
        <w:rPr>
          <w:rFonts w:eastAsia="Times New Roman"/>
          <w:lang w:eastAsia="fi-FI"/>
        </w:rPr>
        <w:fldChar w:fldCharType="end"/>
      </w:r>
      <w:r w:rsidRPr="00220EE3">
        <w:rPr>
          <w:rFonts w:eastAsia="Times New Roman"/>
          <w:lang w:eastAsia="fi-FI"/>
        </w:rPr>
        <w:t xml:space="preserve">, </w:t>
      </w:r>
      <w:r w:rsidRPr="00220EE3">
        <w:rPr>
          <w:rFonts w:cs="Times New Roman"/>
          <w:szCs w:val="24"/>
        </w:rPr>
        <w:t>our index</w:t>
      </w:r>
      <w:r>
        <w:rPr>
          <w:rFonts w:cs="Times New Roman"/>
          <w:szCs w:val="24"/>
        </w:rPr>
        <w:t xml:space="preserve"> assessing adherence to dietary recommendations</w:t>
      </w:r>
      <w:r w:rsidRPr="00220EE3">
        <w:rPr>
          <w:rFonts w:cs="Times New Roman"/>
          <w:szCs w:val="24"/>
        </w:rPr>
        <w:t xml:space="preserve"> obviously identify meaningful differences in dietary habits by neighborhood SES. </w:t>
      </w:r>
    </w:p>
    <w:p w14:paraId="1931C367" w14:textId="77777777" w:rsidR="006D245A" w:rsidRDefault="006D245A" w:rsidP="00AD708D">
      <w:pPr>
        <w:autoSpaceDE w:val="0"/>
        <w:autoSpaceDN w:val="0"/>
        <w:adjustRightInd w:val="0"/>
        <w:spacing w:after="0" w:line="360" w:lineRule="auto"/>
        <w:rPr>
          <w:rFonts w:cs="Times New Roman"/>
          <w:szCs w:val="24"/>
        </w:rPr>
      </w:pPr>
    </w:p>
    <w:p w14:paraId="3EA03DB9" w14:textId="213D5427" w:rsidR="00FF6137" w:rsidRPr="005703E0" w:rsidRDefault="00FF6137" w:rsidP="00FF6137">
      <w:pPr>
        <w:autoSpaceDE w:val="0"/>
        <w:autoSpaceDN w:val="0"/>
        <w:adjustRightInd w:val="0"/>
        <w:spacing w:after="0" w:line="360" w:lineRule="auto"/>
        <w:rPr>
          <w:highlight w:val="yellow"/>
        </w:rPr>
      </w:pPr>
      <w:r w:rsidRPr="00220EE3">
        <w:rPr>
          <w:rFonts w:eastAsia="Times New Roman" w:cs="Times New Roman"/>
          <w:szCs w:val="24"/>
          <w:lang w:eastAsia="fi-FI"/>
        </w:rPr>
        <w:t xml:space="preserve">Our </w:t>
      </w:r>
      <w:r w:rsidRPr="00220EE3">
        <w:rPr>
          <w:rFonts w:eastAsia="Times New Roman"/>
          <w:lang w:eastAsia="fi-FI"/>
        </w:rPr>
        <w:t>large population-based sample</w:t>
      </w:r>
      <w:r w:rsidRPr="00220EE3">
        <w:rPr>
          <w:rFonts w:eastAsia="Times New Roman" w:cs="Times New Roman"/>
          <w:szCs w:val="24"/>
          <w:lang w:eastAsia="fi-FI"/>
        </w:rPr>
        <w:t xml:space="preserve"> consisted mainly of individuals of European origin living in a welfare society, thus, the generalizability of our findings to other populations and cultures needs </w:t>
      </w:r>
      <w:r w:rsidRPr="00220EE3">
        <w:rPr>
          <w:rFonts w:eastAsia="Times New Roman" w:cs="Times New Roman"/>
          <w:szCs w:val="24"/>
          <w:lang w:eastAsia="fi-FI"/>
        </w:rPr>
        <w:lastRenderedPageBreak/>
        <w:t xml:space="preserve">to be confirmed in other studies. Generalizability to Finns is likely to be good as </w:t>
      </w:r>
      <w:r w:rsidRPr="00220EE3">
        <w:rPr>
          <w:szCs w:val="24"/>
        </w:rPr>
        <w:t>the overall consumption levels of the individual food items in this study</w:t>
      </w:r>
      <w:r w:rsidRPr="00220EE3">
        <w:rPr>
          <w:rFonts w:cs="Times New Roman"/>
          <w:szCs w:val="24"/>
        </w:rPr>
        <w:t xml:space="preserve"> population were in line with another population based study that assessed </w:t>
      </w:r>
      <w:r>
        <w:rPr>
          <w:rFonts w:cs="Times New Roman"/>
          <w:szCs w:val="24"/>
        </w:rPr>
        <w:t xml:space="preserve">food </w:t>
      </w:r>
      <w:r w:rsidRPr="00220EE3">
        <w:rPr>
          <w:rFonts w:cs="Times New Roman"/>
          <w:szCs w:val="24"/>
        </w:rPr>
        <w:t>c</w:t>
      </w:r>
      <w:r w:rsidRPr="00220EE3">
        <w:t>onsumption in Finland</w:t>
      </w:r>
      <w:r w:rsidRPr="00220EE3">
        <w:rPr>
          <w:rFonts w:cs="Times New Roman"/>
          <w:szCs w:val="24"/>
        </w:rPr>
        <w:t xml:space="preserve"> </w:t>
      </w:r>
      <w:r w:rsidRPr="00220EE3">
        <w:rPr>
          <w:rFonts w:cs="Times New Roman"/>
          <w:szCs w:val="24"/>
        </w:rPr>
        <w:fldChar w:fldCharType="begin" w:fldLock="1"/>
      </w:r>
      <w:r w:rsidR="009C3839">
        <w:rPr>
          <w:rFonts w:cs="Times New Roman"/>
          <w:szCs w:val="24"/>
        </w:rPr>
        <w:instrText>ADDIN CSL_CITATION {"citationItems":[{"id":"ITEM-1","itemData":{"ISBN":"9789522459503","abstract":"1","author":[{"dropping-particle":"","family":"Helldán","given":"Anni","non-dropping-particle":"","parse-names":false,"suffix":""},{"dropping-particle":"","family":"Raulio","given":"Susanna","non-dropping-particle":"","parse-names":false,"suffix":""},{"dropping-particle":"","family":"Kosola","given":"Mikko","non-dropping-particle":"","parse-names":false,"suffix":""},{"dropping-particle":"","family":"Tapanainen","given":"Heli","non-dropping-particle":"","parse-names":false,"suffix":""},{"dropping-particle":"","family":"Ovaskainen","given":"Marja-Leena","non-dropping-particle":"","parse-names":false,"suffix":""},{"dropping-particle":"","family":"Virtanen","given":"Suvi","non-dropping-particle":"","parse-names":false,"suffix":""}],"id":"ITEM-1","issued":{"date-parts":[["2013"]]},"number-of-pages":"219","title":"Finravinto 2012 -tutkimus The National FINDIET 2012 Survey","type":"book"},"uris":["http://www.mendeley.com/documents/?uuid=1495147f-1c4e-4fee-a5d4-dac8197dc6e9"]}],"mendeley":{"formattedCitation":"(Helldán et al., 2013)","plainTextFormattedCitation":"(Helldán et al., 2013)","previouslyFormattedCitation":"(Helldán et al., 2013)"},"properties":{"noteIndex":0},"schema":"https://github.com/citation-style-language/schema/raw/master/csl-citation.json"}</w:instrText>
      </w:r>
      <w:r w:rsidRPr="00220EE3">
        <w:rPr>
          <w:rFonts w:cs="Times New Roman"/>
          <w:szCs w:val="24"/>
        </w:rPr>
        <w:fldChar w:fldCharType="separate"/>
      </w:r>
      <w:r w:rsidRPr="00C12E6F">
        <w:rPr>
          <w:rFonts w:cs="Times New Roman"/>
          <w:noProof/>
          <w:szCs w:val="24"/>
        </w:rPr>
        <w:t>(Helldán et al., 2013)</w:t>
      </w:r>
      <w:r w:rsidRPr="00220EE3">
        <w:rPr>
          <w:rFonts w:cs="Times New Roman"/>
          <w:szCs w:val="24"/>
        </w:rPr>
        <w:fldChar w:fldCharType="end"/>
      </w:r>
      <w:r w:rsidRPr="00220EE3">
        <w:rPr>
          <w:rFonts w:cs="Times New Roman"/>
          <w:szCs w:val="24"/>
        </w:rPr>
        <w:t xml:space="preserve">. Also a rather good generalizability of the results to more affluent Western societies can </w:t>
      </w:r>
      <w:r w:rsidRPr="00290BC2">
        <w:rPr>
          <w:rFonts w:cs="Times New Roman"/>
          <w:szCs w:val="24"/>
        </w:rPr>
        <w:t xml:space="preserve">be anticipated being fairly good. </w:t>
      </w:r>
    </w:p>
    <w:p w14:paraId="0C8243E8" w14:textId="77777777" w:rsidR="00575294" w:rsidRPr="001E31FC" w:rsidRDefault="00575294" w:rsidP="008C1A3C">
      <w:pPr>
        <w:spacing w:after="0" w:line="360" w:lineRule="auto"/>
        <w:rPr>
          <w:rFonts w:eastAsia="Times New Roman"/>
          <w:lang w:eastAsia="fi-FI"/>
        </w:rPr>
      </w:pPr>
    </w:p>
    <w:p w14:paraId="5AAEB7A3" w14:textId="67C47C0C" w:rsidR="00A73597" w:rsidRPr="00220EE3" w:rsidRDefault="00A73597" w:rsidP="008C1A3C">
      <w:pPr>
        <w:spacing w:after="0" w:line="360" w:lineRule="auto"/>
        <w:rPr>
          <w:rFonts w:eastAsia="Times New Roman"/>
          <w:b/>
          <w:lang w:eastAsia="fi-FI"/>
        </w:rPr>
      </w:pPr>
      <w:r w:rsidRPr="00220EE3">
        <w:rPr>
          <w:rFonts w:eastAsia="Times New Roman"/>
          <w:b/>
          <w:lang w:eastAsia="fi-FI"/>
        </w:rPr>
        <w:t>Conclusion</w:t>
      </w:r>
    </w:p>
    <w:p w14:paraId="1C6F4987" w14:textId="0D09A53E" w:rsidR="00A30D04" w:rsidRDefault="001839E6" w:rsidP="008F048D">
      <w:pPr>
        <w:spacing w:after="0" w:line="360" w:lineRule="auto"/>
        <w:rPr>
          <w:rFonts w:cs="Times New Roman"/>
          <w:szCs w:val="24"/>
        </w:rPr>
      </w:pPr>
      <w:r w:rsidRPr="00220EE3">
        <w:rPr>
          <w:rFonts w:cs="Times New Roman"/>
          <w:szCs w:val="24"/>
        </w:rPr>
        <w:t xml:space="preserve">To our knowledge, this study is the first </w:t>
      </w:r>
      <w:r w:rsidR="002B6A16" w:rsidRPr="00220EE3">
        <w:rPr>
          <w:rFonts w:cs="Times New Roman"/>
          <w:szCs w:val="24"/>
        </w:rPr>
        <w:t xml:space="preserve">one </w:t>
      </w:r>
      <w:r w:rsidRPr="00220EE3">
        <w:rPr>
          <w:rFonts w:cs="Times New Roman"/>
          <w:szCs w:val="24"/>
        </w:rPr>
        <w:t>to investigate</w:t>
      </w:r>
      <w:r w:rsidR="009C3887" w:rsidRPr="00220EE3">
        <w:rPr>
          <w:rFonts w:cs="Times New Roman"/>
          <w:szCs w:val="24"/>
        </w:rPr>
        <w:t xml:space="preserve"> </w:t>
      </w:r>
      <w:r w:rsidR="00572BCC" w:rsidRPr="00220EE3">
        <w:rPr>
          <w:rFonts w:cs="Times New Roman"/>
          <w:szCs w:val="24"/>
        </w:rPr>
        <w:t xml:space="preserve">the link between </w:t>
      </w:r>
      <w:r w:rsidR="00851888">
        <w:rPr>
          <w:rFonts w:cs="Times New Roman"/>
          <w:szCs w:val="24"/>
        </w:rPr>
        <w:t>long</w:t>
      </w:r>
      <w:r w:rsidR="00BF6CA2">
        <w:rPr>
          <w:rFonts w:cs="Times New Roman"/>
          <w:szCs w:val="24"/>
        </w:rPr>
        <w:t>-</w:t>
      </w:r>
      <w:r w:rsidR="00851888">
        <w:rPr>
          <w:rFonts w:cs="Times New Roman"/>
          <w:szCs w:val="24"/>
        </w:rPr>
        <w:t>term</w:t>
      </w:r>
      <w:r w:rsidR="0088703B" w:rsidRPr="00220EE3">
        <w:rPr>
          <w:rFonts w:cs="Times New Roman"/>
          <w:szCs w:val="24"/>
        </w:rPr>
        <w:t xml:space="preserve"> and changed </w:t>
      </w:r>
      <w:r w:rsidR="00572BCC" w:rsidRPr="00220EE3">
        <w:rPr>
          <w:rFonts w:cs="Times New Roman"/>
          <w:szCs w:val="24"/>
        </w:rPr>
        <w:t xml:space="preserve">neighborhood </w:t>
      </w:r>
      <w:r w:rsidR="00372340" w:rsidRPr="00220EE3">
        <w:rPr>
          <w:rFonts w:cs="Times New Roman"/>
          <w:szCs w:val="24"/>
        </w:rPr>
        <w:t>SES</w:t>
      </w:r>
      <w:r w:rsidR="00572BCC" w:rsidRPr="00220EE3">
        <w:rPr>
          <w:rFonts w:cs="Times New Roman"/>
          <w:szCs w:val="24"/>
        </w:rPr>
        <w:t xml:space="preserve"> and </w:t>
      </w:r>
      <w:r w:rsidR="000C0C55" w:rsidRPr="00220EE3">
        <w:rPr>
          <w:rFonts w:cs="Times New Roman"/>
          <w:szCs w:val="24"/>
        </w:rPr>
        <w:t>adherence to</w:t>
      </w:r>
      <w:r w:rsidRPr="00220EE3">
        <w:rPr>
          <w:rFonts w:cs="Times New Roman"/>
          <w:szCs w:val="24"/>
        </w:rPr>
        <w:t xml:space="preserve"> diet</w:t>
      </w:r>
      <w:r w:rsidR="00E47057">
        <w:rPr>
          <w:rFonts w:cs="Times New Roman"/>
          <w:szCs w:val="24"/>
        </w:rPr>
        <w:t>ary</w:t>
      </w:r>
      <w:r w:rsidR="000C0C55" w:rsidRPr="00220EE3">
        <w:rPr>
          <w:rFonts w:cs="Times New Roman"/>
          <w:szCs w:val="24"/>
        </w:rPr>
        <w:t xml:space="preserve"> recommendations </w:t>
      </w:r>
      <w:r w:rsidRPr="00220EE3">
        <w:rPr>
          <w:rFonts w:cs="Times New Roman"/>
          <w:szCs w:val="24"/>
        </w:rPr>
        <w:t xml:space="preserve">within a large </w:t>
      </w:r>
      <w:r w:rsidR="000C4C3D" w:rsidRPr="00220EE3">
        <w:rPr>
          <w:rFonts w:cs="Times New Roman"/>
          <w:szCs w:val="24"/>
        </w:rPr>
        <w:t xml:space="preserve">population </w:t>
      </w:r>
      <w:r w:rsidRPr="00220EE3">
        <w:rPr>
          <w:rFonts w:cs="Times New Roman"/>
          <w:szCs w:val="24"/>
        </w:rPr>
        <w:t>cohort controlling for individual level</w:t>
      </w:r>
      <w:r w:rsidR="00851888">
        <w:rPr>
          <w:rFonts w:cs="Times New Roman"/>
          <w:szCs w:val="24"/>
        </w:rPr>
        <w:t xml:space="preserve"> socioeconomic</w:t>
      </w:r>
      <w:r w:rsidRPr="00220EE3">
        <w:rPr>
          <w:rFonts w:cs="Times New Roman"/>
          <w:szCs w:val="24"/>
        </w:rPr>
        <w:t xml:space="preserve"> factors. </w:t>
      </w:r>
      <w:r w:rsidR="000C0C55" w:rsidRPr="00220EE3">
        <w:rPr>
          <w:rFonts w:cs="Times New Roman"/>
          <w:szCs w:val="24"/>
        </w:rPr>
        <w:t>O</w:t>
      </w:r>
      <w:r w:rsidRPr="00220EE3">
        <w:rPr>
          <w:rFonts w:cs="Times New Roman"/>
          <w:szCs w:val="24"/>
        </w:rPr>
        <w:t xml:space="preserve">ur study suggests </w:t>
      </w:r>
      <w:r w:rsidR="002E56E3" w:rsidRPr="00220EE3">
        <w:rPr>
          <w:rFonts w:cs="Times New Roman"/>
          <w:szCs w:val="24"/>
        </w:rPr>
        <w:t xml:space="preserve">that </w:t>
      </w:r>
      <w:r w:rsidR="002763C8" w:rsidRPr="00220EE3">
        <w:rPr>
          <w:rFonts w:cs="Times New Roman"/>
          <w:szCs w:val="24"/>
        </w:rPr>
        <w:t xml:space="preserve">the overall </w:t>
      </w:r>
      <w:r w:rsidR="002E56E3" w:rsidRPr="00220EE3">
        <w:rPr>
          <w:rFonts w:cs="Times New Roman"/>
          <w:szCs w:val="24"/>
        </w:rPr>
        <w:t>diet quality</w:t>
      </w:r>
      <w:r w:rsidR="005B2C07">
        <w:rPr>
          <w:rFonts w:cs="Times New Roman"/>
          <w:szCs w:val="24"/>
        </w:rPr>
        <w:t xml:space="preserve"> </w:t>
      </w:r>
      <w:r w:rsidR="002E56E3" w:rsidRPr="00220EE3">
        <w:rPr>
          <w:rFonts w:cs="Times New Roman"/>
          <w:szCs w:val="24"/>
        </w:rPr>
        <w:t>is dependent on n</w:t>
      </w:r>
      <w:r w:rsidR="00B94235" w:rsidRPr="00220EE3">
        <w:rPr>
          <w:rFonts w:cs="Times New Roman"/>
          <w:szCs w:val="24"/>
        </w:rPr>
        <w:t xml:space="preserve">eighborhood </w:t>
      </w:r>
      <w:r w:rsidR="00E47057">
        <w:rPr>
          <w:rFonts w:cs="Times New Roman"/>
          <w:szCs w:val="24"/>
        </w:rPr>
        <w:t>SES</w:t>
      </w:r>
      <w:r w:rsidRPr="00220EE3">
        <w:rPr>
          <w:rFonts w:cs="Times New Roman"/>
          <w:szCs w:val="24"/>
        </w:rPr>
        <w:t xml:space="preserve"> </w:t>
      </w:r>
      <w:r w:rsidR="00E47057">
        <w:rPr>
          <w:rFonts w:cs="Times New Roman"/>
          <w:szCs w:val="24"/>
        </w:rPr>
        <w:t xml:space="preserve">so that </w:t>
      </w:r>
      <w:r w:rsidR="00E47057" w:rsidRPr="00E47057">
        <w:rPr>
          <w:rFonts w:cs="Times New Roman"/>
          <w:szCs w:val="24"/>
        </w:rPr>
        <w:t>those living in</w:t>
      </w:r>
      <w:r w:rsidR="00E55857">
        <w:rPr>
          <w:rFonts w:cs="Times New Roman"/>
          <w:szCs w:val="24"/>
        </w:rPr>
        <w:t xml:space="preserve"> or moving into</w:t>
      </w:r>
      <w:r w:rsidR="00E47057" w:rsidRPr="00E47057">
        <w:rPr>
          <w:rFonts w:cs="Times New Roman"/>
          <w:szCs w:val="24"/>
        </w:rPr>
        <w:t xml:space="preserve"> the high </w:t>
      </w:r>
      <w:r w:rsidR="00E47057" w:rsidRPr="00E47057">
        <w:rPr>
          <w:rFonts w:cs="Times New Roman"/>
          <w:szCs w:val="24"/>
        </w:rPr>
        <w:lastRenderedPageBreak/>
        <w:t>SES neighborhoods ha</w:t>
      </w:r>
      <w:r w:rsidR="00E47057">
        <w:rPr>
          <w:rFonts w:cs="Times New Roman"/>
          <w:szCs w:val="24"/>
        </w:rPr>
        <w:t>ve</w:t>
      </w:r>
      <w:r w:rsidR="00E47057" w:rsidRPr="00E47057">
        <w:rPr>
          <w:rFonts w:cs="Times New Roman"/>
          <w:szCs w:val="24"/>
        </w:rPr>
        <w:t xml:space="preserve"> better adherence to dietary recommendations than those</w:t>
      </w:r>
      <w:r w:rsidR="00E47057">
        <w:rPr>
          <w:rFonts w:cs="Times New Roman"/>
          <w:szCs w:val="24"/>
        </w:rPr>
        <w:t xml:space="preserve"> living</w:t>
      </w:r>
      <w:r w:rsidR="00E47057" w:rsidRPr="00E47057">
        <w:rPr>
          <w:rFonts w:cs="Times New Roman"/>
          <w:szCs w:val="24"/>
        </w:rPr>
        <w:t xml:space="preserve"> in the lowest SES neighborhoods</w:t>
      </w:r>
      <w:r w:rsidR="00E47057" w:rsidRPr="00D55C05">
        <w:rPr>
          <w:rFonts w:cs="Times New Roman"/>
          <w:szCs w:val="24"/>
        </w:rPr>
        <w:t>.</w:t>
      </w:r>
      <w:r w:rsidR="008F048D" w:rsidRPr="00D55C05">
        <w:rPr>
          <w:rFonts w:cs="Times New Roman"/>
          <w:szCs w:val="24"/>
        </w:rPr>
        <w:t xml:space="preserve"> It is possible, for example, that h</w:t>
      </w:r>
      <w:r w:rsidR="00D97AE5" w:rsidRPr="00D55C05">
        <w:t>igh SES areas might offer healthier food environments than low SES areas, leading to improvement of dietary habits among those who move from low to high SES areas.</w:t>
      </w:r>
      <w:r w:rsidR="008F048D" w:rsidRPr="00D55C05">
        <w:t xml:space="preserve"> </w:t>
      </w:r>
      <w:r w:rsidRPr="00D55C05">
        <w:rPr>
          <w:rFonts w:cs="Times New Roman"/>
          <w:szCs w:val="24"/>
        </w:rPr>
        <w:t>Public health</w:t>
      </w:r>
      <w:r w:rsidRPr="00220EE3">
        <w:rPr>
          <w:rFonts w:cs="Times New Roman"/>
          <w:szCs w:val="24"/>
        </w:rPr>
        <w:t xml:space="preserve"> efforts to </w:t>
      </w:r>
      <w:r w:rsidR="00B94235" w:rsidRPr="00220EE3">
        <w:rPr>
          <w:rFonts w:cs="Times New Roman"/>
          <w:szCs w:val="24"/>
        </w:rPr>
        <w:t>improve</w:t>
      </w:r>
      <w:r w:rsidRPr="00220EE3">
        <w:rPr>
          <w:rFonts w:cs="Times New Roman"/>
          <w:szCs w:val="24"/>
        </w:rPr>
        <w:t xml:space="preserve"> dietary habits may benefit from </w:t>
      </w:r>
      <w:r w:rsidR="00851888">
        <w:rPr>
          <w:rFonts w:cs="Times New Roman"/>
          <w:szCs w:val="24"/>
        </w:rPr>
        <w:t xml:space="preserve">identification of </w:t>
      </w:r>
      <w:r w:rsidRPr="00220EE3">
        <w:rPr>
          <w:rFonts w:cs="Times New Roman"/>
          <w:szCs w:val="24"/>
        </w:rPr>
        <w:t>commu</w:t>
      </w:r>
      <w:r w:rsidR="002E56E3" w:rsidRPr="00220EE3">
        <w:rPr>
          <w:rFonts w:cs="Times New Roman"/>
          <w:szCs w:val="24"/>
        </w:rPr>
        <w:t>nity level determinants of diet</w:t>
      </w:r>
      <w:r w:rsidR="00851888">
        <w:rPr>
          <w:rFonts w:cs="Times New Roman"/>
          <w:szCs w:val="24"/>
        </w:rPr>
        <w:t>ary preferences</w:t>
      </w:r>
      <w:r w:rsidR="000C0C55" w:rsidRPr="00220EE3">
        <w:rPr>
          <w:rFonts w:cs="Times New Roman"/>
          <w:szCs w:val="24"/>
        </w:rPr>
        <w:t>.</w:t>
      </w:r>
    </w:p>
    <w:p w14:paraId="73EA24D2" w14:textId="09F8A4E7" w:rsidR="00C009AB" w:rsidRPr="00D97AE5" w:rsidRDefault="00C009AB" w:rsidP="00D97AE5">
      <w:pPr>
        <w:spacing w:after="0" w:line="360" w:lineRule="auto"/>
        <w:rPr>
          <w:color w:val="FF0000"/>
        </w:rPr>
      </w:pPr>
      <w:r w:rsidRPr="00220EE3">
        <w:rPr>
          <w:rFonts w:eastAsia="Times New Roman"/>
          <w:lang w:eastAsia="fi-FI"/>
        </w:rPr>
        <w:br w:type="page"/>
      </w:r>
    </w:p>
    <w:p w14:paraId="34DB3DD6" w14:textId="77777777" w:rsidR="00D933DC" w:rsidRPr="00220EE3" w:rsidRDefault="00A46A8F" w:rsidP="008C1A3C">
      <w:pPr>
        <w:spacing w:after="0" w:line="360" w:lineRule="auto"/>
        <w:rPr>
          <w:rFonts w:eastAsia="Times New Roman"/>
          <w:b/>
          <w:lang w:eastAsia="fi-FI"/>
        </w:rPr>
      </w:pPr>
      <w:r w:rsidRPr="00220EE3">
        <w:rPr>
          <w:rFonts w:eastAsia="Times New Roman"/>
          <w:b/>
          <w:lang w:eastAsia="fi-FI"/>
        </w:rPr>
        <w:lastRenderedPageBreak/>
        <w:t>References</w:t>
      </w:r>
    </w:p>
    <w:p w14:paraId="0DE0E98F" w14:textId="77777777" w:rsidR="00B70F9A" w:rsidRPr="00220EE3" w:rsidRDefault="00B70F9A" w:rsidP="008C1A3C">
      <w:pPr>
        <w:spacing w:after="0" w:line="360" w:lineRule="auto"/>
        <w:rPr>
          <w:rFonts w:eastAsia="Times New Roman"/>
          <w:lang w:eastAsia="fi-FI"/>
        </w:rPr>
      </w:pPr>
    </w:p>
    <w:p w14:paraId="0907C643" w14:textId="77777777" w:rsidR="005509C9" w:rsidRPr="00220EE3" w:rsidRDefault="00B70F9A" w:rsidP="005509C9">
      <w:pPr>
        <w:widowControl w:val="0"/>
        <w:autoSpaceDE w:val="0"/>
        <w:autoSpaceDN w:val="0"/>
        <w:adjustRightInd w:val="0"/>
        <w:spacing w:after="0" w:line="360" w:lineRule="auto"/>
        <w:rPr>
          <w:rFonts w:cs="Times New Roman"/>
          <w:szCs w:val="24"/>
        </w:rPr>
      </w:pPr>
      <w:r w:rsidRPr="00220EE3">
        <w:rPr>
          <w:rFonts w:eastAsia="Times New Roman"/>
          <w:lang w:eastAsia="fi-FI"/>
        </w:rPr>
        <w:fldChar w:fldCharType="begin" w:fldLock="1"/>
      </w:r>
      <w:r w:rsidRPr="00220EE3">
        <w:rPr>
          <w:rFonts w:eastAsia="Times New Roman"/>
          <w:lang w:val="sv-SE" w:eastAsia="fi-FI"/>
        </w:rPr>
        <w:instrText xml:space="preserve">ADDIN Mendeley Bibliography CSL_BIBLIOGRAPHY </w:instrText>
      </w:r>
    </w:p>
    <w:p w14:paraId="0A4DB051"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Algren, M.H. et al., 2015. Health-risk behaviour in deprived neighbourhoods compared with non-deprived neighbourhoods: A systematic literature review of quantitative observational studies. </w:instrText>
      </w:r>
      <w:r w:rsidRPr="00220EE3">
        <w:rPr>
          <w:rFonts w:cs="Times New Roman"/>
          <w:i/>
          <w:iCs/>
          <w:szCs w:val="24"/>
        </w:rPr>
        <w:instrText>PLoS ONE</w:instrText>
      </w:r>
      <w:r w:rsidRPr="00220EE3">
        <w:rPr>
          <w:rFonts w:cs="Times New Roman"/>
          <w:szCs w:val="24"/>
        </w:rPr>
        <w:instrText>.</w:instrText>
      </w:r>
    </w:p>
    <w:p w14:paraId="6171BAD6"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Alves, L. et al., 2013. Association between neighborhood deprivation and fruits and vegetables consumption and leisure-time physical activity: a cross-sectional multilevel analysis. </w:instrText>
      </w:r>
      <w:r w:rsidRPr="00220EE3">
        <w:rPr>
          <w:rFonts w:cs="Times New Roman"/>
          <w:i/>
          <w:iCs/>
          <w:szCs w:val="24"/>
        </w:rPr>
        <w:instrText>BMC public health</w:instrText>
      </w:r>
      <w:r w:rsidRPr="00220EE3">
        <w:rPr>
          <w:rFonts w:cs="Times New Roman"/>
          <w:szCs w:val="24"/>
        </w:rPr>
        <w:instrText>, 13, p.1103. Available at: http://www.ncbi.nlm.nih.gov/pubmed/24289151 [Accessed March 29, 2017].</w:instrText>
      </w:r>
    </w:p>
    <w:p w14:paraId="63199269"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Ball, K. et al., 2015. Neighbourhood socioeconomic disadvantage and fruit and vegetable consumption: a seven countries comparison. </w:instrText>
      </w:r>
      <w:r w:rsidRPr="00220EE3">
        <w:rPr>
          <w:rFonts w:cs="Times New Roman"/>
          <w:i/>
          <w:iCs/>
          <w:szCs w:val="24"/>
        </w:rPr>
        <w:instrText>The international journal of behavioral nutrition and physical activity</w:instrText>
      </w:r>
      <w:r w:rsidRPr="00220EE3">
        <w:rPr>
          <w:rFonts w:cs="Times New Roman"/>
          <w:szCs w:val="24"/>
        </w:rPr>
        <w:instrText>, 12, p.68. Available at: http://www.ncbi.nlm.nih.gov/pubmed/25997451 [Accessed March 31, 2017].</w:instrText>
      </w:r>
    </w:p>
    <w:p w14:paraId="6712AAD9"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Beaulac, J., Kristjansson, E. &amp; Cummins, S., 2009. A systematic review of food deserts, 1966-2007. </w:instrText>
      </w:r>
      <w:r w:rsidRPr="00220EE3">
        <w:rPr>
          <w:rFonts w:cs="Times New Roman"/>
          <w:i/>
          <w:iCs/>
          <w:szCs w:val="24"/>
        </w:rPr>
        <w:instrText>Preventing chronic disease</w:instrText>
      </w:r>
      <w:r w:rsidRPr="00220EE3">
        <w:rPr>
          <w:rFonts w:cs="Times New Roman"/>
          <w:szCs w:val="24"/>
        </w:rPr>
        <w:instrText>, 6(3), p.A105. Available at: http://www.ncbi.nlm.nih.gov/pubmed/19527577 [Accessed April 25, 2017].</w:instrText>
      </w:r>
    </w:p>
    <w:p w14:paraId="52312577"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Becker, W. et al., 2004. Nordic Nutrition Recommendations 2004 Á/ integrating nutrition and physical activity. </w:instrText>
      </w:r>
      <w:r w:rsidRPr="00220EE3">
        <w:rPr>
          <w:rFonts w:cs="Times New Roman"/>
          <w:i/>
          <w:iCs/>
          <w:szCs w:val="24"/>
        </w:rPr>
        <w:instrText>Scandinavian Journal of Nutrition</w:instrText>
      </w:r>
      <w:r w:rsidRPr="00220EE3">
        <w:rPr>
          <w:rFonts w:cs="Times New Roman"/>
          <w:szCs w:val="24"/>
        </w:rPr>
        <w:instrText>, 48(4), pp.178–187.</w:instrText>
      </w:r>
    </w:p>
    <w:p w14:paraId="42772FE1"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Black, C., Moon, G. &amp; Baird, J., 2014. Dietary inequalities: what is the evidence for the effect of the neighbourhood food environment? </w:instrText>
      </w:r>
      <w:r w:rsidRPr="00220EE3">
        <w:rPr>
          <w:rFonts w:cs="Times New Roman"/>
          <w:i/>
          <w:iCs/>
          <w:szCs w:val="24"/>
        </w:rPr>
        <w:instrText>Health &amp; place</w:instrText>
      </w:r>
      <w:r w:rsidRPr="00220EE3">
        <w:rPr>
          <w:rFonts w:cs="Times New Roman"/>
          <w:szCs w:val="24"/>
        </w:rPr>
        <w:instrText>, 27, pp.229–42. Available at: http://www.ncbi.nlm.nih.gov/pubmed/24200470 [Accessed March 31, 2017].</w:instrText>
      </w:r>
    </w:p>
    <w:p w14:paraId="7174A8EC"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Cummins, S. &amp; Macintyre, S., 2006. Food environments and obesity - Neighbourhood or nation? </w:instrText>
      </w:r>
      <w:r w:rsidRPr="00220EE3">
        <w:rPr>
          <w:rFonts w:cs="Times New Roman"/>
          <w:i/>
          <w:iCs/>
          <w:szCs w:val="24"/>
        </w:rPr>
        <w:instrText>International Journal of Epidemiology</w:instrText>
      </w:r>
      <w:r w:rsidRPr="00220EE3">
        <w:rPr>
          <w:rFonts w:cs="Times New Roman"/>
          <w:szCs w:val="24"/>
        </w:rPr>
        <w:instrText>, 35(1), pp.100–104. Available at: https://academic.oup.com/ije/article-lookup/doi/10.1093/ije/dyi276 [Accessed June 1, 2017].</w:instrText>
      </w:r>
    </w:p>
    <w:p w14:paraId="23814BF0"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Drewnowski, A. et al., 2016. Geographic disparities in Healthy Eating Index scores (HEI-2005 and 2010) by residential property values: Findings from Seattle Obesity Study (SOS). </w:instrText>
      </w:r>
      <w:r w:rsidRPr="00220EE3">
        <w:rPr>
          <w:rFonts w:cs="Times New Roman"/>
          <w:i/>
          <w:iCs/>
          <w:szCs w:val="24"/>
        </w:rPr>
        <w:instrText>Preventive medicine</w:instrText>
      </w:r>
      <w:r w:rsidRPr="00220EE3">
        <w:rPr>
          <w:rFonts w:cs="Times New Roman"/>
          <w:szCs w:val="24"/>
        </w:rPr>
        <w:instrText>, 83, pp.46–55. Available at: http://linkinghub.elsevier.com/retrieve/pii/S0091743515003576 [Accessed March 29, 2017].</w:instrText>
      </w:r>
    </w:p>
    <w:p w14:paraId="324B06BD"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Dubowitz, T. et al., 2008a. Neighborhood socioeconomic status and fruit and vegetable intake among whites, blacks, and Mexican Americans in the United States. </w:instrText>
      </w:r>
      <w:r w:rsidRPr="00220EE3">
        <w:rPr>
          <w:rFonts w:cs="Times New Roman"/>
          <w:i/>
          <w:iCs/>
          <w:szCs w:val="24"/>
        </w:rPr>
        <w:instrText>The American journal of clinical nutrition</w:instrText>
      </w:r>
      <w:r w:rsidRPr="00220EE3">
        <w:rPr>
          <w:rFonts w:cs="Times New Roman"/>
          <w:szCs w:val="24"/>
        </w:rPr>
        <w:instrText>, 87(6), pp.1883–91. Available at: http://www.ncbi.nlm.nih.gov/pubmed/18541581 [Accessed June 1, 2017].</w:instrText>
      </w:r>
    </w:p>
    <w:p w14:paraId="034E3E41"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Dubowitz, T. et al., 2008b. Neighborhood socioeconomic status and fruit and vegetable intake among whites, blacks, and Mexican Americans in the United States. </w:instrText>
      </w:r>
      <w:r w:rsidRPr="00220EE3">
        <w:rPr>
          <w:rFonts w:cs="Times New Roman"/>
          <w:i/>
          <w:iCs/>
          <w:szCs w:val="24"/>
        </w:rPr>
        <w:instrText>The American journal of clinical nutrition</w:instrText>
      </w:r>
      <w:r w:rsidRPr="00220EE3">
        <w:rPr>
          <w:rFonts w:cs="Times New Roman"/>
          <w:szCs w:val="24"/>
        </w:rPr>
        <w:instrText>, 87(6), pp.1883–91. Available at: http://www.ncbi.nlm.nih.gov/pubmed/18541581 [Accessed April 24, 2017].</w:instrText>
      </w:r>
    </w:p>
    <w:p w14:paraId="6BB702ED"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Fleischhacker, S.E. et al., 2011. A systematic review of fast food access studies. </w:instrText>
      </w:r>
      <w:r w:rsidRPr="00220EE3">
        <w:rPr>
          <w:rFonts w:cs="Times New Roman"/>
          <w:i/>
          <w:iCs/>
          <w:szCs w:val="24"/>
        </w:rPr>
        <w:instrText>Obesity Reviews</w:instrText>
      </w:r>
      <w:r w:rsidRPr="00220EE3">
        <w:rPr>
          <w:rFonts w:cs="Times New Roman"/>
          <w:szCs w:val="24"/>
        </w:rPr>
        <w:instrText>, 12(5), pp.e460–e471. Available at: http://doi.wiley.com/10.1111/j.1467-789X.2010.00715.x [Accessed May 31, 2017].</w:instrText>
      </w:r>
    </w:p>
    <w:p w14:paraId="66F82A98"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Galobardes, B., Morabia, A. &amp; Bernstein, M.S., 2001. Diet and socioeconomic position: does the use of different indicators matter? </w:instrText>
      </w:r>
      <w:r w:rsidRPr="00220EE3">
        <w:rPr>
          <w:rFonts w:cs="Times New Roman"/>
          <w:i/>
          <w:iCs/>
          <w:szCs w:val="24"/>
        </w:rPr>
        <w:instrText>International journal of epidemiology</w:instrText>
      </w:r>
      <w:r w:rsidRPr="00220EE3">
        <w:rPr>
          <w:rFonts w:cs="Times New Roman"/>
          <w:szCs w:val="24"/>
        </w:rPr>
        <w:instrText>, 30(2), pp.334–40. Available at: http://www.ncbi.nlm.nih.gov/pubmed/11369739 [Accessed March 31, 2017].</w:instrText>
      </w:r>
    </w:p>
    <w:p w14:paraId="5986FABC"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Giskes, K. et al., 2006. A multilevel study of socio-economic inequalities in food choice behaviour and dietary intake among the Dutch population: the GLOBE study. </w:instrText>
      </w:r>
      <w:r w:rsidRPr="00220EE3">
        <w:rPr>
          <w:rFonts w:cs="Times New Roman"/>
          <w:i/>
          <w:iCs/>
          <w:szCs w:val="24"/>
        </w:rPr>
        <w:instrText>Public health nutrition</w:instrText>
      </w:r>
      <w:r w:rsidRPr="00220EE3">
        <w:rPr>
          <w:rFonts w:cs="Times New Roman"/>
          <w:szCs w:val="24"/>
        </w:rPr>
        <w:instrText>, 9(1), pp.75–83. Available at: http://www.ncbi.nlm.nih.gov/pubmed/16480537 [Accessed April 25, 2017].</w:instrText>
      </w:r>
    </w:p>
    <w:p w14:paraId="2A4DDF41"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Gordon-Larsen, P. &amp; Popkin, B., 2011. Understanding socioeconomic and racial/ethnic status disparities in diet, exercise, and weight: underlying contextual factors and pathways. </w:instrText>
      </w:r>
      <w:r w:rsidRPr="00220EE3">
        <w:rPr>
          <w:rFonts w:cs="Times New Roman"/>
          <w:i/>
          <w:iCs/>
          <w:szCs w:val="24"/>
        </w:rPr>
        <w:instrText>Journal of the American Dietetic Association</w:instrText>
      </w:r>
      <w:r w:rsidRPr="00220EE3">
        <w:rPr>
          <w:rFonts w:cs="Times New Roman"/>
          <w:szCs w:val="24"/>
        </w:rPr>
        <w:instrText>, 111(12), pp.1816–9. Available at: http://www.ncbi.nlm.nih.gov/pubmed/22117655 [Accessed April 25, 2017].</w:instrText>
      </w:r>
    </w:p>
    <w:p w14:paraId="087A9C1B"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Halonen, J.I. et al., 2015. Childhood Psychosocial Adversity and Adult Neighborhood Disadvantage as Predictors of Cardiovascular DiseaseClinical Perspective. </w:instrText>
      </w:r>
      <w:r w:rsidRPr="00220EE3">
        <w:rPr>
          <w:rFonts w:cs="Times New Roman"/>
          <w:i/>
          <w:iCs/>
          <w:szCs w:val="24"/>
        </w:rPr>
        <w:instrText>Circulation</w:instrText>
      </w:r>
      <w:r w:rsidRPr="00220EE3">
        <w:rPr>
          <w:rFonts w:cs="Times New Roman"/>
          <w:szCs w:val="24"/>
        </w:rPr>
        <w:instrText>, 132(5), pp.371–379. Available at: http://circ.ahajournals.org/content/132/5/371.long [Accessed April 10, 2017].</w:instrText>
      </w:r>
    </w:p>
    <w:p w14:paraId="62C362F7"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Halonen, J.I. et al., 2013. Living in proximity of a bar and risky alcohol behaviours: a longitudinal study. </w:instrText>
      </w:r>
      <w:r w:rsidRPr="00220EE3">
        <w:rPr>
          <w:rFonts w:cs="Times New Roman"/>
          <w:i/>
          <w:iCs/>
          <w:szCs w:val="24"/>
        </w:rPr>
        <w:instrText>Addiction (Abingdon, England)</w:instrText>
      </w:r>
      <w:r w:rsidRPr="00220EE3">
        <w:rPr>
          <w:rFonts w:cs="Times New Roman"/>
          <w:szCs w:val="24"/>
        </w:rPr>
        <w:instrText>, 108(2), pp.320–8. Available at: http://www.ncbi.nlm.nih.gov/pubmed/22897634 [Accessed June 27, 2017].</w:instrText>
      </w:r>
    </w:p>
    <w:p w14:paraId="7CB88F8B"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Halonen, J.I. et al., 2012. Quantifying neighbourhood socioeconomic effects in clustering of behaviour-related risk factors: a multilevel analysis. </w:instrText>
      </w:r>
      <w:r w:rsidRPr="00220EE3">
        <w:rPr>
          <w:rFonts w:cs="Times New Roman"/>
          <w:i/>
          <w:iCs/>
          <w:szCs w:val="24"/>
        </w:rPr>
        <w:instrText>PloS one</w:instrText>
      </w:r>
      <w:r w:rsidRPr="00220EE3">
        <w:rPr>
          <w:rFonts w:cs="Times New Roman"/>
          <w:szCs w:val="24"/>
        </w:rPr>
        <w:instrText>, 7(3), p.e32937. Available at: http://www.ncbi.nlm.nih.gov/pubmed/22427912 [Accessed April 25, 2017].</w:instrText>
      </w:r>
    </w:p>
    <w:p w14:paraId="4F67C453"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Helldán, A. et al., 2013. </w:instrText>
      </w:r>
      <w:r w:rsidRPr="00220EE3">
        <w:rPr>
          <w:rFonts w:cs="Times New Roman"/>
          <w:i/>
          <w:iCs/>
          <w:szCs w:val="24"/>
        </w:rPr>
        <w:instrText>Finravinto 2012 -tutkimus The National FINDIET 2012 Survey</w:instrText>
      </w:r>
      <w:r w:rsidRPr="00220EE3">
        <w:rPr>
          <w:rFonts w:cs="Times New Roman"/>
          <w:szCs w:val="24"/>
        </w:rPr>
        <w:instrText>, Available at: www.thl.fi.</w:instrText>
      </w:r>
    </w:p>
    <w:p w14:paraId="5AE395AB"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Hilmers, A., Hilmers, D.C. &amp; Dave, J., 2012. Neighborhood disparities in access to healthy foods and their effects on environmental justice. </w:instrText>
      </w:r>
      <w:r w:rsidRPr="00220EE3">
        <w:rPr>
          <w:rFonts w:cs="Times New Roman"/>
          <w:i/>
          <w:iCs/>
          <w:szCs w:val="24"/>
        </w:rPr>
        <w:instrText>American journal of public health</w:instrText>
      </w:r>
      <w:r w:rsidRPr="00220EE3">
        <w:rPr>
          <w:rFonts w:cs="Times New Roman"/>
          <w:szCs w:val="24"/>
        </w:rPr>
        <w:instrText>, 102(9), pp.1644–54. Available at: http://www.ncbi.nlm.nih.gov/pubmed/22813465 [Accessed March 31, 2017].</w:instrText>
      </w:r>
    </w:p>
    <w:p w14:paraId="67F1A214"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Hu, F.B. et al., 1999. Reproducibility and validity of dietary patterns assessed with a food-frequency questionnaire. </w:instrText>
      </w:r>
      <w:r w:rsidRPr="00220EE3">
        <w:rPr>
          <w:rFonts w:cs="Times New Roman"/>
          <w:i/>
          <w:iCs/>
          <w:szCs w:val="24"/>
        </w:rPr>
        <w:instrText>The American journal of clinical nutrition</w:instrText>
      </w:r>
      <w:r w:rsidRPr="00220EE3">
        <w:rPr>
          <w:rFonts w:cs="Times New Roman"/>
          <w:szCs w:val="24"/>
        </w:rPr>
        <w:instrText>, 69(2), pp.243–9. Available at: http://www.ncbi.nlm.nih.gov/pubmed/9989687 [Accessed June 1, 2017].</w:instrText>
      </w:r>
    </w:p>
    <w:p w14:paraId="3BE3B4C1"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Hulshof, K. et al., 2003. Socio-economic status, dietary intake and 10 y trends: the Dutch National Food Consumption Survey. </w:instrText>
      </w:r>
      <w:r w:rsidRPr="00220EE3">
        <w:rPr>
          <w:rFonts w:cs="Times New Roman"/>
          <w:i/>
          <w:iCs/>
          <w:szCs w:val="24"/>
        </w:rPr>
        <w:instrText>European Journal of Clinical Nutrition</w:instrText>
      </w:r>
      <w:r w:rsidRPr="00220EE3">
        <w:rPr>
          <w:rFonts w:cs="Times New Roman"/>
          <w:szCs w:val="24"/>
        </w:rPr>
        <w:instrText>, 57, pp.128–137.</w:instrText>
      </w:r>
    </w:p>
    <w:p w14:paraId="299A21A3"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IFPRI, 2017. </w:instrText>
      </w:r>
      <w:r w:rsidRPr="00220EE3">
        <w:rPr>
          <w:rFonts w:cs="Times New Roman"/>
          <w:i/>
          <w:iCs/>
          <w:szCs w:val="24"/>
        </w:rPr>
        <w:instrText>Global food policy report 2017</w:instrText>
      </w:r>
      <w:r w:rsidRPr="00220EE3">
        <w:rPr>
          <w:rFonts w:cs="Times New Roman"/>
          <w:szCs w:val="24"/>
        </w:rPr>
        <w:instrText>,</w:instrText>
      </w:r>
    </w:p>
    <w:p w14:paraId="190935AC"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Jiao, J. et al., 2016. The impact of area residential property values on self-rated health: A cross-sectional comparative study of Seattle and Paris. </w:instrText>
      </w:r>
      <w:r w:rsidRPr="00220EE3">
        <w:rPr>
          <w:rFonts w:cs="Times New Roman"/>
          <w:i/>
          <w:iCs/>
          <w:szCs w:val="24"/>
        </w:rPr>
        <w:instrText>Preventive medicine reports</w:instrText>
      </w:r>
      <w:r w:rsidRPr="00220EE3">
        <w:rPr>
          <w:rFonts w:cs="Times New Roman"/>
          <w:szCs w:val="24"/>
        </w:rPr>
        <w:instrText>, 4, pp.68–74. Available at: http://www.ncbi.nlm.nih.gov/pubmed/27413663 [Accessed March 31, 2017].</w:instrText>
      </w:r>
    </w:p>
    <w:p w14:paraId="115CB797"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Konttinen, H. et al., 2012. Socio-economic disparities in the consumption of vegetables, fruit and energy-dense foods: the role of motive priorities. </w:instrText>
      </w:r>
      <w:r w:rsidRPr="00220EE3">
        <w:rPr>
          <w:rFonts w:cs="Times New Roman"/>
          <w:i/>
          <w:iCs/>
          <w:szCs w:val="24"/>
        </w:rPr>
        <w:instrText>Public Health Nutrition</w:instrText>
      </w:r>
      <w:r w:rsidRPr="00220EE3">
        <w:rPr>
          <w:rFonts w:cs="Times New Roman"/>
          <w:szCs w:val="24"/>
        </w:rPr>
        <w:instrText>, 16(5), pp.873–882.</w:instrText>
      </w:r>
    </w:p>
    <w:p w14:paraId="2CFBE6DC"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Lallukka, T. et al., 2007. Multiple socio-economic circumstances and healthy food habits. </w:instrText>
      </w:r>
      <w:r w:rsidRPr="00220EE3">
        <w:rPr>
          <w:rFonts w:cs="Times New Roman"/>
          <w:i/>
          <w:iCs/>
          <w:szCs w:val="24"/>
        </w:rPr>
        <w:instrText>European Journal of Clinical Nutrition</w:instrText>
      </w:r>
      <w:r w:rsidRPr="00220EE3">
        <w:rPr>
          <w:rFonts w:cs="Times New Roman"/>
          <w:szCs w:val="24"/>
        </w:rPr>
        <w:instrText>, 61, pp.701–710.</w:instrText>
      </w:r>
    </w:p>
    <w:p w14:paraId="56D458F1"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Larson, N.I., Story, M.T. &amp; Nelson, M.C., 2009. Neighborhood Environments: Disparities in Access to Healthy Foods in the U.S. </w:instrText>
      </w:r>
      <w:r w:rsidRPr="00220EE3">
        <w:rPr>
          <w:rFonts w:cs="Times New Roman"/>
          <w:i/>
          <w:iCs/>
          <w:szCs w:val="24"/>
        </w:rPr>
        <w:instrText>American Journal of Preventive Medicine</w:instrText>
      </w:r>
      <w:r w:rsidRPr="00220EE3">
        <w:rPr>
          <w:rFonts w:cs="Times New Roman"/>
          <w:szCs w:val="24"/>
        </w:rPr>
        <w:instrText>, 36(1), p.74–81.e10. Available at: http://www.sciencedirect.com/science/article/pii/S0749379708008386 [Accessed March 31, 2017].</w:instrText>
      </w:r>
    </w:p>
    <w:p w14:paraId="2B64F948"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Maguire, E.R., Burgoine, T. &amp; Monsivais, P., 2015. Area deprivation and the food environment over time: A repeated cross-sectional study on takeaway outlet density and supermarket presence in Norfolk, UK, 1990-2008. </w:instrText>
      </w:r>
      <w:r w:rsidRPr="00220EE3">
        <w:rPr>
          <w:rFonts w:cs="Times New Roman"/>
          <w:i/>
          <w:iCs/>
          <w:szCs w:val="24"/>
        </w:rPr>
        <w:instrText>Health &amp; place</w:instrText>
      </w:r>
      <w:r w:rsidRPr="00220EE3">
        <w:rPr>
          <w:rFonts w:cs="Times New Roman"/>
          <w:szCs w:val="24"/>
        </w:rPr>
        <w:instrText>, 33, pp.142–7. Available at: http://www.ncbi.nlm.nih.gov/pubmed/25841285 [Accessed May 17, 2017].</w:instrText>
      </w:r>
    </w:p>
    <w:p w14:paraId="5BBC0FED"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Marmot, M., 2005. Social determinants of health inequalities. </w:instrText>
      </w:r>
      <w:r w:rsidRPr="00220EE3">
        <w:rPr>
          <w:rFonts w:cs="Times New Roman"/>
          <w:i/>
          <w:iCs/>
          <w:szCs w:val="24"/>
        </w:rPr>
        <w:instrText>The Lancet</w:instrText>
      </w:r>
      <w:r w:rsidRPr="00220EE3">
        <w:rPr>
          <w:rFonts w:cs="Times New Roman"/>
          <w:szCs w:val="24"/>
        </w:rPr>
        <w:instrText>, 365(9464), pp.1099–1104. Available at: http://www.sciencedirect.com/science/article/pii/S0140673605711466 [Accessed March 29, 2017].</w:instrText>
      </w:r>
    </w:p>
    <w:p w14:paraId="58BBEFF5"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McInerney, M. et al., 2016. Associations between the neighbourhood food environment, neighbourhood socioeconomic status, and diet quality: An observational study. </w:instrText>
      </w:r>
      <w:r w:rsidRPr="00220EE3">
        <w:rPr>
          <w:rFonts w:cs="Times New Roman"/>
          <w:i/>
          <w:iCs/>
          <w:szCs w:val="24"/>
        </w:rPr>
        <w:instrText>BMC public health</w:instrText>
      </w:r>
      <w:r w:rsidRPr="00220EE3">
        <w:rPr>
          <w:rFonts w:cs="Times New Roman"/>
          <w:szCs w:val="24"/>
        </w:rPr>
        <w:instrText>, 16, p.984. Available at: http://www.ncbi.nlm.nih.gov/pubmed/27633380 [Accessed March 31, 2017].</w:instrText>
      </w:r>
    </w:p>
    <w:p w14:paraId="3CF16352"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Monsivais, P., Aggarwal, A. &amp; Drewnowski, A., 2012. Are socio-economic disparities in diet quality explained by diet cost? </w:instrText>
      </w:r>
      <w:r w:rsidRPr="00220EE3">
        <w:rPr>
          <w:rFonts w:cs="Times New Roman"/>
          <w:i/>
          <w:iCs/>
          <w:szCs w:val="24"/>
        </w:rPr>
        <w:instrText>Journal of epidemiology and community health</w:instrText>
      </w:r>
      <w:r w:rsidRPr="00220EE3">
        <w:rPr>
          <w:rFonts w:cs="Times New Roman"/>
          <w:szCs w:val="24"/>
        </w:rPr>
        <w:instrText>, 66(6), pp.530–5. Available at: http://www.ncbi.nlm.nih.gov/pubmed/21148819 [Accessed May 10, 2017].</w:instrText>
      </w:r>
    </w:p>
    <w:p w14:paraId="137C080D"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Morland, K. &amp; Filomena, S., 2007. Disparities in the availability of fruits and vegetables between racially segregated urban neighbourhoods. </w:instrText>
      </w:r>
      <w:r w:rsidRPr="00220EE3">
        <w:rPr>
          <w:rFonts w:cs="Times New Roman"/>
          <w:i/>
          <w:iCs/>
          <w:szCs w:val="24"/>
        </w:rPr>
        <w:instrText>Public health nutrition</w:instrText>
      </w:r>
      <w:r w:rsidRPr="00220EE3">
        <w:rPr>
          <w:rFonts w:cs="Times New Roman"/>
          <w:szCs w:val="24"/>
        </w:rPr>
        <w:instrText>, 10(12), pp.1481–9. Available at: http://www.journals.cambridge.org/abstract_S1368980007000079 [Accessed March 31, 2017].</w:instrText>
      </w:r>
    </w:p>
    <w:p w14:paraId="184D843C"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Morland, K., Wing, S. &amp; Diez Roux, A., 2002. The contextual effect of the local food environment on residents’ diets: the atherosclerosis risk in communities study. </w:instrText>
      </w:r>
      <w:r w:rsidRPr="00220EE3">
        <w:rPr>
          <w:rFonts w:cs="Times New Roman"/>
          <w:i/>
          <w:iCs/>
          <w:szCs w:val="24"/>
        </w:rPr>
        <w:instrText>American journal of public health</w:instrText>
      </w:r>
      <w:r w:rsidRPr="00220EE3">
        <w:rPr>
          <w:rFonts w:cs="Times New Roman"/>
          <w:szCs w:val="24"/>
        </w:rPr>
        <w:instrText>, 92(11), pp.1761–7. Available at: http://www.ncbi.nlm.nih.gov/pubmed/12406805 [Accessed April 25, 2017].</w:instrText>
      </w:r>
    </w:p>
    <w:p w14:paraId="70D6BD66"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Rahmanian, E. et al., 2014. The association between the built environment and dietary intake - a systematic review. </w:instrText>
      </w:r>
      <w:r w:rsidRPr="00220EE3">
        <w:rPr>
          <w:rFonts w:cs="Times New Roman"/>
          <w:i/>
          <w:iCs/>
          <w:szCs w:val="24"/>
        </w:rPr>
        <w:instrText>Asia Pacific journal of clinical nutrition</w:instrText>
      </w:r>
      <w:r w:rsidRPr="00220EE3">
        <w:rPr>
          <w:rFonts w:cs="Times New Roman"/>
          <w:szCs w:val="24"/>
        </w:rPr>
        <w:instrText>, 23(2), pp.183–96. Available at: http://www.ncbi.nlm.nih.gov/pubmed/24901086 [Accessed March 29, 2017].</w:instrText>
      </w:r>
    </w:p>
    <w:p w14:paraId="792CD675"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Rummo, P.E. et al., 2017. How do individual-level sociodemographics and neighbourhood-level characteristics influence residential location behaviour in the context of the food and built environment? Findings from 25 years of follow-up in the CARDIA Study. </w:instrText>
      </w:r>
      <w:r w:rsidRPr="00220EE3">
        <w:rPr>
          <w:rFonts w:cs="Times New Roman"/>
          <w:i/>
          <w:iCs/>
          <w:szCs w:val="24"/>
        </w:rPr>
        <w:instrText>J Epidemiol Community Health</w:instrText>
      </w:r>
      <w:r w:rsidRPr="00220EE3">
        <w:rPr>
          <w:rFonts w:cs="Times New Roman"/>
          <w:szCs w:val="24"/>
        </w:rPr>
        <w:instrText>, 71, pp.261–268. Available at: http://dx.doi.org/10.1136/jech-2016-207249.</w:instrText>
      </w:r>
    </w:p>
    <w:p w14:paraId="482C2FA1"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Statistics Finland, 2013. </w:instrText>
      </w:r>
      <w:r w:rsidRPr="00220EE3">
        <w:rPr>
          <w:rFonts w:cs="Times New Roman"/>
          <w:i/>
          <w:iCs/>
          <w:szCs w:val="24"/>
        </w:rPr>
        <w:instrText>Grid Database</w:instrText>
      </w:r>
      <w:r w:rsidRPr="00220EE3">
        <w:rPr>
          <w:rFonts w:cs="Times New Roman"/>
          <w:szCs w:val="24"/>
        </w:rPr>
        <w:instrText>, Available at: http://www.tilastokeskus.fi/tup/ruututietokanta/index_en.html.</w:instrText>
      </w:r>
    </w:p>
    <w:p w14:paraId="622C0755"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Suominen, S. et al., 2012. Non-response in a nationwide follow-up postal survey in Finland: a register-based mortality analysis of respondents and non-respondents of the Health and Social Support (HeSSup) Study. </w:instrText>
      </w:r>
      <w:r w:rsidRPr="00220EE3">
        <w:rPr>
          <w:rFonts w:cs="Times New Roman"/>
          <w:i/>
          <w:iCs/>
          <w:szCs w:val="24"/>
        </w:rPr>
        <w:instrText>BMJ open</w:instrText>
      </w:r>
      <w:r w:rsidRPr="00220EE3">
        <w:rPr>
          <w:rFonts w:cs="Times New Roman"/>
          <w:szCs w:val="24"/>
        </w:rPr>
        <w:instrText>, 2(2), p.e000657. Available at: http://www.ncbi.nlm.nih.gov/pubmed/22422917 [Accessed May 9, 2017].</w:instrText>
      </w:r>
    </w:p>
    <w:p w14:paraId="4E222B88"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Turrell, G. et al., 2009. A multilevel study of area socio-economic status and food purchasing behaviour. </w:instrText>
      </w:r>
      <w:r w:rsidRPr="00220EE3">
        <w:rPr>
          <w:rFonts w:cs="Times New Roman"/>
          <w:i/>
          <w:iCs/>
          <w:szCs w:val="24"/>
        </w:rPr>
        <w:instrText>Public Health Nutrition</w:instrText>
      </w:r>
      <w:r w:rsidRPr="00220EE3">
        <w:rPr>
          <w:rFonts w:cs="Times New Roman"/>
          <w:szCs w:val="24"/>
        </w:rPr>
        <w:instrText>, 12(11), pp.2074–2083. Available at: http://www.ncbi.nlm.nih.gov/pubmed/19243671 [Accessed March 29, 2017].</w:instrText>
      </w:r>
    </w:p>
    <w:p w14:paraId="0FECF094"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Wang, M.C. et al., 2007. Socioeconomic and food-related physical characteristics of the neighbourhood environment are associated with body mass index. </w:instrText>
      </w:r>
      <w:r w:rsidRPr="00220EE3">
        <w:rPr>
          <w:rFonts w:cs="Times New Roman"/>
          <w:i/>
          <w:iCs/>
          <w:szCs w:val="24"/>
        </w:rPr>
        <w:instrText>Journal of epidemiology and community health</w:instrText>
      </w:r>
      <w:r w:rsidRPr="00220EE3">
        <w:rPr>
          <w:rFonts w:cs="Times New Roman"/>
          <w:szCs w:val="24"/>
        </w:rPr>
        <w:instrText>, 61(6), pp.491–8. Available at: http://www.ncbi.nlm.nih.gov/pubmed/17496257 [Accessed March 31, 2017].</w:instrText>
      </w:r>
    </w:p>
    <w:p w14:paraId="0FD60E06" w14:textId="77777777" w:rsidR="005509C9" w:rsidRPr="00220EE3" w:rsidRDefault="005509C9" w:rsidP="005509C9">
      <w:pPr>
        <w:widowControl w:val="0"/>
        <w:autoSpaceDE w:val="0"/>
        <w:autoSpaceDN w:val="0"/>
        <w:adjustRightInd w:val="0"/>
        <w:spacing w:after="0" w:line="360" w:lineRule="auto"/>
        <w:ind w:left="480" w:hanging="480"/>
        <w:rPr>
          <w:rFonts w:cs="Times New Roman"/>
          <w:szCs w:val="24"/>
        </w:rPr>
      </w:pPr>
      <w:r w:rsidRPr="00220EE3">
        <w:rPr>
          <w:rFonts w:cs="Times New Roman"/>
          <w:szCs w:val="24"/>
        </w:rPr>
        <w:instrText xml:space="preserve">WHO, 2014. </w:instrText>
      </w:r>
      <w:r w:rsidRPr="00220EE3">
        <w:rPr>
          <w:rFonts w:cs="Times New Roman"/>
          <w:i/>
          <w:iCs/>
          <w:szCs w:val="24"/>
        </w:rPr>
        <w:instrText>MONITORING HEALTH INEQUALITY An essential step for achieving health equity</w:instrText>
      </w:r>
      <w:r w:rsidRPr="00220EE3">
        <w:rPr>
          <w:rFonts w:cs="Times New Roman"/>
          <w:szCs w:val="24"/>
        </w:rPr>
        <w:instrText>, Available at: www.</w:instrText>
      </w:r>
    </w:p>
    <w:p w14:paraId="21E4AEC2" w14:textId="77777777" w:rsidR="005509C9" w:rsidRPr="00220EE3" w:rsidRDefault="005509C9" w:rsidP="005509C9">
      <w:pPr>
        <w:widowControl w:val="0"/>
        <w:autoSpaceDE w:val="0"/>
        <w:autoSpaceDN w:val="0"/>
        <w:adjustRightInd w:val="0"/>
        <w:spacing w:after="0" w:line="360" w:lineRule="auto"/>
        <w:ind w:left="480" w:hanging="480"/>
      </w:pPr>
      <w:r w:rsidRPr="00220EE3">
        <w:rPr>
          <w:rFonts w:cs="Times New Roman"/>
          <w:szCs w:val="24"/>
        </w:rPr>
        <w:instrText xml:space="preserve">Wirfält, E., Drake, I. &amp; Wallström, P., 2013. What do review papers conclude about food and dietary patterns? </w:instrText>
      </w:r>
      <w:r w:rsidRPr="00220EE3">
        <w:rPr>
          <w:rFonts w:cs="Times New Roman"/>
          <w:i/>
          <w:iCs/>
          <w:szCs w:val="24"/>
        </w:rPr>
        <w:instrText>Food &amp; nutrition research</w:instrText>
      </w:r>
      <w:r w:rsidRPr="00220EE3">
        <w:rPr>
          <w:rFonts w:cs="Times New Roman"/>
          <w:szCs w:val="24"/>
        </w:rPr>
        <w:instrText>, 57. Available at: http://www.ncbi.nlm.nih.gov/pubmed/23467387 [Accessed June 6, 2017].</w:instrText>
      </w:r>
    </w:p>
    <w:p w14:paraId="7F62111B" w14:textId="0E2EA2B8" w:rsidR="00B6296F" w:rsidRPr="00B6296F" w:rsidRDefault="00B70F9A" w:rsidP="00B6296F">
      <w:pPr>
        <w:widowControl w:val="0"/>
        <w:autoSpaceDE w:val="0"/>
        <w:autoSpaceDN w:val="0"/>
        <w:adjustRightInd w:val="0"/>
        <w:spacing w:after="0" w:line="360" w:lineRule="auto"/>
        <w:ind w:left="480" w:hanging="480"/>
        <w:rPr>
          <w:rFonts w:cs="Times New Roman"/>
          <w:noProof/>
          <w:szCs w:val="24"/>
        </w:rPr>
      </w:pPr>
      <w:r w:rsidRPr="00220EE3">
        <w:rPr>
          <w:rFonts w:eastAsia="Times New Roman"/>
          <w:lang w:eastAsia="fi-FI"/>
        </w:rPr>
        <w:fldChar w:fldCharType="separate"/>
      </w:r>
      <w:r w:rsidR="00B6296F" w:rsidRPr="008B6C7A">
        <w:rPr>
          <w:rFonts w:cs="Times New Roman"/>
          <w:noProof/>
          <w:szCs w:val="24"/>
          <w:lang w:val="de-DE"/>
        </w:rPr>
        <w:t xml:space="preserve">Algren, M.H., Bak, C.K., Berg-Beckhoff, G., Andersen, P.T., 2015. </w:t>
      </w:r>
      <w:r w:rsidR="00B6296F" w:rsidRPr="00B6296F">
        <w:rPr>
          <w:rFonts w:cs="Times New Roman"/>
          <w:noProof/>
          <w:szCs w:val="24"/>
        </w:rPr>
        <w:t>Health-risk behaviour in deprived neighbourhoods compared with non-deprived neighbourhoods: A systematic literature review of quantitative observational studies. PLoS ONE. https://doi.org/10.1371/journal.pone.0139297</w:t>
      </w:r>
    </w:p>
    <w:p w14:paraId="70373E07"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B6296F">
        <w:rPr>
          <w:rFonts w:cs="Times New Roman"/>
          <w:noProof/>
          <w:szCs w:val="24"/>
        </w:rPr>
        <w:t>Alves, L., Silva, S., Severo, M., Costa, D., Pina, M.F., Barros, H., Azevedo, A., 2013. Association between neighborhood deprivation and fruits and vegetables consumption and leisure-time physical activity: a cross-sectional multilevel analysis. BMC Public Health 13, 1103. https://doi.org/10.1186/1471-2458-13-1103</w:t>
      </w:r>
    </w:p>
    <w:p w14:paraId="12539140"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B6296F">
        <w:rPr>
          <w:rFonts w:cs="Times New Roman"/>
          <w:noProof/>
          <w:szCs w:val="24"/>
        </w:rPr>
        <w:t xml:space="preserve">Andruff, H., Carraro, N., Thompson, A., Gaudreau, P., Louvet, B., 2009. Latent Class Growth </w:t>
      </w:r>
      <w:r w:rsidRPr="00B6296F">
        <w:rPr>
          <w:rFonts w:cs="Times New Roman"/>
          <w:noProof/>
          <w:szCs w:val="24"/>
        </w:rPr>
        <w:lastRenderedPageBreak/>
        <w:t>Modelling: A Tutorial. Tutorials in Quantitative Methods for Psychology 5, 11–24. https://doi.org/10.20982/tqmp.05.1.p011</w:t>
      </w:r>
    </w:p>
    <w:p w14:paraId="2AF7FDB9"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B6296F">
        <w:rPr>
          <w:rFonts w:cs="Times New Roman"/>
          <w:noProof/>
          <w:szCs w:val="24"/>
        </w:rPr>
        <w:t>Ball, K., Lamb, K.E., Costa, C., Cutumisu, N., Ellaway, A., Kamphuis, C.B.M., Mentz, G., Pearce, J., Santana, P., Santos, R., Schulz, A.J., Spence, J.C., Thornton, L.E., van Lenthe, F.J., Zenk, S.N., 2015. Neighbourhood socioeconomic disadvantage and fruit and vegetable consumption: a seven countries comparison. The International Journal of Behavioral Nutrition and Physical Activity 12, 68. https://doi.org/10.1186/s12966-015-0229-x</w:t>
      </w:r>
    </w:p>
    <w:p w14:paraId="06CD61E6"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B6296F">
        <w:rPr>
          <w:rFonts w:cs="Times New Roman"/>
          <w:noProof/>
          <w:szCs w:val="24"/>
        </w:rPr>
        <w:t>Beaulac, J., Kristjansson, E., Cummins, S., 2009. A systematic review of food deserts, 1966-2007. Preventing Chronic Disease 6, A105.</w:t>
      </w:r>
    </w:p>
    <w:p w14:paraId="1031772B"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B6296F">
        <w:rPr>
          <w:rFonts w:cs="Times New Roman"/>
          <w:noProof/>
          <w:szCs w:val="24"/>
        </w:rPr>
        <w:t xml:space="preserve">Becker, W., Lyhne, N., Pedersen, A.N., Aro, A., Fogelholm, M., Þhó, I., Alexander, J., Anderssen, S.A., Meltzer, H.M., Pedersen, J.I., 2004. Nordic Nutrition Recommendations 2004 </w:t>
      </w:r>
      <w:r w:rsidRPr="00B6296F">
        <w:rPr>
          <w:rFonts w:cs="Times New Roman"/>
          <w:noProof/>
          <w:szCs w:val="24"/>
        </w:rPr>
        <w:lastRenderedPageBreak/>
        <w:t>Á/ integrating nutrition and physical activity. Scandinavian Journal of Nutrition 48, 178–187. https://doi.org/10.1080/1102680410003794</w:t>
      </w:r>
    </w:p>
    <w:p w14:paraId="54B57274"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B6296F">
        <w:rPr>
          <w:rFonts w:cs="Times New Roman"/>
          <w:noProof/>
          <w:szCs w:val="24"/>
        </w:rPr>
        <w:t>Black, C., Moon, G., Baird, J., 2014. Dietary inequalities: what is the evidence for the effect of the neighbourhood food environment? Health &amp; Place 27, 229–242. https://doi.org/10.1016/j.healthplace.2013.09.015</w:t>
      </w:r>
    </w:p>
    <w:p w14:paraId="4FF4B112"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B6296F">
        <w:rPr>
          <w:rFonts w:cs="Times New Roman"/>
          <w:noProof/>
          <w:szCs w:val="24"/>
        </w:rPr>
        <w:t>Cummins, S., Macintyre, S., 2006. Food environments and obesity - Neighbourhood or nation? International Journal of Epidemiology. https://doi.org/10.1093/ije/dyi276</w:t>
      </w:r>
    </w:p>
    <w:p w14:paraId="7939CCB6"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B6296F">
        <w:rPr>
          <w:rFonts w:cs="Times New Roman"/>
          <w:noProof/>
          <w:szCs w:val="24"/>
        </w:rPr>
        <w:t>Drewnowski, A., Aggarwal, A., Cook, A., Stewart, O., Moudon, A.V., 2016. Geographic disparities in Healthy Eating Index scores (HEI-2005 and 2010) by residential property values: Findings from Seattle Obesity Study (SOS). Preventive Medicine 83, 46–55. https://doi.org/10.1016/j.ypmed.2015.11.021</w:t>
      </w:r>
    </w:p>
    <w:p w14:paraId="396F65C4"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B6296F">
        <w:rPr>
          <w:rFonts w:cs="Times New Roman"/>
          <w:noProof/>
          <w:szCs w:val="24"/>
        </w:rPr>
        <w:lastRenderedPageBreak/>
        <w:t>Dubowitz, T., Heron, M., Bird, C.E., Lurie, N., Finch, B.K., Basurto-Dávila, R., Hale, L., Escarce, J.J., 2008. Neighborhood socioeconomic status and fruit and vegetable intake among whites, blacks, and Mexican Americans in the United States. The American Journal of Clinical Nutrition 87, 1883–1891. https://doi.org/10.1016/j.micinf.2011.07.011.Innate</w:t>
      </w:r>
    </w:p>
    <w:p w14:paraId="019FEF97"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B6296F">
        <w:rPr>
          <w:rFonts w:cs="Times New Roman"/>
          <w:noProof/>
          <w:szCs w:val="24"/>
        </w:rPr>
        <w:t>Fleischhacker, S.E., Evenson, K.R., Rodriguez, D.A., Ammerman, A.S., 2011. A systematic review of fast food access studies. Obesity Reviews 12, e460–e471. https://doi.org/10.1111/j.1467-789X.2010.00715.x</w:t>
      </w:r>
    </w:p>
    <w:p w14:paraId="6FB73018"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8B6C7A">
        <w:rPr>
          <w:rFonts w:cs="Times New Roman"/>
          <w:noProof/>
          <w:szCs w:val="24"/>
          <w:lang w:val="sv-SE"/>
        </w:rPr>
        <w:t xml:space="preserve">Galobardes, B., Morabia, A., Bernstein, M., 2001. </w:t>
      </w:r>
      <w:r w:rsidRPr="00B6296F">
        <w:rPr>
          <w:rFonts w:cs="Times New Roman"/>
          <w:noProof/>
          <w:szCs w:val="24"/>
        </w:rPr>
        <w:t>Diet and socioeconomic position: does the use of different indicators matter? International Journal of Epidemiology 30, 334–40.</w:t>
      </w:r>
    </w:p>
    <w:p w14:paraId="61BD0A6B"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B6296F">
        <w:rPr>
          <w:rFonts w:cs="Times New Roman"/>
          <w:noProof/>
          <w:szCs w:val="24"/>
        </w:rPr>
        <w:t xml:space="preserve">GBD 2016, Collaborators, 2017. Global, regional, and national comparative risk assessment of 84 behavioural, environmental and occupational, and metabolic risks or clusters of risks, </w:t>
      </w:r>
      <w:r w:rsidRPr="00B6296F">
        <w:rPr>
          <w:rFonts w:cs="Times New Roman"/>
          <w:noProof/>
          <w:szCs w:val="24"/>
        </w:rPr>
        <w:lastRenderedPageBreak/>
        <w:t>1990–2016: a systematic analysis for the Global Burden of Disease Study 2016. The Lancet 390, 1345–1422. https://doi.org/10.1016/S0140-6736(17)32366-8</w:t>
      </w:r>
    </w:p>
    <w:p w14:paraId="2C45A06F"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B6296F">
        <w:rPr>
          <w:rFonts w:cs="Times New Roman"/>
          <w:noProof/>
          <w:szCs w:val="24"/>
        </w:rPr>
        <w:t>Giskes, K., Turrell, G., van Lenthe, F.J., Brug, J., Mackenbach, J.P., 2006. A multilevel study of socio-economic inequalities in food choice behaviour and dietary intake among the Dutch population: the GLOBE study. Public Health Nutrition 9, 75–83.</w:t>
      </w:r>
    </w:p>
    <w:p w14:paraId="06289BF1"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E4561A">
        <w:rPr>
          <w:rFonts w:cs="Times New Roman"/>
          <w:noProof/>
          <w:szCs w:val="24"/>
        </w:rPr>
        <w:t xml:space="preserve">Gordon-Larsen, P., Popkin, B., 2011. </w:t>
      </w:r>
      <w:r w:rsidRPr="00B6296F">
        <w:rPr>
          <w:rFonts w:cs="Times New Roman"/>
          <w:noProof/>
          <w:szCs w:val="24"/>
        </w:rPr>
        <w:t>Understanding socioeconomic and racial/ethnic status disparities in diet, exercise, and weight: underlying contextual factors and pathways. Journal of the American Dietetic Association 111, 1816–9. https://doi.org/10.1016/j.jada.2011.09.017</w:t>
      </w:r>
    </w:p>
    <w:p w14:paraId="5EF32951" w14:textId="38F898FF" w:rsidR="00B6296F" w:rsidRPr="00F23671" w:rsidRDefault="00B6296F" w:rsidP="00B6296F">
      <w:pPr>
        <w:widowControl w:val="0"/>
        <w:autoSpaceDE w:val="0"/>
        <w:autoSpaceDN w:val="0"/>
        <w:adjustRightInd w:val="0"/>
        <w:spacing w:after="0" w:line="360" w:lineRule="auto"/>
        <w:ind w:left="480" w:hanging="480"/>
        <w:rPr>
          <w:rFonts w:cs="Times New Roman"/>
          <w:noProof/>
          <w:szCs w:val="24"/>
          <w:lang w:val="fi-FI"/>
        </w:rPr>
      </w:pPr>
      <w:r w:rsidRPr="00F23671">
        <w:rPr>
          <w:rFonts w:cs="Times New Roman"/>
          <w:noProof/>
          <w:szCs w:val="24"/>
          <w:lang w:val="fi-FI"/>
        </w:rPr>
        <w:t>Halonen, J.I., Kivimäki, M</w:t>
      </w:r>
      <w:r w:rsidR="00F23671">
        <w:rPr>
          <w:rFonts w:cs="Times New Roman"/>
          <w:noProof/>
          <w:szCs w:val="24"/>
          <w:lang w:val="fi-FI"/>
        </w:rPr>
        <w:t>J</w:t>
      </w:r>
      <w:r w:rsidRPr="00F23671">
        <w:rPr>
          <w:rFonts w:cs="Times New Roman"/>
          <w:noProof/>
          <w:szCs w:val="24"/>
          <w:lang w:val="fi-FI"/>
        </w:rPr>
        <w:t xml:space="preserve">., Pentti, J., Kawachi, I., Virtanen, M., Martikainen, P., Subramanian, S. V, Vahtera, J., 2012. </w:t>
      </w:r>
      <w:r w:rsidRPr="00B6296F">
        <w:rPr>
          <w:rFonts w:cs="Times New Roman"/>
          <w:noProof/>
          <w:szCs w:val="24"/>
        </w:rPr>
        <w:t xml:space="preserve">Quantifying neighbourhood socioeconomic effects in clustering of behaviour-related risk factors: a multilevel analysis. </w:t>
      </w:r>
      <w:r w:rsidRPr="00F23671">
        <w:rPr>
          <w:rFonts w:cs="Times New Roman"/>
          <w:noProof/>
          <w:szCs w:val="24"/>
          <w:lang w:val="fi-FI"/>
        </w:rPr>
        <w:t xml:space="preserve">PloS ONE 7, e32937. </w:t>
      </w:r>
      <w:r w:rsidRPr="00F23671">
        <w:rPr>
          <w:rFonts w:cs="Times New Roman"/>
          <w:noProof/>
          <w:szCs w:val="24"/>
          <w:lang w:val="fi-FI"/>
        </w:rPr>
        <w:lastRenderedPageBreak/>
        <w:t>https://doi.org/10.1371/journal.pone.0032937</w:t>
      </w:r>
    </w:p>
    <w:p w14:paraId="3184EE2E" w14:textId="34125178" w:rsidR="00B6296F" w:rsidRPr="00E4561A" w:rsidRDefault="00B6296F" w:rsidP="00B6296F">
      <w:pPr>
        <w:widowControl w:val="0"/>
        <w:autoSpaceDE w:val="0"/>
        <w:autoSpaceDN w:val="0"/>
        <w:adjustRightInd w:val="0"/>
        <w:spacing w:after="0" w:line="360" w:lineRule="auto"/>
        <w:ind w:left="480" w:hanging="480"/>
        <w:rPr>
          <w:rFonts w:cs="Times New Roman"/>
          <w:noProof/>
          <w:szCs w:val="24"/>
        </w:rPr>
      </w:pPr>
      <w:r w:rsidRPr="00F23671">
        <w:rPr>
          <w:rFonts w:cs="Times New Roman"/>
          <w:noProof/>
          <w:szCs w:val="24"/>
          <w:lang w:val="fi-FI"/>
        </w:rPr>
        <w:t>Halonen, J.I., Pulakka, A., Stenholm, S., Pentti, J., Kawachi, I., Kivimäki, M</w:t>
      </w:r>
      <w:r w:rsidR="00F23671">
        <w:rPr>
          <w:rFonts w:cs="Times New Roman"/>
          <w:noProof/>
          <w:szCs w:val="24"/>
          <w:lang w:val="fi-FI"/>
        </w:rPr>
        <w:t>J</w:t>
      </w:r>
      <w:r w:rsidRPr="00F23671">
        <w:rPr>
          <w:rFonts w:cs="Times New Roman"/>
          <w:noProof/>
          <w:szCs w:val="24"/>
          <w:lang w:val="fi-FI"/>
        </w:rPr>
        <w:t xml:space="preserve">., Vahtera, J., 2016. </w:t>
      </w:r>
      <w:r w:rsidRPr="00B6296F">
        <w:rPr>
          <w:rFonts w:cs="Times New Roman"/>
          <w:noProof/>
          <w:szCs w:val="24"/>
        </w:rPr>
        <w:t xml:space="preserve">Change in neighborhood disadvantage and change in smoking behaviors in adults: A longitudinal, within-individual study. </w:t>
      </w:r>
      <w:r w:rsidRPr="00E4561A">
        <w:rPr>
          <w:rFonts w:cs="Times New Roman"/>
          <w:noProof/>
          <w:szCs w:val="24"/>
        </w:rPr>
        <w:t>Epidemiology 27, 803–809. https://doi.org/10.1097/EDE.0000000000000530</w:t>
      </w:r>
    </w:p>
    <w:p w14:paraId="53B227D0" w14:textId="72260E1E" w:rsidR="00B6296F" w:rsidRPr="00F23671" w:rsidRDefault="00B6296F" w:rsidP="00B6296F">
      <w:pPr>
        <w:widowControl w:val="0"/>
        <w:autoSpaceDE w:val="0"/>
        <w:autoSpaceDN w:val="0"/>
        <w:adjustRightInd w:val="0"/>
        <w:spacing w:after="0" w:line="360" w:lineRule="auto"/>
        <w:ind w:left="480" w:hanging="480"/>
        <w:rPr>
          <w:rFonts w:cs="Times New Roman"/>
          <w:noProof/>
          <w:szCs w:val="24"/>
          <w:lang w:val="fi-FI"/>
        </w:rPr>
      </w:pPr>
      <w:r w:rsidRPr="00E4561A">
        <w:rPr>
          <w:rFonts w:cs="Times New Roman"/>
          <w:noProof/>
          <w:szCs w:val="24"/>
        </w:rPr>
        <w:t>Halonen, J.I., Stenholm, S., Pentti, J., Kawachi, I., Subramanian, S.V., Kivimäki, M</w:t>
      </w:r>
      <w:r w:rsidR="00F23671" w:rsidRPr="00E4561A">
        <w:rPr>
          <w:rFonts w:cs="Times New Roman"/>
          <w:noProof/>
          <w:szCs w:val="24"/>
        </w:rPr>
        <w:t>J</w:t>
      </w:r>
      <w:r w:rsidRPr="00E4561A">
        <w:rPr>
          <w:rFonts w:cs="Times New Roman"/>
          <w:noProof/>
          <w:szCs w:val="24"/>
        </w:rPr>
        <w:t xml:space="preserve">., Vahtera, J., 2015. </w:t>
      </w:r>
      <w:r w:rsidRPr="00B6296F">
        <w:rPr>
          <w:rFonts w:cs="Times New Roman"/>
          <w:noProof/>
          <w:szCs w:val="24"/>
        </w:rPr>
        <w:t xml:space="preserve">Childhood Psychosocial Adversity and Adult Neighborhood Disadvantage as Predictors of Cardiovascular DiseaseClinical Perspective. </w:t>
      </w:r>
      <w:r w:rsidRPr="00F23671">
        <w:rPr>
          <w:rFonts w:cs="Times New Roman"/>
          <w:noProof/>
          <w:szCs w:val="24"/>
          <w:lang w:val="fi-FI"/>
        </w:rPr>
        <w:t>Circulation 132, 371–379.</w:t>
      </w:r>
    </w:p>
    <w:p w14:paraId="74AE2CE1"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F23671">
        <w:rPr>
          <w:rFonts w:cs="Times New Roman"/>
          <w:noProof/>
          <w:szCs w:val="24"/>
          <w:lang w:val="fi-FI"/>
        </w:rPr>
        <w:t xml:space="preserve">Helldán, A., Raulio, S., Kosola, M., Tapanainen, H., Ovaskainen, M.-L., Virtanen, S., 2013. </w:t>
      </w:r>
      <w:r w:rsidRPr="00B6296F">
        <w:rPr>
          <w:rFonts w:cs="Times New Roman"/>
          <w:noProof/>
          <w:szCs w:val="24"/>
        </w:rPr>
        <w:t>Finravinto 2012 -tutkimus The National FINDIET 2012 Survey.</w:t>
      </w:r>
    </w:p>
    <w:p w14:paraId="58FC972B"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B6296F">
        <w:rPr>
          <w:rFonts w:cs="Times New Roman"/>
          <w:noProof/>
          <w:szCs w:val="24"/>
        </w:rPr>
        <w:t xml:space="preserve">Hilmers, A., Hilmers, D.C., Dave, J., 2012. Neighborhood disparities in access to healthy foods </w:t>
      </w:r>
      <w:r w:rsidRPr="00B6296F">
        <w:rPr>
          <w:rFonts w:cs="Times New Roman"/>
          <w:noProof/>
          <w:szCs w:val="24"/>
        </w:rPr>
        <w:lastRenderedPageBreak/>
        <w:t>and their effects on environmental justice. American Journal of Public Health 102, 1644–1654. https://doi.org/10.2105/AJPH.2012.300865</w:t>
      </w:r>
    </w:p>
    <w:p w14:paraId="6D4027F5"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B6296F">
        <w:rPr>
          <w:rFonts w:cs="Times New Roman"/>
          <w:noProof/>
          <w:szCs w:val="24"/>
        </w:rPr>
        <w:t>Hu, F.B., Rimm, E., Smith-Warner, S.A., Feskanich, D., Stampfer, M.J., Ascherio, A., Sampson, L., Willett, W.C., 1999. Reproducibility and validity of dietary patterns assessed with a food-frequency questionnaire. The American Journal of Clinical Nutrition 69, 243–249.</w:t>
      </w:r>
    </w:p>
    <w:p w14:paraId="5149CBF4"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B6296F">
        <w:rPr>
          <w:rFonts w:cs="Times New Roman"/>
          <w:noProof/>
          <w:szCs w:val="24"/>
        </w:rPr>
        <w:t>Hulshof, K., Brussaard, J., Kruizinga, A., Telman, J., Löwik, M., 2003. Socio-economic status, dietary intake and 10 y trends: the Dutch National Food Consumption Survey. European Journal of Clinical Nutrition 57, 128–137. https://doi.org/10.1038/sj.ejcn.1601503</w:t>
      </w:r>
    </w:p>
    <w:p w14:paraId="1722237D"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B6296F">
        <w:rPr>
          <w:rFonts w:cs="Times New Roman"/>
          <w:noProof/>
          <w:szCs w:val="24"/>
        </w:rPr>
        <w:t>IFPRI, 2017. Global food policy report 2017. https://doi.org/doi.org.10.2499/9780896292529</w:t>
      </w:r>
    </w:p>
    <w:p w14:paraId="13B82FB4"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B6296F">
        <w:rPr>
          <w:rFonts w:cs="Times New Roman"/>
          <w:noProof/>
          <w:szCs w:val="24"/>
        </w:rPr>
        <w:t xml:space="preserve">Jiao, J., Drewnowski, A., Moudon, A.V., Aggarwal, A., Oppert, J.-M., Charreire, H., Chaix, B., 2016. The impact of area residential property values on self-rated health: A cross-sectional </w:t>
      </w:r>
      <w:r w:rsidRPr="00B6296F">
        <w:rPr>
          <w:rFonts w:cs="Times New Roman"/>
          <w:noProof/>
          <w:szCs w:val="24"/>
        </w:rPr>
        <w:lastRenderedPageBreak/>
        <w:t>comparative study of Seattle and Paris. Preventive Medicine Reports 4, 68–74. https://doi.org/10.1016/j.pmedr.2016.05.008</w:t>
      </w:r>
    </w:p>
    <w:p w14:paraId="66C812C7" w14:textId="2C5E02B9"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B6296F">
        <w:rPr>
          <w:rFonts w:cs="Times New Roman"/>
          <w:noProof/>
          <w:szCs w:val="24"/>
        </w:rPr>
        <w:t>Kivimäki, M</w:t>
      </w:r>
      <w:r w:rsidR="00F23671">
        <w:rPr>
          <w:rFonts w:cs="Times New Roman"/>
          <w:noProof/>
          <w:szCs w:val="24"/>
        </w:rPr>
        <w:t>J</w:t>
      </w:r>
      <w:r w:rsidRPr="00B6296F">
        <w:rPr>
          <w:rFonts w:cs="Times New Roman"/>
          <w:noProof/>
          <w:szCs w:val="24"/>
        </w:rPr>
        <w:t>., Vahtera, J., Tabák, A.G., Halonen, J.I., Vineis, P., Pentti, J., Pahkala, K., Rovio, S., Viikari, J., Kähönen, M., Juonala, M., Ferrie, J.E., Stringhini, S., Raitakari, O.T., 2018b. Neighbourhood socioeconomic disadvantage, risk factors, and diabetes from childhood to middle age in the Young Finns Study: a cohort study. The Lancet. Public Health 3, e365–e373. https://doi.org/10.1016/S2468-2667(18)30111-7</w:t>
      </w:r>
    </w:p>
    <w:p w14:paraId="24855B99"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F23671">
        <w:rPr>
          <w:rFonts w:cs="Times New Roman"/>
          <w:noProof/>
          <w:szCs w:val="24"/>
          <w:lang w:val="fi-FI"/>
        </w:rPr>
        <w:t xml:space="preserve">Konttinen, H., Sarlio-Lähteenkorva, S., Silventoinen, K., Männistö, S., Haukkala, A., 2012. </w:t>
      </w:r>
      <w:r w:rsidRPr="00B6296F">
        <w:rPr>
          <w:rFonts w:cs="Times New Roman"/>
          <w:noProof/>
          <w:szCs w:val="24"/>
        </w:rPr>
        <w:t>Socio-economic disparities in the consumption of vegetables, fruit and energy-dense foods: the role of motive priorities. Public Health Nutrition 16, 873–882. https://doi.org/10.1017/S1368980012003540</w:t>
      </w:r>
    </w:p>
    <w:p w14:paraId="2B17C75D"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B6296F">
        <w:rPr>
          <w:rFonts w:cs="Times New Roman"/>
          <w:noProof/>
          <w:szCs w:val="24"/>
        </w:rPr>
        <w:lastRenderedPageBreak/>
        <w:t>Kreuter, F., Muthén, B., 2008. Analyzing criminal trajectory profiles: Bridging multilevel and group-based approaches using growth mixture modeling, Journal of Quantitative Criminology. https://doi.org/10.1007/s10940-007-9036-0</w:t>
      </w:r>
    </w:p>
    <w:p w14:paraId="4A47F8E7"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F23671">
        <w:rPr>
          <w:rFonts w:cs="Times New Roman"/>
          <w:noProof/>
          <w:szCs w:val="24"/>
          <w:lang w:val="fi-FI"/>
        </w:rPr>
        <w:t xml:space="preserve">Lallukka, T., Laaksonen, M., Rahkonen, O., Roos, E., Lahelma, E., 2007. </w:t>
      </w:r>
      <w:r w:rsidRPr="00B6296F">
        <w:rPr>
          <w:rFonts w:cs="Times New Roman"/>
          <w:noProof/>
          <w:szCs w:val="24"/>
        </w:rPr>
        <w:t>Multiple socio-economic circumstances and healthy food habits. European Journal of Clinical Nutrition 61, 701–710. https://doi.org/10.1038/sj.ejcn.1602583</w:t>
      </w:r>
    </w:p>
    <w:p w14:paraId="46247FA6"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B6296F">
        <w:rPr>
          <w:rFonts w:cs="Times New Roman"/>
          <w:noProof/>
          <w:szCs w:val="24"/>
        </w:rPr>
        <w:t>Larson, N.I., Story, M.T., Nelson, M.C., 2009. Neighborhood Environments: Disparities in Access to Healthy Foods in the U.S. American Journal of Preventive Medicine 36, 74–81. https://doi.org/10.1016/j.amepre.2008.09.025</w:t>
      </w:r>
    </w:p>
    <w:p w14:paraId="0141D2F5"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B6296F">
        <w:rPr>
          <w:rFonts w:cs="Times New Roman"/>
          <w:noProof/>
          <w:szCs w:val="24"/>
        </w:rPr>
        <w:t xml:space="preserve">Maguire, E.R., Burgoine, T., Monsivais, P., 2015. Area deprivation and the food environment over time: A repeated cross-sectional study on takeaway outlet density and supermarket </w:t>
      </w:r>
      <w:r w:rsidRPr="00B6296F">
        <w:rPr>
          <w:rFonts w:cs="Times New Roman"/>
          <w:noProof/>
          <w:szCs w:val="24"/>
        </w:rPr>
        <w:lastRenderedPageBreak/>
        <w:t>presence in Norfolk, UK, 1990-2008. Health &amp; Place 33, 142–147. https://doi.org/10.1016/j.healthplace.2015.02.012</w:t>
      </w:r>
    </w:p>
    <w:p w14:paraId="5546B7B3"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B6296F">
        <w:rPr>
          <w:rFonts w:cs="Times New Roman"/>
          <w:noProof/>
          <w:szCs w:val="24"/>
        </w:rPr>
        <w:t>Marmot, M., 2005. Social determinants of health inequalities. The Lancet 365, 1099–1104. https://doi.org/10.1016/S0140-6736(05)71146-6</w:t>
      </w:r>
    </w:p>
    <w:p w14:paraId="15023ECC" w14:textId="77777777" w:rsidR="00B6296F" w:rsidRPr="00F23671" w:rsidRDefault="00B6296F" w:rsidP="00B6296F">
      <w:pPr>
        <w:widowControl w:val="0"/>
        <w:autoSpaceDE w:val="0"/>
        <w:autoSpaceDN w:val="0"/>
        <w:adjustRightInd w:val="0"/>
        <w:spacing w:after="0" w:line="360" w:lineRule="auto"/>
        <w:ind w:left="480" w:hanging="480"/>
        <w:rPr>
          <w:rFonts w:cs="Times New Roman"/>
          <w:noProof/>
          <w:szCs w:val="24"/>
          <w:lang w:val="fi-FI"/>
        </w:rPr>
      </w:pPr>
      <w:r w:rsidRPr="00B6296F">
        <w:rPr>
          <w:rFonts w:cs="Times New Roman"/>
          <w:noProof/>
          <w:szCs w:val="24"/>
        </w:rPr>
        <w:t xml:space="preserve">McInerney, M., Csizmadi, I., Friedenreich, C.M., Uribe, F.A., Nettel-Aguirre, A., McLaren, L., Potestio, M., Sandalack, B., McCormack, G.R., 2016. Associations between the neighbourhood food environment, neighbourhood socioeconomic status, and diet quality: An observational study. </w:t>
      </w:r>
      <w:r w:rsidRPr="00F23671">
        <w:rPr>
          <w:rFonts w:cs="Times New Roman"/>
          <w:noProof/>
          <w:szCs w:val="24"/>
          <w:lang w:val="fi-FI"/>
        </w:rPr>
        <w:t>BMC Public Health 16, 984-. https://doi.org/10.1186/s12889-016-3631-7</w:t>
      </w:r>
    </w:p>
    <w:p w14:paraId="122FE537"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F23671">
        <w:rPr>
          <w:rFonts w:cs="Times New Roman"/>
          <w:noProof/>
          <w:szCs w:val="24"/>
          <w:lang w:val="fi-FI"/>
        </w:rPr>
        <w:t xml:space="preserve">Mikkilä, V., Räsänen, L., Raitakari, O.T., Pietinen, P., Viikari, J., 2005. </w:t>
      </w:r>
      <w:r w:rsidRPr="00B6296F">
        <w:rPr>
          <w:rFonts w:cs="Times New Roman"/>
          <w:noProof/>
          <w:szCs w:val="24"/>
        </w:rPr>
        <w:t>Consistent dietary patterns identified from childhood to adulthood: The Cardiovascular Risk in Young Finns Study. British Journal of Nutrition 93, 923–931.</w:t>
      </w:r>
    </w:p>
    <w:p w14:paraId="52791EEF"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B6296F">
        <w:rPr>
          <w:rFonts w:cs="Times New Roman"/>
          <w:noProof/>
          <w:szCs w:val="24"/>
        </w:rPr>
        <w:lastRenderedPageBreak/>
        <w:t>Monsivais, P., Aggarwal, A., Drewnowski, A., 2012. Are socio-economic disparities in diet quality explained by diet cost? Journal of Epidemiology and Community Health 66, 530–535. https://doi.org/10.1136/jech.2010.122333</w:t>
      </w:r>
    </w:p>
    <w:p w14:paraId="0BA49A42"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B6296F">
        <w:rPr>
          <w:rFonts w:cs="Times New Roman"/>
          <w:noProof/>
          <w:szCs w:val="24"/>
        </w:rPr>
        <w:t>Morland, K., Filomena, S., 2007. Disparities in the availability of fruits and vegetables between racially segregated urban neighbourhoods. Public Health Nutrition 10, 1481–1489. https://doi.org/10.1017/S1368980007000079</w:t>
      </w:r>
    </w:p>
    <w:p w14:paraId="44BE8AE0"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B6296F">
        <w:rPr>
          <w:rFonts w:cs="Times New Roman"/>
          <w:noProof/>
          <w:szCs w:val="24"/>
        </w:rPr>
        <w:t>Morland, K., Wing, S., Diez Roux, A., 2002. The contextual effect of the local food environment on residents’ diets: the atherosclerosis risk in communities study. American Journal of Public Health 92, 1761–1767.</w:t>
      </w:r>
    </w:p>
    <w:p w14:paraId="5CE2965B"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B6296F">
        <w:rPr>
          <w:rFonts w:cs="Times New Roman"/>
          <w:noProof/>
          <w:szCs w:val="24"/>
        </w:rPr>
        <w:t xml:space="preserve">Muthen, B., Muthen, L.K., 2000. Integrating Person-Centered and Variable-Centered Analyses : Growth Mixture Modeling With Latent Trajectory Classes. Alcoholism: Clininical and </w:t>
      </w:r>
      <w:r w:rsidRPr="00B6296F">
        <w:rPr>
          <w:rFonts w:cs="Times New Roman"/>
          <w:noProof/>
          <w:szCs w:val="24"/>
        </w:rPr>
        <w:lastRenderedPageBreak/>
        <w:t>Experimental Research 24, 882–891.</w:t>
      </w:r>
    </w:p>
    <w:p w14:paraId="7BAEF8DF"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B6296F">
        <w:rPr>
          <w:rFonts w:cs="Times New Roman"/>
          <w:noProof/>
          <w:szCs w:val="24"/>
        </w:rPr>
        <w:t>Nagin, D., Odgers, C.L., 2010. Group-Based Trajectory Modeling in Clinical Research. Annual Review of Clinical Psychology 6, 109–138. https://doi.org/10.1146/annurev.clinpsy.121208.131413</w:t>
      </w:r>
    </w:p>
    <w:p w14:paraId="028E7EB9"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B6296F">
        <w:rPr>
          <w:rFonts w:cs="Times New Roman"/>
          <w:noProof/>
          <w:szCs w:val="24"/>
        </w:rPr>
        <w:t>Rahmanian, E., Gasevic, D., Vukmirovich, I., Lear, S.A., 2014. The association between the built environment and dietary intake - a systematic review. Asia Pacific Journal of Clinical Nutrition 23, 183–96.</w:t>
      </w:r>
    </w:p>
    <w:p w14:paraId="2FA02E7D" w14:textId="77777777" w:rsidR="00B6296F" w:rsidRPr="008B6C7A" w:rsidRDefault="00B6296F" w:rsidP="00B6296F">
      <w:pPr>
        <w:widowControl w:val="0"/>
        <w:autoSpaceDE w:val="0"/>
        <w:autoSpaceDN w:val="0"/>
        <w:adjustRightInd w:val="0"/>
        <w:spacing w:after="0" w:line="360" w:lineRule="auto"/>
        <w:ind w:left="480" w:hanging="480"/>
        <w:rPr>
          <w:rFonts w:cs="Times New Roman"/>
          <w:noProof/>
          <w:szCs w:val="24"/>
          <w:lang w:val="fi-FI"/>
        </w:rPr>
      </w:pPr>
      <w:r w:rsidRPr="00B6296F">
        <w:rPr>
          <w:rFonts w:cs="Times New Roman"/>
          <w:noProof/>
          <w:szCs w:val="24"/>
        </w:rPr>
        <w:t xml:space="preserve">Rummo, P.E., Guilkey, D.K., Shikany, J.M., Reis, J.P., Gordon-Larsen, P., 2017. How do individual-level sociodemographics and neighbourhood-level characteristics influence residential location behaviour in the context of the food and built environment? Findings from 25 years of follow-up in the CARDIA Study. </w:t>
      </w:r>
      <w:r w:rsidRPr="008B6C7A">
        <w:rPr>
          <w:rFonts w:cs="Times New Roman"/>
          <w:noProof/>
          <w:szCs w:val="24"/>
          <w:lang w:val="fi-FI"/>
        </w:rPr>
        <w:t xml:space="preserve">Journal of Epidemiol Community Health 71, </w:t>
      </w:r>
      <w:r w:rsidRPr="008B6C7A">
        <w:rPr>
          <w:rFonts w:cs="Times New Roman"/>
          <w:noProof/>
          <w:szCs w:val="24"/>
          <w:lang w:val="fi-FI"/>
        </w:rPr>
        <w:lastRenderedPageBreak/>
        <w:t>261–268.</w:t>
      </w:r>
    </w:p>
    <w:p w14:paraId="2F243C7E" w14:textId="77777777" w:rsidR="00B6296F" w:rsidRPr="008B6C7A" w:rsidRDefault="00B6296F" w:rsidP="00B6296F">
      <w:pPr>
        <w:widowControl w:val="0"/>
        <w:autoSpaceDE w:val="0"/>
        <w:autoSpaceDN w:val="0"/>
        <w:adjustRightInd w:val="0"/>
        <w:spacing w:after="0" w:line="360" w:lineRule="auto"/>
        <w:ind w:left="480" w:hanging="480"/>
        <w:rPr>
          <w:rFonts w:cs="Times New Roman"/>
          <w:noProof/>
          <w:szCs w:val="24"/>
          <w:lang w:val="fi-FI"/>
        </w:rPr>
      </w:pPr>
      <w:r w:rsidRPr="008B6C7A">
        <w:rPr>
          <w:rFonts w:cs="Times New Roman"/>
          <w:noProof/>
          <w:szCs w:val="24"/>
          <w:lang w:val="fi-FI"/>
        </w:rPr>
        <w:t>Statistics Finland, 2013. Grid Database.</w:t>
      </w:r>
    </w:p>
    <w:p w14:paraId="1C317868"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8B6C7A">
        <w:rPr>
          <w:rFonts w:cs="Times New Roman"/>
          <w:noProof/>
          <w:szCs w:val="24"/>
          <w:lang w:val="fi-FI"/>
        </w:rPr>
        <w:t xml:space="preserve">Suominen, S., Koskenvuo, K., Sillanmäki, L., Vahtera, J., Korkeila, K., Kivimäki, M., Mattila, K.J., Virtanen, P., Sumanen, M., Rautava, P., Koskenvuo, M., 2012. </w:t>
      </w:r>
      <w:r w:rsidRPr="00B6296F">
        <w:rPr>
          <w:rFonts w:cs="Times New Roman"/>
          <w:noProof/>
          <w:szCs w:val="24"/>
        </w:rPr>
        <w:t>Non-response in a nationwide follow-up postal survey in Finland: a register-based mortality analysis of respondents and non-respondents of the Health and Social Support (HeSSup) Study. BMJ open 2, e000657. https://doi.org/10.1136/bmjopen-2011-000657</w:t>
      </w:r>
    </w:p>
    <w:p w14:paraId="30E4DDF6" w14:textId="77777777" w:rsidR="00B6296F" w:rsidRPr="00F23671" w:rsidRDefault="00B6296F" w:rsidP="00B6296F">
      <w:pPr>
        <w:widowControl w:val="0"/>
        <w:autoSpaceDE w:val="0"/>
        <w:autoSpaceDN w:val="0"/>
        <w:adjustRightInd w:val="0"/>
        <w:spacing w:after="0" w:line="360" w:lineRule="auto"/>
        <w:ind w:left="480" w:hanging="480"/>
        <w:rPr>
          <w:rFonts w:cs="Times New Roman"/>
          <w:noProof/>
          <w:szCs w:val="24"/>
          <w:lang w:val="fi-FI"/>
        </w:rPr>
      </w:pPr>
      <w:r w:rsidRPr="00B6296F">
        <w:rPr>
          <w:rFonts w:cs="Times New Roman"/>
          <w:noProof/>
          <w:szCs w:val="24"/>
        </w:rPr>
        <w:t xml:space="preserve">Turrell, G., Bentley, R., Thomas, L.R., Jolley, D., Subramanian, S., Kavanagh, A.M., 2009. A multilevel study of area socio-economic status and food purchasing behaviour. </w:t>
      </w:r>
      <w:r w:rsidRPr="00F23671">
        <w:rPr>
          <w:rFonts w:cs="Times New Roman"/>
          <w:noProof/>
          <w:szCs w:val="24"/>
          <w:lang w:val="fi-FI"/>
        </w:rPr>
        <w:t>Public Health Nutrition 12, 2074–2083. https://doi.org/10.1017/S1368980009004911</w:t>
      </w:r>
    </w:p>
    <w:p w14:paraId="5723F856"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F23671">
        <w:rPr>
          <w:rFonts w:cs="Times New Roman"/>
          <w:noProof/>
          <w:szCs w:val="24"/>
          <w:lang w:val="fi-FI"/>
        </w:rPr>
        <w:t xml:space="preserve">Vahtera, J., Kivimäki, M., Hublin, C., Korkeila, K., Suominen, S., Paunio, T., Koskenvuo, M., </w:t>
      </w:r>
      <w:r w:rsidRPr="00F23671">
        <w:rPr>
          <w:rFonts w:cs="Times New Roman"/>
          <w:noProof/>
          <w:szCs w:val="24"/>
          <w:lang w:val="fi-FI"/>
        </w:rPr>
        <w:lastRenderedPageBreak/>
        <w:t xml:space="preserve">2007. </w:t>
      </w:r>
      <w:r w:rsidRPr="00B6296F">
        <w:rPr>
          <w:rFonts w:cs="Times New Roman"/>
          <w:noProof/>
          <w:szCs w:val="24"/>
        </w:rPr>
        <w:t>Liability to anxiety and severe life events as predictors of new-onset sleep disturbances. Sleep 30, 1537–46.</w:t>
      </w:r>
    </w:p>
    <w:p w14:paraId="19FAF082"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B6296F">
        <w:rPr>
          <w:rFonts w:cs="Times New Roman"/>
          <w:noProof/>
          <w:szCs w:val="24"/>
        </w:rPr>
        <w:t>Wang, M.C., Kim, S., Gonzalez, A.A., MacLeod, K.E., Winkleby, M.A., 2007. Socioeconomic and food-related physical characteristics of the neighbourhood environment are associated with body mass index. Journal of Epidemiology and Community Health 61, 491–498. https://doi.org/10.1136/jech.2006.051680</w:t>
      </w:r>
    </w:p>
    <w:p w14:paraId="4AE968F8"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szCs w:val="24"/>
        </w:rPr>
      </w:pPr>
      <w:r w:rsidRPr="00B6296F">
        <w:rPr>
          <w:rFonts w:cs="Times New Roman"/>
          <w:noProof/>
          <w:szCs w:val="24"/>
        </w:rPr>
        <w:t>WHO, 2014. MONITORING HEALTH INEQUALITY An essential step for achieving health equity.</w:t>
      </w:r>
    </w:p>
    <w:p w14:paraId="776CBF57" w14:textId="77777777" w:rsidR="00B6296F" w:rsidRPr="00B6296F" w:rsidRDefault="00B6296F" w:rsidP="00B6296F">
      <w:pPr>
        <w:widowControl w:val="0"/>
        <w:autoSpaceDE w:val="0"/>
        <w:autoSpaceDN w:val="0"/>
        <w:adjustRightInd w:val="0"/>
        <w:spacing w:after="0" w:line="360" w:lineRule="auto"/>
        <w:ind w:left="480" w:hanging="480"/>
        <w:rPr>
          <w:rFonts w:cs="Times New Roman"/>
          <w:noProof/>
        </w:rPr>
      </w:pPr>
      <w:r w:rsidRPr="008B6C7A">
        <w:rPr>
          <w:rFonts w:cs="Times New Roman"/>
          <w:noProof/>
          <w:szCs w:val="24"/>
          <w:lang w:val="sv-SE"/>
        </w:rPr>
        <w:t xml:space="preserve">Wirfält, E., Drake, I., Wallström, P., 2013. </w:t>
      </w:r>
      <w:r w:rsidRPr="00B6296F">
        <w:rPr>
          <w:rFonts w:cs="Times New Roman"/>
          <w:noProof/>
          <w:szCs w:val="24"/>
        </w:rPr>
        <w:t>What do review papers conclude about food and dietary patterns? Food &amp; Nutrition Research 57, 20523-. https://doi.org/10.3402/fnr.v57i0.20523</w:t>
      </w:r>
    </w:p>
    <w:p w14:paraId="292B56CB" w14:textId="58DC67E7" w:rsidR="003B6D98" w:rsidRDefault="00B70F9A" w:rsidP="00426282">
      <w:pPr>
        <w:widowControl w:val="0"/>
        <w:autoSpaceDE w:val="0"/>
        <w:autoSpaceDN w:val="0"/>
        <w:adjustRightInd w:val="0"/>
        <w:spacing w:after="0" w:line="360" w:lineRule="auto"/>
        <w:ind w:left="480" w:hanging="480"/>
        <w:rPr>
          <w:rFonts w:eastAsia="Times New Roman"/>
          <w:lang w:eastAsia="fi-FI"/>
        </w:rPr>
      </w:pPr>
      <w:r w:rsidRPr="00220EE3">
        <w:rPr>
          <w:rFonts w:eastAsia="Times New Roman"/>
          <w:lang w:eastAsia="fi-FI"/>
        </w:rPr>
        <w:lastRenderedPageBreak/>
        <w:fldChar w:fldCharType="end"/>
      </w:r>
    </w:p>
    <w:p w14:paraId="1A8AE7DB" w14:textId="77777777" w:rsidR="003B6D98" w:rsidRDefault="003B6D98">
      <w:pPr>
        <w:rPr>
          <w:rFonts w:eastAsia="Times New Roman"/>
          <w:lang w:eastAsia="fi-FI"/>
        </w:rPr>
      </w:pPr>
      <w:r>
        <w:rPr>
          <w:rFonts w:eastAsia="Times New Roman"/>
          <w:lang w:eastAsia="fi-FI"/>
        </w:rPr>
        <w:br w:type="page"/>
      </w:r>
    </w:p>
    <w:p w14:paraId="5DED755A" w14:textId="77777777" w:rsidR="003B6D98" w:rsidRPr="00F840C4" w:rsidRDefault="003B6D98" w:rsidP="003B6D98">
      <w:pPr>
        <w:shd w:val="clear" w:color="auto" w:fill="FFFFFF"/>
        <w:spacing w:after="0" w:line="360" w:lineRule="auto"/>
        <w:rPr>
          <w:rFonts w:eastAsia="Times New Roman" w:cs="Times New Roman"/>
          <w:szCs w:val="24"/>
          <w:lang w:eastAsia="fi-FI"/>
        </w:rPr>
      </w:pPr>
      <w:r w:rsidRPr="00F840C4">
        <w:rPr>
          <w:rFonts w:eastAsia="Times New Roman" w:cs="Times New Roman"/>
          <w:color w:val="2E2E2E"/>
          <w:szCs w:val="24"/>
          <w:lang w:eastAsia="fi-FI"/>
        </w:rPr>
        <w:lastRenderedPageBreak/>
        <w:t>Table 1. Dietary recommendation</w:t>
      </w:r>
      <w:r>
        <w:rPr>
          <w:rFonts w:eastAsia="Times New Roman" w:cs="Times New Roman"/>
          <w:color w:val="2E2E2E"/>
          <w:szCs w:val="24"/>
          <w:lang w:eastAsia="fi-FI"/>
        </w:rPr>
        <w:t>s</w:t>
      </w:r>
      <w:r w:rsidRPr="00F840C4">
        <w:rPr>
          <w:rFonts w:eastAsia="Times New Roman" w:cs="Times New Roman"/>
          <w:color w:val="2E2E2E"/>
          <w:szCs w:val="24"/>
          <w:lang w:eastAsia="fi-FI"/>
        </w:rPr>
        <w:t xml:space="preserve"> according to Nordic Nutrition Recommendation 2004 and proportions of </w:t>
      </w:r>
      <w:r>
        <w:rPr>
          <w:rFonts w:eastAsia="Times New Roman" w:cs="Times New Roman"/>
          <w:color w:val="2E2E2E"/>
          <w:szCs w:val="24"/>
          <w:lang w:eastAsia="fi-FI"/>
        </w:rPr>
        <w:t>the study participants</w:t>
      </w:r>
      <w:r w:rsidRPr="00F840C4">
        <w:rPr>
          <w:rFonts w:eastAsia="Times New Roman" w:cs="Times New Roman"/>
          <w:color w:val="2E2E2E"/>
          <w:szCs w:val="24"/>
          <w:lang w:eastAsia="fi-FI"/>
        </w:rPr>
        <w:t xml:space="preserve"> following them. </w:t>
      </w:r>
    </w:p>
    <w:tbl>
      <w:tblPr>
        <w:tblStyle w:val="TableGrid"/>
        <w:tblW w:w="9921"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4"/>
        <w:gridCol w:w="1701"/>
        <w:gridCol w:w="2211"/>
        <w:gridCol w:w="4025"/>
      </w:tblGrid>
      <w:tr w:rsidR="003B6D98" w:rsidRPr="00F840C4" w14:paraId="33EDD7B2" w14:textId="77777777" w:rsidTr="00476B25">
        <w:trPr>
          <w:trHeight w:val="395"/>
        </w:trPr>
        <w:tc>
          <w:tcPr>
            <w:tcW w:w="1984" w:type="dxa"/>
            <w:tcBorders>
              <w:top w:val="single" w:sz="4" w:space="0" w:color="auto"/>
              <w:bottom w:val="single" w:sz="4" w:space="0" w:color="auto"/>
            </w:tcBorders>
          </w:tcPr>
          <w:p w14:paraId="79BBF1C2" w14:textId="77777777" w:rsidR="003B6D98" w:rsidRPr="00F840C4" w:rsidRDefault="003B6D98" w:rsidP="00476B25">
            <w:pPr>
              <w:autoSpaceDE w:val="0"/>
              <w:autoSpaceDN w:val="0"/>
              <w:adjustRightInd w:val="0"/>
              <w:spacing w:line="360" w:lineRule="auto"/>
              <w:rPr>
                <w:rFonts w:cs="Times New Roman"/>
                <w:b/>
                <w:szCs w:val="24"/>
              </w:rPr>
            </w:pPr>
            <w:r w:rsidRPr="00F840C4">
              <w:rPr>
                <w:rFonts w:cs="Times New Roman"/>
                <w:b/>
                <w:szCs w:val="24"/>
              </w:rPr>
              <w:t>Food item</w:t>
            </w:r>
          </w:p>
        </w:tc>
        <w:tc>
          <w:tcPr>
            <w:tcW w:w="1701" w:type="dxa"/>
            <w:tcBorders>
              <w:top w:val="single" w:sz="4" w:space="0" w:color="auto"/>
              <w:bottom w:val="single" w:sz="4" w:space="0" w:color="auto"/>
            </w:tcBorders>
          </w:tcPr>
          <w:p w14:paraId="3A36872E" w14:textId="77777777" w:rsidR="003B6D98" w:rsidRPr="00F840C4" w:rsidRDefault="003B6D98" w:rsidP="00476B25">
            <w:pPr>
              <w:autoSpaceDE w:val="0"/>
              <w:autoSpaceDN w:val="0"/>
              <w:adjustRightInd w:val="0"/>
              <w:spacing w:line="360" w:lineRule="auto"/>
              <w:rPr>
                <w:rFonts w:cs="Times New Roman"/>
                <w:b/>
                <w:szCs w:val="24"/>
              </w:rPr>
            </w:pPr>
            <w:r>
              <w:rPr>
                <w:rFonts w:cs="Times New Roman"/>
                <w:b/>
                <w:szCs w:val="24"/>
              </w:rPr>
              <w:t>Response</w:t>
            </w:r>
            <w:r w:rsidRPr="00F840C4">
              <w:rPr>
                <w:rFonts w:cs="Times New Roman"/>
                <w:b/>
                <w:szCs w:val="24"/>
              </w:rPr>
              <w:t xml:space="preserve"> alternative</w:t>
            </w:r>
          </w:p>
        </w:tc>
        <w:tc>
          <w:tcPr>
            <w:tcW w:w="2211" w:type="dxa"/>
            <w:tcBorders>
              <w:top w:val="single" w:sz="4" w:space="0" w:color="auto"/>
              <w:bottom w:val="single" w:sz="4" w:space="0" w:color="auto"/>
            </w:tcBorders>
          </w:tcPr>
          <w:p w14:paraId="58ECB22C" w14:textId="77777777" w:rsidR="003B6D98" w:rsidRPr="00F840C4" w:rsidRDefault="003B6D98" w:rsidP="00476B25">
            <w:pPr>
              <w:autoSpaceDE w:val="0"/>
              <w:autoSpaceDN w:val="0"/>
              <w:adjustRightInd w:val="0"/>
              <w:spacing w:line="360" w:lineRule="auto"/>
              <w:jc w:val="center"/>
              <w:rPr>
                <w:rFonts w:cs="Times New Roman"/>
                <w:b/>
                <w:szCs w:val="24"/>
              </w:rPr>
            </w:pPr>
            <w:r w:rsidRPr="00F840C4">
              <w:rPr>
                <w:rFonts w:cs="Times New Roman"/>
                <w:b/>
                <w:szCs w:val="24"/>
              </w:rPr>
              <w:t>N (%) following recommendation</w:t>
            </w:r>
          </w:p>
        </w:tc>
        <w:tc>
          <w:tcPr>
            <w:tcW w:w="4025" w:type="dxa"/>
            <w:tcBorders>
              <w:top w:val="single" w:sz="4" w:space="0" w:color="auto"/>
              <w:bottom w:val="single" w:sz="4" w:space="0" w:color="auto"/>
            </w:tcBorders>
          </w:tcPr>
          <w:p w14:paraId="0B7C203F" w14:textId="77777777" w:rsidR="003B6D98" w:rsidRPr="00F840C4" w:rsidRDefault="003B6D98" w:rsidP="00476B25">
            <w:pPr>
              <w:autoSpaceDE w:val="0"/>
              <w:autoSpaceDN w:val="0"/>
              <w:adjustRightInd w:val="0"/>
              <w:spacing w:line="360" w:lineRule="auto"/>
              <w:rPr>
                <w:rFonts w:cs="Times New Roman"/>
                <w:b/>
                <w:szCs w:val="24"/>
              </w:rPr>
            </w:pPr>
            <w:r w:rsidRPr="00F840C4">
              <w:rPr>
                <w:rFonts w:cs="Times New Roman"/>
                <w:b/>
                <w:szCs w:val="24"/>
              </w:rPr>
              <w:t>Justification</w:t>
            </w:r>
          </w:p>
        </w:tc>
      </w:tr>
      <w:tr w:rsidR="003B6D98" w:rsidRPr="00F840C4" w14:paraId="17F478F7" w14:textId="77777777" w:rsidTr="00476B25">
        <w:trPr>
          <w:trHeight w:val="992"/>
        </w:trPr>
        <w:tc>
          <w:tcPr>
            <w:tcW w:w="1984" w:type="dxa"/>
            <w:tcBorders>
              <w:top w:val="single" w:sz="4" w:space="0" w:color="auto"/>
            </w:tcBorders>
          </w:tcPr>
          <w:p w14:paraId="46789417" w14:textId="77777777" w:rsidR="003B6D98" w:rsidRPr="00F840C4" w:rsidRDefault="003B6D98" w:rsidP="00476B25">
            <w:pPr>
              <w:autoSpaceDE w:val="0"/>
              <w:autoSpaceDN w:val="0"/>
              <w:adjustRightInd w:val="0"/>
              <w:spacing w:line="360" w:lineRule="auto"/>
              <w:rPr>
                <w:rFonts w:cs="Times New Roman"/>
                <w:szCs w:val="24"/>
              </w:rPr>
            </w:pPr>
            <w:r w:rsidRPr="00F840C4">
              <w:rPr>
                <w:rFonts w:cs="Times New Roman"/>
                <w:szCs w:val="24"/>
              </w:rPr>
              <w:t>Dark bread</w:t>
            </w:r>
          </w:p>
        </w:tc>
        <w:tc>
          <w:tcPr>
            <w:tcW w:w="1701" w:type="dxa"/>
            <w:tcBorders>
              <w:top w:val="single" w:sz="4" w:space="0" w:color="auto"/>
            </w:tcBorders>
          </w:tcPr>
          <w:p w14:paraId="1AD61AB0" w14:textId="77777777" w:rsidR="003B6D98" w:rsidRPr="00F840C4" w:rsidRDefault="003B6D98" w:rsidP="00476B25">
            <w:pPr>
              <w:autoSpaceDE w:val="0"/>
              <w:autoSpaceDN w:val="0"/>
              <w:adjustRightInd w:val="0"/>
              <w:spacing w:line="360" w:lineRule="auto"/>
              <w:rPr>
                <w:rFonts w:cs="Times New Roman"/>
                <w:szCs w:val="24"/>
              </w:rPr>
            </w:pPr>
            <w:r w:rsidRPr="00F840C4">
              <w:rPr>
                <w:rFonts w:ascii="Calibri" w:eastAsia="Times New Roman" w:hAnsi="Calibri" w:cs="Times New Roman"/>
                <w:color w:val="2E2E2E"/>
                <w:szCs w:val="24"/>
                <w:lang w:eastAsia="fi-FI"/>
              </w:rPr>
              <w:t>≥</w:t>
            </w:r>
            <w:r w:rsidRPr="00F840C4">
              <w:rPr>
                <w:rFonts w:eastAsia="Times New Roman" w:cs="Times New Roman"/>
                <w:color w:val="2E2E2E"/>
                <w:szCs w:val="24"/>
                <w:lang w:eastAsia="fi-FI"/>
              </w:rPr>
              <w:t>2 / day</w:t>
            </w:r>
          </w:p>
        </w:tc>
        <w:tc>
          <w:tcPr>
            <w:tcW w:w="2211" w:type="dxa"/>
            <w:tcBorders>
              <w:top w:val="single" w:sz="4" w:space="0" w:color="auto"/>
            </w:tcBorders>
          </w:tcPr>
          <w:p w14:paraId="22CA8DBB" w14:textId="77777777" w:rsidR="003B6D98" w:rsidRPr="00F840C4" w:rsidRDefault="003B6D98" w:rsidP="00476B25">
            <w:pPr>
              <w:autoSpaceDE w:val="0"/>
              <w:autoSpaceDN w:val="0"/>
              <w:adjustRightInd w:val="0"/>
              <w:spacing w:line="360" w:lineRule="auto"/>
              <w:jc w:val="center"/>
              <w:rPr>
                <w:rFonts w:cs="Times New Roman"/>
                <w:szCs w:val="24"/>
              </w:rPr>
            </w:pPr>
            <w:r w:rsidRPr="00F840C4">
              <w:rPr>
                <w:rFonts w:cs="Times New Roman"/>
                <w:szCs w:val="24"/>
              </w:rPr>
              <w:t>6,</w:t>
            </w:r>
            <w:r>
              <w:rPr>
                <w:rFonts w:cs="Times New Roman"/>
                <w:szCs w:val="24"/>
              </w:rPr>
              <w:t>001</w:t>
            </w:r>
            <w:r w:rsidRPr="00F840C4">
              <w:rPr>
                <w:rFonts w:cs="Times New Roman"/>
                <w:szCs w:val="24"/>
              </w:rPr>
              <w:t xml:space="preserve"> (36.</w:t>
            </w:r>
            <w:r>
              <w:rPr>
                <w:rFonts w:cs="Times New Roman"/>
                <w:szCs w:val="24"/>
              </w:rPr>
              <w:t>5</w:t>
            </w:r>
            <w:r w:rsidRPr="00F840C4">
              <w:rPr>
                <w:rFonts w:cs="Times New Roman"/>
                <w:szCs w:val="24"/>
              </w:rPr>
              <w:t>)</w:t>
            </w:r>
          </w:p>
        </w:tc>
        <w:tc>
          <w:tcPr>
            <w:tcW w:w="4025" w:type="dxa"/>
            <w:tcBorders>
              <w:top w:val="single" w:sz="4" w:space="0" w:color="auto"/>
            </w:tcBorders>
          </w:tcPr>
          <w:p w14:paraId="4FAC16D3" w14:textId="77777777" w:rsidR="003B6D98" w:rsidRPr="00F840C4" w:rsidRDefault="003B6D98" w:rsidP="00476B25">
            <w:pPr>
              <w:autoSpaceDE w:val="0"/>
              <w:autoSpaceDN w:val="0"/>
              <w:adjustRightInd w:val="0"/>
              <w:spacing w:line="360" w:lineRule="auto"/>
              <w:rPr>
                <w:rFonts w:cs="Times New Roman"/>
                <w:szCs w:val="24"/>
              </w:rPr>
            </w:pPr>
            <w:r w:rsidRPr="00F840C4">
              <w:rPr>
                <w:rFonts w:cs="Times New Roman"/>
                <w:szCs w:val="24"/>
              </w:rPr>
              <w:t>Six portions whole grain products daily or at least ½ of daily used cereal products should be whole grain</w:t>
            </w:r>
          </w:p>
        </w:tc>
      </w:tr>
      <w:tr w:rsidR="003B6D98" w:rsidRPr="00F840C4" w14:paraId="6E84CF90" w14:textId="77777777" w:rsidTr="00476B25">
        <w:trPr>
          <w:trHeight w:val="706"/>
        </w:trPr>
        <w:tc>
          <w:tcPr>
            <w:tcW w:w="1984" w:type="dxa"/>
          </w:tcPr>
          <w:p w14:paraId="18D16D2E" w14:textId="77777777" w:rsidR="003B6D98" w:rsidRPr="00F840C4" w:rsidRDefault="003B6D98" w:rsidP="00476B25">
            <w:pPr>
              <w:autoSpaceDE w:val="0"/>
              <w:autoSpaceDN w:val="0"/>
              <w:adjustRightInd w:val="0"/>
              <w:spacing w:line="360" w:lineRule="auto"/>
              <w:rPr>
                <w:rFonts w:cs="Times New Roman"/>
                <w:szCs w:val="24"/>
                <w:highlight w:val="cyan"/>
              </w:rPr>
            </w:pPr>
            <w:r w:rsidRPr="00F840C4">
              <w:rPr>
                <w:rFonts w:eastAsia="Times New Roman" w:cs="Times New Roman"/>
                <w:color w:val="2E2E2E"/>
                <w:szCs w:val="24"/>
                <w:lang w:eastAsia="fi-FI"/>
              </w:rPr>
              <w:t>Pastries and sweets</w:t>
            </w:r>
          </w:p>
        </w:tc>
        <w:tc>
          <w:tcPr>
            <w:tcW w:w="1701" w:type="dxa"/>
          </w:tcPr>
          <w:p w14:paraId="35564232" w14:textId="77777777" w:rsidR="003B6D98" w:rsidRPr="00F840C4" w:rsidRDefault="003B6D98" w:rsidP="00476B25">
            <w:pPr>
              <w:autoSpaceDE w:val="0"/>
              <w:autoSpaceDN w:val="0"/>
              <w:adjustRightInd w:val="0"/>
              <w:spacing w:line="360" w:lineRule="auto"/>
              <w:rPr>
                <w:rFonts w:cs="Times New Roman"/>
                <w:szCs w:val="24"/>
              </w:rPr>
            </w:pPr>
            <w:r w:rsidRPr="00F840C4">
              <w:rPr>
                <w:rFonts w:eastAsia="Times New Roman" w:cs="Times New Roman"/>
                <w:color w:val="2E2E2E"/>
                <w:szCs w:val="24"/>
                <w:lang w:eastAsia="fi-FI"/>
              </w:rPr>
              <w:t>≤ 1-2 / week</w:t>
            </w:r>
          </w:p>
        </w:tc>
        <w:tc>
          <w:tcPr>
            <w:tcW w:w="2211" w:type="dxa"/>
          </w:tcPr>
          <w:p w14:paraId="493652C1" w14:textId="77777777" w:rsidR="003B6D98" w:rsidRPr="00F840C4" w:rsidRDefault="003B6D98" w:rsidP="00476B25">
            <w:pPr>
              <w:autoSpaceDE w:val="0"/>
              <w:autoSpaceDN w:val="0"/>
              <w:adjustRightInd w:val="0"/>
              <w:spacing w:line="360" w:lineRule="auto"/>
              <w:jc w:val="center"/>
              <w:rPr>
                <w:rFonts w:cs="Times New Roman"/>
                <w:szCs w:val="24"/>
              </w:rPr>
            </w:pPr>
            <w:r w:rsidRPr="00F840C4">
              <w:rPr>
                <w:rFonts w:cs="Times New Roman"/>
                <w:szCs w:val="24"/>
              </w:rPr>
              <w:t>8,</w:t>
            </w:r>
            <w:r>
              <w:rPr>
                <w:rFonts w:cs="Times New Roman"/>
                <w:szCs w:val="24"/>
              </w:rPr>
              <w:t>013</w:t>
            </w:r>
            <w:r w:rsidRPr="00F840C4">
              <w:rPr>
                <w:rFonts w:cs="Times New Roman"/>
                <w:szCs w:val="24"/>
              </w:rPr>
              <w:t xml:space="preserve"> (48.</w:t>
            </w:r>
            <w:r>
              <w:rPr>
                <w:rFonts w:cs="Times New Roman"/>
                <w:szCs w:val="24"/>
              </w:rPr>
              <w:t>7</w:t>
            </w:r>
            <w:r w:rsidRPr="00F840C4">
              <w:rPr>
                <w:rFonts w:cs="Times New Roman"/>
                <w:szCs w:val="24"/>
              </w:rPr>
              <w:t>)</w:t>
            </w:r>
          </w:p>
        </w:tc>
        <w:tc>
          <w:tcPr>
            <w:tcW w:w="4025" w:type="dxa"/>
          </w:tcPr>
          <w:p w14:paraId="441180BE" w14:textId="77777777" w:rsidR="003B6D98" w:rsidRPr="00F840C4" w:rsidRDefault="003B6D98" w:rsidP="00476B25">
            <w:pPr>
              <w:autoSpaceDE w:val="0"/>
              <w:autoSpaceDN w:val="0"/>
              <w:adjustRightInd w:val="0"/>
              <w:spacing w:line="360" w:lineRule="auto"/>
              <w:rPr>
                <w:rFonts w:cs="Times New Roman"/>
                <w:szCs w:val="24"/>
              </w:rPr>
            </w:pPr>
            <w:r w:rsidRPr="00F840C4">
              <w:rPr>
                <w:rFonts w:cs="Times New Roman"/>
                <w:szCs w:val="24"/>
              </w:rPr>
              <w:t>A limitation of the intake of refined sugars is necessary</w:t>
            </w:r>
          </w:p>
        </w:tc>
      </w:tr>
      <w:tr w:rsidR="003B6D98" w:rsidRPr="00F840C4" w14:paraId="73ED27F8" w14:textId="77777777" w:rsidTr="00476B25">
        <w:trPr>
          <w:trHeight w:val="1390"/>
        </w:trPr>
        <w:tc>
          <w:tcPr>
            <w:tcW w:w="1984" w:type="dxa"/>
          </w:tcPr>
          <w:p w14:paraId="781BBFA5" w14:textId="77777777" w:rsidR="003B6D98" w:rsidRPr="00F840C4" w:rsidRDefault="003B6D98" w:rsidP="00476B25">
            <w:pPr>
              <w:autoSpaceDE w:val="0"/>
              <w:autoSpaceDN w:val="0"/>
              <w:adjustRightInd w:val="0"/>
              <w:spacing w:line="360" w:lineRule="auto"/>
              <w:rPr>
                <w:rFonts w:cs="Times New Roman"/>
                <w:strike/>
                <w:szCs w:val="24"/>
              </w:rPr>
            </w:pPr>
            <w:r w:rsidRPr="00F840C4">
              <w:rPr>
                <w:rFonts w:cs="Times New Roman"/>
                <w:szCs w:val="24"/>
              </w:rPr>
              <w:t>Fat free milk</w:t>
            </w:r>
          </w:p>
        </w:tc>
        <w:tc>
          <w:tcPr>
            <w:tcW w:w="1701" w:type="dxa"/>
          </w:tcPr>
          <w:p w14:paraId="5B94125A" w14:textId="77777777" w:rsidR="003B6D98" w:rsidRPr="00F840C4" w:rsidRDefault="003B6D98" w:rsidP="00476B25">
            <w:pPr>
              <w:autoSpaceDE w:val="0"/>
              <w:autoSpaceDN w:val="0"/>
              <w:adjustRightInd w:val="0"/>
              <w:spacing w:line="360" w:lineRule="auto"/>
              <w:rPr>
                <w:rFonts w:eastAsia="Times New Roman" w:cs="Times New Roman"/>
                <w:strike/>
                <w:color w:val="2E2E2E"/>
                <w:szCs w:val="24"/>
                <w:lang w:eastAsia="fi-FI"/>
              </w:rPr>
            </w:pPr>
            <w:r w:rsidRPr="00F840C4">
              <w:rPr>
                <w:rFonts w:ascii="Calibri" w:eastAsia="Times New Roman" w:hAnsi="Calibri" w:cs="Times New Roman"/>
                <w:color w:val="2E2E2E"/>
                <w:szCs w:val="24"/>
                <w:lang w:eastAsia="fi-FI"/>
              </w:rPr>
              <w:t>≥ 1</w:t>
            </w:r>
            <w:r w:rsidRPr="00F840C4">
              <w:rPr>
                <w:rFonts w:eastAsia="Times New Roman" w:cs="Times New Roman"/>
                <w:color w:val="2E2E2E"/>
                <w:szCs w:val="24"/>
                <w:lang w:eastAsia="fi-FI"/>
              </w:rPr>
              <w:t xml:space="preserve"> / day</w:t>
            </w:r>
          </w:p>
        </w:tc>
        <w:tc>
          <w:tcPr>
            <w:tcW w:w="2211" w:type="dxa"/>
          </w:tcPr>
          <w:p w14:paraId="5A90F8CF" w14:textId="77777777" w:rsidR="003B6D98" w:rsidRPr="00F840C4" w:rsidRDefault="003B6D98" w:rsidP="00476B25">
            <w:pPr>
              <w:autoSpaceDE w:val="0"/>
              <w:autoSpaceDN w:val="0"/>
              <w:adjustRightInd w:val="0"/>
              <w:spacing w:line="360" w:lineRule="auto"/>
              <w:jc w:val="center"/>
              <w:rPr>
                <w:rFonts w:cs="Times New Roman"/>
                <w:szCs w:val="24"/>
              </w:rPr>
            </w:pPr>
            <w:r>
              <w:rPr>
                <w:rFonts w:cs="Times New Roman"/>
                <w:szCs w:val="24"/>
              </w:rPr>
              <w:t>6,914</w:t>
            </w:r>
            <w:r w:rsidRPr="00F840C4">
              <w:rPr>
                <w:rFonts w:cs="Times New Roman"/>
                <w:szCs w:val="24"/>
              </w:rPr>
              <w:t xml:space="preserve"> (4</w:t>
            </w:r>
            <w:r>
              <w:rPr>
                <w:rFonts w:cs="Times New Roman"/>
                <w:szCs w:val="24"/>
              </w:rPr>
              <w:t>2</w:t>
            </w:r>
            <w:r w:rsidRPr="00F840C4">
              <w:rPr>
                <w:rFonts w:cs="Times New Roman"/>
                <w:szCs w:val="24"/>
              </w:rPr>
              <w:t>.</w:t>
            </w:r>
            <w:r>
              <w:rPr>
                <w:rFonts w:cs="Times New Roman"/>
                <w:szCs w:val="24"/>
              </w:rPr>
              <w:t>1</w:t>
            </w:r>
            <w:r w:rsidRPr="00F840C4">
              <w:rPr>
                <w:rFonts w:cs="Times New Roman"/>
                <w:szCs w:val="24"/>
              </w:rPr>
              <w:t>)</w:t>
            </w:r>
          </w:p>
        </w:tc>
        <w:tc>
          <w:tcPr>
            <w:tcW w:w="4025" w:type="dxa"/>
          </w:tcPr>
          <w:p w14:paraId="06A60F8B" w14:textId="77777777" w:rsidR="003B6D98" w:rsidRPr="00F840C4" w:rsidRDefault="003B6D98" w:rsidP="00476B25">
            <w:pPr>
              <w:autoSpaceDE w:val="0"/>
              <w:autoSpaceDN w:val="0"/>
              <w:adjustRightInd w:val="0"/>
              <w:spacing w:line="360" w:lineRule="auto"/>
              <w:rPr>
                <w:rFonts w:cs="Times New Roman"/>
                <w:szCs w:val="24"/>
              </w:rPr>
            </w:pPr>
            <w:r w:rsidRPr="00F840C4">
              <w:rPr>
                <w:rFonts w:cs="Times New Roman"/>
                <w:szCs w:val="24"/>
              </w:rPr>
              <w:t>5–6 dl milk products and 2-3 slides cheese daily cover need of calcium</w:t>
            </w:r>
          </w:p>
          <w:p w14:paraId="2BAF0204" w14:textId="77777777" w:rsidR="003B6D98" w:rsidRPr="00F840C4" w:rsidRDefault="003B6D98" w:rsidP="00476B25">
            <w:pPr>
              <w:autoSpaceDE w:val="0"/>
              <w:autoSpaceDN w:val="0"/>
              <w:adjustRightInd w:val="0"/>
              <w:spacing w:line="360" w:lineRule="auto"/>
              <w:rPr>
                <w:rFonts w:cs="Times New Roman"/>
                <w:szCs w:val="24"/>
              </w:rPr>
            </w:pPr>
            <w:r w:rsidRPr="00F840C4">
              <w:rPr>
                <w:rFonts w:cs="Times New Roman"/>
                <w:szCs w:val="24"/>
              </w:rPr>
              <w:t>Use fat free or low fat dairy products, and cheese not more than 17% fat.</w:t>
            </w:r>
          </w:p>
        </w:tc>
      </w:tr>
      <w:tr w:rsidR="003B6D98" w:rsidRPr="00F840C4" w14:paraId="65EC412C" w14:textId="77777777" w:rsidTr="00476B25">
        <w:tc>
          <w:tcPr>
            <w:tcW w:w="1984" w:type="dxa"/>
          </w:tcPr>
          <w:p w14:paraId="6C235119" w14:textId="77777777" w:rsidR="003B6D98" w:rsidRPr="00F840C4" w:rsidRDefault="003B6D98" w:rsidP="00476B25">
            <w:pPr>
              <w:autoSpaceDE w:val="0"/>
              <w:autoSpaceDN w:val="0"/>
              <w:adjustRightInd w:val="0"/>
              <w:spacing w:line="360" w:lineRule="auto"/>
              <w:rPr>
                <w:rFonts w:cs="Times New Roman"/>
                <w:szCs w:val="24"/>
              </w:rPr>
            </w:pPr>
            <w:r w:rsidRPr="00F840C4">
              <w:rPr>
                <w:rFonts w:cs="Times New Roman"/>
                <w:szCs w:val="24"/>
              </w:rPr>
              <w:t>Sausage</w:t>
            </w:r>
          </w:p>
        </w:tc>
        <w:tc>
          <w:tcPr>
            <w:tcW w:w="1701" w:type="dxa"/>
          </w:tcPr>
          <w:p w14:paraId="21EB1D9A" w14:textId="77777777" w:rsidR="003B6D98" w:rsidRPr="00F840C4" w:rsidRDefault="003B6D98" w:rsidP="00476B25">
            <w:pPr>
              <w:autoSpaceDE w:val="0"/>
              <w:autoSpaceDN w:val="0"/>
              <w:adjustRightInd w:val="0"/>
              <w:spacing w:line="360" w:lineRule="auto"/>
              <w:rPr>
                <w:rFonts w:cs="Times New Roman"/>
                <w:szCs w:val="24"/>
              </w:rPr>
            </w:pPr>
            <w:r w:rsidRPr="00F840C4">
              <w:rPr>
                <w:rFonts w:eastAsia="Times New Roman" w:cs="Times New Roman"/>
                <w:color w:val="2E2E2E"/>
                <w:szCs w:val="24"/>
                <w:lang w:eastAsia="fi-FI"/>
              </w:rPr>
              <w:t>≤ 1-2 / week</w:t>
            </w:r>
          </w:p>
        </w:tc>
        <w:tc>
          <w:tcPr>
            <w:tcW w:w="2211" w:type="dxa"/>
          </w:tcPr>
          <w:p w14:paraId="53DB579D" w14:textId="77777777" w:rsidR="003B6D98" w:rsidRPr="00F840C4" w:rsidRDefault="003B6D98" w:rsidP="00476B25">
            <w:pPr>
              <w:autoSpaceDE w:val="0"/>
              <w:autoSpaceDN w:val="0"/>
              <w:adjustRightInd w:val="0"/>
              <w:spacing w:line="360" w:lineRule="auto"/>
              <w:jc w:val="center"/>
              <w:rPr>
                <w:rFonts w:cs="Times New Roman"/>
                <w:szCs w:val="24"/>
              </w:rPr>
            </w:pPr>
            <w:r>
              <w:rPr>
                <w:rFonts w:cs="Times New Roman"/>
                <w:szCs w:val="24"/>
              </w:rPr>
              <w:t>9,873</w:t>
            </w:r>
            <w:r w:rsidRPr="00F840C4">
              <w:rPr>
                <w:rFonts w:cs="Times New Roman"/>
                <w:szCs w:val="24"/>
              </w:rPr>
              <w:t xml:space="preserve"> (60.6)</w:t>
            </w:r>
          </w:p>
        </w:tc>
        <w:tc>
          <w:tcPr>
            <w:tcW w:w="4025" w:type="dxa"/>
            <w:vMerge w:val="restart"/>
          </w:tcPr>
          <w:p w14:paraId="20BD047E" w14:textId="77777777" w:rsidR="003B6D98" w:rsidRPr="00F840C4" w:rsidRDefault="003B6D98" w:rsidP="00476B25">
            <w:pPr>
              <w:autoSpaceDE w:val="0"/>
              <w:autoSpaceDN w:val="0"/>
              <w:adjustRightInd w:val="0"/>
              <w:spacing w:line="360" w:lineRule="auto"/>
              <w:rPr>
                <w:rFonts w:cs="Times New Roman"/>
                <w:szCs w:val="24"/>
              </w:rPr>
            </w:pPr>
            <w:r w:rsidRPr="00F840C4">
              <w:rPr>
                <w:rFonts w:cs="Times New Roman"/>
                <w:szCs w:val="24"/>
              </w:rPr>
              <w:t>Limited use of processed meat (like sausages and cold cuts)</w:t>
            </w:r>
          </w:p>
          <w:p w14:paraId="0E62232D" w14:textId="77777777" w:rsidR="003B6D98" w:rsidRPr="00E67FEB" w:rsidRDefault="003B6D98" w:rsidP="00476B25">
            <w:pPr>
              <w:autoSpaceDE w:val="0"/>
              <w:autoSpaceDN w:val="0"/>
              <w:adjustRightInd w:val="0"/>
              <w:spacing w:line="360" w:lineRule="auto"/>
              <w:rPr>
                <w:rFonts w:cs="Times New Roman"/>
                <w:szCs w:val="24"/>
              </w:rPr>
            </w:pPr>
            <w:r w:rsidRPr="008742A0">
              <w:rPr>
                <w:rFonts w:cs="Times New Roman"/>
                <w:szCs w:val="24"/>
              </w:rPr>
              <w:t>Consumption of moderate amount of meat, preferably lean variates is part of balanced diet</w:t>
            </w:r>
          </w:p>
        </w:tc>
      </w:tr>
      <w:tr w:rsidR="003B6D98" w:rsidRPr="00F840C4" w14:paraId="6335A4F0" w14:textId="77777777" w:rsidTr="00476B25">
        <w:tc>
          <w:tcPr>
            <w:tcW w:w="1984" w:type="dxa"/>
          </w:tcPr>
          <w:p w14:paraId="338D2E4B" w14:textId="77777777" w:rsidR="003B6D98" w:rsidRPr="00F840C4" w:rsidRDefault="003B6D98" w:rsidP="00476B25">
            <w:pPr>
              <w:autoSpaceDE w:val="0"/>
              <w:autoSpaceDN w:val="0"/>
              <w:adjustRightInd w:val="0"/>
              <w:spacing w:line="360" w:lineRule="auto"/>
              <w:rPr>
                <w:rFonts w:cs="Times New Roman"/>
                <w:szCs w:val="24"/>
              </w:rPr>
            </w:pPr>
            <w:r w:rsidRPr="00F840C4">
              <w:rPr>
                <w:rFonts w:cs="Times New Roman"/>
                <w:szCs w:val="24"/>
              </w:rPr>
              <w:t>Red meat</w:t>
            </w:r>
          </w:p>
        </w:tc>
        <w:tc>
          <w:tcPr>
            <w:tcW w:w="1701" w:type="dxa"/>
          </w:tcPr>
          <w:p w14:paraId="4A35D002" w14:textId="77777777" w:rsidR="003B6D98" w:rsidRPr="00F840C4" w:rsidRDefault="003B6D98" w:rsidP="00476B25">
            <w:pPr>
              <w:autoSpaceDE w:val="0"/>
              <w:autoSpaceDN w:val="0"/>
              <w:adjustRightInd w:val="0"/>
              <w:spacing w:line="360" w:lineRule="auto"/>
              <w:rPr>
                <w:rFonts w:cs="Times New Roman"/>
                <w:szCs w:val="24"/>
              </w:rPr>
            </w:pPr>
            <w:r w:rsidRPr="00F840C4">
              <w:rPr>
                <w:rFonts w:eastAsia="Times New Roman" w:cs="Times New Roman"/>
                <w:color w:val="2E2E2E"/>
                <w:szCs w:val="24"/>
                <w:lang w:eastAsia="fi-FI"/>
              </w:rPr>
              <w:t>≤ 1-2 / week</w:t>
            </w:r>
          </w:p>
        </w:tc>
        <w:tc>
          <w:tcPr>
            <w:tcW w:w="2211" w:type="dxa"/>
          </w:tcPr>
          <w:p w14:paraId="0D79B1A0" w14:textId="77777777" w:rsidR="003B6D98" w:rsidRPr="00F840C4" w:rsidRDefault="003B6D98" w:rsidP="00476B25">
            <w:pPr>
              <w:autoSpaceDE w:val="0"/>
              <w:autoSpaceDN w:val="0"/>
              <w:adjustRightInd w:val="0"/>
              <w:spacing w:line="360" w:lineRule="auto"/>
              <w:jc w:val="center"/>
              <w:rPr>
                <w:rFonts w:cs="Times New Roman"/>
                <w:szCs w:val="24"/>
              </w:rPr>
            </w:pPr>
            <w:r w:rsidRPr="00F840C4">
              <w:rPr>
                <w:rFonts w:cs="Times New Roman"/>
                <w:szCs w:val="24"/>
              </w:rPr>
              <w:t>10,</w:t>
            </w:r>
            <w:r>
              <w:rPr>
                <w:rFonts w:cs="Times New Roman"/>
                <w:szCs w:val="24"/>
              </w:rPr>
              <w:t>099</w:t>
            </w:r>
            <w:r w:rsidRPr="00F840C4">
              <w:rPr>
                <w:rFonts w:cs="Times New Roman"/>
                <w:szCs w:val="24"/>
              </w:rPr>
              <w:t xml:space="preserve"> (6</w:t>
            </w:r>
            <w:r>
              <w:rPr>
                <w:rFonts w:cs="Times New Roman"/>
                <w:szCs w:val="24"/>
              </w:rPr>
              <w:t>1</w:t>
            </w:r>
            <w:r w:rsidRPr="00F840C4">
              <w:rPr>
                <w:rFonts w:cs="Times New Roman"/>
                <w:szCs w:val="24"/>
              </w:rPr>
              <w:t>.7)</w:t>
            </w:r>
          </w:p>
        </w:tc>
        <w:tc>
          <w:tcPr>
            <w:tcW w:w="4025" w:type="dxa"/>
            <w:vMerge/>
          </w:tcPr>
          <w:p w14:paraId="109FF2E3" w14:textId="77777777" w:rsidR="003B6D98" w:rsidRPr="00F840C4" w:rsidRDefault="003B6D98" w:rsidP="00476B25">
            <w:pPr>
              <w:autoSpaceDE w:val="0"/>
              <w:autoSpaceDN w:val="0"/>
              <w:adjustRightInd w:val="0"/>
              <w:spacing w:line="360" w:lineRule="auto"/>
              <w:rPr>
                <w:rFonts w:cs="Times New Roman"/>
                <w:szCs w:val="24"/>
              </w:rPr>
            </w:pPr>
          </w:p>
        </w:tc>
      </w:tr>
      <w:tr w:rsidR="003B6D98" w:rsidRPr="00F840C4" w14:paraId="59198ED4" w14:textId="77777777" w:rsidTr="00476B25">
        <w:tc>
          <w:tcPr>
            <w:tcW w:w="1984" w:type="dxa"/>
          </w:tcPr>
          <w:p w14:paraId="1C05670D" w14:textId="77777777" w:rsidR="003B6D98" w:rsidRPr="00F21ED0" w:rsidRDefault="003B6D98" w:rsidP="00476B25">
            <w:pPr>
              <w:autoSpaceDE w:val="0"/>
              <w:autoSpaceDN w:val="0"/>
              <w:adjustRightInd w:val="0"/>
              <w:spacing w:line="360" w:lineRule="auto"/>
              <w:rPr>
                <w:rFonts w:cs="Times New Roman"/>
                <w:szCs w:val="24"/>
              </w:rPr>
            </w:pPr>
            <w:r w:rsidRPr="00F21ED0">
              <w:rPr>
                <w:rFonts w:eastAsia="Times New Roman" w:cs="Times New Roman"/>
                <w:color w:val="2E2E2E"/>
                <w:szCs w:val="24"/>
                <w:lang w:eastAsia="fi-FI"/>
              </w:rPr>
              <w:t>Chicken or turkey</w:t>
            </w:r>
          </w:p>
        </w:tc>
        <w:tc>
          <w:tcPr>
            <w:tcW w:w="1701" w:type="dxa"/>
          </w:tcPr>
          <w:p w14:paraId="164F2BBA" w14:textId="77777777" w:rsidR="003B6D98" w:rsidRPr="00F21ED0" w:rsidRDefault="003B6D98" w:rsidP="00476B25">
            <w:pPr>
              <w:autoSpaceDE w:val="0"/>
              <w:autoSpaceDN w:val="0"/>
              <w:adjustRightInd w:val="0"/>
              <w:spacing w:line="360" w:lineRule="auto"/>
              <w:rPr>
                <w:rFonts w:cs="Times New Roman"/>
                <w:szCs w:val="24"/>
              </w:rPr>
            </w:pPr>
            <w:r w:rsidRPr="00F21ED0">
              <w:rPr>
                <w:rFonts w:ascii="Calibri" w:eastAsia="Times New Roman" w:hAnsi="Calibri" w:cs="Times New Roman"/>
                <w:color w:val="2E2E2E"/>
                <w:szCs w:val="24"/>
                <w:lang w:eastAsia="fi-FI"/>
              </w:rPr>
              <w:t>1</w:t>
            </w:r>
            <w:r w:rsidRPr="00F21ED0">
              <w:rPr>
                <w:rFonts w:eastAsia="Times New Roman" w:cs="Times New Roman"/>
                <w:color w:val="2E2E2E"/>
                <w:szCs w:val="24"/>
                <w:lang w:eastAsia="fi-FI"/>
              </w:rPr>
              <w:t xml:space="preserve"> / day</w:t>
            </w:r>
            <w:r w:rsidRPr="00F21ED0">
              <w:rPr>
                <w:rFonts w:cs="Times New Roman"/>
                <w:szCs w:val="24"/>
              </w:rPr>
              <w:t xml:space="preserve"> to </w:t>
            </w:r>
          </w:p>
          <w:p w14:paraId="764D356A" w14:textId="77777777" w:rsidR="003B6D98" w:rsidRPr="00F21ED0" w:rsidRDefault="003B6D98" w:rsidP="00476B25">
            <w:pPr>
              <w:autoSpaceDE w:val="0"/>
              <w:autoSpaceDN w:val="0"/>
              <w:adjustRightInd w:val="0"/>
              <w:spacing w:line="360" w:lineRule="auto"/>
              <w:rPr>
                <w:rFonts w:cs="Times New Roman"/>
                <w:szCs w:val="24"/>
              </w:rPr>
            </w:pPr>
            <w:r w:rsidRPr="00F21ED0">
              <w:rPr>
                <w:rFonts w:eastAsia="Times New Roman" w:cs="Times New Roman"/>
                <w:color w:val="2E2E2E"/>
                <w:szCs w:val="24"/>
                <w:lang w:eastAsia="fi-FI"/>
              </w:rPr>
              <w:t>≤ 1-2 / week</w:t>
            </w:r>
          </w:p>
        </w:tc>
        <w:tc>
          <w:tcPr>
            <w:tcW w:w="2211" w:type="dxa"/>
          </w:tcPr>
          <w:p w14:paraId="0B072237" w14:textId="77777777" w:rsidR="003B6D98" w:rsidRPr="00F21ED0" w:rsidRDefault="003B6D98" w:rsidP="00476B25">
            <w:pPr>
              <w:autoSpaceDE w:val="0"/>
              <w:autoSpaceDN w:val="0"/>
              <w:adjustRightInd w:val="0"/>
              <w:spacing w:line="360" w:lineRule="auto"/>
              <w:jc w:val="center"/>
              <w:rPr>
                <w:rFonts w:cs="Times New Roman"/>
                <w:szCs w:val="24"/>
              </w:rPr>
            </w:pPr>
            <w:r w:rsidRPr="00F21ED0">
              <w:rPr>
                <w:rFonts w:cs="Times New Roman"/>
                <w:szCs w:val="24"/>
              </w:rPr>
              <w:t>13,207 (81.1)</w:t>
            </w:r>
          </w:p>
        </w:tc>
        <w:tc>
          <w:tcPr>
            <w:tcW w:w="4025" w:type="dxa"/>
            <w:vMerge/>
          </w:tcPr>
          <w:p w14:paraId="2BB85174" w14:textId="77777777" w:rsidR="003B6D98" w:rsidRPr="00F21ED0" w:rsidRDefault="003B6D98" w:rsidP="00476B25">
            <w:pPr>
              <w:autoSpaceDE w:val="0"/>
              <w:autoSpaceDN w:val="0"/>
              <w:adjustRightInd w:val="0"/>
              <w:spacing w:line="360" w:lineRule="auto"/>
              <w:rPr>
                <w:rFonts w:cs="Times New Roman"/>
                <w:szCs w:val="24"/>
              </w:rPr>
            </w:pPr>
          </w:p>
        </w:tc>
      </w:tr>
      <w:tr w:rsidR="003B6D98" w:rsidRPr="00F840C4" w14:paraId="14668308" w14:textId="77777777" w:rsidTr="00476B25">
        <w:tc>
          <w:tcPr>
            <w:tcW w:w="1984" w:type="dxa"/>
          </w:tcPr>
          <w:p w14:paraId="448943FD" w14:textId="77777777" w:rsidR="003B6D98" w:rsidRPr="00F21ED0" w:rsidRDefault="003B6D98" w:rsidP="00476B25">
            <w:pPr>
              <w:autoSpaceDE w:val="0"/>
              <w:autoSpaceDN w:val="0"/>
              <w:adjustRightInd w:val="0"/>
              <w:spacing w:line="360" w:lineRule="auto"/>
              <w:rPr>
                <w:rFonts w:cs="Times New Roman"/>
                <w:szCs w:val="24"/>
              </w:rPr>
            </w:pPr>
            <w:r w:rsidRPr="00F21ED0">
              <w:rPr>
                <w:rFonts w:cs="Times New Roman"/>
                <w:szCs w:val="24"/>
              </w:rPr>
              <w:lastRenderedPageBreak/>
              <w:t>Fish</w:t>
            </w:r>
          </w:p>
        </w:tc>
        <w:tc>
          <w:tcPr>
            <w:tcW w:w="1701" w:type="dxa"/>
          </w:tcPr>
          <w:p w14:paraId="61022D1B" w14:textId="77777777" w:rsidR="003B6D98" w:rsidRPr="00F21ED0" w:rsidRDefault="003B6D98" w:rsidP="00476B25">
            <w:pPr>
              <w:autoSpaceDE w:val="0"/>
              <w:autoSpaceDN w:val="0"/>
              <w:adjustRightInd w:val="0"/>
              <w:spacing w:line="360" w:lineRule="auto"/>
              <w:rPr>
                <w:rFonts w:cs="Times New Roman"/>
                <w:szCs w:val="24"/>
              </w:rPr>
            </w:pPr>
            <w:r w:rsidRPr="00F21ED0">
              <w:rPr>
                <w:rFonts w:ascii="Calibri" w:eastAsia="Times New Roman" w:hAnsi="Calibri" w:cs="Times New Roman"/>
                <w:color w:val="2E2E2E"/>
                <w:szCs w:val="24"/>
                <w:lang w:eastAsia="fi-FI"/>
              </w:rPr>
              <w:t>≥</w:t>
            </w:r>
            <w:r w:rsidRPr="00F21ED0">
              <w:rPr>
                <w:rFonts w:eastAsia="Times New Roman" w:cs="Times New Roman"/>
                <w:color w:val="2E2E2E"/>
                <w:szCs w:val="24"/>
                <w:lang w:eastAsia="fi-FI"/>
              </w:rPr>
              <w:t xml:space="preserve"> 1-2 / week</w:t>
            </w:r>
          </w:p>
        </w:tc>
        <w:tc>
          <w:tcPr>
            <w:tcW w:w="2211" w:type="dxa"/>
          </w:tcPr>
          <w:p w14:paraId="2B8949BD" w14:textId="77777777" w:rsidR="003B6D98" w:rsidRPr="00F21ED0" w:rsidRDefault="003B6D98" w:rsidP="00476B25">
            <w:pPr>
              <w:autoSpaceDE w:val="0"/>
              <w:autoSpaceDN w:val="0"/>
              <w:adjustRightInd w:val="0"/>
              <w:spacing w:line="360" w:lineRule="auto"/>
              <w:jc w:val="center"/>
              <w:rPr>
                <w:rFonts w:cs="Times New Roman"/>
                <w:szCs w:val="24"/>
              </w:rPr>
            </w:pPr>
            <w:r w:rsidRPr="00F21ED0">
              <w:rPr>
                <w:rFonts w:cs="Times New Roman"/>
                <w:szCs w:val="24"/>
              </w:rPr>
              <w:t>11,081 (67.7)</w:t>
            </w:r>
          </w:p>
        </w:tc>
        <w:tc>
          <w:tcPr>
            <w:tcW w:w="4025" w:type="dxa"/>
          </w:tcPr>
          <w:p w14:paraId="4CDEA4D6" w14:textId="77777777" w:rsidR="003B6D98" w:rsidRPr="00F21ED0" w:rsidRDefault="003B6D98" w:rsidP="00476B25">
            <w:pPr>
              <w:autoSpaceDE w:val="0"/>
              <w:autoSpaceDN w:val="0"/>
              <w:adjustRightInd w:val="0"/>
              <w:spacing w:line="360" w:lineRule="auto"/>
              <w:rPr>
                <w:rFonts w:cs="Times New Roman"/>
                <w:szCs w:val="24"/>
              </w:rPr>
            </w:pPr>
            <w:r w:rsidRPr="00F21ED0">
              <w:rPr>
                <w:rFonts w:cs="Times New Roman"/>
                <w:szCs w:val="24"/>
              </w:rPr>
              <w:t>Fish 2-3 times a week, varied fish species</w:t>
            </w:r>
          </w:p>
        </w:tc>
      </w:tr>
      <w:tr w:rsidR="003B6D98" w:rsidRPr="00F840C4" w14:paraId="149D4363" w14:textId="77777777" w:rsidTr="00476B25">
        <w:tc>
          <w:tcPr>
            <w:tcW w:w="1984" w:type="dxa"/>
          </w:tcPr>
          <w:p w14:paraId="3BBD82DA" w14:textId="77777777" w:rsidR="003B6D98" w:rsidRPr="00F21ED0" w:rsidRDefault="003B6D98" w:rsidP="00476B25">
            <w:pPr>
              <w:autoSpaceDE w:val="0"/>
              <w:autoSpaceDN w:val="0"/>
              <w:adjustRightInd w:val="0"/>
              <w:spacing w:line="360" w:lineRule="auto"/>
              <w:rPr>
                <w:rFonts w:cs="Times New Roman"/>
                <w:szCs w:val="24"/>
              </w:rPr>
            </w:pPr>
            <w:r w:rsidRPr="00F21ED0">
              <w:rPr>
                <w:rFonts w:eastAsia="Times New Roman" w:cs="Times New Roman"/>
                <w:color w:val="2E2E2E"/>
                <w:szCs w:val="24"/>
                <w:lang w:eastAsia="fi-FI"/>
              </w:rPr>
              <w:t>Fresh fruits and berries</w:t>
            </w:r>
          </w:p>
        </w:tc>
        <w:tc>
          <w:tcPr>
            <w:tcW w:w="1701" w:type="dxa"/>
          </w:tcPr>
          <w:p w14:paraId="7051C0D4" w14:textId="77777777" w:rsidR="003B6D98" w:rsidRPr="00F21ED0" w:rsidRDefault="003B6D98" w:rsidP="00476B25">
            <w:pPr>
              <w:autoSpaceDE w:val="0"/>
              <w:autoSpaceDN w:val="0"/>
              <w:adjustRightInd w:val="0"/>
              <w:spacing w:line="360" w:lineRule="auto"/>
              <w:rPr>
                <w:rFonts w:cs="Times New Roman"/>
                <w:szCs w:val="24"/>
              </w:rPr>
            </w:pPr>
            <w:r w:rsidRPr="00F21ED0">
              <w:rPr>
                <w:rFonts w:eastAsia="Times New Roman" w:cs="Times New Roman"/>
                <w:color w:val="2E2E2E"/>
                <w:szCs w:val="24"/>
                <w:lang w:eastAsia="fi-FI"/>
              </w:rPr>
              <w:t>≥2 / day</w:t>
            </w:r>
          </w:p>
        </w:tc>
        <w:tc>
          <w:tcPr>
            <w:tcW w:w="2211" w:type="dxa"/>
          </w:tcPr>
          <w:p w14:paraId="0B5F8AD7" w14:textId="77777777" w:rsidR="003B6D98" w:rsidRPr="00F21ED0" w:rsidRDefault="003B6D98" w:rsidP="00476B25">
            <w:pPr>
              <w:autoSpaceDE w:val="0"/>
              <w:autoSpaceDN w:val="0"/>
              <w:adjustRightInd w:val="0"/>
              <w:spacing w:line="360" w:lineRule="auto"/>
              <w:jc w:val="center"/>
              <w:rPr>
                <w:rFonts w:cs="Times New Roman"/>
                <w:szCs w:val="24"/>
              </w:rPr>
            </w:pPr>
            <w:r w:rsidRPr="00F21ED0">
              <w:rPr>
                <w:rFonts w:cs="Times New Roman"/>
                <w:szCs w:val="24"/>
              </w:rPr>
              <w:t>2,512 (15.3)</w:t>
            </w:r>
          </w:p>
        </w:tc>
        <w:tc>
          <w:tcPr>
            <w:tcW w:w="4025" w:type="dxa"/>
            <w:vMerge w:val="restart"/>
          </w:tcPr>
          <w:p w14:paraId="6B5E1D77" w14:textId="77777777" w:rsidR="003B6D98" w:rsidRPr="00F21ED0" w:rsidRDefault="003B6D98" w:rsidP="00476B25">
            <w:pPr>
              <w:autoSpaceDE w:val="0"/>
              <w:autoSpaceDN w:val="0"/>
              <w:adjustRightInd w:val="0"/>
              <w:spacing w:line="360" w:lineRule="auto"/>
              <w:rPr>
                <w:rFonts w:cs="Times New Roman"/>
                <w:szCs w:val="24"/>
              </w:rPr>
            </w:pPr>
            <w:r w:rsidRPr="00F21ED0">
              <w:rPr>
                <w:rFonts w:cs="Times New Roman"/>
                <w:szCs w:val="24"/>
              </w:rPr>
              <w:t>Fruits, berries and/ or vegetable daily 5 to 6 portions</w:t>
            </w:r>
          </w:p>
        </w:tc>
      </w:tr>
      <w:tr w:rsidR="003B6D98" w:rsidRPr="00F840C4" w14:paraId="34720F36" w14:textId="77777777" w:rsidTr="00476B25">
        <w:tc>
          <w:tcPr>
            <w:tcW w:w="1984" w:type="dxa"/>
          </w:tcPr>
          <w:p w14:paraId="702EE8D4" w14:textId="77777777" w:rsidR="003B6D98" w:rsidRPr="00F21ED0" w:rsidRDefault="003B6D98" w:rsidP="00476B25">
            <w:pPr>
              <w:autoSpaceDE w:val="0"/>
              <w:autoSpaceDN w:val="0"/>
              <w:adjustRightInd w:val="0"/>
              <w:spacing w:line="360" w:lineRule="auto"/>
              <w:rPr>
                <w:rFonts w:cs="Times New Roman"/>
                <w:szCs w:val="24"/>
              </w:rPr>
            </w:pPr>
            <w:r w:rsidRPr="00F21ED0">
              <w:rPr>
                <w:rFonts w:cs="Times New Roman"/>
                <w:szCs w:val="24"/>
              </w:rPr>
              <w:t>Vegetables</w:t>
            </w:r>
          </w:p>
        </w:tc>
        <w:tc>
          <w:tcPr>
            <w:tcW w:w="1701" w:type="dxa"/>
          </w:tcPr>
          <w:p w14:paraId="52A7123D" w14:textId="77777777" w:rsidR="003B6D98" w:rsidRPr="00F21ED0" w:rsidRDefault="003B6D98" w:rsidP="00476B25">
            <w:pPr>
              <w:autoSpaceDE w:val="0"/>
              <w:autoSpaceDN w:val="0"/>
              <w:adjustRightInd w:val="0"/>
              <w:spacing w:line="360" w:lineRule="auto"/>
              <w:rPr>
                <w:rFonts w:cs="Times New Roman"/>
                <w:szCs w:val="24"/>
              </w:rPr>
            </w:pPr>
            <w:r w:rsidRPr="00F21ED0">
              <w:rPr>
                <w:rFonts w:eastAsia="Times New Roman" w:cs="Times New Roman"/>
                <w:color w:val="2E2E2E"/>
                <w:szCs w:val="24"/>
                <w:lang w:eastAsia="fi-FI"/>
              </w:rPr>
              <w:t>≥2 / day</w:t>
            </w:r>
          </w:p>
        </w:tc>
        <w:tc>
          <w:tcPr>
            <w:tcW w:w="2211" w:type="dxa"/>
          </w:tcPr>
          <w:p w14:paraId="6E738680" w14:textId="77777777" w:rsidR="003B6D98" w:rsidRPr="00F21ED0" w:rsidRDefault="003B6D98" w:rsidP="00476B25">
            <w:pPr>
              <w:autoSpaceDE w:val="0"/>
              <w:autoSpaceDN w:val="0"/>
              <w:adjustRightInd w:val="0"/>
              <w:spacing w:line="360" w:lineRule="auto"/>
              <w:jc w:val="center"/>
              <w:rPr>
                <w:rFonts w:cs="Times New Roman"/>
                <w:szCs w:val="24"/>
              </w:rPr>
            </w:pPr>
            <w:r w:rsidRPr="00F21ED0">
              <w:rPr>
                <w:rFonts w:cs="Times New Roman"/>
                <w:szCs w:val="24"/>
              </w:rPr>
              <w:t>2,893 (17.6)</w:t>
            </w:r>
          </w:p>
        </w:tc>
        <w:tc>
          <w:tcPr>
            <w:tcW w:w="4025" w:type="dxa"/>
            <w:vMerge/>
          </w:tcPr>
          <w:p w14:paraId="60FBBC42" w14:textId="77777777" w:rsidR="003B6D98" w:rsidRPr="00F21ED0" w:rsidRDefault="003B6D98" w:rsidP="00476B25">
            <w:pPr>
              <w:autoSpaceDE w:val="0"/>
              <w:autoSpaceDN w:val="0"/>
              <w:adjustRightInd w:val="0"/>
              <w:spacing w:line="360" w:lineRule="auto"/>
              <w:rPr>
                <w:rFonts w:cs="Times New Roman"/>
                <w:szCs w:val="24"/>
              </w:rPr>
            </w:pPr>
          </w:p>
        </w:tc>
      </w:tr>
      <w:tr w:rsidR="003B6D98" w:rsidRPr="00F840C4" w14:paraId="365AD8ED" w14:textId="77777777" w:rsidTr="00476B25">
        <w:tc>
          <w:tcPr>
            <w:tcW w:w="1984" w:type="dxa"/>
          </w:tcPr>
          <w:p w14:paraId="16BE5F4A" w14:textId="77777777" w:rsidR="003B6D98" w:rsidRPr="00F21ED0" w:rsidRDefault="003B6D98" w:rsidP="00476B25">
            <w:pPr>
              <w:autoSpaceDE w:val="0"/>
              <w:autoSpaceDN w:val="0"/>
              <w:adjustRightInd w:val="0"/>
              <w:spacing w:line="360" w:lineRule="auto"/>
              <w:rPr>
                <w:rFonts w:cs="Times New Roman"/>
                <w:szCs w:val="24"/>
              </w:rPr>
            </w:pPr>
            <w:r w:rsidRPr="00F21ED0">
              <w:rPr>
                <w:rFonts w:cs="Times New Roman"/>
                <w:szCs w:val="24"/>
              </w:rPr>
              <w:t>Alcohol</w:t>
            </w:r>
          </w:p>
        </w:tc>
        <w:tc>
          <w:tcPr>
            <w:tcW w:w="1701" w:type="dxa"/>
          </w:tcPr>
          <w:p w14:paraId="205A571A" w14:textId="77777777" w:rsidR="003B6D98" w:rsidRPr="00F21ED0" w:rsidRDefault="003B6D98" w:rsidP="00476B25">
            <w:pPr>
              <w:autoSpaceDE w:val="0"/>
              <w:autoSpaceDN w:val="0"/>
              <w:adjustRightInd w:val="0"/>
              <w:spacing w:line="360" w:lineRule="auto"/>
              <w:rPr>
                <w:rFonts w:eastAsia="Times New Roman" w:cs="Times New Roman"/>
                <w:color w:val="2E2E2E"/>
                <w:szCs w:val="24"/>
                <w:lang w:eastAsia="fi-FI"/>
              </w:rPr>
            </w:pPr>
            <w:r w:rsidRPr="00F21ED0">
              <w:rPr>
                <w:rFonts w:eastAsia="Times New Roman" w:cs="Times New Roman"/>
                <w:color w:val="2E2E2E"/>
                <w:szCs w:val="24"/>
                <w:lang w:eastAsia="fi-FI"/>
              </w:rPr>
              <w:t>&lt;10 g/ day (women)</w:t>
            </w:r>
          </w:p>
          <w:p w14:paraId="44CC4348" w14:textId="77777777" w:rsidR="003B6D98" w:rsidRPr="00F21ED0" w:rsidRDefault="003B6D98" w:rsidP="00476B25">
            <w:pPr>
              <w:autoSpaceDE w:val="0"/>
              <w:autoSpaceDN w:val="0"/>
              <w:adjustRightInd w:val="0"/>
              <w:spacing w:line="360" w:lineRule="auto"/>
              <w:rPr>
                <w:rFonts w:eastAsia="Times New Roman" w:cs="Times New Roman"/>
                <w:color w:val="2E2E2E"/>
                <w:szCs w:val="24"/>
                <w:lang w:eastAsia="fi-FI"/>
              </w:rPr>
            </w:pPr>
            <w:r w:rsidRPr="00F21ED0">
              <w:rPr>
                <w:rFonts w:eastAsia="Times New Roman" w:cs="Times New Roman"/>
                <w:color w:val="2E2E2E"/>
                <w:szCs w:val="24"/>
                <w:lang w:eastAsia="fi-FI"/>
              </w:rPr>
              <w:t>&lt;20 g/day (men)</w:t>
            </w:r>
          </w:p>
        </w:tc>
        <w:tc>
          <w:tcPr>
            <w:tcW w:w="2211" w:type="dxa"/>
          </w:tcPr>
          <w:p w14:paraId="6B3DFBE4" w14:textId="77777777" w:rsidR="003B6D98" w:rsidRPr="00F21ED0" w:rsidRDefault="003B6D98" w:rsidP="00476B25">
            <w:pPr>
              <w:autoSpaceDE w:val="0"/>
              <w:autoSpaceDN w:val="0"/>
              <w:adjustRightInd w:val="0"/>
              <w:spacing w:line="360" w:lineRule="auto"/>
              <w:jc w:val="center"/>
              <w:rPr>
                <w:rFonts w:cs="Times New Roman"/>
                <w:szCs w:val="24"/>
              </w:rPr>
            </w:pPr>
            <w:r w:rsidRPr="00F21ED0">
              <w:rPr>
                <w:rFonts w:cs="Times New Roman"/>
                <w:szCs w:val="24"/>
              </w:rPr>
              <w:t>12,631 (76.6)</w:t>
            </w:r>
          </w:p>
        </w:tc>
        <w:tc>
          <w:tcPr>
            <w:tcW w:w="4025" w:type="dxa"/>
          </w:tcPr>
          <w:p w14:paraId="43F558C2" w14:textId="77777777" w:rsidR="003B6D98" w:rsidRPr="00F21ED0" w:rsidRDefault="003B6D98" w:rsidP="00476B25">
            <w:pPr>
              <w:autoSpaceDE w:val="0"/>
              <w:autoSpaceDN w:val="0"/>
              <w:adjustRightInd w:val="0"/>
              <w:spacing w:line="360" w:lineRule="auto"/>
              <w:rPr>
                <w:rFonts w:cs="Times New Roman"/>
                <w:szCs w:val="24"/>
              </w:rPr>
            </w:pPr>
            <w:r w:rsidRPr="00F21ED0">
              <w:rPr>
                <w:rFonts w:eastAsia="Times New Roman" w:cs="Times New Roman"/>
                <w:color w:val="2E2E2E"/>
                <w:szCs w:val="24"/>
                <w:lang w:eastAsia="fi-FI"/>
              </w:rPr>
              <w:t>The consumption of alcohol should be limited</w:t>
            </w:r>
          </w:p>
        </w:tc>
      </w:tr>
    </w:tbl>
    <w:p w14:paraId="5640DCC1" w14:textId="77777777" w:rsidR="003B6D98" w:rsidRPr="00F840C4" w:rsidRDefault="003B6D98" w:rsidP="003B6D98">
      <w:pPr>
        <w:shd w:val="clear" w:color="auto" w:fill="FFFFFF"/>
        <w:spacing w:after="0" w:line="360" w:lineRule="auto"/>
        <w:rPr>
          <w:rFonts w:eastAsia="Times New Roman" w:cs="Times New Roman"/>
          <w:color w:val="2E2E2E"/>
          <w:szCs w:val="24"/>
          <w:lang w:eastAsia="fi-FI"/>
        </w:rPr>
      </w:pPr>
    </w:p>
    <w:p w14:paraId="1161BE18" w14:textId="77777777" w:rsidR="003B6D98" w:rsidRPr="00F840C4" w:rsidRDefault="003B6D98" w:rsidP="003B6D98">
      <w:pPr>
        <w:spacing w:after="0" w:line="360" w:lineRule="auto"/>
        <w:rPr>
          <w:rFonts w:cs="Times New Roman"/>
          <w:b/>
          <w:bCs/>
        </w:rPr>
      </w:pPr>
      <w:r w:rsidRPr="00F840C4">
        <w:rPr>
          <w:rFonts w:cs="Times New Roman"/>
          <w:b/>
          <w:bCs/>
        </w:rPr>
        <w:br w:type="page"/>
      </w:r>
    </w:p>
    <w:p w14:paraId="6DC65A5C" w14:textId="77777777" w:rsidR="003B6D98" w:rsidRPr="00F840C4" w:rsidRDefault="003B6D98" w:rsidP="003B6D98">
      <w:pPr>
        <w:spacing w:after="0" w:line="240" w:lineRule="auto"/>
        <w:rPr>
          <w:rFonts w:cs="Times New Roman"/>
          <w:bCs/>
          <w:szCs w:val="24"/>
        </w:rPr>
      </w:pPr>
      <w:r w:rsidRPr="00F840C4">
        <w:rPr>
          <w:rFonts w:cs="Times New Roman"/>
          <w:bCs/>
          <w:szCs w:val="24"/>
        </w:rPr>
        <w:lastRenderedPageBreak/>
        <w:t xml:space="preserve">Table 2. Descriptive </w:t>
      </w:r>
      <w:r>
        <w:rPr>
          <w:rFonts w:cs="Times New Roman"/>
          <w:bCs/>
          <w:szCs w:val="24"/>
        </w:rPr>
        <w:t>characteristics</w:t>
      </w:r>
      <w:r w:rsidRPr="00F840C4">
        <w:rPr>
          <w:rFonts w:cs="Times New Roman"/>
          <w:bCs/>
          <w:szCs w:val="24"/>
        </w:rPr>
        <w:t xml:space="preserve"> of the study participants </w:t>
      </w:r>
      <w:r>
        <w:rPr>
          <w:rFonts w:cs="Times New Roman"/>
          <w:bCs/>
          <w:szCs w:val="24"/>
        </w:rPr>
        <w:t>and</w:t>
      </w:r>
      <w:r w:rsidRPr="00F840C4">
        <w:rPr>
          <w:rFonts w:cs="Times New Roman"/>
          <w:bCs/>
          <w:szCs w:val="24"/>
        </w:rPr>
        <w:t xml:space="preserve"> </w:t>
      </w:r>
      <w:r>
        <w:rPr>
          <w:rFonts w:cs="Times New Roman"/>
          <w:bCs/>
          <w:szCs w:val="24"/>
        </w:rPr>
        <w:t xml:space="preserve">mean </w:t>
      </w:r>
      <w:r w:rsidRPr="00F840C4">
        <w:rPr>
          <w:rFonts w:cs="Times New Roman"/>
          <w:bCs/>
          <w:szCs w:val="24"/>
        </w:rPr>
        <w:t>adherence</w:t>
      </w:r>
      <w:r>
        <w:rPr>
          <w:rFonts w:cs="Times New Roman"/>
          <w:bCs/>
          <w:szCs w:val="24"/>
        </w:rPr>
        <w:t xml:space="preserve"> with standard deviation (SD)</w:t>
      </w:r>
      <w:r w:rsidRPr="00F840C4">
        <w:rPr>
          <w:rFonts w:cs="Times New Roman"/>
          <w:bCs/>
          <w:szCs w:val="24"/>
        </w:rPr>
        <w:t xml:space="preserve"> to </w:t>
      </w:r>
      <w:r w:rsidRPr="008742A0">
        <w:rPr>
          <w:rFonts w:cs="Times New Roman"/>
          <w:bCs/>
          <w:szCs w:val="24"/>
        </w:rPr>
        <w:t>dietary recommendations. Statistical difference</w:t>
      </w:r>
      <w:r>
        <w:rPr>
          <w:rFonts w:cs="Times New Roman"/>
          <w:bCs/>
          <w:szCs w:val="24"/>
        </w:rPr>
        <w:t>s</w:t>
      </w:r>
      <w:r w:rsidRPr="008742A0">
        <w:rPr>
          <w:rFonts w:eastAsia="Times New Roman"/>
          <w:lang w:eastAsia="fi-FI"/>
        </w:rPr>
        <w:t xml:space="preserve"> were tested with </w:t>
      </w:r>
      <w:r>
        <w:rPr>
          <w:rFonts w:eastAsia="Times New Roman"/>
          <w:lang w:eastAsia="fi-FI"/>
        </w:rPr>
        <w:t>A</w:t>
      </w:r>
      <w:r w:rsidRPr="008742A0">
        <w:rPr>
          <w:rFonts w:eastAsia="Times New Roman"/>
          <w:lang w:eastAsia="fi-FI"/>
        </w:rPr>
        <w:t xml:space="preserve">nalysis of </w:t>
      </w:r>
      <w:r>
        <w:rPr>
          <w:rFonts w:eastAsia="Times New Roman"/>
          <w:lang w:eastAsia="fi-FI"/>
        </w:rPr>
        <w:t>V</w:t>
      </w:r>
      <w:r w:rsidRPr="008742A0">
        <w:rPr>
          <w:rFonts w:eastAsia="Times New Roman"/>
          <w:lang w:eastAsia="fi-FI"/>
        </w:rPr>
        <w:t>ariance.</w:t>
      </w:r>
      <w:r>
        <w:rPr>
          <w:rFonts w:eastAsia="Times New Roman"/>
          <w:lang w:eastAsia="fi-FI"/>
        </w:rPr>
        <w:t xml:space="preserve"> </w:t>
      </w:r>
    </w:p>
    <w:tbl>
      <w:tblPr>
        <w:tblW w:w="9358" w:type="dxa"/>
        <w:tblInd w:w="-2" w:type="dxa"/>
        <w:tblBorders>
          <w:bottom w:val="single" w:sz="4" w:space="0" w:color="auto"/>
        </w:tblBorders>
        <w:tblCellMar>
          <w:left w:w="0" w:type="dxa"/>
          <w:right w:w="0" w:type="dxa"/>
        </w:tblCellMar>
        <w:tblLook w:val="04A0" w:firstRow="1" w:lastRow="0" w:firstColumn="1" w:lastColumn="0" w:noHBand="0" w:noVBand="1"/>
      </w:tblPr>
      <w:tblGrid>
        <w:gridCol w:w="1160"/>
        <w:gridCol w:w="1384"/>
        <w:gridCol w:w="1191"/>
        <w:gridCol w:w="1304"/>
        <w:gridCol w:w="883"/>
        <w:gridCol w:w="7"/>
        <w:gridCol w:w="17"/>
        <w:gridCol w:w="1132"/>
        <w:gridCol w:w="17"/>
        <w:gridCol w:w="1287"/>
        <w:gridCol w:w="17"/>
        <w:gridCol w:w="881"/>
        <w:gridCol w:w="17"/>
        <w:gridCol w:w="61"/>
      </w:tblGrid>
      <w:tr w:rsidR="003B6D98" w:rsidRPr="00F840C4" w14:paraId="5A548480" w14:textId="77777777" w:rsidTr="00476B25">
        <w:tc>
          <w:tcPr>
            <w:tcW w:w="1160" w:type="dxa"/>
            <w:tcBorders>
              <w:top w:val="single" w:sz="4" w:space="0" w:color="auto"/>
              <w:bottom w:val="single" w:sz="4" w:space="0" w:color="auto"/>
            </w:tcBorders>
          </w:tcPr>
          <w:p w14:paraId="6D856BBD" w14:textId="77777777" w:rsidR="003B6D98" w:rsidRDefault="003B6D98" w:rsidP="00476B25">
            <w:pPr>
              <w:pStyle w:val="NormalWeb"/>
              <w:spacing w:after="40"/>
              <w:rPr>
                <w:rFonts w:ascii="Times New Roman" w:eastAsiaTheme="minorHAnsi" w:hAnsi="Times New Roman" w:cstheme="minorBidi"/>
                <w:szCs w:val="22"/>
                <w:lang w:val="en-US" w:eastAsia="en-US"/>
              </w:rPr>
            </w:pPr>
          </w:p>
        </w:tc>
        <w:tc>
          <w:tcPr>
            <w:tcW w:w="1384" w:type="dxa"/>
            <w:tcBorders>
              <w:top w:val="single" w:sz="4" w:space="0" w:color="auto"/>
              <w:bottom w:val="single" w:sz="4" w:space="0" w:color="auto"/>
            </w:tcBorders>
            <w:tcMar>
              <w:top w:w="0" w:type="dxa"/>
              <w:left w:w="108" w:type="dxa"/>
              <w:bottom w:w="0" w:type="dxa"/>
              <w:right w:w="108" w:type="dxa"/>
            </w:tcMar>
          </w:tcPr>
          <w:p w14:paraId="3283164A" w14:textId="77777777" w:rsidR="003B6D98" w:rsidRDefault="003B6D98" w:rsidP="00476B25">
            <w:pPr>
              <w:pStyle w:val="NormalWeb"/>
              <w:spacing w:after="40"/>
              <w:rPr>
                <w:rFonts w:ascii="Times New Roman" w:eastAsiaTheme="minorHAnsi" w:hAnsi="Times New Roman" w:cstheme="minorBidi"/>
                <w:szCs w:val="22"/>
                <w:lang w:val="en-US" w:eastAsia="en-US"/>
              </w:rPr>
            </w:pPr>
          </w:p>
        </w:tc>
        <w:tc>
          <w:tcPr>
            <w:tcW w:w="6814" w:type="dxa"/>
            <w:gridSpan w:val="12"/>
            <w:tcBorders>
              <w:top w:val="single" w:sz="4" w:space="0" w:color="auto"/>
              <w:bottom w:val="single" w:sz="4" w:space="0" w:color="auto"/>
            </w:tcBorders>
          </w:tcPr>
          <w:p w14:paraId="69FAEC9F" w14:textId="77777777" w:rsidR="003B6D98" w:rsidRDefault="003B6D98" w:rsidP="00476B25">
            <w:pPr>
              <w:pStyle w:val="NormalWeb"/>
              <w:spacing w:after="40"/>
              <w:jc w:val="center"/>
              <w:rPr>
                <w:b/>
                <w:bCs/>
                <w:lang w:val="en-US"/>
              </w:rPr>
            </w:pPr>
            <w:r w:rsidRPr="00F840C4">
              <w:rPr>
                <w:b/>
                <w:bCs/>
                <w:lang w:val="en-US"/>
              </w:rPr>
              <w:t>Adherence to dietary recommendations</w:t>
            </w:r>
            <w:r w:rsidRPr="00F840C4">
              <w:rPr>
                <w:b/>
                <w:bCs/>
                <w:vertAlign w:val="superscript"/>
                <w:lang w:val="en-US"/>
              </w:rPr>
              <w:t>1</w:t>
            </w:r>
          </w:p>
        </w:tc>
      </w:tr>
      <w:tr w:rsidR="003B6D98" w:rsidRPr="000361DB" w14:paraId="6322A423" w14:textId="77777777" w:rsidTr="00476B25">
        <w:tc>
          <w:tcPr>
            <w:tcW w:w="1160" w:type="dxa"/>
            <w:tcBorders>
              <w:top w:val="single" w:sz="4" w:space="0" w:color="auto"/>
              <w:bottom w:val="single" w:sz="4" w:space="0" w:color="auto"/>
            </w:tcBorders>
          </w:tcPr>
          <w:p w14:paraId="776BFC30" w14:textId="77777777" w:rsidR="003B6D98" w:rsidRDefault="003B6D98" w:rsidP="00476B25">
            <w:pPr>
              <w:pStyle w:val="NormalWeb"/>
              <w:spacing w:after="40"/>
              <w:rPr>
                <w:rFonts w:ascii="Times New Roman" w:eastAsiaTheme="minorHAnsi" w:hAnsi="Times New Roman" w:cstheme="minorBidi"/>
                <w:szCs w:val="22"/>
                <w:lang w:val="en-US" w:eastAsia="en-US"/>
              </w:rPr>
            </w:pPr>
          </w:p>
        </w:tc>
        <w:tc>
          <w:tcPr>
            <w:tcW w:w="1384" w:type="dxa"/>
            <w:tcBorders>
              <w:top w:val="single" w:sz="4" w:space="0" w:color="auto"/>
              <w:bottom w:val="single" w:sz="4" w:space="0" w:color="auto"/>
            </w:tcBorders>
            <w:tcMar>
              <w:top w:w="0" w:type="dxa"/>
              <w:left w:w="108" w:type="dxa"/>
              <w:bottom w:w="0" w:type="dxa"/>
              <w:right w:w="108" w:type="dxa"/>
            </w:tcMar>
          </w:tcPr>
          <w:p w14:paraId="04B6A78A" w14:textId="77777777" w:rsidR="003B6D98" w:rsidRDefault="003B6D98" w:rsidP="00476B25">
            <w:pPr>
              <w:pStyle w:val="NormalWeb"/>
              <w:spacing w:after="40"/>
              <w:rPr>
                <w:rFonts w:ascii="Times New Roman" w:eastAsiaTheme="minorHAnsi" w:hAnsi="Times New Roman" w:cstheme="minorBidi"/>
                <w:szCs w:val="22"/>
                <w:lang w:val="en-US" w:eastAsia="en-US"/>
              </w:rPr>
            </w:pPr>
          </w:p>
        </w:tc>
        <w:tc>
          <w:tcPr>
            <w:tcW w:w="3378" w:type="dxa"/>
            <w:gridSpan w:val="3"/>
            <w:tcBorders>
              <w:top w:val="single" w:sz="4" w:space="0" w:color="auto"/>
              <w:bottom w:val="single" w:sz="4" w:space="0" w:color="auto"/>
            </w:tcBorders>
          </w:tcPr>
          <w:p w14:paraId="6E461466" w14:textId="77777777" w:rsidR="003B6D98" w:rsidRPr="002C58A8" w:rsidRDefault="003B6D98" w:rsidP="00476B25">
            <w:pPr>
              <w:pStyle w:val="NormalWeb"/>
              <w:spacing w:after="40"/>
              <w:jc w:val="center"/>
              <w:rPr>
                <w:b/>
                <w:bCs/>
                <w:lang w:val="en-US"/>
              </w:rPr>
            </w:pPr>
            <w:r w:rsidRPr="002C58A8">
              <w:rPr>
                <w:b/>
                <w:bCs/>
                <w:lang w:val="en-US"/>
              </w:rPr>
              <w:t>Non-movers</w:t>
            </w:r>
          </w:p>
        </w:tc>
        <w:tc>
          <w:tcPr>
            <w:tcW w:w="3436" w:type="dxa"/>
            <w:gridSpan w:val="9"/>
            <w:tcBorders>
              <w:top w:val="single" w:sz="4" w:space="0" w:color="auto"/>
              <w:bottom w:val="single" w:sz="4" w:space="0" w:color="auto"/>
            </w:tcBorders>
          </w:tcPr>
          <w:p w14:paraId="118980E6" w14:textId="77777777" w:rsidR="003B6D98" w:rsidRPr="002C58A8" w:rsidRDefault="003B6D98" w:rsidP="00476B25">
            <w:pPr>
              <w:pStyle w:val="NormalWeb"/>
              <w:spacing w:after="40"/>
              <w:jc w:val="center"/>
              <w:rPr>
                <w:b/>
                <w:bCs/>
                <w:lang w:val="en-US"/>
              </w:rPr>
            </w:pPr>
            <w:r w:rsidRPr="002C58A8">
              <w:rPr>
                <w:b/>
                <w:bCs/>
                <w:lang w:val="en-US"/>
              </w:rPr>
              <w:t>Movers</w:t>
            </w:r>
          </w:p>
        </w:tc>
      </w:tr>
      <w:tr w:rsidR="003B6D98" w:rsidRPr="000361DB" w14:paraId="2FF31BD9" w14:textId="77777777" w:rsidTr="00476B25">
        <w:trPr>
          <w:gridAfter w:val="1"/>
          <w:wAfter w:w="61" w:type="dxa"/>
        </w:trPr>
        <w:tc>
          <w:tcPr>
            <w:tcW w:w="1160" w:type="dxa"/>
            <w:tcBorders>
              <w:top w:val="single" w:sz="4" w:space="0" w:color="auto"/>
              <w:bottom w:val="single" w:sz="4" w:space="0" w:color="auto"/>
            </w:tcBorders>
          </w:tcPr>
          <w:p w14:paraId="42FFAF7A" w14:textId="77777777" w:rsidR="003B6D98" w:rsidRDefault="003B6D98" w:rsidP="00476B25">
            <w:pPr>
              <w:pStyle w:val="NormalWeb"/>
              <w:spacing w:after="40"/>
              <w:rPr>
                <w:rFonts w:ascii="Times New Roman" w:eastAsiaTheme="minorHAnsi" w:hAnsi="Times New Roman" w:cstheme="minorBidi"/>
                <w:szCs w:val="22"/>
                <w:lang w:val="en-US" w:eastAsia="en-US"/>
              </w:rPr>
            </w:pPr>
            <w:r w:rsidRPr="00F840C4">
              <w:rPr>
                <w:b/>
                <w:bCs/>
                <w:lang w:val="en-US"/>
              </w:rPr>
              <w:t>Variables</w:t>
            </w:r>
          </w:p>
        </w:tc>
        <w:tc>
          <w:tcPr>
            <w:tcW w:w="1384" w:type="dxa"/>
            <w:tcBorders>
              <w:top w:val="single" w:sz="4" w:space="0" w:color="auto"/>
              <w:bottom w:val="single" w:sz="4" w:space="0" w:color="auto"/>
            </w:tcBorders>
            <w:tcMar>
              <w:top w:w="0" w:type="dxa"/>
              <w:left w:w="108" w:type="dxa"/>
              <w:bottom w:w="0" w:type="dxa"/>
              <w:right w:w="108" w:type="dxa"/>
            </w:tcMar>
            <w:hideMark/>
          </w:tcPr>
          <w:p w14:paraId="65FBB036" w14:textId="77777777" w:rsidR="003B6D98" w:rsidRPr="00F840C4" w:rsidRDefault="003B6D98" w:rsidP="00476B25">
            <w:pPr>
              <w:pStyle w:val="NormalWeb"/>
              <w:spacing w:after="40"/>
              <w:rPr>
                <w:lang w:val="en-US"/>
              </w:rPr>
            </w:pPr>
            <w:r>
              <w:rPr>
                <w:rFonts w:ascii="Times New Roman" w:eastAsiaTheme="minorHAnsi" w:hAnsi="Times New Roman" w:cstheme="minorBidi"/>
                <w:szCs w:val="22"/>
                <w:lang w:val="en-US" w:eastAsia="en-US"/>
              </w:rPr>
              <w:br w:type="page"/>
            </w:r>
          </w:p>
        </w:tc>
        <w:tc>
          <w:tcPr>
            <w:tcW w:w="1191" w:type="dxa"/>
            <w:tcBorders>
              <w:top w:val="single" w:sz="4" w:space="0" w:color="auto"/>
              <w:bottom w:val="single" w:sz="4" w:space="0" w:color="auto"/>
            </w:tcBorders>
            <w:hideMark/>
          </w:tcPr>
          <w:p w14:paraId="03A4001B" w14:textId="77777777" w:rsidR="003B6D98" w:rsidRPr="00F840C4" w:rsidRDefault="003B6D98" w:rsidP="00476B25">
            <w:pPr>
              <w:pStyle w:val="NormalWeb"/>
              <w:spacing w:after="40"/>
              <w:jc w:val="center"/>
              <w:rPr>
                <w:lang w:val="en-US"/>
              </w:rPr>
            </w:pPr>
            <w:r w:rsidRPr="00F840C4">
              <w:rPr>
                <w:b/>
                <w:bCs/>
                <w:lang w:val="en-US"/>
              </w:rPr>
              <w:t>N</w:t>
            </w:r>
            <w:r>
              <w:rPr>
                <w:b/>
                <w:bCs/>
                <w:lang w:val="en-US"/>
              </w:rPr>
              <w:t xml:space="preserve"> </w:t>
            </w:r>
            <w:r w:rsidRPr="00F840C4">
              <w:rPr>
                <w:b/>
                <w:bCs/>
                <w:lang w:val="en-US"/>
              </w:rPr>
              <w:t>(%)</w:t>
            </w:r>
          </w:p>
        </w:tc>
        <w:tc>
          <w:tcPr>
            <w:tcW w:w="1304" w:type="dxa"/>
            <w:tcBorders>
              <w:top w:val="single" w:sz="4" w:space="0" w:color="auto"/>
              <w:bottom w:val="single" w:sz="4" w:space="0" w:color="auto"/>
            </w:tcBorders>
            <w:tcMar>
              <w:top w:w="0" w:type="dxa"/>
              <w:left w:w="108" w:type="dxa"/>
              <w:bottom w:w="0" w:type="dxa"/>
              <w:right w:w="108" w:type="dxa"/>
            </w:tcMar>
            <w:hideMark/>
          </w:tcPr>
          <w:p w14:paraId="45A4C248" w14:textId="77777777" w:rsidR="003B6D98" w:rsidRPr="00F840C4" w:rsidRDefault="003B6D98" w:rsidP="00476B25">
            <w:pPr>
              <w:pStyle w:val="NormalWeb"/>
              <w:spacing w:after="40"/>
              <w:jc w:val="center"/>
              <w:rPr>
                <w:lang w:val="en-US"/>
              </w:rPr>
            </w:pPr>
            <w:r>
              <w:rPr>
                <w:b/>
                <w:bCs/>
                <w:lang w:val="en-US"/>
              </w:rPr>
              <w:t xml:space="preserve">Mean </w:t>
            </w:r>
            <w:r w:rsidRPr="00F840C4">
              <w:rPr>
                <w:b/>
                <w:bCs/>
                <w:lang w:val="en-US"/>
              </w:rPr>
              <w:t>(</w:t>
            </w:r>
            <w:r>
              <w:rPr>
                <w:b/>
                <w:bCs/>
                <w:lang w:val="en-US"/>
              </w:rPr>
              <w:t>SD)</w:t>
            </w:r>
          </w:p>
        </w:tc>
        <w:tc>
          <w:tcPr>
            <w:tcW w:w="907" w:type="dxa"/>
            <w:gridSpan w:val="3"/>
            <w:tcBorders>
              <w:top w:val="single" w:sz="4" w:space="0" w:color="auto"/>
              <w:bottom w:val="single" w:sz="4" w:space="0" w:color="auto"/>
            </w:tcBorders>
            <w:tcMar>
              <w:top w:w="0" w:type="dxa"/>
              <w:left w:w="108" w:type="dxa"/>
              <w:bottom w:w="0" w:type="dxa"/>
              <w:right w:w="108" w:type="dxa"/>
            </w:tcMar>
            <w:hideMark/>
          </w:tcPr>
          <w:p w14:paraId="5CBE2004" w14:textId="77777777" w:rsidR="003B6D98" w:rsidRPr="000361DB" w:rsidRDefault="003B6D98" w:rsidP="00476B25">
            <w:pPr>
              <w:pStyle w:val="NormalWeb"/>
              <w:spacing w:after="40"/>
              <w:jc w:val="center"/>
              <w:rPr>
                <w:highlight w:val="yellow"/>
                <w:lang w:val="en-US"/>
              </w:rPr>
            </w:pPr>
            <w:r>
              <w:rPr>
                <w:b/>
                <w:bCs/>
                <w:lang w:val="en-US"/>
              </w:rPr>
              <w:t>P</w:t>
            </w:r>
          </w:p>
        </w:tc>
        <w:tc>
          <w:tcPr>
            <w:tcW w:w="1149" w:type="dxa"/>
            <w:gridSpan w:val="2"/>
            <w:tcBorders>
              <w:top w:val="single" w:sz="4" w:space="0" w:color="auto"/>
              <w:bottom w:val="single" w:sz="4" w:space="0" w:color="auto"/>
            </w:tcBorders>
          </w:tcPr>
          <w:p w14:paraId="04DF2DD2" w14:textId="77777777" w:rsidR="003B6D98" w:rsidRPr="000361DB" w:rsidRDefault="003B6D98" w:rsidP="00476B25">
            <w:pPr>
              <w:pStyle w:val="NormalWeb"/>
              <w:spacing w:after="40"/>
              <w:jc w:val="center"/>
              <w:rPr>
                <w:b/>
                <w:bCs/>
                <w:highlight w:val="yellow"/>
                <w:lang w:val="en-US"/>
              </w:rPr>
            </w:pPr>
            <w:r w:rsidRPr="00F840C4">
              <w:rPr>
                <w:b/>
                <w:bCs/>
                <w:lang w:val="en-US"/>
              </w:rPr>
              <w:t>N</w:t>
            </w:r>
            <w:r>
              <w:rPr>
                <w:b/>
                <w:bCs/>
                <w:lang w:val="en-US"/>
              </w:rPr>
              <w:t xml:space="preserve"> </w:t>
            </w:r>
            <w:r w:rsidRPr="00F840C4">
              <w:rPr>
                <w:b/>
                <w:bCs/>
                <w:lang w:val="en-US"/>
              </w:rPr>
              <w:t>(%)</w:t>
            </w:r>
          </w:p>
        </w:tc>
        <w:tc>
          <w:tcPr>
            <w:tcW w:w="1304" w:type="dxa"/>
            <w:gridSpan w:val="2"/>
            <w:tcBorders>
              <w:top w:val="single" w:sz="4" w:space="0" w:color="auto"/>
              <w:bottom w:val="single" w:sz="4" w:space="0" w:color="auto"/>
            </w:tcBorders>
          </w:tcPr>
          <w:p w14:paraId="00ED8824" w14:textId="77777777" w:rsidR="003B6D98" w:rsidRPr="000361DB" w:rsidRDefault="003B6D98" w:rsidP="00476B25">
            <w:pPr>
              <w:pStyle w:val="NormalWeb"/>
              <w:spacing w:after="40"/>
              <w:jc w:val="center"/>
              <w:rPr>
                <w:b/>
                <w:bCs/>
                <w:highlight w:val="yellow"/>
                <w:lang w:val="en-US"/>
              </w:rPr>
            </w:pPr>
            <w:r>
              <w:rPr>
                <w:b/>
                <w:bCs/>
                <w:lang w:val="en-US"/>
              </w:rPr>
              <w:t xml:space="preserve">Mean </w:t>
            </w:r>
            <w:r w:rsidRPr="00F840C4">
              <w:rPr>
                <w:b/>
                <w:bCs/>
                <w:lang w:val="en-US"/>
              </w:rPr>
              <w:t>(</w:t>
            </w:r>
            <w:r>
              <w:rPr>
                <w:b/>
                <w:bCs/>
                <w:lang w:val="en-US"/>
              </w:rPr>
              <w:t>SD)</w:t>
            </w:r>
          </w:p>
        </w:tc>
        <w:tc>
          <w:tcPr>
            <w:tcW w:w="898" w:type="dxa"/>
            <w:gridSpan w:val="2"/>
            <w:tcBorders>
              <w:top w:val="single" w:sz="4" w:space="0" w:color="auto"/>
              <w:bottom w:val="single" w:sz="4" w:space="0" w:color="auto"/>
            </w:tcBorders>
          </w:tcPr>
          <w:p w14:paraId="338C7F0E" w14:textId="77777777" w:rsidR="003B6D98" w:rsidRPr="000361DB" w:rsidRDefault="003B6D98" w:rsidP="00476B25">
            <w:pPr>
              <w:pStyle w:val="NormalWeb"/>
              <w:spacing w:after="40"/>
              <w:jc w:val="center"/>
              <w:rPr>
                <w:b/>
                <w:bCs/>
                <w:highlight w:val="yellow"/>
                <w:lang w:val="en-US"/>
              </w:rPr>
            </w:pPr>
            <w:r w:rsidRPr="0034773A">
              <w:rPr>
                <w:b/>
                <w:bCs/>
                <w:lang w:val="en-US"/>
              </w:rPr>
              <w:t>P</w:t>
            </w:r>
          </w:p>
        </w:tc>
      </w:tr>
      <w:tr w:rsidR="003B6D98" w:rsidRPr="00F840C4" w14:paraId="2680F84F" w14:textId="77777777" w:rsidTr="00476B25">
        <w:trPr>
          <w:gridAfter w:val="1"/>
          <w:wAfter w:w="61" w:type="dxa"/>
          <w:trHeight w:val="340"/>
        </w:trPr>
        <w:tc>
          <w:tcPr>
            <w:tcW w:w="1160" w:type="dxa"/>
            <w:tcBorders>
              <w:top w:val="single" w:sz="4" w:space="0" w:color="auto"/>
              <w:bottom w:val="dashSmallGap" w:sz="4" w:space="0" w:color="auto"/>
            </w:tcBorders>
          </w:tcPr>
          <w:p w14:paraId="1C80180F" w14:textId="77777777" w:rsidR="003B6D98" w:rsidRDefault="003B6D98" w:rsidP="00476B25">
            <w:pPr>
              <w:pStyle w:val="NormalWeb"/>
              <w:spacing w:after="40"/>
              <w:rPr>
                <w:b/>
                <w:lang w:val="en-US"/>
              </w:rPr>
            </w:pPr>
            <w:r>
              <w:rPr>
                <w:b/>
                <w:lang w:val="en-US"/>
              </w:rPr>
              <w:t>All</w:t>
            </w:r>
          </w:p>
        </w:tc>
        <w:tc>
          <w:tcPr>
            <w:tcW w:w="1384" w:type="dxa"/>
            <w:tcBorders>
              <w:top w:val="single" w:sz="4" w:space="0" w:color="auto"/>
              <w:bottom w:val="dashSmallGap" w:sz="4" w:space="0" w:color="auto"/>
            </w:tcBorders>
            <w:tcMar>
              <w:top w:w="0" w:type="dxa"/>
              <w:left w:w="108" w:type="dxa"/>
              <w:bottom w:w="0" w:type="dxa"/>
              <w:right w:w="108" w:type="dxa"/>
            </w:tcMar>
          </w:tcPr>
          <w:p w14:paraId="7927A677" w14:textId="77777777" w:rsidR="003B6D98" w:rsidRPr="006C6A66" w:rsidRDefault="003B6D98" w:rsidP="00476B25">
            <w:pPr>
              <w:pStyle w:val="NormalWeb"/>
              <w:spacing w:after="40"/>
              <w:rPr>
                <w:b/>
                <w:lang w:val="en-US"/>
              </w:rPr>
            </w:pPr>
          </w:p>
        </w:tc>
        <w:tc>
          <w:tcPr>
            <w:tcW w:w="1191" w:type="dxa"/>
            <w:tcBorders>
              <w:top w:val="single" w:sz="4" w:space="0" w:color="auto"/>
              <w:bottom w:val="dashSmallGap" w:sz="4" w:space="0" w:color="auto"/>
            </w:tcBorders>
          </w:tcPr>
          <w:p w14:paraId="012A0F78" w14:textId="77777777" w:rsidR="003B6D98" w:rsidRPr="00CD5DDF" w:rsidRDefault="003B6D98" w:rsidP="00476B25">
            <w:pPr>
              <w:pStyle w:val="NormalWeb"/>
              <w:spacing w:after="40"/>
              <w:jc w:val="center"/>
              <w:rPr>
                <w:lang w:val="en-US"/>
              </w:rPr>
            </w:pPr>
            <w:r>
              <w:rPr>
                <w:lang w:val="en-US"/>
              </w:rPr>
              <w:t>7,704</w:t>
            </w:r>
            <w:r w:rsidRPr="00CD5DDF">
              <w:rPr>
                <w:lang w:val="en-US"/>
              </w:rPr>
              <w:t xml:space="preserve"> (4</w:t>
            </w:r>
            <w:r>
              <w:rPr>
                <w:lang w:val="en-US"/>
              </w:rPr>
              <w:t>7</w:t>
            </w:r>
            <w:r w:rsidRPr="00CD5DDF">
              <w:rPr>
                <w:lang w:val="en-US"/>
              </w:rPr>
              <w:t>)</w:t>
            </w:r>
          </w:p>
        </w:tc>
        <w:tc>
          <w:tcPr>
            <w:tcW w:w="1304" w:type="dxa"/>
            <w:tcBorders>
              <w:top w:val="single" w:sz="4" w:space="0" w:color="auto"/>
              <w:bottom w:val="dashSmallGap" w:sz="4" w:space="0" w:color="auto"/>
            </w:tcBorders>
            <w:tcMar>
              <w:top w:w="0" w:type="dxa"/>
              <w:left w:w="108" w:type="dxa"/>
              <w:bottom w:w="0" w:type="dxa"/>
              <w:right w:w="108" w:type="dxa"/>
            </w:tcMar>
          </w:tcPr>
          <w:p w14:paraId="45A01D93" w14:textId="77777777" w:rsidR="003B6D98" w:rsidRPr="00CD5DDF" w:rsidRDefault="003B6D98" w:rsidP="00476B25">
            <w:pPr>
              <w:pStyle w:val="NormalWeb"/>
              <w:spacing w:after="40"/>
              <w:jc w:val="center"/>
              <w:rPr>
                <w:lang w:val="en-US"/>
              </w:rPr>
            </w:pPr>
            <w:r w:rsidRPr="00CD5DDF">
              <w:rPr>
                <w:lang w:val="en-US"/>
              </w:rPr>
              <w:t>51.6</w:t>
            </w:r>
            <w:r>
              <w:rPr>
                <w:lang w:val="en-US"/>
              </w:rPr>
              <w:t xml:space="preserve"> </w:t>
            </w:r>
            <w:r w:rsidRPr="00CD5DDF">
              <w:rPr>
                <w:lang w:val="en-US"/>
              </w:rPr>
              <w:t>(17.2)</w:t>
            </w:r>
          </w:p>
        </w:tc>
        <w:tc>
          <w:tcPr>
            <w:tcW w:w="907" w:type="dxa"/>
            <w:gridSpan w:val="3"/>
            <w:tcBorders>
              <w:top w:val="single" w:sz="4" w:space="0" w:color="auto"/>
              <w:bottom w:val="dashSmallGap" w:sz="4" w:space="0" w:color="auto"/>
            </w:tcBorders>
            <w:tcMar>
              <w:top w:w="0" w:type="dxa"/>
              <w:left w:w="108" w:type="dxa"/>
              <w:bottom w:w="0" w:type="dxa"/>
              <w:right w:w="108" w:type="dxa"/>
            </w:tcMar>
          </w:tcPr>
          <w:p w14:paraId="2A9B65F9" w14:textId="77777777" w:rsidR="003B6D98" w:rsidRPr="00F840C4" w:rsidRDefault="003B6D98" w:rsidP="00476B25">
            <w:pPr>
              <w:pStyle w:val="NormalWeb"/>
              <w:spacing w:after="40"/>
              <w:jc w:val="center"/>
              <w:rPr>
                <w:lang w:val="en-US"/>
              </w:rPr>
            </w:pPr>
          </w:p>
        </w:tc>
        <w:tc>
          <w:tcPr>
            <w:tcW w:w="1149" w:type="dxa"/>
            <w:gridSpan w:val="2"/>
            <w:tcBorders>
              <w:top w:val="single" w:sz="4" w:space="0" w:color="auto"/>
              <w:bottom w:val="dashSmallGap" w:sz="4" w:space="0" w:color="auto"/>
            </w:tcBorders>
          </w:tcPr>
          <w:p w14:paraId="26A3D108" w14:textId="77777777" w:rsidR="003B6D98" w:rsidRPr="00F840C4" w:rsidRDefault="003B6D98" w:rsidP="00476B25">
            <w:pPr>
              <w:pStyle w:val="NormalWeb"/>
              <w:spacing w:after="40"/>
              <w:jc w:val="center"/>
              <w:rPr>
                <w:lang w:val="en-US"/>
              </w:rPr>
            </w:pPr>
            <w:r>
              <w:rPr>
                <w:lang w:val="en-US"/>
              </w:rPr>
              <w:t>8,818 (53)</w:t>
            </w:r>
          </w:p>
        </w:tc>
        <w:tc>
          <w:tcPr>
            <w:tcW w:w="1304" w:type="dxa"/>
            <w:gridSpan w:val="2"/>
            <w:tcBorders>
              <w:top w:val="single" w:sz="4" w:space="0" w:color="auto"/>
              <w:bottom w:val="dashSmallGap" w:sz="4" w:space="0" w:color="auto"/>
            </w:tcBorders>
          </w:tcPr>
          <w:p w14:paraId="7596F5FF" w14:textId="77777777" w:rsidR="003B6D98" w:rsidRPr="00F840C4" w:rsidRDefault="003B6D98" w:rsidP="00476B25">
            <w:pPr>
              <w:pStyle w:val="NormalWeb"/>
              <w:spacing w:after="40"/>
              <w:jc w:val="center"/>
              <w:rPr>
                <w:lang w:val="en-US"/>
              </w:rPr>
            </w:pPr>
            <w:r>
              <w:rPr>
                <w:lang w:val="en-US"/>
              </w:rPr>
              <w:t>49.3 (16.2)</w:t>
            </w:r>
          </w:p>
        </w:tc>
        <w:tc>
          <w:tcPr>
            <w:tcW w:w="898" w:type="dxa"/>
            <w:gridSpan w:val="2"/>
            <w:tcBorders>
              <w:top w:val="single" w:sz="4" w:space="0" w:color="auto"/>
              <w:bottom w:val="dashSmallGap" w:sz="4" w:space="0" w:color="auto"/>
            </w:tcBorders>
          </w:tcPr>
          <w:p w14:paraId="3B682C87" w14:textId="77777777" w:rsidR="003B6D98" w:rsidRPr="00F840C4" w:rsidRDefault="003B6D98" w:rsidP="00476B25">
            <w:pPr>
              <w:pStyle w:val="NormalWeb"/>
              <w:spacing w:after="40"/>
              <w:jc w:val="center"/>
              <w:rPr>
                <w:lang w:val="en-US"/>
              </w:rPr>
            </w:pPr>
          </w:p>
        </w:tc>
      </w:tr>
      <w:tr w:rsidR="003B6D98" w:rsidRPr="00F840C4" w14:paraId="60C1C717" w14:textId="77777777" w:rsidTr="00476B25">
        <w:trPr>
          <w:gridAfter w:val="1"/>
          <w:wAfter w:w="61" w:type="dxa"/>
          <w:trHeight w:val="340"/>
        </w:trPr>
        <w:tc>
          <w:tcPr>
            <w:tcW w:w="1160" w:type="dxa"/>
            <w:vMerge w:val="restart"/>
            <w:tcBorders>
              <w:top w:val="dashSmallGap" w:sz="4" w:space="0" w:color="auto"/>
              <w:bottom w:val="dashSmallGap" w:sz="4" w:space="0" w:color="auto"/>
            </w:tcBorders>
          </w:tcPr>
          <w:p w14:paraId="3CC2AA31" w14:textId="77777777" w:rsidR="003B6D98" w:rsidRPr="0096284B" w:rsidRDefault="003B6D98" w:rsidP="00476B25">
            <w:pPr>
              <w:pStyle w:val="NormalWeb"/>
              <w:spacing w:after="40"/>
              <w:rPr>
                <w:b/>
                <w:lang w:val="en-US"/>
              </w:rPr>
            </w:pPr>
            <w:r w:rsidRPr="0096284B">
              <w:rPr>
                <w:b/>
                <w:lang w:val="en-US"/>
              </w:rPr>
              <w:t>Sex</w:t>
            </w:r>
          </w:p>
        </w:tc>
        <w:tc>
          <w:tcPr>
            <w:tcW w:w="1384" w:type="dxa"/>
            <w:tcBorders>
              <w:top w:val="dashSmallGap" w:sz="4" w:space="0" w:color="auto"/>
              <w:bottom w:val="nil"/>
            </w:tcBorders>
            <w:tcMar>
              <w:top w:w="0" w:type="dxa"/>
              <w:left w:w="108" w:type="dxa"/>
              <w:bottom w:w="0" w:type="dxa"/>
              <w:right w:w="108" w:type="dxa"/>
            </w:tcMar>
            <w:hideMark/>
          </w:tcPr>
          <w:p w14:paraId="1307FC2F" w14:textId="77777777" w:rsidR="003B6D98" w:rsidRPr="00F840C4" w:rsidRDefault="003B6D98" w:rsidP="00476B25">
            <w:pPr>
              <w:pStyle w:val="NormalWeb"/>
              <w:spacing w:after="40"/>
              <w:rPr>
                <w:lang w:val="en-US"/>
              </w:rPr>
            </w:pPr>
            <w:r w:rsidRPr="00F840C4">
              <w:rPr>
                <w:lang w:val="en-US"/>
              </w:rPr>
              <w:t>Men</w:t>
            </w:r>
          </w:p>
        </w:tc>
        <w:tc>
          <w:tcPr>
            <w:tcW w:w="1191" w:type="dxa"/>
            <w:tcBorders>
              <w:top w:val="dashSmallGap" w:sz="4" w:space="0" w:color="auto"/>
              <w:bottom w:val="nil"/>
            </w:tcBorders>
          </w:tcPr>
          <w:p w14:paraId="34625D82" w14:textId="77777777" w:rsidR="003B6D98" w:rsidRPr="0056049F" w:rsidRDefault="003B6D98" w:rsidP="00476B25">
            <w:pPr>
              <w:pStyle w:val="NormalWeb"/>
              <w:spacing w:after="40"/>
              <w:jc w:val="center"/>
              <w:rPr>
                <w:lang w:val="en-US"/>
              </w:rPr>
            </w:pPr>
            <w:r w:rsidRPr="0056049F">
              <w:rPr>
                <w:lang w:val="en-US"/>
              </w:rPr>
              <w:t>3,133 (41)</w:t>
            </w:r>
          </w:p>
        </w:tc>
        <w:tc>
          <w:tcPr>
            <w:tcW w:w="1304" w:type="dxa"/>
            <w:tcBorders>
              <w:top w:val="dashSmallGap" w:sz="4" w:space="0" w:color="auto"/>
              <w:bottom w:val="nil"/>
            </w:tcBorders>
            <w:tcMar>
              <w:top w:w="0" w:type="dxa"/>
              <w:left w:w="108" w:type="dxa"/>
              <w:bottom w:w="0" w:type="dxa"/>
              <w:right w:w="108" w:type="dxa"/>
            </w:tcMar>
          </w:tcPr>
          <w:p w14:paraId="3CAA142D" w14:textId="77777777" w:rsidR="003B6D98" w:rsidRPr="0056049F" w:rsidRDefault="003B6D98" w:rsidP="00476B25">
            <w:pPr>
              <w:pStyle w:val="NormalWeb"/>
              <w:spacing w:after="40"/>
              <w:jc w:val="center"/>
              <w:rPr>
                <w:lang w:val="en-US"/>
              </w:rPr>
            </w:pPr>
            <w:r w:rsidRPr="0056049F">
              <w:rPr>
                <w:lang w:val="en-US"/>
              </w:rPr>
              <w:t>46.6 (16.0)</w:t>
            </w:r>
          </w:p>
        </w:tc>
        <w:tc>
          <w:tcPr>
            <w:tcW w:w="907" w:type="dxa"/>
            <w:gridSpan w:val="3"/>
            <w:vMerge w:val="restart"/>
            <w:tcBorders>
              <w:top w:val="dashSmallGap" w:sz="4" w:space="0" w:color="auto"/>
              <w:bottom w:val="nil"/>
            </w:tcBorders>
            <w:tcMar>
              <w:top w:w="0" w:type="dxa"/>
              <w:left w:w="108" w:type="dxa"/>
              <w:bottom w:w="0" w:type="dxa"/>
              <w:right w:w="108" w:type="dxa"/>
            </w:tcMar>
          </w:tcPr>
          <w:p w14:paraId="63D4D4EB" w14:textId="77777777" w:rsidR="003B6D98" w:rsidRPr="003F4825" w:rsidRDefault="003B6D98" w:rsidP="00476B25">
            <w:pPr>
              <w:pStyle w:val="NormalWeb"/>
              <w:spacing w:after="40"/>
              <w:jc w:val="center"/>
              <w:rPr>
                <w:lang w:val="en-US"/>
              </w:rPr>
            </w:pPr>
            <w:r w:rsidRPr="007D50B4">
              <w:rPr>
                <w:lang w:val="en-US"/>
              </w:rPr>
              <w:t>&lt;0.001</w:t>
            </w:r>
          </w:p>
        </w:tc>
        <w:tc>
          <w:tcPr>
            <w:tcW w:w="1149" w:type="dxa"/>
            <w:gridSpan w:val="2"/>
            <w:tcBorders>
              <w:top w:val="dashSmallGap" w:sz="4" w:space="0" w:color="auto"/>
              <w:bottom w:val="nil"/>
            </w:tcBorders>
          </w:tcPr>
          <w:p w14:paraId="76F91BA7" w14:textId="77777777" w:rsidR="003B6D98" w:rsidRPr="003F4825" w:rsidRDefault="003B6D98" w:rsidP="00476B25">
            <w:pPr>
              <w:pStyle w:val="NormalWeb"/>
              <w:spacing w:after="40"/>
              <w:jc w:val="center"/>
              <w:rPr>
                <w:lang w:val="en-US"/>
              </w:rPr>
            </w:pPr>
            <w:r>
              <w:rPr>
                <w:lang w:val="en-US"/>
              </w:rPr>
              <w:t>3,184 (36</w:t>
            </w:r>
            <w:r w:rsidRPr="003F4825">
              <w:rPr>
                <w:lang w:val="en-US"/>
              </w:rPr>
              <w:t>)</w:t>
            </w:r>
          </w:p>
        </w:tc>
        <w:tc>
          <w:tcPr>
            <w:tcW w:w="1304" w:type="dxa"/>
            <w:gridSpan w:val="2"/>
            <w:tcBorders>
              <w:top w:val="dashSmallGap" w:sz="4" w:space="0" w:color="auto"/>
              <w:bottom w:val="nil"/>
            </w:tcBorders>
          </w:tcPr>
          <w:p w14:paraId="4DA6BF2B" w14:textId="77777777" w:rsidR="003B6D98" w:rsidRPr="003F4825" w:rsidRDefault="003B6D98" w:rsidP="00476B25">
            <w:pPr>
              <w:pStyle w:val="NormalWeb"/>
              <w:spacing w:after="40"/>
              <w:jc w:val="center"/>
              <w:rPr>
                <w:lang w:val="en-US"/>
              </w:rPr>
            </w:pPr>
            <w:r w:rsidRPr="003F4825">
              <w:rPr>
                <w:lang w:val="en-US"/>
              </w:rPr>
              <w:t>45.3</w:t>
            </w:r>
            <w:r>
              <w:rPr>
                <w:lang w:val="en-US"/>
              </w:rPr>
              <w:t xml:space="preserve"> </w:t>
            </w:r>
            <w:r w:rsidRPr="003F4825">
              <w:rPr>
                <w:lang w:val="en-US"/>
              </w:rPr>
              <w:t>(15.6)</w:t>
            </w:r>
          </w:p>
        </w:tc>
        <w:tc>
          <w:tcPr>
            <w:tcW w:w="898" w:type="dxa"/>
            <w:gridSpan w:val="2"/>
            <w:vMerge w:val="restart"/>
            <w:tcBorders>
              <w:top w:val="dashSmallGap" w:sz="4" w:space="0" w:color="auto"/>
              <w:bottom w:val="nil"/>
            </w:tcBorders>
          </w:tcPr>
          <w:p w14:paraId="1100A4DF" w14:textId="77777777" w:rsidR="003B6D98" w:rsidRPr="003F4825" w:rsidRDefault="003B6D98" w:rsidP="00476B25">
            <w:pPr>
              <w:pStyle w:val="NormalWeb"/>
              <w:spacing w:after="40"/>
              <w:jc w:val="center"/>
              <w:rPr>
                <w:lang w:val="en-US"/>
              </w:rPr>
            </w:pPr>
            <w:r w:rsidRPr="007D50B4">
              <w:rPr>
                <w:lang w:val="en-US"/>
              </w:rPr>
              <w:t>&lt;0.001</w:t>
            </w:r>
          </w:p>
        </w:tc>
      </w:tr>
      <w:tr w:rsidR="003B6D98" w:rsidRPr="00F840C4" w14:paraId="5534AABA" w14:textId="77777777" w:rsidTr="00476B25">
        <w:trPr>
          <w:gridAfter w:val="1"/>
          <w:wAfter w:w="61" w:type="dxa"/>
          <w:trHeight w:val="340"/>
        </w:trPr>
        <w:tc>
          <w:tcPr>
            <w:tcW w:w="1160" w:type="dxa"/>
            <w:vMerge/>
            <w:tcBorders>
              <w:bottom w:val="dashSmallGap" w:sz="4" w:space="0" w:color="auto"/>
            </w:tcBorders>
          </w:tcPr>
          <w:p w14:paraId="04FFB385" w14:textId="77777777" w:rsidR="003B6D98" w:rsidRPr="00F840C4" w:rsidRDefault="003B6D98" w:rsidP="00476B25">
            <w:pPr>
              <w:pStyle w:val="NormalWeb"/>
              <w:spacing w:after="40"/>
              <w:rPr>
                <w:lang w:val="en-US"/>
              </w:rPr>
            </w:pPr>
          </w:p>
        </w:tc>
        <w:tc>
          <w:tcPr>
            <w:tcW w:w="1384" w:type="dxa"/>
            <w:tcBorders>
              <w:bottom w:val="dashSmallGap" w:sz="4" w:space="0" w:color="auto"/>
            </w:tcBorders>
            <w:tcMar>
              <w:top w:w="0" w:type="dxa"/>
              <w:left w:w="108" w:type="dxa"/>
              <w:bottom w:w="0" w:type="dxa"/>
              <w:right w:w="108" w:type="dxa"/>
            </w:tcMar>
            <w:hideMark/>
          </w:tcPr>
          <w:p w14:paraId="6096B9F3" w14:textId="77777777" w:rsidR="003B6D98" w:rsidRPr="00F840C4" w:rsidRDefault="003B6D98" w:rsidP="00476B25">
            <w:pPr>
              <w:pStyle w:val="NormalWeb"/>
              <w:spacing w:after="40"/>
              <w:rPr>
                <w:lang w:val="en-US"/>
              </w:rPr>
            </w:pPr>
            <w:r w:rsidRPr="00F840C4">
              <w:rPr>
                <w:lang w:val="en-US"/>
              </w:rPr>
              <w:t>Women</w:t>
            </w:r>
          </w:p>
        </w:tc>
        <w:tc>
          <w:tcPr>
            <w:tcW w:w="1191" w:type="dxa"/>
            <w:tcBorders>
              <w:bottom w:val="dashSmallGap" w:sz="4" w:space="0" w:color="auto"/>
            </w:tcBorders>
          </w:tcPr>
          <w:p w14:paraId="116887CE" w14:textId="77777777" w:rsidR="003B6D98" w:rsidRPr="0056049F" w:rsidRDefault="003B6D98" w:rsidP="00476B25">
            <w:pPr>
              <w:pStyle w:val="NormalWeb"/>
              <w:spacing w:after="40"/>
              <w:jc w:val="center"/>
              <w:rPr>
                <w:lang w:val="en-US"/>
              </w:rPr>
            </w:pPr>
            <w:r w:rsidRPr="0056049F">
              <w:rPr>
                <w:lang w:val="en-US"/>
              </w:rPr>
              <w:t>4,571 (59)</w:t>
            </w:r>
          </w:p>
        </w:tc>
        <w:tc>
          <w:tcPr>
            <w:tcW w:w="1304" w:type="dxa"/>
            <w:tcBorders>
              <w:bottom w:val="dashSmallGap" w:sz="4" w:space="0" w:color="auto"/>
            </w:tcBorders>
            <w:tcMar>
              <w:top w:w="0" w:type="dxa"/>
              <w:left w:w="108" w:type="dxa"/>
              <w:bottom w:w="0" w:type="dxa"/>
              <w:right w:w="108" w:type="dxa"/>
            </w:tcMar>
          </w:tcPr>
          <w:p w14:paraId="722EAC38" w14:textId="77777777" w:rsidR="003B6D98" w:rsidRPr="0056049F" w:rsidRDefault="003B6D98" w:rsidP="00476B25">
            <w:pPr>
              <w:pStyle w:val="NormalWeb"/>
              <w:spacing w:after="40"/>
              <w:jc w:val="center"/>
              <w:rPr>
                <w:lang w:val="en-US"/>
              </w:rPr>
            </w:pPr>
            <w:r w:rsidRPr="0056049F">
              <w:rPr>
                <w:lang w:val="en-US"/>
              </w:rPr>
              <w:t>55.1 (17.2)</w:t>
            </w:r>
          </w:p>
        </w:tc>
        <w:tc>
          <w:tcPr>
            <w:tcW w:w="907" w:type="dxa"/>
            <w:gridSpan w:val="3"/>
            <w:vMerge/>
            <w:tcBorders>
              <w:bottom w:val="dashSmallGap" w:sz="4" w:space="0" w:color="auto"/>
            </w:tcBorders>
            <w:tcMar>
              <w:top w:w="0" w:type="dxa"/>
              <w:left w:w="108" w:type="dxa"/>
              <w:bottom w:w="0" w:type="dxa"/>
              <w:right w:w="108" w:type="dxa"/>
            </w:tcMar>
          </w:tcPr>
          <w:p w14:paraId="0391DE01" w14:textId="77777777" w:rsidR="003B6D98" w:rsidRPr="003F4825" w:rsidRDefault="003B6D98" w:rsidP="00476B25">
            <w:pPr>
              <w:pStyle w:val="NormalWeb"/>
              <w:spacing w:after="40"/>
              <w:jc w:val="center"/>
              <w:rPr>
                <w:lang w:val="en-US"/>
              </w:rPr>
            </w:pPr>
          </w:p>
        </w:tc>
        <w:tc>
          <w:tcPr>
            <w:tcW w:w="1149" w:type="dxa"/>
            <w:gridSpan w:val="2"/>
            <w:tcBorders>
              <w:bottom w:val="dashSmallGap" w:sz="4" w:space="0" w:color="auto"/>
            </w:tcBorders>
          </w:tcPr>
          <w:p w14:paraId="0DFE7102" w14:textId="77777777" w:rsidR="003B6D98" w:rsidRPr="003F4825" w:rsidRDefault="003B6D98" w:rsidP="00476B25">
            <w:pPr>
              <w:pStyle w:val="NormalWeb"/>
              <w:spacing w:after="40"/>
              <w:jc w:val="center"/>
              <w:rPr>
                <w:lang w:val="en-US"/>
              </w:rPr>
            </w:pPr>
            <w:r w:rsidRPr="003F4825">
              <w:rPr>
                <w:lang w:val="en-US"/>
              </w:rPr>
              <w:t>5,</w:t>
            </w:r>
            <w:r>
              <w:rPr>
                <w:lang w:val="en-US"/>
              </w:rPr>
              <w:t>634</w:t>
            </w:r>
            <w:r w:rsidRPr="003F4825">
              <w:rPr>
                <w:lang w:val="en-US"/>
              </w:rPr>
              <w:t xml:space="preserve"> (64)</w:t>
            </w:r>
          </w:p>
        </w:tc>
        <w:tc>
          <w:tcPr>
            <w:tcW w:w="1304" w:type="dxa"/>
            <w:gridSpan w:val="2"/>
            <w:tcBorders>
              <w:bottom w:val="dashSmallGap" w:sz="4" w:space="0" w:color="auto"/>
            </w:tcBorders>
          </w:tcPr>
          <w:p w14:paraId="75420662" w14:textId="77777777" w:rsidR="003B6D98" w:rsidRPr="003F4825" w:rsidRDefault="003B6D98" w:rsidP="00476B25">
            <w:pPr>
              <w:pStyle w:val="NormalWeb"/>
              <w:spacing w:after="40"/>
              <w:jc w:val="center"/>
              <w:rPr>
                <w:lang w:val="en-US"/>
              </w:rPr>
            </w:pPr>
            <w:r w:rsidRPr="003F4825">
              <w:rPr>
                <w:lang w:val="en-US"/>
              </w:rPr>
              <w:t>51.5</w:t>
            </w:r>
            <w:r>
              <w:rPr>
                <w:lang w:val="en-US"/>
              </w:rPr>
              <w:t xml:space="preserve"> </w:t>
            </w:r>
            <w:r w:rsidRPr="003F4825">
              <w:rPr>
                <w:lang w:val="en-US"/>
              </w:rPr>
              <w:t>(16.1)</w:t>
            </w:r>
          </w:p>
        </w:tc>
        <w:tc>
          <w:tcPr>
            <w:tcW w:w="898" w:type="dxa"/>
            <w:gridSpan w:val="2"/>
            <w:vMerge/>
            <w:tcBorders>
              <w:bottom w:val="dashSmallGap" w:sz="4" w:space="0" w:color="auto"/>
            </w:tcBorders>
          </w:tcPr>
          <w:p w14:paraId="00FBC156" w14:textId="77777777" w:rsidR="003B6D98" w:rsidRPr="003F4825" w:rsidRDefault="003B6D98" w:rsidP="00476B25">
            <w:pPr>
              <w:pStyle w:val="NormalWeb"/>
              <w:spacing w:after="40"/>
              <w:jc w:val="center"/>
              <w:rPr>
                <w:lang w:val="en-US"/>
              </w:rPr>
            </w:pPr>
          </w:p>
        </w:tc>
      </w:tr>
      <w:tr w:rsidR="003B6D98" w:rsidRPr="00F840C4" w14:paraId="1BCDD5B5" w14:textId="77777777" w:rsidTr="00476B25">
        <w:trPr>
          <w:gridAfter w:val="1"/>
          <w:wAfter w:w="61" w:type="dxa"/>
          <w:trHeight w:val="340"/>
        </w:trPr>
        <w:tc>
          <w:tcPr>
            <w:tcW w:w="1160" w:type="dxa"/>
            <w:vMerge w:val="restart"/>
            <w:tcBorders>
              <w:top w:val="dashSmallGap" w:sz="4" w:space="0" w:color="auto"/>
              <w:bottom w:val="dashSmallGap" w:sz="4" w:space="0" w:color="auto"/>
            </w:tcBorders>
          </w:tcPr>
          <w:p w14:paraId="60867B09" w14:textId="77777777" w:rsidR="003B6D98" w:rsidRPr="00F840C4" w:rsidRDefault="003B6D98" w:rsidP="00476B25">
            <w:pPr>
              <w:pStyle w:val="NormalWeb"/>
              <w:spacing w:after="40"/>
              <w:rPr>
                <w:lang w:val="en-US"/>
              </w:rPr>
            </w:pPr>
            <w:r w:rsidRPr="006C6A66">
              <w:rPr>
                <w:b/>
                <w:lang w:val="en-US"/>
              </w:rPr>
              <w:t>Marital status</w:t>
            </w:r>
          </w:p>
        </w:tc>
        <w:tc>
          <w:tcPr>
            <w:tcW w:w="1384" w:type="dxa"/>
            <w:tcBorders>
              <w:top w:val="dashSmallGap" w:sz="4" w:space="0" w:color="auto"/>
              <w:bottom w:val="nil"/>
            </w:tcBorders>
            <w:tcMar>
              <w:top w:w="0" w:type="dxa"/>
              <w:left w:w="108" w:type="dxa"/>
              <w:bottom w:w="0" w:type="dxa"/>
              <w:right w:w="108" w:type="dxa"/>
            </w:tcMar>
          </w:tcPr>
          <w:p w14:paraId="222AE8EE" w14:textId="77777777" w:rsidR="003B6D98" w:rsidRPr="00F840C4" w:rsidRDefault="003B6D98" w:rsidP="00476B25">
            <w:pPr>
              <w:pStyle w:val="NormalWeb"/>
              <w:spacing w:after="40"/>
              <w:rPr>
                <w:lang w:val="en-US"/>
              </w:rPr>
            </w:pPr>
            <w:r w:rsidRPr="00F840C4">
              <w:rPr>
                <w:lang w:val="en-US"/>
              </w:rPr>
              <w:t>Single</w:t>
            </w:r>
          </w:p>
        </w:tc>
        <w:tc>
          <w:tcPr>
            <w:tcW w:w="1191" w:type="dxa"/>
            <w:tcBorders>
              <w:top w:val="dashSmallGap" w:sz="4" w:space="0" w:color="auto"/>
              <w:bottom w:val="nil"/>
            </w:tcBorders>
          </w:tcPr>
          <w:p w14:paraId="6336B213" w14:textId="77777777" w:rsidR="003B6D98" w:rsidRPr="00B91B54" w:rsidRDefault="003B6D98" w:rsidP="00476B25">
            <w:pPr>
              <w:pStyle w:val="NormalWeb"/>
              <w:spacing w:after="40"/>
              <w:jc w:val="center"/>
              <w:rPr>
                <w:lang w:val="en-US"/>
              </w:rPr>
            </w:pPr>
            <w:r>
              <w:rPr>
                <w:lang w:val="en-US"/>
              </w:rPr>
              <w:t>1,707</w:t>
            </w:r>
            <w:r w:rsidRPr="00B91B54">
              <w:rPr>
                <w:lang w:val="en-US"/>
              </w:rPr>
              <w:t xml:space="preserve"> (2</w:t>
            </w:r>
            <w:r>
              <w:rPr>
                <w:lang w:val="en-US"/>
              </w:rPr>
              <w:t>2</w:t>
            </w:r>
            <w:r w:rsidRPr="00B91B54">
              <w:rPr>
                <w:lang w:val="en-US"/>
              </w:rPr>
              <w:t>)</w:t>
            </w:r>
          </w:p>
        </w:tc>
        <w:tc>
          <w:tcPr>
            <w:tcW w:w="1304" w:type="dxa"/>
            <w:tcBorders>
              <w:top w:val="dashSmallGap" w:sz="4" w:space="0" w:color="auto"/>
              <w:bottom w:val="nil"/>
            </w:tcBorders>
            <w:tcMar>
              <w:top w:w="0" w:type="dxa"/>
              <w:left w:w="108" w:type="dxa"/>
              <w:bottom w:w="0" w:type="dxa"/>
              <w:right w:w="108" w:type="dxa"/>
            </w:tcMar>
          </w:tcPr>
          <w:p w14:paraId="445A64E9" w14:textId="77777777" w:rsidR="003B6D98" w:rsidRPr="00A463EC" w:rsidRDefault="003B6D98" w:rsidP="00476B25">
            <w:pPr>
              <w:pStyle w:val="NormalWeb"/>
              <w:spacing w:after="40"/>
              <w:jc w:val="center"/>
              <w:rPr>
                <w:lang w:val="en-US"/>
              </w:rPr>
            </w:pPr>
            <w:r w:rsidRPr="00A463EC">
              <w:rPr>
                <w:lang w:val="en-US"/>
              </w:rPr>
              <w:t>50.1</w:t>
            </w:r>
            <w:r>
              <w:rPr>
                <w:lang w:val="en-US"/>
              </w:rPr>
              <w:t xml:space="preserve"> (17.6</w:t>
            </w:r>
            <w:r w:rsidRPr="00A463EC">
              <w:rPr>
                <w:lang w:val="en-US"/>
              </w:rPr>
              <w:t>)</w:t>
            </w:r>
          </w:p>
        </w:tc>
        <w:tc>
          <w:tcPr>
            <w:tcW w:w="907" w:type="dxa"/>
            <w:gridSpan w:val="3"/>
            <w:vMerge w:val="restart"/>
            <w:tcBorders>
              <w:top w:val="dashSmallGap" w:sz="4" w:space="0" w:color="auto"/>
              <w:bottom w:val="nil"/>
            </w:tcBorders>
            <w:tcMar>
              <w:top w:w="0" w:type="dxa"/>
              <w:left w:w="108" w:type="dxa"/>
              <w:bottom w:w="0" w:type="dxa"/>
              <w:right w:w="108" w:type="dxa"/>
            </w:tcMar>
          </w:tcPr>
          <w:p w14:paraId="5ADE0899" w14:textId="77777777" w:rsidR="003B6D98" w:rsidRPr="00F840C4" w:rsidRDefault="003B6D98" w:rsidP="00476B25">
            <w:pPr>
              <w:pStyle w:val="NormalWeb"/>
              <w:spacing w:after="40"/>
              <w:jc w:val="center"/>
              <w:rPr>
                <w:lang w:val="en-US"/>
              </w:rPr>
            </w:pPr>
            <w:r>
              <w:rPr>
                <w:lang w:val="en-US"/>
              </w:rPr>
              <w:t>0.03</w:t>
            </w:r>
          </w:p>
        </w:tc>
        <w:tc>
          <w:tcPr>
            <w:tcW w:w="1149" w:type="dxa"/>
            <w:gridSpan w:val="2"/>
            <w:tcBorders>
              <w:top w:val="dashSmallGap" w:sz="4" w:space="0" w:color="auto"/>
              <w:bottom w:val="nil"/>
            </w:tcBorders>
          </w:tcPr>
          <w:p w14:paraId="12FCBA24" w14:textId="77777777" w:rsidR="003B6D98" w:rsidRPr="00F840C4" w:rsidRDefault="003B6D98" w:rsidP="00476B25">
            <w:pPr>
              <w:pStyle w:val="NormalWeb"/>
              <w:spacing w:after="40"/>
              <w:jc w:val="center"/>
              <w:rPr>
                <w:lang w:val="en-US"/>
              </w:rPr>
            </w:pPr>
            <w:r>
              <w:rPr>
                <w:lang w:val="en-US"/>
              </w:rPr>
              <w:t>2,625 (30)</w:t>
            </w:r>
          </w:p>
        </w:tc>
        <w:tc>
          <w:tcPr>
            <w:tcW w:w="1304" w:type="dxa"/>
            <w:gridSpan w:val="2"/>
            <w:tcBorders>
              <w:top w:val="dashSmallGap" w:sz="4" w:space="0" w:color="auto"/>
              <w:bottom w:val="nil"/>
            </w:tcBorders>
          </w:tcPr>
          <w:p w14:paraId="047DA16B" w14:textId="77777777" w:rsidR="003B6D98" w:rsidRPr="00A463EC" w:rsidRDefault="003B6D98" w:rsidP="00476B25">
            <w:pPr>
              <w:pStyle w:val="NormalWeb"/>
              <w:spacing w:after="40"/>
              <w:jc w:val="center"/>
              <w:rPr>
                <w:lang w:val="en-US"/>
              </w:rPr>
            </w:pPr>
            <w:r w:rsidRPr="00A463EC">
              <w:rPr>
                <w:lang w:val="en-US"/>
              </w:rPr>
              <w:t>49.6</w:t>
            </w:r>
            <w:r>
              <w:rPr>
                <w:lang w:val="en-US"/>
              </w:rPr>
              <w:t xml:space="preserve"> </w:t>
            </w:r>
            <w:r w:rsidRPr="00A463EC">
              <w:rPr>
                <w:lang w:val="en-US"/>
              </w:rPr>
              <w:t>(16.6)</w:t>
            </w:r>
          </w:p>
        </w:tc>
        <w:tc>
          <w:tcPr>
            <w:tcW w:w="898" w:type="dxa"/>
            <w:gridSpan w:val="2"/>
            <w:vMerge w:val="restart"/>
            <w:tcBorders>
              <w:top w:val="dashSmallGap" w:sz="4" w:space="0" w:color="auto"/>
              <w:bottom w:val="nil"/>
            </w:tcBorders>
          </w:tcPr>
          <w:p w14:paraId="62A62B09" w14:textId="77777777" w:rsidR="003B6D98" w:rsidRPr="00F840C4" w:rsidRDefault="003B6D98" w:rsidP="00476B25">
            <w:pPr>
              <w:pStyle w:val="NormalWeb"/>
              <w:spacing w:after="40"/>
              <w:jc w:val="center"/>
              <w:rPr>
                <w:lang w:val="en-US"/>
              </w:rPr>
            </w:pPr>
            <w:r>
              <w:rPr>
                <w:lang w:val="en-US"/>
              </w:rPr>
              <w:t>0.32</w:t>
            </w:r>
          </w:p>
        </w:tc>
      </w:tr>
      <w:tr w:rsidR="003B6D98" w:rsidRPr="00F840C4" w14:paraId="07C8E32C" w14:textId="77777777" w:rsidTr="00476B25">
        <w:trPr>
          <w:gridAfter w:val="1"/>
          <w:wAfter w:w="61" w:type="dxa"/>
          <w:trHeight w:val="340"/>
        </w:trPr>
        <w:tc>
          <w:tcPr>
            <w:tcW w:w="1160" w:type="dxa"/>
            <w:vMerge/>
            <w:tcBorders>
              <w:bottom w:val="dashSmallGap" w:sz="4" w:space="0" w:color="auto"/>
            </w:tcBorders>
          </w:tcPr>
          <w:p w14:paraId="428C47A3" w14:textId="77777777" w:rsidR="003B6D98" w:rsidRPr="00F840C4" w:rsidRDefault="003B6D98" w:rsidP="00476B25">
            <w:pPr>
              <w:pStyle w:val="NormalWeb"/>
              <w:spacing w:after="40"/>
              <w:rPr>
                <w:lang w:val="en-US"/>
              </w:rPr>
            </w:pPr>
          </w:p>
        </w:tc>
        <w:tc>
          <w:tcPr>
            <w:tcW w:w="1384" w:type="dxa"/>
            <w:tcBorders>
              <w:bottom w:val="dashSmallGap" w:sz="4" w:space="0" w:color="auto"/>
            </w:tcBorders>
            <w:tcMar>
              <w:top w:w="0" w:type="dxa"/>
              <w:left w:w="108" w:type="dxa"/>
              <w:bottom w:w="0" w:type="dxa"/>
              <w:right w:w="108" w:type="dxa"/>
            </w:tcMar>
          </w:tcPr>
          <w:p w14:paraId="1AA50B9D" w14:textId="77777777" w:rsidR="003B6D98" w:rsidRPr="00F840C4" w:rsidRDefault="003B6D98" w:rsidP="00476B25">
            <w:pPr>
              <w:pStyle w:val="NormalWeb"/>
              <w:spacing w:after="40"/>
              <w:rPr>
                <w:lang w:val="en-US"/>
              </w:rPr>
            </w:pPr>
            <w:r w:rsidRPr="00F840C4">
              <w:rPr>
                <w:lang w:val="en-US"/>
              </w:rPr>
              <w:t>Cohabiting</w:t>
            </w:r>
          </w:p>
        </w:tc>
        <w:tc>
          <w:tcPr>
            <w:tcW w:w="1191" w:type="dxa"/>
            <w:tcBorders>
              <w:bottom w:val="dashSmallGap" w:sz="4" w:space="0" w:color="auto"/>
            </w:tcBorders>
          </w:tcPr>
          <w:p w14:paraId="48BB3FE1" w14:textId="77777777" w:rsidR="003B6D98" w:rsidRPr="00B91B54" w:rsidRDefault="003B6D98" w:rsidP="00476B25">
            <w:pPr>
              <w:pStyle w:val="NormalWeb"/>
              <w:spacing w:after="40"/>
              <w:jc w:val="center"/>
              <w:rPr>
                <w:lang w:val="en-US"/>
              </w:rPr>
            </w:pPr>
            <w:r>
              <w:rPr>
                <w:lang w:val="en-US"/>
              </w:rPr>
              <w:t>5,972</w:t>
            </w:r>
            <w:r w:rsidRPr="00B91B54">
              <w:rPr>
                <w:lang w:val="en-US"/>
              </w:rPr>
              <w:t xml:space="preserve"> (7</w:t>
            </w:r>
            <w:r>
              <w:rPr>
                <w:lang w:val="en-US"/>
              </w:rPr>
              <w:t>8</w:t>
            </w:r>
            <w:r w:rsidRPr="00B91B54">
              <w:rPr>
                <w:lang w:val="en-US"/>
              </w:rPr>
              <w:t>)</w:t>
            </w:r>
          </w:p>
        </w:tc>
        <w:tc>
          <w:tcPr>
            <w:tcW w:w="1304" w:type="dxa"/>
            <w:tcBorders>
              <w:bottom w:val="dashSmallGap" w:sz="4" w:space="0" w:color="auto"/>
            </w:tcBorders>
            <w:tcMar>
              <w:top w:w="0" w:type="dxa"/>
              <w:left w:w="108" w:type="dxa"/>
              <w:bottom w:w="0" w:type="dxa"/>
              <w:right w:w="108" w:type="dxa"/>
            </w:tcMar>
          </w:tcPr>
          <w:p w14:paraId="528E7D45" w14:textId="77777777" w:rsidR="003B6D98" w:rsidRPr="00A463EC" w:rsidRDefault="003B6D98" w:rsidP="00476B25">
            <w:pPr>
              <w:pStyle w:val="NormalWeb"/>
              <w:spacing w:after="40"/>
              <w:jc w:val="center"/>
              <w:rPr>
                <w:lang w:val="en-US"/>
              </w:rPr>
            </w:pPr>
            <w:r w:rsidRPr="00A463EC">
              <w:rPr>
                <w:lang w:val="en-US"/>
              </w:rPr>
              <w:t>51.9</w:t>
            </w:r>
            <w:r>
              <w:rPr>
                <w:lang w:val="en-US"/>
              </w:rPr>
              <w:t xml:space="preserve"> </w:t>
            </w:r>
            <w:r w:rsidRPr="00A463EC">
              <w:rPr>
                <w:lang w:val="en-US"/>
              </w:rPr>
              <w:t>(17.1)</w:t>
            </w:r>
          </w:p>
        </w:tc>
        <w:tc>
          <w:tcPr>
            <w:tcW w:w="907" w:type="dxa"/>
            <w:gridSpan w:val="3"/>
            <w:vMerge/>
            <w:tcBorders>
              <w:bottom w:val="dashSmallGap" w:sz="4" w:space="0" w:color="auto"/>
            </w:tcBorders>
            <w:tcMar>
              <w:top w:w="0" w:type="dxa"/>
              <w:left w:w="108" w:type="dxa"/>
              <w:bottom w:w="0" w:type="dxa"/>
              <w:right w:w="108" w:type="dxa"/>
            </w:tcMar>
          </w:tcPr>
          <w:p w14:paraId="3F689470" w14:textId="77777777" w:rsidR="003B6D98" w:rsidRPr="00F840C4" w:rsidRDefault="003B6D98" w:rsidP="00476B25">
            <w:pPr>
              <w:pStyle w:val="NormalWeb"/>
              <w:spacing w:after="40"/>
              <w:jc w:val="center"/>
              <w:rPr>
                <w:lang w:val="en-US"/>
              </w:rPr>
            </w:pPr>
          </w:p>
        </w:tc>
        <w:tc>
          <w:tcPr>
            <w:tcW w:w="1149" w:type="dxa"/>
            <w:gridSpan w:val="2"/>
            <w:tcBorders>
              <w:bottom w:val="dashSmallGap" w:sz="4" w:space="0" w:color="auto"/>
            </w:tcBorders>
          </w:tcPr>
          <w:p w14:paraId="2A135465" w14:textId="77777777" w:rsidR="003B6D98" w:rsidRPr="00F840C4" w:rsidRDefault="003B6D98" w:rsidP="00476B25">
            <w:pPr>
              <w:pStyle w:val="NormalWeb"/>
              <w:spacing w:after="40"/>
              <w:jc w:val="center"/>
              <w:rPr>
                <w:lang w:val="en-US"/>
              </w:rPr>
            </w:pPr>
            <w:r>
              <w:rPr>
                <w:lang w:val="en-US"/>
              </w:rPr>
              <w:t>6,153 (70)</w:t>
            </w:r>
          </w:p>
        </w:tc>
        <w:tc>
          <w:tcPr>
            <w:tcW w:w="1304" w:type="dxa"/>
            <w:gridSpan w:val="2"/>
            <w:tcBorders>
              <w:bottom w:val="dashSmallGap" w:sz="4" w:space="0" w:color="auto"/>
            </w:tcBorders>
          </w:tcPr>
          <w:p w14:paraId="42997A03" w14:textId="77777777" w:rsidR="003B6D98" w:rsidRPr="00A463EC" w:rsidRDefault="003B6D98" w:rsidP="00476B25">
            <w:pPr>
              <w:pStyle w:val="NormalWeb"/>
              <w:spacing w:after="40"/>
              <w:jc w:val="center"/>
              <w:rPr>
                <w:lang w:val="en-US"/>
              </w:rPr>
            </w:pPr>
            <w:r w:rsidRPr="00A463EC">
              <w:rPr>
                <w:lang w:val="en-US"/>
              </w:rPr>
              <w:t>49.2</w:t>
            </w:r>
            <w:r>
              <w:rPr>
                <w:lang w:val="en-US"/>
              </w:rPr>
              <w:t xml:space="preserve"> </w:t>
            </w:r>
            <w:r w:rsidRPr="00A463EC">
              <w:rPr>
                <w:lang w:val="en-US"/>
              </w:rPr>
              <w:t>(16.0)</w:t>
            </w:r>
          </w:p>
        </w:tc>
        <w:tc>
          <w:tcPr>
            <w:tcW w:w="898" w:type="dxa"/>
            <w:gridSpan w:val="2"/>
            <w:vMerge/>
            <w:tcBorders>
              <w:bottom w:val="dashSmallGap" w:sz="4" w:space="0" w:color="auto"/>
            </w:tcBorders>
          </w:tcPr>
          <w:p w14:paraId="14EA9E55" w14:textId="77777777" w:rsidR="003B6D98" w:rsidRPr="00F840C4" w:rsidRDefault="003B6D98" w:rsidP="00476B25">
            <w:pPr>
              <w:pStyle w:val="NormalWeb"/>
              <w:spacing w:after="40"/>
              <w:jc w:val="center"/>
              <w:rPr>
                <w:lang w:val="en-US"/>
              </w:rPr>
            </w:pPr>
          </w:p>
        </w:tc>
      </w:tr>
      <w:tr w:rsidR="003B6D98" w:rsidRPr="00F840C4" w14:paraId="6B6F9C67" w14:textId="77777777" w:rsidTr="00476B25">
        <w:trPr>
          <w:gridAfter w:val="1"/>
          <w:wAfter w:w="61" w:type="dxa"/>
          <w:trHeight w:val="340"/>
        </w:trPr>
        <w:tc>
          <w:tcPr>
            <w:tcW w:w="1160" w:type="dxa"/>
            <w:vMerge w:val="restart"/>
            <w:tcBorders>
              <w:top w:val="dashSmallGap" w:sz="4" w:space="0" w:color="auto"/>
              <w:bottom w:val="dashSmallGap" w:sz="4" w:space="0" w:color="auto"/>
            </w:tcBorders>
          </w:tcPr>
          <w:p w14:paraId="40BFBC9E" w14:textId="77777777" w:rsidR="003B6D98" w:rsidRPr="00F840C4" w:rsidRDefault="003B6D98" w:rsidP="00476B25">
            <w:pPr>
              <w:pStyle w:val="NormalWeb"/>
              <w:spacing w:after="40"/>
              <w:rPr>
                <w:lang w:val="en-US"/>
              </w:rPr>
            </w:pPr>
            <w:r w:rsidRPr="006C6A66">
              <w:rPr>
                <w:b/>
                <w:lang w:val="en-US"/>
              </w:rPr>
              <w:t>Age group</w:t>
            </w:r>
          </w:p>
        </w:tc>
        <w:tc>
          <w:tcPr>
            <w:tcW w:w="1384" w:type="dxa"/>
            <w:tcBorders>
              <w:top w:val="dashSmallGap" w:sz="4" w:space="0" w:color="auto"/>
              <w:bottom w:val="nil"/>
            </w:tcBorders>
            <w:tcMar>
              <w:top w:w="0" w:type="dxa"/>
              <w:left w:w="108" w:type="dxa"/>
              <w:bottom w:w="0" w:type="dxa"/>
              <w:right w:w="108" w:type="dxa"/>
            </w:tcMar>
            <w:hideMark/>
          </w:tcPr>
          <w:p w14:paraId="16B3C4A1" w14:textId="77777777" w:rsidR="003B6D98" w:rsidRPr="00F840C4" w:rsidRDefault="003B6D98" w:rsidP="00476B25">
            <w:pPr>
              <w:pStyle w:val="NormalWeb"/>
              <w:spacing w:after="40"/>
              <w:rPr>
                <w:lang w:val="en-US"/>
              </w:rPr>
            </w:pPr>
            <w:r w:rsidRPr="00F840C4">
              <w:rPr>
                <w:lang w:val="en-US"/>
              </w:rPr>
              <w:t>25-29</w:t>
            </w:r>
          </w:p>
        </w:tc>
        <w:tc>
          <w:tcPr>
            <w:tcW w:w="1191" w:type="dxa"/>
            <w:tcBorders>
              <w:top w:val="dashSmallGap" w:sz="4" w:space="0" w:color="auto"/>
              <w:bottom w:val="nil"/>
            </w:tcBorders>
          </w:tcPr>
          <w:p w14:paraId="098B160E" w14:textId="77777777" w:rsidR="003B6D98" w:rsidRPr="009C10FB" w:rsidRDefault="003B6D98" w:rsidP="00476B25">
            <w:pPr>
              <w:pStyle w:val="NormalWeb"/>
              <w:spacing w:after="40"/>
              <w:jc w:val="center"/>
              <w:rPr>
                <w:lang w:val="en-US"/>
              </w:rPr>
            </w:pPr>
            <w:r>
              <w:rPr>
                <w:lang w:val="en-US"/>
              </w:rPr>
              <w:t>341 (4</w:t>
            </w:r>
            <w:r w:rsidRPr="009C10FB">
              <w:rPr>
                <w:lang w:val="en-US"/>
              </w:rPr>
              <w:t>)</w:t>
            </w:r>
          </w:p>
        </w:tc>
        <w:tc>
          <w:tcPr>
            <w:tcW w:w="1304" w:type="dxa"/>
            <w:tcBorders>
              <w:top w:val="dashSmallGap" w:sz="4" w:space="0" w:color="auto"/>
              <w:bottom w:val="nil"/>
            </w:tcBorders>
            <w:tcMar>
              <w:top w:w="0" w:type="dxa"/>
              <w:left w:w="108" w:type="dxa"/>
              <w:bottom w:w="0" w:type="dxa"/>
              <w:right w:w="108" w:type="dxa"/>
            </w:tcMar>
          </w:tcPr>
          <w:p w14:paraId="37D9C817" w14:textId="77777777" w:rsidR="003B6D98" w:rsidRPr="00426DBD" w:rsidRDefault="003B6D98" w:rsidP="00476B25">
            <w:pPr>
              <w:pStyle w:val="NormalWeb"/>
              <w:spacing w:after="40"/>
              <w:jc w:val="center"/>
              <w:rPr>
                <w:lang w:val="en-US"/>
              </w:rPr>
            </w:pPr>
            <w:r>
              <w:rPr>
                <w:lang w:val="en-US"/>
              </w:rPr>
              <w:t>48.3 (15.4</w:t>
            </w:r>
            <w:r w:rsidRPr="00426DBD">
              <w:rPr>
                <w:lang w:val="en-US"/>
              </w:rPr>
              <w:t>)</w:t>
            </w:r>
          </w:p>
        </w:tc>
        <w:tc>
          <w:tcPr>
            <w:tcW w:w="907" w:type="dxa"/>
            <w:gridSpan w:val="3"/>
            <w:vMerge w:val="restart"/>
            <w:tcBorders>
              <w:top w:val="dashSmallGap" w:sz="4" w:space="0" w:color="auto"/>
              <w:bottom w:val="nil"/>
            </w:tcBorders>
            <w:tcMar>
              <w:top w:w="0" w:type="dxa"/>
              <w:left w:w="108" w:type="dxa"/>
              <w:bottom w:w="0" w:type="dxa"/>
              <w:right w:w="108" w:type="dxa"/>
            </w:tcMar>
          </w:tcPr>
          <w:p w14:paraId="38DDEC41" w14:textId="77777777" w:rsidR="003B6D98" w:rsidRPr="00F840C4" w:rsidRDefault="003B6D98" w:rsidP="00476B25">
            <w:pPr>
              <w:pStyle w:val="NormalWeb"/>
              <w:spacing w:after="40"/>
              <w:jc w:val="center"/>
              <w:rPr>
                <w:lang w:val="en-US"/>
              </w:rPr>
            </w:pPr>
            <w:r w:rsidRPr="00F840C4">
              <w:rPr>
                <w:lang w:val="en-US"/>
              </w:rPr>
              <w:t>&lt;0.001</w:t>
            </w:r>
          </w:p>
        </w:tc>
        <w:tc>
          <w:tcPr>
            <w:tcW w:w="1149" w:type="dxa"/>
            <w:gridSpan w:val="2"/>
            <w:tcBorders>
              <w:top w:val="dashSmallGap" w:sz="4" w:space="0" w:color="auto"/>
              <w:bottom w:val="nil"/>
            </w:tcBorders>
          </w:tcPr>
          <w:p w14:paraId="34BD418C" w14:textId="77777777" w:rsidR="003B6D98" w:rsidRPr="00F840C4" w:rsidRDefault="003B6D98" w:rsidP="00476B25">
            <w:pPr>
              <w:pStyle w:val="NormalWeb"/>
              <w:spacing w:after="40"/>
              <w:jc w:val="center"/>
              <w:rPr>
                <w:lang w:val="en-US"/>
              </w:rPr>
            </w:pPr>
            <w:r>
              <w:rPr>
                <w:lang w:val="en-US"/>
              </w:rPr>
              <w:t>4,057 (46)</w:t>
            </w:r>
          </w:p>
        </w:tc>
        <w:tc>
          <w:tcPr>
            <w:tcW w:w="1304" w:type="dxa"/>
            <w:gridSpan w:val="2"/>
            <w:tcBorders>
              <w:top w:val="dashSmallGap" w:sz="4" w:space="0" w:color="auto"/>
              <w:bottom w:val="nil"/>
            </w:tcBorders>
          </w:tcPr>
          <w:p w14:paraId="5B8859B8" w14:textId="77777777" w:rsidR="003B6D98" w:rsidRPr="00F840C4" w:rsidRDefault="003B6D98" w:rsidP="00476B25">
            <w:pPr>
              <w:pStyle w:val="NormalWeb"/>
              <w:spacing w:after="40"/>
              <w:jc w:val="center"/>
              <w:rPr>
                <w:lang w:val="en-US"/>
              </w:rPr>
            </w:pPr>
            <w:r>
              <w:rPr>
                <w:lang w:val="en-US"/>
              </w:rPr>
              <w:t>48.7 (15.5)</w:t>
            </w:r>
          </w:p>
        </w:tc>
        <w:tc>
          <w:tcPr>
            <w:tcW w:w="898" w:type="dxa"/>
            <w:gridSpan w:val="2"/>
            <w:vMerge w:val="restart"/>
            <w:tcBorders>
              <w:top w:val="dashSmallGap" w:sz="4" w:space="0" w:color="auto"/>
              <w:bottom w:val="nil"/>
            </w:tcBorders>
          </w:tcPr>
          <w:p w14:paraId="18E6DB16" w14:textId="77777777" w:rsidR="003B6D98" w:rsidRPr="00F840C4" w:rsidRDefault="003B6D98" w:rsidP="00476B25">
            <w:pPr>
              <w:pStyle w:val="NormalWeb"/>
              <w:spacing w:after="40"/>
              <w:jc w:val="center"/>
              <w:rPr>
                <w:lang w:val="en-US"/>
              </w:rPr>
            </w:pPr>
            <w:r w:rsidRPr="00F840C4">
              <w:rPr>
                <w:lang w:val="en-US"/>
              </w:rPr>
              <w:t>&lt;0.001</w:t>
            </w:r>
          </w:p>
        </w:tc>
      </w:tr>
      <w:tr w:rsidR="003B6D98" w:rsidRPr="00F840C4" w14:paraId="1F08B5B3" w14:textId="77777777" w:rsidTr="00476B25">
        <w:trPr>
          <w:gridAfter w:val="1"/>
          <w:wAfter w:w="61" w:type="dxa"/>
          <w:trHeight w:val="340"/>
        </w:trPr>
        <w:tc>
          <w:tcPr>
            <w:tcW w:w="1160" w:type="dxa"/>
            <w:vMerge/>
            <w:tcBorders>
              <w:bottom w:val="dashSmallGap" w:sz="4" w:space="0" w:color="auto"/>
            </w:tcBorders>
          </w:tcPr>
          <w:p w14:paraId="33D00B36" w14:textId="77777777" w:rsidR="003B6D98" w:rsidRPr="00F840C4" w:rsidRDefault="003B6D98" w:rsidP="00476B25">
            <w:pPr>
              <w:pStyle w:val="NormalWeb"/>
              <w:spacing w:after="40"/>
              <w:rPr>
                <w:lang w:val="en-US"/>
              </w:rPr>
            </w:pPr>
          </w:p>
        </w:tc>
        <w:tc>
          <w:tcPr>
            <w:tcW w:w="1384" w:type="dxa"/>
            <w:tcBorders>
              <w:bottom w:val="nil"/>
            </w:tcBorders>
            <w:tcMar>
              <w:top w:w="0" w:type="dxa"/>
              <w:left w:w="108" w:type="dxa"/>
              <w:bottom w:w="0" w:type="dxa"/>
              <w:right w:w="108" w:type="dxa"/>
            </w:tcMar>
            <w:hideMark/>
          </w:tcPr>
          <w:p w14:paraId="4F4AF0C1" w14:textId="77777777" w:rsidR="003B6D98" w:rsidRPr="00F840C4" w:rsidRDefault="003B6D98" w:rsidP="00476B25">
            <w:pPr>
              <w:pStyle w:val="NormalWeb"/>
              <w:spacing w:after="40"/>
              <w:rPr>
                <w:lang w:val="en-US"/>
              </w:rPr>
            </w:pPr>
            <w:r w:rsidRPr="00F840C4">
              <w:rPr>
                <w:lang w:val="en-US"/>
              </w:rPr>
              <w:t>35-39</w:t>
            </w:r>
          </w:p>
        </w:tc>
        <w:tc>
          <w:tcPr>
            <w:tcW w:w="1191" w:type="dxa"/>
            <w:tcBorders>
              <w:bottom w:val="nil"/>
            </w:tcBorders>
          </w:tcPr>
          <w:p w14:paraId="090309AA" w14:textId="77777777" w:rsidR="003B6D98" w:rsidRPr="009C10FB" w:rsidRDefault="003B6D98" w:rsidP="00476B25">
            <w:pPr>
              <w:pStyle w:val="NormalWeb"/>
              <w:spacing w:after="40"/>
              <w:jc w:val="center"/>
              <w:rPr>
                <w:lang w:val="en-US"/>
              </w:rPr>
            </w:pPr>
            <w:r>
              <w:rPr>
                <w:lang w:val="en-US"/>
              </w:rPr>
              <w:t>1,270</w:t>
            </w:r>
            <w:r w:rsidRPr="009C10FB">
              <w:rPr>
                <w:lang w:val="en-US"/>
              </w:rPr>
              <w:t xml:space="preserve"> (16</w:t>
            </w:r>
            <w:r>
              <w:rPr>
                <w:lang w:val="en-US"/>
              </w:rPr>
              <w:t>)</w:t>
            </w:r>
          </w:p>
        </w:tc>
        <w:tc>
          <w:tcPr>
            <w:tcW w:w="1304" w:type="dxa"/>
            <w:tcBorders>
              <w:bottom w:val="nil"/>
            </w:tcBorders>
            <w:tcMar>
              <w:top w:w="0" w:type="dxa"/>
              <w:left w:w="108" w:type="dxa"/>
              <w:bottom w:w="0" w:type="dxa"/>
              <w:right w:w="108" w:type="dxa"/>
            </w:tcMar>
          </w:tcPr>
          <w:p w14:paraId="5496614D" w14:textId="77777777" w:rsidR="003B6D98" w:rsidRPr="00426DBD" w:rsidRDefault="003B6D98" w:rsidP="00476B25">
            <w:pPr>
              <w:pStyle w:val="NormalWeb"/>
              <w:spacing w:after="40"/>
              <w:jc w:val="center"/>
              <w:rPr>
                <w:lang w:val="en-US"/>
              </w:rPr>
            </w:pPr>
            <w:r w:rsidRPr="00426DBD">
              <w:rPr>
                <w:lang w:val="en-US"/>
              </w:rPr>
              <w:t>48.9</w:t>
            </w:r>
            <w:r>
              <w:rPr>
                <w:lang w:val="en-US"/>
              </w:rPr>
              <w:t xml:space="preserve"> (16.1</w:t>
            </w:r>
            <w:r w:rsidRPr="00426DBD">
              <w:rPr>
                <w:lang w:val="en-US"/>
              </w:rPr>
              <w:t>)</w:t>
            </w:r>
          </w:p>
        </w:tc>
        <w:tc>
          <w:tcPr>
            <w:tcW w:w="907" w:type="dxa"/>
            <w:gridSpan w:val="3"/>
            <w:vMerge/>
            <w:tcBorders>
              <w:bottom w:val="nil"/>
            </w:tcBorders>
            <w:tcMar>
              <w:top w:w="0" w:type="dxa"/>
              <w:left w:w="108" w:type="dxa"/>
              <w:bottom w:w="0" w:type="dxa"/>
              <w:right w:w="108" w:type="dxa"/>
            </w:tcMar>
          </w:tcPr>
          <w:p w14:paraId="281F96B3" w14:textId="77777777" w:rsidR="003B6D98" w:rsidRPr="00F840C4" w:rsidRDefault="003B6D98" w:rsidP="00476B25">
            <w:pPr>
              <w:pStyle w:val="NormalWeb"/>
              <w:spacing w:after="40"/>
              <w:jc w:val="center"/>
              <w:rPr>
                <w:lang w:val="en-US"/>
              </w:rPr>
            </w:pPr>
          </w:p>
        </w:tc>
        <w:tc>
          <w:tcPr>
            <w:tcW w:w="1149" w:type="dxa"/>
            <w:gridSpan w:val="2"/>
            <w:tcBorders>
              <w:bottom w:val="nil"/>
            </w:tcBorders>
          </w:tcPr>
          <w:p w14:paraId="5EE50EB1" w14:textId="77777777" w:rsidR="003B6D98" w:rsidRPr="00F840C4" w:rsidRDefault="003B6D98" w:rsidP="00476B25">
            <w:pPr>
              <w:pStyle w:val="NormalWeb"/>
              <w:spacing w:after="40"/>
              <w:jc w:val="center"/>
              <w:rPr>
                <w:lang w:val="en-US"/>
              </w:rPr>
            </w:pPr>
            <w:r>
              <w:rPr>
                <w:lang w:val="en-US"/>
              </w:rPr>
              <w:t>2,439 (28)</w:t>
            </w:r>
          </w:p>
        </w:tc>
        <w:tc>
          <w:tcPr>
            <w:tcW w:w="1304" w:type="dxa"/>
            <w:gridSpan w:val="2"/>
            <w:tcBorders>
              <w:bottom w:val="nil"/>
            </w:tcBorders>
          </w:tcPr>
          <w:p w14:paraId="147188F3" w14:textId="77777777" w:rsidR="003B6D98" w:rsidRPr="00F840C4" w:rsidRDefault="003B6D98" w:rsidP="00476B25">
            <w:pPr>
              <w:pStyle w:val="NormalWeb"/>
              <w:spacing w:after="40"/>
              <w:jc w:val="center"/>
              <w:rPr>
                <w:lang w:val="en-US"/>
              </w:rPr>
            </w:pPr>
            <w:r>
              <w:rPr>
                <w:lang w:val="en-US"/>
              </w:rPr>
              <w:t>48.8 (15.9)</w:t>
            </w:r>
          </w:p>
        </w:tc>
        <w:tc>
          <w:tcPr>
            <w:tcW w:w="898" w:type="dxa"/>
            <w:gridSpan w:val="2"/>
            <w:vMerge/>
            <w:tcBorders>
              <w:bottom w:val="nil"/>
            </w:tcBorders>
          </w:tcPr>
          <w:p w14:paraId="629F944A" w14:textId="77777777" w:rsidR="003B6D98" w:rsidRPr="00F840C4" w:rsidRDefault="003B6D98" w:rsidP="00476B25">
            <w:pPr>
              <w:pStyle w:val="NormalWeb"/>
              <w:spacing w:after="40"/>
              <w:jc w:val="center"/>
              <w:rPr>
                <w:lang w:val="en-US"/>
              </w:rPr>
            </w:pPr>
          </w:p>
        </w:tc>
      </w:tr>
      <w:tr w:rsidR="003B6D98" w:rsidRPr="00F840C4" w14:paraId="2F15A0F9" w14:textId="77777777" w:rsidTr="00476B25">
        <w:trPr>
          <w:gridAfter w:val="1"/>
          <w:wAfter w:w="61" w:type="dxa"/>
          <w:trHeight w:val="340"/>
        </w:trPr>
        <w:tc>
          <w:tcPr>
            <w:tcW w:w="1160" w:type="dxa"/>
            <w:vMerge/>
            <w:tcBorders>
              <w:bottom w:val="dashSmallGap" w:sz="4" w:space="0" w:color="auto"/>
            </w:tcBorders>
          </w:tcPr>
          <w:p w14:paraId="2C2F4D33" w14:textId="77777777" w:rsidR="003B6D98" w:rsidRPr="00F840C4" w:rsidRDefault="003B6D98" w:rsidP="00476B25">
            <w:pPr>
              <w:pStyle w:val="NormalWeb"/>
              <w:spacing w:after="40"/>
              <w:rPr>
                <w:lang w:val="en-US"/>
              </w:rPr>
            </w:pPr>
          </w:p>
        </w:tc>
        <w:tc>
          <w:tcPr>
            <w:tcW w:w="1384" w:type="dxa"/>
            <w:tcBorders>
              <w:bottom w:val="nil"/>
            </w:tcBorders>
            <w:tcMar>
              <w:top w:w="0" w:type="dxa"/>
              <w:left w:w="108" w:type="dxa"/>
              <w:bottom w:w="0" w:type="dxa"/>
              <w:right w:w="108" w:type="dxa"/>
            </w:tcMar>
            <w:hideMark/>
          </w:tcPr>
          <w:p w14:paraId="2DB167B5" w14:textId="77777777" w:rsidR="003B6D98" w:rsidRPr="00F840C4" w:rsidRDefault="003B6D98" w:rsidP="00476B25">
            <w:pPr>
              <w:pStyle w:val="NormalWeb"/>
              <w:spacing w:after="40"/>
              <w:rPr>
                <w:lang w:val="en-US"/>
              </w:rPr>
            </w:pPr>
            <w:r w:rsidRPr="00F840C4">
              <w:rPr>
                <w:lang w:val="en-US"/>
              </w:rPr>
              <w:t>45-49</w:t>
            </w:r>
          </w:p>
        </w:tc>
        <w:tc>
          <w:tcPr>
            <w:tcW w:w="1191" w:type="dxa"/>
            <w:tcBorders>
              <w:bottom w:val="nil"/>
            </w:tcBorders>
          </w:tcPr>
          <w:p w14:paraId="09E45DDA" w14:textId="77777777" w:rsidR="003B6D98" w:rsidRPr="00E80AE6" w:rsidRDefault="003B6D98" w:rsidP="00476B25">
            <w:pPr>
              <w:pStyle w:val="NormalWeb"/>
              <w:spacing w:after="40"/>
              <w:jc w:val="center"/>
              <w:rPr>
                <w:lang w:val="en-US"/>
              </w:rPr>
            </w:pPr>
            <w:r w:rsidRPr="00E80AE6">
              <w:rPr>
                <w:lang w:val="en-US"/>
              </w:rPr>
              <w:t>2,645 (34)</w:t>
            </w:r>
          </w:p>
        </w:tc>
        <w:tc>
          <w:tcPr>
            <w:tcW w:w="1304" w:type="dxa"/>
            <w:tcBorders>
              <w:bottom w:val="nil"/>
            </w:tcBorders>
            <w:tcMar>
              <w:top w:w="0" w:type="dxa"/>
              <w:left w:w="108" w:type="dxa"/>
              <w:bottom w:w="0" w:type="dxa"/>
              <w:right w:w="108" w:type="dxa"/>
            </w:tcMar>
          </w:tcPr>
          <w:p w14:paraId="18F13888" w14:textId="77777777" w:rsidR="003B6D98" w:rsidRPr="00E80AE6" w:rsidRDefault="003B6D98" w:rsidP="00476B25">
            <w:pPr>
              <w:pStyle w:val="NormalWeb"/>
              <w:spacing w:after="40"/>
              <w:jc w:val="center"/>
              <w:rPr>
                <w:lang w:val="en-US"/>
              </w:rPr>
            </w:pPr>
            <w:r w:rsidRPr="00E80AE6">
              <w:rPr>
                <w:lang w:val="en-US"/>
              </w:rPr>
              <w:t>51.2 (16.6)</w:t>
            </w:r>
          </w:p>
        </w:tc>
        <w:tc>
          <w:tcPr>
            <w:tcW w:w="907" w:type="dxa"/>
            <w:gridSpan w:val="3"/>
            <w:vMerge/>
            <w:tcBorders>
              <w:bottom w:val="nil"/>
            </w:tcBorders>
            <w:tcMar>
              <w:top w:w="0" w:type="dxa"/>
              <w:left w:w="108" w:type="dxa"/>
              <w:bottom w:w="0" w:type="dxa"/>
              <w:right w:w="108" w:type="dxa"/>
            </w:tcMar>
          </w:tcPr>
          <w:p w14:paraId="7912860E" w14:textId="77777777" w:rsidR="003B6D98" w:rsidRPr="00F840C4" w:rsidRDefault="003B6D98" w:rsidP="00476B25">
            <w:pPr>
              <w:pStyle w:val="NormalWeb"/>
              <w:spacing w:after="40"/>
              <w:jc w:val="center"/>
              <w:rPr>
                <w:lang w:val="en-US"/>
              </w:rPr>
            </w:pPr>
          </w:p>
        </w:tc>
        <w:tc>
          <w:tcPr>
            <w:tcW w:w="1149" w:type="dxa"/>
            <w:gridSpan w:val="2"/>
            <w:tcBorders>
              <w:bottom w:val="nil"/>
            </w:tcBorders>
          </w:tcPr>
          <w:p w14:paraId="56ADC052" w14:textId="77777777" w:rsidR="003B6D98" w:rsidRPr="00F840C4" w:rsidRDefault="003B6D98" w:rsidP="00476B25">
            <w:pPr>
              <w:pStyle w:val="NormalWeb"/>
              <w:spacing w:after="40"/>
              <w:jc w:val="center"/>
              <w:rPr>
                <w:lang w:val="en-US"/>
              </w:rPr>
            </w:pPr>
            <w:r>
              <w:rPr>
                <w:lang w:val="en-US"/>
              </w:rPr>
              <w:t>1,131 (15)</w:t>
            </w:r>
          </w:p>
        </w:tc>
        <w:tc>
          <w:tcPr>
            <w:tcW w:w="1304" w:type="dxa"/>
            <w:gridSpan w:val="2"/>
            <w:tcBorders>
              <w:bottom w:val="nil"/>
            </w:tcBorders>
          </w:tcPr>
          <w:p w14:paraId="62B7DFBB" w14:textId="77777777" w:rsidR="003B6D98" w:rsidRPr="00F840C4" w:rsidRDefault="003B6D98" w:rsidP="00476B25">
            <w:pPr>
              <w:pStyle w:val="NormalWeb"/>
              <w:spacing w:after="40"/>
              <w:jc w:val="center"/>
              <w:rPr>
                <w:lang w:val="en-US"/>
              </w:rPr>
            </w:pPr>
            <w:r>
              <w:rPr>
                <w:lang w:val="en-US"/>
              </w:rPr>
              <w:t>50.3 (16.9)</w:t>
            </w:r>
          </w:p>
        </w:tc>
        <w:tc>
          <w:tcPr>
            <w:tcW w:w="898" w:type="dxa"/>
            <w:gridSpan w:val="2"/>
            <w:vMerge/>
            <w:tcBorders>
              <w:bottom w:val="nil"/>
            </w:tcBorders>
          </w:tcPr>
          <w:p w14:paraId="430EEFE3" w14:textId="77777777" w:rsidR="003B6D98" w:rsidRPr="00F840C4" w:rsidRDefault="003B6D98" w:rsidP="00476B25">
            <w:pPr>
              <w:pStyle w:val="NormalWeb"/>
              <w:spacing w:after="40"/>
              <w:jc w:val="center"/>
              <w:rPr>
                <w:lang w:val="en-US"/>
              </w:rPr>
            </w:pPr>
          </w:p>
        </w:tc>
      </w:tr>
      <w:tr w:rsidR="003B6D98" w:rsidRPr="00F840C4" w14:paraId="75BED846" w14:textId="77777777" w:rsidTr="00476B25">
        <w:trPr>
          <w:gridAfter w:val="1"/>
          <w:wAfter w:w="61" w:type="dxa"/>
          <w:trHeight w:val="340"/>
        </w:trPr>
        <w:tc>
          <w:tcPr>
            <w:tcW w:w="1160" w:type="dxa"/>
            <w:vMerge/>
            <w:tcBorders>
              <w:bottom w:val="dashSmallGap" w:sz="4" w:space="0" w:color="auto"/>
            </w:tcBorders>
          </w:tcPr>
          <w:p w14:paraId="6BCD2B33" w14:textId="77777777" w:rsidR="003B6D98" w:rsidRPr="00F840C4" w:rsidRDefault="003B6D98" w:rsidP="00476B25">
            <w:pPr>
              <w:pStyle w:val="NormalWeb"/>
              <w:spacing w:after="40"/>
              <w:rPr>
                <w:lang w:val="en-US"/>
              </w:rPr>
            </w:pPr>
          </w:p>
        </w:tc>
        <w:tc>
          <w:tcPr>
            <w:tcW w:w="1384" w:type="dxa"/>
            <w:tcBorders>
              <w:bottom w:val="dashSmallGap" w:sz="4" w:space="0" w:color="auto"/>
            </w:tcBorders>
            <w:tcMar>
              <w:top w:w="0" w:type="dxa"/>
              <w:left w:w="108" w:type="dxa"/>
              <w:bottom w:w="0" w:type="dxa"/>
              <w:right w:w="108" w:type="dxa"/>
            </w:tcMar>
            <w:hideMark/>
          </w:tcPr>
          <w:p w14:paraId="38FF2CF4" w14:textId="77777777" w:rsidR="003B6D98" w:rsidRPr="00F840C4" w:rsidRDefault="003B6D98" w:rsidP="00476B25">
            <w:pPr>
              <w:pStyle w:val="NormalWeb"/>
              <w:spacing w:after="40"/>
              <w:rPr>
                <w:lang w:val="en-US"/>
              </w:rPr>
            </w:pPr>
            <w:r w:rsidRPr="00F840C4">
              <w:rPr>
                <w:lang w:val="en-US"/>
              </w:rPr>
              <w:t>55-59</w:t>
            </w:r>
          </w:p>
        </w:tc>
        <w:tc>
          <w:tcPr>
            <w:tcW w:w="1191" w:type="dxa"/>
            <w:tcBorders>
              <w:bottom w:val="dashSmallGap" w:sz="4" w:space="0" w:color="auto"/>
            </w:tcBorders>
          </w:tcPr>
          <w:p w14:paraId="306C55FF" w14:textId="77777777" w:rsidR="003B6D98" w:rsidRPr="00E80AE6" w:rsidRDefault="003B6D98" w:rsidP="00476B25">
            <w:pPr>
              <w:pStyle w:val="NormalWeb"/>
              <w:spacing w:after="40"/>
              <w:jc w:val="center"/>
              <w:rPr>
                <w:lang w:val="en-US"/>
              </w:rPr>
            </w:pPr>
            <w:r w:rsidRPr="00E80AE6">
              <w:rPr>
                <w:lang w:val="en-US"/>
              </w:rPr>
              <w:t>3,448 (45)</w:t>
            </w:r>
          </w:p>
        </w:tc>
        <w:tc>
          <w:tcPr>
            <w:tcW w:w="1304" w:type="dxa"/>
            <w:tcBorders>
              <w:bottom w:val="dashSmallGap" w:sz="4" w:space="0" w:color="auto"/>
            </w:tcBorders>
            <w:tcMar>
              <w:top w:w="0" w:type="dxa"/>
              <w:left w:w="108" w:type="dxa"/>
              <w:bottom w:w="0" w:type="dxa"/>
              <w:right w:w="108" w:type="dxa"/>
            </w:tcMar>
          </w:tcPr>
          <w:p w14:paraId="472BEACF" w14:textId="77777777" w:rsidR="003B6D98" w:rsidRPr="00E80AE6" w:rsidRDefault="003B6D98" w:rsidP="00476B25">
            <w:pPr>
              <w:pStyle w:val="NormalWeb"/>
              <w:spacing w:after="40"/>
              <w:jc w:val="center"/>
              <w:rPr>
                <w:lang w:val="en-US"/>
              </w:rPr>
            </w:pPr>
            <w:r w:rsidRPr="00E80AE6">
              <w:rPr>
                <w:lang w:val="en-US"/>
              </w:rPr>
              <w:t>53.3 (18.0)</w:t>
            </w:r>
          </w:p>
        </w:tc>
        <w:tc>
          <w:tcPr>
            <w:tcW w:w="907" w:type="dxa"/>
            <w:gridSpan w:val="3"/>
            <w:vMerge/>
            <w:tcBorders>
              <w:bottom w:val="dashSmallGap" w:sz="4" w:space="0" w:color="auto"/>
            </w:tcBorders>
            <w:tcMar>
              <w:top w:w="0" w:type="dxa"/>
              <w:left w:w="108" w:type="dxa"/>
              <w:bottom w:w="0" w:type="dxa"/>
              <w:right w:w="108" w:type="dxa"/>
            </w:tcMar>
          </w:tcPr>
          <w:p w14:paraId="7ADBD280" w14:textId="77777777" w:rsidR="003B6D98" w:rsidRPr="00F840C4" w:rsidRDefault="003B6D98" w:rsidP="00476B25">
            <w:pPr>
              <w:pStyle w:val="NormalWeb"/>
              <w:spacing w:after="40"/>
              <w:jc w:val="center"/>
              <w:rPr>
                <w:lang w:val="en-US"/>
              </w:rPr>
            </w:pPr>
          </w:p>
        </w:tc>
        <w:tc>
          <w:tcPr>
            <w:tcW w:w="1149" w:type="dxa"/>
            <w:gridSpan w:val="2"/>
            <w:tcBorders>
              <w:bottom w:val="dashSmallGap" w:sz="4" w:space="0" w:color="auto"/>
            </w:tcBorders>
          </w:tcPr>
          <w:p w14:paraId="5E276764" w14:textId="77777777" w:rsidR="003B6D98" w:rsidRPr="00F840C4" w:rsidRDefault="003B6D98" w:rsidP="00476B25">
            <w:pPr>
              <w:pStyle w:val="NormalWeb"/>
              <w:spacing w:after="40"/>
              <w:jc w:val="center"/>
              <w:rPr>
                <w:lang w:val="en-US"/>
              </w:rPr>
            </w:pPr>
            <w:r>
              <w:rPr>
                <w:lang w:val="en-US"/>
              </w:rPr>
              <w:t>1,009 (11)</w:t>
            </w:r>
          </w:p>
        </w:tc>
        <w:tc>
          <w:tcPr>
            <w:tcW w:w="1304" w:type="dxa"/>
            <w:gridSpan w:val="2"/>
            <w:tcBorders>
              <w:bottom w:val="dashSmallGap" w:sz="4" w:space="0" w:color="auto"/>
            </w:tcBorders>
          </w:tcPr>
          <w:p w14:paraId="28B660F0" w14:textId="77777777" w:rsidR="003B6D98" w:rsidRPr="00F840C4" w:rsidRDefault="003B6D98" w:rsidP="00476B25">
            <w:pPr>
              <w:pStyle w:val="NormalWeb"/>
              <w:spacing w:after="40"/>
              <w:jc w:val="center"/>
              <w:rPr>
                <w:lang w:val="en-US"/>
              </w:rPr>
            </w:pPr>
            <w:r>
              <w:rPr>
                <w:lang w:val="en-US"/>
              </w:rPr>
              <w:t>51.4 (18.4)</w:t>
            </w:r>
          </w:p>
        </w:tc>
        <w:tc>
          <w:tcPr>
            <w:tcW w:w="898" w:type="dxa"/>
            <w:gridSpan w:val="2"/>
            <w:vMerge/>
            <w:tcBorders>
              <w:bottom w:val="dashSmallGap" w:sz="4" w:space="0" w:color="auto"/>
            </w:tcBorders>
          </w:tcPr>
          <w:p w14:paraId="77B1A975" w14:textId="77777777" w:rsidR="003B6D98" w:rsidRPr="00F840C4" w:rsidRDefault="003B6D98" w:rsidP="00476B25">
            <w:pPr>
              <w:pStyle w:val="NormalWeb"/>
              <w:spacing w:after="40"/>
              <w:jc w:val="center"/>
              <w:rPr>
                <w:lang w:val="en-US"/>
              </w:rPr>
            </w:pPr>
          </w:p>
        </w:tc>
      </w:tr>
      <w:tr w:rsidR="003B6D98" w:rsidRPr="00F840C4" w14:paraId="2F81D82E" w14:textId="77777777" w:rsidTr="00476B25">
        <w:trPr>
          <w:gridAfter w:val="1"/>
          <w:wAfter w:w="61" w:type="dxa"/>
          <w:trHeight w:val="340"/>
        </w:trPr>
        <w:tc>
          <w:tcPr>
            <w:tcW w:w="1160" w:type="dxa"/>
            <w:vMerge w:val="restart"/>
            <w:tcBorders>
              <w:top w:val="dashSmallGap" w:sz="4" w:space="0" w:color="auto"/>
              <w:bottom w:val="dashSmallGap" w:sz="4" w:space="0" w:color="auto"/>
            </w:tcBorders>
          </w:tcPr>
          <w:p w14:paraId="357BEF7D" w14:textId="77777777" w:rsidR="003B6D98" w:rsidRPr="00F840C4" w:rsidRDefault="003B6D98" w:rsidP="00476B25">
            <w:pPr>
              <w:pStyle w:val="NormalWeb"/>
              <w:spacing w:after="40"/>
              <w:rPr>
                <w:lang w:val="en-US"/>
              </w:rPr>
            </w:pPr>
            <w:r w:rsidRPr="00BA74A8">
              <w:rPr>
                <w:b/>
                <w:lang w:val="en-US"/>
              </w:rPr>
              <w:t>Level of education</w:t>
            </w:r>
          </w:p>
        </w:tc>
        <w:tc>
          <w:tcPr>
            <w:tcW w:w="1384" w:type="dxa"/>
            <w:tcBorders>
              <w:top w:val="dashSmallGap" w:sz="4" w:space="0" w:color="auto"/>
              <w:bottom w:val="nil"/>
            </w:tcBorders>
            <w:tcMar>
              <w:top w:w="0" w:type="dxa"/>
              <w:left w:w="108" w:type="dxa"/>
              <w:bottom w:w="0" w:type="dxa"/>
              <w:right w:w="108" w:type="dxa"/>
            </w:tcMar>
            <w:hideMark/>
          </w:tcPr>
          <w:p w14:paraId="6E9F6433" w14:textId="77777777" w:rsidR="003B6D98" w:rsidRPr="00F840C4" w:rsidRDefault="003B6D98" w:rsidP="00476B25">
            <w:pPr>
              <w:pStyle w:val="NormalWeb"/>
              <w:spacing w:after="40"/>
              <w:rPr>
                <w:lang w:val="en-US"/>
              </w:rPr>
            </w:pPr>
            <w:r>
              <w:rPr>
                <w:lang w:val="en-US"/>
              </w:rPr>
              <w:t>Basic</w:t>
            </w:r>
          </w:p>
        </w:tc>
        <w:tc>
          <w:tcPr>
            <w:tcW w:w="1191" w:type="dxa"/>
            <w:tcBorders>
              <w:top w:val="dashSmallGap" w:sz="4" w:space="0" w:color="auto"/>
              <w:bottom w:val="nil"/>
            </w:tcBorders>
          </w:tcPr>
          <w:p w14:paraId="73D3F7E7" w14:textId="77777777" w:rsidR="003B6D98" w:rsidRPr="009C10FB" w:rsidRDefault="003B6D98" w:rsidP="00476B25">
            <w:pPr>
              <w:pStyle w:val="NormalWeb"/>
              <w:spacing w:after="40"/>
              <w:jc w:val="center"/>
              <w:rPr>
                <w:lang w:val="en-US"/>
              </w:rPr>
            </w:pPr>
            <w:r>
              <w:rPr>
                <w:lang w:val="en-US"/>
              </w:rPr>
              <w:t>1,074</w:t>
            </w:r>
            <w:r w:rsidRPr="009C10FB">
              <w:rPr>
                <w:lang w:val="en-US"/>
              </w:rPr>
              <w:t xml:space="preserve"> (14)</w:t>
            </w:r>
          </w:p>
        </w:tc>
        <w:tc>
          <w:tcPr>
            <w:tcW w:w="1304" w:type="dxa"/>
            <w:tcBorders>
              <w:top w:val="dashSmallGap" w:sz="4" w:space="0" w:color="auto"/>
              <w:bottom w:val="nil"/>
            </w:tcBorders>
            <w:tcMar>
              <w:top w:w="0" w:type="dxa"/>
              <w:left w:w="108" w:type="dxa"/>
              <w:bottom w:w="0" w:type="dxa"/>
              <w:right w:w="108" w:type="dxa"/>
            </w:tcMar>
          </w:tcPr>
          <w:p w14:paraId="25DA5108" w14:textId="77777777" w:rsidR="003B6D98" w:rsidRPr="00FC476E" w:rsidRDefault="003B6D98" w:rsidP="00476B25">
            <w:pPr>
              <w:pStyle w:val="NormalWeb"/>
              <w:spacing w:after="40"/>
              <w:jc w:val="center"/>
              <w:rPr>
                <w:lang w:val="en-US"/>
              </w:rPr>
            </w:pPr>
            <w:r w:rsidRPr="00FC476E">
              <w:rPr>
                <w:lang w:val="en-US"/>
              </w:rPr>
              <w:t>48.9</w:t>
            </w:r>
            <w:r>
              <w:rPr>
                <w:lang w:val="en-US"/>
              </w:rPr>
              <w:t xml:space="preserve"> </w:t>
            </w:r>
            <w:r w:rsidRPr="00FC476E">
              <w:rPr>
                <w:lang w:val="en-US"/>
              </w:rPr>
              <w:t>(17.4)</w:t>
            </w:r>
          </w:p>
        </w:tc>
        <w:tc>
          <w:tcPr>
            <w:tcW w:w="907" w:type="dxa"/>
            <w:gridSpan w:val="3"/>
            <w:vMerge w:val="restart"/>
            <w:tcBorders>
              <w:top w:val="dashSmallGap" w:sz="4" w:space="0" w:color="auto"/>
              <w:bottom w:val="nil"/>
            </w:tcBorders>
            <w:tcMar>
              <w:top w:w="0" w:type="dxa"/>
              <w:left w:w="108" w:type="dxa"/>
              <w:bottom w:w="0" w:type="dxa"/>
              <w:right w:w="108" w:type="dxa"/>
            </w:tcMar>
          </w:tcPr>
          <w:p w14:paraId="436359FA" w14:textId="77777777" w:rsidR="003B6D98" w:rsidRPr="00F840C4" w:rsidRDefault="003B6D98" w:rsidP="00476B25">
            <w:pPr>
              <w:pStyle w:val="NormalWeb"/>
              <w:spacing w:after="40"/>
              <w:jc w:val="center"/>
              <w:rPr>
                <w:lang w:val="en-US"/>
              </w:rPr>
            </w:pPr>
            <w:r w:rsidRPr="00F840C4">
              <w:rPr>
                <w:lang w:val="en-US"/>
              </w:rPr>
              <w:t>&lt;0.001</w:t>
            </w:r>
          </w:p>
        </w:tc>
        <w:tc>
          <w:tcPr>
            <w:tcW w:w="1149" w:type="dxa"/>
            <w:gridSpan w:val="2"/>
            <w:tcBorders>
              <w:top w:val="dashSmallGap" w:sz="4" w:space="0" w:color="auto"/>
              <w:bottom w:val="nil"/>
            </w:tcBorders>
          </w:tcPr>
          <w:p w14:paraId="557F9CE4" w14:textId="77777777" w:rsidR="003B6D98" w:rsidRPr="00F840C4" w:rsidRDefault="003B6D98" w:rsidP="00476B25">
            <w:pPr>
              <w:pStyle w:val="NormalWeb"/>
              <w:spacing w:after="40"/>
              <w:jc w:val="center"/>
              <w:rPr>
                <w:lang w:val="en-US"/>
              </w:rPr>
            </w:pPr>
            <w:r>
              <w:rPr>
                <w:lang w:val="en-US"/>
              </w:rPr>
              <w:t>869 (10)</w:t>
            </w:r>
          </w:p>
        </w:tc>
        <w:tc>
          <w:tcPr>
            <w:tcW w:w="1304" w:type="dxa"/>
            <w:gridSpan w:val="2"/>
            <w:tcBorders>
              <w:top w:val="dashSmallGap" w:sz="4" w:space="0" w:color="auto"/>
              <w:bottom w:val="nil"/>
            </w:tcBorders>
          </w:tcPr>
          <w:p w14:paraId="1BB2C533" w14:textId="77777777" w:rsidR="003B6D98" w:rsidRPr="00F840C4" w:rsidRDefault="003B6D98" w:rsidP="00476B25">
            <w:pPr>
              <w:pStyle w:val="NormalWeb"/>
              <w:spacing w:after="40"/>
              <w:jc w:val="center"/>
              <w:rPr>
                <w:lang w:val="en-US"/>
              </w:rPr>
            </w:pPr>
            <w:r>
              <w:rPr>
                <w:lang w:val="en-US"/>
              </w:rPr>
              <w:t>47.5 (16.8)</w:t>
            </w:r>
          </w:p>
        </w:tc>
        <w:tc>
          <w:tcPr>
            <w:tcW w:w="898" w:type="dxa"/>
            <w:gridSpan w:val="2"/>
            <w:vMerge w:val="restart"/>
            <w:tcBorders>
              <w:top w:val="dashSmallGap" w:sz="4" w:space="0" w:color="auto"/>
              <w:bottom w:val="nil"/>
            </w:tcBorders>
          </w:tcPr>
          <w:p w14:paraId="3443FE5C" w14:textId="77777777" w:rsidR="003B6D98" w:rsidRPr="00F840C4" w:rsidRDefault="003B6D98" w:rsidP="00476B25">
            <w:pPr>
              <w:pStyle w:val="NormalWeb"/>
              <w:spacing w:after="40"/>
              <w:jc w:val="center"/>
              <w:rPr>
                <w:lang w:val="en-US"/>
              </w:rPr>
            </w:pPr>
            <w:r w:rsidRPr="00F840C4">
              <w:rPr>
                <w:lang w:val="en-US"/>
              </w:rPr>
              <w:t>&lt;0.001</w:t>
            </w:r>
          </w:p>
        </w:tc>
      </w:tr>
      <w:tr w:rsidR="003B6D98" w:rsidRPr="00F840C4" w14:paraId="766BE5FE" w14:textId="77777777" w:rsidTr="00476B25">
        <w:trPr>
          <w:gridAfter w:val="1"/>
          <w:wAfter w:w="61" w:type="dxa"/>
          <w:trHeight w:val="340"/>
        </w:trPr>
        <w:tc>
          <w:tcPr>
            <w:tcW w:w="1160" w:type="dxa"/>
            <w:vMerge/>
            <w:tcBorders>
              <w:bottom w:val="dashSmallGap" w:sz="4" w:space="0" w:color="auto"/>
            </w:tcBorders>
          </w:tcPr>
          <w:p w14:paraId="234F1E80" w14:textId="77777777" w:rsidR="003B6D98" w:rsidRPr="00F840C4" w:rsidRDefault="003B6D98" w:rsidP="00476B25">
            <w:pPr>
              <w:pStyle w:val="NormalWeb"/>
              <w:spacing w:after="40"/>
              <w:rPr>
                <w:lang w:val="en-US"/>
              </w:rPr>
            </w:pPr>
          </w:p>
        </w:tc>
        <w:tc>
          <w:tcPr>
            <w:tcW w:w="1384" w:type="dxa"/>
            <w:tcBorders>
              <w:bottom w:val="nil"/>
            </w:tcBorders>
            <w:tcMar>
              <w:top w:w="0" w:type="dxa"/>
              <w:left w:w="108" w:type="dxa"/>
              <w:bottom w:w="0" w:type="dxa"/>
              <w:right w:w="108" w:type="dxa"/>
            </w:tcMar>
            <w:hideMark/>
          </w:tcPr>
          <w:p w14:paraId="2D51DA69" w14:textId="77777777" w:rsidR="003B6D98" w:rsidRPr="00F840C4" w:rsidRDefault="003B6D98" w:rsidP="00476B25">
            <w:pPr>
              <w:pStyle w:val="NormalWeb"/>
              <w:spacing w:after="40"/>
              <w:rPr>
                <w:lang w:val="en-US"/>
              </w:rPr>
            </w:pPr>
            <w:r>
              <w:rPr>
                <w:lang w:val="en-US"/>
              </w:rPr>
              <w:t>High school</w:t>
            </w:r>
            <w:r w:rsidRPr="009F31C4">
              <w:rPr>
                <w:vertAlign w:val="superscript"/>
                <w:lang w:val="en-US"/>
              </w:rPr>
              <w:t>2</w:t>
            </w:r>
            <w:r>
              <w:rPr>
                <w:lang w:val="en-US"/>
              </w:rPr>
              <w:t xml:space="preserve"> </w:t>
            </w:r>
          </w:p>
        </w:tc>
        <w:tc>
          <w:tcPr>
            <w:tcW w:w="1191" w:type="dxa"/>
            <w:tcBorders>
              <w:bottom w:val="nil"/>
            </w:tcBorders>
          </w:tcPr>
          <w:p w14:paraId="3834B3AE" w14:textId="77777777" w:rsidR="003B6D98" w:rsidRPr="009C10FB" w:rsidRDefault="003B6D98" w:rsidP="00476B25">
            <w:pPr>
              <w:pStyle w:val="NormalWeb"/>
              <w:spacing w:after="40"/>
              <w:jc w:val="center"/>
              <w:rPr>
                <w:lang w:val="en-US"/>
              </w:rPr>
            </w:pPr>
            <w:r>
              <w:rPr>
                <w:lang w:val="en-US"/>
              </w:rPr>
              <w:t>2</w:t>
            </w:r>
            <w:r w:rsidRPr="009C10FB">
              <w:rPr>
                <w:lang w:val="en-US"/>
              </w:rPr>
              <w:t>,</w:t>
            </w:r>
            <w:r>
              <w:rPr>
                <w:lang w:val="en-US"/>
              </w:rPr>
              <w:t>476</w:t>
            </w:r>
            <w:r w:rsidRPr="009C10FB">
              <w:rPr>
                <w:lang w:val="en-US"/>
              </w:rPr>
              <w:t xml:space="preserve"> (</w:t>
            </w:r>
            <w:r>
              <w:rPr>
                <w:lang w:val="en-US"/>
              </w:rPr>
              <w:t>32</w:t>
            </w:r>
            <w:r w:rsidRPr="009C10FB">
              <w:rPr>
                <w:lang w:val="en-US"/>
              </w:rPr>
              <w:t>)</w:t>
            </w:r>
          </w:p>
        </w:tc>
        <w:tc>
          <w:tcPr>
            <w:tcW w:w="1304" w:type="dxa"/>
            <w:tcBorders>
              <w:bottom w:val="nil"/>
            </w:tcBorders>
            <w:tcMar>
              <w:top w:w="0" w:type="dxa"/>
              <w:left w:w="108" w:type="dxa"/>
              <w:bottom w:w="0" w:type="dxa"/>
              <w:right w:w="108" w:type="dxa"/>
            </w:tcMar>
          </w:tcPr>
          <w:p w14:paraId="58DDE344" w14:textId="77777777" w:rsidR="003B6D98" w:rsidRPr="00FC476E" w:rsidRDefault="003B6D98" w:rsidP="00476B25">
            <w:pPr>
              <w:pStyle w:val="NormalWeb"/>
              <w:spacing w:after="40"/>
              <w:jc w:val="center"/>
              <w:rPr>
                <w:lang w:val="en-US"/>
              </w:rPr>
            </w:pPr>
            <w:r>
              <w:rPr>
                <w:lang w:val="en-US"/>
              </w:rPr>
              <w:t xml:space="preserve">49.6 </w:t>
            </w:r>
            <w:r w:rsidRPr="00FC476E">
              <w:rPr>
                <w:lang w:val="en-US"/>
              </w:rPr>
              <w:t>(17.</w:t>
            </w:r>
            <w:r>
              <w:rPr>
                <w:lang w:val="en-US"/>
              </w:rPr>
              <w:t>3</w:t>
            </w:r>
            <w:r w:rsidRPr="00FC476E">
              <w:rPr>
                <w:lang w:val="en-US"/>
              </w:rPr>
              <w:t>)</w:t>
            </w:r>
          </w:p>
        </w:tc>
        <w:tc>
          <w:tcPr>
            <w:tcW w:w="907" w:type="dxa"/>
            <w:gridSpan w:val="3"/>
            <w:vMerge/>
            <w:tcBorders>
              <w:bottom w:val="nil"/>
            </w:tcBorders>
            <w:tcMar>
              <w:top w:w="0" w:type="dxa"/>
              <w:left w:w="108" w:type="dxa"/>
              <w:bottom w:w="0" w:type="dxa"/>
              <w:right w:w="108" w:type="dxa"/>
            </w:tcMar>
          </w:tcPr>
          <w:p w14:paraId="5364855D" w14:textId="77777777" w:rsidR="003B6D98" w:rsidRPr="00F840C4" w:rsidRDefault="003B6D98" w:rsidP="00476B25">
            <w:pPr>
              <w:pStyle w:val="NormalWeb"/>
              <w:spacing w:after="40"/>
              <w:jc w:val="center"/>
              <w:rPr>
                <w:lang w:val="en-US"/>
              </w:rPr>
            </w:pPr>
          </w:p>
        </w:tc>
        <w:tc>
          <w:tcPr>
            <w:tcW w:w="1149" w:type="dxa"/>
            <w:gridSpan w:val="2"/>
            <w:tcBorders>
              <w:bottom w:val="nil"/>
            </w:tcBorders>
          </w:tcPr>
          <w:p w14:paraId="525D1C92" w14:textId="77777777" w:rsidR="003B6D98" w:rsidRPr="00F840C4" w:rsidRDefault="003B6D98" w:rsidP="00476B25">
            <w:pPr>
              <w:pStyle w:val="NormalWeb"/>
              <w:spacing w:after="40"/>
              <w:jc w:val="center"/>
              <w:rPr>
                <w:lang w:val="en-US"/>
              </w:rPr>
            </w:pPr>
            <w:r>
              <w:rPr>
                <w:lang w:val="en-US"/>
              </w:rPr>
              <w:t>2,350 (27)</w:t>
            </w:r>
          </w:p>
        </w:tc>
        <w:tc>
          <w:tcPr>
            <w:tcW w:w="1304" w:type="dxa"/>
            <w:gridSpan w:val="2"/>
            <w:tcBorders>
              <w:bottom w:val="nil"/>
            </w:tcBorders>
          </w:tcPr>
          <w:p w14:paraId="591DFA6F" w14:textId="77777777" w:rsidR="003B6D98" w:rsidRPr="00F840C4" w:rsidRDefault="003B6D98" w:rsidP="00476B25">
            <w:pPr>
              <w:pStyle w:val="NormalWeb"/>
              <w:spacing w:after="40"/>
              <w:jc w:val="center"/>
              <w:rPr>
                <w:lang w:val="en-US"/>
              </w:rPr>
            </w:pPr>
            <w:r>
              <w:rPr>
                <w:lang w:val="en-US"/>
              </w:rPr>
              <w:t>46.5 (16.5)</w:t>
            </w:r>
          </w:p>
        </w:tc>
        <w:tc>
          <w:tcPr>
            <w:tcW w:w="898" w:type="dxa"/>
            <w:gridSpan w:val="2"/>
            <w:vMerge/>
            <w:tcBorders>
              <w:bottom w:val="nil"/>
            </w:tcBorders>
          </w:tcPr>
          <w:p w14:paraId="6E1D55A7" w14:textId="77777777" w:rsidR="003B6D98" w:rsidRPr="00F840C4" w:rsidRDefault="003B6D98" w:rsidP="00476B25">
            <w:pPr>
              <w:pStyle w:val="NormalWeb"/>
              <w:spacing w:after="40"/>
              <w:jc w:val="center"/>
              <w:rPr>
                <w:lang w:val="en-US"/>
              </w:rPr>
            </w:pPr>
          </w:p>
        </w:tc>
      </w:tr>
      <w:tr w:rsidR="003B6D98" w:rsidRPr="00F840C4" w14:paraId="00E8DF3E" w14:textId="77777777" w:rsidTr="00476B25">
        <w:trPr>
          <w:gridAfter w:val="1"/>
          <w:wAfter w:w="61" w:type="dxa"/>
          <w:trHeight w:val="340"/>
        </w:trPr>
        <w:tc>
          <w:tcPr>
            <w:tcW w:w="1160" w:type="dxa"/>
            <w:vMerge/>
            <w:tcBorders>
              <w:bottom w:val="dashSmallGap" w:sz="4" w:space="0" w:color="auto"/>
            </w:tcBorders>
          </w:tcPr>
          <w:p w14:paraId="24634B12" w14:textId="77777777" w:rsidR="003B6D98" w:rsidRPr="00F840C4" w:rsidRDefault="003B6D98" w:rsidP="00476B25">
            <w:pPr>
              <w:pStyle w:val="NormalWeb"/>
              <w:spacing w:after="40"/>
              <w:rPr>
                <w:lang w:val="en-US"/>
              </w:rPr>
            </w:pPr>
          </w:p>
        </w:tc>
        <w:tc>
          <w:tcPr>
            <w:tcW w:w="1384" w:type="dxa"/>
            <w:tcBorders>
              <w:bottom w:val="nil"/>
            </w:tcBorders>
            <w:tcMar>
              <w:top w:w="0" w:type="dxa"/>
              <w:left w:w="108" w:type="dxa"/>
              <w:bottom w:w="0" w:type="dxa"/>
              <w:right w:w="108" w:type="dxa"/>
            </w:tcMar>
            <w:hideMark/>
          </w:tcPr>
          <w:p w14:paraId="1043A684" w14:textId="77777777" w:rsidR="003B6D98" w:rsidRPr="00F840C4" w:rsidRDefault="003B6D98" w:rsidP="00476B25">
            <w:pPr>
              <w:pStyle w:val="NormalWeb"/>
              <w:spacing w:after="40"/>
              <w:rPr>
                <w:lang w:val="en-US"/>
              </w:rPr>
            </w:pPr>
            <w:r w:rsidRPr="00F840C4">
              <w:rPr>
                <w:lang w:val="en-US"/>
              </w:rPr>
              <w:t>College</w:t>
            </w:r>
          </w:p>
        </w:tc>
        <w:tc>
          <w:tcPr>
            <w:tcW w:w="1191" w:type="dxa"/>
            <w:tcBorders>
              <w:bottom w:val="nil"/>
            </w:tcBorders>
          </w:tcPr>
          <w:p w14:paraId="0E57D98B" w14:textId="77777777" w:rsidR="003B6D98" w:rsidRPr="009C10FB" w:rsidRDefault="003B6D98" w:rsidP="00476B25">
            <w:pPr>
              <w:pStyle w:val="NormalWeb"/>
              <w:spacing w:after="40"/>
              <w:jc w:val="center"/>
              <w:rPr>
                <w:lang w:val="en-US"/>
              </w:rPr>
            </w:pPr>
            <w:r>
              <w:rPr>
                <w:lang w:val="en-US"/>
              </w:rPr>
              <w:t>2</w:t>
            </w:r>
            <w:r w:rsidRPr="009C10FB">
              <w:rPr>
                <w:lang w:val="en-US"/>
              </w:rPr>
              <w:t>,</w:t>
            </w:r>
            <w:r>
              <w:rPr>
                <w:lang w:val="en-US"/>
              </w:rPr>
              <w:t>520</w:t>
            </w:r>
            <w:r w:rsidRPr="009C10FB">
              <w:rPr>
                <w:lang w:val="en-US"/>
              </w:rPr>
              <w:t xml:space="preserve"> (3</w:t>
            </w:r>
            <w:r>
              <w:rPr>
                <w:lang w:val="en-US"/>
              </w:rPr>
              <w:t>2</w:t>
            </w:r>
            <w:r w:rsidRPr="009C10FB">
              <w:rPr>
                <w:lang w:val="en-US"/>
              </w:rPr>
              <w:t>)</w:t>
            </w:r>
          </w:p>
        </w:tc>
        <w:tc>
          <w:tcPr>
            <w:tcW w:w="1304" w:type="dxa"/>
            <w:tcBorders>
              <w:bottom w:val="nil"/>
            </w:tcBorders>
            <w:tcMar>
              <w:top w:w="0" w:type="dxa"/>
              <w:left w:w="108" w:type="dxa"/>
              <w:bottom w:w="0" w:type="dxa"/>
              <w:right w:w="108" w:type="dxa"/>
            </w:tcMar>
          </w:tcPr>
          <w:p w14:paraId="5B4156D4" w14:textId="77777777" w:rsidR="003B6D98" w:rsidRPr="00FC476E" w:rsidRDefault="003B6D98" w:rsidP="00476B25">
            <w:pPr>
              <w:pStyle w:val="NormalWeb"/>
              <w:spacing w:after="40"/>
              <w:jc w:val="center"/>
              <w:rPr>
                <w:lang w:val="en-US"/>
              </w:rPr>
            </w:pPr>
            <w:r w:rsidRPr="00FC476E">
              <w:rPr>
                <w:lang w:val="en-US"/>
              </w:rPr>
              <w:t>53.3</w:t>
            </w:r>
            <w:r>
              <w:rPr>
                <w:lang w:val="en-US"/>
              </w:rPr>
              <w:t xml:space="preserve"> </w:t>
            </w:r>
            <w:r w:rsidRPr="00FC476E">
              <w:rPr>
                <w:lang w:val="en-US"/>
              </w:rPr>
              <w:t>(17.4)</w:t>
            </w:r>
          </w:p>
        </w:tc>
        <w:tc>
          <w:tcPr>
            <w:tcW w:w="907" w:type="dxa"/>
            <w:gridSpan w:val="3"/>
            <w:vMerge/>
            <w:tcBorders>
              <w:bottom w:val="nil"/>
            </w:tcBorders>
            <w:tcMar>
              <w:top w:w="0" w:type="dxa"/>
              <w:left w:w="108" w:type="dxa"/>
              <w:bottom w:w="0" w:type="dxa"/>
              <w:right w:w="108" w:type="dxa"/>
            </w:tcMar>
          </w:tcPr>
          <w:p w14:paraId="74ACD8BB" w14:textId="77777777" w:rsidR="003B6D98" w:rsidRPr="00F840C4" w:rsidRDefault="003B6D98" w:rsidP="00476B25">
            <w:pPr>
              <w:pStyle w:val="NormalWeb"/>
              <w:spacing w:after="40"/>
              <w:jc w:val="center"/>
              <w:rPr>
                <w:lang w:val="en-US"/>
              </w:rPr>
            </w:pPr>
          </w:p>
        </w:tc>
        <w:tc>
          <w:tcPr>
            <w:tcW w:w="1149" w:type="dxa"/>
            <w:gridSpan w:val="2"/>
            <w:tcBorders>
              <w:bottom w:val="nil"/>
            </w:tcBorders>
          </w:tcPr>
          <w:p w14:paraId="26037658" w14:textId="77777777" w:rsidR="003B6D98" w:rsidRPr="00F840C4" w:rsidRDefault="003B6D98" w:rsidP="00476B25">
            <w:pPr>
              <w:pStyle w:val="NormalWeb"/>
              <w:spacing w:after="40"/>
              <w:jc w:val="center"/>
              <w:rPr>
                <w:lang w:val="en-US"/>
              </w:rPr>
            </w:pPr>
            <w:r>
              <w:rPr>
                <w:lang w:val="en-US"/>
              </w:rPr>
              <w:t>2,410 (27)</w:t>
            </w:r>
          </w:p>
        </w:tc>
        <w:tc>
          <w:tcPr>
            <w:tcW w:w="1304" w:type="dxa"/>
            <w:gridSpan w:val="2"/>
            <w:tcBorders>
              <w:bottom w:val="nil"/>
            </w:tcBorders>
          </w:tcPr>
          <w:p w14:paraId="6DDFE3E9" w14:textId="77777777" w:rsidR="003B6D98" w:rsidRPr="00F840C4" w:rsidRDefault="003B6D98" w:rsidP="00476B25">
            <w:pPr>
              <w:pStyle w:val="NormalWeb"/>
              <w:spacing w:after="40"/>
              <w:jc w:val="center"/>
              <w:rPr>
                <w:lang w:val="en-US"/>
              </w:rPr>
            </w:pPr>
            <w:r>
              <w:rPr>
                <w:lang w:val="en-US"/>
              </w:rPr>
              <w:t>49.8 (16.1)</w:t>
            </w:r>
          </w:p>
        </w:tc>
        <w:tc>
          <w:tcPr>
            <w:tcW w:w="898" w:type="dxa"/>
            <w:gridSpan w:val="2"/>
            <w:vMerge/>
            <w:tcBorders>
              <w:bottom w:val="nil"/>
            </w:tcBorders>
          </w:tcPr>
          <w:p w14:paraId="41374899" w14:textId="77777777" w:rsidR="003B6D98" w:rsidRPr="00F840C4" w:rsidRDefault="003B6D98" w:rsidP="00476B25">
            <w:pPr>
              <w:pStyle w:val="NormalWeb"/>
              <w:spacing w:after="40"/>
              <w:jc w:val="center"/>
              <w:rPr>
                <w:lang w:val="en-US"/>
              </w:rPr>
            </w:pPr>
          </w:p>
        </w:tc>
      </w:tr>
      <w:tr w:rsidR="003B6D98" w:rsidRPr="00F840C4" w14:paraId="0E41C664" w14:textId="77777777" w:rsidTr="00476B25">
        <w:trPr>
          <w:gridAfter w:val="1"/>
          <w:wAfter w:w="61" w:type="dxa"/>
          <w:trHeight w:val="340"/>
        </w:trPr>
        <w:tc>
          <w:tcPr>
            <w:tcW w:w="1160" w:type="dxa"/>
            <w:vMerge/>
            <w:tcBorders>
              <w:bottom w:val="dashSmallGap" w:sz="4" w:space="0" w:color="auto"/>
            </w:tcBorders>
          </w:tcPr>
          <w:p w14:paraId="00C8EFD8" w14:textId="77777777" w:rsidR="003B6D98" w:rsidRPr="00F840C4" w:rsidRDefault="003B6D98" w:rsidP="00476B25">
            <w:pPr>
              <w:pStyle w:val="NormalWeb"/>
              <w:spacing w:after="40"/>
              <w:rPr>
                <w:lang w:val="en-US"/>
              </w:rPr>
            </w:pPr>
          </w:p>
        </w:tc>
        <w:tc>
          <w:tcPr>
            <w:tcW w:w="1384" w:type="dxa"/>
            <w:tcBorders>
              <w:bottom w:val="dashSmallGap" w:sz="4" w:space="0" w:color="auto"/>
            </w:tcBorders>
            <w:tcMar>
              <w:top w:w="0" w:type="dxa"/>
              <w:left w:w="108" w:type="dxa"/>
              <w:bottom w:w="0" w:type="dxa"/>
              <w:right w:w="108" w:type="dxa"/>
            </w:tcMar>
            <w:hideMark/>
          </w:tcPr>
          <w:p w14:paraId="37A5EC4A" w14:textId="77777777" w:rsidR="003B6D98" w:rsidRPr="00F840C4" w:rsidRDefault="003B6D98" w:rsidP="00476B25">
            <w:pPr>
              <w:pStyle w:val="NormalWeb"/>
              <w:spacing w:after="40"/>
              <w:rPr>
                <w:lang w:val="en-US"/>
              </w:rPr>
            </w:pPr>
            <w:r w:rsidRPr="00F840C4">
              <w:rPr>
                <w:lang w:val="en-US"/>
              </w:rPr>
              <w:t>University</w:t>
            </w:r>
          </w:p>
        </w:tc>
        <w:tc>
          <w:tcPr>
            <w:tcW w:w="1191" w:type="dxa"/>
            <w:tcBorders>
              <w:bottom w:val="dashSmallGap" w:sz="4" w:space="0" w:color="auto"/>
            </w:tcBorders>
          </w:tcPr>
          <w:p w14:paraId="7366A869" w14:textId="77777777" w:rsidR="003B6D98" w:rsidRPr="009C10FB" w:rsidRDefault="003B6D98" w:rsidP="00476B25">
            <w:pPr>
              <w:pStyle w:val="NormalWeb"/>
              <w:spacing w:after="40"/>
              <w:jc w:val="center"/>
              <w:rPr>
                <w:lang w:val="en-US"/>
              </w:rPr>
            </w:pPr>
            <w:r>
              <w:rPr>
                <w:lang w:val="en-US"/>
              </w:rPr>
              <w:t>1</w:t>
            </w:r>
            <w:r w:rsidRPr="009C10FB">
              <w:rPr>
                <w:lang w:val="en-US"/>
              </w:rPr>
              <w:t>,</w:t>
            </w:r>
            <w:r>
              <w:rPr>
                <w:lang w:val="en-US"/>
              </w:rPr>
              <w:t>591 (21</w:t>
            </w:r>
            <w:r w:rsidRPr="009C10FB">
              <w:rPr>
                <w:lang w:val="en-US"/>
              </w:rPr>
              <w:t>)</w:t>
            </w:r>
          </w:p>
        </w:tc>
        <w:tc>
          <w:tcPr>
            <w:tcW w:w="1304" w:type="dxa"/>
            <w:tcBorders>
              <w:bottom w:val="dashSmallGap" w:sz="4" w:space="0" w:color="auto"/>
            </w:tcBorders>
            <w:tcMar>
              <w:top w:w="0" w:type="dxa"/>
              <w:left w:w="108" w:type="dxa"/>
              <w:bottom w:w="0" w:type="dxa"/>
              <w:right w:w="108" w:type="dxa"/>
            </w:tcMar>
          </w:tcPr>
          <w:p w14:paraId="4457A75A" w14:textId="77777777" w:rsidR="003B6D98" w:rsidRPr="00FC476E" w:rsidRDefault="003B6D98" w:rsidP="00476B25">
            <w:pPr>
              <w:pStyle w:val="NormalWeb"/>
              <w:spacing w:after="40"/>
              <w:jc w:val="center"/>
              <w:rPr>
                <w:lang w:val="en-US"/>
              </w:rPr>
            </w:pPr>
            <w:r w:rsidRPr="00FC476E">
              <w:rPr>
                <w:lang w:val="en-US"/>
              </w:rPr>
              <w:t>5</w:t>
            </w:r>
            <w:r>
              <w:rPr>
                <w:lang w:val="en-US"/>
              </w:rPr>
              <w:t>4.1 (16.0</w:t>
            </w:r>
            <w:r w:rsidRPr="00FC476E">
              <w:rPr>
                <w:lang w:val="en-US"/>
              </w:rPr>
              <w:t>)</w:t>
            </w:r>
          </w:p>
        </w:tc>
        <w:tc>
          <w:tcPr>
            <w:tcW w:w="907" w:type="dxa"/>
            <w:gridSpan w:val="3"/>
            <w:vMerge/>
            <w:tcBorders>
              <w:bottom w:val="dashSmallGap" w:sz="4" w:space="0" w:color="auto"/>
            </w:tcBorders>
            <w:tcMar>
              <w:top w:w="0" w:type="dxa"/>
              <w:left w:w="108" w:type="dxa"/>
              <w:bottom w:w="0" w:type="dxa"/>
              <w:right w:w="108" w:type="dxa"/>
            </w:tcMar>
          </w:tcPr>
          <w:p w14:paraId="71BBEE0D" w14:textId="77777777" w:rsidR="003B6D98" w:rsidRPr="00F840C4" w:rsidRDefault="003B6D98" w:rsidP="00476B25">
            <w:pPr>
              <w:pStyle w:val="NormalWeb"/>
              <w:spacing w:after="40"/>
              <w:jc w:val="center"/>
              <w:rPr>
                <w:lang w:val="en-US"/>
              </w:rPr>
            </w:pPr>
          </w:p>
        </w:tc>
        <w:tc>
          <w:tcPr>
            <w:tcW w:w="1149" w:type="dxa"/>
            <w:gridSpan w:val="2"/>
            <w:tcBorders>
              <w:bottom w:val="dashSmallGap" w:sz="4" w:space="0" w:color="auto"/>
            </w:tcBorders>
          </w:tcPr>
          <w:p w14:paraId="51A85811" w14:textId="77777777" w:rsidR="003B6D98" w:rsidRPr="00F840C4" w:rsidRDefault="003B6D98" w:rsidP="00476B25">
            <w:pPr>
              <w:pStyle w:val="NormalWeb"/>
              <w:spacing w:after="40"/>
              <w:jc w:val="center"/>
              <w:rPr>
                <w:lang w:val="en-US"/>
              </w:rPr>
            </w:pPr>
            <w:r>
              <w:rPr>
                <w:lang w:val="en-US"/>
              </w:rPr>
              <w:t>3,150 (36)</w:t>
            </w:r>
          </w:p>
        </w:tc>
        <w:tc>
          <w:tcPr>
            <w:tcW w:w="1304" w:type="dxa"/>
            <w:gridSpan w:val="2"/>
            <w:tcBorders>
              <w:bottom w:val="dashSmallGap" w:sz="4" w:space="0" w:color="auto"/>
            </w:tcBorders>
          </w:tcPr>
          <w:p w14:paraId="42475B05" w14:textId="77777777" w:rsidR="003B6D98" w:rsidRPr="00F840C4" w:rsidRDefault="003B6D98" w:rsidP="00476B25">
            <w:pPr>
              <w:pStyle w:val="NormalWeb"/>
              <w:spacing w:after="40"/>
              <w:jc w:val="center"/>
              <w:rPr>
                <w:lang w:val="en-US"/>
              </w:rPr>
            </w:pPr>
            <w:r>
              <w:rPr>
                <w:lang w:val="en-US"/>
              </w:rPr>
              <w:t>51.5 (15.5)</w:t>
            </w:r>
          </w:p>
        </w:tc>
        <w:tc>
          <w:tcPr>
            <w:tcW w:w="898" w:type="dxa"/>
            <w:gridSpan w:val="2"/>
            <w:vMerge/>
            <w:tcBorders>
              <w:bottom w:val="dashSmallGap" w:sz="4" w:space="0" w:color="auto"/>
            </w:tcBorders>
          </w:tcPr>
          <w:p w14:paraId="467B964C" w14:textId="77777777" w:rsidR="003B6D98" w:rsidRPr="00F840C4" w:rsidRDefault="003B6D98" w:rsidP="00476B25">
            <w:pPr>
              <w:pStyle w:val="NormalWeb"/>
              <w:spacing w:after="40"/>
              <w:jc w:val="center"/>
              <w:rPr>
                <w:lang w:val="en-US"/>
              </w:rPr>
            </w:pPr>
          </w:p>
        </w:tc>
      </w:tr>
      <w:tr w:rsidR="003B6D98" w:rsidRPr="00F840C4" w14:paraId="5E0EC13D" w14:textId="77777777" w:rsidTr="00476B25">
        <w:trPr>
          <w:gridAfter w:val="1"/>
          <w:wAfter w:w="61" w:type="dxa"/>
          <w:trHeight w:val="340"/>
        </w:trPr>
        <w:tc>
          <w:tcPr>
            <w:tcW w:w="1160" w:type="dxa"/>
            <w:vMerge w:val="restart"/>
            <w:tcBorders>
              <w:top w:val="dashSmallGap" w:sz="4" w:space="0" w:color="auto"/>
              <w:bottom w:val="dashSmallGap" w:sz="4" w:space="0" w:color="auto"/>
            </w:tcBorders>
          </w:tcPr>
          <w:p w14:paraId="0C64A992" w14:textId="77777777" w:rsidR="003B6D98" w:rsidRPr="00B7400F" w:rsidRDefault="003B6D98" w:rsidP="00476B25">
            <w:pPr>
              <w:pStyle w:val="NormalWeb"/>
              <w:spacing w:after="40"/>
              <w:rPr>
                <w:lang w:val="en-US"/>
              </w:rPr>
            </w:pPr>
            <w:r w:rsidRPr="00754B97">
              <w:rPr>
                <w:b/>
                <w:lang w:val="en-US"/>
              </w:rPr>
              <w:t>Cardio-metabolic diseases</w:t>
            </w:r>
          </w:p>
        </w:tc>
        <w:tc>
          <w:tcPr>
            <w:tcW w:w="1384" w:type="dxa"/>
            <w:tcBorders>
              <w:top w:val="dashSmallGap" w:sz="4" w:space="0" w:color="auto"/>
              <w:bottom w:val="nil"/>
            </w:tcBorders>
            <w:tcMar>
              <w:top w:w="0" w:type="dxa"/>
              <w:left w:w="108" w:type="dxa"/>
              <w:bottom w:w="0" w:type="dxa"/>
              <w:right w:w="108" w:type="dxa"/>
            </w:tcMar>
          </w:tcPr>
          <w:p w14:paraId="0CCA0535" w14:textId="77777777" w:rsidR="003B6D98" w:rsidRPr="00B7400F" w:rsidRDefault="003B6D98" w:rsidP="00476B25">
            <w:pPr>
              <w:pStyle w:val="NormalWeb"/>
              <w:spacing w:after="40"/>
              <w:rPr>
                <w:lang w:val="en-US"/>
              </w:rPr>
            </w:pPr>
            <w:r>
              <w:rPr>
                <w:lang w:val="en-US"/>
              </w:rPr>
              <w:t>No</w:t>
            </w:r>
          </w:p>
        </w:tc>
        <w:tc>
          <w:tcPr>
            <w:tcW w:w="1191" w:type="dxa"/>
            <w:tcBorders>
              <w:top w:val="dashSmallGap" w:sz="4" w:space="0" w:color="auto"/>
              <w:bottom w:val="nil"/>
            </w:tcBorders>
          </w:tcPr>
          <w:p w14:paraId="3D367A73" w14:textId="77777777" w:rsidR="003B6D98" w:rsidRPr="007D50B4" w:rsidRDefault="003B6D98" w:rsidP="00476B25">
            <w:pPr>
              <w:pStyle w:val="NormalWeb"/>
              <w:spacing w:after="40"/>
              <w:jc w:val="center"/>
              <w:rPr>
                <w:lang w:val="en-US"/>
              </w:rPr>
            </w:pPr>
            <w:r w:rsidRPr="007D50B4">
              <w:rPr>
                <w:lang w:val="en-US"/>
              </w:rPr>
              <w:t>6,</w:t>
            </w:r>
            <w:r>
              <w:rPr>
                <w:lang w:val="en-US"/>
              </w:rPr>
              <w:t>140</w:t>
            </w:r>
            <w:r w:rsidRPr="007D50B4">
              <w:rPr>
                <w:lang w:val="en-US"/>
              </w:rPr>
              <w:t xml:space="preserve"> (80)</w:t>
            </w:r>
          </w:p>
        </w:tc>
        <w:tc>
          <w:tcPr>
            <w:tcW w:w="1304" w:type="dxa"/>
            <w:tcBorders>
              <w:top w:val="dashSmallGap" w:sz="4" w:space="0" w:color="auto"/>
              <w:bottom w:val="nil"/>
            </w:tcBorders>
            <w:tcMar>
              <w:top w:w="0" w:type="dxa"/>
              <w:left w:w="108" w:type="dxa"/>
              <w:bottom w:w="0" w:type="dxa"/>
              <w:right w:w="108" w:type="dxa"/>
            </w:tcMar>
          </w:tcPr>
          <w:p w14:paraId="6E047075" w14:textId="77777777" w:rsidR="003B6D98" w:rsidRPr="007D50B4" w:rsidRDefault="003B6D98" w:rsidP="00476B25">
            <w:pPr>
              <w:pStyle w:val="NormalWeb"/>
              <w:spacing w:after="40"/>
              <w:jc w:val="center"/>
              <w:rPr>
                <w:lang w:val="en-US"/>
              </w:rPr>
            </w:pPr>
            <w:r>
              <w:rPr>
                <w:lang w:val="en-US"/>
              </w:rPr>
              <w:t>51.5 (17.2)</w:t>
            </w:r>
          </w:p>
        </w:tc>
        <w:tc>
          <w:tcPr>
            <w:tcW w:w="907" w:type="dxa"/>
            <w:gridSpan w:val="3"/>
            <w:vMerge w:val="restart"/>
            <w:tcBorders>
              <w:top w:val="dashSmallGap" w:sz="4" w:space="0" w:color="auto"/>
              <w:bottom w:val="nil"/>
            </w:tcBorders>
            <w:tcMar>
              <w:top w:w="0" w:type="dxa"/>
              <w:left w:w="108" w:type="dxa"/>
              <w:bottom w:w="0" w:type="dxa"/>
              <w:right w:w="108" w:type="dxa"/>
            </w:tcMar>
          </w:tcPr>
          <w:p w14:paraId="3B5B1ACF" w14:textId="77777777" w:rsidR="003B6D98" w:rsidRPr="0012551C" w:rsidRDefault="003B6D98" w:rsidP="00476B25">
            <w:pPr>
              <w:pStyle w:val="NormalWeb"/>
              <w:spacing w:after="40"/>
              <w:jc w:val="center"/>
              <w:rPr>
                <w:lang w:val="en-US"/>
              </w:rPr>
            </w:pPr>
            <w:r>
              <w:rPr>
                <w:lang w:val="en-US"/>
              </w:rPr>
              <w:t>0.31</w:t>
            </w:r>
          </w:p>
        </w:tc>
        <w:tc>
          <w:tcPr>
            <w:tcW w:w="1149" w:type="dxa"/>
            <w:gridSpan w:val="2"/>
            <w:tcBorders>
              <w:top w:val="dashSmallGap" w:sz="4" w:space="0" w:color="auto"/>
              <w:bottom w:val="nil"/>
            </w:tcBorders>
          </w:tcPr>
          <w:p w14:paraId="31205D07" w14:textId="77777777" w:rsidR="003B6D98" w:rsidRPr="006401E9" w:rsidRDefault="003B6D98" w:rsidP="00476B25">
            <w:pPr>
              <w:pStyle w:val="NormalWeb"/>
              <w:spacing w:after="40"/>
              <w:jc w:val="center"/>
              <w:rPr>
                <w:strike/>
                <w:lang w:val="en-US"/>
              </w:rPr>
            </w:pPr>
            <w:r w:rsidRPr="007D50B4">
              <w:rPr>
                <w:lang w:val="en-US"/>
              </w:rPr>
              <w:t>7,</w:t>
            </w:r>
            <w:r>
              <w:rPr>
                <w:lang w:val="en-US"/>
              </w:rPr>
              <w:t>967</w:t>
            </w:r>
            <w:r w:rsidRPr="007D50B4">
              <w:rPr>
                <w:lang w:val="en-US"/>
              </w:rPr>
              <w:t xml:space="preserve"> (9</w:t>
            </w:r>
            <w:r>
              <w:rPr>
                <w:lang w:val="en-US"/>
              </w:rPr>
              <w:t>1)</w:t>
            </w:r>
          </w:p>
        </w:tc>
        <w:tc>
          <w:tcPr>
            <w:tcW w:w="1304" w:type="dxa"/>
            <w:gridSpan w:val="2"/>
            <w:tcBorders>
              <w:top w:val="dashSmallGap" w:sz="4" w:space="0" w:color="auto"/>
              <w:bottom w:val="nil"/>
            </w:tcBorders>
          </w:tcPr>
          <w:p w14:paraId="419DA99D" w14:textId="77777777" w:rsidR="003B6D98" w:rsidRPr="0078472A" w:rsidRDefault="003B6D98" w:rsidP="00476B25">
            <w:pPr>
              <w:pStyle w:val="NormalWeb"/>
              <w:spacing w:after="40"/>
              <w:jc w:val="center"/>
              <w:rPr>
                <w:lang w:val="en-US"/>
              </w:rPr>
            </w:pPr>
            <w:r w:rsidRPr="0078472A">
              <w:rPr>
                <w:lang w:val="en-US"/>
              </w:rPr>
              <w:t>49.2</w:t>
            </w:r>
            <w:r>
              <w:rPr>
                <w:lang w:val="en-US"/>
              </w:rPr>
              <w:t xml:space="preserve"> </w:t>
            </w:r>
            <w:r w:rsidRPr="0078472A">
              <w:rPr>
                <w:lang w:val="en-US"/>
              </w:rPr>
              <w:t>(16.1)</w:t>
            </w:r>
          </w:p>
        </w:tc>
        <w:tc>
          <w:tcPr>
            <w:tcW w:w="898" w:type="dxa"/>
            <w:gridSpan w:val="2"/>
            <w:vMerge w:val="restart"/>
            <w:tcBorders>
              <w:top w:val="dashSmallGap" w:sz="4" w:space="0" w:color="auto"/>
              <w:bottom w:val="nil"/>
            </w:tcBorders>
          </w:tcPr>
          <w:p w14:paraId="5880BE3B" w14:textId="77777777" w:rsidR="003B6D98" w:rsidRPr="0012551C" w:rsidRDefault="003B6D98" w:rsidP="00476B25">
            <w:pPr>
              <w:pStyle w:val="NormalWeb"/>
              <w:spacing w:after="40"/>
              <w:jc w:val="center"/>
              <w:rPr>
                <w:lang w:val="en-US"/>
              </w:rPr>
            </w:pPr>
            <w:r w:rsidRPr="0012551C">
              <w:rPr>
                <w:lang w:val="en-US"/>
              </w:rPr>
              <w:t>0.30</w:t>
            </w:r>
          </w:p>
        </w:tc>
      </w:tr>
      <w:tr w:rsidR="003B6D98" w:rsidRPr="00F840C4" w14:paraId="2262604D" w14:textId="77777777" w:rsidTr="00476B25">
        <w:trPr>
          <w:gridAfter w:val="1"/>
          <w:wAfter w:w="61" w:type="dxa"/>
          <w:trHeight w:val="340"/>
        </w:trPr>
        <w:tc>
          <w:tcPr>
            <w:tcW w:w="1160" w:type="dxa"/>
            <w:vMerge/>
            <w:tcBorders>
              <w:bottom w:val="dashSmallGap" w:sz="4" w:space="0" w:color="auto"/>
            </w:tcBorders>
          </w:tcPr>
          <w:p w14:paraId="771818E6" w14:textId="77777777" w:rsidR="003B6D98" w:rsidRDefault="003B6D98" w:rsidP="00476B25">
            <w:pPr>
              <w:pStyle w:val="NormalWeb"/>
              <w:spacing w:after="40"/>
              <w:rPr>
                <w:lang w:val="en-US"/>
              </w:rPr>
            </w:pPr>
          </w:p>
        </w:tc>
        <w:tc>
          <w:tcPr>
            <w:tcW w:w="1384" w:type="dxa"/>
            <w:tcBorders>
              <w:bottom w:val="dashSmallGap" w:sz="4" w:space="0" w:color="auto"/>
            </w:tcBorders>
            <w:tcMar>
              <w:top w:w="0" w:type="dxa"/>
              <w:left w:w="108" w:type="dxa"/>
              <w:bottom w:w="0" w:type="dxa"/>
              <w:right w:w="108" w:type="dxa"/>
            </w:tcMar>
          </w:tcPr>
          <w:p w14:paraId="7280244A" w14:textId="77777777" w:rsidR="003B6D98" w:rsidRPr="00B7400F" w:rsidRDefault="003B6D98" w:rsidP="00476B25">
            <w:pPr>
              <w:pStyle w:val="NormalWeb"/>
              <w:spacing w:after="40"/>
              <w:rPr>
                <w:lang w:val="en-US"/>
              </w:rPr>
            </w:pPr>
            <w:r>
              <w:rPr>
                <w:lang w:val="en-US"/>
              </w:rPr>
              <w:t>Yes</w:t>
            </w:r>
          </w:p>
        </w:tc>
        <w:tc>
          <w:tcPr>
            <w:tcW w:w="1191" w:type="dxa"/>
            <w:tcBorders>
              <w:bottom w:val="dashSmallGap" w:sz="4" w:space="0" w:color="auto"/>
            </w:tcBorders>
          </w:tcPr>
          <w:p w14:paraId="38FD2B16" w14:textId="77777777" w:rsidR="003B6D98" w:rsidRPr="007D50B4" w:rsidRDefault="003B6D98" w:rsidP="00476B25">
            <w:pPr>
              <w:pStyle w:val="NormalWeb"/>
              <w:spacing w:after="40"/>
              <w:jc w:val="center"/>
              <w:rPr>
                <w:lang w:val="en-US"/>
              </w:rPr>
            </w:pPr>
            <w:r>
              <w:rPr>
                <w:lang w:val="en-US"/>
              </w:rPr>
              <w:t>1,516</w:t>
            </w:r>
            <w:r w:rsidRPr="007D50B4">
              <w:rPr>
                <w:lang w:val="en-US"/>
              </w:rPr>
              <w:t xml:space="preserve"> (</w:t>
            </w:r>
            <w:r>
              <w:rPr>
                <w:lang w:val="en-US"/>
              </w:rPr>
              <w:t>20</w:t>
            </w:r>
            <w:r w:rsidRPr="007D50B4">
              <w:rPr>
                <w:lang w:val="en-US"/>
              </w:rPr>
              <w:t>)</w:t>
            </w:r>
          </w:p>
        </w:tc>
        <w:tc>
          <w:tcPr>
            <w:tcW w:w="1304" w:type="dxa"/>
            <w:tcBorders>
              <w:bottom w:val="dashSmallGap" w:sz="4" w:space="0" w:color="auto"/>
            </w:tcBorders>
            <w:tcMar>
              <w:top w:w="0" w:type="dxa"/>
              <w:left w:w="108" w:type="dxa"/>
              <w:bottom w:w="0" w:type="dxa"/>
              <w:right w:w="108" w:type="dxa"/>
            </w:tcMar>
          </w:tcPr>
          <w:p w14:paraId="636ABCBD" w14:textId="77777777" w:rsidR="003B6D98" w:rsidRPr="007D50B4" w:rsidRDefault="003B6D98" w:rsidP="00476B25">
            <w:pPr>
              <w:pStyle w:val="NormalWeb"/>
              <w:spacing w:after="40"/>
              <w:jc w:val="center"/>
              <w:rPr>
                <w:lang w:val="en-US"/>
              </w:rPr>
            </w:pPr>
            <w:r>
              <w:rPr>
                <w:lang w:val="en-US"/>
              </w:rPr>
              <w:t>52.1 (17.3)</w:t>
            </w:r>
          </w:p>
        </w:tc>
        <w:tc>
          <w:tcPr>
            <w:tcW w:w="907" w:type="dxa"/>
            <w:gridSpan w:val="3"/>
            <w:vMerge/>
            <w:tcBorders>
              <w:bottom w:val="dashSmallGap" w:sz="4" w:space="0" w:color="auto"/>
            </w:tcBorders>
            <w:tcMar>
              <w:top w:w="0" w:type="dxa"/>
              <w:left w:w="108" w:type="dxa"/>
              <w:bottom w:w="0" w:type="dxa"/>
              <w:right w:w="108" w:type="dxa"/>
            </w:tcMar>
          </w:tcPr>
          <w:p w14:paraId="10D77F05" w14:textId="77777777" w:rsidR="003B6D98" w:rsidRPr="007D50B4" w:rsidRDefault="003B6D98" w:rsidP="00476B25">
            <w:pPr>
              <w:pStyle w:val="NormalWeb"/>
              <w:spacing w:after="40"/>
              <w:jc w:val="center"/>
              <w:rPr>
                <w:lang w:val="en-US"/>
              </w:rPr>
            </w:pPr>
          </w:p>
        </w:tc>
        <w:tc>
          <w:tcPr>
            <w:tcW w:w="1149" w:type="dxa"/>
            <w:gridSpan w:val="2"/>
            <w:tcBorders>
              <w:bottom w:val="dashSmallGap" w:sz="4" w:space="0" w:color="auto"/>
            </w:tcBorders>
          </w:tcPr>
          <w:p w14:paraId="3630ACEC" w14:textId="77777777" w:rsidR="003B6D98" w:rsidRPr="007D50B4" w:rsidRDefault="003B6D98" w:rsidP="00476B25">
            <w:pPr>
              <w:pStyle w:val="NormalWeb"/>
              <w:spacing w:after="40"/>
              <w:jc w:val="center"/>
              <w:rPr>
                <w:lang w:val="en-US"/>
              </w:rPr>
            </w:pPr>
            <w:r>
              <w:rPr>
                <w:lang w:val="en-US"/>
              </w:rPr>
              <w:t xml:space="preserve">820 </w:t>
            </w:r>
            <w:r w:rsidRPr="007D50B4">
              <w:rPr>
                <w:lang w:val="en-US"/>
              </w:rPr>
              <w:t>(9)</w:t>
            </w:r>
          </w:p>
        </w:tc>
        <w:tc>
          <w:tcPr>
            <w:tcW w:w="1304" w:type="dxa"/>
            <w:gridSpan w:val="2"/>
            <w:tcBorders>
              <w:bottom w:val="dashSmallGap" w:sz="4" w:space="0" w:color="auto"/>
            </w:tcBorders>
          </w:tcPr>
          <w:p w14:paraId="0466A5DE" w14:textId="77777777" w:rsidR="003B6D98" w:rsidRPr="0078472A" w:rsidRDefault="003B6D98" w:rsidP="00476B25">
            <w:pPr>
              <w:pStyle w:val="NormalWeb"/>
              <w:spacing w:after="40"/>
              <w:jc w:val="center"/>
              <w:rPr>
                <w:lang w:val="en-US"/>
              </w:rPr>
            </w:pPr>
            <w:r w:rsidRPr="0078472A">
              <w:rPr>
                <w:lang w:val="en-US"/>
              </w:rPr>
              <w:t>49.8</w:t>
            </w:r>
            <w:r>
              <w:rPr>
                <w:lang w:val="en-US"/>
              </w:rPr>
              <w:t xml:space="preserve"> </w:t>
            </w:r>
            <w:r w:rsidRPr="0078472A">
              <w:rPr>
                <w:lang w:val="en-US"/>
              </w:rPr>
              <w:t>(17.</w:t>
            </w:r>
            <w:r>
              <w:rPr>
                <w:lang w:val="en-US"/>
              </w:rPr>
              <w:t>1</w:t>
            </w:r>
            <w:r w:rsidRPr="0078472A">
              <w:rPr>
                <w:lang w:val="en-US"/>
              </w:rPr>
              <w:t>)</w:t>
            </w:r>
          </w:p>
        </w:tc>
        <w:tc>
          <w:tcPr>
            <w:tcW w:w="898" w:type="dxa"/>
            <w:gridSpan w:val="2"/>
            <w:vMerge/>
            <w:tcBorders>
              <w:bottom w:val="dashSmallGap" w:sz="4" w:space="0" w:color="auto"/>
            </w:tcBorders>
          </w:tcPr>
          <w:p w14:paraId="70F5D7BD" w14:textId="77777777" w:rsidR="003B6D98" w:rsidRPr="006401E9" w:rsidRDefault="003B6D98" w:rsidP="00476B25">
            <w:pPr>
              <w:pStyle w:val="NormalWeb"/>
              <w:spacing w:after="40"/>
              <w:jc w:val="center"/>
              <w:rPr>
                <w:strike/>
                <w:lang w:val="en-US"/>
              </w:rPr>
            </w:pPr>
          </w:p>
        </w:tc>
      </w:tr>
      <w:tr w:rsidR="003B6D98" w:rsidRPr="00F840C4" w14:paraId="12FA6B23" w14:textId="77777777" w:rsidTr="00476B25">
        <w:trPr>
          <w:gridAfter w:val="1"/>
          <w:wAfter w:w="61" w:type="dxa"/>
          <w:trHeight w:val="340"/>
        </w:trPr>
        <w:tc>
          <w:tcPr>
            <w:tcW w:w="1160" w:type="dxa"/>
            <w:vMerge w:val="restart"/>
            <w:tcBorders>
              <w:top w:val="dashSmallGap" w:sz="4" w:space="0" w:color="auto"/>
              <w:bottom w:val="dashSmallGap" w:sz="4" w:space="0" w:color="auto"/>
            </w:tcBorders>
          </w:tcPr>
          <w:p w14:paraId="33154084" w14:textId="77777777" w:rsidR="003B6D98" w:rsidRPr="00B7400F" w:rsidRDefault="003B6D98" w:rsidP="00476B25">
            <w:pPr>
              <w:pStyle w:val="NormalWeb"/>
              <w:spacing w:after="40"/>
              <w:rPr>
                <w:lang w:val="en-US"/>
              </w:rPr>
            </w:pPr>
            <w:r>
              <w:rPr>
                <w:b/>
                <w:lang w:val="en-US"/>
              </w:rPr>
              <w:t>Financial difficulties</w:t>
            </w:r>
            <w:r w:rsidRPr="008952BF">
              <w:rPr>
                <w:vertAlign w:val="superscript"/>
                <w:lang w:val="en-US"/>
              </w:rPr>
              <w:t>3</w:t>
            </w:r>
          </w:p>
        </w:tc>
        <w:tc>
          <w:tcPr>
            <w:tcW w:w="1384" w:type="dxa"/>
            <w:tcBorders>
              <w:top w:val="dashSmallGap" w:sz="4" w:space="0" w:color="auto"/>
              <w:bottom w:val="nil"/>
            </w:tcBorders>
            <w:tcMar>
              <w:top w:w="0" w:type="dxa"/>
              <w:left w:w="108" w:type="dxa"/>
              <w:bottom w:w="0" w:type="dxa"/>
              <w:right w:w="108" w:type="dxa"/>
            </w:tcMar>
          </w:tcPr>
          <w:p w14:paraId="5158D9ED" w14:textId="77777777" w:rsidR="003B6D98" w:rsidRPr="00B7400F" w:rsidRDefault="003B6D98" w:rsidP="00476B25">
            <w:pPr>
              <w:pStyle w:val="NormalWeb"/>
              <w:spacing w:after="40"/>
              <w:rPr>
                <w:lang w:val="en-US"/>
              </w:rPr>
            </w:pPr>
            <w:r>
              <w:rPr>
                <w:lang w:val="en-US"/>
              </w:rPr>
              <w:t>No</w:t>
            </w:r>
          </w:p>
        </w:tc>
        <w:tc>
          <w:tcPr>
            <w:tcW w:w="1191" w:type="dxa"/>
            <w:tcBorders>
              <w:top w:val="dashSmallGap" w:sz="4" w:space="0" w:color="auto"/>
              <w:bottom w:val="nil"/>
            </w:tcBorders>
          </w:tcPr>
          <w:p w14:paraId="58AD27FF" w14:textId="77777777" w:rsidR="003B6D98" w:rsidRPr="007D50B4" w:rsidRDefault="003B6D98" w:rsidP="00476B25">
            <w:pPr>
              <w:pStyle w:val="NormalWeb"/>
              <w:spacing w:after="40"/>
              <w:jc w:val="center"/>
              <w:rPr>
                <w:lang w:val="en-US"/>
              </w:rPr>
            </w:pPr>
            <w:r>
              <w:rPr>
                <w:lang w:val="en-US"/>
              </w:rPr>
              <w:t>6,681</w:t>
            </w:r>
            <w:r w:rsidRPr="007D50B4">
              <w:rPr>
                <w:lang w:val="en-US"/>
              </w:rPr>
              <w:t xml:space="preserve"> (87)</w:t>
            </w:r>
          </w:p>
        </w:tc>
        <w:tc>
          <w:tcPr>
            <w:tcW w:w="1304" w:type="dxa"/>
            <w:tcBorders>
              <w:top w:val="dashSmallGap" w:sz="4" w:space="0" w:color="auto"/>
              <w:bottom w:val="nil"/>
            </w:tcBorders>
            <w:tcMar>
              <w:top w:w="0" w:type="dxa"/>
              <w:left w:w="108" w:type="dxa"/>
              <w:bottom w:w="0" w:type="dxa"/>
              <w:right w:w="108" w:type="dxa"/>
            </w:tcMar>
          </w:tcPr>
          <w:p w14:paraId="05E445BF" w14:textId="77777777" w:rsidR="003B6D98" w:rsidRPr="007D50B4" w:rsidRDefault="003B6D98" w:rsidP="00476B25">
            <w:pPr>
              <w:pStyle w:val="NormalWeb"/>
              <w:spacing w:after="40"/>
              <w:jc w:val="center"/>
              <w:rPr>
                <w:lang w:val="en-US"/>
              </w:rPr>
            </w:pPr>
            <w:r>
              <w:rPr>
                <w:lang w:val="en-US"/>
              </w:rPr>
              <w:t>52.0 (17.4)</w:t>
            </w:r>
          </w:p>
        </w:tc>
        <w:tc>
          <w:tcPr>
            <w:tcW w:w="907" w:type="dxa"/>
            <w:gridSpan w:val="3"/>
            <w:vMerge w:val="restart"/>
            <w:tcBorders>
              <w:top w:val="dashSmallGap" w:sz="4" w:space="0" w:color="auto"/>
              <w:bottom w:val="nil"/>
            </w:tcBorders>
            <w:tcMar>
              <w:top w:w="0" w:type="dxa"/>
              <w:left w:w="108" w:type="dxa"/>
              <w:bottom w:w="0" w:type="dxa"/>
              <w:right w:w="108" w:type="dxa"/>
            </w:tcMar>
          </w:tcPr>
          <w:p w14:paraId="21545747" w14:textId="77777777" w:rsidR="003B6D98" w:rsidRPr="007D50B4" w:rsidRDefault="003B6D98" w:rsidP="00476B25">
            <w:pPr>
              <w:pStyle w:val="NormalWeb"/>
              <w:spacing w:after="40"/>
              <w:jc w:val="center"/>
              <w:rPr>
                <w:lang w:val="en-US"/>
              </w:rPr>
            </w:pPr>
            <w:r w:rsidRPr="00F840C4">
              <w:rPr>
                <w:lang w:val="en-US"/>
              </w:rPr>
              <w:t>&lt;0.001</w:t>
            </w:r>
          </w:p>
        </w:tc>
        <w:tc>
          <w:tcPr>
            <w:tcW w:w="1149" w:type="dxa"/>
            <w:gridSpan w:val="2"/>
            <w:tcBorders>
              <w:top w:val="dashSmallGap" w:sz="4" w:space="0" w:color="auto"/>
              <w:bottom w:val="nil"/>
            </w:tcBorders>
          </w:tcPr>
          <w:p w14:paraId="3BA4FCAF" w14:textId="77777777" w:rsidR="003B6D98" w:rsidRPr="007D50B4" w:rsidRDefault="003B6D98" w:rsidP="00476B25">
            <w:pPr>
              <w:pStyle w:val="NormalWeb"/>
              <w:spacing w:after="40"/>
              <w:jc w:val="center"/>
              <w:rPr>
                <w:lang w:val="en-US"/>
              </w:rPr>
            </w:pPr>
            <w:r w:rsidRPr="007D50B4">
              <w:rPr>
                <w:lang w:val="en-US"/>
              </w:rPr>
              <w:t>6,</w:t>
            </w:r>
            <w:r>
              <w:rPr>
                <w:lang w:val="en-US"/>
              </w:rPr>
              <w:t>986</w:t>
            </w:r>
            <w:r w:rsidRPr="007D50B4">
              <w:rPr>
                <w:lang w:val="en-US"/>
              </w:rPr>
              <w:t xml:space="preserve"> (7</w:t>
            </w:r>
            <w:r>
              <w:rPr>
                <w:lang w:val="en-US"/>
              </w:rPr>
              <w:t>9</w:t>
            </w:r>
            <w:r w:rsidRPr="007D50B4">
              <w:rPr>
                <w:lang w:val="en-US"/>
              </w:rPr>
              <w:t>)</w:t>
            </w:r>
          </w:p>
        </w:tc>
        <w:tc>
          <w:tcPr>
            <w:tcW w:w="1304" w:type="dxa"/>
            <w:gridSpan w:val="2"/>
            <w:tcBorders>
              <w:top w:val="dashSmallGap" w:sz="4" w:space="0" w:color="auto"/>
              <w:bottom w:val="nil"/>
            </w:tcBorders>
          </w:tcPr>
          <w:p w14:paraId="437EA0C3" w14:textId="77777777" w:rsidR="003B6D98" w:rsidRPr="00725830" w:rsidRDefault="003B6D98" w:rsidP="00476B25">
            <w:pPr>
              <w:pStyle w:val="NormalWeb"/>
              <w:spacing w:after="40"/>
              <w:jc w:val="center"/>
              <w:rPr>
                <w:lang w:val="en-US"/>
              </w:rPr>
            </w:pPr>
            <w:r w:rsidRPr="00725830">
              <w:rPr>
                <w:lang w:val="en-US"/>
              </w:rPr>
              <w:t>49.7</w:t>
            </w:r>
            <w:r>
              <w:rPr>
                <w:lang w:val="en-US"/>
              </w:rPr>
              <w:t xml:space="preserve"> </w:t>
            </w:r>
            <w:r w:rsidRPr="00725830">
              <w:rPr>
                <w:lang w:val="en-US"/>
              </w:rPr>
              <w:t>(16.2)</w:t>
            </w:r>
          </w:p>
        </w:tc>
        <w:tc>
          <w:tcPr>
            <w:tcW w:w="898" w:type="dxa"/>
            <w:gridSpan w:val="2"/>
            <w:vMerge w:val="restart"/>
            <w:tcBorders>
              <w:top w:val="dashSmallGap" w:sz="4" w:space="0" w:color="auto"/>
              <w:bottom w:val="nil"/>
            </w:tcBorders>
          </w:tcPr>
          <w:p w14:paraId="6BEA34D9" w14:textId="77777777" w:rsidR="003B6D98" w:rsidRPr="006401E9" w:rsidRDefault="003B6D98" w:rsidP="00476B25">
            <w:pPr>
              <w:pStyle w:val="NormalWeb"/>
              <w:spacing w:after="40"/>
              <w:jc w:val="center"/>
              <w:rPr>
                <w:strike/>
                <w:lang w:val="en-US"/>
              </w:rPr>
            </w:pPr>
            <w:r w:rsidRPr="00F840C4">
              <w:rPr>
                <w:lang w:val="en-US"/>
              </w:rPr>
              <w:t>&lt;0.001</w:t>
            </w:r>
          </w:p>
        </w:tc>
      </w:tr>
      <w:tr w:rsidR="003B6D98" w:rsidRPr="00F840C4" w14:paraId="4CDAECD5" w14:textId="77777777" w:rsidTr="00476B25">
        <w:trPr>
          <w:gridAfter w:val="1"/>
          <w:wAfter w:w="61" w:type="dxa"/>
          <w:trHeight w:val="340"/>
        </w:trPr>
        <w:tc>
          <w:tcPr>
            <w:tcW w:w="1160" w:type="dxa"/>
            <w:vMerge/>
            <w:tcBorders>
              <w:bottom w:val="dashSmallGap" w:sz="4" w:space="0" w:color="auto"/>
            </w:tcBorders>
          </w:tcPr>
          <w:p w14:paraId="2BECCC66" w14:textId="77777777" w:rsidR="003B6D98" w:rsidRPr="00B7400F" w:rsidRDefault="003B6D98" w:rsidP="00476B25">
            <w:pPr>
              <w:pStyle w:val="NormalWeb"/>
              <w:spacing w:after="40"/>
              <w:rPr>
                <w:lang w:val="en-US"/>
              </w:rPr>
            </w:pPr>
          </w:p>
        </w:tc>
        <w:tc>
          <w:tcPr>
            <w:tcW w:w="1384" w:type="dxa"/>
            <w:tcBorders>
              <w:bottom w:val="dashSmallGap" w:sz="4" w:space="0" w:color="auto"/>
            </w:tcBorders>
            <w:tcMar>
              <w:top w:w="0" w:type="dxa"/>
              <w:left w:w="108" w:type="dxa"/>
              <w:bottom w:w="0" w:type="dxa"/>
              <w:right w:w="108" w:type="dxa"/>
            </w:tcMar>
          </w:tcPr>
          <w:p w14:paraId="366A1EC0" w14:textId="77777777" w:rsidR="003B6D98" w:rsidRPr="00B7400F" w:rsidRDefault="003B6D98" w:rsidP="00476B25">
            <w:pPr>
              <w:pStyle w:val="NormalWeb"/>
              <w:spacing w:after="40"/>
              <w:rPr>
                <w:lang w:val="en-US"/>
              </w:rPr>
            </w:pPr>
            <w:r>
              <w:rPr>
                <w:lang w:val="en-US"/>
              </w:rPr>
              <w:t>Yes</w:t>
            </w:r>
          </w:p>
        </w:tc>
        <w:tc>
          <w:tcPr>
            <w:tcW w:w="1191" w:type="dxa"/>
            <w:tcBorders>
              <w:bottom w:val="dashSmallGap" w:sz="4" w:space="0" w:color="auto"/>
            </w:tcBorders>
          </w:tcPr>
          <w:p w14:paraId="202A8059" w14:textId="77777777" w:rsidR="003B6D98" w:rsidRPr="007D50B4" w:rsidRDefault="003B6D98" w:rsidP="00476B25">
            <w:pPr>
              <w:pStyle w:val="NormalWeb"/>
              <w:spacing w:after="40"/>
              <w:jc w:val="center"/>
              <w:rPr>
                <w:lang w:val="en-US"/>
              </w:rPr>
            </w:pPr>
            <w:r>
              <w:rPr>
                <w:lang w:val="en-US"/>
              </w:rPr>
              <w:t>975 (13)</w:t>
            </w:r>
          </w:p>
        </w:tc>
        <w:tc>
          <w:tcPr>
            <w:tcW w:w="1304" w:type="dxa"/>
            <w:tcBorders>
              <w:bottom w:val="dashSmallGap" w:sz="4" w:space="0" w:color="auto"/>
            </w:tcBorders>
            <w:tcMar>
              <w:top w:w="0" w:type="dxa"/>
              <w:left w:w="108" w:type="dxa"/>
              <w:bottom w:w="0" w:type="dxa"/>
              <w:right w:w="108" w:type="dxa"/>
            </w:tcMar>
          </w:tcPr>
          <w:p w14:paraId="198A8C95" w14:textId="77777777" w:rsidR="003B6D98" w:rsidRPr="007D50B4" w:rsidRDefault="003B6D98" w:rsidP="00476B25">
            <w:pPr>
              <w:pStyle w:val="NormalWeb"/>
              <w:spacing w:after="40"/>
              <w:jc w:val="center"/>
              <w:rPr>
                <w:lang w:val="en-US"/>
              </w:rPr>
            </w:pPr>
            <w:r>
              <w:rPr>
                <w:lang w:val="en-US"/>
              </w:rPr>
              <w:t>49.1 (16.2)</w:t>
            </w:r>
          </w:p>
        </w:tc>
        <w:tc>
          <w:tcPr>
            <w:tcW w:w="907" w:type="dxa"/>
            <w:gridSpan w:val="3"/>
            <w:vMerge/>
            <w:tcBorders>
              <w:bottom w:val="dashSmallGap" w:sz="4" w:space="0" w:color="auto"/>
            </w:tcBorders>
            <w:tcMar>
              <w:top w:w="0" w:type="dxa"/>
              <w:left w:w="108" w:type="dxa"/>
              <w:bottom w:w="0" w:type="dxa"/>
              <w:right w:w="108" w:type="dxa"/>
            </w:tcMar>
          </w:tcPr>
          <w:p w14:paraId="733FF715" w14:textId="77777777" w:rsidR="003B6D98" w:rsidRPr="007D50B4" w:rsidRDefault="003B6D98" w:rsidP="00476B25">
            <w:pPr>
              <w:pStyle w:val="NormalWeb"/>
              <w:spacing w:after="40"/>
              <w:jc w:val="center"/>
              <w:rPr>
                <w:lang w:val="en-US"/>
              </w:rPr>
            </w:pPr>
          </w:p>
        </w:tc>
        <w:tc>
          <w:tcPr>
            <w:tcW w:w="1149" w:type="dxa"/>
            <w:gridSpan w:val="2"/>
            <w:tcBorders>
              <w:bottom w:val="dashSmallGap" w:sz="4" w:space="0" w:color="auto"/>
            </w:tcBorders>
          </w:tcPr>
          <w:p w14:paraId="77F6E15A" w14:textId="77777777" w:rsidR="003B6D98" w:rsidRPr="007D50B4" w:rsidRDefault="003B6D98" w:rsidP="00476B25">
            <w:pPr>
              <w:pStyle w:val="NormalWeb"/>
              <w:spacing w:after="40"/>
              <w:jc w:val="center"/>
              <w:rPr>
                <w:lang w:val="en-US"/>
              </w:rPr>
            </w:pPr>
            <w:r>
              <w:rPr>
                <w:lang w:val="en-US"/>
              </w:rPr>
              <w:t>1,802 (21)</w:t>
            </w:r>
          </w:p>
        </w:tc>
        <w:tc>
          <w:tcPr>
            <w:tcW w:w="1304" w:type="dxa"/>
            <w:gridSpan w:val="2"/>
            <w:tcBorders>
              <w:bottom w:val="dashSmallGap" w:sz="4" w:space="0" w:color="auto"/>
            </w:tcBorders>
          </w:tcPr>
          <w:p w14:paraId="55303C4B" w14:textId="77777777" w:rsidR="003B6D98" w:rsidRPr="00725830" w:rsidRDefault="003B6D98" w:rsidP="00476B25">
            <w:pPr>
              <w:pStyle w:val="NormalWeb"/>
              <w:spacing w:after="40"/>
              <w:jc w:val="center"/>
              <w:rPr>
                <w:lang w:val="en-US"/>
              </w:rPr>
            </w:pPr>
            <w:r>
              <w:rPr>
                <w:lang w:val="en-US"/>
              </w:rPr>
              <w:t xml:space="preserve">47.7 </w:t>
            </w:r>
            <w:r w:rsidRPr="00725830">
              <w:rPr>
                <w:lang w:val="en-US"/>
              </w:rPr>
              <w:t>(15.9)</w:t>
            </w:r>
          </w:p>
        </w:tc>
        <w:tc>
          <w:tcPr>
            <w:tcW w:w="898" w:type="dxa"/>
            <w:gridSpan w:val="2"/>
            <w:vMerge/>
            <w:tcBorders>
              <w:bottom w:val="dashSmallGap" w:sz="4" w:space="0" w:color="auto"/>
            </w:tcBorders>
          </w:tcPr>
          <w:p w14:paraId="3685FA2A" w14:textId="77777777" w:rsidR="003B6D98" w:rsidRPr="00725830" w:rsidRDefault="003B6D98" w:rsidP="00476B25">
            <w:pPr>
              <w:pStyle w:val="NormalWeb"/>
              <w:spacing w:after="40"/>
              <w:jc w:val="center"/>
              <w:rPr>
                <w:lang w:val="en-US"/>
              </w:rPr>
            </w:pPr>
          </w:p>
        </w:tc>
      </w:tr>
      <w:tr w:rsidR="003B6D98" w:rsidRPr="00F840C4" w14:paraId="1634157E" w14:textId="77777777" w:rsidTr="00476B25">
        <w:trPr>
          <w:gridAfter w:val="1"/>
          <w:wAfter w:w="61" w:type="dxa"/>
          <w:trHeight w:val="340"/>
        </w:trPr>
        <w:tc>
          <w:tcPr>
            <w:tcW w:w="1160" w:type="dxa"/>
            <w:vMerge w:val="restart"/>
            <w:tcBorders>
              <w:top w:val="dashSmallGap" w:sz="4" w:space="0" w:color="auto"/>
              <w:bottom w:val="dashSmallGap" w:sz="4" w:space="0" w:color="auto"/>
            </w:tcBorders>
          </w:tcPr>
          <w:p w14:paraId="05BC7D7A" w14:textId="77777777" w:rsidR="003B6D98" w:rsidRPr="00B7400F" w:rsidRDefault="003B6D98" w:rsidP="00476B25">
            <w:pPr>
              <w:pStyle w:val="NormalWeb"/>
              <w:tabs>
                <w:tab w:val="left" w:pos="972"/>
              </w:tabs>
              <w:spacing w:after="40"/>
              <w:rPr>
                <w:lang w:val="en-US"/>
              </w:rPr>
            </w:pPr>
            <w:r>
              <w:rPr>
                <w:b/>
                <w:lang w:val="en-US"/>
              </w:rPr>
              <w:t>De</w:t>
            </w:r>
            <w:r w:rsidRPr="008952BF">
              <w:rPr>
                <w:b/>
                <w:lang w:val="en-US"/>
              </w:rPr>
              <w:t>ath of a spouse</w:t>
            </w:r>
            <w:r>
              <w:rPr>
                <w:vertAlign w:val="superscript"/>
                <w:lang w:val="en-US"/>
              </w:rPr>
              <w:t>3</w:t>
            </w:r>
          </w:p>
        </w:tc>
        <w:tc>
          <w:tcPr>
            <w:tcW w:w="1384" w:type="dxa"/>
            <w:tcBorders>
              <w:top w:val="dashSmallGap" w:sz="4" w:space="0" w:color="auto"/>
              <w:bottom w:val="nil"/>
            </w:tcBorders>
            <w:tcMar>
              <w:top w:w="0" w:type="dxa"/>
              <w:left w:w="108" w:type="dxa"/>
              <w:bottom w:w="0" w:type="dxa"/>
              <w:right w:w="108" w:type="dxa"/>
            </w:tcMar>
          </w:tcPr>
          <w:p w14:paraId="2B26597C" w14:textId="77777777" w:rsidR="003B6D98" w:rsidRPr="00B7400F" w:rsidRDefault="003B6D98" w:rsidP="00476B25">
            <w:pPr>
              <w:pStyle w:val="NormalWeb"/>
              <w:tabs>
                <w:tab w:val="left" w:pos="972"/>
              </w:tabs>
              <w:spacing w:after="40"/>
              <w:rPr>
                <w:lang w:val="en-US"/>
              </w:rPr>
            </w:pPr>
            <w:r>
              <w:rPr>
                <w:lang w:val="en-US"/>
              </w:rPr>
              <w:t>No</w:t>
            </w:r>
          </w:p>
        </w:tc>
        <w:tc>
          <w:tcPr>
            <w:tcW w:w="1191" w:type="dxa"/>
            <w:tcBorders>
              <w:top w:val="dashSmallGap" w:sz="4" w:space="0" w:color="auto"/>
              <w:bottom w:val="nil"/>
            </w:tcBorders>
          </w:tcPr>
          <w:p w14:paraId="7943AB4E" w14:textId="77777777" w:rsidR="003B6D98" w:rsidRPr="007D50B4" w:rsidRDefault="003B6D98" w:rsidP="00476B25">
            <w:pPr>
              <w:pStyle w:val="NormalWeb"/>
              <w:spacing w:after="40"/>
              <w:jc w:val="center"/>
              <w:rPr>
                <w:lang w:val="en-US"/>
              </w:rPr>
            </w:pPr>
            <w:r>
              <w:rPr>
                <w:lang w:val="en-US"/>
              </w:rPr>
              <w:t>7,568 (99)</w:t>
            </w:r>
          </w:p>
        </w:tc>
        <w:tc>
          <w:tcPr>
            <w:tcW w:w="1304" w:type="dxa"/>
            <w:tcBorders>
              <w:top w:val="dashSmallGap" w:sz="4" w:space="0" w:color="auto"/>
              <w:bottom w:val="nil"/>
            </w:tcBorders>
            <w:tcMar>
              <w:top w:w="0" w:type="dxa"/>
              <w:left w:w="108" w:type="dxa"/>
              <w:bottom w:w="0" w:type="dxa"/>
              <w:right w:w="108" w:type="dxa"/>
            </w:tcMar>
          </w:tcPr>
          <w:p w14:paraId="340FD78E" w14:textId="77777777" w:rsidR="003B6D98" w:rsidRPr="007D50B4" w:rsidRDefault="003B6D98" w:rsidP="00476B25">
            <w:pPr>
              <w:pStyle w:val="NormalWeb"/>
              <w:spacing w:after="40"/>
              <w:jc w:val="center"/>
              <w:rPr>
                <w:lang w:val="en-US"/>
              </w:rPr>
            </w:pPr>
            <w:r>
              <w:rPr>
                <w:lang w:val="en-US"/>
              </w:rPr>
              <w:t>51.7 (17.2)</w:t>
            </w:r>
          </w:p>
        </w:tc>
        <w:tc>
          <w:tcPr>
            <w:tcW w:w="907" w:type="dxa"/>
            <w:gridSpan w:val="3"/>
            <w:vMerge w:val="restart"/>
            <w:tcBorders>
              <w:top w:val="dashSmallGap" w:sz="4" w:space="0" w:color="auto"/>
              <w:bottom w:val="nil"/>
            </w:tcBorders>
            <w:tcMar>
              <w:top w:w="0" w:type="dxa"/>
              <w:left w:w="108" w:type="dxa"/>
              <w:bottom w:w="0" w:type="dxa"/>
              <w:right w:w="108" w:type="dxa"/>
            </w:tcMar>
          </w:tcPr>
          <w:p w14:paraId="5ECD451D" w14:textId="77777777" w:rsidR="003B6D98" w:rsidRPr="007D50B4" w:rsidRDefault="003B6D98" w:rsidP="00476B25">
            <w:pPr>
              <w:pStyle w:val="NormalWeb"/>
              <w:spacing w:after="40"/>
              <w:jc w:val="center"/>
              <w:rPr>
                <w:lang w:val="en-US"/>
              </w:rPr>
            </w:pPr>
            <w:r>
              <w:rPr>
                <w:lang w:val="en-US"/>
              </w:rPr>
              <w:t>0.18</w:t>
            </w:r>
          </w:p>
        </w:tc>
        <w:tc>
          <w:tcPr>
            <w:tcW w:w="1149" w:type="dxa"/>
            <w:gridSpan w:val="2"/>
            <w:tcBorders>
              <w:top w:val="dashSmallGap" w:sz="4" w:space="0" w:color="auto"/>
              <w:bottom w:val="nil"/>
            </w:tcBorders>
          </w:tcPr>
          <w:p w14:paraId="03E16446" w14:textId="77777777" w:rsidR="003B6D98" w:rsidRPr="007D50B4" w:rsidRDefault="003B6D98" w:rsidP="00476B25">
            <w:pPr>
              <w:pStyle w:val="NormalWeb"/>
              <w:spacing w:after="40"/>
              <w:jc w:val="center"/>
              <w:rPr>
                <w:lang w:val="en-US"/>
              </w:rPr>
            </w:pPr>
            <w:r>
              <w:rPr>
                <w:lang w:val="en-US"/>
              </w:rPr>
              <w:t>8,731 (99)</w:t>
            </w:r>
          </w:p>
        </w:tc>
        <w:tc>
          <w:tcPr>
            <w:tcW w:w="1304" w:type="dxa"/>
            <w:gridSpan w:val="2"/>
            <w:tcBorders>
              <w:top w:val="dashSmallGap" w:sz="4" w:space="0" w:color="auto"/>
              <w:bottom w:val="nil"/>
            </w:tcBorders>
          </w:tcPr>
          <w:p w14:paraId="78D072C5" w14:textId="77777777" w:rsidR="003B6D98" w:rsidRPr="00590F69" w:rsidRDefault="003B6D98" w:rsidP="00476B25">
            <w:pPr>
              <w:pStyle w:val="NormalWeb"/>
              <w:spacing w:after="40"/>
              <w:jc w:val="center"/>
              <w:rPr>
                <w:lang w:val="en-US"/>
              </w:rPr>
            </w:pPr>
            <w:r w:rsidRPr="00590F69">
              <w:rPr>
                <w:lang w:val="en-US"/>
              </w:rPr>
              <w:t>49.3</w:t>
            </w:r>
            <w:r>
              <w:rPr>
                <w:lang w:val="en-US"/>
              </w:rPr>
              <w:t xml:space="preserve"> </w:t>
            </w:r>
            <w:r w:rsidRPr="00590F69">
              <w:rPr>
                <w:lang w:val="en-US"/>
              </w:rPr>
              <w:t>(16.2)</w:t>
            </w:r>
          </w:p>
        </w:tc>
        <w:tc>
          <w:tcPr>
            <w:tcW w:w="898" w:type="dxa"/>
            <w:gridSpan w:val="2"/>
            <w:vMerge w:val="restart"/>
            <w:tcBorders>
              <w:top w:val="dashSmallGap" w:sz="4" w:space="0" w:color="auto"/>
              <w:bottom w:val="nil"/>
            </w:tcBorders>
          </w:tcPr>
          <w:p w14:paraId="6FCFE93F" w14:textId="77777777" w:rsidR="003B6D98" w:rsidRPr="0012551C" w:rsidRDefault="003B6D98" w:rsidP="00476B25">
            <w:pPr>
              <w:pStyle w:val="NormalWeb"/>
              <w:spacing w:after="40"/>
              <w:jc w:val="center"/>
              <w:rPr>
                <w:lang w:val="en-US"/>
              </w:rPr>
            </w:pPr>
            <w:r>
              <w:rPr>
                <w:lang w:val="en-US"/>
              </w:rPr>
              <w:t>0.93</w:t>
            </w:r>
          </w:p>
        </w:tc>
      </w:tr>
      <w:tr w:rsidR="003B6D98" w:rsidRPr="00F840C4" w14:paraId="12B2981B" w14:textId="77777777" w:rsidTr="00476B25">
        <w:trPr>
          <w:gridAfter w:val="1"/>
          <w:wAfter w:w="61" w:type="dxa"/>
          <w:trHeight w:val="340"/>
        </w:trPr>
        <w:tc>
          <w:tcPr>
            <w:tcW w:w="1160" w:type="dxa"/>
            <w:vMerge/>
            <w:tcBorders>
              <w:bottom w:val="dashSmallGap" w:sz="4" w:space="0" w:color="auto"/>
            </w:tcBorders>
          </w:tcPr>
          <w:p w14:paraId="67294323" w14:textId="77777777" w:rsidR="003B6D98" w:rsidRDefault="003B6D98" w:rsidP="00476B25">
            <w:pPr>
              <w:pStyle w:val="NormalWeb"/>
              <w:tabs>
                <w:tab w:val="left" w:pos="972"/>
              </w:tabs>
              <w:spacing w:after="40"/>
              <w:rPr>
                <w:lang w:val="en-US"/>
              </w:rPr>
            </w:pPr>
          </w:p>
        </w:tc>
        <w:tc>
          <w:tcPr>
            <w:tcW w:w="1384" w:type="dxa"/>
            <w:tcBorders>
              <w:bottom w:val="dashSmallGap" w:sz="4" w:space="0" w:color="auto"/>
            </w:tcBorders>
            <w:tcMar>
              <w:top w:w="0" w:type="dxa"/>
              <w:left w:w="108" w:type="dxa"/>
              <w:bottom w:w="0" w:type="dxa"/>
              <w:right w:w="108" w:type="dxa"/>
            </w:tcMar>
          </w:tcPr>
          <w:p w14:paraId="350170AE" w14:textId="77777777" w:rsidR="003B6D98" w:rsidRPr="00B7400F" w:rsidRDefault="003B6D98" w:rsidP="00476B25">
            <w:pPr>
              <w:pStyle w:val="NormalWeb"/>
              <w:tabs>
                <w:tab w:val="left" w:pos="972"/>
              </w:tabs>
              <w:spacing w:after="40"/>
              <w:rPr>
                <w:lang w:val="en-US"/>
              </w:rPr>
            </w:pPr>
            <w:r>
              <w:rPr>
                <w:lang w:val="en-US"/>
              </w:rPr>
              <w:t>Yes</w:t>
            </w:r>
          </w:p>
        </w:tc>
        <w:tc>
          <w:tcPr>
            <w:tcW w:w="1191" w:type="dxa"/>
            <w:tcBorders>
              <w:bottom w:val="dashSmallGap" w:sz="4" w:space="0" w:color="auto"/>
            </w:tcBorders>
          </w:tcPr>
          <w:p w14:paraId="134C8A52" w14:textId="77777777" w:rsidR="003B6D98" w:rsidRPr="007D50B4" w:rsidRDefault="003B6D98" w:rsidP="00476B25">
            <w:pPr>
              <w:pStyle w:val="NormalWeb"/>
              <w:spacing w:after="40"/>
              <w:jc w:val="center"/>
              <w:rPr>
                <w:lang w:val="en-US"/>
              </w:rPr>
            </w:pPr>
            <w:r>
              <w:rPr>
                <w:lang w:val="en-US"/>
              </w:rPr>
              <w:t>88 (1)</w:t>
            </w:r>
          </w:p>
        </w:tc>
        <w:tc>
          <w:tcPr>
            <w:tcW w:w="1304" w:type="dxa"/>
            <w:tcBorders>
              <w:bottom w:val="dashSmallGap" w:sz="4" w:space="0" w:color="auto"/>
            </w:tcBorders>
            <w:tcMar>
              <w:top w:w="0" w:type="dxa"/>
              <w:left w:w="108" w:type="dxa"/>
              <w:bottom w:w="0" w:type="dxa"/>
              <w:right w:w="108" w:type="dxa"/>
            </w:tcMar>
          </w:tcPr>
          <w:p w14:paraId="7A632DB9" w14:textId="77777777" w:rsidR="003B6D98" w:rsidRPr="007D50B4" w:rsidRDefault="003B6D98" w:rsidP="00476B25">
            <w:pPr>
              <w:pStyle w:val="NormalWeb"/>
              <w:spacing w:after="40"/>
              <w:jc w:val="center"/>
              <w:rPr>
                <w:lang w:val="en-US"/>
              </w:rPr>
            </w:pPr>
            <w:r>
              <w:rPr>
                <w:lang w:val="en-US"/>
              </w:rPr>
              <w:t>49.2 (18.1)</w:t>
            </w:r>
          </w:p>
        </w:tc>
        <w:tc>
          <w:tcPr>
            <w:tcW w:w="907" w:type="dxa"/>
            <w:gridSpan w:val="3"/>
            <w:vMerge/>
            <w:tcBorders>
              <w:bottom w:val="dashSmallGap" w:sz="4" w:space="0" w:color="auto"/>
            </w:tcBorders>
            <w:tcMar>
              <w:top w:w="0" w:type="dxa"/>
              <w:left w:w="108" w:type="dxa"/>
              <w:bottom w:w="0" w:type="dxa"/>
              <w:right w:w="108" w:type="dxa"/>
            </w:tcMar>
          </w:tcPr>
          <w:p w14:paraId="49DE0C6A" w14:textId="77777777" w:rsidR="003B6D98" w:rsidRPr="007D50B4" w:rsidRDefault="003B6D98" w:rsidP="00476B25">
            <w:pPr>
              <w:pStyle w:val="NormalWeb"/>
              <w:spacing w:after="40"/>
              <w:jc w:val="center"/>
              <w:rPr>
                <w:lang w:val="en-US"/>
              </w:rPr>
            </w:pPr>
          </w:p>
        </w:tc>
        <w:tc>
          <w:tcPr>
            <w:tcW w:w="1149" w:type="dxa"/>
            <w:gridSpan w:val="2"/>
            <w:tcBorders>
              <w:bottom w:val="dashSmallGap" w:sz="4" w:space="0" w:color="auto"/>
            </w:tcBorders>
          </w:tcPr>
          <w:p w14:paraId="668F223C" w14:textId="77777777" w:rsidR="003B6D98" w:rsidRPr="007D50B4" w:rsidRDefault="003B6D98" w:rsidP="00476B25">
            <w:pPr>
              <w:pStyle w:val="NormalWeb"/>
              <w:spacing w:after="40"/>
              <w:jc w:val="center"/>
              <w:rPr>
                <w:lang w:val="en-US"/>
              </w:rPr>
            </w:pPr>
            <w:r>
              <w:rPr>
                <w:lang w:val="en-US"/>
              </w:rPr>
              <w:t>57 (1)</w:t>
            </w:r>
          </w:p>
        </w:tc>
        <w:tc>
          <w:tcPr>
            <w:tcW w:w="1304" w:type="dxa"/>
            <w:gridSpan w:val="2"/>
            <w:tcBorders>
              <w:bottom w:val="dashSmallGap" w:sz="4" w:space="0" w:color="auto"/>
            </w:tcBorders>
          </w:tcPr>
          <w:p w14:paraId="1C214EEF" w14:textId="77777777" w:rsidR="003B6D98" w:rsidRPr="00590F69" w:rsidRDefault="003B6D98" w:rsidP="00476B25">
            <w:pPr>
              <w:pStyle w:val="NormalWeb"/>
              <w:spacing w:after="40"/>
              <w:jc w:val="center"/>
              <w:rPr>
                <w:lang w:val="en-US"/>
              </w:rPr>
            </w:pPr>
            <w:r>
              <w:rPr>
                <w:lang w:val="en-US"/>
              </w:rPr>
              <w:t>49.5 (17.9</w:t>
            </w:r>
            <w:r w:rsidRPr="00590F69">
              <w:rPr>
                <w:lang w:val="en-US"/>
              </w:rPr>
              <w:t>)</w:t>
            </w:r>
          </w:p>
        </w:tc>
        <w:tc>
          <w:tcPr>
            <w:tcW w:w="898" w:type="dxa"/>
            <w:gridSpan w:val="2"/>
            <w:vMerge/>
            <w:tcBorders>
              <w:bottom w:val="dashSmallGap" w:sz="4" w:space="0" w:color="auto"/>
            </w:tcBorders>
          </w:tcPr>
          <w:p w14:paraId="44DDF952" w14:textId="77777777" w:rsidR="003B6D98" w:rsidRPr="006401E9" w:rsidRDefault="003B6D98" w:rsidP="00476B25">
            <w:pPr>
              <w:pStyle w:val="NormalWeb"/>
              <w:spacing w:after="40"/>
              <w:jc w:val="center"/>
              <w:rPr>
                <w:strike/>
                <w:lang w:val="en-US"/>
              </w:rPr>
            </w:pPr>
          </w:p>
        </w:tc>
      </w:tr>
      <w:tr w:rsidR="003B6D98" w:rsidRPr="00F840C4" w14:paraId="1C27AFBF" w14:textId="77777777" w:rsidTr="00476B25">
        <w:trPr>
          <w:gridAfter w:val="1"/>
          <w:wAfter w:w="61" w:type="dxa"/>
          <w:trHeight w:val="340"/>
        </w:trPr>
        <w:tc>
          <w:tcPr>
            <w:tcW w:w="1160" w:type="dxa"/>
            <w:vMerge w:val="restart"/>
            <w:tcBorders>
              <w:top w:val="dashSmallGap" w:sz="4" w:space="0" w:color="auto"/>
              <w:bottom w:val="dashSmallGap" w:sz="4" w:space="0" w:color="auto"/>
            </w:tcBorders>
          </w:tcPr>
          <w:p w14:paraId="68820B10" w14:textId="77777777" w:rsidR="003B6D98" w:rsidRPr="00B7400F" w:rsidRDefault="003B6D98" w:rsidP="00476B25">
            <w:pPr>
              <w:pStyle w:val="NormalWeb"/>
              <w:spacing w:after="40"/>
              <w:rPr>
                <w:lang w:val="en-US"/>
              </w:rPr>
            </w:pPr>
            <w:r>
              <w:rPr>
                <w:b/>
                <w:lang w:val="en-US"/>
              </w:rPr>
              <w:t>Divorse</w:t>
            </w:r>
            <w:r>
              <w:rPr>
                <w:vertAlign w:val="superscript"/>
                <w:lang w:val="en-US"/>
              </w:rPr>
              <w:t>3</w:t>
            </w:r>
          </w:p>
        </w:tc>
        <w:tc>
          <w:tcPr>
            <w:tcW w:w="1384" w:type="dxa"/>
            <w:tcBorders>
              <w:top w:val="dashSmallGap" w:sz="4" w:space="0" w:color="auto"/>
              <w:bottom w:val="nil"/>
            </w:tcBorders>
            <w:tcMar>
              <w:top w:w="0" w:type="dxa"/>
              <w:left w:w="108" w:type="dxa"/>
              <w:bottom w:w="0" w:type="dxa"/>
              <w:right w:w="108" w:type="dxa"/>
            </w:tcMar>
          </w:tcPr>
          <w:p w14:paraId="5FEF5B0C" w14:textId="77777777" w:rsidR="003B6D98" w:rsidRPr="00B7400F" w:rsidRDefault="003B6D98" w:rsidP="00476B25">
            <w:pPr>
              <w:pStyle w:val="NormalWeb"/>
              <w:spacing w:after="40"/>
              <w:rPr>
                <w:lang w:val="en-US"/>
              </w:rPr>
            </w:pPr>
            <w:r>
              <w:rPr>
                <w:lang w:val="en-US"/>
              </w:rPr>
              <w:t>No</w:t>
            </w:r>
          </w:p>
        </w:tc>
        <w:tc>
          <w:tcPr>
            <w:tcW w:w="1191" w:type="dxa"/>
            <w:tcBorders>
              <w:top w:val="dashSmallGap" w:sz="4" w:space="0" w:color="auto"/>
              <w:bottom w:val="nil"/>
            </w:tcBorders>
          </w:tcPr>
          <w:p w14:paraId="7C84CD52" w14:textId="77777777" w:rsidR="003B6D98" w:rsidRPr="007D50B4" w:rsidRDefault="003B6D98" w:rsidP="00476B25">
            <w:pPr>
              <w:pStyle w:val="NormalWeb"/>
              <w:spacing w:after="40"/>
              <w:jc w:val="center"/>
              <w:rPr>
                <w:lang w:val="en-US"/>
              </w:rPr>
            </w:pPr>
            <w:r>
              <w:rPr>
                <w:lang w:val="en-US"/>
              </w:rPr>
              <w:t>7,310 (95)</w:t>
            </w:r>
          </w:p>
        </w:tc>
        <w:tc>
          <w:tcPr>
            <w:tcW w:w="1304" w:type="dxa"/>
            <w:tcBorders>
              <w:top w:val="dashSmallGap" w:sz="4" w:space="0" w:color="auto"/>
              <w:bottom w:val="nil"/>
            </w:tcBorders>
            <w:tcMar>
              <w:top w:w="0" w:type="dxa"/>
              <w:left w:w="108" w:type="dxa"/>
              <w:bottom w:w="0" w:type="dxa"/>
              <w:right w:w="108" w:type="dxa"/>
            </w:tcMar>
          </w:tcPr>
          <w:p w14:paraId="0DC5CD8F" w14:textId="77777777" w:rsidR="003B6D98" w:rsidRPr="007D50B4" w:rsidRDefault="003B6D98" w:rsidP="00476B25">
            <w:pPr>
              <w:pStyle w:val="NormalWeb"/>
              <w:spacing w:after="40"/>
              <w:jc w:val="center"/>
              <w:rPr>
                <w:lang w:val="en-US"/>
              </w:rPr>
            </w:pPr>
            <w:r>
              <w:rPr>
                <w:lang w:val="en-US"/>
              </w:rPr>
              <w:t>51.8 (17.2)</w:t>
            </w:r>
          </w:p>
        </w:tc>
        <w:tc>
          <w:tcPr>
            <w:tcW w:w="907" w:type="dxa"/>
            <w:gridSpan w:val="3"/>
            <w:vMerge w:val="restart"/>
            <w:tcBorders>
              <w:top w:val="dashSmallGap" w:sz="4" w:space="0" w:color="auto"/>
              <w:bottom w:val="nil"/>
            </w:tcBorders>
            <w:tcMar>
              <w:top w:w="0" w:type="dxa"/>
              <w:left w:w="108" w:type="dxa"/>
              <w:bottom w:w="0" w:type="dxa"/>
              <w:right w:w="108" w:type="dxa"/>
            </w:tcMar>
          </w:tcPr>
          <w:p w14:paraId="786BA9B5" w14:textId="77777777" w:rsidR="003B6D98" w:rsidRPr="007D50B4" w:rsidRDefault="003B6D98" w:rsidP="00476B25">
            <w:pPr>
              <w:pStyle w:val="NormalWeb"/>
              <w:spacing w:after="40"/>
              <w:jc w:val="center"/>
              <w:rPr>
                <w:lang w:val="en-US"/>
              </w:rPr>
            </w:pPr>
            <w:r>
              <w:rPr>
                <w:lang w:val="en-US"/>
              </w:rPr>
              <w:t>0.03</w:t>
            </w:r>
          </w:p>
        </w:tc>
        <w:tc>
          <w:tcPr>
            <w:tcW w:w="1149" w:type="dxa"/>
            <w:gridSpan w:val="2"/>
            <w:tcBorders>
              <w:top w:val="dashSmallGap" w:sz="4" w:space="0" w:color="auto"/>
              <w:bottom w:val="nil"/>
            </w:tcBorders>
          </w:tcPr>
          <w:p w14:paraId="555A7EE3" w14:textId="77777777" w:rsidR="003B6D98" w:rsidRPr="007D50B4" w:rsidRDefault="003B6D98" w:rsidP="00476B25">
            <w:pPr>
              <w:pStyle w:val="NormalWeb"/>
              <w:spacing w:after="40"/>
              <w:jc w:val="center"/>
              <w:rPr>
                <w:lang w:val="en-US"/>
              </w:rPr>
            </w:pPr>
            <w:r>
              <w:rPr>
                <w:lang w:val="en-US"/>
              </w:rPr>
              <w:t>7,051 (80)</w:t>
            </w:r>
          </w:p>
        </w:tc>
        <w:tc>
          <w:tcPr>
            <w:tcW w:w="1304" w:type="dxa"/>
            <w:gridSpan w:val="2"/>
            <w:tcBorders>
              <w:top w:val="dashSmallGap" w:sz="4" w:space="0" w:color="auto"/>
              <w:bottom w:val="nil"/>
            </w:tcBorders>
          </w:tcPr>
          <w:p w14:paraId="0BC2A74E" w14:textId="77777777" w:rsidR="003B6D98" w:rsidRPr="00B454DD" w:rsidRDefault="003B6D98" w:rsidP="00476B25">
            <w:pPr>
              <w:pStyle w:val="NormalWeb"/>
              <w:spacing w:after="40"/>
              <w:jc w:val="center"/>
              <w:rPr>
                <w:lang w:val="en-US"/>
              </w:rPr>
            </w:pPr>
            <w:r>
              <w:rPr>
                <w:lang w:val="en-US"/>
              </w:rPr>
              <w:t xml:space="preserve">49.6 </w:t>
            </w:r>
            <w:r w:rsidRPr="00B454DD">
              <w:rPr>
                <w:lang w:val="en-US"/>
              </w:rPr>
              <w:t>(16.2)</w:t>
            </w:r>
          </w:p>
        </w:tc>
        <w:tc>
          <w:tcPr>
            <w:tcW w:w="898" w:type="dxa"/>
            <w:gridSpan w:val="2"/>
            <w:vMerge w:val="restart"/>
            <w:tcBorders>
              <w:top w:val="dashSmallGap" w:sz="4" w:space="0" w:color="auto"/>
              <w:bottom w:val="nil"/>
            </w:tcBorders>
          </w:tcPr>
          <w:p w14:paraId="459910D6" w14:textId="77777777" w:rsidR="003B6D98" w:rsidRPr="00B454DD" w:rsidRDefault="003B6D98" w:rsidP="00476B25">
            <w:pPr>
              <w:pStyle w:val="NormalWeb"/>
              <w:spacing w:after="40"/>
              <w:jc w:val="center"/>
              <w:rPr>
                <w:lang w:val="en-US"/>
              </w:rPr>
            </w:pPr>
            <w:r>
              <w:rPr>
                <w:lang w:val="en-US"/>
              </w:rPr>
              <w:t>0.001</w:t>
            </w:r>
          </w:p>
        </w:tc>
      </w:tr>
      <w:tr w:rsidR="003B6D98" w:rsidRPr="00F840C4" w14:paraId="5607E88E" w14:textId="77777777" w:rsidTr="00476B25">
        <w:trPr>
          <w:gridAfter w:val="1"/>
          <w:wAfter w:w="61" w:type="dxa"/>
          <w:trHeight w:val="340"/>
        </w:trPr>
        <w:tc>
          <w:tcPr>
            <w:tcW w:w="1160" w:type="dxa"/>
            <w:vMerge/>
            <w:tcBorders>
              <w:bottom w:val="dashSmallGap" w:sz="4" w:space="0" w:color="auto"/>
            </w:tcBorders>
          </w:tcPr>
          <w:p w14:paraId="398DE93C" w14:textId="77777777" w:rsidR="003B6D98" w:rsidRDefault="003B6D98" w:rsidP="00476B25">
            <w:pPr>
              <w:pStyle w:val="NormalWeb"/>
              <w:spacing w:after="40"/>
              <w:rPr>
                <w:lang w:val="en-US"/>
              </w:rPr>
            </w:pPr>
          </w:p>
        </w:tc>
        <w:tc>
          <w:tcPr>
            <w:tcW w:w="1384" w:type="dxa"/>
            <w:tcBorders>
              <w:bottom w:val="dashSmallGap" w:sz="4" w:space="0" w:color="auto"/>
            </w:tcBorders>
            <w:tcMar>
              <w:top w:w="0" w:type="dxa"/>
              <w:left w:w="108" w:type="dxa"/>
              <w:bottom w:w="0" w:type="dxa"/>
              <w:right w:w="108" w:type="dxa"/>
            </w:tcMar>
          </w:tcPr>
          <w:p w14:paraId="14397B24" w14:textId="77777777" w:rsidR="003B6D98" w:rsidRPr="00B7400F" w:rsidRDefault="003B6D98" w:rsidP="00476B25">
            <w:pPr>
              <w:pStyle w:val="NormalWeb"/>
              <w:spacing w:after="40"/>
              <w:rPr>
                <w:lang w:val="en-US"/>
              </w:rPr>
            </w:pPr>
            <w:r>
              <w:rPr>
                <w:lang w:val="en-US"/>
              </w:rPr>
              <w:t>Yes</w:t>
            </w:r>
          </w:p>
        </w:tc>
        <w:tc>
          <w:tcPr>
            <w:tcW w:w="1191" w:type="dxa"/>
            <w:tcBorders>
              <w:bottom w:val="dashSmallGap" w:sz="4" w:space="0" w:color="auto"/>
            </w:tcBorders>
          </w:tcPr>
          <w:p w14:paraId="7C35CD78" w14:textId="77777777" w:rsidR="003B6D98" w:rsidRPr="007D50B4" w:rsidRDefault="003B6D98" w:rsidP="00476B25">
            <w:pPr>
              <w:pStyle w:val="NormalWeb"/>
              <w:spacing w:after="40"/>
              <w:jc w:val="center"/>
              <w:rPr>
                <w:lang w:val="en-US"/>
              </w:rPr>
            </w:pPr>
            <w:r>
              <w:rPr>
                <w:lang w:val="en-US"/>
              </w:rPr>
              <w:t>346 (5)</w:t>
            </w:r>
          </w:p>
        </w:tc>
        <w:tc>
          <w:tcPr>
            <w:tcW w:w="1304" w:type="dxa"/>
            <w:tcBorders>
              <w:bottom w:val="dashSmallGap" w:sz="4" w:space="0" w:color="auto"/>
            </w:tcBorders>
            <w:tcMar>
              <w:top w:w="0" w:type="dxa"/>
              <w:left w:w="108" w:type="dxa"/>
              <w:bottom w:w="0" w:type="dxa"/>
              <w:right w:w="108" w:type="dxa"/>
            </w:tcMar>
          </w:tcPr>
          <w:p w14:paraId="37187A0B" w14:textId="77777777" w:rsidR="003B6D98" w:rsidRPr="007D50B4" w:rsidRDefault="003B6D98" w:rsidP="00476B25">
            <w:pPr>
              <w:pStyle w:val="NormalWeb"/>
              <w:spacing w:after="40"/>
              <w:jc w:val="center"/>
              <w:rPr>
                <w:lang w:val="en-US"/>
              </w:rPr>
            </w:pPr>
            <w:r>
              <w:rPr>
                <w:lang w:val="en-US"/>
              </w:rPr>
              <w:t>49.7 (16.9)</w:t>
            </w:r>
          </w:p>
        </w:tc>
        <w:tc>
          <w:tcPr>
            <w:tcW w:w="907" w:type="dxa"/>
            <w:gridSpan w:val="3"/>
            <w:vMerge/>
            <w:tcBorders>
              <w:bottom w:val="dashSmallGap" w:sz="4" w:space="0" w:color="auto"/>
            </w:tcBorders>
            <w:tcMar>
              <w:top w:w="0" w:type="dxa"/>
              <w:left w:w="108" w:type="dxa"/>
              <w:bottom w:w="0" w:type="dxa"/>
              <w:right w:w="108" w:type="dxa"/>
            </w:tcMar>
          </w:tcPr>
          <w:p w14:paraId="410EBECE" w14:textId="77777777" w:rsidR="003B6D98" w:rsidRPr="007D50B4" w:rsidRDefault="003B6D98" w:rsidP="00476B25">
            <w:pPr>
              <w:pStyle w:val="NormalWeb"/>
              <w:spacing w:after="40"/>
              <w:jc w:val="center"/>
              <w:rPr>
                <w:lang w:val="en-US"/>
              </w:rPr>
            </w:pPr>
          </w:p>
        </w:tc>
        <w:tc>
          <w:tcPr>
            <w:tcW w:w="1149" w:type="dxa"/>
            <w:gridSpan w:val="2"/>
            <w:tcBorders>
              <w:bottom w:val="dashSmallGap" w:sz="4" w:space="0" w:color="auto"/>
            </w:tcBorders>
          </w:tcPr>
          <w:p w14:paraId="6DBAB143" w14:textId="77777777" w:rsidR="003B6D98" w:rsidRPr="007D50B4" w:rsidRDefault="003B6D98" w:rsidP="00476B25">
            <w:pPr>
              <w:pStyle w:val="NormalWeb"/>
              <w:spacing w:after="40"/>
              <w:jc w:val="center"/>
              <w:rPr>
                <w:lang w:val="en-US"/>
              </w:rPr>
            </w:pPr>
            <w:r>
              <w:rPr>
                <w:lang w:val="en-US"/>
              </w:rPr>
              <w:t>1,737 (20)</w:t>
            </w:r>
          </w:p>
        </w:tc>
        <w:tc>
          <w:tcPr>
            <w:tcW w:w="1304" w:type="dxa"/>
            <w:gridSpan w:val="2"/>
            <w:tcBorders>
              <w:bottom w:val="dashSmallGap" w:sz="4" w:space="0" w:color="auto"/>
            </w:tcBorders>
          </w:tcPr>
          <w:p w14:paraId="2E2F3BAC" w14:textId="77777777" w:rsidR="003B6D98" w:rsidRPr="00B454DD" w:rsidRDefault="003B6D98" w:rsidP="00476B25">
            <w:pPr>
              <w:pStyle w:val="NormalWeb"/>
              <w:spacing w:after="40"/>
              <w:jc w:val="center"/>
              <w:rPr>
                <w:lang w:val="en-US"/>
              </w:rPr>
            </w:pPr>
            <w:r w:rsidRPr="00B454DD">
              <w:rPr>
                <w:lang w:val="en-US"/>
              </w:rPr>
              <w:t>48.</w:t>
            </w:r>
            <w:r>
              <w:rPr>
                <w:lang w:val="en-US"/>
              </w:rPr>
              <w:t xml:space="preserve">1 </w:t>
            </w:r>
            <w:r w:rsidRPr="00B454DD">
              <w:rPr>
                <w:lang w:val="en-US"/>
              </w:rPr>
              <w:t>(16.0)</w:t>
            </w:r>
          </w:p>
        </w:tc>
        <w:tc>
          <w:tcPr>
            <w:tcW w:w="898" w:type="dxa"/>
            <w:gridSpan w:val="2"/>
            <w:vMerge/>
            <w:tcBorders>
              <w:bottom w:val="dashSmallGap" w:sz="4" w:space="0" w:color="auto"/>
            </w:tcBorders>
          </w:tcPr>
          <w:p w14:paraId="6510F15A" w14:textId="77777777" w:rsidR="003B6D98" w:rsidRPr="00B454DD" w:rsidRDefault="003B6D98" w:rsidP="00476B25">
            <w:pPr>
              <w:pStyle w:val="NormalWeb"/>
              <w:spacing w:after="40"/>
              <w:jc w:val="center"/>
              <w:rPr>
                <w:lang w:val="en-US"/>
              </w:rPr>
            </w:pPr>
          </w:p>
        </w:tc>
      </w:tr>
      <w:tr w:rsidR="003B6D98" w:rsidRPr="00F840C4" w14:paraId="76CE676A" w14:textId="77777777" w:rsidTr="00476B25">
        <w:trPr>
          <w:gridAfter w:val="1"/>
          <w:wAfter w:w="61" w:type="dxa"/>
          <w:trHeight w:val="340"/>
        </w:trPr>
        <w:tc>
          <w:tcPr>
            <w:tcW w:w="1160" w:type="dxa"/>
            <w:vMerge w:val="restart"/>
            <w:tcBorders>
              <w:top w:val="dashSmallGap" w:sz="4" w:space="0" w:color="auto"/>
            </w:tcBorders>
          </w:tcPr>
          <w:p w14:paraId="087167C8" w14:textId="77777777" w:rsidR="003B6D98" w:rsidRPr="00BA2255" w:rsidRDefault="003B6D98" w:rsidP="00476B25">
            <w:pPr>
              <w:pStyle w:val="NormalWeb"/>
              <w:spacing w:after="40"/>
              <w:rPr>
                <w:lang w:val="en-US"/>
              </w:rPr>
            </w:pPr>
            <w:r>
              <w:rPr>
                <w:b/>
                <w:lang w:val="en-US"/>
              </w:rPr>
              <w:t>Population density</w:t>
            </w:r>
            <w:r>
              <w:rPr>
                <w:b/>
                <w:vertAlign w:val="superscript"/>
                <w:lang w:val="en-US"/>
              </w:rPr>
              <w:t xml:space="preserve">4 </w:t>
            </w:r>
          </w:p>
        </w:tc>
        <w:tc>
          <w:tcPr>
            <w:tcW w:w="1384" w:type="dxa"/>
            <w:tcBorders>
              <w:top w:val="dashSmallGap" w:sz="4" w:space="0" w:color="auto"/>
            </w:tcBorders>
            <w:tcMar>
              <w:top w:w="0" w:type="dxa"/>
              <w:left w:w="108" w:type="dxa"/>
              <w:bottom w:w="0" w:type="dxa"/>
              <w:right w:w="108" w:type="dxa"/>
            </w:tcMar>
          </w:tcPr>
          <w:p w14:paraId="01A70F1E" w14:textId="77777777" w:rsidR="003B6D98" w:rsidRPr="00FF03DD" w:rsidRDefault="003B6D98" w:rsidP="00476B25">
            <w:pPr>
              <w:pStyle w:val="NormalWeb"/>
              <w:spacing w:after="40"/>
              <w:rPr>
                <w:lang w:val="en-US"/>
              </w:rPr>
            </w:pPr>
            <w:r w:rsidRPr="00FF03DD">
              <w:rPr>
                <w:lang w:val="en-US"/>
              </w:rPr>
              <w:t>&lt;50</w:t>
            </w:r>
          </w:p>
        </w:tc>
        <w:tc>
          <w:tcPr>
            <w:tcW w:w="1191" w:type="dxa"/>
            <w:tcBorders>
              <w:top w:val="dashSmallGap" w:sz="4" w:space="0" w:color="auto"/>
            </w:tcBorders>
          </w:tcPr>
          <w:p w14:paraId="00FBB2DE" w14:textId="77777777" w:rsidR="003B6D98" w:rsidRPr="00FF03DD" w:rsidRDefault="003B6D98" w:rsidP="00476B25">
            <w:pPr>
              <w:pStyle w:val="NormalWeb"/>
              <w:spacing w:after="40"/>
              <w:jc w:val="center"/>
              <w:rPr>
                <w:lang w:val="en-US"/>
              </w:rPr>
            </w:pPr>
            <w:r>
              <w:rPr>
                <w:lang w:val="en-US"/>
              </w:rPr>
              <w:t>2,470 (32</w:t>
            </w:r>
            <w:r w:rsidRPr="00FF03DD">
              <w:rPr>
                <w:lang w:val="en-US"/>
              </w:rPr>
              <w:t>)</w:t>
            </w:r>
          </w:p>
        </w:tc>
        <w:tc>
          <w:tcPr>
            <w:tcW w:w="1304" w:type="dxa"/>
            <w:tcBorders>
              <w:top w:val="dashSmallGap" w:sz="4" w:space="0" w:color="auto"/>
            </w:tcBorders>
            <w:tcMar>
              <w:top w:w="0" w:type="dxa"/>
              <w:left w:w="108" w:type="dxa"/>
              <w:bottom w:w="0" w:type="dxa"/>
              <w:right w:w="108" w:type="dxa"/>
            </w:tcMar>
          </w:tcPr>
          <w:p w14:paraId="53098E45" w14:textId="77777777" w:rsidR="003B6D98" w:rsidRPr="00FF03DD" w:rsidRDefault="003B6D98" w:rsidP="00476B25">
            <w:pPr>
              <w:pStyle w:val="NormalWeb"/>
              <w:spacing w:after="40"/>
              <w:jc w:val="center"/>
              <w:rPr>
                <w:lang w:val="en-US"/>
              </w:rPr>
            </w:pPr>
            <w:r w:rsidRPr="00FF03DD">
              <w:rPr>
                <w:lang w:val="en-US"/>
              </w:rPr>
              <w:t>5</w:t>
            </w:r>
            <w:r>
              <w:rPr>
                <w:lang w:val="en-US"/>
              </w:rPr>
              <w:t xml:space="preserve">0.6 </w:t>
            </w:r>
            <w:r w:rsidRPr="00FF03DD">
              <w:rPr>
                <w:lang w:val="en-US"/>
              </w:rPr>
              <w:t>(17.3)</w:t>
            </w:r>
          </w:p>
        </w:tc>
        <w:tc>
          <w:tcPr>
            <w:tcW w:w="907" w:type="dxa"/>
            <w:gridSpan w:val="3"/>
            <w:tcBorders>
              <w:top w:val="dashSmallGap" w:sz="4" w:space="0" w:color="auto"/>
            </w:tcBorders>
            <w:tcMar>
              <w:top w:w="0" w:type="dxa"/>
              <w:left w:w="108" w:type="dxa"/>
              <w:bottom w:w="0" w:type="dxa"/>
              <w:right w:w="108" w:type="dxa"/>
            </w:tcMar>
          </w:tcPr>
          <w:p w14:paraId="30A3C512" w14:textId="77777777" w:rsidR="003B6D98" w:rsidRPr="00FF03DD" w:rsidRDefault="003B6D98" w:rsidP="00476B25">
            <w:pPr>
              <w:pStyle w:val="NormalWeb"/>
              <w:spacing w:after="40"/>
              <w:jc w:val="center"/>
              <w:rPr>
                <w:lang w:val="en-US"/>
              </w:rPr>
            </w:pPr>
            <w:r>
              <w:rPr>
                <w:lang w:val="en-US"/>
              </w:rPr>
              <w:t>0.001</w:t>
            </w:r>
          </w:p>
        </w:tc>
        <w:tc>
          <w:tcPr>
            <w:tcW w:w="1149" w:type="dxa"/>
            <w:gridSpan w:val="2"/>
            <w:tcBorders>
              <w:top w:val="dashSmallGap" w:sz="4" w:space="0" w:color="auto"/>
            </w:tcBorders>
          </w:tcPr>
          <w:p w14:paraId="15CC0029" w14:textId="77777777" w:rsidR="003B6D98" w:rsidRPr="00FF03DD" w:rsidRDefault="003B6D98" w:rsidP="00476B25">
            <w:pPr>
              <w:pStyle w:val="NormalWeb"/>
              <w:spacing w:after="40"/>
              <w:jc w:val="center"/>
              <w:rPr>
                <w:lang w:val="en-US"/>
              </w:rPr>
            </w:pPr>
            <w:r>
              <w:rPr>
                <w:lang w:val="en-US"/>
              </w:rPr>
              <w:t xml:space="preserve">2,143 </w:t>
            </w:r>
            <w:r w:rsidRPr="00FF03DD">
              <w:rPr>
                <w:lang w:val="en-US"/>
              </w:rPr>
              <w:t>(25)</w:t>
            </w:r>
          </w:p>
        </w:tc>
        <w:tc>
          <w:tcPr>
            <w:tcW w:w="1304" w:type="dxa"/>
            <w:gridSpan w:val="2"/>
            <w:tcBorders>
              <w:top w:val="dashSmallGap" w:sz="4" w:space="0" w:color="auto"/>
            </w:tcBorders>
          </w:tcPr>
          <w:p w14:paraId="4E2ED659" w14:textId="77777777" w:rsidR="003B6D98" w:rsidRPr="00FF03DD" w:rsidRDefault="003B6D98" w:rsidP="00476B25">
            <w:pPr>
              <w:pStyle w:val="NormalWeb"/>
              <w:spacing w:after="40"/>
              <w:jc w:val="center"/>
              <w:rPr>
                <w:lang w:val="en-US"/>
              </w:rPr>
            </w:pPr>
            <w:r w:rsidRPr="00FF03DD">
              <w:rPr>
                <w:lang w:val="en-US"/>
              </w:rPr>
              <w:t>4</w:t>
            </w:r>
            <w:r>
              <w:rPr>
                <w:lang w:val="en-US"/>
              </w:rPr>
              <w:t xml:space="preserve">7.9 </w:t>
            </w:r>
            <w:r w:rsidRPr="00FF03DD">
              <w:rPr>
                <w:lang w:val="en-US"/>
              </w:rPr>
              <w:t>(16.3)</w:t>
            </w:r>
          </w:p>
        </w:tc>
        <w:tc>
          <w:tcPr>
            <w:tcW w:w="898" w:type="dxa"/>
            <w:gridSpan w:val="2"/>
            <w:tcBorders>
              <w:top w:val="dashSmallGap" w:sz="4" w:space="0" w:color="auto"/>
            </w:tcBorders>
          </w:tcPr>
          <w:p w14:paraId="75E1E9AC" w14:textId="77777777" w:rsidR="003B6D98" w:rsidRPr="00FF03DD" w:rsidRDefault="003B6D98" w:rsidP="00476B25">
            <w:pPr>
              <w:pStyle w:val="NormalWeb"/>
              <w:spacing w:after="40"/>
              <w:jc w:val="center"/>
              <w:rPr>
                <w:lang w:val="en-US"/>
              </w:rPr>
            </w:pPr>
            <w:r w:rsidRPr="00F840C4">
              <w:rPr>
                <w:lang w:val="en-US"/>
              </w:rPr>
              <w:t>&lt;0.001</w:t>
            </w:r>
          </w:p>
        </w:tc>
      </w:tr>
      <w:tr w:rsidR="003B6D98" w:rsidRPr="00F840C4" w14:paraId="55425B08" w14:textId="77777777" w:rsidTr="00476B25">
        <w:trPr>
          <w:gridAfter w:val="1"/>
          <w:wAfter w:w="61" w:type="dxa"/>
          <w:trHeight w:val="340"/>
        </w:trPr>
        <w:tc>
          <w:tcPr>
            <w:tcW w:w="1160" w:type="dxa"/>
            <w:vMerge/>
          </w:tcPr>
          <w:p w14:paraId="67623821" w14:textId="77777777" w:rsidR="003B6D98" w:rsidRPr="00FF03DD" w:rsidRDefault="003B6D98" w:rsidP="00476B25">
            <w:pPr>
              <w:pStyle w:val="NormalWeb"/>
              <w:spacing w:after="40"/>
              <w:rPr>
                <w:lang w:val="en-US"/>
              </w:rPr>
            </w:pPr>
          </w:p>
        </w:tc>
        <w:tc>
          <w:tcPr>
            <w:tcW w:w="1384" w:type="dxa"/>
            <w:tcMar>
              <w:top w:w="0" w:type="dxa"/>
              <w:left w:w="108" w:type="dxa"/>
              <w:bottom w:w="0" w:type="dxa"/>
              <w:right w:w="108" w:type="dxa"/>
            </w:tcMar>
          </w:tcPr>
          <w:p w14:paraId="3E10361C" w14:textId="77777777" w:rsidR="003B6D98" w:rsidRPr="00FF03DD" w:rsidRDefault="003B6D98" w:rsidP="00476B25">
            <w:pPr>
              <w:pStyle w:val="NormalWeb"/>
              <w:spacing w:after="40"/>
              <w:rPr>
                <w:lang w:val="en-US"/>
              </w:rPr>
            </w:pPr>
            <w:r w:rsidRPr="00FF03DD">
              <w:rPr>
                <w:lang w:val="en-US"/>
              </w:rPr>
              <w:t>50-100</w:t>
            </w:r>
          </w:p>
        </w:tc>
        <w:tc>
          <w:tcPr>
            <w:tcW w:w="1191" w:type="dxa"/>
          </w:tcPr>
          <w:p w14:paraId="0EF8AE23" w14:textId="77777777" w:rsidR="003B6D98" w:rsidRPr="00FF03DD" w:rsidRDefault="003B6D98" w:rsidP="00476B25">
            <w:pPr>
              <w:pStyle w:val="NormalWeb"/>
              <w:spacing w:after="40"/>
              <w:jc w:val="center"/>
              <w:rPr>
                <w:lang w:val="en-US"/>
              </w:rPr>
            </w:pPr>
            <w:r w:rsidRPr="00FF03DD">
              <w:rPr>
                <w:lang w:val="en-US"/>
              </w:rPr>
              <w:t>1,8</w:t>
            </w:r>
            <w:r>
              <w:rPr>
                <w:lang w:val="en-US"/>
              </w:rPr>
              <w:t>30</w:t>
            </w:r>
            <w:r w:rsidRPr="00FF03DD">
              <w:rPr>
                <w:lang w:val="en-US"/>
              </w:rPr>
              <w:t xml:space="preserve"> (2</w:t>
            </w:r>
            <w:r>
              <w:rPr>
                <w:lang w:val="en-US"/>
              </w:rPr>
              <w:t>4</w:t>
            </w:r>
            <w:r w:rsidRPr="00FF03DD">
              <w:rPr>
                <w:lang w:val="en-US"/>
              </w:rPr>
              <w:t>)</w:t>
            </w:r>
          </w:p>
        </w:tc>
        <w:tc>
          <w:tcPr>
            <w:tcW w:w="1304" w:type="dxa"/>
            <w:tcMar>
              <w:top w:w="0" w:type="dxa"/>
              <w:left w:w="108" w:type="dxa"/>
              <w:bottom w:w="0" w:type="dxa"/>
              <w:right w:w="108" w:type="dxa"/>
            </w:tcMar>
          </w:tcPr>
          <w:p w14:paraId="753D1FA5" w14:textId="77777777" w:rsidR="003B6D98" w:rsidRPr="00FF03DD" w:rsidRDefault="003B6D98" w:rsidP="00476B25">
            <w:pPr>
              <w:pStyle w:val="NormalWeb"/>
              <w:spacing w:after="40"/>
              <w:jc w:val="center"/>
              <w:rPr>
                <w:lang w:val="en-US"/>
              </w:rPr>
            </w:pPr>
            <w:r w:rsidRPr="00FF03DD">
              <w:rPr>
                <w:lang w:val="en-US"/>
              </w:rPr>
              <w:t>51.5</w:t>
            </w:r>
            <w:r>
              <w:rPr>
                <w:lang w:val="en-US"/>
              </w:rPr>
              <w:t xml:space="preserve"> </w:t>
            </w:r>
            <w:r w:rsidRPr="00FF03DD">
              <w:rPr>
                <w:lang w:val="en-US"/>
              </w:rPr>
              <w:t>(17.0)</w:t>
            </w:r>
          </w:p>
        </w:tc>
        <w:tc>
          <w:tcPr>
            <w:tcW w:w="907" w:type="dxa"/>
            <w:gridSpan w:val="3"/>
            <w:tcMar>
              <w:top w:w="0" w:type="dxa"/>
              <w:left w:w="108" w:type="dxa"/>
              <w:bottom w:w="0" w:type="dxa"/>
              <w:right w:w="108" w:type="dxa"/>
            </w:tcMar>
          </w:tcPr>
          <w:p w14:paraId="44F40037" w14:textId="77777777" w:rsidR="003B6D98" w:rsidRPr="00FF03DD" w:rsidRDefault="003B6D98" w:rsidP="00476B25">
            <w:pPr>
              <w:pStyle w:val="NormalWeb"/>
              <w:spacing w:after="40"/>
              <w:jc w:val="center"/>
              <w:rPr>
                <w:lang w:val="en-US"/>
              </w:rPr>
            </w:pPr>
          </w:p>
        </w:tc>
        <w:tc>
          <w:tcPr>
            <w:tcW w:w="1149" w:type="dxa"/>
            <w:gridSpan w:val="2"/>
          </w:tcPr>
          <w:p w14:paraId="5FB920CF" w14:textId="77777777" w:rsidR="003B6D98" w:rsidRPr="00FF03DD" w:rsidRDefault="003B6D98" w:rsidP="00476B25">
            <w:pPr>
              <w:pStyle w:val="NormalWeb"/>
              <w:spacing w:after="40"/>
              <w:jc w:val="center"/>
              <w:rPr>
                <w:lang w:val="en-US"/>
              </w:rPr>
            </w:pPr>
            <w:r>
              <w:rPr>
                <w:lang w:val="en-US"/>
              </w:rPr>
              <w:t>1,551</w:t>
            </w:r>
            <w:r w:rsidRPr="00FF03DD">
              <w:rPr>
                <w:lang w:val="en-US"/>
              </w:rPr>
              <w:t xml:space="preserve"> (1</w:t>
            </w:r>
            <w:r>
              <w:rPr>
                <w:lang w:val="en-US"/>
              </w:rPr>
              <w:t>8</w:t>
            </w:r>
            <w:r w:rsidRPr="00FF03DD">
              <w:rPr>
                <w:lang w:val="en-US"/>
              </w:rPr>
              <w:t>)</w:t>
            </w:r>
          </w:p>
        </w:tc>
        <w:tc>
          <w:tcPr>
            <w:tcW w:w="1304" w:type="dxa"/>
            <w:gridSpan w:val="2"/>
          </w:tcPr>
          <w:p w14:paraId="5C2C9571" w14:textId="77777777" w:rsidR="003B6D98" w:rsidRPr="00FF03DD" w:rsidRDefault="003B6D98" w:rsidP="00476B25">
            <w:pPr>
              <w:pStyle w:val="NormalWeb"/>
              <w:spacing w:after="40"/>
              <w:jc w:val="center"/>
              <w:rPr>
                <w:lang w:val="en-US"/>
              </w:rPr>
            </w:pPr>
            <w:r w:rsidRPr="00FF03DD">
              <w:rPr>
                <w:lang w:val="en-US"/>
              </w:rPr>
              <w:t>48.</w:t>
            </w:r>
            <w:r>
              <w:rPr>
                <w:lang w:val="en-US"/>
              </w:rPr>
              <w:t>4 (15.9)</w:t>
            </w:r>
          </w:p>
        </w:tc>
        <w:tc>
          <w:tcPr>
            <w:tcW w:w="898" w:type="dxa"/>
            <w:gridSpan w:val="2"/>
          </w:tcPr>
          <w:p w14:paraId="356DEDA3" w14:textId="77777777" w:rsidR="003B6D98" w:rsidRPr="00FF03DD" w:rsidRDefault="003B6D98" w:rsidP="00476B25">
            <w:pPr>
              <w:pStyle w:val="NormalWeb"/>
              <w:jc w:val="center"/>
              <w:rPr>
                <w:lang w:val="en-US"/>
              </w:rPr>
            </w:pPr>
          </w:p>
        </w:tc>
      </w:tr>
      <w:tr w:rsidR="003B6D98" w:rsidRPr="00F840C4" w14:paraId="154C87F9" w14:textId="77777777" w:rsidTr="00476B25">
        <w:trPr>
          <w:gridAfter w:val="2"/>
          <w:wAfter w:w="78" w:type="dxa"/>
          <w:trHeight w:val="340"/>
        </w:trPr>
        <w:tc>
          <w:tcPr>
            <w:tcW w:w="1160" w:type="dxa"/>
            <w:vMerge/>
          </w:tcPr>
          <w:p w14:paraId="6DAB336C" w14:textId="77777777" w:rsidR="003B6D98" w:rsidRPr="00FF03DD" w:rsidRDefault="003B6D98" w:rsidP="00476B25">
            <w:pPr>
              <w:pStyle w:val="NormalWeb"/>
              <w:spacing w:after="40"/>
              <w:rPr>
                <w:lang w:val="en-US"/>
              </w:rPr>
            </w:pPr>
          </w:p>
        </w:tc>
        <w:tc>
          <w:tcPr>
            <w:tcW w:w="1384" w:type="dxa"/>
            <w:tcMar>
              <w:top w:w="0" w:type="dxa"/>
              <w:left w:w="108" w:type="dxa"/>
              <w:bottom w:w="0" w:type="dxa"/>
              <w:right w:w="108" w:type="dxa"/>
            </w:tcMar>
          </w:tcPr>
          <w:p w14:paraId="5BE09731" w14:textId="77777777" w:rsidR="003B6D98" w:rsidRPr="00FF03DD" w:rsidRDefault="003B6D98" w:rsidP="00476B25">
            <w:pPr>
              <w:pStyle w:val="NormalWeb"/>
              <w:spacing w:after="40"/>
              <w:rPr>
                <w:lang w:val="en-US"/>
              </w:rPr>
            </w:pPr>
            <w:r w:rsidRPr="00FF03DD">
              <w:rPr>
                <w:lang w:val="en-US"/>
              </w:rPr>
              <w:t>101-200</w:t>
            </w:r>
          </w:p>
        </w:tc>
        <w:tc>
          <w:tcPr>
            <w:tcW w:w="1191" w:type="dxa"/>
          </w:tcPr>
          <w:p w14:paraId="52150E70" w14:textId="77777777" w:rsidR="003B6D98" w:rsidRPr="00FF03DD" w:rsidRDefault="003B6D98" w:rsidP="00476B25">
            <w:pPr>
              <w:pStyle w:val="NormalWeb"/>
              <w:spacing w:after="40"/>
              <w:jc w:val="center"/>
              <w:rPr>
                <w:lang w:val="en-US"/>
              </w:rPr>
            </w:pPr>
            <w:r>
              <w:rPr>
                <w:lang w:val="en-US"/>
              </w:rPr>
              <w:t>1,467</w:t>
            </w:r>
            <w:r w:rsidRPr="00FF03DD">
              <w:rPr>
                <w:lang w:val="en-US"/>
              </w:rPr>
              <w:t xml:space="preserve"> (19)</w:t>
            </w:r>
          </w:p>
        </w:tc>
        <w:tc>
          <w:tcPr>
            <w:tcW w:w="1304" w:type="dxa"/>
            <w:tcMar>
              <w:top w:w="0" w:type="dxa"/>
              <w:left w:w="108" w:type="dxa"/>
              <w:bottom w:w="0" w:type="dxa"/>
              <w:right w:w="108" w:type="dxa"/>
            </w:tcMar>
          </w:tcPr>
          <w:p w14:paraId="0CD7BE26" w14:textId="77777777" w:rsidR="003B6D98" w:rsidRPr="00FF03DD" w:rsidRDefault="003B6D98" w:rsidP="00476B25">
            <w:pPr>
              <w:pStyle w:val="NormalWeb"/>
              <w:spacing w:after="40"/>
              <w:jc w:val="center"/>
              <w:rPr>
                <w:lang w:val="en-US"/>
              </w:rPr>
            </w:pPr>
            <w:r w:rsidRPr="00FF03DD">
              <w:rPr>
                <w:lang w:val="en-US"/>
              </w:rPr>
              <w:t>52.6</w:t>
            </w:r>
            <w:r>
              <w:rPr>
                <w:lang w:val="en-US"/>
              </w:rPr>
              <w:t xml:space="preserve"> </w:t>
            </w:r>
            <w:r w:rsidRPr="00FF03DD">
              <w:rPr>
                <w:lang w:val="en-US"/>
              </w:rPr>
              <w:t>(17.3)</w:t>
            </w:r>
          </w:p>
        </w:tc>
        <w:tc>
          <w:tcPr>
            <w:tcW w:w="890" w:type="dxa"/>
            <w:gridSpan w:val="2"/>
            <w:vMerge w:val="restart"/>
            <w:tcMar>
              <w:top w:w="0" w:type="dxa"/>
              <w:left w:w="108" w:type="dxa"/>
              <w:bottom w:w="0" w:type="dxa"/>
              <w:right w:w="108" w:type="dxa"/>
            </w:tcMar>
          </w:tcPr>
          <w:p w14:paraId="4BA67B04" w14:textId="77777777" w:rsidR="003B6D98" w:rsidRPr="00FF03DD" w:rsidRDefault="003B6D98" w:rsidP="00476B25">
            <w:pPr>
              <w:pStyle w:val="NormalWeb"/>
              <w:spacing w:after="40"/>
              <w:jc w:val="center"/>
              <w:rPr>
                <w:lang w:val="en-US"/>
              </w:rPr>
            </w:pPr>
          </w:p>
        </w:tc>
        <w:tc>
          <w:tcPr>
            <w:tcW w:w="1149" w:type="dxa"/>
            <w:gridSpan w:val="2"/>
          </w:tcPr>
          <w:p w14:paraId="4CCA1FAB" w14:textId="77777777" w:rsidR="003B6D98" w:rsidRPr="00FF03DD" w:rsidRDefault="003B6D98" w:rsidP="00476B25">
            <w:pPr>
              <w:pStyle w:val="NormalWeb"/>
              <w:spacing w:after="40"/>
              <w:jc w:val="center"/>
              <w:rPr>
                <w:lang w:val="en-US"/>
              </w:rPr>
            </w:pPr>
            <w:r w:rsidRPr="00FF03DD">
              <w:rPr>
                <w:lang w:val="en-US"/>
              </w:rPr>
              <w:t>1,</w:t>
            </w:r>
            <w:r>
              <w:rPr>
                <w:lang w:val="en-US"/>
              </w:rPr>
              <w:t>717</w:t>
            </w:r>
            <w:r w:rsidRPr="00FF03DD">
              <w:rPr>
                <w:lang w:val="en-US"/>
              </w:rPr>
              <w:t xml:space="preserve"> (</w:t>
            </w:r>
            <w:r>
              <w:rPr>
                <w:lang w:val="en-US"/>
              </w:rPr>
              <w:t>20</w:t>
            </w:r>
            <w:r w:rsidRPr="00FF03DD">
              <w:rPr>
                <w:lang w:val="en-US"/>
              </w:rPr>
              <w:t>)</w:t>
            </w:r>
          </w:p>
        </w:tc>
        <w:tc>
          <w:tcPr>
            <w:tcW w:w="1304" w:type="dxa"/>
            <w:gridSpan w:val="2"/>
          </w:tcPr>
          <w:p w14:paraId="012DCD73" w14:textId="77777777" w:rsidR="003B6D98" w:rsidRPr="00FF03DD" w:rsidRDefault="003B6D98" w:rsidP="00476B25">
            <w:pPr>
              <w:pStyle w:val="NormalWeb"/>
              <w:spacing w:after="40"/>
              <w:jc w:val="center"/>
              <w:rPr>
                <w:lang w:val="en-US"/>
              </w:rPr>
            </w:pPr>
            <w:r>
              <w:rPr>
                <w:lang w:val="en-US"/>
              </w:rPr>
              <w:t>49.7 (16.2)</w:t>
            </w:r>
          </w:p>
        </w:tc>
        <w:tc>
          <w:tcPr>
            <w:tcW w:w="898" w:type="dxa"/>
            <w:gridSpan w:val="2"/>
            <w:vMerge w:val="restart"/>
            <w:vAlign w:val="center"/>
          </w:tcPr>
          <w:p w14:paraId="552F5E96" w14:textId="77777777" w:rsidR="003B6D98" w:rsidRPr="00FF03DD" w:rsidRDefault="003B6D98" w:rsidP="00476B25">
            <w:pPr>
              <w:pStyle w:val="NormalWeb"/>
              <w:jc w:val="center"/>
              <w:rPr>
                <w:lang w:val="en-US"/>
              </w:rPr>
            </w:pPr>
          </w:p>
        </w:tc>
      </w:tr>
      <w:tr w:rsidR="003B6D98" w:rsidRPr="00F840C4" w14:paraId="794B1DA4" w14:textId="77777777" w:rsidTr="00476B25">
        <w:trPr>
          <w:gridAfter w:val="2"/>
          <w:wAfter w:w="78" w:type="dxa"/>
          <w:trHeight w:val="340"/>
        </w:trPr>
        <w:tc>
          <w:tcPr>
            <w:tcW w:w="1160" w:type="dxa"/>
            <w:vMerge/>
          </w:tcPr>
          <w:p w14:paraId="3409147B" w14:textId="77777777" w:rsidR="003B6D98" w:rsidRPr="00FF03DD" w:rsidRDefault="003B6D98" w:rsidP="00476B25">
            <w:pPr>
              <w:pStyle w:val="NormalWeb"/>
              <w:spacing w:after="40"/>
              <w:rPr>
                <w:lang w:val="en-US"/>
              </w:rPr>
            </w:pPr>
          </w:p>
        </w:tc>
        <w:tc>
          <w:tcPr>
            <w:tcW w:w="1384" w:type="dxa"/>
            <w:tcMar>
              <w:top w:w="0" w:type="dxa"/>
              <w:left w:w="108" w:type="dxa"/>
              <w:bottom w:w="0" w:type="dxa"/>
              <w:right w:w="108" w:type="dxa"/>
            </w:tcMar>
          </w:tcPr>
          <w:p w14:paraId="5B636EED" w14:textId="77777777" w:rsidR="003B6D98" w:rsidRPr="00FF03DD" w:rsidRDefault="003B6D98" w:rsidP="00476B25">
            <w:pPr>
              <w:pStyle w:val="NormalWeb"/>
              <w:spacing w:after="40"/>
              <w:rPr>
                <w:lang w:val="en-US"/>
              </w:rPr>
            </w:pPr>
            <w:r w:rsidRPr="00FF03DD">
              <w:rPr>
                <w:lang w:val="en-US"/>
              </w:rPr>
              <w:t>&gt;200</w:t>
            </w:r>
          </w:p>
        </w:tc>
        <w:tc>
          <w:tcPr>
            <w:tcW w:w="1191" w:type="dxa"/>
          </w:tcPr>
          <w:p w14:paraId="10A35570" w14:textId="77777777" w:rsidR="003B6D98" w:rsidRPr="00FF03DD" w:rsidRDefault="003B6D98" w:rsidP="00476B25">
            <w:pPr>
              <w:pStyle w:val="NormalWeb"/>
              <w:spacing w:after="40"/>
              <w:jc w:val="center"/>
              <w:rPr>
                <w:lang w:val="en-US"/>
              </w:rPr>
            </w:pPr>
            <w:r>
              <w:rPr>
                <w:lang w:val="en-US"/>
              </w:rPr>
              <w:t>1,935</w:t>
            </w:r>
            <w:r w:rsidRPr="00FF03DD">
              <w:rPr>
                <w:lang w:val="en-US"/>
              </w:rPr>
              <w:t xml:space="preserve"> (25)</w:t>
            </w:r>
          </w:p>
        </w:tc>
        <w:tc>
          <w:tcPr>
            <w:tcW w:w="1304" w:type="dxa"/>
            <w:tcMar>
              <w:top w:w="0" w:type="dxa"/>
              <w:left w:w="108" w:type="dxa"/>
              <w:bottom w:w="0" w:type="dxa"/>
              <w:right w:w="108" w:type="dxa"/>
            </w:tcMar>
          </w:tcPr>
          <w:p w14:paraId="65116D45" w14:textId="77777777" w:rsidR="003B6D98" w:rsidRPr="00FF03DD" w:rsidRDefault="003B6D98" w:rsidP="00476B25">
            <w:pPr>
              <w:pStyle w:val="NormalWeb"/>
              <w:spacing w:after="40"/>
              <w:jc w:val="center"/>
              <w:rPr>
                <w:lang w:val="en-US"/>
              </w:rPr>
            </w:pPr>
            <w:r w:rsidRPr="00FF03DD">
              <w:rPr>
                <w:lang w:val="en-US"/>
              </w:rPr>
              <w:t>52.2</w:t>
            </w:r>
            <w:r>
              <w:rPr>
                <w:lang w:val="en-US"/>
              </w:rPr>
              <w:t xml:space="preserve"> </w:t>
            </w:r>
            <w:r w:rsidRPr="00FF03DD">
              <w:rPr>
                <w:lang w:val="en-US"/>
              </w:rPr>
              <w:t>(17.1)</w:t>
            </w:r>
          </w:p>
        </w:tc>
        <w:tc>
          <w:tcPr>
            <w:tcW w:w="890" w:type="dxa"/>
            <w:gridSpan w:val="2"/>
            <w:vMerge/>
            <w:tcMar>
              <w:top w:w="0" w:type="dxa"/>
              <w:left w:w="108" w:type="dxa"/>
              <w:bottom w:w="0" w:type="dxa"/>
              <w:right w:w="108" w:type="dxa"/>
            </w:tcMar>
          </w:tcPr>
          <w:p w14:paraId="6899EA1F" w14:textId="77777777" w:rsidR="003B6D98" w:rsidRPr="00FF03DD" w:rsidRDefault="003B6D98" w:rsidP="00476B25">
            <w:pPr>
              <w:pStyle w:val="NormalWeb"/>
              <w:spacing w:after="40"/>
              <w:jc w:val="center"/>
              <w:rPr>
                <w:lang w:val="en-US"/>
              </w:rPr>
            </w:pPr>
          </w:p>
        </w:tc>
        <w:tc>
          <w:tcPr>
            <w:tcW w:w="1149" w:type="dxa"/>
            <w:gridSpan w:val="2"/>
          </w:tcPr>
          <w:p w14:paraId="73B7A357" w14:textId="77777777" w:rsidR="003B6D98" w:rsidRPr="00FF03DD" w:rsidRDefault="003B6D98" w:rsidP="00476B25">
            <w:pPr>
              <w:pStyle w:val="NormalWeb"/>
              <w:spacing w:after="40"/>
              <w:jc w:val="center"/>
              <w:rPr>
                <w:lang w:val="en-US"/>
              </w:rPr>
            </w:pPr>
            <w:r>
              <w:rPr>
                <w:lang w:val="en-US"/>
              </w:rPr>
              <w:t>3,258</w:t>
            </w:r>
            <w:r w:rsidRPr="00FF03DD">
              <w:rPr>
                <w:lang w:val="en-US"/>
              </w:rPr>
              <w:t xml:space="preserve"> (38)</w:t>
            </w:r>
          </w:p>
        </w:tc>
        <w:tc>
          <w:tcPr>
            <w:tcW w:w="1304" w:type="dxa"/>
            <w:gridSpan w:val="2"/>
          </w:tcPr>
          <w:p w14:paraId="67023903" w14:textId="77777777" w:rsidR="003B6D98" w:rsidRPr="00FF03DD" w:rsidRDefault="003B6D98" w:rsidP="00476B25">
            <w:pPr>
              <w:pStyle w:val="NormalWeb"/>
              <w:spacing w:after="40"/>
              <w:jc w:val="center"/>
              <w:rPr>
                <w:lang w:val="en-US"/>
              </w:rPr>
            </w:pPr>
            <w:r>
              <w:rPr>
                <w:lang w:val="en-US"/>
              </w:rPr>
              <w:t>50.4 (16.2)</w:t>
            </w:r>
          </w:p>
        </w:tc>
        <w:tc>
          <w:tcPr>
            <w:tcW w:w="898" w:type="dxa"/>
            <w:gridSpan w:val="2"/>
            <w:vMerge/>
            <w:vAlign w:val="center"/>
          </w:tcPr>
          <w:p w14:paraId="5B522465" w14:textId="77777777" w:rsidR="003B6D98" w:rsidRPr="00FF03DD" w:rsidRDefault="003B6D98" w:rsidP="00476B25">
            <w:pPr>
              <w:pStyle w:val="NormalWeb"/>
              <w:jc w:val="center"/>
              <w:rPr>
                <w:lang w:val="en-US"/>
              </w:rPr>
            </w:pPr>
          </w:p>
        </w:tc>
      </w:tr>
    </w:tbl>
    <w:p w14:paraId="51BD0C72" w14:textId="77777777" w:rsidR="003B6D98" w:rsidRDefault="003B6D98" w:rsidP="003B6D98">
      <w:pPr>
        <w:spacing w:after="0" w:line="240" w:lineRule="auto"/>
        <w:rPr>
          <w:rFonts w:eastAsia="Times New Roman"/>
          <w:lang w:eastAsia="fi-FI"/>
        </w:rPr>
      </w:pPr>
      <w:r w:rsidRPr="00F840C4">
        <w:rPr>
          <w:rFonts w:cs="Times New Roman"/>
          <w:vertAlign w:val="superscript"/>
        </w:rPr>
        <w:t>1</w:t>
      </w:r>
      <w:r>
        <w:rPr>
          <w:rFonts w:cs="Times New Roman"/>
        </w:rPr>
        <w:t>Mean score for a</w:t>
      </w:r>
      <w:r w:rsidRPr="00F840C4">
        <w:rPr>
          <w:rFonts w:cs="Times New Roman"/>
        </w:rPr>
        <w:t>dherence to N</w:t>
      </w:r>
      <w:r>
        <w:rPr>
          <w:rFonts w:cs="Times New Roman"/>
        </w:rPr>
        <w:t>ordic Nutrition Recommendation 2004</w:t>
      </w:r>
      <w:r w:rsidRPr="00F840C4">
        <w:rPr>
          <w:rFonts w:cs="Times New Roman"/>
        </w:rPr>
        <w:t xml:space="preserve">; </w:t>
      </w:r>
      <w:r w:rsidRPr="008742A0">
        <w:rPr>
          <w:rFonts w:cs="Times New Roman"/>
        </w:rPr>
        <w:t>t</w:t>
      </w:r>
      <w:r w:rsidRPr="008742A0">
        <w:rPr>
          <w:rFonts w:eastAsia="Times New Roman" w:cs="Times New Roman"/>
          <w:lang w:eastAsia="fi-FI"/>
        </w:rPr>
        <w:t>otal points</w:t>
      </w:r>
      <w:r>
        <w:rPr>
          <w:rFonts w:eastAsia="Times New Roman" w:cs="Times New Roman"/>
          <w:lang w:eastAsia="fi-FI"/>
        </w:rPr>
        <w:t xml:space="preserve"> based on 10 individual food items/groups</w:t>
      </w:r>
      <w:r w:rsidRPr="008742A0">
        <w:rPr>
          <w:rFonts w:eastAsia="Times New Roman" w:cs="Times New Roman"/>
          <w:lang w:eastAsia="fi-FI"/>
        </w:rPr>
        <w:t xml:space="preserve"> </w:t>
      </w:r>
      <w:r>
        <w:rPr>
          <w:rFonts w:eastAsia="Times New Roman" w:cs="Times New Roman"/>
          <w:lang w:eastAsia="fi-FI"/>
        </w:rPr>
        <w:t xml:space="preserve">for the dietary index </w:t>
      </w:r>
      <w:r w:rsidRPr="008742A0">
        <w:rPr>
          <w:rFonts w:eastAsia="Times New Roman"/>
          <w:lang w:eastAsia="fi-FI"/>
        </w:rPr>
        <w:t>scaled so that score can range from 0 to 100.</w:t>
      </w:r>
    </w:p>
    <w:p w14:paraId="5C935298" w14:textId="77777777" w:rsidR="003B6D98" w:rsidRPr="009F31C4" w:rsidRDefault="003B6D98" w:rsidP="003B6D98">
      <w:pPr>
        <w:spacing w:after="0" w:line="240" w:lineRule="auto"/>
        <w:rPr>
          <w:rFonts w:eastAsia="Times New Roman" w:cs="Times New Roman"/>
          <w:strike/>
          <w:lang w:eastAsia="fi-FI"/>
        </w:rPr>
      </w:pPr>
      <w:r w:rsidRPr="009F31C4">
        <w:rPr>
          <w:rFonts w:eastAsia="Times New Roman"/>
          <w:vertAlign w:val="superscript"/>
          <w:lang w:eastAsia="fi-FI"/>
        </w:rPr>
        <w:t>2</w:t>
      </w:r>
      <w:r>
        <w:rPr>
          <w:rFonts w:eastAsia="Times New Roman"/>
          <w:lang w:eastAsia="fi-FI"/>
        </w:rPr>
        <w:t xml:space="preserve"> Including vocational school</w:t>
      </w:r>
    </w:p>
    <w:p w14:paraId="1AD4819D" w14:textId="77777777" w:rsidR="003B6D98" w:rsidRDefault="003B6D98" w:rsidP="003B6D98">
      <w:pPr>
        <w:spacing w:after="0" w:line="240" w:lineRule="auto"/>
        <w:rPr>
          <w:rFonts w:eastAsia="Times New Roman"/>
          <w:lang w:eastAsia="fi-FI"/>
        </w:rPr>
      </w:pPr>
      <w:r>
        <w:rPr>
          <w:rFonts w:eastAsia="Times New Roman"/>
          <w:vertAlign w:val="superscript"/>
          <w:lang w:eastAsia="fi-FI"/>
        </w:rPr>
        <w:t>3</w:t>
      </w:r>
      <w:r w:rsidRPr="008952BF">
        <w:t xml:space="preserve"> </w:t>
      </w:r>
      <w:r w:rsidRPr="00BA2255">
        <w:rPr>
          <w:rFonts w:eastAsia="Times New Roman"/>
          <w:lang w:eastAsia="fi-FI"/>
        </w:rPr>
        <w:t>Over the last five years</w:t>
      </w:r>
    </w:p>
    <w:p w14:paraId="657D2931" w14:textId="77777777" w:rsidR="003B6D98" w:rsidRDefault="003B6D98" w:rsidP="003B6D98">
      <w:pPr>
        <w:spacing w:after="0" w:line="240" w:lineRule="auto"/>
        <w:rPr>
          <w:rFonts w:eastAsia="Times New Roman"/>
          <w:lang w:eastAsia="fi-FI"/>
        </w:rPr>
      </w:pPr>
      <w:r>
        <w:rPr>
          <w:rFonts w:eastAsia="Times New Roman"/>
          <w:vertAlign w:val="superscript"/>
          <w:lang w:eastAsia="fi-FI"/>
        </w:rPr>
        <w:t>4</w:t>
      </w:r>
      <w:r>
        <w:rPr>
          <w:rFonts w:eastAsia="Times New Roman"/>
          <w:lang w:eastAsia="fi-FI"/>
        </w:rPr>
        <w:t xml:space="preserve"> Adult population density within the 250mx250m neighborhood as proxy of </w:t>
      </w:r>
      <w:r w:rsidRPr="00497210">
        <w:rPr>
          <w:rFonts w:eastAsia="Times New Roman"/>
          <w:lang w:eastAsia="fi-FI"/>
        </w:rPr>
        <w:t>urbanicity</w:t>
      </w:r>
    </w:p>
    <w:p w14:paraId="0DA22FBF" w14:textId="77777777" w:rsidR="003B6D98" w:rsidRPr="00497210" w:rsidRDefault="003B6D98" w:rsidP="003B6D98">
      <w:pPr>
        <w:spacing w:after="0" w:line="240" w:lineRule="auto"/>
        <w:rPr>
          <w:rFonts w:eastAsia="Times New Roman"/>
          <w:lang w:eastAsia="fi-FI"/>
        </w:rPr>
      </w:pPr>
    </w:p>
    <w:p w14:paraId="220E57EE" w14:textId="77777777" w:rsidR="003B6D98" w:rsidRPr="00B7400F" w:rsidRDefault="003B6D98" w:rsidP="003B6D98">
      <w:pPr>
        <w:spacing w:line="240" w:lineRule="auto"/>
        <w:rPr>
          <w:rFonts w:cs="Times New Roman"/>
          <w:b/>
          <w:bCs/>
          <w:color w:val="FF0000"/>
          <w:szCs w:val="24"/>
        </w:rPr>
        <w:sectPr w:rsidR="003B6D98" w:rsidRPr="00B7400F" w:rsidSect="000D10F8">
          <w:footerReference w:type="default" r:id="rId8"/>
          <w:pgSz w:w="11907" w:h="16840" w:code="9"/>
          <w:pgMar w:top="1134" w:right="1134" w:bottom="1134" w:left="1134" w:header="709" w:footer="709" w:gutter="0"/>
          <w:cols w:space="708"/>
          <w:docGrid w:linePitch="360"/>
        </w:sectPr>
      </w:pPr>
    </w:p>
    <w:p w14:paraId="1B4FF904" w14:textId="77777777" w:rsidR="003B6D98" w:rsidRPr="00F840C4" w:rsidRDefault="003B6D98" w:rsidP="003B6D98">
      <w:pPr>
        <w:pStyle w:val="ListParagraph"/>
        <w:autoSpaceDE w:val="0"/>
        <w:autoSpaceDN w:val="0"/>
        <w:adjustRightInd w:val="0"/>
        <w:spacing w:after="0" w:line="240" w:lineRule="auto"/>
        <w:ind w:left="0"/>
        <w:rPr>
          <w:rFonts w:ascii="Times New Roman" w:hAnsi="Times New Roman" w:cs="Times New Roman"/>
          <w:bCs/>
          <w:sz w:val="24"/>
          <w:szCs w:val="24"/>
        </w:rPr>
      </w:pPr>
      <w:r w:rsidRPr="00F840C4">
        <w:rPr>
          <w:rFonts w:ascii="Times New Roman" w:hAnsi="Times New Roman" w:cs="Times New Roman"/>
          <w:b/>
          <w:bCs/>
          <w:sz w:val="24"/>
          <w:szCs w:val="24"/>
        </w:rPr>
        <w:lastRenderedPageBreak/>
        <w:t xml:space="preserve">Table 3. </w:t>
      </w:r>
      <w:r w:rsidRPr="000E0F07">
        <w:rPr>
          <w:rFonts w:ascii="Times New Roman" w:hAnsi="Times New Roman" w:cs="Times New Roman"/>
          <w:bCs/>
          <w:sz w:val="24"/>
          <w:szCs w:val="24"/>
        </w:rPr>
        <w:t>Adjusted</w:t>
      </w:r>
      <w:r>
        <w:rPr>
          <w:rFonts w:ascii="Times New Roman" w:hAnsi="Times New Roman" w:cs="Times New Roman"/>
          <w:bCs/>
          <w:sz w:val="24"/>
          <w:szCs w:val="24"/>
        </w:rPr>
        <w:t>*</w:t>
      </w:r>
      <w:r w:rsidRPr="000E0F07">
        <w:rPr>
          <w:rFonts w:ascii="Times New Roman" w:hAnsi="Times New Roman" w:cs="Times New Roman"/>
          <w:bCs/>
          <w:sz w:val="24"/>
          <w:szCs w:val="24"/>
        </w:rPr>
        <w:t xml:space="preserve"> prevalence (%)</w:t>
      </w:r>
      <w:r>
        <w:rPr>
          <w:rFonts w:ascii="Times New Roman" w:hAnsi="Times New Roman" w:cs="Times New Roman"/>
          <w:b/>
          <w:bCs/>
          <w:sz w:val="24"/>
          <w:szCs w:val="24"/>
        </w:rPr>
        <w:t xml:space="preserve"> </w:t>
      </w:r>
      <w:r w:rsidRPr="00DA49A1">
        <w:rPr>
          <w:rFonts w:ascii="Times New Roman" w:hAnsi="Times New Roman" w:cs="Times New Roman"/>
          <w:bCs/>
          <w:sz w:val="24"/>
          <w:szCs w:val="24"/>
        </w:rPr>
        <w:t>of participants (95% CI) adherent</w:t>
      </w:r>
      <w:r w:rsidRPr="00F840C4">
        <w:rPr>
          <w:rFonts w:ascii="Times New Roman" w:hAnsi="Times New Roman" w:cs="Times New Roman"/>
          <w:bCs/>
          <w:sz w:val="24"/>
          <w:szCs w:val="24"/>
        </w:rPr>
        <w:t xml:space="preserve"> to recommended amounts of individual food items by</w:t>
      </w:r>
      <w:r>
        <w:rPr>
          <w:rFonts w:ascii="Times New Roman" w:hAnsi="Times New Roman" w:cs="Times New Roman"/>
          <w:bCs/>
          <w:sz w:val="24"/>
          <w:szCs w:val="24"/>
        </w:rPr>
        <w:t xml:space="preserve"> </w:t>
      </w:r>
      <w:r w:rsidRPr="00DA49A1">
        <w:rPr>
          <w:rFonts w:ascii="Times New Roman" w:hAnsi="Times New Roman" w:cs="Times New Roman"/>
          <w:bCs/>
          <w:sz w:val="24"/>
          <w:szCs w:val="24"/>
        </w:rPr>
        <w:t>level of and changes in cumulative neighborhood SES</w:t>
      </w:r>
      <w:r w:rsidRPr="00F840C4">
        <w:rPr>
          <w:rFonts w:ascii="Times New Roman" w:hAnsi="Times New Roman" w:cs="Times New Roman"/>
          <w:bCs/>
          <w:sz w:val="24"/>
          <w:szCs w:val="24"/>
        </w:rPr>
        <w:t>.</w:t>
      </w:r>
    </w:p>
    <w:tbl>
      <w:tblPr>
        <w:tblStyle w:val="TableGrid"/>
        <w:tblW w:w="10145" w:type="dxa"/>
        <w:tblInd w:w="-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8"/>
        <w:gridCol w:w="1417"/>
        <w:gridCol w:w="1397"/>
        <w:gridCol w:w="1549"/>
        <w:gridCol w:w="1417"/>
        <w:gridCol w:w="1375"/>
        <w:gridCol w:w="892"/>
      </w:tblGrid>
      <w:tr w:rsidR="003B6D98" w:rsidRPr="00F840C4" w14:paraId="3667F201" w14:textId="77777777" w:rsidTr="00476B25">
        <w:tc>
          <w:tcPr>
            <w:tcW w:w="2098" w:type="dxa"/>
            <w:tcBorders>
              <w:top w:val="single" w:sz="4" w:space="0" w:color="auto"/>
              <w:bottom w:val="single" w:sz="4" w:space="0" w:color="auto"/>
            </w:tcBorders>
          </w:tcPr>
          <w:p w14:paraId="6610C0BA" w14:textId="77777777" w:rsidR="003B6D98" w:rsidRPr="00F840C4" w:rsidRDefault="003B6D98" w:rsidP="00476B25">
            <w:pPr>
              <w:autoSpaceDE w:val="0"/>
              <w:autoSpaceDN w:val="0"/>
              <w:adjustRightInd w:val="0"/>
              <w:rPr>
                <w:rFonts w:cs="Times New Roman"/>
                <w:b/>
                <w:bCs/>
                <w:szCs w:val="24"/>
              </w:rPr>
            </w:pPr>
          </w:p>
        </w:tc>
        <w:tc>
          <w:tcPr>
            <w:tcW w:w="7155" w:type="dxa"/>
            <w:gridSpan w:val="5"/>
            <w:tcBorders>
              <w:top w:val="single" w:sz="4" w:space="0" w:color="auto"/>
              <w:bottom w:val="single" w:sz="4" w:space="0" w:color="auto"/>
            </w:tcBorders>
          </w:tcPr>
          <w:p w14:paraId="2BBE9B34" w14:textId="77777777" w:rsidR="003B6D98" w:rsidRDefault="003B6D98" w:rsidP="00476B25">
            <w:pPr>
              <w:autoSpaceDE w:val="0"/>
              <w:autoSpaceDN w:val="0"/>
              <w:adjustRightInd w:val="0"/>
              <w:jc w:val="center"/>
              <w:rPr>
                <w:rFonts w:cs="Times New Roman"/>
                <w:b/>
                <w:bCs/>
                <w:szCs w:val="24"/>
              </w:rPr>
            </w:pPr>
            <w:r>
              <w:rPr>
                <w:rFonts w:cs="Times New Roman"/>
                <w:b/>
                <w:bCs/>
                <w:szCs w:val="24"/>
              </w:rPr>
              <w:t>Non-movers</w:t>
            </w:r>
          </w:p>
        </w:tc>
        <w:tc>
          <w:tcPr>
            <w:tcW w:w="892" w:type="dxa"/>
            <w:tcBorders>
              <w:top w:val="single" w:sz="4" w:space="0" w:color="auto"/>
              <w:left w:val="nil"/>
              <w:bottom w:val="single" w:sz="4" w:space="0" w:color="auto"/>
              <w:right w:val="nil"/>
            </w:tcBorders>
          </w:tcPr>
          <w:p w14:paraId="4A54E87D" w14:textId="77777777" w:rsidR="003B6D98" w:rsidRDefault="003B6D98" w:rsidP="00476B25">
            <w:pPr>
              <w:autoSpaceDE w:val="0"/>
              <w:autoSpaceDN w:val="0"/>
              <w:adjustRightInd w:val="0"/>
              <w:jc w:val="center"/>
              <w:rPr>
                <w:rFonts w:cs="Times New Roman"/>
                <w:b/>
                <w:bCs/>
                <w:szCs w:val="24"/>
              </w:rPr>
            </w:pPr>
          </w:p>
        </w:tc>
      </w:tr>
      <w:tr w:rsidR="003B6D98" w:rsidRPr="00F840C4" w14:paraId="4E82E6CC" w14:textId="77777777" w:rsidTr="00476B25">
        <w:tc>
          <w:tcPr>
            <w:tcW w:w="2098" w:type="dxa"/>
            <w:tcBorders>
              <w:top w:val="single" w:sz="4" w:space="0" w:color="auto"/>
              <w:bottom w:val="single" w:sz="4" w:space="0" w:color="auto"/>
            </w:tcBorders>
          </w:tcPr>
          <w:p w14:paraId="4CBBEE19" w14:textId="77777777" w:rsidR="003B6D98" w:rsidRPr="00F840C4" w:rsidRDefault="003B6D98" w:rsidP="00476B25">
            <w:pPr>
              <w:autoSpaceDE w:val="0"/>
              <w:autoSpaceDN w:val="0"/>
              <w:adjustRightInd w:val="0"/>
              <w:rPr>
                <w:rFonts w:cs="Times New Roman"/>
                <w:b/>
                <w:bCs/>
                <w:szCs w:val="24"/>
              </w:rPr>
            </w:pPr>
            <w:r w:rsidRPr="00F840C4">
              <w:rPr>
                <w:rFonts w:cs="Times New Roman"/>
                <w:b/>
                <w:bCs/>
                <w:szCs w:val="24"/>
              </w:rPr>
              <w:t>Food items</w:t>
            </w:r>
            <w:r>
              <w:rPr>
                <w:rFonts w:cs="Times New Roman"/>
                <w:b/>
                <w:bCs/>
                <w:szCs w:val="24"/>
              </w:rPr>
              <w:t>/groups</w:t>
            </w:r>
          </w:p>
        </w:tc>
        <w:tc>
          <w:tcPr>
            <w:tcW w:w="1417" w:type="dxa"/>
            <w:tcBorders>
              <w:top w:val="single" w:sz="4" w:space="0" w:color="auto"/>
              <w:bottom w:val="single" w:sz="4" w:space="0" w:color="auto"/>
            </w:tcBorders>
          </w:tcPr>
          <w:p w14:paraId="60AA17D6" w14:textId="77777777" w:rsidR="003B6D98" w:rsidRPr="00F840C4" w:rsidRDefault="003B6D98" w:rsidP="00476B25">
            <w:pPr>
              <w:autoSpaceDE w:val="0"/>
              <w:autoSpaceDN w:val="0"/>
              <w:adjustRightInd w:val="0"/>
              <w:jc w:val="center"/>
              <w:rPr>
                <w:rFonts w:cs="Times New Roman"/>
                <w:b/>
                <w:bCs/>
                <w:szCs w:val="24"/>
              </w:rPr>
            </w:pPr>
            <w:r>
              <w:rPr>
                <w:rFonts w:cs="Times New Roman"/>
                <w:b/>
                <w:bCs/>
                <w:szCs w:val="24"/>
              </w:rPr>
              <w:t>Very low</w:t>
            </w:r>
          </w:p>
          <w:p w14:paraId="78615603" w14:textId="77777777" w:rsidR="003B6D98" w:rsidRPr="00F840C4" w:rsidRDefault="003B6D98" w:rsidP="00476B25">
            <w:pPr>
              <w:autoSpaceDE w:val="0"/>
              <w:autoSpaceDN w:val="0"/>
              <w:adjustRightInd w:val="0"/>
              <w:jc w:val="center"/>
              <w:rPr>
                <w:rFonts w:cs="Times New Roman"/>
                <w:b/>
                <w:bCs/>
                <w:szCs w:val="24"/>
              </w:rPr>
            </w:pPr>
            <w:r w:rsidRPr="00F840C4">
              <w:rPr>
                <w:rFonts w:cs="Times New Roman"/>
                <w:b/>
                <w:bCs/>
                <w:szCs w:val="24"/>
              </w:rPr>
              <w:t>(n=</w:t>
            </w:r>
            <w:r>
              <w:rPr>
                <w:rFonts w:cs="Times New Roman"/>
                <w:b/>
                <w:bCs/>
                <w:szCs w:val="24"/>
              </w:rPr>
              <w:t>654</w:t>
            </w:r>
            <w:r w:rsidRPr="00F840C4">
              <w:rPr>
                <w:rFonts w:cs="Times New Roman"/>
                <w:b/>
                <w:bCs/>
                <w:szCs w:val="24"/>
              </w:rPr>
              <w:t>)</w:t>
            </w:r>
          </w:p>
        </w:tc>
        <w:tc>
          <w:tcPr>
            <w:tcW w:w="1397" w:type="dxa"/>
            <w:tcBorders>
              <w:top w:val="single" w:sz="4" w:space="0" w:color="auto"/>
              <w:bottom w:val="single" w:sz="4" w:space="0" w:color="auto"/>
            </w:tcBorders>
          </w:tcPr>
          <w:p w14:paraId="492DB929" w14:textId="77777777" w:rsidR="003B6D98" w:rsidRPr="00F840C4" w:rsidRDefault="003B6D98" w:rsidP="00476B25">
            <w:pPr>
              <w:autoSpaceDE w:val="0"/>
              <w:autoSpaceDN w:val="0"/>
              <w:adjustRightInd w:val="0"/>
              <w:jc w:val="center"/>
              <w:rPr>
                <w:rFonts w:cs="Times New Roman"/>
                <w:b/>
                <w:bCs/>
                <w:szCs w:val="24"/>
              </w:rPr>
            </w:pPr>
            <w:r>
              <w:rPr>
                <w:rFonts w:cs="Times New Roman"/>
                <w:b/>
                <w:bCs/>
                <w:szCs w:val="24"/>
              </w:rPr>
              <w:t>Low</w:t>
            </w:r>
          </w:p>
          <w:p w14:paraId="7A252E56" w14:textId="77777777" w:rsidR="003B6D98" w:rsidRPr="00F840C4" w:rsidRDefault="003B6D98" w:rsidP="00476B25">
            <w:pPr>
              <w:autoSpaceDE w:val="0"/>
              <w:autoSpaceDN w:val="0"/>
              <w:adjustRightInd w:val="0"/>
              <w:jc w:val="center"/>
              <w:rPr>
                <w:rFonts w:cs="Times New Roman"/>
                <w:b/>
                <w:bCs/>
                <w:szCs w:val="24"/>
                <w:highlight w:val="yellow"/>
              </w:rPr>
            </w:pPr>
            <w:r w:rsidRPr="00F840C4">
              <w:rPr>
                <w:rFonts w:cs="Times New Roman"/>
                <w:b/>
                <w:bCs/>
                <w:szCs w:val="24"/>
              </w:rPr>
              <w:t>(n=</w:t>
            </w:r>
            <w:r>
              <w:rPr>
                <w:rFonts w:cs="Times New Roman"/>
                <w:b/>
                <w:bCs/>
                <w:szCs w:val="24"/>
              </w:rPr>
              <w:t>843</w:t>
            </w:r>
            <w:r w:rsidRPr="00F840C4">
              <w:rPr>
                <w:rFonts w:cs="Times New Roman"/>
                <w:b/>
                <w:bCs/>
                <w:szCs w:val="24"/>
              </w:rPr>
              <w:t>)</w:t>
            </w:r>
          </w:p>
        </w:tc>
        <w:tc>
          <w:tcPr>
            <w:tcW w:w="1549" w:type="dxa"/>
            <w:tcBorders>
              <w:top w:val="single" w:sz="4" w:space="0" w:color="auto"/>
              <w:bottom w:val="single" w:sz="4" w:space="0" w:color="auto"/>
              <w:right w:val="nil"/>
            </w:tcBorders>
          </w:tcPr>
          <w:p w14:paraId="7F6F8E47" w14:textId="77777777" w:rsidR="003B6D98" w:rsidRPr="00F840C4" w:rsidRDefault="003B6D98" w:rsidP="00476B25">
            <w:pPr>
              <w:autoSpaceDE w:val="0"/>
              <w:autoSpaceDN w:val="0"/>
              <w:adjustRightInd w:val="0"/>
              <w:jc w:val="center"/>
              <w:rPr>
                <w:rFonts w:cs="Times New Roman"/>
                <w:b/>
                <w:bCs/>
                <w:szCs w:val="24"/>
              </w:rPr>
            </w:pPr>
            <w:r>
              <w:rPr>
                <w:rFonts w:cs="Times New Roman"/>
                <w:b/>
                <w:bCs/>
                <w:szCs w:val="24"/>
              </w:rPr>
              <w:t>Intermediate</w:t>
            </w:r>
          </w:p>
          <w:p w14:paraId="75B22F81" w14:textId="77777777" w:rsidR="003B6D98" w:rsidRPr="00F840C4" w:rsidRDefault="003B6D98" w:rsidP="00476B25">
            <w:pPr>
              <w:autoSpaceDE w:val="0"/>
              <w:autoSpaceDN w:val="0"/>
              <w:adjustRightInd w:val="0"/>
              <w:jc w:val="center"/>
              <w:rPr>
                <w:rFonts w:cs="Times New Roman"/>
                <w:b/>
                <w:bCs/>
                <w:szCs w:val="24"/>
                <w:highlight w:val="yellow"/>
              </w:rPr>
            </w:pPr>
            <w:r w:rsidRPr="00F840C4">
              <w:rPr>
                <w:rFonts w:cs="Times New Roman"/>
                <w:b/>
                <w:bCs/>
                <w:szCs w:val="24"/>
              </w:rPr>
              <w:t>(n=</w:t>
            </w:r>
            <w:r>
              <w:rPr>
                <w:rFonts w:cs="Times New Roman"/>
                <w:b/>
                <w:bCs/>
                <w:szCs w:val="24"/>
              </w:rPr>
              <w:t>3242</w:t>
            </w:r>
            <w:r w:rsidRPr="00F840C4">
              <w:rPr>
                <w:rFonts w:cs="Times New Roman"/>
                <w:b/>
                <w:bCs/>
                <w:szCs w:val="24"/>
              </w:rPr>
              <w:t>)</w:t>
            </w:r>
          </w:p>
        </w:tc>
        <w:tc>
          <w:tcPr>
            <w:tcW w:w="1417" w:type="dxa"/>
            <w:tcBorders>
              <w:top w:val="nil"/>
              <w:bottom w:val="single" w:sz="4" w:space="0" w:color="auto"/>
              <w:right w:val="nil"/>
            </w:tcBorders>
          </w:tcPr>
          <w:p w14:paraId="4FD54F7D" w14:textId="77777777" w:rsidR="003B6D98" w:rsidRDefault="003B6D98" w:rsidP="00476B25">
            <w:pPr>
              <w:autoSpaceDE w:val="0"/>
              <w:autoSpaceDN w:val="0"/>
              <w:adjustRightInd w:val="0"/>
              <w:jc w:val="center"/>
              <w:rPr>
                <w:rFonts w:cs="Times New Roman"/>
                <w:b/>
                <w:bCs/>
                <w:szCs w:val="24"/>
              </w:rPr>
            </w:pPr>
            <w:r>
              <w:rPr>
                <w:rFonts w:cs="Times New Roman"/>
                <w:b/>
                <w:bCs/>
                <w:szCs w:val="24"/>
              </w:rPr>
              <w:t>High</w:t>
            </w:r>
          </w:p>
          <w:p w14:paraId="45575057" w14:textId="77777777" w:rsidR="003B6D98" w:rsidRDefault="003B6D98" w:rsidP="00476B25">
            <w:pPr>
              <w:autoSpaceDE w:val="0"/>
              <w:autoSpaceDN w:val="0"/>
              <w:adjustRightInd w:val="0"/>
              <w:jc w:val="center"/>
              <w:rPr>
                <w:rFonts w:cs="Times New Roman"/>
                <w:b/>
                <w:bCs/>
                <w:szCs w:val="24"/>
              </w:rPr>
            </w:pPr>
            <w:r>
              <w:rPr>
                <w:rFonts w:cs="Times New Roman"/>
                <w:b/>
                <w:bCs/>
                <w:szCs w:val="24"/>
              </w:rPr>
              <w:t>(n=1759)</w:t>
            </w:r>
          </w:p>
        </w:tc>
        <w:tc>
          <w:tcPr>
            <w:tcW w:w="1375" w:type="dxa"/>
            <w:tcBorders>
              <w:top w:val="nil"/>
              <w:bottom w:val="single" w:sz="4" w:space="0" w:color="auto"/>
              <w:right w:val="nil"/>
            </w:tcBorders>
          </w:tcPr>
          <w:p w14:paraId="41B202F4" w14:textId="77777777" w:rsidR="003B6D98" w:rsidRDefault="003B6D98" w:rsidP="00476B25">
            <w:pPr>
              <w:autoSpaceDE w:val="0"/>
              <w:autoSpaceDN w:val="0"/>
              <w:adjustRightInd w:val="0"/>
              <w:jc w:val="center"/>
              <w:rPr>
                <w:rFonts w:cs="Times New Roman"/>
                <w:b/>
                <w:bCs/>
                <w:szCs w:val="24"/>
              </w:rPr>
            </w:pPr>
            <w:r>
              <w:rPr>
                <w:rFonts w:cs="Times New Roman"/>
                <w:b/>
                <w:bCs/>
                <w:szCs w:val="24"/>
              </w:rPr>
              <w:t>Very high</w:t>
            </w:r>
          </w:p>
          <w:p w14:paraId="65283350" w14:textId="77777777" w:rsidR="003B6D98" w:rsidRDefault="003B6D98" w:rsidP="00476B25">
            <w:pPr>
              <w:autoSpaceDE w:val="0"/>
              <w:autoSpaceDN w:val="0"/>
              <w:adjustRightInd w:val="0"/>
              <w:jc w:val="center"/>
              <w:rPr>
                <w:rFonts w:cs="Times New Roman"/>
                <w:b/>
                <w:bCs/>
                <w:szCs w:val="24"/>
              </w:rPr>
            </w:pPr>
            <w:r>
              <w:rPr>
                <w:rFonts w:cs="Times New Roman"/>
                <w:b/>
                <w:bCs/>
                <w:szCs w:val="24"/>
              </w:rPr>
              <w:t>(n=1206)</w:t>
            </w:r>
          </w:p>
        </w:tc>
        <w:tc>
          <w:tcPr>
            <w:tcW w:w="892" w:type="dxa"/>
            <w:tcBorders>
              <w:top w:val="single" w:sz="4" w:space="0" w:color="auto"/>
              <w:left w:val="nil"/>
              <w:bottom w:val="single" w:sz="4" w:space="0" w:color="auto"/>
              <w:right w:val="nil"/>
            </w:tcBorders>
          </w:tcPr>
          <w:p w14:paraId="52457AC0" w14:textId="77777777" w:rsidR="003B6D98" w:rsidRDefault="003B6D98" w:rsidP="00476B25">
            <w:pPr>
              <w:autoSpaceDE w:val="0"/>
              <w:autoSpaceDN w:val="0"/>
              <w:adjustRightInd w:val="0"/>
              <w:jc w:val="center"/>
              <w:rPr>
                <w:rFonts w:cs="Times New Roman"/>
                <w:b/>
                <w:bCs/>
                <w:szCs w:val="24"/>
              </w:rPr>
            </w:pPr>
            <w:r>
              <w:rPr>
                <w:rFonts w:cs="Times New Roman"/>
                <w:b/>
                <w:bCs/>
                <w:szCs w:val="24"/>
              </w:rPr>
              <w:t>P</w:t>
            </w:r>
            <w:r w:rsidRPr="00D54B99">
              <w:rPr>
                <w:rFonts w:cs="Times New Roman"/>
                <w:b/>
                <w:bCs/>
                <w:szCs w:val="24"/>
                <w:vertAlign w:val="subscript"/>
              </w:rPr>
              <w:t>trend</w:t>
            </w:r>
          </w:p>
        </w:tc>
      </w:tr>
      <w:tr w:rsidR="003B6D98" w:rsidRPr="00F840C4" w14:paraId="4999EF06" w14:textId="77777777" w:rsidTr="00476B25">
        <w:tc>
          <w:tcPr>
            <w:tcW w:w="2098" w:type="dxa"/>
          </w:tcPr>
          <w:p w14:paraId="0EDD1227" w14:textId="77777777" w:rsidR="003B6D98" w:rsidRPr="00F840C4" w:rsidRDefault="003B6D98" w:rsidP="00476B25">
            <w:pPr>
              <w:autoSpaceDE w:val="0"/>
              <w:autoSpaceDN w:val="0"/>
              <w:adjustRightInd w:val="0"/>
              <w:rPr>
                <w:rFonts w:cs="Times New Roman"/>
                <w:bCs/>
                <w:szCs w:val="24"/>
              </w:rPr>
            </w:pPr>
            <w:r w:rsidRPr="00F840C4">
              <w:rPr>
                <w:rFonts w:cs="Times New Roman"/>
                <w:bCs/>
                <w:szCs w:val="24"/>
              </w:rPr>
              <w:t>Dark bread</w:t>
            </w:r>
          </w:p>
          <w:p w14:paraId="520E272D" w14:textId="77777777" w:rsidR="003B6D98" w:rsidRPr="00CC55AD" w:rsidRDefault="003B6D98" w:rsidP="00476B25">
            <w:pPr>
              <w:autoSpaceDE w:val="0"/>
              <w:autoSpaceDN w:val="0"/>
              <w:adjustRightInd w:val="0"/>
              <w:rPr>
                <w:rFonts w:cs="Times New Roman"/>
                <w:bCs/>
                <w:i/>
                <w:sz w:val="20"/>
                <w:szCs w:val="20"/>
              </w:rPr>
            </w:pPr>
            <w:r w:rsidRPr="00CC55AD">
              <w:rPr>
                <w:rFonts w:ascii="Calibri" w:eastAsia="Times New Roman" w:hAnsi="Calibri" w:cs="Times New Roman"/>
                <w:i/>
                <w:color w:val="2E2E2E"/>
                <w:sz w:val="20"/>
                <w:szCs w:val="20"/>
                <w:lang w:eastAsia="fi-FI"/>
              </w:rPr>
              <w:t>≥</w:t>
            </w:r>
            <w:r w:rsidRPr="00CC55AD">
              <w:rPr>
                <w:rFonts w:eastAsia="Times New Roman" w:cs="Times New Roman"/>
                <w:i/>
                <w:color w:val="2E2E2E"/>
                <w:sz w:val="20"/>
                <w:szCs w:val="20"/>
                <w:lang w:eastAsia="fi-FI"/>
              </w:rPr>
              <w:t>2 / day</w:t>
            </w:r>
          </w:p>
        </w:tc>
        <w:tc>
          <w:tcPr>
            <w:tcW w:w="1417" w:type="dxa"/>
          </w:tcPr>
          <w:p w14:paraId="0401CE5B" w14:textId="77777777" w:rsidR="003B6D98" w:rsidRPr="00FA121A" w:rsidRDefault="003B6D98" w:rsidP="00476B25">
            <w:pPr>
              <w:autoSpaceDE w:val="0"/>
              <w:autoSpaceDN w:val="0"/>
              <w:adjustRightInd w:val="0"/>
              <w:jc w:val="center"/>
              <w:rPr>
                <w:rFonts w:cs="Times New Roman"/>
                <w:bCs/>
                <w:szCs w:val="24"/>
              </w:rPr>
            </w:pPr>
            <w:r>
              <w:rPr>
                <w:rFonts w:cs="Times New Roman"/>
                <w:bCs/>
                <w:szCs w:val="24"/>
              </w:rPr>
              <w:t>38 (35-41)</w:t>
            </w:r>
          </w:p>
        </w:tc>
        <w:tc>
          <w:tcPr>
            <w:tcW w:w="1397" w:type="dxa"/>
            <w:tcBorders>
              <w:top w:val="single" w:sz="4" w:space="0" w:color="auto"/>
            </w:tcBorders>
          </w:tcPr>
          <w:p w14:paraId="545626D7" w14:textId="77777777" w:rsidR="003B6D98" w:rsidRPr="00FA121A" w:rsidRDefault="003B6D98" w:rsidP="00476B25">
            <w:pPr>
              <w:autoSpaceDE w:val="0"/>
              <w:autoSpaceDN w:val="0"/>
              <w:adjustRightInd w:val="0"/>
              <w:jc w:val="center"/>
              <w:rPr>
                <w:rFonts w:cs="Times New Roman"/>
                <w:bCs/>
                <w:szCs w:val="24"/>
              </w:rPr>
            </w:pPr>
            <w:r>
              <w:rPr>
                <w:rFonts w:cs="Times New Roman"/>
                <w:bCs/>
                <w:szCs w:val="24"/>
              </w:rPr>
              <w:t>37  (34-40)</w:t>
            </w:r>
          </w:p>
        </w:tc>
        <w:tc>
          <w:tcPr>
            <w:tcW w:w="1549" w:type="dxa"/>
            <w:tcBorders>
              <w:top w:val="single" w:sz="4" w:space="0" w:color="auto"/>
              <w:right w:val="nil"/>
            </w:tcBorders>
          </w:tcPr>
          <w:p w14:paraId="081CDF46" w14:textId="77777777" w:rsidR="003B6D98" w:rsidRPr="00FA121A" w:rsidRDefault="003B6D98" w:rsidP="00476B25">
            <w:pPr>
              <w:autoSpaceDE w:val="0"/>
              <w:autoSpaceDN w:val="0"/>
              <w:adjustRightInd w:val="0"/>
              <w:jc w:val="center"/>
              <w:rPr>
                <w:rFonts w:cs="Times New Roman"/>
                <w:bCs/>
                <w:szCs w:val="24"/>
              </w:rPr>
            </w:pPr>
            <w:r>
              <w:rPr>
                <w:rFonts w:cs="Times New Roman"/>
                <w:bCs/>
                <w:szCs w:val="24"/>
              </w:rPr>
              <w:t>38 (36-39)</w:t>
            </w:r>
          </w:p>
        </w:tc>
        <w:tc>
          <w:tcPr>
            <w:tcW w:w="1417" w:type="dxa"/>
            <w:tcBorders>
              <w:top w:val="single" w:sz="4" w:space="0" w:color="auto"/>
              <w:right w:val="nil"/>
            </w:tcBorders>
          </w:tcPr>
          <w:p w14:paraId="56AE39C0" w14:textId="77777777" w:rsidR="003B6D98" w:rsidRDefault="003B6D98" w:rsidP="00476B25">
            <w:pPr>
              <w:autoSpaceDE w:val="0"/>
              <w:autoSpaceDN w:val="0"/>
              <w:adjustRightInd w:val="0"/>
              <w:jc w:val="center"/>
              <w:rPr>
                <w:rFonts w:cs="Times New Roman"/>
                <w:bCs/>
                <w:szCs w:val="24"/>
              </w:rPr>
            </w:pPr>
            <w:r>
              <w:rPr>
                <w:rFonts w:cs="Times New Roman"/>
                <w:bCs/>
                <w:szCs w:val="24"/>
              </w:rPr>
              <w:t>37 (35-39)</w:t>
            </w:r>
          </w:p>
        </w:tc>
        <w:tc>
          <w:tcPr>
            <w:tcW w:w="1375" w:type="dxa"/>
            <w:tcBorders>
              <w:top w:val="single" w:sz="4" w:space="0" w:color="auto"/>
              <w:right w:val="nil"/>
            </w:tcBorders>
          </w:tcPr>
          <w:p w14:paraId="74EA52DD" w14:textId="77777777" w:rsidR="003B6D98" w:rsidRDefault="003B6D98" w:rsidP="00476B25">
            <w:pPr>
              <w:autoSpaceDE w:val="0"/>
              <w:autoSpaceDN w:val="0"/>
              <w:adjustRightInd w:val="0"/>
              <w:jc w:val="center"/>
              <w:rPr>
                <w:rFonts w:cs="Times New Roman"/>
                <w:bCs/>
                <w:szCs w:val="24"/>
              </w:rPr>
            </w:pPr>
            <w:r>
              <w:rPr>
                <w:rFonts w:cs="Times New Roman"/>
                <w:bCs/>
                <w:szCs w:val="24"/>
              </w:rPr>
              <w:t>32 (30-35)</w:t>
            </w:r>
          </w:p>
        </w:tc>
        <w:tc>
          <w:tcPr>
            <w:tcW w:w="892" w:type="dxa"/>
            <w:tcBorders>
              <w:top w:val="single" w:sz="4" w:space="0" w:color="auto"/>
              <w:left w:val="nil"/>
              <w:bottom w:val="nil"/>
              <w:right w:val="nil"/>
            </w:tcBorders>
          </w:tcPr>
          <w:p w14:paraId="5C79D980" w14:textId="77777777" w:rsidR="003B6D98" w:rsidRPr="00FA121A" w:rsidRDefault="003B6D98" w:rsidP="00476B25">
            <w:pPr>
              <w:autoSpaceDE w:val="0"/>
              <w:autoSpaceDN w:val="0"/>
              <w:adjustRightInd w:val="0"/>
              <w:jc w:val="center"/>
              <w:rPr>
                <w:rFonts w:cs="Times New Roman"/>
                <w:bCs/>
                <w:szCs w:val="24"/>
              </w:rPr>
            </w:pPr>
            <w:r>
              <w:rPr>
                <w:rFonts w:cs="Times New Roman"/>
                <w:bCs/>
                <w:szCs w:val="24"/>
              </w:rPr>
              <w:t>0.003</w:t>
            </w:r>
          </w:p>
        </w:tc>
      </w:tr>
      <w:tr w:rsidR="003B6D98" w:rsidRPr="00F840C4" w14:paraId="6B48905A" w14:textId="77777777" w:rsidTr="00476B25">
        <w:tc>
          <w:tcPr>
            <w:tcW w:w="2098" w:type="dxa"/>
          </w:tcPr>
          <w:p w14:paraId="317385C2" w14:textId="77777777" w:rsidR="003B6D98" w:rsidRPr="00F840C4" w:rsidRDefault="003B6D98" w:rsidP="00476B25">
            <w:pPr>
              <w:autoSpaceDE w:val="0"/>
              <w:autoSpaceDN w:val="0"/>
              <w:adjustRightInd w:val="0"/>
              <w:rPr>
                <w:rFonts w:cs="Times New Roman"/>
                <w:bCs/>
                <w:szCs w:val="24"/>
              </w:rPr>
            </w:pPr>
            <w:r w:rsidRPr="00F840C4">
              <w:rPr>
                <w:rFonts w:cs="Times New Roman"/>
                <w:bCs/>
                <w:szCs w:val="24"/>
              </w:rPr>
              <w:t>Pastries</w:t>
            </w:r>
            <w:r>
              <w:rPr>
                <w:rFonts w:cs="Times New Roman"/>
                <w:bCs/>
                <w:szCs w:val="24"/>
              </w:rPr>
              <w:t xml:space="preserve">, </w:t>
            </w:r>
            <w:r w:rsidRPr="00F840C4">
              <w:rPr>
                <w:rFonts w:cs="Times New Roman"/>
                <w:bCs/>
                <w:szCs w:val="24"/>
              </w:rPr>
              <w:t>sweets</w:t>
            </w:r>
          </w:p>
          <w:p w14:paraId="37DF2F61" w14:textId="77777777" w:rsidR="003B6D98" w:rsidRPr="00CC55AD" w:rsidRDefault="003B6D98" w:rsidP="00476B25">
            <w:pPr>
              <w:autoSpaceDE w:val="0"/>
              <w:autoSpaceDN w:val="0"/>
              <w:adjustRightInd w:val="0"/>
              <w:rPr>
                <w:rFonts w:cs="Times New Roman"/>
                <w:b/>
                <w:bCs/>
                <w:i/>
                <w:sz w:val="20"/>
                <w:szCs w:val="20"/>
              </w:rPr>
            </w:pPr>
            <w:r w:rsidRPr="00CC55AD">
              <w:rPr>
                <w:rFonts w:eastAsia="Times New Roman" w:cs="Times New Roman"/>
                <w:i/>
                <w:color w:val="2E2E2E"/>
                <w:sz w:val="20"/>
                <w:szCs w:val="20"/>
                <w:lang w:eastAsia="fi-FI"/>
              </w:rPr>
              <w:t>≤ 1-2 / week</w:t>
            </w:r>
          </w:p>
        </w:tc>
        <w:tc>
          <w:tcPr>
            <w:tcW w:w="1417" w:type="dxa"/>
          </w:tcPr>
          <w:p w14:paraId="08297628" w14:textId="77777777" w:rsidR="003B6D98" w:rsidRPr="00FA121A" w:rsidRDefault="003B6D98" w:rsidP="00476B25">
            <w:pPr>
              <w:autoSpaceDE w:val="0"/>
              <w:autoSpaceDN w:val="0"/>
              <w:adjustRightInd w:val="0"/>
              <w:jc w:val="center"/>
              <w:rPr>
                <w:rFonts w:cs="Times New Roman"/>
                <w:szCs w:val="24"/>
              </w:rPr>
            </w:pPr>
            <w:r>
              <w:rPr>
                <w:rFonts w:cs="Times New Roman"/>
                <w:szCs w:val="24"/>
              </w:rPr>
              <w:t>47 (43-51)</w:t>
            </w:r>
          </w:p>
        </w:tc>
        <w:tc>
          <w:tcPr>
            <w:tcW w:w="1397" w:type="dxa"/>
          </w:tcPr>
          <w:p w14:paraId="39A68ECF" w14:textId="77777777" w:rsidR="003B6D98" w:rsidRPr="00B24A5C" w:rsidRDefault="003B6D98" w:rsidP="00476B25">
            <w:pPr>
              <w:autoSpaceDE w:val="0"/>
              <w:autoSpaceDN w:val="0"/>
              <w:adjustRightInd w:val="0"/>
              <w:jc w:val="center"/>
              <w:rPr>
                <w:rFonts w:cs="Times New Roman"/>
                <w:bCs/>
                <w:szCs w:val="24"/>
              </w:rPr>
            </w:pPr>
            <w:r>
              <w:rPr>
                <w:rFonts w:cs="Times New Roman"/>
                <w:bCs/>
                <w:szCs w:val="24"/>
              </w:rPr>
              <w:t>46 (42-49)</w:t>
            </w:r>
          </w:p>
        </w:tc>
        <w:tc>
          <w:tcPr>
            <w:tcW w:w="1549" w:type="dxa"/>
            <w:tcBorders>
              <w:right w:val="nil"/>
            </w:tcBorders>
          </w:tcPr>
          <w:p w14:paraId="45C17078" w14:textId="77777777" w:rsidR="003B6D98" w:rsidRPr="00B24A5C" w:rsidRDefault="003B6D98" w:rsidP="00476B25">
            <w:pPr>
              <w:autoSpaceDE w:val="0"/>
              <w:autoSpaceDN w:val="0"/>
              <w:adjustRightInd w:val="0"/>
              <w:jc w:val="center"/>
              <w:rPr>
                <w:rFonts w:cs="Times New Roman"/>
                <w:bCs/>
                <w:szCs w:val="24"/>
              </w:rPr>
            </w:pPr>
            <w:r>
              <w:rPr>
                <w:rFonts w:cs="Times New Roman"/>
                <w:bCs/>
                <w:szCs w:val="24"/>
              </w:rPr>
              <w:t>46 (44-48)</w:t>
            </w:r>
          </w:p>
        </w:tc>
        <w:tc>
          <w:tcPr>
            <w:tcW w:w="1417" w:type="dxa"/>
            <w:tcBorders>
              <w:right w:val="nil"/>
            </w:tcBorders>
          </w:tcPr>
          <w:p w14:paraId="29047A32" w14:textId="77777777" w:rsidR="003B6D98" w:rsidRDefault="003B6D98" w:rsidP="00476B25">
            <w:pPr>
              <w:autoSpaceDE w:val="0"/>
              <w:autoSpaceDN w:val="0"/>
              <w:adjustRightInd w:val="0"/>
              <w:jc w:val="center"/>
              <w:rPr>
                <w:rFonts w:cs="Times New Roman"/>
                <w:bCs/>
                <w:szCs w:val="24"/>
              </w:rPr>
            </w:pPr>
            <w:r>
              <w:rPr>
                <w:rFonts w:cs="Times New Roman"/>
                <w:bCs/>
                <w:szCs w:val="24"/>
              </w:rPr>
              <w:t>48</w:t>
            </w:r>
            <w:r w:rsidRPr="00C22795">
              <w:rPr>
                <w:rFonts w:cs="Times New Roman"/>
                <w:bCs/>
                <w:szCs w:val="24"/>
              </w:rPr>
              <w:t xml:space="preserve"> (4</w:t>
            </w:r>
            <w:r>
              <w:rPr>
                <w:rFonts w:cs="Times New Roman"/>
                <w:bCs/>
                <w:szCs w:val="24"/>
              </w:rPr>
              <w:t>5</w:t>
            </w:r>
            <w:r w:rsidRPr="00C22795">
              <w:rPr>
                <w:rFonts w:cs="Times New Roman"/>
                <w:bCs/>
                <w:szCs w:val="24"/>
              </w:rPr>
              <w:t>-</w:t>
            </w:r>
            <w:r>
              <w:rPr>
                <w:rFonts w:cs="Times New Roman"/>
                <w:bCs/>
                <w:szCs w:val="24"/>
              </w:rPr>
              <w:t>50</w:t>
            </w:r>
            <w:r w:rsidRPr="00C22795">
              <w:rPr>
                <w:rFonts w:cs="Times New Roman"/>
                <w:bCs/>
                <w:szCs w:val="24"/>
              </w:rPr>
              <w:t>)</w:t>
            </w:r>
          </w:p>
        </w:tc>
        <w:tc>
          <w:tcPr>
            <w:tcW w:w="1375" w:type="dxa"/>
            <w:tcBorders>
              <w:right w:val="nil"/>
            </w:tcBorders>
          </w:tcPr>
          <w:p w14:paraId="2BD09866" w14:textId="77777777" w:rsidR="003B6D98" w:rsidRDefault="003B6D98" w:rsidP="00476B25">
            <w:pPr>
              <w:autoSpaceDE w:val="0"/>
              <w:autoSpaceDN w:val="0"/>
              <w:adjustRightInd w:val="0"/>
              <w:jc w:val="center"/>
              <w:rPr>
                <w:rFonts w:cs="Times New Roman"/>
                <w:bCs/>
                <w:szCs w:val="24"/>
              </w:rPr>
            </w:pPr>
            <w:r>
              <w:rPr>
                <w:rFonts w:cs="Times New Roman"/>
                <w:bCs/>
                <w:szCs w:val="24"/>
              </w:rPr>
              <w:t>52</w:t>
            </w:r>
            <w:r w:rsidRPr="00C22795">
              <w:rPr>
                <w:rFonts w:cs="Times New Roman"/>
                <w:bCs/>
                <w:szCs w:val="24"/>
              </w:rPr>
              <w:t xml:space="preserve"> (4</w:t>
            </w:r>
            <w:r>
              <w:rPr>
                <w:rFonts w:cs="Times New Roman"/>
                <w:bCs/>
                <w:szCs w:val="24"/>
              </w:rPr>
              <w:t>9</w:t>
            </w:r>
            <w:r w:rsidRPr="00C22795">
              <w:rPr>
                <w:rFonts w:cs="Times New Roman"/>
                <w:bCs/>
                <w:szCs w:val="24"/>
              </w:rPr>
              <w:t>-</w:t>
            </w:r>
            <w:r>
              <w:rPr>
                <w:rFonts w:cs="Times New Roman"/>
                <w:bCs/>
                <w:szCs w:val="24"/>
              </w:rPr>
              <w:t>52</w:t>
            </w:r>
            <w:r w:rsidRPr="00C22795">
              <w:rPr>
                <w:rFonts w:cs="Times New Roman"/>
                <w:bCs/>
                <w:szCs w:val="24"/>
              </w:rPr>
              <w:t>)</w:t>
            </w:r>
          </w:p>
        </w:tc>
        <w:tc>
          <w:tcPr>
            <w:tcW w:w="892" w:type="dxa"/>
            <w:tcBorders>
              <w:top w:val="nil"/>
              <w:left w:val="nil"/>
              <w:bottom w:val="nil"/>
              <w:right w:val="nil"/>
            </w:tcBorders>
          </w:tcPr>
          <w:p w14:paraId="7C73386C" w14:textId="77777777" w:rsidR="003B6D98" w:rsidRPr="00B24A5C" w:rsidRDefault="003B6D98" w:rsidP="00476B25">
            <w:pPr>
              <w:autoSpaceDE w:val="0"/>
              <w:autoSpaceDN w:val="0"/>
              <w:adjustRightInd w:val="0"/>
              <w:jc w:val="center"/>
              <w:rPr>
                <w:rFonts w:cs="Times New Roman"/>
                <w:bCs/>
                <w:szCs w:val="24"/>
              </w:rPr>
            </w:pPr>
            <w:r>
              <w:rPr>
                <w:rFonts w:cs="Times New Roman"/>
                <w:bCs/>
                <w:szCs w:val="24"/>
              </w:rPr>
              <w:t>0.008</w:t>
            </w:r>
          </w:p>
        </w:tc>
      </w:tr>
      <w:tr w:rsidR="003B6D98" w:rsidRPr="00F840C4" w14:paraId="1DBE3B33" w14:textId="77777777" w:rsidTr="00476B25">
        <w:tc>
          <w:tcPr>
            <w:tcW w:w="2098" w:type="dxa"/>
          </w:tcPr>
          <w:p w14:paraId="59D6B61E" w14:textId="77777777" w:rsidR="003B6D98" w:rsidRPr="00F840C4" w:rsidRDefault="003B6D98" w:rsidP="00476B25">
            <w:pPr>
              <w:autoSpaceDE w:val="0"/>
              <w:autoSpaceDN w:val="0"/>
              <w:adjustRightInd w:val="0"/>
              <w:rPr>
                <w:rFonts w:eastAsia="Times New Roman" w:cs="Times New Roman"/>
                <w:color w:val="2E2E2E"/>
                <w:szCs w:val="24"/>
                <w:lang w:eastAsia="fi-FI"/>
              </w:rPr>
            </w:pPr>
            <w:r w:rsidRPr="00F840C4">
              <w:rPr>
                <w:rFonts w:cs="Times New Roman"/>
                <w:bCs/>
                <w:szCs w:val="24"/>
              </w:rPr>
              <w:t>Fat free milk</w:t>
            </w:r>
            <w:r w:rsidRPr="00F840C4">
              <w:rPr>
                <w:rFonts w:eastAsia="Times New Roman" w:cs="Times New Roman"/>
                <w:color w:val="2E2E2E"/>
                <w:szCs w:val="24"/>
                <w:lang w:eastAsia="fi-FI"/>
              </w:rPr>
              <w:t xml:space="preserve"> </w:t>
            </w:r>
          </w:p>
          <w:p w14:paraId="1D158C9E" w14:textId="77777777" w:rsidR="003B6D98" w:rsidRPr="00CC55AD" w:rsidRDefault="003B6D98" w:rsidP="00476B25">
            <w:pPr>
              <w:autoSpaceDE w:val="0"/>
              <w:autoSpaceDN w:val="0"/>
              <w:adjustRightInd w:val="0"/>
              <w:rPr>
                <w:rFonts w:cs="Times New Roman"/>
                <w:bCs/>
                <w:i/>
                <w:sz w:val="20"/>
                <w:szCs w:val="20"/>
              </w:rPr>
            </w:pPr>
            <w:r w:rsidRPr="00CC55AD">
              <w:rPr>
                <w:rFonts w:ascii="Calibri" w:eastAsia="Times New Roman" w:hAnsi="Calibri" w:cs="Times New Roman"/>
                <w:i/>
                <w:color w:val="2E2E2E"/>
                <w:sz w:val="20"/>
                <w:szCs w:val="20"/>
                <w:lang w:eastAsia="fi-FI"/>
              </w:rPr>
              <w:t>≥ 1</w:t>
            </w:r>
            <w:r w:rsidRPr="00CC55AD">
              <w:rPr>
                <w:rFonts w:eastAsia="Times New Roman" w:cs="Times New Roman"/>
                <w:i/>
                <w:color w:val="2E2E2E"/>
                <w:sz w:val="20"/>
                <w:szCs w:val="20"/>
                <w:lang w:eastAsia="fi-FI"/>
              </w:rPr>
              <w:t xml:space="preserve"> / day</w:t>
            </w:r>
          </w:p>
        </w:tc>
        <w:tc>
          <w:tcPr>
            <w:tcW w:w="1417" w:type="dxa"/>
          </w:tcPr>
          <w:p w14:paraId="5EC05C91" w14:textId="77777777" w:rsidR="003B6D98" w:rsidRPr="00FA121A" w:rsidRDefault="003B6D98" w:rsidP="00476B25">
            <w:pPr>
              <w:autoSpaceDE w:val="0"/>
              <w:autoSpaceDN w:val="0"/>
              <w:adjustRightInd w:val="0"/>
              <w:jc w:val="center"/>
              <w:rPr>
                <w:rFonts w:cs="Times New Roman"/>
                <w:szCs w:val="24"/>
              </w:rPr>
            </w:pPr>
            <w:r>
              <w:rPr>
                <w:rFonts w:cs="Times New Roman"/>
                <w:szCs w:val="24"/>
              </w:rPr>
              <w:t>41 (37-45)</w:t>
            </w:r>
          </w:p>
        </w:tc>
        <w:tc>
          <w:tcPr>
            <w:tcW w:w="1397" w:type="dxa"/>
          </w:tcPr>
          <w:p w14:paraId="14AC1858" w14:textId="77777777" w:rsidR="003B6D98" w:rsidRPr="002F6D7C" w:rsidRDefault="003B6D98" w:rsidP="00476B25">
            <w:pPr>
              <w:autoSpaceDE w:val="0"/>
              <w:autoSpaceDN w:val="0"/>
              <w:adjustRightInd w:val="0"/>
              <w:jc w:val="center"/>
              <w:rPr>
                <w:rFonts w:cs="Times New Roman"/>
                <w:bCs/>
                <w:szCs w:val="24"/>
              </w:rPr>
            </w:pPr>
            <w:r>
              <w:rPr>
                <w:rFonts w:cs="Times New Roman"/>
                <w:bCs/>
                <w:szCs w:val="24"/>
              </w:rPr>
              <w:t>41 (38-45)</w:t>
            </w:r>
          </w:p>
        </w:tc>
        <w:tc>
          <w:tcPr>
            <w:tcW w:w="1549" w:type="dxa"/>
            <w:tcBorders>
              <w:right w:val="nil"/>
            </w:tcBorders>
          </w:tcPr>
          <w:p w14:paraId="292EB080" w14:textId="77777777" w:rsidR="003B6D98" w:rsidRPr="002F6D7C" w:rsidRDefault="003B6D98" w:rsidP="00476B25">
            <w:pPr>
              <w:autoSpaceDE w:val="0"/>
              <w:autoSpaceDN w:val="0"/>
              <w:adjustRightInd w:val="0"/>
              <w:jc w:val="center"/>
              <w:rPr>
                <w:rFonts w:cs="Times New Roman"/>
                <w:bCs/>
                <w:szCs w:val="24"/>
              </w:rPr>
            </w:pPr>
            <w:r>
              <w:rPr>
                <w:rFonts w:cs="Times New Roman"/>
                <w:bCs/>
                <w:szCs w:val="24"/>
              </w:rPr>
              <w:t>43 (41-44)</w:t>
            </w:r>
          </w:p>
        </w:tc>
        <w:tc>
          <w:tcPr>
            <w:tcW w:w="1417" w:type="dxa"/>
            <w:tcBorders>
              <w:right w:val="nil"/>
            </w:tcBorders>
          </w:tcPr>
          <w:p w14:paraId="7F35F1BE" w14:textId="77777777" w:rsidR="003B6D98" w:rsidRDefault="003B6D98" w:rsidP="00476B25">
            <w:pPr>
              <w:autoSpaceDE w:val="0"/>
              <w:autoSpaceDN w:val="0"/>
              <w:adjustRightInd w:val="0"/>
              <w:jc w:val="center"/>
              <w:rPr>
                <w:rFonts w:cs="Times New Roman"/>
                <w:bCs/>
                <w:szCs w:val="24"/>
              </w:rPr>
            </w:pPr>
            <w:r>
              <w:rPr>
                <w:rFonts w:cs="Times New Roman"/>
                <w:bCs/>
                <w:szCs w:val="24"/>
              </w:rPr>
              <w:t>42</w:t>
            </w:r>
            <w:r w:rsidRPr="00C22795">
              <w:rPr>
                <w:rFonts w:cs="Times New Roman"/>
                <w:bCs/>
                <w:szCs w:val="24"/>
              </w:rPr>
              <w:t xml:space="preserve"> (3</w:t>
            </w:r>
            <w:r>
              <w:rPr>
                <w:rFonts w:cs="Times New Roman"/>
                <w:bCs/>
                <w:szCs w:val="24"/>
              </w:rPr>
              <w:t>9</w:t>
            </w:r>
            <w:r w:rsidRPr="00C22795">
              <w:rPr>
                <w:rFonts w:cs="Times New Roman"/>
                <w:bCs/>
                <w:szCs w:val="24"/>
              </w:rPr>
              <w:t>-</w:t>
            </w:r>
            <w:r>
              <w:rPr>
                <w:rFonts w:cs="Times New Roman"/>
                <w:bCs/>
                <w:szCs w:val="24"/>
              </w:rPr>
              <w:t>44</w:t>
            </w:r>
            <w:r w:rsidRPr="00C22795">
              <w:rPr>
                <w:rFonts w:cs="Times New Roman"/>
                <w:bCs/>
                <w:szCs w:val="24"/>
              </w:rPr>
              <w:t>)</w:t>
            </w:r>
          </w:p>
        </w:tc>
        <w:tc>
          <w:tcPr>
            <w:tcW w:w="1375" w:type="dxa"/>
            <w:tcBorders>
              <w:right w:val="nil"/>
            </w:tcBorders>
          </w:tcPr>
          <w:p w14:paraId="5387FEA8" w14:textId="77777777" w:rsidR="003B6D98" w:rsidRDefault="003B6D98" w:rsidP="00476B25">
            <w:pPr>
              <w:autoSpaceDE w:val="0"/>
              <w:autoSpaceDN w:val="0"/>
              <w:adjustRightInd w:val="0"/>
              <w:jc w:val="center"/>
              <w:rPr>
                <w:rFonts w:cs="Times New Roman"/>
                <w:bCs/>
                <w:szCs w:val="24"/>
              </w:rPr>
            </w:pPr>
            <w:r>
              <w:rPr>
                <w:rFonts w:cs="Times New Roman"/>
                <w:bCs/>
                <w:szCs w:val="24"/>
              </w:rPr>
              <w:t>41</w:t>
            </w:r>
            <w:r w:rsidRPr="00C22795">
              <w:rPr>
                <w:rFonts w:cs="Times New Roman"/>
                <w:bCs/>
                <w:szCs w:val="24"/>
              </w:rPr>
              <w:t xml:space="preserve"> (3</w:t>
            </w:r>
            <w:r>
              <w:rPr>
                <w:rFonts w:cs="Times New Roman"/>
                <w:bCs/>
                <w:szCs w:val="24"/>
              </w:rPr>
              <w:t>9</w:t>
            </w:r>
            <w:r w:rsidRPr="00C22795">
              <w:rPr>
                <w:rFonts w:cs="Times New Roman"/>
                <w:bCs/>
                <w:szCs w:val="24"/>
              </w:rPr>
              <w:t>-</w:t>
            </w:r>
            <w:r>
              <w:rPr>
                <w:rFonts w:cs="Times New Roman"/>
                <w:bCs/>
                <w:szCs w:val="24"/>
              </w:rPr>
              <w:t>44</w:t>
            </w:r>
            <w:r w:rsidRPr="00C22795">
              <w:rPr>
                <w:rFonts w:cs="Times New Roman"/>
                <w:bCs/>
                <w:szCs w:val="24"/>
              </w:rPr>
              <w:t>)</w:t>
            </w:r>
          </w:p>
        </w:tc>
        <w:tc>
          <w:tcPr>
            <w:tcW w:w="892" w:type="dxa"/>
            <w:tcBorders>
              <w:top w:val="nil"/>
              <w:left w:val="nil"/>
              <w:bottom w:val="nil"/>
              <w:right w:val="nil"/>
            </w:tcBorders>
          </w:tcPr>
          <w:p w14:paraId="23415DF5" w14:textId="77777777" w:rsidR="003B6D98" w:rsidRPr="002F6D7C" w:rsidRDefault="003B6D98" w:rsidP="00476B25">
            <w:pPr>
              <w:autoSpaceDE w:val="0"/>
              <w:autoSpaceDN w:val="0"/>
              <w:adjustRightInd w:val="0"/>
              <w:jc w:val="center"/>
              <w:rPr>
                <w:rFonts w:cs="Times New Roman"/>
                <w:bCs/>
                <w:szCs w:val="24"/>
              </w:rPr>
            </w:pPr>
            <w:r>
              <w:rPr>
                <w:rFonts w:cs="Times New Roman"/>
                <w:bCs/>
                <w:szCs w:val="24"/>
              </w:rPr>
              <w:t>0.99</w:t>
            </w:r>
          </w:p>
        </w:tc>
      </w:tr>
      <w:tr w:rsidR="003B6D98" w:rsidRPr="00F840C4" w14:paraId="4586C4B4" w14:textId="77777777" w:rsidTr="00476B25">
        <w:tc>
          <w:tcPr>
            <w:tcW w:w="2098" w:type="dxa"/>
          </w:tcPr>
          <w:p w14:paraId="25F1DA09" w14:textId="77777777" w:rsidR="003B6D98" w:rsidRPr="00F840C4" w:rsidRDefault="003B6D98" w:rsidP="00476B25">
            <w:pPr>
              <w:autoSpaceDE w:val="0"/>
              <w:autoSpaceDN w:val="0"/>
              <w:adjustRightInd w:val="0"/>
              <w:rPr>
                <w:rFonts w:cs="Times New Roman"/>
                <w:bCs/>
                <w:szCs w:val="24"/>
              </w:rPr>
            </w:pPr>
            <w:r w:rsidRPr="00F840C4">
              <w:rPr>
                <w:rFonts w:cs="Times New Roman"/>
                <w:bCs/>
                <w:szCs w:val="24"/>
              </w:rPr>
              <w:t>Sausage</w:t>
            </w:r>
          </w:p>
          <w:p w14:paraId="4A466230" w14:textId="77777777" w:rsidR="003B6D98" w:rsidRPr="00CC55AD" w:rsidRDefault="003B6D98" w:rsidP="00476B25">
            <w:pPr>
              <w:autoSpaceDE w:val="0"/>
              <w:autoSpaceDN w:val="0"/>
              <w:adjustRightInd w:val="0"/>
              <w:rPr>
                <w:rFonts w:cs="Times New Roman"/>
                <w:bCs/>
                <w:i/>
                <w:sz w:val="20"/>
                <w:szCs w:val="20"/>
              </w:rPr>
            </w:pPr>
            <w:r w:rsidRPr="00CC55AD">
              <w:rPr>
                <w:rFonts w:eastAsia="Times New Roman" w:cs="Times New Roman"/>
                <w:i/>
                <w:color w:val="2E2E2E"/>
                <w:sz w:val="20"/>
                <w:szCs w:val="20"/>
                <w:lang w:eastAsia="fi-FI"/>
              </w:rPr>
              <w:t>≤ 1-2 / week</w:t>
            </w:r>
          </w:p>
        </w:tc>
        <w:tc>
          <w:tcPr>
            <w:tcW w:w="1417" w:type="dxa"/>
          </w:tcPr>
          <w:p w14:paraId="093199E4" w14:textId="77777777" w:rsidR="003B6D98" w:rsidRPr="00FA121A" w:rsidRDefault="003B6D98" w:rsidP="00476B25">
            <w:pPr>
              <w:autoSpaceDE w:val="0"/>
              <w:autoSpaceDN w:val="0"/>
              <w:adjustRightInd w:val="0"/>
              <w:jc w:val="center"/>
              <w:rPr>
                <w:rFonts w:cs="Times New Roman"/>
                <w:szCs w:val="24"/>
              </w:rPr>
            </w:pPr>
            <w:r>
              <w:rPr>
                <w:rFonts w:cs="Times New Roman"/>
                <w:szCs w:val="24"/>
              </w:rPr>
              <w:t>56 (52-60)</w:t>
            </w:r>
          </w:p>
        </w:tc>
        <w:tc>
          <w:tcPr>
            <w:tcW w:w="1397" w:type="dxa"/>
          </w:tcPr>
          <w:p w14:paraId="4EE97A1F" w14:textId="77777777" w:rsidR="003B6D98" w:rsidRPr="003D18A1" w:rsidRDefault="003B6D98" w:rsidP="00476B25">
            <w:pPr>
              <w:autoSpaceDE w:val="0"/>
              <w:autoSpaceDN w:val="0"/>
              <w:adjustRightInd w:val="0"/>
              <w:jc w:val="center"/>
              <w:rPr>
                <w:rFonts w:cs="Times New Roman"/>
                <w:bCs/>
                <w:szCs w:val="24"/>
              </w:rPr>
            </w:pPr>
            <w:r>
              <w:rPr>
                <w:rFonts w:cs="Times New Roman"/>
                <w:bCs/>
                <w:szCs w:val="24"/>
              </w:rPr>
              <w:t>52 (49-56)</w:t>
            </w:r>
          </w:p>
        </w:tc>
        <w:tc>
          <w:tcPr>
            <w:tcW w:w="1549" w:type="dxa"/>
            <w:tcBorders>
              <w:right w:val="nil"/>
            </w:tcBorders>
          </w:tcPr>
          <w:p w14:paraId="6DFEDD3D" w14:textId="77777777" w:rsidR="003B6D98" w:rsidRPr="003D18A1" w:rsidRDefault="003B6D98" w:rsidP="00476B25">
            <w:pPr>
              <w:autoSpaceDE w:val="0"/>
              <w:autoSpaceDN w:val="0"/>
              <w:adjustRightInd w:val="0"/>
              <w:jc w:val="center"/>
              <w:rPr>
                <w:rFonts w:cs="Times New Roman"/>
                <w:bCs/>
                <w:szCs w:val="24"/>
              </w:rPr>
            </w:pPr>
            <w:r>
              <w:rPr>
                <w:rFonts w:cs="Times New Roman"/>
                <w:bCs/>
                <w:szCs w:val="24"/>
              </w:rPr>
              <w:t>59 (57-61)</w:t>
            </w:r>
          </w:p>
        </w:tc>
        <w:tc>
          <w:tcPr>
            <w:tcW w:w="1417" w:type="dxa"/>
            <w:tcBorders>
              <w:right w:val="nil"/>
            </w:tcBorders>
          </w:tcPr>
          <w:p w14:paraId="657A4F2A" w14:textId="77777777" w:rsidR="003B6D98" w:rsidRDefault="003B6D98" w:rsidP="00476B25">
            <w:pPr>
              <w:autoSpaceDE w:val="0"/>
              <w:autoSpaceDN w:val="0"/>
              <w:adjustRightInd w:val="0"/>
              <w:jc w:val="center"/>
              <w:rPr>
                <w:rFonts w:cs="Times New Roman"/>
                <w:bCs/>
                <w:szCs w:val="24"/>
              </w:rPr>
            </w:pPr>
            <w:r>
              <w:rPr>
                <w:rFonts w:cs="Times New Roman"/>
                <w:bCs/>
                <w:szCs w:val="24"/>
              </w:rPr>
              <w:t>60</w:t>
            </w:r>
            <w:r w:rsidRPr="00C22795">
              <w:rPr>
                <w:rFonts w:cs="Times New Roman"/>
                <w:bCs/>
                <w:szCs w:val="24"/>
              </w:rPr>
              <w:t xml:space="preserve"> (</w:t>
            </w:r>
            <w:r>
              <w:rPr>
                <w:rFonts w:cs="Times New Roman"/>
                <w:bCs/>
                <w:szCs w:val="24"/>
              </w:rPr>
              <w:t>58</w:t>
            </w:r>
            <w:r w:rsidRPr="00C22795">
              <w:rPr>
                <w:rFonts w:cs="Times New Roman"/>
                <w:bCs/>
                <w:szCs w:val="24"/>
              </w:rPr>
              <w:t>-</w:t>
            </w:r>
            <w:r>
              <w:rPr>
                <w:rFonts w:cs="Times New Roman"/>
                <w:bCs/>
                <w:szCs w:val="24"/>
              </w:rPr>
              <w:t>62</w:t>
            </w:r>
            <w:r w:rsidRPr="00C22795">
              <w:rPr>
                <w:rFonts w:cs="Times New Roman"/>
                <w:bCs/>
                <w:szCs w:val="24"/>
              </w:rPr>
              <w:t>)</w:t>
            </w:r>
          </w:p>
        </w:tc>
        <w:tc>
          <w:tcPr>
            <w:tcW w:w="1375" w:type="dxa"/>
            <w:tcBorders>
              <w:right w:val="nil"/>
            </w:tcBorders>
          </w:tcPr>
          <w:p w14:paraId="203BEE94" w14:textId="77777777" w:rsidR="003B6D98" w:rsidRDefault="003B6D98" w:rsidP="00476B25">
            <w:pPr>
              <w:autoSpaceDE w:val="0"/>
              <w:autoSpaceDN w:val="0"/>
              <w:adjustRightInd w:val="0"/>
              <w:jc w:val="center"/>
              <w:rPr>
                <w:rFonts w:cs="Times New Roman"/>
                <w:bCs/>
                <w:szCs w:val="24"/>
              </w:rPr>
            </w:pPr>
            <w:r>
              <w:rPr>
                <w:rFonts w:cs="Times New Roman"/>
                <w:bCs/>
                <w:szCs w:val="24"/>
              </w:rPr>
              <w:t>65</w:t>
            </w:r>
            <w:r w:rsidRPr="00C22795">
              <w:rPr>
                <w:rFonts w:cs="Times New Roman"/>
                <w:bCs/>
                <w:szCs w:val="24"/>
              </w:rPr>
              <w:t xml:space="preserve"> (</w:t>
            </w:r>
            <w:r>
              <w:rPr>
                <w:rFonts w:cs="Times New Roman"/>
                <w:bCs/>
                <w:szCs w:val="24"/>
              </w:rPr>
              <w:t>62</w:t>
            </w:r>
            <w:r w:rsidRPr="00C22795">
              <w:rPr>
                <w:rFonts w:cs="Times New Roman"/>
                <w:bCs/>
                <w:szCs w:val="24"/>
              </w:rPr>
              <w:t>-</w:t>
            </w:r>
            <w:r>
              <w:rPr>
                <w:rFonts w:cs="Times New Roman"/>
                <w:bCs/>
                <w:szCs w:val="24"/>
              </w:rPr>
              <w:t>68</w:t>
            </w:r>
            <w:r w:rsidRPr="00C22795">
              <w:rPr>
                <w:rFonts w:cs="Times New Roman"/>
                <w:bCs/>
                <w:szCs w:val="24"/>
              </w:rPr>
              <w:t>)</w:t>
            </w:r>
          </w:p>
        </w:tc>
        <w:tc>
          <w:tcPr>
            <w:tcW w:w="892" w:type="dxa"/>
            <w:tcBorders>
              <w:top w:val="nil"/>
              <w:left w:val="nil"/>
              <w:bottom w:val="nil"/>
              <w:right w:val="nil"/>
            </w:tcBorders>
          </w:tcPr>
          <w:p w14:paraId="363C61F5" w14:textId="77777777" w:rsidR="003B6D98" w:rsidRPr="003D18A1" w:rsidRDefault="003B6D98" w:rsidP="00476B25">
            <w:pPr>
              <w:autoSpaceDE w:val="0"/>
              <w:autoSpaceDN w:val="0"/>
              <w:adjustRightInd w:val="0"/>
              <w:jc w:val="center"/>
              <w:rPr>
                <w:rFonts w:cs="Times New Roman"/>
                <w:bCs/>
                <w:szCs w:val="24"/>
              </w:rPr>
            </w:pPr>
            <w:r>
              <w:rPr>
                <w:rFonts w:cs="Times New Roman"/>
                <w:bCs/>
                <w:szCs w:val="24"/>
              </w:rPr>
              <w:t>&lt;0.001</w:t>
            </w:r>
          </w:p>
        </w:tc>
      </w:tr>
      <w:tr w:rsidR="003B6D98" w:rsidRPr="00F840C4" w14:paraId="54F80F09" w14:textId="77777777" w:rsidTr="00476B25">
        <w:tc>
          <w:tcPr>
            <w:tcW w:w="2098" w:type="dxa"/>
          </w:tcPr>
          <w:p w14:paraId="5E34F8EB" w14:textId="77777777" w:rsidR="003B6D98" w:rsidRPr="00F840C4" w:rsidRDefault="003B6D98" w:rsidP="00476B25">
            <w:pPr>
              <w:autoSpaceDE w:val="0"/>
              <w:autoSpaceDN w:val="0"/>
              <w:adjustRightInd w:val="0"/>
              <w:rPr>
                <w:rFonts w:cs="Times New Roman"/>
                <w:bCs/>
                <w:szCs w:val="24"/>
              </w:rPr>
            </w:pPr>
            <w:r w:rsidRPr="00F840C4">
              <w:rPr>
                <w:rFonts w:cs="Times New Roman"/>
                <w:bCs/>
                <w:szCs w:val="24"/>
              </w:rPr>
              <w:t>Red meat</w:t>
            </w:r>
          </w:p>
          <w:p w14:paraId="313E2CCF" w14:textId="77777777" w:rsidR="003B6D98" w:rsidRPr="00CC55AD" w:rsidRDefault="003B6D98" w:rsidP="00476B25">
            <w:pPr>
              <w:autoSpaceDE w:val="0"/>
              <w:autoSpaceDN w:val="0"/>
              <w:adjustRightInd w:val="0"/>
              <w:rPr>
                <w:rFonts w:cs="Times New Roman"/>
                <w:bCs/>
                <w:i/>
                <w:sz w:val="22"/>
              </w:rPr>
            </w:pPr>
            <w:r w:rsidRPr="00CC55AD">
              <w:rPr>
                <w:rFonts w:eastAsia="Times New Roman" w:cs="Times New Roman"/>
                <w:i/>
                <w:color w:val="2E2E2E"/>
                <w:sz w:val="22"/>
                <w:lang w:eastAsia="fi-FI"/>
              </w:rPr>
              <w:t>≤ 1-2 / week</w:t>
            </w:r>
          </w:p>
        </w:tc>
        <w:tc>
          <w:tcPr>
            <w:tcW w:w="1417" w:type="dxa"/>
          </w:tcPr>
          <w:p w14:paraId="3949C815" w14:textId="77777777" w:rsidR="003B6D98" w:rsidRPr="00FA121A" w:rsidRDefault="003B6D98" w:rsidP="00476B25">
            <w:pPr>
              <w:autoSpaceDE w:val="0"/>
              <w:autoSpaceDN w:val="0"/>
              <w:adjustRightInd w:val="0"/>
              <w:jc w:val="center"/>
              <w:rPr>
                <w:rFonts w:cs="Times New Roman"/>
                <w:szCs w:val="24"/>
              </w:rPr>
            </w:pPr>
            <w:r>
              <w:rPr>
                <w:rFonts w:cs="Times New Roman"/>
                <w:szCs w:val="24"/>
              </w:rPr>
              <w:t>58 (55-62)</w:t>
            </w:r>
          </w:p>
        </w:tc>
        <w:tc>
          <w:tcPr>
            <w:tcW w:w="1397" w:type="dxa"/>
          </w:tcPr>
          <w:p w14:paraId="5E8DA106" w14:textId="77777777" w:rsidR="003B6D98" w:rsidRPr="003D18A1" w:rsidRDefault="003B6D98" w:rsidP="00476B25">
            <w:pPr>
              <w:autoSpaceDE w:val="0"/>
              <w:autoSpaceDN w:val="0"/>
              <w:adjustRightInd w:val="0"/>
              <w:jc w:val="center"/>
              <w:rPr>
                <w:rFonts w:cs="Times New Roman"/>
                <w:bCs/>
                <w:szCs w:val="24"/>
              </w:rPr>
            </w:pPr>
            <w:r>
              <w:rPr>
                <w:rFonts w:cs="Times New Roman"/>
                <w:bCs/>
                <w:szCs w:val="24"/>
              </w:rPr>
              <w:t>58 (55-61)</w:t>
            </w:r>
          </w:p>
        </w:tc>
        <w:tc>
          <w:tcPr>
            <w:tcW w:w="1549" w:type="dxa"/>
            <w:tcBorders>
              <w:right w:val="nil"/>
            </w:tcBorders>
          </w:tcPr>
          <w:p w14:paraId="7A674362" w14:textId="77777777" w:rsidR="003B6D98" w:rsidRPr="003D18A1" w:rsidRDefault="003B6D98" w:rsidP="00476B25">
            <w:pPr>
              <w:autoSpaceDE w:val="0"/>
              <w:autoSpaceDN w:val="0"/>
              <w:adjustRightInd w:val="0"/>
              <w:jc w:val="center"/>
              <w:rPr>
                <w:rFonts w:cs="Times New Roman"/>
                <w:bCs/>
                <w:szCs w:val="24"/>
              </w:rPr>
            </w:pPr>
            <w:r>
              <w:rPr>
                <w:rFonts w:cs="Times New Roman"/>
                <w:bCs/>
                <w:szCs w:val="24"/>
              </w:rPr>
              <w:t>61 (60-63)</w:t>
            </w:r>
          </w:p>
        </w:tc>
        <w:tc>
          <w:tcPr>
            <w:tcW w:w="1417" w:type="dxa"/>
            <w:tcBorders>
              <w:right w:val="nil"/>
            </w:tcBorders>
          </w:tcPr>
          <w:p w14:paraId="66910F7E" w14:textId="77777777" w:rsidR="003B6D98" w:rsidRDefault="003B6D98" w:rsidP="00476B25">
            <w:pPr>
              <w:autoSpaceDE w:val="0"/>
              <w:autoSpaceDN w:val="0"/>
              <w:adjustRightInd w:val="0"/>
              <w:jc w:val="center"/>
              <w:rPr>
                <w:rFonts w:cs="Times New Roman"/>
                <w:bCs/>
                <w:szCs w:val="24"/>
              </w:rPr>
            </w:pPr>
            <w:r>
              <w:rPr>
                <w:rFonts w:cs="Times New Roman"/>
                <w:bCs/>
                <w:szCs w:val="24"/>
              </w:rPr>
              <w:t>63</w:t>
            </w:r>
            <w:r w:rsidRPr="00C22795">
              <w:rPr>
                <w:rFonts w:cs="Times New Roman"/>
                <w:bCs/>
                <w:szCs w:val="24"/>
              </w:rPr>
              <w:t xml:space="preserve"> (</w:t>
            </w:r>
            <w:r>
              <w:rPr>
                <w:rFonts w:cs="Times New Roman"/>
                <w:bCs/>
                <w:szCs w:val="24"/>
              </w:rPr>
              <w:t>61</w:t>
            </w:r>
            <w:r w:rsidRPr="00C22795">
              <w:rPr>
                <w:rFonts w:cs="Times New Roman"/>
                <w:bCs/>
                <w:szCs w:val="24"/>
              </w:rPr>
              <w:t>-</w:t>
            </w:r>
            <w:r>
              <w:rPr>
                <w:rFonts w:cs="Times New Roman"/>
                <w:bCs/>
                <w:szCs w:val="24"/>
              </w:rPr>
              <w:t>65</w:t>
            </w:r>
            <w:r w:rsidRPr="00C22795">
              <w:rPr>
                <w:rFonts w:cs="Times New Roman"/>
                <w:bCs/>
                <w:szCs w:val="24"/>
              </w:rPr>
              <w:t>)</w:t>
            </w:r>
          </w:p>
        </w:tc>
        <w:tc>
          <w:tcPr>
            <w:tcW w:w="1375" w:type="dxa"/>
            <w:tcBorders>
              <w:right w:val="nil"/>
            </w:tcBorders>
          </w:tcPr>
          <w:p w14:paraId="660C4F94" w14:textId="77777777" w:rsidR="003B6D98" w:rsidRDefault="003B6D98" w:rsidP="00476B25">
            <w:pPr>
              <w:autoSpaceDE w:val="0"/>
              <w:autoSpaceDN w:val="0"/>
              <w:adjustRightInd w:val="0"/>
              <w:jc w:val="center"/>
              <w:rPr>
                <w:rFonts w:cs="Times New Roman"/>
                <w:bCs/>
                <w:szCs w:val="24"/>
              </w:rPr>
            </w:pPr>
            <w:r>
              <w:rPr>
                <w:rFonts w:cs="Times New Roman"/>
                <w:bCs/>
                <w:szCs w:val="24"/>
              </w:rPr>
              <w:t>63</w:t>
            </w:r>
            <w:r w:rsidRPr="00C22795">
              <w:rPr>
                <w:rFonts w:cs="Times New Roman"/>
                <w:bCs/>
                <w:szCs w:val="24"/>
              </w:rPr>
              <w:t xml:space="preserve"> (</w:t>
            </w:r>
            <w:r>
              <w:rPr>
                <w:rFonts w:cs="Times New Roman"/>
                <w:bCs/>
                <w:szCs w:val="24"/>
              </w:rPr>
              <w:t>60</w:t>
            </w:r>
            <w:r w:rsidRPr="00C22795">
              <w:rPr>
                <w:rFonts w:cs="Times New Roman"/>
                <w:bCs/>
                <w:szCs w:val="24"/>
              </w:rPr>
              <w:t>-</w:t>
            </w:r>
            <w:r>
              <w:rPr>
                <w:rFonts w:cs="Times New Roman"/>
                <w:bCs/>
                <w:szCs w:val="24"/>
              </w:rPr>
              <w:t>66</w:t>
            </w:r>
            <w:r w:rsidRPr="00C22795">
              <w:rPr>
                <w:rFonts w:cs="Times New Roman"/>
                <w:bCs/>
                <w:szCs w:val="24"/>
              </w:rPr>
              <w:t>)</w:t>
            </w:r>
          </w:p>
        </w:tc>
        <w:tc>
          <w:tcPr>
            <w:tcW w:w="892" w:type="dxa"/>
            <w:tcBorders>
              <w:top w:val="nil"/>
              <w:left w:val="nil"/>
              <w:bottom w:val="nil"/>
              <w:right w:val="nil"/>
            </w:tcBorders>
          </w:tcPr>
          <w:p w14:paraId="0155D5CF" w14:textId="77777777" w:rsidR="003B6D98" w:rsidRPr="003D18A1" w:rsidRDefault="003B6D98" w:rsidP="00476B25">
            <w:pPr>
              <w:autoSpaceDE w:val="0"/>
              <w:autoSpaceDN w:val="0"/>
              <w:adjustRightInd w:val="0"/>
              <w:jc w:val="center"/>
              <w:rPr>
                <w:rFonts w:cs="Times New Roman"/>
                <w:bCs/>
                <w:szCs w:val="24"/>
              </w:rPr>
            </w:pPr>
            <w:r>
              <w:rPr>
                <w:rFonts w:cs="Times New Roman"/>
                <w:bCs/>
                <w:szCs w:val="24"/>
              </w:rPr>
              <w:t>0.002</w:t>
            </w:r>
          </w:p>
        </w:tc>
      </w:tr>
      <w:tr w:rsidR="003B6D98" w:rsidRPr="00F840C4" w14:paraId="542663BF" w14:textId="77777777" w:rsidTr="00476B25">
        <w:tc>
          <w:tcPr>
            <w:tcW w:w="2098" w:type="dxa"/>
          </w:tcPr>
          <w:p w14:paraId="4B65A5E2" w14:textId="77777777" w:rsidR="003B6D98" w:rsidRPr="00F840C4" w:rsidRDefault="003B6D98" w:rsidP="00476B25">
            <w:pPr>
              <w:autoSpaceDE w:val="0"/>
              <w:autoSpaceDN w:val="0"/>
              <w:adjustRightInd w:val="0"/>
              <w:rPr>
                <w:rFonts w:cs="Times New Roman"/>
                <w:bCs/>
                <w:szCs w:val="24"/>
              </w:rPr>
            </w:pPr>
            <w:r w:rsidRPr="00F840C4">
              <w:rPr>
                <w:rFonts w:cs="Times New Roman"/>
                <w:bCs/>
                <w:szCs w:val="24"/>
              </w:rPr>
              <w:t>Chicken</w:t>
            </w:r>
            <w:r>
              <w:rPr>
                <w:rFonts w:cs="Times New Roman"/>
                <w:bCs/>
                <w:szCs w:val="24"/>
              </w:rPr>
              <w:t xml:space="preserve">, </w:t>
            </w:r>
            <w:r w:rsidRPr="00F840C4">
              <w:rPr>
                <w:rFonts w:cs="Times New Roman"/>
                <w:bCs/>
                <w:szCs w:val="24"/>
              </w:rPr>
              <w:t>turkey</w:t>
            </w:r>
          </w:p>
          <w:p w14:paraId="1599BDB3" w14:textId="77777777" w:rsidR="003B6D98" w:rsidRPr="00F840C4" w:rsidRDefault="003B6D98" w:rsidP="00476B25">
            <w:pPr>
              <w:autoSpaceDE w:val="0"/>
              <w:autoSpaceDN w:val="0"/>
              <w:adjustRightInd w:val="0"/>
              <w:rPr>
                <w:rFonts w:cs="Times New Roman"/>
                <w:bCs/>
                <w:i/>
                <w:sz w:val="20"/>
                <w:szCs w:val="20"/>
              </w:rPr>
            </w:pPr>
            <w:r w:rsidRPr="00CC55AD">
              <w:rPr>
                <w:rFonts w:eastAsia="Times New Roman" w:cs="Times New Roman"/>
                <w:i/>
                <w:color w:val="2E2E2E"/>
                <w:sz w:val="20"/>
                <w:szCs w:val="20"/>
                <w:lang w:eastAsia="fi-FI"/>
              </w:rPr>
              <w:t>1 / day</w:t>
            </w:r>
            <w:r w:rsidRPr="00CC55AD">
              <w:rPr>
                <w:rFonts w:cs="Times New Roman"/>
                <w:i/>
                <w:sz w:val="20"/>
                <w:szCs w:val="20"/>
              </w:rPr>
              <w:t xml:space="preserve"> to </w:t>
            </w:r>
            <w:r w:rsidRPr="00CC55AD">
              <w:rPr>
                <w:rFonts w:eastAsia="Times New Roman" w:cs="Times New Roman"/>
                <w:i/>
                <w:color w:val="2E2E2E"/>
                <w:sz w:val="20"/>
                <w:szCs w:val="20"/>
                <w:lang w:eastAsia="fi-FI"/>
              </w:rPr>
              <w:t>≤ 1-2 / week</w:t>
            </w:r>
          </w:p>
        </w:tc>
        <w:tc>
          <w:tcPr>
            <w:tcW w:w="1417" w:type="dxa"/>
          </w:tcPr>
          <w:p w14:paraId="460F3366" w14:textId="77777777" w:rsidR="003B6D98" w:rsidRPr="00FA121A" w:rsidRDefault="003B6D98" w:rsidP="00476B25">
            <w:pPr>
              <w:autoSpaceDE w:val="0"/>
              <w:autoSpaceDN w:val="0"/>
              <w:adjustRightInd w:val="0"/>
              <w:jc w:val="center"/>
              <w:rPr>
                <w:rFonts w:cs="Times New Roman"/>
                <w:szCs w:val="24"/>
              </w:rPr>
            </w:pPr>
            <w:r>
              <w:rPr>
                <w:rFonts w:cs="Times New Roman"/>
                <w:szCs w:val="24"/>
              </w:rPr>
              <w:t>79 (75-82)</w:t>
            </w:r>
          </w:p>
        </w:tc>
        <w:tc>
          <w:tcPr>
            <w:tcW w:w="1397" w:type="dxa"/>
          </w:tcPr>
          <w:p w14:paraId="5033B2CF" w14:textId="77777777" w:rsidR="003B6D98" w:rsidRPr="009A5F6C" w:rsidRDefault="003B6D98" w:rsidP="00476B25">
            <w:pPr>
              <w:autoSpaceDE w:val="0"/>
              <w:autoSpaceDN w:val="0"/>
              <w:adjustRightInd w:val="0"/>
              <w:jc w:val="center"/>
              <w:rPr>
                <w:rFonts w:cs="Times New Roman"/>
                <w:bCs/>
                <w:szCs w:val="24"/>
              </w:rPr>
            </w:pPr>
            <w:r>
              <w:rPr>
                <w:rFonts w:cs="Times New Roman"/>
                <w:bCs/>
                <w:szCs w:val="24"/>
              </w:rPr>
              <w:t>80 (77-83)</w:t>
            </w:r>
          </w:p>
        </w:tc>
        <w:tc>
          <w:tcPr>
            <w:tcW w:w="1549" w:type="dxa"/>
            <w:tcBorders>
              <w:right w:val="nil"/>
            </w:tcBorders>
          </w:tcPr>
          <w:p w14:paraId="6A5F9879" w14:textId="77777777" w:rsidR="003B6D98" w:rsidRPr="009A5F6C" w:rsidRDefault="003B6D98" w:rsidP="00476B25">
            <w:pPr>
              <w:autoSpaceDE w:val="0"/>
              <w:autoSpaceDN w:val="0"/>
              <w:adjustRightInd w:val="0"/>
              <w:jc w:val="center"/>
              <w:rPr>
                <w:rFonts w:cs="Times New Roman"/>
                <w:bCs/>
                <w:szCs w:val="24"/>
              </w:rPr>
            </w:pPr>
            <w:r>
              <w:rPr>
                <w:rFonts w:cs="Times New Roman"/>
                <w:bCs/>
                <w:szCs w:val="24"/>
              </w:rPr>
              <w:t>80 (79-82)</w:t>
            </w:r>
          </w:p>
        </w:tc>
        <w:tc>
          <w:tcPr>
            <w:tcW w:w="1417" w:type="dxa"/>
            <w:tcBorders>
              <w:right w:val="nil"/>
            </w:tcBorders>
          </w:tcPr>
          <w:p w14:paraId="70693BA9" w14:textId="77777777" w:rsidR="003B6D98" w:rsidRDefault="003B6D98" w:rsidP="00476B25">
            <w:pPr>
              <w:autoSpaceDE w:val="0"/>
              <w:autoSpaceDN w:val="0"/>
              <w:adjustRightInd w:val="0"/>
              <w:jc w:val="center"/>
              <w:rPr>
                <w:rFonts w:cs="Times New Roman"/>
                <w:bCs/>
                <w:szCs w:val="24"/>
              </w:rPr>
            </w:pPr>
            <w:r>
              <w:rPr>
                <w:rFonts w:cs="Times New Roman"/>
                <w:bCs/>
                <w:szCs w:val="24"/>
              </w:rPr>
              <w:t>82</w:t>
            </w:r>
            <w:r w:rsidRPr="00C22795">
              <w:rPr>
                <w:rFonts w:cs="Times New Roman"/>
                <w:bCs/>
                <w:szCs w:val="24"/>
              </w:rPr>
              <w:t xml:space="preserve"> (</w:t>
            </w:r>
            <w:r>
              <w:rPr>
                <w:rFonts w:cs="Times New Roman"/>
                <w:bCs/>
                <w:szCs w:val="24"/>
              </w:rPr>
              <w:t>80</w:t>
            </w:r>
            <w:r w:rsidRPr="00C22795">
              <w:rPr>
                <w:rFonts w:cs="Times New Roman"/>
                <w:bCs/>
                <w:szCs w:val="24"/>
              </w:rPr>
              <w:t>-</w:t>
            </w:r>
            <w:r>
              <w:rPr>
                <w:rFonts w:cs="Times New Roman"/>
                <w:bCs/>
                <w:szCs w:val="24"/>
              </w:rPr>
              <w:t>84</w:t>
            </w:r>
            <w:r w:rsidRPr="00C22795">
              <w:rPr>
                <w:rFonts w:cs="Times New Roman"/>
                <w:bCs/>
                <w:szCs w:val="24"/>
              </w:rPr>
              <w:t>)</w:t>
            </w:r>
          </w:p>
        </w:tc>
        <w:tc>
          <w:tcPr>
            <w:tcW w:w="1375" w:type="dxa"/>
            <w:tcBorders>
              <w:right w:val="nil"/>
            </w:tcBorders>
          </w:tcPr>
          <w:p w14:paraId="1022BD35" w14:textId="77777777" w:rsidR="003B6D98" w:rsidRDefault="003B6D98" w:rsidP="00476B25">
            <w:pPr>
              <w:autoSpaceDE w:val="0"/>
              <w:autoSpaceDN w:val="0"/>
              <w:adjustRightInd w:val="0"/>
              <w:jc w:val="center"/>
              <w:rPr>
                <w:rFonts w:cs="Times New Roman"/>
                <w:bCs/>
                <w:szCs w:val="24"/>
              </w:rPr>
            </w:pPr>
            <w:r>
              <w:rPr>
                <w:rFonts w:cs="Times New Roman"/>
                <w:bCs/>
                <w:szCs w:val="24"/>
              </w:rPr>
              <w:t>84</w:t>
            </w:r>
            <w:r w:rsidRPr="00C22795">
              <w:rPr>
                <w:rFonts w:cs="Times New Roman"/>
                <w:bCs/>
                <w:szCs w:val="24"/>
              </w:rPr>
              <w:t xml:space="preserve"> (</w:t>
            </w:r>
            <w:r>
              <w:rPr>
                <w:rFonts w:cs="Times New Roman"/>
                <w:bCs/>
                <w:szCs w:val="24"/>
              </w:rPr>
              <w:t>82</w:t>
            </w:r>
            <w:r w:rsidRPr="00C22795">
              <w:rPr>
                <w:rFonts w:cs="Times New Roman"/>
                <w:bCs/>
                <w:szCs w:val="24"/>
              </w:rPr>
              <w:t>-3</w:t>
            </w:r>
            <w:r>
              <w:rPr>
                <w:rFonts w:cs="Times New Roman"/>
                <w:bCs/>
                <w:szCs w:val="24"/>
              </w:rPr>
              <w:t>6</w:t>
            </w:r>
            <w:r w:rsidRPr="00C22795">
              <w:rPr>
                <w:rFonts w:cs="Times New Roman"/>
                <w:bCs/>
                <w:szCs w:val="24"/>
              </w:rPr>
              <w:t>)</w:t>
            </w:r>
          </w:p>
        </w:tc>
        <w:tc>
          <w:tcPr>
            <w:tcW w:w="892" w:type="dxa"/>
            <w:tcBorders>
              <w:top w:val="nil"/>
              <w:left w:val="nil"/>
              <w:bottom w:val="nil"/>
              <w:right w:val="nil"/>
            </w:tcBorders>
          </w:tcPr>
          <w:p w14:paraId="1FC142A4" w14:textId="77777777" w:rsidR="003B6D98" w:rsidRPr="009A5F6C" w:rsidRDefault="003B6D98" w:rsidP="00476B25">
            <w:pPr>
              <w:autoSpaceDE w:val="0"/>
              <w:autoSpaceDN w:val="0"/>
              <w:adjustRightInd w:val="0"/>
              <w:jc w:val="center"/>
              <w:rPr>
                <w:rFonts w:cs="Times New Roman"/>
                <w:bCs/>
                <w:szCs w:val="24"/>
              </w:rPr>
            </w:pPr>
            <w:r>
              <w:rPr>
                <w:rFonts w:cs="Times New Roman"/>
                <w:bCs/>
                <w:szCs w:val="24"/>
              </w:rPr>
              <w:t>&lt;0.01</w:t>
            </w:r>
          </w:p>
        </w:tc>
      </w:tr>
      <w:tr w:rsidR="003B6D98" w:rsidRPr="00F840C4" w14:paraId="0A0D38A1" w14:textId="77777777" w:rsidTr="00476B25">
        <w:tc>
          <w:tcPr>
            <w:tcW w:w="2098" w:type="dxa"/>
          </w:tcPr>
          <w:p w14:paraId="5FCD6BE1" w14:textId="77777777" w:rsidR="003B6D98" w:rsidRPr="00F840C4" w:rsidRDefault="003B6D98" w:rsidP="00476B25">
            <w:pPr>
              <w:autoSpaceDE w:val="0"/>
              <w:autoSpaceDN w:val="0"/>
              <w:adjustRightInd w:val="0"/>
              <w:rPr>
                <w:rFonts w:cs="Times New Roman"/>
                <w:bCs/>
                <w:szCs w:val="24"/>
              </w:rPr>
            </w:pPr>
            <w:r w:rsidRPr="00F840C4">
              <w:rPr>
                <w:rFonts w:cs="Times New Roman"/>
                <w:bCs/>
                <w:szCs w:val="24"/>
              </w:rPr>
              <w:t>Fish</w:t>
            </w:r>
          </w:p>
          <w:p w14:paraId="66B07A3E" w14:textId="77777777" w:rsidR="003B6D98" w:rsidRPr="00CC55AD" w:rsidRDefault="003B6D98" w:rsidP="00476B25">
            <w:pPr>
              <w:autoSpaceDE w:val="0"/>
              <w:autoSpaceDN w:val="0"/>
              <w:adjustRightInd w:val="0"/>
              <w:rPr>
                <w:rFonts w:cs="Times New Roman"/>
                <w:bCs/>
                <w:i/>
                <w:sz w:val="20"/>
                <w:szCs w:val="20"/>
              </w:rPr>
            </w:pPr>
            <w:r w:rsidRPr="00CC55AD">
              <w:rPr>
                <w:rFonts w:ascii="Calibri" w:eastAsia="Times New Roman" w:hAnsi="Calibri" w:cs="Times New Roman"/>
                <w:i/>
                <w:color w:val="2E2E2E"/>
                <w:sz w:val="20"/>
                <w:szCs w:val="20"/>
                <w:lang w:eastAsia="fi-FI"/>
              </w:rPr>
              <w:t>≥</w:t>
            </w:r>
            <w:r w:rsidRPr="00CC55AD">
              <w:rPr>
                <w:rFonts w:eastAsia="Times New Roman" w:cs="Times New Roman"/>
                <w:i/>
                <w:color w:val="2E2E2E"/>
                <w:sz w:val="20"/>
                <w:szCs w:val="20"/>
                <w:lang w:eastAsia="fi-FI"/>
              </w:rPr>
              <w:t xml:space="preserve"> 1-2 / week</w:t>
            </w:r>
          </w:p>
        </w:tc>
        <w:tc>
          <w:tcPr>
            <w:tcW w:w="1417" w:type="dxa"/>
          </w:tcPr>
          <w:p w14:paraId="1B4E7EC2" w14:textId="77777777" w:rsidR="003B6D98" w:rsidRPr="00FA121A" w:rsidRDefault="003B6D98" w:rsidP="00476B25">
            <w:pPr>
              <w:autoSpaceDE w:val="0"/>
              <w:autoSpaceDN w:val="0"/>
              <w:adjustRightInd w:val="0"/>
              <w:jc w:val="center"/>
              <w:rPr>
                <w:rFonts w:cs="Times New Roman"/>
                <w:szCs w:val="24"/>
              </w:rPr>
            </w:pPr>
            <w:r>
              <w:rPr>
                <w:rFonts w:cs="Times New Roman"/>
                <w:szCs w:val="24"/>
              </w:rPr>
              <w:t>64 (61-68)</w:t>
            </w:r>
          </w:p>
        </w:tc>
        <w:tc>
          <w:tcPr>
            <w:tcW w:w="1397" w:type="dxa"/>
          </w:tcPr>
          <w:p w14:paraId="2D6190F9" w14:textId="77777777" w:rsidR="003B6D98" w:rsidRPr="00FA121A" w:rsidRDefault="003B6D98" w:rsidP="00476B25">
            <w:pPr>
              <w:autoSpaceDE w:val="0"/>
              <w:autoSpaceDN w:val="0"/>
              <w:adjustRightInd w:val="0"/>
              <w:jc w:val="center"/>
              <w:rPr>
                <w:rFonts w:cs="Times New Roman"/>
                <w:szCs w:val="24"/>
              </w:rPr>
            </w:pPr>
            <w:r>
              <w:rPr>
                <w:rFonts w:cs="Times New Roman"/>
                <w:szCs w:val="24"/>
              </w:rPr>
              <w:t>68 (65-71)</w:t>
            </w:r>
          </w:p>
        </w:tc>
        <w:tc>
          <w:tcPr>
            <w:tcW w:w="1549" w:type="dxa"/>
            <w:tcBorders>
              <w:right w:val="nil"/>
            </w:tcBorders>
          </w:tcPr>
          <w:p w14:paraId="130378A7" w14:textId="77777777" w:rsidR="003B6D98" w:rsidRPr="00CC30FC" w:rsidRDefault="003B6D98" w:rsidP="00476B25">
            <w:pPr>
              <w:autoSpaceDE w:val="0"/>
              <w:autoSpaceDN w:val="0"/>
              <w:adjustRightInd w:val="0"/>
              <w:jc w:val="center"/>
              <w:rPr>
                <w:rFonts w:cs="Times New Roman"/>
                <w:bCs/>
                <w:szCs w:val="24"/>
              </w:rPr>
            </w:pPr>
            <w:r>
              <w:rPr>
                <w:rFonts w:cs="Times New Roman"/>
                <w:bCs/>
                <w:szCs w:val="24"/>
              </w:rPr>
              <w:t>68 (66-69)</w:t>
            </w:r>
          </w:p>
        </w:tc>
        <w:tc>
          <w:tcPr>
            <w:tcW w:w="1417" w:type="dxa"/>
            <w:tcBorders>
              <w:right w:val="nil"/>
            </w:tcBorders>
          </w:tcPr>
          <w:p w14:paraId="07384A21" w14:textId="77777777" w:rsidR="003B6D98" w:rsidRDefault="003B6D98" w:rsidP="00476B25">
            <w:pPr>
              <w:autoSpaceDE w:val="0"/>
              <w:autoSpaceDN w:val="0"/>
              <w:adjustRightInd w:val="0"/>
              <w:jc w:val="center"/>
              <w:rPr>
                <w:rFonts w:cs="Times New Roman"/>
                <w:bCs/>
                <w:szCs w:val="24"/>
              </w:rPr>
            </w:pPr>
            <w:r>
              <w:rPr>
                <w:rFonts w:cs="Times New Roman"/>
                <w:bCs/>
                <w:szCs w:val="24"/>
              </w:rPr>
              <w:t>70</w:t>
            </w:r>
            <w:r w:rsidRPr="00C22795">
              <w:rPr>
                <w:rFonts w:cs="Times New Roman"/>
                <w:bCs/>
                <w:szCs w:val="24"/>
              </w:rPr>
              <w:t xml:space="preserve"> (</w:t>
            </w:r>
            <w:r>
              <w:rPr>
                <w:rFonts w:cs="Times New Roman"/>
                <w:bCs/>
                <w:szCs w:val="24"/>
              </w:rPr>
              <w:t>68</w:t>
            </w:r>
            <w:r w:rsidRPr="00C22795">
              <w:rPr>
                <w:rFonts w:cs="Times New Roman"/>
                <w:bCs/>
                <w:szCs w:val="24"/>
              </w:rPr>
              <w:t>-7</w:t>
            </w:r>
            <w:r>
              <w:rPr>
                <w:rFonts w:cs="Times New Roman"/>
                <w:bCs/>
                <w:szCs w:val="24"/>
              </w:rPr>
              <w:t>2</w:t>
            </w:r>
            <w:r w:rsidRPr="00C22795">
              <w:rPr>
                <w:rFonts w:cs="Times New Roman"/>
                <w:bCs/>
                <w:szCs w:val="24"/>
              </w:rPr>
              <w:t>)</w:t>
            </w:r>
          </w:p>
        </w:tc>
        <w:tc>
          <w:tcPr>
            <w:tcW w:w="1375" w:type="dxa"/>
            <w:tcBorders>
              <w:right w:val="nil"/>
            </w:tcBorders>
          </w:tcPr>
          <w:p w14:paraId="158094F4" w14:textId="77777777" w:rsidR="003B6D98" w:rsidRDefault="003B6D98" w:rsidP="00476B25">
            <w:pPr>
              <w:autoSpaceDE w:val="0"/>
              <w:autoSpaceDN w:val="0"/>
              <w:adjustRightInd w:val="0"/>
              <w:jc w:val="center"/>
              <w:rPr>
                <w:rFonts w:cs="Times New Roman"/>
                <w:bCs/>
                <w:szCs w:val="24"/>
              </w:rPr>
            </w:pPr>
            <w:r>
              <w:rPr>
                <w:rFonts w:cs="Times New Roman"/>
                <w:bCs/>
                <w:szCs w:val="24"/>
              </w:rPr>
              <w:t>71</w:t>
            </w:r>
            <w:r w:rsidRPr="00C22795">
              <w:rPr>
                <w:rFonts w:cs="Times New Roman"/>
                <w:bCs/>
                <w:szCs w:val="24"/>
              </w:rPr>
              <w:t xml:space="preserve"> (</w:t>
            </w:r>
            <w:r>
              <w:rPr>
                <w:rFonts w:cs="Times New Roman"/>
                <w:bCs/>
                <w:szCs w:val="24"/>
              </w:rPr>
              <w:t>68-</w:t>
            </w:r>
            <w:r w:rsidRPr="00C22795">
              <w:rPr>
                <w:rFonts w:cs="Times New Roman"/>
                <w:bCs/>
                <w:szCs w:val="24"/>
              </w:rPr>
              <w:t>7</w:t>
            </w:r>
            <w:r>
              <w:rPr>
                <w:rFonts w:cs="Times New Roman"/>
                <w:bCs/>
                <w:szCs w:val="24"/>
              </w:rPr>
              <w:t>3</w:t>
            </w:r>
            <w:r w:rsidRPr="00C22795">
              <w:rPr>
                <w:rFonts w:cs="Times New Roman"/>
                <w:bCs/>
                <w:szCs w:val="24"/>
              </w:rPr>
              <w:t>)</w:t>
            </w:r>
          </w:p>
        </w:tc>
        <w:tc>
          <w:tcPr>
            <w:tcW w:w="892" w:type="dxa"/>
            <w:tcBorders>
              <w:top w:val="nil"/>
              <w:left w:val="nil"/>
              <w:bottom w:val="nil"/>
              <w:right w:val="nil"/>
            </w:tcBorders>
          </w:tcPr>
          <w:p w14:paraId="00DF1AA1" w14:textId="77777777" w:rsidR="003B6D98" w:rsidRPr="00CC30FC" w:rsidRDefault="003B6D98" w:rsidP="00476B25">
            <w:pPr>
              <w:autoSpaceDE w:val="0"/>
              <w:autoSpaceDN w:val="0"/>
              <w:adjustRightInd w:val="0"/>
              <w:jc w:val="center"/>
              <w:rPr>
                <w:rFonts w:cs="Times New Roman"/>
                <w:bCs/>
                <w:szCs w:val="24"/>
              </w:rPr>
            </w:pPr>
            <w:r>
              <w:rPr>
                <w:rFonts w:cs="Times New Roman"/>
                <w:bCs/>
                <w:szCs w:val="24"/>
              </w:rPr>
              <w:t>0.001</w:t>
            </w:r>
          </w:p>
        </w:tc>
      </w:tr>
      <w:tr w:rsidR="003B6D98" w:rsidRPr="00F840C4" w14:paraId="029D8970" w14:textId="77777777" w:rsidTr="00476B25">
        <w:tc>
          <w:tcPr>
            <w:tcW w:w="2098" w:type="dxa"/>
          </w:tcPr>
          <w:p w14:paraId="38423D6D" w14:textId="77777777" w:rsidR="003B6D98" w:rsidRPr="00F840C4" w:rsidRDefault="003B6D98" w:rsidP="00476B25">
            <w:pPr>
              <w:autoSpaceDE w:val="0"/>
              <w:autoSpaceDN w:val="0"/>
              <w:adjustRightInd w:val="0"/>
              <w:rPr>
                <w:rFonts w:cs="Times New Roman"/>
                <w:bCs/>
                <w:szCs w:val="24"/>
              </w:rPr>
            </w:pPr>
            <w:r>
              <w:rPr>
                <w:rFonts w:cs="Times New Roman"/>
                <w:bCs/>
                <w:szCs w:val="24"/>
              </w:rPr>
              <w:t xml:space="preserve">Fresh fruits, </w:t>
            </w:r>
            <w:r w:rsidRPr="00F840C4">
              <w:rPr>
                <w:rFonts w:cs="Times New Roman"/>
                <w:bCs/>
                <w:szCs w:val="24"/>
              </w:rPr>
              <w:t>berries</w:t>
            </w:r>
          </w:p>
          <w:p w14:paraId="603B41C5" w14:textId="77777777" w:rsidR="003B6D98" w:rsidRPr="00CC55AD" w:rsidRDefault="003B6D98" w:rsidP="00476B25">
            <w:pPr>
              <w:autoSpaceDE w:val="0"/>
              <w:autoSpaceDN w:val="0"/>
              <w:adjustRightInd w:val="0"/>
              <w:rPr>
                <w:rFonts w:cs="Times New Roman"/>
                <w:bCs/>
                <w:i/>
                <w:sz w:val="20"/>
                <w:szCs w:val="20"/>
                <w:highlight w:val="yellow"/>
              </w:rPr>
            </w:pPr>
            <w:r w:rsidRPr="00CC55AD">
              <w:rPr>
                <w:rFonts w:ascii="Calibri" w:eastAsia="Times New Roman" w:hAnsi="Calibri" w:cs="Times New Roman"/>
                <w:i/>
                <w:color w:val="2E2E2E"/>
                <w:sz w:val="20"/>
                <w:szCs w:val="20"/>
                <w:lang w:eastAsia="fi-FI"/>
              </w:rPr>
              <w:t>≥</w:t>
            </w:r>
            <w:r w:rsidRPr="00CC55AD">
              <w:rPr>
                <w:rFonts w:eastAsia="Times New Roman" w:cs="Times New Roman"/>
                <w:i/>
                <w:color w:val="2E2E2E"/>
                <w:sz w:val="20"/>
                <w:szCs w:val="20"/>
                <w:lang w:eastAsia="fi-FI"/>
              </w:rPr>
              <w:t>2 / day</w:t>
            </w:r>
          </w:p>
        </w:tc>
        <w:tc>
          <w:tcPr>
            <w:tcW w:w="1417" w:type="dxa"/>
          </w:tcPr>
          <w:p w14:paraId="5C570984" w14:textId="77777777" w:rsidR="003B6D98" w:rsidRPr="00FA121A" w:rsidRDefault="003B6D98" w:rsidP="00476B25">
            <w:pPr>
              <w:autoSpaceDE w:val="0"/>
              <w:autoSpaceDN w:val="0"/>
              <w:adjustRightInd w:val="0"/>
              <w:jc w:val="center"/>
              <w:rPr>
                <w:rFonts w:cs="Times New Roman"/>
                <w:szCs w:val="24"/>
              </w:rPr>
            </w:pPr>
            <w:r>
              <w:rPr>
                <w:rFonts w:cs="Times New Roman"/>
                <w:szCs w:val="24"/>
              </w:rPr>
              <w:t>13 (11-15)</w:t>
            </w:r>
          </w:p>
        </w:tc>
        <w:tc>
          <w:tcPr>
            <w:tcW w:w="1397" w:type="dxa"/>
          </w:tcPr>
          <w:p w14:paraId="1214FCD3" w14:textId="77777777" w:rsidR="003B6D98" w:rsidRPr="00FA121A" w:rsidRDefault="003B6D98" w:rsidP="00476B25">
            <w:pPr>
              <w:autoSpaceDE w:val="0"/>
              <w:autoSpaceDN w:val="0"/>
              <w:adjustRightInd w:val="0"/>
              <w:jc w:val="center"/>
              <w:rPr>
                <w:rFonts w:cs="Times New Roman"/>
                <w:bCs/>
                <w:szCs w:val="24"/>
              </w:rPr>
            </w:pPr>
            <w:r>
              <w:rPr>
                <w:rFonts w:cs="Times New Roman"/>
                <w:bCs/>
                <w:szCs w:val="24"/>
              </w:rPr>
              <w:t>13 (11-15)</w:t>
            </w:r>
          </w:p>
        </w:tc>
        <w:tc>
          <w:tcPr>
            <w:tcW w:w="1549" w:type="dxa"/>
            <w:tcBorders>
              <w:right w:val="nil"/>
            </w:tcBorders>
          </w:tcPr>
          <w:p w14:paraId="4A33E565" w14:textId="77777777" w:rsidR="003B6D98" w:rsidRPr="00FA121A" w:rsidRDefault="003B6D98" w:rsidP="00476B25">
            <w:pPr>
              <w:autoSpaceDE w:val="0"/>
              <w:autoSpaceDN w:val="0"/>
              <w:adjustRightInd w:val="0"/>
              <w:jc w:val="center"/>
              <w:rPr>
                <w:rFonts w:cs="Times New Roman"/>
                <w:bCs/>
                <w:szCs w:val="24"/>
              </w:rPr>
            </w:pPr>
            <w:r>
              <w:rPr>
                <w:rFonts w:cs="Times New Roman"/>
                <w:bCs/>
                <w:szCs w:val="24"/>
              </w:rPr>
              <w:t>14 (12-15)</w:t>
            </w:r>
          </w:p>
        </w:tc>
        <w:tc>
          <w:tcPr>
            <w:tcW w:w="1417" w:type="dxa"/>
            <w:tcBorders>
              <w:right w:val="nil"/>
            </w:tcBorders>
          </w:tcPr>
          <w:p w14:paraId="43F43D1E" w14:textId="77777777" w:rsidR="003B6D98" w:rsidRDefault="003B6D98" w:rsidP="00476B25">
            <w:pPr>
              <w:autoSpaceDE w:val="0"/>
              <w:autoSpaceDN w:val="0"/>
              <w:adjustRightInd w:val="0"/>
              <w:jc w:val="center"/>
              <w:rPr>
                <w:rFonts w:cs="Times New Roman"/>
                <w:bCs/>
                <w:szCs w:val="24"/>
              </w:rPr>
            </w:pPr>
            <w:r>
              <w:rPr>
                <w:rFonts w:cs="Times New Roman"/>
                <w:bCs/>
                <w:szCs w:val="24"/>
              </w:rPr>
              <w:t>14</w:t>
            </w:r>
            <w:r w:rsidRPr="00C22795">
              <w:rPr>
                <w:rFonts w:cs="Times New Roman"/>
                <w:bCs/>
                <w:szCs w:val="24"/>
              </w:rPr>
              <w:t xml:space="preserve"> (</w:t>
            </w:r>
            <w:r>
              <w:rPr>
                <w:rFonts w:cs="Times New Roman"/>
                <w:bCs/>
                <w:szCs w:val="24"/>
              </w:rPr>
              <w:t>13</w:t>
            </w:r>
            <w:r w:rsidRPr="00C22795">
              <w:rPr>
                <w:rFonts w:cs="Times New Roman"/>
                <w:bCs/>
                <w:szCs w:val="24"/>
              </w:rPr>
              <w:t>-</w:t>
            </w:r>
            <w:r>
              <w:rPr>
                <w:rFonts w:cs="Times New Roman"/>
                <w:bCs/>
                <w:szCs w:val="24"/>
              </w:rPr>
              <w:t>16</w:t>
            </w:r>
            <w:r w:rsidRPr="00C22795">
              <w:rPr>
                <w:rFonts w:cs="Times New Roman"/>
                <w:bCs/>
                <w:szCs w:val="24"/>
              </w:rPr>
              <w:t>)</w:t>
            </w:r>
          </w:p>
        </w:tc>
        <w:tc>
          <w:tcPr>
            <w:tcW w:w="1375" w:type="dxa"/>
            <w:tcBorders>
              <w:right w:val="nil"/>
            </w:tcBorders>
          </w:tcPr>
          <w:p w14:paraId="0BD9712F" w14:textId="77777777" w:rsidR="003B6D98" w:rsidRDefault="003B6D98" w:rsidP="00476B25">
            <w:pPr>
              <w:autoSpaceDE w:val="0"/>
              <w:autoSpaceDN w:val="0"/>
              <w:adjustRightInd w:val="0"/>
              <w:jc w:val="center"/>
              <w:rPr>
                <w:rFonts w:cs="Times New Roman"/>
                <w:bCs/>
                <w:szCs w:val="24"/>
              </w:rPr>
            </w:pPr>
            <w:r>
              <w:rPr>
                <w:rFonts w:cs="Times New Roman"/>
                <w:bCs/>
                <w:szCs w:val="24"/>
              </w:rPr>
              <w:t>14</w:t>
            </w:r>
            <w:r w:rsidRPr="00C22795">
              <w:rPr>
                <w:rFonts w:cs="Times New Roman"/>
                <w:bCs/>
                <w:szCs w:val="24"/>
              </w:rPr>
              <w:t xml:space="preserve"> (</w:t>
            </w:r>
            <w:r>
              <w:rPr>
                <w:rFonts w:cs="Times New Roman"/>
                <w:bCs/>
                <w:szCs w:val="24"/>
              </w:rPr>
              <w:t>12</w:t>
            </w:r>
            <w:r w:rsidRPr="00C22795">
              <w:rPr>
                <w:rFonts w:cs="Times New Roman"/>
                <w:bCs/>
                <w:szCs w:val="24"/>
              </w:rPr>
              <w:t>-</w:t>
            </w:r>
            <w:r>
              <w:rPr>
                <w:rFonts w:cs="Times New Roman"/>
                <w:bCs/>
                <w:szCs w:val="24"/>
              </w:rPr>
              <w:t>15</w:t>
            </w:r>
            <w:r w:rsidRPr="00C22795">
              <w:rPr>
                <w:rFonts w:cs="Times New Roman"/>
                <w:bCs/>
                <w:szCs w:val="24"/>
              </w:rPr>
              <w:t>)</w:t>
            </w:r>
          </w:p>
        </w:tc>
        <w:tc>
          <w:tcPr>
            <w:tcW w:w="892" w:type="dxa"/>
            <w:tcBorders>
              <w:top w:val="nil"/>
              <w:left w:val="nil"/>
              <w:bottom w:val="nil"/>
              <w:right w:val="nil"/>
            </w:tcBorders>
          </w:tcPr>
          <w:p w14:paraId="2FD7BDEA" w14:textId="77777777" w:rsidR="003B6D98" w:rsidRPr="00FA121A" w:rsidRDefault="003B6D98" w:rsidP="00476B25">
            <w:pPr>
              <w:autoSpaceDE w:val="0"/>
              <w:autoSpaceDN w:val="0"/>
              <w:adjustRightInd w:val="0"/>
              <w:jc w:val="center"/>
              <w:rPr>
                <w:rFonts w:cs="Times New Roman"/>
                <w:bCs/>
                <w:szCs w:val="24"/>
              </w:rPr>
            </w:pPr>
            <w:r>
              <w:rPr>
                <w:rFonts w:cs="Times New Roman"/>
                <w:bCs/>
                <w:szCs w:val="24"/>
              </w:rPr>
              <w:t>0.43</w:t>
            </w:r>
          </w:p>
        </w:tc>
      </w:tr>
      <w:tr w:rsidR="003B6D98" w:rsidRPr="00F840C4" w14:paraId="0C175AE9" w14:textId="77777777" w:rsidTr="00476B25">
        <w:tc>
          <w:tcPr>
            <w:tcW w:w="2098" w:type="dxa"/>
          </w:tcPr>
          <w:p w14:paraId="70AE2F7A" w14:textId="77777777" w:rsidR="003B6D98" w:rsidRPr="00F840C4" w:rsidRDefault="003B6D98" w:rsidP="00476B25">
            <w:pPr>
              <w:autoSpaceDE w:val="0"/>
              <w:autoSpaceDN w:val="0"/>
              <w:adjustRightInd w:val="0"/>
              <w:rPr>
                <w:rFonts w:cs="Times New Roman"/>
                <w:bCs/>
                <w:szCs w:val="24"/>
              </w:rPr>
            </w:pPr>
            <w:r w:rsidRPr="00F840C4">
              <w:rPr>
                <w:rFonts w:cs="Times New Roman"/>
                <w:bCs/>
                <w:szCs w:val="24"/>
              </w:rPr>
              <w:t>Vegetables</w:t>
            </w:r>
          </w:p>
          <w:p w14:paraId="65605873" w14:textId="77777777" w:rsidR="003B6D98" w:rsidRPr="00F840C4" w:rsidRDefault="003B6D98" w:rsidP="00476B25">
            <w:pPr>
              <w:autoSpaceDE w:val="0"/>
              <w:autoSpaceDN w:val="0"/>
              <w:adjustRightInd w:val="0"/>
              <w:rPr>
                <w:rFonts w:cs="Times New Roman"/>
                <w:bCs/>
                <w:i/>
                <w:sz w:val="20"/>
                <w:szCs w:val="20"/>
              </w:rPr>
            </w:pPr>
            <w:r w:rsidRPr="00F840C4">
              <w:rPr>
                <w:rFonts w:ascii="Calibri" w:eastAsia="Times New Roman" w:hAnsi="Calibri" w:cs="Times New Roman"/>
                <w:i/>
                <w:color w:val="2E2E2E"/>
                <w:szCs w:val="24"/>
                <w:lang w:eastAsia="fi-FI"/>
              </w:rPr>
              <w:t>≥</w:t>
            </w:r>
            <w:r w:rsidRPr="00F840C4">
              <w:rPr>
                <w:rFonts w:eastAsia="Times New Roman" w:cs="Times New Roman"/>
                <w:i/>
                <w:color w:val="2E2E2E"/>
                <w:szCs w:val="24"/>
                <w:lang w:eastAsia="fi-FI"/>
              </w:rPr>
              <w:t>2 / day</w:t>
            </w:r>
          </w:p>
        </w:tc>
        <w:tc>
          <w:tcPr>
            <w:tcW w:w="1417" w:type="dxa"/>
          </w:tcPr>
          <w:p w14:paraId="3C2E31BB" w14:textId="77777777" w:rsidR="003B6D98" w:rsidRPr="00FA121A" w:rsidRDefault="003B6D98" w:rsidP="00476B25">
            <w:pPr>
              <w:autoSpaceDE w:val="0"/>
              <w:autoSpaceDN w:val="0"/>
              <w:adjustRightInd w:val="0"/>
              <w:jc w:val="center"/>
              <w:rPr>
                <w:rFonts w:cs="Times New Roman"/>
                <w:szCs w:val="24"/>
              </w:rPr>
            </w:pPr>
            <w:r>
              <w:rPr>
                <w:rFonts w:cs="Times New Roman"/>
                <w:szCs w:val="24"/>
              </w:rPr>
              <w:t>15 (13-18)</w:t>
            </w:r>
          </w:p>
        </w:tc>
        <w:tc>
          <w:tcPr>
            <w:tcW w:w="1397" w:type="dxa"/>
          </w:tcPr>
          <w:p w14:paraId="5336B9BC" w14:textId="77777777" w:rsidR="003B6D98" w:rsidRPr="00F5736B" w:rsidRDefault="003B6D98" w:rsidP="00476B25">
            <w:pPr>
              <w:autoSpaceDE w:val="0"/>
              <w:autoSpaceDN w:val="0"/>
              <w:adjustRightInd w:val="0"/>
              <w:jc w:val="center"/>
              <w:rPr>
                <w:rFonts w:cs="Times New Roman"/>
                <w:bCs/>
                <w:szCs w:val="24"/>
              </w:rPr>
            </w:pPr>
            <w:r>
              <w:rPr>
                <w:rFonts w:cs="Times New Roman"/>
                <w:bCs/>
                <w:szCs w:val="24"/>
              </w:rPr>
              <w:t>15 (13-18)</w:t>
            </w:r>
          </w:p>
        </w:tc>
        <w:tc>
          <w:tcPr>
            <w:tcW w:w="1549" w:type="dxa"/>
            <w:tcBorders>
              <w:right w:val="nil"/>
            </w:tcBorders>
          </w:tcPr>
          <w:p w14:paraId="7580433A" w14:textId="77777777" w:rsidR="003B6D98" w:rsidRPr="00F5736B" w:rsidRDefault="003B6D98" w:rsidP="00476B25">
            <w:pPr>
              <w:autoSpaceDE w:val="0"/>
              <w:autoSpaceDN w:val="0"/>
              <w:adjustRightInd w:val="0"/>
              <w:jc w:val="center"/>
              <w:rPr>
                <w:rFonts w:cs="Times New Roman"/>
                <w:bCs/>
                <w:szCs w:val="24"/>
              </w:rPr>
            </w:pPr>
            <w:r>
              <w:rPr>
                <w:rFonts w:cs="Times New Roman"/>
                <w:bCs/>
                <w:szCs w:val="24"/>
              </w:rPr>
              <w:t>16 (14-17)</w:t>
            </w:r>
          </w:p>
        </w:tc>
        <w:tc>
          <w:tcPr>
            <w:tcW w:w="1417" w:type="dxa"/>
            <w:tcBorders>
              <w:right w:val="nil"/>
            </w:tcBorders>
          </w:tcPr>
          <w:p w14:paraId="549FF16B" w14:textId="77777777" w:rsidR="003B6D98" w:rsidRDefault="003B6D98" w:rsidP="00476B25">
            <w:pPr>
              <w:autoSpaceDE w:val="0"/>
              <w:autoSpaceDN w:val="0"/>
              <w:adjustRightInd w:val="0"/>
              <w:jc w:val="center"/>
              <w:rPr>
                <w:rFonts w:cs="Times New Roman"/>
                <w:bCs/>
                <w:szCs w:val="24"/>
              </w:rPr>
            </w:pPr>
            <w:r>
              <w:rPr>
                <w:rFonts w:cs="Times New Roman"/>
                <w:bCs/>
                <w:szCs w:val="24"/>
              </w:rPr>
              <w:t>18</w:t>
            </w:r>
            <w:r w:rsidRPr="00C22795">
              <w:rPr>
                <w:rFonts w:cs="Times New Roman"/>
                <w:bCs/>
                <w:szCs w:val="24"/>
              </w:rPr>
              <w:t xml:space="preserve"> (</w:t>
            </w:r>
            <w:r>
              <w:rPr>
                <w:rFonts w:cs="Times New Roman"/>
                <w:bCs/>
                <w:szCs w:val="24"/>
              </w:rPr>
              <w:t>16</w:t>
            </w:r>
            <w:r w:rsidRPr="00C22795">
              <w:rPr>
                <w:rFonts w:cs="Times New Roman"/>
                <w:bCs/>
                <w:szCs w:val="24"/>
              </w:rPr>
              <w:t>-</w:t>
            </w:r>
            <w:r>
              <w:rPr>
                <w:rFonts w:cs="Times New Roman"/>
                <w:bCs/>
                <w:szCs w:val="24"/>
              </w:rPr>
              <w:t>19</w:t>
            </w:r>
            <w:r w:rsidRPr="00C22795">
              <w:rPr>
                <w:rFonts w:cs="Times New Roman"/>
                <w:bCs/>
                <w:szCs w:val="24"/>
              </w:rPr>
              <w:t>)</w:t>
            </w:r>
          </w:p>
        </w:tc>
        <w:tc>
          <w:tcPr>
            <w:tcW w:w="1375" w:type="dxa"/>
            <w:tcBorders>
              <w:right w:val="nil"/>
            </w:tcBorders>
          </w:tcPr>
          <w:p w14:paraId="16FD7EB3" w14:textId="77777777" w:rsidR="003B6D98" w:rsidRDefault="003B6D98" w:rsidP="00476B25">
            <w:pPr>
              <w:autoSpaceDE w:val="0"/>
              <w:autoSpaceDN w:val="0"/>
              <w:adjustRightInd w:val="0"/>
              <w:jc w:val="center"/>
              <w:rPr>
                <w:rFonts w:cs="Times New Roman"/>
                <w:bCs/>
                <w:szCs w:val="24"/>
              </w:rPr>
            </w:pPr>
            <w:r>
              <w:rPr>
                <w:rFonts w:cs="Times New Roman"/>
                <w:bCs/>
                <w:szCs w:val="24"/>
              </w:rPr>
              <w:t>17</w:t>
            </w:r>
            <w:r w:rsidRPr="00C22795">
              <w:rPr>
                <w:rFonts w:cs="Times New Roman"/>
                <w:bCs/>
                <w:szCs w:val="24"/>
              </w:rPr>
              <w:t xml:space="preserve"> (</w:t>
            </w:r>
            <w:r>
              <w:rPr>
                <w:rFonts w:cs="Times New Roman"/>
                <w:bCs/>
                <w:szCs w:val="24"/>
              </w:rPr>
              <w:t>15</w:t>
            </w:r>
            <w:r w:rsidRPr="00C22795">
              <w:rPr>
                <w:rFonts w:cs="Times New Roman"/>
                <w:bCs/>
                <w:szCs w:val="24"/>
              </w:rPr>
              <w:t>-</w:t>
            </w:r>
            <w:r>
              <w:rPr>
                <w:rFonts w:cs="Times New Roman"/>
                <w:bCs/>
                <w:szCs w:val="24"/>
              </w:rPr>
              <w:t>19</w:t>
            </w:r>
            <w:r w:rsidRPr="00C22795">
              <w:rPr>
                <w:rFonts w:cs="Times New Roman"/>
                <w:bCs/>
                <w:szCs w:val="24"/>
              </w:rPr>
              <w:t>)</w:t>
            </w:r>
          </w:p>
        </w:tc>
        <w:tc>
          <w:tcPr>
            <w:tcW w:w="892" w:type="dxa"/>
            <w:tcBorders>
              <w:top w:val="nil"/>
              <w:left w:val="nil"/>
              <w:bottom w:val="nil"/>
              <w:right w:val="nil"/>
            </w:tcBorders>
          </w:tcPr>
          <w:p w14:paraId="15F250ED" w14:textId="77777777" w:rsidR="003B6D98" w:rsidRPr="00F5736B" w:rsidRDefault="003B6D98" w:rsidP="00476B25">
            <w:pPr>
              <w:autoSpaceDE w:val="0"/>
              <w:autoSpaceDN w:val="0"/>
              <w:adjustRightInd w:val="0"/>
              <w:jc w:val="center"/>
              <w:rPr>
                <w:rFonts w:cs="Times New Roman"/>
                <w:bCs/>
                <w:szCs w:val="24"/>
              </w:rPr>
            </w:pPr>
            <w:r>
              <w:rPr>
                <w:rFonts w:cs="Times New Roman"/>
                <w:bCs/>
                <w:szCs w:val="24"/>
              </w:rPr>
              <w:t>0.04</w:t>
            </w:r>
          </w:p>
        </w:tc>
      </w:tr>
      <w:tr w:rsidR="003B6D98" w:rsidRPr="00F840C4" w14:paraId="522C7C8A" w14:textId="77777777" w:rsidTr="00476B25">
        <w:tc>
          <w:tcPr>
            <w:tcW w:w="2098" w:type="dxa"/>
            <w:tcBorders>
              <w:bottom w:val="single" w:sz="4" w:space="0" w:color="auto"/>
            </w:tcBorders>
          </w:tcPr>
          <w:p w14:paraId="770742B4" w14:textId="77777777" w:rsidR="003B6D98" w:rsidRPr="008742A0" w:rsidRDefault="003B6D98" w:rsidP="00476B25">
            <w:pPr>
              <w:autoSpaceDE w:val="0"/>
              <w:autoSpaceDN w:val="0"/>
              <w:adjustRightInd w:val="0"/>
              <w:rPr>
                <w:rFonts w:eastAsia="Times New Roman" w:cs="Times New Roman"/>
                <w:color w:val="2E2E2E"/>
                <w:szCs w:val="24"/>
                <w:lang w:eastAsia="fi-FI"/>
              </w:rPr>
            </w:pPr>
            <w:r w:rsidRPr="008742A0">
              <w:rPr>
                <w:rFonts w:eastAsia="Times New Roman" w:cs="Times New Roman"/>
                <w:color w:val="2E2E2E"/>
                <w:szCs w:val="24"/>
                <w:lang w:eastAsia="fi-FI"/>
              </w:rPr>
              <w:t>Alcohol</w:t>
            </w:r>
          </w:p>
          <w:p w14:paraId="6C96FE15" w14:textId="77777777" w:rsidR="003B6D98" w:rsidRPr="00CC55AD" w:rsidRDefault="003B6D98" w:rsidP="00476B25">
            <w:pPr>
              <w:autoSpaceDE w:val="0"/>
              <w:autoSpaceDN w:val="0"/>
              <w:adjustRightInd w:val="0"/>
              <w:rPr>
                <w:rFonts w:cs="Times New Roman"/>
                <w:bCs/>
                <w:i/>
                <w:sz w:val="20"/>
                <w:szCs w:val="20"/>
              </w:rPr>
            </w:pPr>
            <w:r w:rsidRPr="00CC55AD">
              <w:rPr>
                <w:rFonts w:eastAsia="Times New Roman" w:cs="Times New Roman"/>
                <w:i/>
                <w:color w:val="2E2E2E"/>
                <w:sz w:val="20"/>
                <w:szCs w:val="20"/>
                <w:lang w:eastAsia="fi-FI"/>
              </w:rPr>
              <w:t>(women &lt;10 g/ day; men &lt;20 g/day)</w:t>
            </w:r>
          </w:p>
        </w:tc>
        <w:tc>
          <w:tcPr>
            <w:tcW w:w="1417" w:type="dxa"/>
            <w:tcBorders>
              <w:bottom w:val="single" w:sz="4" w:space="0" w:color="auto"/>
            </w:tcBorders>
          </w:tcPr>
          <w:p w14:paraId="779E4DDB" w14:textId="77777777" w:rsidR="003B6D98" w:rsidRPr="008742A0" w:rsidRDefault="003B6D98" w:rsidP="00476B25">
            <w:pPr>
              <w:autoSpaceDE w:val="0"/>
              <w:autoSpaceDN w:val="0"/>
              <w:adjustRightInd w:val="0"/>
              <w:jc w:val="center"/>
              <w:rPr>
                <w:rFonts w:cs="Times New Roman"/>
                <w:szCs w:val="24"/>
              </w:rPr>
            </w:pPr>
            <w:r>
              <w:rPr>
                <w:rFonts w:cs="Times New Roman"/>
                <w:szCs w:val="24"/>
              </w:rPr>
              <w:t>80 (77-83)</w:t>
            </w:r>
          </w:p>
        </w:tc>
        <w:tc>
          <w:tcPr>
            <w:tcW w:w="1397" w:type="dxa"/>
            <w:tcBorders>
              <w:bottom w:val="single" w:sz="4" w:space="0" w:color="auto"/>
            </w:tcBorders>
          </w:tcPr>
          <w:p w14:paraId="0F1DCFDC" w14:textId="77777777" w:rsidR="003B6D98" w:rsidRPr="008742A0" w:rsidRDefault="003B6D98" w:rsidP="00476B25">
            <w:pPr>
              <w:autoSpaceDE w:val="0"/>
              <w:autoSpaceDN w:val="0"/>
              <w:adjustRightInd w:val="0"/>
              <w:jc w:val="center"/>
              <w:rPr>
                <w:rFonts w:cs="Times New Roman"/>
                <w:bCs/>
                <w:szCs w:val="24"/>
              </w:rPr>
            </w:pPr>
            <w:r>
              <w:rPr>
                <w:rFonts w:cs="Times New Roman"/>
                <w:bCs/>
                <w:szCs w:val="24"/>
              </w:rPr>
              <w:t>75 (73-78)</w:t>
            </w:r>
          </w:p>
        </w:tc>
        <w:tc>
          <w:tcPr>
            <w:tcW w:w="1549" w:type="dxa"/>
            <w:tcBorders>
              <w:bottom w:val="single" w:sz="4" w:space="0" w:color="auto"/>
              <w:right w:val="nil"/>
            </w:tcBorders>
          </w:tcPr>
          <w:p w14:paraId="05BBE3CC" w14:textId="77777777" w:rsidR="003B6D98" w:rsidRPr="008742A0" w:rsidRDefault="003B6D98" w:rsidP="00476B25">
            <w:pPr>
              <w:autoSpaceDE w:val="0"/>
              <w:autoSpaceDN w:val="0"/>
              <w:adjustRightInd w:val="0"/>
              <w:jc w:val="center"/>
              <w:rPr>
                <w:rFonts w:cs="Times New Roman"/>
                <w:bCs/>
                <w:szCs w:val="24"/>
              </w:rPr>
            </w:pPr>
            <w:r>
              <w:rPr>
                <w:rFonts w:cs="Times New Roman"/>
                <w:bCs/>
                <w:szCs w:val="24"/>
              </w:rPr>
              <w:t>78 (77-80)</w:t>
            </w:r>
          </w:p>
        </w:tc>
        <w:tc>
          <w:tcPr>
            <w:tcW w:w="1417" w:type="dxa"/>
            <w:tcBorders>
              <w:bottom w:val="single" w:sz="4" w:space="0" w:color="auto"/>
              <w:right w:val="nil"/>
            </w:tcBorders>
          </w:tcPr>
          <w:p w14:paraId="141EB76B" w14:textId="77777777" w:rsidR="003B6D98" w:rsidRDefault="003B6D98" w:rsidP="00476B25">
            <w:pPr>
              <w:autoSpaceDE w:val="0"/>
              <w:autoSpaceDN w:val="0"/>
              <w:adjustRightInd w:val="0"/>
              <w:jc w:val="center"/>
              <w:rPr>
                <w:rFonts w:cs="Times New Roman"/>
                <w:bCs/>
                <w:szCs w:val="24"/>
              </w:rPr>
            </w:pPr>
            <w:r>
              <w:rPr>
                <w:rFonts w:cs="Times New Roman"/>
                <w:bCs/>
                <w:szCs w:val="24"/>
              </w:rPr>
              <w:t>76</w:t>
            </w:r>
            <w:r w:rsidRPr="00C22795">
              <w:rPr>
                <w:rFonts w:cs="Times New Roman"/>
                <w:bCs/>
                <w:szCs w:val="24"/>
              </w:rPr>
              <w:t xml:space="preserve"> (</w:t>
            </w:r>
            <w:r>
              <w:rPr>
                <w:rFonts w:cs="Times New Roman"/>
                <w:bCs/>
                <w:szCs w:val="24"/>
              </w:rPr>
              <w:t>74-</w:t>
            </w:r>
            <w:r w:rsidRPr="00C22795">
              <w:rPr>
                <w:rFonts w:cs="Times New Roman"/>
                <w:bCs/>
                <w:szCs w:val="24"/>
              </w:rPr>
              <w:t>7</w:t>
            </w:r>
            <w:r>
              <w:rPr>
                <w:rFonts w:cs="Times New Roman"/>
                <w:bCs/>
                <w:szCs w:val="24"/>
              </w:rPr>
              <w:t>8</w:t>
            </w:r>
            <w:r w:rsidRPr="00C22795">
              <w:rPr>
                <w:rFonts w:cs="Times New Roman"/>
                <w:bCs/>
                <w:szCs w:val="24"/>
              </w:rPr>
              <w:t>)</w:t>
            </w:r>
          </w:p>
        </w:tc>
        <w:tc>
          <w:tcPr>
            <w:tcW w:w="1375" w:type="dxa"/>
            <w:tcBorders>
              <w:bottom w:val="single" w:sz="4" w:space="0" w:color="auto"/>
              <w:right w:val="nil"/>
            </w:tcBorders>
          </w:tcPr>
          <w:p w14:paraId="796F4116" w14:textId="77777777" w:rsidR="003B6D98" w:rsidRDefault="003B6D98" w:rsidP="00476B25">
            <w:pPr>
              <w:autoSpaceDE w:val="0"/>
              <w:autoSpaceDN w:val="0"/>
              <w:adjustRightInd w:val="0"/>
              <w:jc w:val="center"/>
              <w:rPr>
                <w:rFonts w:cs="Times New Roman"/>
                <w:bCs/>
                <w:szCs w:val="24"/>
              </w:rPr>
            </w:pPr>
            <w:r>
              <w:rPr>
                <w:rFonts w:cs="Times New Roman"/>
                <w:bCs/>
                <w:szCs w:val="24"/>
              </w:rPr>
              <w:t>73</w:t>
            </w:r>
            <w:r w:rsidRPr="00C22795">
              <w:rPr>
                <w:rFonts w:cs="Times New Roman"/>
                <w:bCs/>
                <w:szCs w:val="24"/>
              </w:rPr>
              <w:t xml:space="preserve"> (</w:t>
            </w:r>
            <w:r>
              <w:rPr>
                <w:rFonts w:cs="Times New Roman"/>
                <w:bCs/>
                <w:szCs w:val="24"/>
              </w:rPr>
              <w:t>70</w:t>
            </w:r>
            <w:r w:rsidRPr="00C22795">
              <w:rPr>
                <w:rFonts w:cs="Times New Roman"/>
                <w:bCs/>
                <w:szCs w:val="24"/>
              </w:rPr>
              <w:t>-7</w:t>
            </w:r>
            <w:r>
              <w:rPr>
                <w:rFonts w:cs="Times New Roman"/>
                <w:bCs/>
                <w:szCs w:val="24"/>
              </w:rPr>
              <w:t>6</w:t>
            </w:r>
            <w:r w:rsidRPr="00C22795">
              <w:rPr>
                <w:rFonts w:cs="Times New Roman"/>
                <w:bCs/>
                <w:szCs w:val="24"/>
              </w:rPr>
              <w:t>)</w:t>
            </w:r>
          </w:p>
        </w:tc>
        <w:tc>
          <w:tcPr>
            <w:tcW w:w="892" w:type="dxa"/>
            <w:tcBorders>
              <w:top w:val="nil"/>
              <w:left w:val="nil"/>
              <w:bottom w:val="single" w:sz="4" w:space="0" w:color="auto"/>
              <w:right w:val="nil"/>
            </w:tcBorders>
          </w:tcPr>
          <w:p w14:paraId="3C20D231" w14:textId="77777777" w:rsidR="003B6D98" w:rsidRPr="008742A0" w:rsidRDefault="003B6D98" w:rsidP="00476B25">
            <w:pPr>
              <w:autoSpaceDE w:val="0"/>
              <w:autoSpaceDN w:val="0"/>
              <w:adjustRightInd w:val="0"/>
              <w:jc w:val="center"/>
              <w:rPr>
                <w:rFonts w:cs="Times New Roman"/>
                <w:bCs/>
                <w:szCs w:val="24"/>
              </w:rPr>
            </w:pPr>
            <w:r>
              <w:rPr>
                <w:rFonts w:cs="Times New Roman"/>
                <w:bCs/>
                <w:szCs w:val="24"/>
              </w:rPr>
              <w:t>&lt;0.01</w:t>
            </w:r>
          </w:p>
        </w:tc>
      </w:tr>
      <w:tr w:rsidR="003B6D98" w:rsidRPr="00F840C4" w14:paraId="2401FC58" w14:textId="77777777" w:rsidTr="00476B25">
        <w:tc>
          <w:tcPr>
            <w:tcW w:w="2098" w:type="dxa"/>
            <w:tcBorders>
              <w:top w:val="single" w:sz="4" w:space="0" w:color="auto"/>
            </w:tcBorders>
            <w:shd w:val="clear" w:color="auto" w:fill="auto"/>
          </w:tcPr>
          <w:p w14:paraId="0FB292B4" w14:textId="77777777" w:rsidR="003B6D98" w:rsidRPr="008742A0" w:rsidRDefault="003B6D98" w:rsidP="00476B25">
            <w:pPr>
              <w:autoSpaceDE w:val="0"/>
              <w:autoSpaceDN w:val="0"/>
              <w:adjustRightInd w:val="0"/>
              <w:rPr>
                <w:rFonts w:eastAsia="Times New Roman" w:cs="Times New Roman"/>
                <w:color w:val="2E2E2E"/>
                <w:szCs w:val="24"/>
                <w:lang w:eastAsia="fi-FI"/>
              </w:rPr>
            </w:pPr>
          </w:p>
        </w:tc>
        <w:tc>
          <w:tcPr>
            <w:tcW w:w="1417" w:type="dxa"/>
            <w:tcBorders>
              <w:top w:val="single" w:sz="4" w:space="0" w:color="auto"/>
            </w:tcBorders>
            <w:shd w:val="clear" w:color="auto" w:fill="auto"/>
          </w:tcPr>
          <w:p w14:paraId="50B2AB54" w14:textId="77777777" w:rsidR="003B6D98" w:rsidRDefault="003B6D98" w:rsidP="00476B25">
            <w:pPr>
              <w:autoSpaceDE w:val="0"/>
              <w:autoSpaceDN w:val="0"/>
              <w:adjustRightInd w:val="0"/>
              <w:jc w:val="center"/>
              <w:rPr>
                <w:rFonts w:cs="Times New Roman"/>
                <w:szCs w:val="24"/>
              </w:rPr>
            </w:pPr>
          </w:p>
        </w:tc>
        <w:tc>
          <w:tcPr>
            <w:tcW w:w="1397" w:type="dxa"/>
            <w:tcBorders>
              <w:top w:val="single" w:sz="4" w:space="0" w:color="auto"/>
            </w:tcBorders>
            <w:shd w:val="clear" w:color="auto" w:fill="auto"/>
          </w:tcPr>
          <w:p w14:paraId="7163883C" w14:textId="77777777" w:rsidR="003B6D98" w:rsidRDefault="003B6D98" w:rsidP="00476B25">
            <w:pPr>
              <w:autoSpaceDE w:val="0"/>
              <w:autoSpaceDN w:val="0"/>
              <w:adjustRightInd w:val="0"/>
              <w:jc w:val="center"/>
              <w:rPr>
                <w:rFonts w:cs="Times New Roman"/>
                <w:bCs/>
                <w:szCs w:val="24"/>
              </w:rPr>
            </w:pPr>
          </w:p>
        </w:tc>
        <w:tc>
          <w:tcPr>
            <w:tcW w:w="1549" w:type="dxa"/>
            <w:tcBorders>
              <w:top w:val="single" w:sz="4" w:space="0" w:color="auto"/>
              <w:right w:val="nil"/>
            </w:tcBorders>
            <w:shd w:val="clear" w:color="auto" w:fill="auto"/>
          </w:tcPr>
          <w:p w14:paraId="126E5405" w14:textId="77777777" w:rsidR="003B6D98" w:rsidRDefault="003B6D98" w:rsidP="00476B25">
            <w:pPr>
              <w:autoSpaceDE w:val="0"/>
              <w:autoSpaceDN w:val="0"/>
              <w:adjustRightInd w:val="0"/>
              <w:jc w:val="center"/>
              <w:rPr>
                <w:rFonts w:cs="Times New Roman"/>
                <w:bCs/>
                <w:szCs w:val="24"/>
              </w:rPr>
            </w:pPr>
          </w:p>
        </w:tc>
        <w:tc>
          <w:tcPr>
            <w:tcW w:w="1417" w:type="dxa"/>
            <w:tcBorders>
              <w:top w:val="single" w:sz="4" w:space="0" w:color="auto"/>
              <w:right w:val="nil"/>
            </w:tcBorders>
            <w:shd w:val="clear" w:color="auto" w:fill="auto"/>
          </w:tcPr>
          <w:p w14:paraId="2D99FEC9" w14:textId="77777777" w:rsidR="003B6D98" w:rsidRDefault="003B6D98" w:rsidP="00476B25">
            <w:pPr>
              <w:autoSpaceDE w:val="0"/>
              <w:autoSpaceDN w:val="0"/>
              <w:adjustRightInd w:val="0"/>
              <w:jc w:val="center"/>
              <w:rPr>
                <w:rFonts w:cs="Times New Roman"/>
                <w:bCs/>
                <w:szCs w:val="24"/>
              </w:rPr>
            </w:pPr>
          </w:p>
        </w:tc>
        <w:tc>
          <w:tcPr>
            <w:tcW w:w="1375" w:type="dxa"/>
            <w:tcBorders>
              <w:top w:val="single" w:sz="4" w:space="0" w:color="auto"/>
              <w:right w:val="nil"/>
            </w:tcBorders>
            <w:shd w:val="clear" w:color="auto" w:fill="auto"/>
          </w:tcPr>
          <w:p w14:paraId="07D03CFD" w14:textId="77777777" w:rsidR="003B6D98" w:rsidRDefault="003B6D98" w:rsidP="00476B25">
            <w:pPr>
              <w:autoSpaceDE w:val="0"/>
              <w:autoSpaceDN w:val="0"/>
              <w:adjustRightInd w:val="0"/>
              <w:jc w:val="center"/>
              <w:rPr>
                <w:rFonts w:cs="Times New Roman"/>
                <w:bCs/>
                <w:szCs w:val="24"/>
              </w:rPr>
            </w:pPr>
          </w:p>
        </w:tc>
        <w:tc>
          <w:tcPr>
            <w:tcW w:w="892" w:type="dxa"/>
            <w:tcBorders>
              <w:top w:val="single" w:sz="4" w:space="0" w:color="auto"/>
              <w:left w:val="nil"/>
              <w:bottom w:val="single" w:sz="4" w:space="0" w:color="auto"/>
              <w:right w:val="nil"/>
            </w:tcBorders>
            <w:shd w:val="clear" w:color="auto" w:fill="auto"/>
          </w:tcPr>
          <w:p w14:paraId="5AC072D3" w14:textId="77777777" w:rsidR="003B6D98" w:rsidRDefault="003B6D98" w:rsidP="00476B25">
            <w:pPr>
              <w:autoSpaceDE w:val="0"/>
              <w:autoSpaceDN w:val="0"/>
              <w:adjustRightInd w:val="0"/>
              <w:jc w:val="center"/>
              <w:rPr>
                <w:rFonts w:cs="Times New Roman"/>
                <w:bCs/>
                <w:szCs w:val="24"/>
              </w:rPr>
            </w:pPr>
          </w:p>
        </w:tc>
      </w:tr>
      <w:tr w:rsidR="003B6D98" w14:paraId="1586E79D" w14:textId="77777777" w:rsidTr="00476B25">
        <w:tc>
          <w:tcPr>
            <w:tcW w:w="2098" w:type="dxa"/>
            <w:tcBorders>
              <w:top w:val="single" w:sz="4" w:space="0" w:color="auto"/>
              <w:bottom w:val="single" w:sz="4" w:space="0" w:color="auto"/>
            </w:tcBorders>
          </w:tcPr>
          <w:p w14:paraId="7B3A80D3" w14:textId="77777777" w:rsidR="003B6D98" w:rsidRDefault="003B6D98" w:rsidP="00476B25">
            <w:pPr>
              <w:autoSpaceDE w:val="0"/>
              <w:autoSpaceDN w:val="0"/>
              <w:adjustRightInd w:val="0"/>
              <w:jc w:val="center"/>
              <w:rPr>
                <w:rFonts w:cs="Times New Roman"/>
                <w:b/>
                <w:bCs/>
                <w:szCs w:val="24"/>
              </w:rPr>
            </w:pPr>
          </w:p>
        </w:tc>
        <w:tc>
          <w:tcPr>
            <w:tcW w:w="7155" w:type="dxa"/>
            <w:gridSpan w:val="5"/>
            <w:tcBorders>
              <w:top w:val="single" w:sz="4" w:space="0" w:color="auto"/>
              <w:bottom w:val="single" w:sz="4" w:space="0" w:color="auto"/>
            </w:tcBorders>
          </w:tcPr>
          <w:p w14:paraId="0E6D1C16" w14:textId="77777777" w:rsidR="003B6D98" w:rsidRDefault="003B6D98" w:rsidP="00476B25">
            <w:pPr>
              <w:autoSpaceDE w:val="0"/>
              <w:autoSpaceDN w:val="0"/>
              <w:adjustRightInd w:val="0"/>
              <w:jc w:val="center"/>
              <w:rPr>
                <w:rFonts w:cs="Times New Roman"/>
                <w:b/>
                <w:bCs/>
                <w:szCs w:val="24"/>
              </w:rPr>
            </w:pPr>
            <w:r>
              <w:rPr>
                <w:rFonts w:cs="Times New Roman"/>
                <w:b/>
                <w:bCs/>
                <w:szCs w:val="24"/>
              </w:rPr>
              <w:t>Movers</w:t>
            </w:r>
          </w:p>
        </w:tc>
        <w:tc>
          <w:tcPr>
            <w:tcW w:w="892" w:type="dxa"/>
            <w:tcBorders>
              <w:top w:val="single" w:sz="4" w:space="0" w:color="auto"/>
              <w:bottom w:val="single" w:sz="4" w:space="0" w:color="auto"/>
            </w:tcBorders>
          </w:tcPr>
          <w:p w14:paraId="0ADB2E2B" w14:textId="77777777" w:rsidR="003B6D98" w:rsidRDefault="003B6D98" w:rsidP="00476B25">
            <w:pPr>
              <w:autoSpaceDE w:val="0"/>
              <w:autoSpaceDN w:val="0"/>
              <w:adjustRightInd w:val="0"/>
              <w:jc w:val="center"/>
              <w:rPr>
                <w:rFonts w:cs="Times New Roman"/>
                <w:b/>
                <w:bCs/>
                <w:szCs w:val="24"/>
              </w:rPr>
            </w:pPr>
          </w:p>
        </w:tc>
      </w:tr>
      <w:tr w:rsidR="003B6D98" w14:paraId="0284F104" w14:textId="77777777" w:rsidTr="00476B25">
        <w:tc>
          <w:tcPr>
            <w:tcW w:w="2098" w:type="dxa"/>
            <w:tcBorders>
              <w:top w:val="single" w:sz="4" w:space="0" w:color="auto"/>
              <w:bottom w:val="single" w:sz="4" w:space="0" w:color="auto"/>
            </w:tcBorders>
          </w:tcPr>
          <w:p w14:paraId="73702A27" w14:textId="77777777" w:rsidR="003B6D98" w:rsidRDefault="003B6D98" w:rsidP="00476B25">
            <w:pPr>
              <w:autoSpaceDE w:val="0"/>
              <w:autoSpaceDN w:val="0"/>
              <w:adjustRightInd w:val="0"/>
              <w:jc w:val="center"/>
              <w:rPr>
                <w:rFonts w:cs="Times New Roman"/>
                <w:b/>
                <w:bCs/>
                <w:szCs w:val="24"/>
              </w:rPr>
            </w:pPr>
          </w:p>
        </w:tc>
        <w:tc>
          <w:tcPr>
            <w:tcW w:w="1417" w:type="dxa"/>
            <w:tcBorders>
              <w:top w:val="single" w:sz="4" w:space="0" w:color="auto"/>
              <w:bottom w:val="single" w:sz="4" w:space="0" w:color="auto"/>
            </w:tcBorders>
          </w:tcPr>
          <w:p w14:paraId="310E1C3F" w14:textId="77777777" w:rsidR="003B6D98" w:rsidRPr="00F840C4" w:rsidRDefault="003B6D98" w:rsidP="00476B25">
            <w:pPr>
              <w:autoSpaceDE w:val="0"/>
              <w:autoSpaceDN w:val="0"/>
              <w:adjustRightInd w:val="0"/>
              <w:jc w:val="center"/>
              <w:rPr>
                <w:rFonts w:cs="Times New Roman"/>
                <w:b/>
                <w:bCs/>
                <w:szCs w:val="24"/>
              </w:rPr>
            </w:pPr>
            <w:r>
              <w:rPr>
                <w:rFonts w:cs="Times New Roman"/>
                <w:b/>
                <w:bCs/>
                <w:szCs w:val="24"/>
              </w:rPr>
              <w:t>Very low</w:t>
            </w:r>
          </w:p>
          <w:p w14:paraId="055E5CF4" w14:textId="77777777" w:rsidR="003B6D98" w:rsidRPr="00F840C4" w:rsidRDefault="003B6D98" w:rsidP="00476B25">
            <w:pPr>
              <w:autoSpaceDE w:val="0"/>
              <w:autoSpaceDN w:val="0"/>
              <w:adjustRightInd w:val="0"/>
              <w:jc w:val="center"/>
              <w:rPr>
                <w:rFonts w:cs="Times New Roman"/>
                <w:b/>
                <w:bCs/>
                <w:szCs w:val="24"/>
                <w:highlight w:val="yellow"/>
              </w:rPr>
            </w:pPr>
            <w:r w:rsidRPr="00F840C4">
              <w:rPr>
                <w:rFonts w:cs="Times New Roman"/>
                <w:b/>
                <w:bCs/>
                <w:szCs w:val="24"/>
              </w:rPr>
              <w:t>(n=</w:t>
            </w:r>
            <w:r>
              <w:rPr>
                <w:rFonts w:cs="Times New Roman"/>
                <w:b/>
                <w:bCs/>
                <w:szCs w:val="24"/>
              </w:rPr>
              <w:t>496</w:t>
            </w:r>
            <w:r w:rsidRPr="00F840C4">
              <w:rPr>
                <w:rFonts w:cs="Times New Roman"/>
                <w:b/>
                <w:bCs/>
                <w:szCs w:val="24"/>
              </w:rPr>
              <w:t>)</w:t>
            </w:r>
          </w:p>
        </w:tc>
        <w:tc>
          <w:tcPr>
            <w:tcW w:w="1397" w:type="dxa"/>
            <w:tcBorders>
              <w:top w:val="single" w:sz="4" w:space="0" w:color="auto"/>
              <w:bottom w:val="single" w:sz="4" w:space="0" w:color="auto"/>
            </w:tcBorders>
          </w:tcPr>
          <w:p w14:paraId="1020BBBC" w14:textId="77777777" w:rsidR="003B6D98" w:rsidRPr="00F840C4" w:rsidRDefault="003B6D98" w:rsidP="00476B25">
            <w:pPr>
              <w:autoSpaceDE w:val="0"/>
              <w:autoSpaceDN w:val="0"/>
              <w:adjustRightInd w:val="0"/>
              <w:jc w:val="center"/>
              <w:rPr>
                <w:rFonts w:cs="Times New Roman"/>
                <w:b/>
                <w:bCs/>
                <w:szCs w:val="24"/>
              </w:rPr>
            </w:pPr>
            <w:r>
              <w:rPr>
                <w:rFonts w:cs="Times New Roman"/>
                <w:b/>
                <w:bCs/>
                <w:szCs w:val="24"/>
              </w:rPr>
              <w:t>Low</w:t>
            </w:r>
          </w:p>
          <w:p w14:paraId="52CECC86" w14:textId="77777777" w:rsidR="003B6D98" w:rsidRPr="00F840C4" w:rsidRDefault="003B6D98" w:rsidP="00476B25">
            <w:pPr>
              <w:autoSpaceDE w:val="0"/>
              <w:autoSpaceDN w:val="0"/>
              <w:adjustRightInd w:val="0"/>
              <w:jc w:val="center"/>
              <w:rPr>
                <w:rFonts w:cs="Times New Roman"/>
                <w:b/>
                <w:bCs/>
                <w:szCs w:val="24"/>
              </w:rPr>
            </w:pPr>
            <w:r w:rsidRPr="00F840C4">
              <w:rPr>
                <w:rFonts w:cs="Times New Roman"/>
                <w:b/>
                <w:bCs/>
                <w:szCs w:val="24"/>
              </w:rPr>
              <w:t>(n=</w:t>
            </w:r>
            <w:r>
              <w:rPr>
                <w:rFonts w:cs="Times New Roman"/>
                <w:b/>
                <w:bCs/>
                <w:szCs w:val="24"/>
              </w:rPr>
              <w:t>1026</w:t>
            </w:r>
            <w:r w:rsidRPr="00F840C4">
              <w:rPr>
                <w:rFonts w:cs="Times New Roman"/>
                <w:b/>
                <w:bCs/>
                <w:szCs w:val="24"/>
              </w:rPr>
              <w:t>)</w:t>
            </w:r>
          </w:p>
        </w:tc>
        <w:tc>
          <w:tcPr>
            <w:tcW w:w="1549" w:type="dxa"/>
            <w:tcBorders>
              <w:top w:val="single" w:sz="4" w:space="0" w:color="auto"/>
              <w:bottom w:val="single" w:sz="4" w:space="0" w:color="auto"/>
            </w:tcBorders>
          </w:tcPr>
          <w:p w14:paraId="6289177B" w14:textId="77777777" w:rsidR="003B6D98" w:rsidRPr="00F840C4" w:rsidRDefault="003B6D98" w:rsidP="00476B25">
            <w:pPr>
              <w:autoSpaceDE w:val="0"/>
              <w:autoSpaceDN w:val="0"/>
              <w:adjustRightInd w:val="0"/>
              <w:jc w:val="center"/>
              <w:rPr>
                <w:rFonts w:cs="Times New Roman"/>
                <w:b/>
                <w:bCs/>
                <w:szCs w:val="24"/>
              </w:rPr>
            </w:pPr>
            <w:r>
              <w:rPr>
                <w:rFonts w:cs="Times New Roman"/>
                <w:b/>
                <w:bCs/>
                <w:szCs w:val="24"/>
              </w:rPr>
              <w:t>Intermediate</w:t>
            </w:r>
          </w:p>
          <w:p w14:paraId="4056AB9D" w14:textId="77777777" w:rsidR="003B6D98" w:rsidRPr="00F840C4" w:rsidRDefault="003B6D98" w:rsidP="00476B25">
            <w:pPr>
              <w:autoSpaceDE w:val="0"/>
              <w:autoSpaceDN w:val="0"/>
              <w:adjustRightInd w:val="0"/>
              <w:jc w:val="center"/>
              <w:rPr>
                <w:rFonts w:cs="Times New Roman"/>
                <w:b/>
                <w:bCs/>
                <w:szCs w:val="24"/>
              </w:rPr>
            </w:pPr>
            <w:r w:rsidRPr="00F840C4">
              <w:rPr>
                <w:rFonts w:cs="Times New Roman"/>
                <w:b/>
                <w:bCs/>
                <w:szCs w:val="24"/>
              </w:rPr>
              <w:t>(n=</w:t>
            </w:r>
            <w:r>
              <w:rPr>
                <w:rFonts w:cs="Times New Roman"/>
                <w:b/>
                <w:bCs/>
                <w:szCs w:val="24"/>
              </w:rPr>
              <w:t>5168</w:t>
            </w:r>
            <w:r w:rsidRPr="00F840C4">
              <w:rPr>
                <w:rFonts w:cs="Times New Roman"/>
                <w:b/>
                <w:bCs/>
                <w:szCs w:val="24"/>
              </w:rPr>
              <w:t>)</w:t>
            </w:r>
          </w:p>
        </w:tc>
        <w:tc>
          <w:tcPr>
            <w:tcW w:w="1417" w:type="dxa"/>
            <w:tcBorders>
              <w:top w:val="single" w:sz="4" w:space="0" w:color="auto"/>
              <w:bottom w:val="single" w:sz="4" w:space="0" w:color="auto"/>
            </w:tcBorders>
          </w:tcPr>
          <w:p w14:paraId="58028F62" w14:textId="77777777" w:rsidR="003B6D98" w:rsidRDefault="003B6D98" w:rsidP="00476B25">
            <w:pPr>
              <w:autoSpaceDE w:val="0"/>
              <w:autoSpaceDN w:val="0"/>
              <w:adjustRightInd w:val="0"/>
              <w:jc w:val="center"/>
              <w:rPr>
                <w:rFonts w:cs="Times New Roman"/>
                <w:b/>
                <w:bCs/>
                <w:szCs w:val="24"/>
              </w:rPr>
            </w:pPr>
            <w:r>
              <w:rPr>
                <w:rFonts w:cs="Times New Roman"/>
                <w:b/>
                <w:bCs/>
                <w:szCs w:val="24"/>
              </w:rPr>
              <w:t xml:space="preserve">High </w:t>
            </w:r>
          </w:p>
          <w:p w14:paraId="75438B46" w14:textId="77777777" w:rsidR="003B6D98" w:rsidRPr="00F840C4" w:rsidRDefault="003B6D98" w:rsidP="00476B25">
            <w:pPr>
              <w:autoSpaceDE w:val="0"/>
              <w:autoSpaceDN w:val="0"/>
              <w:adjustRightInd w:val="0"/>
              <w:jc w:val="center"/>
              <w:rPr>
                <w:rFonts w:cs="Times New Roman"/>
                <w:b/>
                <w:bCs/>
                <w:szCs w:val="24"/>
              </w:rPr>
            </w:pPr>
            <w:r>
              <w:rPr>
                <w:rFonts w:cs="Times New Roman"/>
                <w:b/>
                <w:bCs/>
                <w:szCs w:val="24"/>
              </w:rPr>
              <w:t>(n=1625)</w:t>
            </w:r>
          </w:p>
        </w:tc>
        <w:tc>
          <w:tcPr>
            <w:tcW w:w="1375" w:type="dxa"/>
            <w:tcBorders>
              <w:top w:val="single" w:sz="4" w:space="0" w:color="auto"/>
              <w:bottom w:val="single" w:sz="4" w:space="0" w:color="auto"/>
            </w:tcBorders>
          </w:tcPr>
          <w:p w14:paraId="3B42F31E" w14:textId="77777777" w:rsidR="003B6D98" w:rsidRDefault="003B6D98" w:rsidP="00476B25">
            <w:pPr>
              <w:autoSpaceDE w:val="0"/>
              <w:autoSpaceDN w:val="0"/>
              <w:adjustRightInd w:val="0"/>
              <w:jc w:val="center"/>
              <w:rPr>
                <w:rFonts w:cs="Times New Roman"/>
                <w:b/>
                <w:bCs/>
                <w:szCs w:val="24"/>
              </w:rPr>
            </w:pPr>
            <w:r>
              <w:rPr>
                <w:rFonts w:cs="Times New Roman"/>
                <w:b/>
                <w:bCs/>
                <w:szCs w:val="24"/>
              </w:rPr>
              <w:t xml:space="preserve">Very high </w:t>
            </w:r>
          </w:p>
          <w:p w14:paraId="127594F3" w14:textId="77777777" w:rsidR="003B6D98" w:rsidRDefault="003B6D98" w:rsidP="00476B25">
            <w:pPr>
              <w:autoSpaceDE w:val="0"/>
              <w:autoSpaceDN w:val="0"/>
              <w:adjustRightInd w:val="0"/>
              <w:jc w:val="center"/>
              <w:rPr>
                <w:rFonts w:cs="Times New Roman"/>
                <w:b/>
                <w:bCs/>
                <w:szCs w:val="24"/>
              </w:rPr>
            </w:pPr>
            <w:r>
              <w:rPr>
                <w:rFonts w:cs="Times New Roman"/>
                <w:b/>
                <w:bCs/>
                <w:szCs w:val="24"/>
              </w:rPr>
              <w:t>(n=503)</w:t>
            </w:r>
          </w:p>
        </w:tc>
        <w:tc>
          <w:tcPr>
            <w:tcW w:w="892" w:type="dxa"/>
            <w:tcBorders>
              <w:top w:val="single" w:sz="4" w:space="0" w:color="auto"/>
              <w:bottom w:val="single" w:sz="4" w:space="0" w:color="auto"/>
            </w:tcBorders>
          </w:tcPr>
          <w:p w14:paraId="43DFF9F4" w14:textId="77777777" w:rsidR="003B6D98" w:rsidRDefault="003B6D98" w:rsidP="00476B25">
            <w:pPr>
              <w:autoSpaceDE w:val="0"/>
              <w:autoSpaceDN w:val="0"/>
              <w:adjustRightInd w:val="0"/>
              <w:jc w:val="center"/>
              <w:rPr>
                <w:rFonts w:cs="Times New Roman"/>
                <w:b/>
                <w:bCs/>
                <w:szCs w:val="24"/>
              </w:rPr>
            </w:pPr>
            <w:r>
              <w:rPr>
                <w:rFonts w:cs="Times New Roman"/>
                <w:b/>
                <w:bCs/>
                <w:szCs w:val="24"/>
              </w:rPr>
              <w:t>P</w:t>
            </w:r>
            <w:r w:rsidRPr="00D54B99">
              <w:rPr>
                <w:rFonts w:cs="Times New Roman"/>
                <w:b/>
                <w:bCs/>
                <w:szCs w:val="24"/>
                <w:vertAlign w:val="subscript"/>
              </w:rPr>
              <w:t>trend</w:t>
            </w:r>
          </w:p>
        </w:tc>
      </w:tr>
      <w:tr w:rsidR="003B6D98" w:rsidRPr="00FA121A" w14:paraId="4B56E258" w14:textId="77777777" w:rsidTr="00476B25">
        <w:tc>
          <w:tcPr>
            <w:tcW w:w="2098" w:type="dxa"/>
          </w:tcPr>
          <w:p w14:paraId="411EE518" w14:textId="77777777" w:rsidR="003B6D98" w:rsidRPr="00F840C4" w:rsidRDefault="003B6D98" w:rsidP="00476B25">
            <w:pPr>
              <w:autoSpaceDE w:val="0"/>
              <w:autoSpaceDN w:val="0"/>
              <w:adjustRightInd w:val="0"/>
              <w:rPr>
                <w:rFonts w:cs="Times New Roman"/>
                <w:bCs/>
                <w:szCs w:val="24"/>
              </w:rPr>
            </w:pPr>
            <w:r w:rsidRPr="00F840C4">
              <w:rPr>
                <w:rFonts w:cs="Times New Roman"/>
                <w:bCs/>
                <w:szCs w:val="24"/>
              </w:rPr>
              <w:t>Dark bread</w:t>
            </w:r>
          </w:p>
          <w:p w14:paraId="59479DDD" w14:textId="77777777" w:rsidR="003B6D98" w:rsidRDefault="003B6D98" w:rsidP="00476B25">
            <w:pPr>
              <w:autoSpaceDE w:val="0"/>
              <w:autoSpaceDN w:val="0"/>
              <w:adjustRightInd w:val="0"/>
              <w:rPr>
                <w:rFonts w:cs="Times New Roman"/>
                <w:bCs/>
                <w:szCs w:val="24"/>
              </w:rPr>
            </w:pPr>
            <w:r w:rsidRPr="00CC55AD">
              <w:rPr>
                <w:rFonts w:ascii="Calibri" w:eastAsia="Times New Roman" w:hAnsi="Calibri" w:cs="Times New Roman"/>
                <w:i/>
                <w:color w:val="2E2E2E"/>
                <w:sz w:val="20"/>
                <w:szCs w:val="20"/>
                <w:lang w:eastAsia="fi-FI"/>
              </w:rPr>
              <w:t>≥</w:t>
            </w:r>
            <w:r w:rsidRPr="00CC55AD">
              <w:rPr>
                <w:rFonts w:eastAsia="Times New Roman" w:cs="Times New Roman"/>
                <w:i/>
                <w:color w:val="2E2E2E"/>
                <w:sz w:val="20"/>
                <w:szCs w:val="20"/>
                <w:lang w:eastAsia="fi-FI"/>
              </w:rPr>
              <w:t>2 / day</w:t>
            </w:r>
          </w:p>
        </w:tc>
        <w:tc>
          <w:tcPr>
            <w:tcW w:w="1417" w:type="dxa"/>
          </w:tcPr>
          <w:p w14:paraId="2B801774" w14:textId="77777777" w:rsidR="003B6D98" w:rsidRPr="00FA121A" w:rsidRDefault="003B6D98" w:rsidP="00476B25">
            <w:pPr>
              <w:autoSpaceDE w:val="0"/>
              <w:autoSpaceDN w:val="0"/>
              <w:adjustRightInd w:val="0"/>
              <w:jc w:val="center"/>
              <w:rPr>
                <w:rFonts w:cs="Times New Roman"/>
                <w:bCs/>
                <w:szCs w:val="24"/>
              </w:rPr>
            </w:pPr>
            <w:r>
              <w:rPr>
                <w:rFonts w:cs="Times New Roman"/>
                <w:bCs/>
                <w:szCs w:val="24"/>
              </w:rPr>
              <w:t>36 (32-41)</w:t>
            </w:r>
          </w:p>
        </w:tc>
        <w:tc>
          <w:tcPr>
            <w:tcW w:w="1397" w:type="dxa"/>
          </w:tcPr>
          <w:p w14:paraId="6C1093C1" w14:textId="77777777" w:rsidR="003B6D98" w:rsidRPr="00FA121A" w:rsidRDefault="003B6D98" w:rsidP="00476B25">
            <w:pPr>
              <w:jc w:val="center"/>
              <w:rPr>
                <w:rFonts w:cs="Times New Roman"/>
                <w:szCs w:val="24"/>
              </w:rPr>
            </w:pPr>
            <w:r>
              <w:rPr>
                <w:rFonts w:cs="Times New Roman"/>
                <w:szCs w:val="24"/>
              </w:rPr>
              <w:t>35 (32-39)</w:t>
            </w:r>
          </w:p>
        </w:tc>
        <w:tc>
          <w:tcPr>
            <w:tcW w:w="1549" w:type="dxa"/>
          </w:tcPr>
          <w:p w14:paraId="5301526A" w14:textId="77777777" w:rsidR="003B6D98" w:rsidRPr="00FA121A" w:rsidRDefault="003B6D98" w:rsidP="00476B25">
            <w:pPr>
              <w:jc w:val="center"/>
              <w:rPr>
                <w:rFonts w:cs="Times New Roman"/>
                <w:szCs w:val="24"/>
              </w:rPr>
            </w:pPr>
            <w:r>
              <w:rPr>
                <w:rFonts w:cs="Times New Roman"/>
                <w:szCs w:val="24"/>
              </w:rPr>
              <w:t>34 (33-35)</w:t>
            </w:r>
          </w:p>
        </w:tc>
        <w:tc>
          <w:tcPr>
            <w:tcW w:w="1417" w:type="dxa"/>
          </w:tcPr>
          <w:p w14:paraId="74C39DB9" w14:textId="77777777" w:rsidR="003B6D98" w:rsidRPr="00FA121A" w:rsidRDefault="003B6D98" w:rsidP="00476B25">
            <w:pPr>
              <w:jc w:val="center"/>
              <w:rPr>
                <w:rFonts w:cs="Times New Roman"/>
                <w:szCs w:val="24"/>
              </w:rPr>
            </w:pPr>
            <w:r>
              <w:rPr>
                <w:rFonts w:cs="Times New Roman"/>
                <w:szCs w:val="24"/>
              </w:rPr>
              <w:t>31 (29-34)</w:t>
            </w:r>
          </w:p>
        </w:tc>
        <w:tc>
          <w:tcPr>
            <w:tcW w:w="1375" w:type="dxa"/>
          </w:tcPr>
          <w:p w14:paraId="0F86ADA8" w14:textId="77777777" w:rsidR="003B6D98" w:rsidRDefault="003B6D98" w:rsidP="00476B25">
            <w:pPr>
              <w:jc w:val="center"/>
              <w:rPr>
                <w:rFonts w:cs="Times New Roman"/>
                <w:szCs w:val="24"/>
              </w:rPr>
            </w:pPr>
            <w:r>
              <w:rPr>
                <w:rFonts w:cs="Times New Roman"/>
                <w:szCs w:val="24"/>
              </w:rPr>
              <w:t>30 (26-35)</w:t>
            </w:r>
          </w:p>
        </w:tc>
        <w:tc>
          <w:tcPr>
            <w:tcW w:w="892" w:type="dxa"/>
          </w:tcPr>
          <w:p w14:paraId="3CC0CBCA" w14:textId="77777777" w:rsidR="003B6D98" w:rsidRPr="00FA121A" w:rsidRDefault="003B6D98" w:rsidP="00476B25">
            <w:pPr>
              <w:jc w:val="center"/>
              <w:rPr>
                <w:rFonts w:cs="Times New Roman"/>
                <w:szCs w:val="24"/>
              </w:rPr>
            </w:pPr>
            <w:r>
              <w:rPr>
                <w:rFonts w:cs="Times New Roman"/>
                <w:szCs w:val="24"/>
              </w:rPr>
              <w:t>0.005</w:t>
            </w:r>
          </w:p>
        </w:tc>
      </w:tr>
      <w:tr w:rsidR="003B6D98" w:rsidRPr="00FA121A" w14:paraId="27E97C87" w14:textId="77777777" w:rsidTr="00476B25">
        <w:tc>
          <w:tcPr>
            <w:tcW w:w="2098" w:type="dxa"/>
          </w:tcPr>
          <w:p w14:paraId="5F361B44" w14:textId="77777777" w:rsidR="003B6D98" w:rsidRPr="00F840C4" w:rsidRDefault="003B6D98" w:rsidP="00476B25">
            <w:pPr>
              <w:autoSpaceDE w:val="0"/>
              <w:autoSpaceDN w:val="0"/>
              <w:adjustRightInd w:val="0"/>
              <w:rPr>
                <w:rFonts w:cs="Times New Roman"/>
                <w:bCs/>
                <w:szCs w:val="24"/>
              </w:rPr>
            </w:pPr>
            <w:r w:rsidRPr="00F840C4">
              <w:rPr>
                <w:rFonts w:cs="Times New Roman"/>
                <w:bCs/>
                <w:szCs w:val="24"/>
              </w:rPr>
              <w:lastRenderedPageBreak/>
              <w:t>Pastries</w:t>
            </w:r>
            <w:r>
              <w:rPr>
                <w:rFonts w:cs="Times New Roman"/>
                <w:bCs/>
                <w:szCs w:val="24"/>
              </w:rPr>
              <w:t xml:space="preserve">, </w:t>
            </w:r>
            <w:r w:rsidRPr="00F840C4">
              <w:rPr>
                <w:rFonts w:cs="Times New Roman"/>
                <w:bCs/>
                <w:szCs w:val="24"/>
              </w:rPr>
              <w:t>sweets</w:t>
            </w:r>
          </w:p>
          <w:p w14:paraId="39C0DC9D" w14:textId="77777777" w:rsidR="003B6D98" w:rsidRDefault="003B6D98" w:rsidP="00476B25">
            <w:pPr>
              <w:autoSpaceDE w:val="0"/>
              <w:autoSpaceDN w:val="0"/>
              <w:adjustRightInd w:val="0"/>
              <w:rPr>
                <w:rFonts w:cs="Times New Roman"/>
                <w:bCs/>
                <w:szCs w:val="24"/>
              </w:rPr>
            </w:pPr>
            <w:r w:rsidRPr="00CC55AD">
              <w:rPr>
                <w:rFonts w:eastAsia="Times New Roman" w:cs="Times New Roman"/>
                <w:i/>
                <w:color w:val="2E2E2E"/>
                <w:sz w:val="20"/>
                <w:szCs w:val="20"/>
                <w:lang w:eastAsia="fi-FI"/>
              </w:rPr>
              <w:t>≤ 1-2 / week</w:t>
            </w:r>
          </w:p>
        </w:tc>
        <w:tc>
          <w:tcPr>
            <w:tcW w:w="1417" w:type="dxa"/>
          </w:tcPr>
          <w:p w14:paraId="36DC55DE" w14:textId="77777777" w:rsidR="003B6D98" w:rsidRPr="00B24A5C" w:rsidRDefault="003B6D98" w:rsidP="00476B25">
            <w:pPr>
              <w:autoSpaceDE w:val="0"/>
              <w:autoSpaceDN w:val="0"/>
              <w:adjustRightInd w:val="0"/>
              <w:jc w:val="center"/>
              <w:rPr>
                <w:rFonts w:cs="Times New Roman"/>
                <w:bCs/>
                <w:szCs w:val="24"/>
              </w:rPr>
            </w:pPr>
            <w:r>
              <w:rPr>
                <w:rFonts w:cs="Times New Roman"/>
                <w:bCs/>
                <w:szCs w:val="24"/>
              </w:rPr>
              <w:t>49 (45-54)</w:t>
            </w:r>
          </w:p>
        </w:tc>
        <w:tc>
          <w:tcPr>
            <w:tcW w:w="1397" w:type="dxa"/>
          </w:tcPr>
          <w:p w14:paraId="3DD6EF87" w14:textId="77777777" w:rsidR="003B6D98" w:rsidRPr="00FA121A" w:rsidRDefault="003B6D98" w:rsidP="00476B25">
            <w:pPr>
              <w:jc w:val="center"/>
              <w:rPr>
                <w:rFonts w:cs="Times New Roman"/>
                <w:szCs w:val="24"/>
              </w:rPr>
            </w:pPr>
            <w:r>
              <w:rPr>
                <w:rFonts w:cs="Times New Roman"/>
                <w:szCs w:val="24"/>
              </w:rPr>
              <w:t>49 (42-52)</w:t>
            </w:r>
          </w:p>
        </w:tc>
        <w:tc>
          <w:tcPr>
            <w:tcW w:w="1549" w:type="dxa"/>
          </w:tcPr>
          <w:p w14:paraId="79AFEBA0" w14:textId="77777777" w:rsidR="003B6D98" w:rsidRPr="00FA121A" w:rsidRDefault="003B6D98" w:rsidP="00476B25">
            <w:pPr>
              <w:jc w:val="center"/>
              <w:rPr>
                <w:rFonts w:cs="Times New Roman"/>
                <w:szCs w:val="24"/>
              </w:rPr>
            </w:pPr>
            <w:r>
              <w:rPr>
                <w:rFonts w:cs="Times New Roman"/>
                <w:szCs w:val="24"/>
              </w:rPr>
              <w:t>49 (48-51)</w:t>
            </w:r>
          </w:p>
        </w:tc>
        <w:tc>
          <w:tcPr>
            <w:tcW w:w="1417" w:type="dxa"/>
          </w:tcPr>
          <w:p w14:paraId="6CEF544E" w14:textId="77777777" w:rsidR="003B6D98" w:rsidRPr="00FA121A" w:rsidRDefault="003B6D98" w:rsidP="00476B25">
            <w:pPr>
              <w:jc w:val="center"/>
              <w:rPr>
                <w:rFonts w:cs="Times New Roman"/>
                <w:szCs w:val="24"/>
              </w:rPr>
            </w:pPr>
            <w:r>
              <w:rPr>
                <w:rFonts w:cs="Times New Roman"/>
                <w:szCs w:val="24"/>
              </w:rPr>
              <w:t>51 (49-54)</w:t>
            </w:r>
          </w:p>
        </w:tc>
        <w:tc>
          <w:tcPr>
            <w:tcW w:w="1375" w:type="dxa"/>
          </w:tcPr>
          <w:p w14:paraId="348225DA" w14:textId="77777777" w:rsidR="003B6D98" w:rsidRDefault="003B6D98" w:rsidP="00476B25">
            <w:pPr>
              <w:jc w:val="center"/>
              <w:rPr>
                <w:rFonts w:cs="Times New Roman"/>
                <w:szCs w:val="24"/>
              </w:rPr>
            </w:pPr>
            <w:r>
              <w:rPr>
                <w:rFonts w:cs="Times New Roman"/>
                <w:szCs w:val="24"/>
              </w:rPr>
              <w:t>48 (444-53)</w:t>
            </w:r>
          </w:p>
        </w:tc>
        <w:tc>
          <w:tcPr>
            <w:tcW w:w="892" w:type="dxa"/>
          </w:tcPr>
          <w:p w14:paraId="7FF2FD39" w14:textId="77777777" w:rsidR="003B6D98" w:rsidRPr="00FA121A" w:rsidRDefault="003B6D98" w:rsidP="00476B25">
            <w:pPr>
              <w:jc w:val="center"/>
              <w:rPr>
                <w:rFonts w:cs="Times New Roman"/>
                <w:szCs w:val="24"/>
              </w:rPr>
            </w:pPr>
            <w:r>
              <w:rPr>
                <w:rFonts w:cs="Times New Roman"/>
                <w:szCs w:val="24"/>
              </w:rPr>
              <w:t>0.54</w:t>
            </w:r>
          </w:p>
        </w:tc>
      </w:tr>
      <w:tr w:rsidR="003B6D98" w:rsidRPr="002F6D7C" w14:paraId="6279FBA8" w14:textId="77777777" w:rsidTr="00476B25">
        <w:tc>
          <w:tcPr>
            <w:tcW w:w="2098" w:type="dxa"/>
          </w:tcPr>
          <w:p w14:paraId="435B1498" w14:textId="77777777" w:rsidR="003B6D98" w:rsidRPr="00F840C4" w:rsidRDefault="003B6D98" w:rsidP="00476B25">
            <w:pPr>
              <w:autoSpaceDE w:val="0"/>
              <w:autoSpaceDN w:val="0"/>
              <w:adjustRightInd w:val="0"/>
              <w:rPr>
                <w:rFonts w:eastAsia="Times New Roman" w:cs="Times New Roman"/>
                <w:color w:val="2E2E2E"/>
                <w:szCs w:val="24"/>
                <w:lang w:eastAsia="fi-FI"/>
              </w:rPr>
            </w:pPr>
            <w:r w:rsidRPr="00F840C4">
              <w:rPr>
                <w:rFonts w:cs="Times New Roman"/>
                <w:bCs/>
                <w:szCs w:val="24"/>
              </w:rPr>
              <w:t>Fat free milk</w:t>
            </w:r>
            <w:r w:rsidRPr="00F840C4">
              <w:rPr>
                <w:rFonts w:eastAsia="Times New Roman" w:cs="Times New Roman"/>
                <w:color w:val="2E2E2E"/>
                <w:szCs w:val="24"/>
                <w:lang w:eastAsia="fi-FI"/>
              </w:rPr>
              <w:t xml:space="preserve"> </w:t>
            </w:r>
          </w:p>
          <w:p w14:paraId="1831E4FC" w14:textId="77777777" w:rsidR="003B6D98" w:rsidRDefault="003B6D98" w:rsidP="00476B25">
            <w:pPr>
              <w:autoSpaceDE w:val="0"/>
              <w:autoSpaceDN w:val="0"/>
              <w:adjustRightInd w:val="0"/>
              <w:rPr>
                <w:rFonts w:cs="Times New Roman"/>
                <w:bCs/>
                <w:szCs w:val="24"/>
              </w:rPr>
            </w:pPr>
            <w:r w:rsidRPr="00CC55AD">
              <w:rPr>
                <w:rFonts w:ascii="Calibri" w:eastAsia="Times New Roman" w:hAnsi="Calibri" w:cs="Times New Roman"/>
                <w:i/>
                <w:color w:val="2E2E2E"/>
                <w:sz w:val="20"/>
                <w:szCs w:val="20"/>
                <w:lang w:eastAsia="fi-FI"/>
              </w:rPr>
              <w:t>≥ 1</w:t>
            </w:r>
            <w:r w:rsidRPr="00CC55AD">
              <w:rPr>
                <w:rFonts w:eastAsia="Times New Roman" w:cs="Times New Roman"/>
                <w:i/>
                <w:color w:val="2E2E2E"/>
                <w:sz w:val="20"/>
                <w:szCs w:val="20"/>
                <w:lang w:eastAsia="fi-FI"/>
              </w:rPr>
              <w:t xml:space="preserve"> / day</w:t>
            </w:r>
          </w:p>
        </w:tc>
        <w:tc>
          <w:tcPr>
            <w:tcW w:w="1417" w:type="dxa"/>
          </w:tcPr>
          <w:p w14:paraId="4D2A6240" w14:textId="77777777" w:rsidR="003B6D98" w:rsidRPr="002F6D7C" w:rsidRDefault="003B6D98" w:rsidP="00476B25">
            <w:pPr>
              <w:autoSpaceDE w:val="0"/>
              <w:autoSpaceDN w:val="0"/>
              <w:adjustRightInd w:val="0"/>
              <w:jc w:val="center"/>
              <w:rPr>
                <w:rFonts w:cs="Times New Roman"/>
                <w:bCs/>
                <w:szCs w:val="24"/>
              </w:rPr>
            </w:pPr>
            <w:r>
              <w:rPr>
                <w:rFonts w:cs="Times New Roman"/>
                <w:bCs/>
                <w:szCs w:val="24"/>
              </w:rPr>
              <w:t>40 (36-45)</w:t>
            </w:r>
          </w:p>
        </w:tc>
        <w:tc>
          <w:tcPr>
            <w:tcW w:w="1397" w:type="dxa"/>
          </w:tcPr>
          <w:p w14:paraId="6E080EC2" w14:textId="77777777" w:rsidR="003B6D98" w:rsidRPr="002F6D7C" w:rsidRDefault="003B6D98" w:rsidP="00476B25">
            <w:pPr>
              <w:jc w:val="center"/>
              <w:rPr>
                <w:rFonts w:cs="Times New Roman"/>
                <w:szCs w:val="24"/>
              </w:rPr>
            </w:pPr>
            <w:r>
              <w:rPr>
                <w:rFonts w:cs="Times New Roman"/>
                <w:szCs w:val="24"/>
              </w:rPr>
              <w:t>39 (37-43)</w:t>
            </w:r>
          </w:p>
        </w:tc>
        <w:tc>
          <w:tcPr>
            <w:tcW w:w="1549" w:type="dxa"/>
          </w:tcPr>
          <w:p w14:paraId="462B1CB1" w14:textId="77777777" w:rsidR="003B6D98" w:rsidRPr="002F6D7C" w:rsidRDefault="003B6D98" w:rsidP="00476B25">
            <w:pPr>
              <w:jc w:val="center"/>
              <w:rPr>
                <w:rFonts w:cs="Times New Roman"/>
                <w:szCs w:val="24"/>
              </w:rPr>
            </w:pPr>
            <w:r>
              <w:rPr>
                <w:rFonts w:cs="Times New Roman"/>
                <w:szCs w:val="24"/>
              </w:rPr>
              <w:t>43 (41-44)</w:t>
            </w:r>
          </w:p>
        </w:tc>
        <w:tc>
          <w:tcPr>
            <w:tcW w:w="1417" w:type="dxa"/>
          </w:tcPr>
          <w:p w14:paraId="7EF881A5" w14:textId="77777777" w:rsidR="003B6D98" w:rsidRPr="002F6D7C" w:rsidRDefault="003B6D98" w:rsidP="00476B25">
            <w:pPr>
              <w:jc w:val="center"/>
              <w:rPr>
                <w:rFonts w:cs="Times New Roman"/>
                <w:szCs w:val="24"/>
              </w:rPr>
            </w:pPr>
            <w:r>
              <w:rPr>
                <w:rFonts w:cs="Times New Roman"/>
                <w:szCs w:val="24"/>
              </w:rPr>
              <w:t>41 (38-43)</w:t>
            </w:r>
          </w:p>
        </w:tc>
        <w:tc>
          <w:tcPr>
            <w:tcW w:w="1375" w:type="dxa"/>
          </w:tcPr>
          <w:p w14:paraId="1E92A4DC" w14:textId="77777777" w:rsidR="003B6D98" w:rsidRDefault="003B6D98" w:rsidP="00476B25">
            <w:pPr>
              <w:jc w:val="center"/>
              <w:rPr>
                <w:rFonts w:cs="Times New Roman"/>
                <w:szCs w:val="24"/>
              </w:rPr>
            </w:pPr>
            <w:r>
              <w:rPr>
                <w:rFonts w:cs="Times New Roman"/>
                <w:szCs w:val="24"/>
              </w:rPr>
              <w:t>44 (40-49)</w:t>
            </w:r>
          </w:p>
        </w:tc>
        <w:tc>
          <w:tcPr>
            <w:tcW w:w="892" w:type="dxa"/>
          </w:tcPr>
          <w:p w14:paraId="7ACB4098" w14:textId="77777777" w:rsidR="003B6D98" w:rsidRPr="002F6D7C" w:rsidRDefault="003B6D98" w:rsidP="00476B25">
            <w:pPr>
              <w:jc w:val="center"/>
              <w:rPr>
                <w:rFonts w:cs="Times New Roman"/>
                <w:szCs w:val="24"/>
              </w:rPr>
            </w:pPr>
            <w:r>
              <w:rPr>
                <w:rFonts w:cs="Times New Roman"/>
                <w:szCs w:val="24"/>
              </w:rPr>
              <w:t>0.29</w:t>
            </w:r>
          </w:p>
        </w:tc>
      </w:tr>
      <w:tr w:rsidR="003B6D98" w:rsidRPr="00FA121A" w14:paraId="4FD9D98C" w14:textId="77777777" w:rsidTr="00476B25">
        <w:tc>
          <w:tcPr>
            <w:tcW w:w="2098" w:type="dxa"/>
          </w:tcPr>
          <w:p w14:paraId="7CB8405B" w14:textId="77777777" w:rsidR="003B6D98" w:rsidRPr="00F840C4" w:rsidRDefault="003B6D98" w:rsidP="00476B25">
            <w:pPr>
              <w:autoSpaceDE w:val="0"/>
              <w:autoSpaceDN w:val="0"/>
              <w:adjustRightInd w:val="0"/>
              <w:rPr>
                <w:rFonts w:cs="Times New Roman"/>
                <w:bCs/>
                <w:szCs w:val="24"/>
              </w:rPr>
            </w:pPr>
            <w:r w:rsidRPr="00F840C4">
              <w:rPr>
                <w:rFonts w:cs="Times New Roman"/>
                <w:bCs/>
                <w:szCs w:val="24"/>
              </w:rPr>
              <w:t>Sausage</w:t>
            </w:r>
          </w:p>
          <w:p w14:paraId="4389EB94" w14:textId="77777777" w:rsidR="003B6D98" w:rsidRDefault="003B6D98" w:rsidP="00476B25">
            <w:pPr>
              <w:autoSpaceDE w:val="0"/>
              <w:autoSpaceDN w:val="0"/>
              <w:adjustRightInd w:val="0"/>
              <w:rPr>
                <w:rFonts w:cs="Times New Roman"/>
                <w:bCs/>
                <w:szCs w:val="24"/>
              </w:rPr>
            </w:pPr>
            <w:r w:rsidRPr="00CC55AD">
              <w:rPr>
                <w:rFonts w:eastAsia="Times New Roman" w:cs="Times New Roman"/>
                <w:i/>
                <w:color w:val="2E2E2E"/>
                <w:sz w:val="20"/>
                <w:szCs w:val="20"/>
                <w:lang w:eastAsia="fi-FI"/>
              </w:rPr>
              <w:t>≤ 1-2 / week</w:t>
            </w:r>
          </w:p>
        </w:tc>
        <w:tc>
          <w:tcPr>
            <w:tcW w:w="1417" w:type="dxa"/>
          </w:tcPr>
          <w:p w14:paraId="1D1F64CF" w14:textId="77777777" w:rsidR="003B6D98" w:rsidRPr="003D18A1" w:rsidRDefault="003B6D98" w:rsidP="00476B25">
            <w:pPr>
              <w:autoSpaceDE w:val="0"/>
              <w:autoSpaceDN w:val="0"/>
              <w:adjustRightInd w:val="0"/>
              <w:jc w:val="center"/>
              <w:rPr>
                <w:rFonts w:cs="Times New Roman"/>
                <w:bCs/>
                <w:szCs w:val="24"/>
              </w:rPr>
            </w:pPr>
            <w:r>
              <w:rPr>
                <w:rFonts w:cs="Times New Roman"/>
                <w:bCs/>
                <w:szCs w:val="24"/>
              </w:rPr>
              <w:t>51 (47-56)</w:t>
            </w:r>
          </w:p>
        </w:tc>
        <w:tc>
          <w:tcPr>
            <w:tcW w:w="1397" w:type="dxa"/>
          </w:tcPr>
          <w:p w14:paraId="586B1D15" w14:textId="77777777" w:rsidR="003B6D98" w:rsidRPr="00FA121A" w:rsidRDefault="003B6D98" w:rsidP="00476B25">
            <w:pPr>
              <w:jc w:val="center"/>
              <w:rPr>
                <w:rFonts w:cs="Times New Roman"/>
                <w:szCs w:val="24"/>
              </w:rPr>
            </w:pPr>
            <w:r>
              <w:rPr>
                <w:rFonts w:cs="Times New Roman"/>
                <w:szCs w:val="24"/>
              </w:rPr>
              <w:t>57 (55-60)</w:t>
            </w:r>
          </w:p>
        </w:tc>
        <w:tc>
          <w:tcPr>
            <w:tcW w:w="1549" w:type="dxa"/>
          </w:tcPr>
          <w:p w14:paraId="20479E33" w14:textId="77777777" w:rsidR="003B6D98" w:rsidRPr="00FA121A" w:rsidRDefault="003B6D98" w:rsidP="00476B25">
            <w:pPr>
              <w:jc w:val="center"/>
              <w:rPr>
                <w:rFonts w:cs="Times New Roman"/>
                <w:szCs w:val="24"/>
              </w:rPr>
            </w:pPr>
            <w:r>
              <w:rPr>
                <w:rFonts w:cs="Times New Roman"/>
                <w:szCs w:val="24"/>
              </w:rPr>
              <w:t>61 (59-62)</w:t>
            </w:r>
          </w:p>
        </w:tc>
        <w:tc>
          <w:tcPr>
            <w:tcW w:w="1417" w:type="dxa"/>
          </w:tcPr>
          <w:p w14:paraId="768CCFC2" w14:textId="77777777" w:rsidR="003B6D98" w:rsidRPr="00FA121A" w:rsidRDefault="003B6D98" w:rsidP="00476B25">
            <w:pPr>
              <w:jc w:val="center"/>
              <w:rPr>
                <w:rFonts w:cs="Times New Roman"/>
                <w:szCs w:val="24"/>
              </w:rPr>
            </w:pPr>
            <w:r>
              <w:rPr>
                <w:rFonts w:cs="Times New Roman"/>
                <w:szCs w:val="24"/>
              </w:rPr>
              <w:t>62 (60-64)</w:t>
            </w:r>
          </w:p>
        </w:tc>
        <w:tc>
          <w:tcPr>
            <w:tcW w:w="1375" w:type="dxa"/>
          </w:tcPr>
          <w:p w14:paraId="130B3F63" w14:textId="77777777" w:rsidR="003B6D98" w:rsidRDefault="003B6D98" w:rsidP="00476B25">
            <w:pPr>
              <w:jc w:val="center"/>
              <w:rPr>
                <w:rFonts w:cs="Times New Roman"/>
                <w:szCs w:val="24"/>
              </w:rPr>
            </w:pPr>
            <w:r>
              <w:rPr>
                <w:rFonts w:cs="Times New Roman"/>
                <w:szCs w:val="24"/>
              </w:rPr>
              <w:t>63 (59-67)</w:t>
            </w:r>
          </w:p>
        </w:tc>
        <w:tc>
          <w:tcPr>
            <w:tcW w:w="892" w:type="dxa"/>
          </w:tcPr>
          <w:p w14:paraId="318B80D3" w14:textId="77777777" w:rsidR="003B6D98" w:rsidRPr="00FA121A" w:rsidRDefault="003B6D98" w:rsidP="00476B25">
            <w:pPr>
              <w:jc w:val="center"/>
              <w:rPr>
                <w:rFonts w:cs="Times New Roman"/>
                <w:szCs w:val="24"/>
              </w:rPr>
            </w:pPr>
            <w:r>
              <w:rPr>
                <w:rFonts w:cs="Times New Roman"/>
                <w:szCs w:val="24"/>
              </w:rPr>
              <w:t>&lt;0.001</w:t>
            </w:r>
          </w:p>
        </w:tc>
      </w:tr>
      <w:tr w:rsidR="003B6D98" w:rsidRPr="00FA121A" w14:paraId="48FB6B07" w14:textId="77777777" w:rsidTr="00476B25">
        <w:tc>
          <w:tcPr>
            <w:tcW w:w="2098" w:type="dxa"/>
          </w:tcPr>
          <w:p w14:paraId="737BA0DB" w14:textId="77777777" w:rsidR="003B6D98" w:rsidRPr="00F840C4" w:rsidRDefault="003B6D98" w:rsidP="00476B25">
            <w:pPr>
              <w:autoSpaceDE w:val="0"/>
              <w:autoSpaceDN w:val="0"/>
              <w:adjustRightInd w:val="0"/>
              <w:rPr>
                <w:rFonts w:cs="Times New Roman"/>
                <w:bCs/>
                <w:szCs w:val="24"/>
              </w:rPr>
            </w:pPr>
            <w:r w:rsidRPr="00F840C4">
              <w:rPr>
                <w:rFonts w:cs="Times New Roman"/>
                <w:bCs/>
                <w:szCs w:val="24"/>
              </w:rPr>
              <w:t>Red meat</w:t>
            </w:r>
          </w:p>
          <w:p w14:paraId="68D6D8F5" w14:textId="77777777" w:rsidR="003B6D98" w:rsidRDefault="003B6D98" w:rsidP="00476B25">
            <w:pPr>
              <w:autoSpaceDE w:val="0"/>
              <w:autoSpaceDN w:val="0"/>
              <w:adjustRightInd w:val="0"/>
              <w:rPr>
                <w:rFonts w:cs="Times New Roman"/>
                <w:bCs/>
                <w:szCs w:val="24"/>
              </w:rPr>
            </w:pPr>
            <w:r w:rsidRPr="00CC55AD">
              <w:rPr>
                <w:rFonts w:eastAsia="Times New Roman" w:cs="Times New Roman"/>
                <w:i/>
                <w:color w:val="2E2E2E"/>
                <w:sz w:val="22"/>
                <w:lang w:eastAsia="fi-FI"/>
              </w:rPr>
              <w:t>≤ 1-2 / week</w:t>
            </w:r>
          </w:p>
        </w:tc>
        <w:tc>
          <w:tcPr>
            <w:tcW w:w="1417" w:type="dxa"/>
          </w:tcPr>
          <w:p w14:paraId="154E2252" w14:textId="77777777" w:rsidR="003B6D98" w:rsidRPr="003D18A1" w:rsidRDefault="003B6D98" w:rsidP="00476B25">
            <w:pPr>
              <w:autoSpaceDE w:val="0"/>
              <w:autoSpaceDN w:val="0"/>
              <w:adjustRightInd w:val="0"/>
              <w:jc w:val="center"/>
              <w:rPr>
                <w:rFonts w:cs="Times New Roman"/>
                <w:bCs/>
                <w:szCs w:val="24"/>
              </w:rPr>
            </w:pPr>
            <w:r>
              <w:rPr>
                <w:rFonts w:cs="Times New Roman"/>
                <w:bCs/>
                <w:szCs w:val="24"/>
              </w:rPr>
              <w:t>58 (53-62)</w:t>
            </w:r>
          </w:p>
        </w:tc>
        <w:tc>
          <w:tcPr>
            <w:tcW w:w="1397" w:type="dxa"/>
          </w:tcPr>
          <w:p w14:paraId="71876C2B" w14:textId="77777777" w:rsidR="003B6D98" w:rsidRPr="00FA121A" w:rsidRDefault="003B6D98" w:rsidP="00476B25">
            <w:pPr>
              <w:jc w:val="center"/>
              <w:rPr>
                <w:szCs w:val="24"/>
              </w:rPr>
            </w:pPr>
            <w:r>
              <w:rPr>
                <w:szCs w:val="24"/>
              </w:rPr>
              <w:t>57 (54-60)</w:t>
            </w:r>
          </w:p>
        </w:tc>
        <w:tc>
          <w:tcPr>
            <w:tcW w:w="1549" w:type="dxa"/>
          </w:tcPr>
          <w:p w14:paraId="734D994A" w14:textId="77777777" w:rsidR="003B6D98" w:rsidRPr="00FA121A" w:rsidRDefault="003B6D98" w:rsidP="00476B25">
            <w:pPr>
              <w:jc w:val="center"/>
              <w:rPr>
                <w:szCs w:val="24"/>
              </w:rPr>
            </w:pPr>
            <w:r>
              <w:rPr>
                <w:szCs w:val="24"/>
              </w:rPr>
              <w:t>62 (61-64)</w:t>
            </w:r>
          </w:p>
        </w:tc>
        <w:tc>
          <w:tcPr>
            <w:tcW w:w="1417" w:type="dxa"/>
          </w:tcPr>
          <w:p w14:paraId="02FEACD7" w14:textId="77777777" w:rsidR="003B6D98" w:rsidRPr="00FA121A" w:rsidRDefault="003B6D98" w:rsidP="00476B25">
            <w:pPr>
              <w:jc w:val="center"/>
              <w:rPr>
                <w:szCs w:val="24"/>
              </w:rPr>
            </w:pPr>
            <w:r>
              <w:rPr>
                <w:szCs w:val="24"/>
              </w:rPr>
              <w:t>63 (61-65)</w:t>
            </w:r>
          </w:p>
        </w:tc>
        <w:tc>
          <w:tcPr>
            <w:tcW w:w="1375" w:type="dxa"/>
          </w:tcPr>
          <w:p w14:paraId="7F395871" w14:textId="77777777" w:rsidR="003B6D98" w:rsidRDefault="003B6D98" w:rsidP="00476B25">
            <w:pPr>
              <w:jc w:val="center"/>
              <w:rPr>
                <w:szCs w:val="24"/>
              </w:rPr>
            </w:pPr>
            <w:r>
              <w:rPr>
                <w:szCs w:val="24"/>
              </w:rPr>
              <w:t>59 (55-64)</w:t>
            </w:r>
          </w:p>
        </w:tc>
        <w:tc>
          <w:tcPr>
            <w:tcW w:w="892" w:type="dxa"/>
          </w:tcPr>
          <w:p w14:paraId="5602EAED" w14:textId="77777777" w:rsidR="003B6D98" w:rsidRPr="00FA121A" w:rsidRDefault="003B6D98" w:rsidP="00476B25">
            <w:pPr>
              <w:jc w:val="center"/>
              <w:rPr>
                <w:szCs w:val="24"/>
              </w:rPr>
            </w:pPr>
            <w:r>
              <w:rPr>
                <w:szCs w:val="24"/>
              </w:rPr>
              <w:t>0.03</w:t>
            </w:r>
          </w:p>
        </w:tc>
      </w:tr>
      <w:tr w:rsidR="003B6D98" w:rsidRPr="00FA121A" w14:paraId="27D67729" w14:textId="77777777" w:rsidTr="00476B25">
        <w:tc>
          <w:tcPr>
            <w:tcW w:w="2098" w:type="dxa"/>
          </w:tcPr>
          <w:p w14:paraId="7045B8B7" w14:textId="77777777" w:rsidR="003B6D98" w:rsidRPr="00F840C4" w:rsidRDefault="003B6D98" w:rsidP="00476B25">
            <w:pPr>
              <w:autoSpaceDE w:val="0"/>
              <w:autoSpaceDN w:val="0"/>
              <w:adjustRightInd w:val="0"/>
              <w:rPr>
                <w:rFonts w:cs="Times New Roman"/>
                <w:bCs/>
                <w:szCs w:val="24"/>
              </w:rPr>
            </w:pPr>
            <w:r w:rsidRPr="00F840C4">
              <w:rPr>
                <w:rFonts w:cs="Times New Roman"/>
                <w:bCs/>
                <w:szCs w:val="24"/>
              </w:rPr>
              <w:t>Chicken</w:t>
            </w:r>
            <w:r>
              <w:rPr>
                <w:rFonts w:cs="Times New Roman"/>
                <w:bCs/>
                <w:szCs w:val="24"/>
              </w:rPr>
              <w:t>, t</w:t>
            </w:r>
            <w:r w:rsidRPr="00F840C4">
              <w:rPr>
                <w:rFonts w:cs="Times New Roman"/>
                <w:bCs/>
                <w:szCs w:val="24"/>
              </w:rPr>
              <w:t>urkey</w:t>
            </w:r>
          </w:p>
          <w:p w14:paraId="3DCC4821" w14:textId="77777777" w:rsidR="003B6D98" w:rsidRDefault="003B6D98" w:rsidP="00476B25">
            <w:pPr>
              <w:autoSpaceDE w:val="0"/>
              <w:autoSpaceDN w:val="0"/>
              <w:adjustRightInd w:val="0"/>
              <w:rPr>
                <w:rFonts w:cs="Times New Roman"/>
                <w:szCs w:val="24"/>
              </w:rPr>
            </w:pPr>
            <w:r w:rsidRPr="00CC55AD">
              <w:rPr>
                <w:rFonts w:eastAsia="Times New Roman" w:cs="Times New Roman"/>
                <w:i/>
                <w:color w:val="2E2E2E"/>
                <w:sz w:val="20"/>
                <w:szCs w:val="20"/>
                <w:lang w:eastAsia="fi-FI"/>
              </w:rPr>
              <w:t>1 / day</w:t>
            </w:r>
            <w:r w:rsidRPr="00CC55AD">
              <w:rPr>
                <w:rFonts w:cs="Times New Roman"/>
                <w:i/>
                <w:sz w:val="20"/>
                <w:szCs w:val="20"/>
              </w:rPr>
              <w:t xml:space="preserve"> to </w:t>
            </w:r>
            <w:r w:rsidRPr="00CC55AD">
              <w:rPr>
                <w:rFonts w:eastAsia="Times New Roman" w:cs="Times New Roman"/>
                <w:i/>
                <w:color w:val="2E2E2E"/>
                <w:sz w:val="20"/>
                <w:szCs w:val="20"/>
                <w:lang w:eastAsia="fi-FI"/>
              </w:rPr>
              <w:t>≤ 1-2 / week</w:t>
            </w:r>
          </w:p>
        </w:tc>
        <w:tc>
          <w:tcPr>
            <w:tcW w:w="1417" w:type="dxa"/>
          </w:tcPr>
          <w:p w14:paraId="60F7F95F" w14:textId="77777777" w:rsidR="003B6D98" w:rsidRPr="009A5F6C" w:rsidRDefault="003B6D98" w:rsidP="00476B25">
            <w:pPr>
              <w:autoSpaceDE w:val="0"/>
              <w:autoSpaceDN w:val="0"/>
              <w:adjustRightInd w:val="0"/>
              <w:jc w:val="center"/>
              <w:rPr>
                <w:rFonts w:cs="Times New Roman"/>
                <w:szCs w:val="24"/>
              </w:rPr>
            </w:pPr>
            <w:r>
              <w:rPr>
                <w:rFonts w:cs="Times New Roman"/>
                <w:szCs w:val="24"/>
              </w:rPr>
              <w:t>71 (67-76)</w:t>
            </w:r>
          </w:p>
        </w:tc>
        <w:tc>
          <w:tcPr>
            <w:tcW w:w="1397" w:type="dxa"/>
          </w:tcPr>
          <w:p w14:paraId="2426941F" w14:textId="77777777" w:rsidR="003B6D98" w:rsidRPr="00FA121A" w:rsidRDefault="003B6D98" w:rsidP="00476B25">
            <w:pPr>
              <w:jc w:val="center"/>
              <w:rPr>
                <w:szCs w:val="24"/>
              </w:rPr>
            </w:pPr>
            <w:r>
              <w:rPr>
                <w:szCs w:val="24"/>
              </w:rPr>
              <w:t>76 (74-79)</w:t>
            </w:r>
          </w:p>
        </w:tc>
        <w:tc>
          <w:tcPr>
            <w:tcW w:w="1549" w:type="dxa"/>
          </w:tcPr>
          <w:p w14:paraId="770D1E3C" w14:textId="77777777" w:rsidR="003B6D98" w:rsidRPr="00FA121A" w:rsidRDefault="003B6D98" w:rsidP="00476B25">
            <w:pPr>
              <w:jc w:val="center"/>
              <w:rPr>
                <w:szCs w:val="24"/>
              </w:rPr>
            </w:pPr>
            <w:r>
              <w:rPr>
                <w:szCs w:val="24"/>
              </w:rPr>
              <w:t>81 (80-82)</w:t>
            </w:r>
          </w:p>
        </w:tc>
        <w:tc>
          <w:tcPr>
            <w:tcW w:w="1417" w:type="dxa"/>
          </w:tcPr>
          <w:p w14:paraId="4D4DCDBF" w14:textId="77777777" w:rsidR="003B6D98" w:rsidRPr="00FA121A" w:rsidRDefault="003B6D98" w:rsidP="00476B25">
            <w:pPr>
              <w:jc w:val="center"/>
              <w:rPr>
                <w:szCs w:val="24"/>
              </w:rPr>
            </w:pPr>
            <w:r>
              <w:rPr>
                <w:szCs w:val="24"/>
              </w:rPr>
              <w:t>83 (82-85)</w:t>
            </w:r>
          </w:p>
        </w:tc>
        <w:tc>
          <w:tcPr>
            <w:tcW w:w="1375" w:type="dxa"/>
          </w:tcPr>
          <w:p w14:paraId="3CDAEC3B" w14:textId="77777777" w:rsidR="003B6D98" w:rsidRDefault="003B6D98" w:rsidP="00476B25">
            <w:pPr>
              <w:jc w:val="center"/>
              <w:rPr>
                <w:rFonts w:cs="Times New Roman"/>
                <w:szCs w:val="24"/>
              </w:rPr>
            </w:pPr>
            <w:r>
              <w:rPr>
                <w:szCs w:val="24"/>
              </w:rPr>
              <w:t>85 (83-88)</w:t>
            </w:r>
          </w:p>
        </w:tc>
        <w:tc>
          <w:tcPr>
            <w:tcW w:w="892" w:type="dxa"/>
          </w:tcPr>
          <w:p w14:paraId="35A57717" w14:textId="77777777" w:rsidR="003B6D98" w:rsidRPr="00FA121A" w:rsidRDefault="003B6D98" w:rsidP="00476B25">
            <w:pPr>
              <w:jc w:val="center"/>
              <w:rPr>
                <w:szCs w:val="24"/>
              </w:rPr>
            </w:pPr>
            <w:r>
              <w:rPr>
                <w:rFonts w:cs="Times New Roman"/>
                <w:szCs w:val="24"/>
              </w:rPr>
              <w:t>&lt;0.001</w:t>
            </w:r>
          </w:p>
        </w:tc>
      </w:tr>
      <w:tr w:rsidR="003B6D98" w:rsidRPr="00FA121A" w14:paraId="5F0D1A5A" w14:textId="77777777" w:rsidTr="00476B25">
        <w:tc>
          <w:tcPr>
            <w:tcW w:w="2098" w:type="dxa"/>
          </w:tcPr>
          <w:p w14:paraId="69A63682" w14:textId="77777777" w:rsidR="003B6D98" w:rsidRPr="00F840C4" w:rsidRDefault="003B6D98" w:rsidP="00476B25">
            <w:pPr>
              <w:autoSpaceDE w:val="0"/>
              <w:autoSpaceDN w:val="0"/>
              <w:adjustRightInd w:val="0"/>
              <w:rPr>
                <w:rFonts w:cs="Times New Roman"/>
                <w:bCs/>
                <w:szCs w:val="24"/>
              </w:rPr>
            </w:pPr>
            <w:r w:rsidRPr="00F840C4">
              <w:rPr>
                <w:rFonts w:cs="Times New Roman"/>
                <w:bCs/>
                <w:szCs w:val="24"/>
              </w:rPr>
              <w:t>Fish</w:t>
            </w:r>
          </w:p>
          <w:p w14:paraId="28861888" w14:textId="77777777" w:rsidR="003B6D98" w:rsidRDefault="003B6D98" w:rsidP="00476B25">
            <w:pPr>
              <w:autoSpaceDE w:val="0"/>
              <w:autoSpaceDN w:val="0"/>
              <w:adjustRightInd w:val="0"/>
              <w:rPr>
                <w:rFonts w:cs="Times New Roman"/>
                <w:bCs/>
                <w:szCs w:val="24"/>
              </w:rPr>
            </w:pPr>
            <w:r w:rsidRPr="00CC55AD">
              <w:rPr>
                <w:rFonts w:ascii="Calibri" w:eastAsia="Times New Roman" w:hAnsi="Calibri" w:cs="Times New Roman"/>
                <w:i/>
                <w:color w:val="2E2E2E"/>
                <w:sz w:val="20"/>
                <w:szCs w:val="20"/>
                <w:lang w:eastAsia="fi-FI"/>
              </w:rPr>
              <w:t>≥</w:t>
            </w:r>
            <w:r w:rsidRPr="00CC55AD">
              <w:rPr>
                <w:rFonts w:eastAsia="Times New Roman" w:cs="Times New Roman"/>
                <w:i/>
                <w:color w:val="2E2E2E"/>
                <w:sz w:val="20"/>
                <w:szCs w:val="20"/>
                <w:lang w:eastAsia="fi-FI"/>
              </w:rPr>
              <w:t xml:space="preserve"> 1-2 / week</w:t>
            </w:r>
          </w:p>
        </w:tc>
        <w:tc>
          <w:tcPr>
            <w:tcW w:w="1417" w:type="dxa"/>
          </w:tcPr>
          <w:p w14:paraId="3B67E42F" w14:textId="77777777" w:rsidR="003B6D98" w:rsidRPr="00CC30FC" w:rsidRDefault="003B6D98" w:rsidP="00476B25">
            <w:pPr>
              <w:autoSpaceDE w:val="0"/>
              <w:autoSpaceDN w:val="0"/>
              <w:adjustRightInd w:val="0"/>
              <w:jc w:val="center"/>
              <w:rPr>
                <w:rFonts w:cs="Times New Roman"/>
                <w:bCs/>
                <w:szCs w:val="24"/>
              </w:rPr>
            </w:pPr>
            <w:r>
              <w:rPr>
                <w:rFonts w:cs="Times New Roman"/>
                <w:bCs/>
                <w:szCs w:val="24"/>
              </w:rPr>
              <w:t>60 (56-65)</w:t>
            </w:r>
          </w:p>
        </w:tc>
        <w:tc>
          <w:tcPr>
            <w:tcW w:w="1397" w:type="dxa"/>
          </w:tcPr>
          <w:p w14:paraId="1BA9C38E" w14:textId="77777777" w:rsidR="003B6D98" w:rsidRPr="00FA121A" w:rsidRDefault="003B6D98" w:rsidP="00476B25">
            <w:pPr>
              <w:jc w:val="center"/>
              <w:rPr>
                <w:szCs w:val="24"/>
              </w:rPr>
            </w:pPr>
            <w:r>
              <w:rPr>
                <w:szCs w:val="24"/>
              </w:rPr>
              <w:t>64 (61-67)</w:t>
            </w:r>
          </w:p>
        </w:tc>
        <w:tc>
          <w:tcPr>
            <w:tcW w:w="1549" w:type="dxa"/>
          </w:tcPr>
          <w:p w14:paraId="5ABFE850" w14:textId="77777777" w:rsidR="003B6D98" w:rsidRPr="00FA121A" w:rsidRDefault="003B6D98" w:rsidP="00476B25">
            <w:pPr>
              <w:jc w:val="center"/>
              <w:rPr>
                <w:szCs w:val="24"/>
              </w:rPr>
            </w:pPr>
            <w:r>
              <w:rPr>
                <w:szCs w:val="24"/>
              </w:rPr>
              <w:t>66 (65-68)</w:t>
            </w:r>
          </w:p>
        </w:tc>
        <w:tc>
          <w:tcPr>
            <w:tcW w:w="1417" w:type="dxa"/>
          </w:tcPr>
          <w:p w14:paraId="0F403B14" w14:textId="77777777" w:rsidR="003B6D98" w:rsidRPr="00FA121A" w:rsidRDefault="003B6D98" w:rsidP="00476B25">
            <w:pPr>
              <w:jc w:val="center"/>
              <w:rPr>
                <w:szCs w:val="24"/>
              </w:rPr>
            </w:pPr>
            <w:r>
              <w:rPr>
                <w:szCs w:val="24"/>
              </w:rPr>
              <w:t>68 (66-71)</w:t>
            </w:r>
          </w:p>
        </w:tc>
        <w:tc>
          <w:tcPr>
            <w:tcW w:w="1375" w:type="dxa"/>
          </w:tcPr>
          <w:p w14:paraId="2E2724F7" w14:textId="77777777" w:rsidR="003B6D98" w:rsidRDefault="003B6D98" w:rsidP="00476B25">
            <w:pPr>
              <w:jc w:val="center"/>
              <w:rPr>
                <w:szCs w:val="24"/>
              </w:rPr>
            </w:pPr>
            <w:r>
              <w:rPr>
                <w:szCs w:val="24"/>
              </w:rPr>
              <w:t>71 (67-75)</w:t>
            </w:r>
          </w:p>
        </w:tc>
        <w:tc>
          <w:tcPr>
            <w:tcW w:w="892" w:type="dxa"/>
          </w:tcPr>
          <w:p w14:paraId="2EC1E223" w14:textId="77777777" w:rsidR="003B6D98" w:rsidRPr="00FA121A" w:rsidRDefault="003B6D98" w:rsidP="00476B25">
            <w:pPr>
              <w:jc w:val="center"/>
              <w:rPr>
                <w:szCs w:val="24"/>
              </w:rPr>
            </w:pPr>
            <w:r>
              <w:rPr>
                <w:szCs w:val="24"/>
              </w:rPr>
              <w:t>&lt;0.001</w:t>
            </w:r>
          </w:p>
        </w:tc>
      </w:tr>
      <w:tr w:rsidR="003B6D98" w:rsidRPr="00FA121A" w14:paraId="63DB5674" w14:textId="77777777" w:rsidTr="00476B25">
        <w:tc>
          <w:tcPr>
            <w:tcW w:w="2098" w:type="dxa"/>
          </w:tcPr>
          <w:p w14:paraId="14B8CD08" w14:textId="77777777" w:rsidR="003B6D98" w:rsidRPr="00F840C4" w:rsidRDefault="003B6D98" w:rsidP="00476B25">
            <w:pPr>
              <w:autoSpaceDE w:val="0"/>
              <w:autoSpaceDN w:val="0"/>
              <w:adjustRightInd w:val="0"/>
              <w:rPr>
                <w:rFonts w:cs="Times New Roman"/>
                <w:bCs/>
                <w:szCs w:val="24"/>
              </w:rPr>
            </w:pPr>
            <w:r>
              <w:rPr>
                <w:rFonts w:cs="Times New Roman"/>
                <w:bCs/>
                <w:szCs w:val="24"/>
              </w:rPr>
              <w:t xml:space="preserve">Fresh fruits, </w:t>
            </w:r>
            <w:r w:rsidRPr="00F840C4">
              <w:rPr>
                <w:rFonts w:cs="Times New Roman"/>
                <w:bCs/>
                <w:szCs w:val="24"/>
              </w:rPr>
              <w:t>berries</w:t>
            </w:r>
          </w:p>
          <w:p w14:paraId="109E79AF" w14:textId="77777777" w:rsidR="003B6D98" w:rsidRDefault="003B6D98" w:rsidP="00476B25">
            <w:pPr>
              <w:autoSpaceDE w:val="0"/>
              <w:autoSpaceDN w:val="0"/>
              <w:adjustRightInd w:val="0"/>
              <w:rPr>
                <w:rFonts w:cs="Times New Roman"/>
                <w:bCs/>
                <w:szCs w:val="24"/>
              </w:rPr>
            </w:pPr>
            <w:r w:rsidRPr="00CC55AD">
              <w:rPr>
                <w:rFonts w:ascii="Calibri" w:eastAsia="Times New Roman" w:hAnsi="Calibri" w:cs="Times New Roman"/>
                <w:i/>
                <w:color w:val="2E2E2E"/>
                <w:sz w:val="20"/>
                <w:szCs w:val="20"/>
                <w:lang w:eastAsia="fi-FI"/>
              </w:rPr>
              <w:t>≥</w:t>
            </w:r>
            <w:r w:rsidRPr="00CC55AD">
              <w:rPr>
                <w:rFonts w:eastAsia="Times New Roman" w:cs="Times New Roman"/>
                <w:i/>
                <w:color w:val="2E2E2E"/>
                <w:sz w:val="20"/>
                <w:szCs w:val="20"/>
                <w:lang w:eastAsia="fi-FI"/>
              </w:rPr>
              <w:t>2 / day</w:t>
            </w:r>
          </w:p>
        </w:tc>
        <w:tc>
          <w:tcPr>
            <w:tcW w:w="1417" w:type="dxa"/>
          </w:tcPr>
          <w:p w14:paraId="2AAEF6E2" w14:textId="77777777" w:rsidR="003B6D98" w:rsidRPr="00FA121A" w:rsidRDefault="003B6D98" w:rsidP="00476B25">
            <w:pPr>
              <w:autoSpaceDE w:val="0"/>
              <w:autoSpaceDN w:val="0"/>
              <w:adjustRightInd w:val="0"/>
              <w:jc w:val="center"/>
              <w:rPr>
                <w:rFonts w:cs="Times New Roman"/>
                <w:bCs/>
                <w:szCs w:val="24"/>
              </w:rPr>
            </w:pPr>
            <w:r>
              <w:rPr>
                <w:rFonts w:cs="Times New Roman"/>
                <w:bCs/>
                <w:szCs w:val="24"/>
              </w:rPr>
              <w:t>12 (10-16)</w:t>
            </w:r>
          </w:p>
        </w:tc>
        <w:tc>
          <w:tcPr>
            <w:tcW w:w="1397" w:type="dxa"/>
          </w:tcPr>
          <w:p w14:paraId="1541FA72" w14:textId="77777777" w:rsidR="003B6D98" w:rsidRPr="00FA121A" w:rsidRDefault="003B6D98" w:rsidP="00476B25">
            <w:pPr>
              <w:jc w:val="center"/>
              <w:rPr>
                <w:szCs w:val="24"/>
              </w:rPr>
            </w:pPr>
            <w:r>
              <w:rPr>
                <w:szCs w:val="24"/>
              </w:rPr>
              <w:t>13 (11-15)</w:t>
            </w:r>
          </w:p>
        </w:tc>
        <w:tc>
          <w:tcPr>
            <w:tcW w:w="1549" w:type="dxa"/>
          </w:tcPr>
          <w:p w14:paraId="1F319FB0" w14:textId="77777777" w:rsidR="003B6D98" w:rsidRPr="00FA121A" w:rsidRDefault="003B6D98" w:rsidP="00476B25">
            <w:pPr>
              <w:jc w:val="center"/>
              <w:rPr>
                <w:szCs w:val="24"/>
              </w:rPr>
            </w:pPr>
            <w:r>
              <w:rPr>
                <w:szCs w:val="24"/>
              </w:rPr>
              <w:t>12 (11-13)</w:t>
            </w:r>
          </w:p>
        </w:tc>
        <w:tc>
          <w:tcPr>
            <w:tcW w:w="1417" w:type="dxa"/>
          </w:tcPr>
          <w:p w14:paraId="4DC7E639" w14:textId="77777777" w:rsidR="003B6D98" w:rsidRPr="00FA121A" w:rsidRDefault="003B6D98" w:rsidP="00476B25">
            <w:pPr>
              <w:jc w:val="center"/>
              <w:rPr>
                <w:szCs w:val="24"/>
              </w:rPr>
            </w:pPr>
            <w:r>
              <w:rPr>
                <w:szCs w:val="24"/>
              </w:rPr>
              <w:t>12 (11-14)</w:t>
            </w:r>
          </w:p>
        </w:tc>
        <w:tc>
          <w:tcPr>
            <w:tcW w:w="1375" w:type="dxa"/>
          </w:tcPr>
          <w:p w14:paraId="08D7F6E5" w14:textId="77777777" w:rsidR="003B6D98" w:rsidRDefault="003B6D98" w:rsidP="00476B25">
            <w:pPr>
              <w:jc w:val="center"/>
              <w:rPr>
                <w:szCs w:val="24"/>
              </w:rPr>
            </w:pPr>
            <w:r>
              <w:rPr>
                <w:szCs w:val="24"/>
              </w:rPr>
              <w:t>11 (9-14)</w:t>
            </w:r>
          </w:p>
        </w:tc>
        <w:tc>
          <w:tcPr>
            <w:tcW w:w="892" w:type="dxa"/>
          </w:tcPr>
          <w:p w14:paraId="60276F07" w14:textId="77777777" w:rsidR="003B6D98" w:rsidRPr="00FA121A" w:rsidRDefault="003B6D98" w:rsidP="00476B25">
            <w:pPr>
              <w:jc w:val="center"/>
              <w:rPr>
                <w:szCs w:val="24"/>
              </w:rPr>
            </w:pPr>
            <w:r>
              <w:rPr>
                <w:szCs w:val="24"/>
              </w:rPr>
              <w:t>0.50</w:t>
            </w:r>
          </w:p>
        </w:tc>
      </w:tr>
      <w:tr w:rsidR="003B6D98" w:rsidRPr="00FA121A" w14:paraId="137B9C9F" w14:textId="77777777" w:rsidTr="00476B25">
        <w:tc>
          <w:tcPr>
            <w:tcW w:w="2098" w:type="dxa"/>
          </w:tcPr>
          <w:p w14:paraId="70908418" w14:textId="77777777" w:rsidR="003B6D98" w:rsidRPr="00F840C4" w:rsidRDefault="003B6D98" w:rsidP="00476B25">
            <w:pPr>
              <w:autoSpaceDE w:val="0"/>
              <w:autoSpaceDN w:val="0"/>
              <w:adjustRightInd w:val="0"/>
              <w:rPr>
                <w:rFonts w:cs="Times New Roman"/>
                <w:bCs/>
                <w:szCs w:val="24"/>
              </w:rPr>
            </w:pPr>
            <w:r w:rsidRPr="00F840C4">
              <w:rPr>
                <w:rFonts w:cs="Times New Roman"/>
                <w:bCs/>
                <w:szCs w:val="24"/>
              </w:rPr>
              <w:t>Vegetables</w:t>
            </w:r>
          </w:p>
          <w:p w14:paraId="73287265" w14:textId="77777777" w:rsidR="003B6D98" w:rsidRDefault="003B6D98" w:rsidP="00476B25">
            <w:pPr>
              <w:autoSpaceDE w:val="0"/>
              <w:autoSpaceDN w:val="0"/>
              <w:adjustRightInd w:val="0"/>
              <w:rPr>
                <w:rFonts w:cs="Times New Roman"/>
                <w:bCs/>
                <w:szCs w:val="24"/>
              </w:rPr>
            </w:pPr>
            <w:r w:rsidRPr="00F840C4">
              <w:rPr>
                <w:rFonts w:ascii="Calibri" w:eastAsia="Times New Roman" w:hAnsi="Calibri" w:cs="Times New Roman"/>
                <w:i/>
                <w:color w:val="2E2E2E"/>
                <w:szCs w:val="24"/>
                <w:lang w:eastAsia="fi-FI"/>
              </w:rPr>
              <w:t>≥</w:t>
            </w:r>
            <w:r w:rsidRPr="00F840C4">
              <w:rPr>
                <w:rFonts w:eastAsia="Times New Roman" w:cs="Times New Roman"/>
                <w:i/>
                <w:color w:val="2E2E2E"/>
                <w:szCs w:val="24"/>
                <w:lang w:eastAsia="fi-FI"/>
              </w:rPr>
              <w:t>2 / day</w:t>
            </w:r>
          </w:p>
        </w:tc>
        <w:tc>
          <w:tcPr>
            <w:tcW w:w="1417" w:type="dxa"/>
          </w:tcPr>
          <w:p w14:paraId="71B97943" w14:textId="77777777" w:rsidR="003B6D98" w:rsidRPr="00F5736B" w:rsidRDefault="003B6D98" w:rsidP="00476B25">
            <w:pPr>
              <w:autoSpaceDE w:val="0"/>
              <w:autoSpaceDN w:val="0"/>
              <w:adjustRightInd w:val="0"/>
              <w:jc w:val="center"/>
              <w:rPr>
                <w:rFonts w:cs="Times New Roman"/>
                <w:bCs/>
                <w:szCs w:val="24"/>
              </w:rPr>
            </w:pPr>
            <w:r>
              <w:rPr>
                <w:rFonts w:cs="Times New Roman"/>
                <w:bCs/>
                <w:szCs w:val="24"/>
              </w:rPr>
              <w:t>14 (11-17)</w:t>
            </w:r>
          </w:p>
        </w:tc>
        <w:tc>
          <w:tcPr>
            <w:tcW w:w="1397" w:type="dxa"/>
          </w:tcPr>
          <w:p w14:paraId="736DE0D2" w14:textId="77777777" w:rsidR="003B6D98" w:rsidRPr="00FA121A" w:rsidRDefault="003B6D98" w:rsidP="00476B25">
            <w:pPr>
              <w:jc w:val="center"/>
              <w:rPr>
                <w:szCs w:val="24"/>
              </w:rPr>
            </w:pPr>
            <w:r>
              <w:rPr>
                <w:szCs w:val="24"/>
              </w:rPr>
              <w:t>14 (12-17)</w:t>
            </w:r>
          </w:p>
        </w:tc>
        <w:tc>
          <w:tcPr>
            <w:tcW w:w="1549" w:type="dxa"/>
          </w:tcPr>
          <w:p w14:paraId="5956BE44" w14:textId="77777777" w:rsidR="003B6D98" w:rsidRPr="00FA121A" w:rsidRDefault="003B6D98" w:rsidP="00476B25">
            <w:pPr>
              <w:jc w:val="center"/>
              <w:rPr>
                <w:szCs w:val="24"/>
              </w:rPr>
            </w:pPr>
            <w:r>
              <w:rPr>
                <w:szCs w:val="24"/>
              </w:rPr>
              <w:t>15 (14-16)</w:t>
            </w:r>
          </w:p>
        </w:tc>
        <w:tc>
          <w:tcPr>
            <w:tcW w:w="1417" w:type="dxa"/>
          </w:tcPr>
          <w:p w14:paraId="6FCE18C8" w14:textId="77777777" w:rsidR="003B6D98" w:rsidRPr="00FA121A" w:rsidRDefault="003B6D98" w:rsidP="00476B25">
            <w:pPr>
              <w:jc w:val="center"/>
              <w:rPr>
                <w:szCs w:val="24"/>
              </w:rPr>
            </w:pPr>
            <w:r>
              <w:rPr>
                <w:szCs w:val="24"/>
              </w:rPr>
              <w:t>17 (15-19)</w:t>
            </w:r>
          </w:p>
        </w:tc>
        <w:tc>
          <w:tcPr>
            <w:tcW w:w="1375" w:type="dxa"/>
          </w:tcPr>
          <w:p w14:paraId="5099A7F1" w14:textId="77777777" w:rsidR="003B6D98" w:rsidRDefault="003B6D98" w:rsidP="00476B25">
            <w:pPr>
              <w:jc w:val="center"/>
              <w:rPr>
                <w:szCs w:val="24"/>
              </w:rPr>
            </w:pPr>
            <w:r>
              <w:rPr>
                <w:szCs w:val="24"/>
              </w:rPr>
              <w:t>18 (15-22)</w:t>
            </w:r>
          </w:p>
        </w:tc>
        <w:tc>
          <w:tcPr>
            <w:tcW w:w="892" w:type="dxa"/>
          </w:tcPr>
          <w:p w14:paraId="31CCA8FC" w14:textId="77777777" w:rsidR="003B6D98" w:rsidRPr="00FA121A" w:rsidRDefault="003B6D98" w:rsidP="00476B25">
            <w:pPr>
              <w:jc w:val="center"/>
              <w:rPr>
                <w:szCs w:val="24"/>
              </w:rPr>
            </w:pPr>
            <w:r>
              <w:rPr>
                <w:szCs w:val="24"/>
              </w:rPr>
              <w:t>0.01</w:t>
            </w:r>
          </w:p>
        </w:tc>
      </w:tr>
      <w:tr w:rsidR="003B6D98" w:rsidRPr="008742A0" w14:paraId="68BD6A64" w14:textId="77777777" w:rsidTr="00476B25">
        <w:tc>
          <w:tcPr>
            <w:tcW w:w="2098" w:type="dxa"/>
          </w:tcPr>
          <w:p w14:paraId="083447C6" w14:textId="77777777" w:rsidR="003B6D98" w:rsidRPr="008742A0" w:rsidRDefault="003B6D98" w:rsidP="00476B25">
            <w:pPr>
              <w:autoSpaceDE w:val="0"/>
              <w:autoSpaceDN w:val="0"/>
              <w:adjustRightInd w:val="0"/>
              <w:rPr>
                <w:rFonts w:eastAsia="Times New Roman" w:cs="Times New Roman"/>
                <w:color w:val="2E2E2E"/>
                <w:szCs w:val="24"/>
                <w:lang w:eastAsia="fi-FI"/>
              </w:rPr>
            </w:pPr>
            <w:r w:rsidRPr="008742A0">
              <w:rPr>
                <w:rFonts w:eastAsia="Times New Roman" w:cs="Times New Roman"/>
                <w:color w:val="2E2E2E"/>
                <w:szCs w:val="24"/>
                <w:lang w:eastAsia="fi-FI"/>
              </w:rPr>
              <w:t>Alcohol</w:t>
            </w:r>
          </w:p>
          <w:p w14:paraId="58B21965" w14:textId="77777777" w:rsidR="003B6D98" w:rsidRDefault="003B6D98" w:rsidP="00476B25">
            <w:pPr>
              <w:autoSpaceDE w:val="0"/>
              <w:autoSpaceDN w:val="0"/>
              <w:adjustRightInd w:val="0"/>
              <w:rPr>
                <w:rFonts w:cs="Times New Roman"/>
                <w:bCs/>
                <w:szCs w:val="24"/>
              </w:rPr>
            </w:pPr>
            <w:r w:rsidRPr="00CC55AD">
              <w:rPr>
                <w:rFonts w:eastAsia="Times New Roman" w:cs="Times New Roman"/>
                <w:i/>
                <w:color w:val="2E2E2E"/>
                <w:sz w:val="20"/>
                <w:szCs w:val="20"/>
                <w:lang w:eastAsia="fi-FI"/>
              </w:rPr>
              <w:t>(women &lt;10 g/ day; men &lt;20 g/day)</w:t>
            </w:r>
          </w:p>
        </w:tc>
        <w:tc>
          <w:tcPr>
            <w:tcW w:w="1417" w:type="dxa"/>
          </w:tcPr>
          <w:p w14:paraId="438526CF" w14:textId="77777777" w:rsidR="003B6D98" w:rsidRPr="008742A0" w:rsidRDefault="003B6D98" w:rsidP="00476B25">
            <w:pPr>
              <w:autoSpaceDE w:val="0"/>
              <w:autoSpaceDN w:val="0"/>
              <w:adjustRightInd w:val="0"/>
              <w:jc w:val="center"/>
              <w:rPr>
                <w:rFonts w:cs="Times New Roman"/>
                <w:bCs/>
                <w:szCs w:val="24"/>
              </w:rPr>
            </w:pPr>
            <w:r>
              <w:rPr>
                <w:rFonts w:cs="Times New Roman"/>
                <w:bCs/>
                <w:szCs w:val="24"/>
              </w:rPr>
              <w:t>76 (72-79)</w:t>
            </w:r>
          </w:p>
        </w:tc>
        <w:tc>
          <w:tcPr>
            <w:tcW w:w="1397" w:type="dxa"/>
          </w:tcPr>
          <w:p w14:paraId="662EBB59" w14:textId="77777777" w:rsidR="003B6D98" w:rsidRPr="008742A0" w:rsidRDefault="003B6D98" w:rsidP="00476B25">
            <w:pPr>
              <w:jc w:val="center"/>
              <w:rPr>
                <w:szCs w:val="24"/>
              </w:rPr>
            </w:pPr>
            <w:r>
              <w:rPr>
                <w:szCs w:val="24"/>
              </w:rPr>
              <w:t>78 (76-780</w:t>
            </w:r>
          </w:p>
        </w:tc>
        <w:tc>
          <w:tcPr>
            <w:tcW w:w="1549" w:type="dxa"/>
          </w:tcPr>
          <w:p w14:paraId="29D6319B" w14:textId="77777777" w:rsidR="003B6D98" w:rsidRPr="008742A0" w:rsidRDefault="003B6D98" w:rsidP="00476B25">
            <w:pPr>
              <w:jc w:val="center"/>
              <w:rPr>
                <w:szCs w:val="24"/>
              </w:rPr>
            </w:pPr>
            <w:r>
              <w:rPr>
                <w:szCs w:val="24"/>
              </w:rPr>
              <w:t>77 (75-78)</w:t>
            </w:r>
          </w:p>
        </w:tc>
        <w:tc>
          <w:tcPr>
            <w:tcW w:w="1417" w:type="dxa"/>
          </w:tcPr>
          <w:p w14:paraId="1939CCD8" w14:textId="77777777" w:rsidR="003B6D98" w:rsidRPr="008742A0" w:rsidRDefault="003B6D98" w:rsidP="00476B25">
            <w:pPr>
              <w:jc w:val="center"/>
              <w:rPr>
                <w:szCs w:val="24"/>
              </w:rPr>
            </w:pPr>
            <w:r>
              <w:rPr>
                <w:szCs w:val="24"/>
              </w:rPr>
              <w:t>74 (72-76)</w:t>
            </w:r>
          </w:p>
        </w:tc>
        <w:tc>
          <w:tcPr>
            <w:tcW w:w="1375" w:type="dxa"/>
          </w:tcPr>
          <w:p w14:paraId="59744386" w14:textId="77777777" w:rsidR="003B6D98" w:rsidRDefault="003B6D98" w:rsidP="00476B25">
            <w:pPr>
              <w:jc w:val="center"/>
              <w:rPr>
                <w:szCs w:val="24"/>
              </w:rPr>
            </w:pPr>
            <w:r>
              <w:rPr>
                <w:szCs w:val="24"/>
              </w:rPr>
              <w:t>70 (66-74)</w:t>
            </w:r>
          </w:p>
        </w:tc>
        <w:tc>
          <w:tcPr>
            <w:tcW w:w="892" w:type="dxa"/>
          </w:tcPr>
          <w:p w14:paraId="5C4F4957" w14:textId="77777777" w:rsidR="003B6D98" w:rsidRPr="008742A0" w:rsidRDefault="003B6D98" w:rsidP="00476B25">
            <w:pPr>
              <w:jc w:val="center"/>
              <w:rPr>
                <w:szCs w:val="24"/>
              </w:rPr>
            </w:pPr>
            <w:r>
              <w:rPr>
                <w:szCs w:val="24"/>
              </w:rPr>
              <w:t>0.002</w:t>
            </w:r>
          </w:p>
        </w:tc>
      </w:tr>
    </w:tbl>
    <w:p w14:paraId="45A76BB9" w14:textId="77777777" w:rsidR="003B6D98" w:rsidRDefault="003B6D98" w:rsidP="003B6D98">
      <w:pPr>
        <w:rPr>
          <w:rFonts w:cs="Times New Roman"/>
          <w:bCs/>
          <w:szCs w:val="24"/>
        </w:rPr>
      </w:pPr>
      <w:r>
        <w:rPr>
          <w:rFonts w:cs="Times New Roman"/>
          <w:bCs/>
          <w:szCs w:val="24"/>
        </w:rPr>
        <w:t>*</w:t>
      </w:r>
      <w:r w:rsidRPr="00CC55AD">
        <w:rPr>
          <w:rFonts w:cs="Times New Roman"/>
          <w:bCs/>
          <w:szCs w:val="24"/>
        </w:rPr>
        <w:t>adjusted for sex, age, marital status, education, chronic cardio-metabolic diseases, severe financial difficulties, death of spouse, divorse and urbanicity</w:t>
      </w:r>
      <w:r>
        <w:rPr>
          <w:rFonts w:cs="Times New Roman"/>
          <w:bCs/>
          <w:szCs w:val="24"/>
        </w:rPr>
        <w:br w:type="page"/>
      </w:r>
    </w:p>
    <w:p w14:paraId="42DC798A" w14:textId="77777777" w:rsidR="003B6D98" w:rsidRDefault="003B6D98" w:rsidP="003B6D98">
      <w:pPr>
        <w:rPr>
          <w:rFonts w:cs="Times New Roman"/>
          <w:bCs/>
          <w:szCs w:val="24"/>
        </w:rPr>
      </w:pPr>
      <w:r w:rsidRPr="00954FD3">
        <w:rPr>
          <w:rFonts w:cs="Times New Roman"/>
          <w:bCs/>
          <w:szCs w:val="24"/>
        </w:rPr>
        <w:lastRenderedPageBreak/>
        <w:t>Supplemental Table 1. Model fit statistics of the latent class growth analysis (LCGA) models with d</w:t>
      </w:r>
      <w:r>
        <w:rPr>
          <w:rFonts w:cs="Times New Roman"/>
          <w:bCs/>
          <w:szCs w:val="24"/>
        </w:rPr>
        <w:t xml:space="preserve">ifferent </w:t>
      </w:r>
      <w:r w:rsidRPr="00954FD3">
        <w:rPr>
          <w:rFonts w:cs="Times New Roman"/>
          <w:bCs/>
          <w:szCs w:val="24"/>
        </w:rPr>
        <w:t>trajectory classes.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5"/>
        <w:gridCol w:w="1247"/>
        <w:gridCol w:w="1191"/>
        <w:gridCol w:w="1926"/>
        <w:gridCol w:w="2381"/>
      </w:tblGrid>
      <w:tr w:rsidR="003B6D98" w14:paraId="345AFADD" w14:textId="77777777" w:rsidTr="00476B25">
        <w:tc>
          <w:tcPr>
            <w:tcW w:w="1925" w:type="dxa"/>
            <w:tcBorders>
              <w:top w:val="single" w:sz="4" w:space="0" w:color="auto"/>
              <w:bottom w:val="single" w:sz="4" w:space="0" w:color="auto"/>
            </w:tcBorders>
          </w:tcPr>
          <w:p w14:paraId="1F2F7B1A" w14:textId="77777777" w:rsidR="003B6D98" w:rsidRDefault="003B6D98" w:rsidP="00476B25">
            <w:pPr>
              <w:spacing w:line="276" w:lineRule="auto"/>
              <w:jc w:val="center"/>
              <w:rPr>
                <w:rFonts w:cs="Times New Roman"/>
                <w:bCs/>
                <w:szCs w:val="24"/>
              </w:rPr>
            </w:pPr>
            <w:r w:rsidRPr="00954FD3">
              <w:rPr>
                <w:rFonts w:cs="Times New Roman"/>
                <w:bCs/>
                <w:szCs w:val="24"/>
              </w:rPr>
              <w:t>Number of classes</w:t>
            </w:r>
          </w:p>
        </w:tc>
        <w:tc>
          <w:tcPr>
            <w:tcW w:w="1247" w:type="dxa"/>
            <w:tcBorders>
              <w:top w:val="single" w:sz="4" w:space="0" w:color="auto"/>
              <w:bottom w:val="single" w:sz="4" w:space="0" w:color="auto"/>
            </w:tcBorders>
          </w:tcPr>
          <w:p w14:paraId="7B92515C" w14:textId="77777777" w:rsidR="003B6D98" w:rsidRDefault="003B6D98" w:rsidP="00476B25">
            <w:pPr>
              <w:spacing w:line="276" w:lineRule="auto"/>
              <w:jc w:val="center"/>
              <w:rPr>
                <w:rFonts w:cs="Times New Roman"/>
                <w:bCs/>
                <w:szCs w:val="24"/>
              </w:rPr>
            </w:pPr>
            <w:r>
              <w:rPr>
                <w:rFonts w:cs="Times New Roman"/>
                <w:bCs/>
                <w:szCs w:val="24"/>
              </w:rPr>
              <w:t>Shape</w:t>
            </w:r>
          </w:p>
        </w:tc>
        <w:tc>
          <w:tcPr>
            <w:tcW w:w="1191" w:type="dxa"/>
            <w:tcBorders>
              <w:top w:val="single" w:sz="4" w:space="0" w:color="auto"/>
              <w:bottom w:val="single" w:sz="4" w:space="0" w:color="auto"/>
            </w:tcBorders>
          </w:tcPr>
          <w:p w14:paraId="37482A1D" w14:textId="77777777" w:rsidR="003B6D98" w:rsidRDefault="003B6D98" w:rsidP="00476B25">
            <w:pPr>
              <w:spacing w:line="276" w:lineRule="auto"/>
              <w:jc w:val="center"/>
              <w:rPr>
                <w:rFonts w:cs="Times New Roman"/>
                <w:bCs/>
                <w:szCs w:val="24"/>
              </w:rPr>
            </w:pPr>
            <w:r>
              <w:rPr>
                <w:rFonts w:cs="Times New Roman"/>
                <w:bCs/>
                <w:szCs w:val="24"/>
              </w:rPr>
              <w:t>BIC</w:t>
            </w:r>
          </w:p>
        </w:tc>
        <w:tc>
          <w:tcPr>
            <w:tcW w:w="1926" w:type="dxa"/>
            <w:tcBorders>
              <w:top w:val="single" w:sz="4" w:space="0" w:color="auto"/>
              <w:bottom w:val="single" w:sz="4" w:space="0" w:color="auto"/>
            </w:tcBorders>
          </w:tcPr>
          <w:p w14:paraId="66845F64" w14:textId="77777777" w:rsidR="003B6D98" w:rsidRDefault="003B6D98" w:rsidP="00476B25">
            <w:pPr>
              <w:spacing w:line="276" w:lineRule="auto"/>
              <w:jc w:val="center"/>
              <w:rPr>
                <w:rFonts w:cs="Times New Roman"/>
                <w:bCs/>
                <w:szCs w:val="24"/>
              </w:rPr>
            </w:pPr>
            <w:r w:rsidRPr="00954FD3">
              <w:rPr>
                <w:rFonts w:cs="Times New Roman"/>
                <w:bCs/>
                <w:szCs w:val="24"/>
              </w:rPr>
              <w:t>Sizes of classes</w:t>
            </w:r>
            <w:r>
              <w:rPr>
                <w:rFonts w:cs="Times New Roman"/>
                <w:bCs/>
                <w:szCs w:val="24"/>
              </w:rPr>
              <w:t xml:space="preserve"> </w:t>
            </w:r>
            <w:r w:rsidRPr="00954FD3">
              <w:rPr>
                <w:rFonts w:cs="Times New Roman"/>
                <w:bCs/>
                <w:szCs w:val="24"/>
              </w:rPr>
              <w:t>(min-max, %)</w:t>
            </w:r>
          </w:p>
        </w:tc>
        <w:tc>
          <w:tcPr>
            <w:tcW w:w="2381" w:type="dxa"/>
            <w:tcBorders>
              <w:top w:val="single" w:sz="4" w:space="0" w:color="auto"/>
              <w:bottom w:val="single" w:sz="4" w:space="0" w:color="auto"/>
            </w:tcBorders>
          </w:tcPr>
          <w:p w14:paraId="7F4C7CC1" w14:textId="77777777" w:rsidR="003B6D98" w:rsidRDefault="003B6D98" w:rsidP="00476B25">
            <w:pPr>
              <w:spacing w:line="276" w:lineRule="auto"/>
              <w:jc w:val="center"/>
              <w:rPr>
                <w:rFonts w:cs="Times New Roman"/>
                <w:bCs/>
                <w:szCs w:val="24"/>
              </w:rPr>
            </w:pPr>
            <w:r w:rsidRPr="00954FD3">
              <w:rPr>
                <w:rFonts w:cs="Times New Roman"/>
                <w:bCs/>
                <w:szCs w:val="24"/>
              </w:rPr>
              <w:t>Posterior probabilities</w:t>
            </w:r>
            <w:r>
              <w:rPr>
                <w:rFonts w:cs="Times New Roman"/>
                <w:bCs/>
                <w:szCs w:val="24"/>
              </w:rPr>
              <w:t xml:space="preserve"> </w:t>
            </w:r>
            <w:r w:rsidRPr="00954FD3">
              <w:rPr>
                <w:rFonts w:cs="Times New Roman"/>
                <w:bCs/>
                <w:szCs w:val="24"/>
              </w:rPr>
              <w:t>(min-max)</w:t>
            </w:r>
          </w:p>
        </w:tc>
      </w:tr>
      <w:tr w:rsidR="003B6D98" w14:paraId="61B3E050" w14:textId="77777777" w:rsidTr="00476B25">
        <w:tc>
          <w:tcPr>
            <w:tcW w:w="1925" w:type="dxa"/>
            <w:tcBorders>
              <w:top w:val="single" w:sz="4" w:space="0" w:color="auto"/>
            </w:tcBorders>
          </w:tcPr>
          <w:p w14:paraId="2156C8C7" w14:textId="77777777" w:rsidR="003B6D98" w:rsidRDefault="003B6D98" w:rsidP="00476B25">
            <w:pPr>
              <w:spacing w:line="276" w:lineRule="auto"/>
              <w:jc w:val="center"/>
              <w:rPr>
                <w:rFonts w:cs="Times New Roman"/>
                <w:bCs/>
                <w:szCs w:val="24"/>
              </w:rPr>
            </w:pPr>
            <w:r>
              <w:rPr>
                <w:rFonts w:cs="Times New Roman"/>
                <w:bCs/>
                <w:szCs w:val="24"/>
              </w:rPr>
              <w:t>2</w:t>
            </w:r>
          </w:p>
        </w:tc>
        <w:tc>
          <w:tcPr>
            <w:tcW w:w="1247" w:type="dxa"/>
            <w:tcBorders>
              <w:top w:val="single" w:sz="4" w:space="0" w:color="auto"/>
            </w:tcBorders>
          </w:tcPr>
          <w:p w14:paraId="196141A1" w14:textId="77777777" w:rsidR="003B6D98" w:rsidRDefault="003B6D98" w:rsidP="00476B25">
            <w:pPr>
              <w:spacing w:line="276" w:lineRule="auto"/>
              <w:jc w:val="center"/>
              <w:rPr>
                <w:rFonts w:cs="Times New Roman"/>
                <w:bCs/>
                <w:szCs w:val="24"/>
              </w:rPr>
            </w:pPr>
            <w:r>
              <w:rPr>
                <w:rFonts w:cs="Times New Roman"/>
                <w:bCs/>
                <w:szCs w:val="24"/>
              </w:rPr>
              <w:t>cubic</w:t>
            </w:r>
          </w:p>
        </w:tc>
        <w:tc>
          <w:tcPr>
            <w:tcW w:w="1191" w:type="dxa"/>
            <w:tcBorders>
              <w:top w:val="single" w:sz="4" w:space="0" w:color="auto"/>
            </w:tcBorders>
          </w:tcPr>
          <w:p w14:paraId="431F6DF8" w14:textId="77777777" w:rsidR="003B6D98" w:rsidRDefault="003B6D98" w:rsidP="00476B25">
            <w:pPr>
              <w:spacing w:line="276" w:lineRule="auto"/>
              <w:jc w:val="center"/>
              <w:rPr>
                <w:rFonts w:cs="Times New Roman"/>
                <w:bCs/>
                <w:szCs w:val="24"/>
              </w:rPr>
            </w:pPr>
            <w:r w:rsidRPr="00954FD3">
              <w:rPr>
                <w:rFonts w:cs="Times New Roman"/>
                <w:bCs/>
                <w:szCs w:val="24"/>
              </w:rPr>
              <w:t>-48640.1</w:t>
            </w:r>
          </w:p>
        </w:tc>
        <w:tc>
          <w:tcPr>
            <w:tcW w:w="1926" w:type="dxa"/>
            <w:tcBorders>
              <w:top w:val="single" w:sz="4" w:space="0" w:color="auto"/>
            </w:tcBorders>
          </w:tcPr>
          <w:p w14:paraId="27CA8A94" w14:textId="77777777" w:rsidR="003B6D98" w:rsidRDefault="003B6D98" w:rsidP="00476B25">
            <w:pPr>
              <w:spacing w:line="276" w:lineRule="auto"/>
              <w:jc w:val="center"/>
              <w:rPr>
                <w:rFonts w:cs="Times New Roman"/>
                <w:bCs/>
                <w:szCs w:val="24"/>
              </w:rPr>
            </w:pPr>
            <w:r>
              <w:rPr>
                <w:rFonts w:cs="Times New Roman"/>
                <w:bCs/>
                <w:szCs w:val="24"/>
              </w:rPr>
              <w:t>41-59</w:t>
            </w:r>
          </w:p>
        </w:tc>
        <w:tc>
          <w:tcPr>
            <w:tcW w:w="2381" w:type="dxa"/>
            <w:tcBorders>
              <w:top w:val="single" w:sz="4" w:space="0" w:color="auto"/>
            </w:tcBorders>
          </w:tcPr>
          <w:p w14:paraId="20330E2F" w14:textId="77777777" w:rsidR="003B6D98" w:rsidRDefault="003B6D98" w:rsidP="00476B25">
            <w:pPr>
              <w:spacing w:line="276" w:lineRule="auto"/>
              <w:jc w:val="center"/>
              <w:rPr>
                <w:rFonts w:cs="Times New Roman"/>
                <w:bCs/>
                <w:szCs w:val="24"/>
              </w:rPr>
            </w:pPr>
            <w:r>
              <w:rPr>
                <w:rFonts w:cs="Times New Roman"/>
                <w:bCs/>
                <w:szCs w:val="24"/>
              </w:rPr>
              <w:t>0.94-0.96</w:t>
            </w:r>
          </w:p>
        </w:tc>
      </w:tr>
      <w:tr w:rsidR="003B6D98" w14:paraId="18103245" w14:textId="77777777" w:rsidTr="00476B25">
        <w:tc>
          <w:tcPr>
            <w:tcW w:w="1925" w:type="dxa"/>
          </w:tcPr>
          <w:p w14:paraId="4CB14297" w14:textId="77777777" w:rsidR="003B6D98" w:rsidRDefault="003B6D98" w:rsidP="00476B25">
            <w:pPr>
              <w:spacing w:line="276" w:lineRule="auto"/>
              <w:jc w:val="center"/>
              <w:rPr>
                <w:rFonts w:cs="Times New Roman"/>
                <w:bCs/>
                <w:szCs w:val="24"/>
              </w:rPr>
            </w:pPr>
            <w:r>
              <w:rPr>
                <w:rFonts w:cs="Times New Roman"/>
                <w:bCs/>
                <w:szCs w:val="24"/>
              </w:rPr>
              <w:t>3</w:t>
            </w:r>
          </w:p>
        </w:tc>
        <w:tc>
          <w:tcPr>
            <w:tcW w:w="1247" w:type="dxa"/>
          </w:tcPr>
          <w:p w14:paraId="4754796A" w14:textId="77777777" w:rsidR="003B6D98" w:rsidRDefault="003B6D98" w:rsidP="00476B25">
            <w:pPr>
              <w:spacing w:line="276" w:lineRule="auto"/>
              <w:jc w:val="center"/>
              <w:rPr>
                <w:rFonts w:cs="Times New Roman"/>
                <w:bCs/>
                <w:szCs w:val="24"/>
              </w:rPr>
            </w:pPr>
            <w:r>
              <w:rPr>
                <w:rFonts w:cs="Times New Roman"/>
                <w:bCs/>
                <w:szCs w:val="24"/>
              </w:rPr>
              <w:t>cubic</w:t>
            </w:r>
          </w:p>
        </w:tc>
        <w:tc>
          <w:tcPr>
            <w:tcW w:w="1191" w:type="dxa"/>
          </w:tcPr>
          <w:p w14:paraId="0EC2BA31" w14:textId="77777777" w:rsidR="003B6D98" w:rsidRDefault="003B6D98" w:rsidP="00476B25">
            <w:pPr>
              <w:spacing w:line="276" w:lineRule="auto"/>
              <w:jc w:val="center"/>
              <w:rPr>
                <w:rFonts w:cs="Times New Roman"/>
                <w:bCs/>
                <w:szCs w:val="24"/>
              </w:rPr>
            </w:pPr>
            <w:r w:rsidRPr="00954FD3">
              <w:rPr>
                <w:rFonts w:cs="Times New Roman"/>
                <w:bCs/>
                <w:szCs w:val="24"/>
              </w:rPr>
              <w:t>-44234.1</w:t>
            </w:r>
          </w:p>
        </w:tc>
        <w:tc>
          <w:tcPr>
            <w:tcW w:w="1926" w:type="dxa"/>
          </w:tcPr>
          <w:p w14:paraId="5F6DA5BE" w14:textId="77777777" w:rsidR="003B6D98" w:rsidRDefault="003B6D98" w:rsidP="00476B25">
            <w:pPr>
              <w:spacing w:line="276" w:lineRule="auto"/>
              <w:jc w:val="center"/>
              <w:rPr>
                <w:rFonts w:cs="Times New Roman"/>
                <w:bCs/>
                <w:szCs w:val="24"/>
              </w:rPr>
            </w:pPr>
            <w:r>
              <w:rPr>
                <w:rFonts w:cs="Times New Roman"/>
                <w:bCs/>
                <w:szCs w:val="24"/>
              </w:rPr>
              <w:t>15-54</w:t>
            </w:r>
          </w:p>
        </w:tc>
        <w:tc>
          <w:tcPr>
            <w:tcW w:w="2381" w:type="dxa"/>
          </w:tcPr>
          <w:p w14:paraId="0C7C4FDB" w14:textId="77777777" w:rsidR="003B6D98" w:rsidRDefault="003B6D98" w:rsidP="00476B25">
            <w:pPr>
              <w:spacing w:line="276" w:lineRule="auto"/>
              <w:jc w:val="center"/>
              <w:rPr>
                <w:rFonts w:cs="Times New Roman"/>
                <w:bCs/>
                <w:szCs w:val="24"/>
              </w:rPr>
            </w:pPr>
            <w:r w:rsidRPr="00954FD3">
              <w:rPr>
                <w:rFonts w:cs="Times New Roman"/>
                <w:bCs/>
                <w:szCs w:val="24"/>
              </w:rPr>
              <w:t>0.93-0.94</w:t>
            </w:r>
          </w:p>
        </w:tc>
      </w:tr>
      <w:tr w:rsidR="003B6D98" w14:paraId="765F053A" w14:textId="77777777" w:rsidTr="00476B25">
        <w:tc>
          <w:tcPr>
            <w:tcW w:w="1925" w:type="dxa"/>
          </w:tcPr>
          <w:p w14:paraId="40652CE6" w14:textId="77777777" w:rsidR="003B6D98" w:rsidRDefault="003B6D98" w:rsidP="00476B25">
            <w:pPr>
              <w:spacing w:line="276" w:lineRule="auto"/>
              <w:jc w:val="center"/>
              <w:rPr>
                <w:rFonts w:cs="Times New Roman"/>
                <w:bCs/>
                <w:szCs w:val="24"/>
              </w:rPr>
            </w:pPr>
            <w:r>
              <w:rPr>
                <w:rFonts w:cs="Times New Roman"/>
                <w:bCs/>
                <w:szCs w:val="24"/>
              </w:rPr>
              <w:t>4</w:t>
            </w:r>
          </w:p>
        </w:tc>
        <w:tc>
          <w:tcPr>
            <w:tcW w:w="1247" w:type="dxa"/>
          </w:tcPr>
          <w:p w14:paraId="0478575D" w14:textId="77777777" w:rsidR="003B6D98" w:rsidRDefault="003B6D98" w:rsidP="00476B25">
            <w:pPr>
              <w:spacing w:line="276" w:lineRule="auto"/>
              <w:jc w:val="center"/>
              <w:rPr>
                <w:rFonts w:cs="Times New Roman"/>
                <w:bCs/>
                <w:szCs w:val="24"/>
              </w:rPr>
            </w:pPr>
            <w:r>
              <w:rPr>
                <w:rFonts w:cs="Times New Roman"/>
                <w:bCs/>
                <w:szCs w:val="24"/>
              </w:rPr>
              <w:t>cubic</w:t>
            </w:r>
          </w:p>
        </w:tc>
        <w:tc>
          <w:tcPr>
            <w:tcW w:w="1191" w:type="dxa"/>
          </w:tcPr>
          <w:p w14:paraId="17BC3C2A" w14:textId="77777777" w:rsidR="003B6D98" w:rsidRDefault="003B6D98" w:rsidP="00476B25">
            <w:pPr>
              <w:spacing w:line="276" w:lineRule="auto"/>
              <w:jc w:val="center"/>
              <w:rPr>
                <w:rFonts w:cs="Times New Roman"/>
                <w:bCs/>
                <w:szCs w:val="24"/>
              </w:rPr>
            </w:pPr>
            <w:r w:rsidRPr="00954FD3">
              <w:rPr>
                <w:rFonts w:cs="Times New Roman"/>
                <w:bCs/>
                <w:szCs w:val="24"/>
              </w:rPr>
              <w:t>-42332.2</w:t>
            </w:r>
          </w:p>
        </w:tc>
        <w:tc>
          <w:tcPr>
            <w:tcW w:w="1926" w:type="dxa"/>
          </w:tcPr>
          <w:p w14:paraId="2B5CE5A2" w14:textId="77777777" w:rsidR="003B6D98" w:rsidRDefault="003B6D98" w:rsidP="00476B25">
            <w:pPr>
              <w:spacing w:line="276" w:lineRule="auto"/>
              <w:jc w:val="center"/>
              <w:rPr>
                <w:rFonts w:cs="Times New Roman"/>
                <w:bCs/>
                <w:szCs w:val="24"/>
              </w:rPr>
            </w:pPr>
            <w:r>
              <w:rPr>
                <w:rFonts w:cs="Times New Roman"/>
                <w:bCs/>
                <w:szCs w:val="24"/>
              </w:rPr>
              <w:t>6-45</w:t>
            </w:r>
          </w:p>
        </w:tc>
        <w:tc>
          <w:tcPr>
            <w:tcW w:w="2381" w:type="dxa"/>
          </w:tcPr>
          <w:p w14:paraId="25E2518B" w14:textId="77777777" w:rsidR="003B6D98" w:rsidRDefault="003B6D98" w:rsidP="00476B25">
            <w:pPr>
              <w:spacing w:line="276" w:lineRule="auto"/>
              <w:jc w:val="center"/>
              <w:rPr>
                <w:rFonts w:cs="Times New Roman"/>
                <w:bCs/>
                <w:szCs w:val="24"/>
              </w:rPr>
            </w:pPr>
            <w:r w:rsidRPr="00954FD3">
              <w:rPr>
                <w:rFonts w:cs="Times New Roman"/>
                <w:bCs/>
                <w:szCs w:val="24"/>
              </w:rPr>
              <w:t>0.91-0.94</w:t>
            </w:r>
          </w:p>
        </w:tc>
      </w:tr>
      <w:tr w:rsidR="003B6D98" w14:paraId="4B44D161" w14:textId="77777777" w:rsidTr="00476B25">
        <w:tc>
          <w:tcPr>
            <w:tcW w:w="1925" w:type="dxa"/>
          </w:tcPr>
          <w:p w14:paraId="36588A11" w14:textId="77777777" w:rsidR="003B6D98" w:rsidRDefault="003B6D98" w:rsidP="00476B25">
            <w:pPr>
              <w:spacing w:line="276" w:lineRule="auto"/>
              <w:jc w:val="center"/>
              <w:rPr>
                <w:rFonts w:cs="Times New Roman"/>
                <w:bCs/>
                <w:szCs w:val="24"/>
              </w:rPr>
            </w:pPr>
            <w:r>
              <w:rPr>
                <w:rFonts w:cs="Times New Roman"/>
                <w:bCs/>
                <w:szCs w:val="24"/>
              </w:rPr>
              <w:t>5</w:t>
            </w:r>
          </w:p>
        </w:tc>
        <w:tc>
          <w:tcPr>
            <w:tcW w:w="1247" w:type="dxa"/>
          </w:tcPr>
          <w:p w14:paraId="7DB57BB9" w14:textId="77777777" w:rsidR="003B6D98" w:rsidRDefault="003B6D98" w:rsidP="00476B25">
            <w:pPr>
              <w:spacing w:line="276" w:lineRule="auto"/>
              <w:jc w:val="center"/>
              <w:rPr>
                <w:rFonts w:cs="Times New Roman"/>
                <w:bCs/>
                <w:szCs w:val="24"/>
              </w:rPr>
            </w:pPr>
            <w:r>
              <w:rPr>
                <w:rFonts w:cs="Times New Roman"/>
                <w:bCs/>
                <w:szCs w:val="24"/>
              </w:rPr>
              <w:t>cubic</w:t>
            </w:r>
          </w:p>
        </w:tc>
        <w:tc>
          <w:tcPr>
            <w:tcW w:w="1191" w:type="dxa"/>
          </w:tcPr>
          <w:p w14:paraId="36586856" w14:textId="77777777" w:rsidR="003B6D98" w:rsidRDefault="003B6D98" w:rsidP="00476B25">
            <w:pPr>
              <w:spacing w:line="276" w:lineRule="auto"/>
              <w:jc w:val="center"/>
              <w:rPr>
                <w:rFonts w:cs="Times New Roman"/>
                <w:bCs/>
                <w:szCs w:val="24"/>
              </w:rPr>
            </w:pPr>
            <w:r w:rsidRPr="00954FD3">
              <w:rPr>
                <w:rFonts w:cs="Times New Roman"/>
                <w:bCs/>
                <w:szCs w:val="24"/>
              </w:rPr>
              <w:t>-41036.9</w:t>
            </w:r>
          </w:p>
        </w:tc>
        <w:tc>
          <w:tcPr>
            <w:tcW w:w="1926" w:type="dxa"/>
          </w:tcPr>
          <w:p w14:paraId="78A77618" w14:textId="77777777" w:rsidR="003B6D98" w:rsidRDefault="003B6D98" w:rsidP="00476B25">
            <w:pPr>
              <w:spacing w:line="276" w:lineRule="auto"/>
              <w:jc w:val="center"/>
              <w:rPr>
                <w:rFonts w:cs="Times New Roman"/>
                <w:bCs/>
                <w:szCs w:val="24"/>
              </w:rPr>
            </w:pPr>
            <w:r>
              <w:rPr>
                <w:rFonts w:cs="Times New Roman"/>
                <w:bCs/>
                <w:szCs w:val="24"/>
              </w:rPr>
              <w:t>6-42</w:t>
            </w:r>
          </w:p>
        </w:tc>
        <w:tc>
          <w:tcPr>
            <w:tcW w:w="2381" w:type="dxa"/>
          </w:tcPr>
          <w:p w14:paraId="4B6A622A" w14:textId="77777777" w:rsidR="003B6D98" w:rsidRDefault="003B6D98" w:rsidP="00476B25">
            <w:pPr>
              <w:spacing w:line="276" w:lineRule="auto"/>
              <w:jc w:val="center"/>
              <w:rPr>
                <w:rFonts w:cs="Times New Roman"/>
                <w:bCs/>
                <w:szCs w:val="24"/>
              </w:rPr>
            </w:pPr>
            <w:r w:rsidRPr="00954FD3">
              <w:rPr>
                <w:rFonts w:cs="Times New Roman"/>
                <w:bCs/>
                <w:szCs w:val="24"/>
              </w:rPr>
              <w:t>0.86-0.94</w:t>
            </w:r>
          </w:p>
        </w:tc>
      </w:tr>
      <w:tr w:rsidR="003B6D98" w14:paraId="6492275F" w14:textId="77777777" w:rsidTr="00476B25">
        <w:tc>
          <w:tcPr>
            <w:tcW w:w="1925" w:type="dxa"/>
            <w:tcBorders>
              <w:bottom w:val="single" w:sz="4" w:space="0" w:color="auto"/>
            </w:tcBorders>
          </w:tcPr>
          <w:p w14:paraId="2A215433" w14:textId="77777777" w:rsidR="003B6D98" w:rsidRDefault="003B6D98" w:rsidP="00476B25">
            <w:pPr>
              <w:spacing w:line="276" w:lineRule="auto"/>
              <w:jc w:val="center"/>
              <w:rPr>
                <w:rFonts w:cs="Times New Roman"/>
                <w:bCs/>
                <w:szCs w:val="24"/>
              </w:rPr>
            </w:pPr>
            <w:r>
              <w:rPr>
                <w:rFonts w:cs="Times New Roman"/>
                <w:bCs/>
                <w:szCs w:val="24"/>
              </w:rPr>
              <w:t>6</w:t>
            </w:r>
          </w:p>
        </w:tc>
        <w:tc>
          <w:tcPr>
            <w:tcW w:w="1247" w:type="dxa"/>
            <w:tcBorders>
              <w:bottom w:val="single" w:sz="4" w:space="0" w:color="auto"/>
            </w:tcBorders>
          </w:tcPr>
          <w:p w14:paraId="5BA7F9D3" w14:textId="77777777" w:rsidR="003B6D98" w:rsidRDefault="003B6D98" w:rsidP="00476B25">
            <w:pPr>
              <w:spacing w:line="276" w:lineRule="auto"/>
              <w:jc w:val="center"/>
              <w:rPr>
                <w:rFonts w:cs="Times New Roman"/>
                <w:bCs/>
                <w:szCs w:val="24"/>
              </w:rPr>
            </w:pPr>
            <w:r>
              <w:rPr>
                <w:rFonts w:cs="Times New Roman"/>
                <w:bCs/>
                <w:szCs w:val="24"/>
              </w:rPr>
              <w:t>cubic</w:t>
            </w:r>
          </w:p>
        </w:tc>
        <w:tc>
          <w:tcPr>
            <w:tcW w:w="1191" w:type="dxa"/>
            <w:tcBorders>
              <w:bottom w:val="single" w:sz="4" w:space="0" w:color="auto"/>
            </w:tcBorders>
          </w:tcPr>
          <w:p w14:paraId="5627F090" w14:textId="77777777" w:rsidR="003B6D98" w:rsidRDefault="003B6D98" w:rsidP="00476B25">
            <w:pPr>
              <w:spacing w:line="276" w:lineRule="auto"/>
              <w:jc w:val="center"/>
              <w:rPr>
                <w:rFonts w:cs="Times New Roman"/>
                <w:bCs/>
                <w:szCs w:val="24"/>
              </w:rPr>
            </w:pPr>
            <w:r w:rsidRPr="00954FD3">
              <w:rPr>
                <w:rFonts w:cs="Times New Roman"/>
                <w:bCs/>
                <w:szCs w:val="24"/>
              </w:rPr>
              <w:t>-39991.6</w:t>
            </w:r>
          </w:p>
        </w:tc>
        <w:tc>
          <w:tcPr>
            <w:tcW w:w="1926" w:type="dxa"/>
            <w:tcBorders>
              <w:bottom w:val="single" w:sz="4" w:space="0" w:color="auto"/>
            </w:tcBorders>
          </w:tcPr>
          <w:p w14:paraId="5544A724" w14:textId="77777777" w:rsidR="003B6D98" w:rsidRDefault="003B6D98" w:rsidP="00476B25">
            <w:pPr>
              <w:spacing w:line="276" w:lineRule="auto"/>
              <w:jc w:val="center"/>
              <w:rPr>
                <w:rFonts w:cs="Times New Roman"/>
                <w:bCs/>
                <w:szCs w:val="24"/>
              </w:rPr>
            </w:pPr>
            <w:r>
              <w:rPr>
                <w:rFonts w:cs="Times New Roman"/>
                <w:bCs/>
                <w:szCs w:val="24"/>
              </w:rPr>
              <w:t>3-33</w:t>
            </w:r>
          </w:p>
        </w:tc>
        <w:tc>
          <w:tcPr>
            <w:tcW w:w="2381" w:type="dxa"/>
            <w:tcBorders>
              <w:bottom w:val="single" w:sz="4" w:space="0" w:color="auto"/>
            </w:tcBorders>
          </w:tcPr>
          <w:p w14:paraId="45CD0052" w14:textId="77777777" w:rsidR="003B6D98" w:rsidRDefault="003B6D98" w:rsidP="00476B25">
            <w:pPr>
              <w:spacing w:line="276" w:lineRule="auto"/>
              <w:jc w:val="center"/>
              <w:rPr>
                <w:rFonts w:cs="Times New Roman"/>
                <w:bCs/>
                <w:szCs w:val="24"/>
              </w:rPr>
            </w:pPr>
            <w:r w:rsidRPr="00954FD3">
              <w:rPr>
                <w:rFonts w:cs="Times New Roman"/>
                <w:bCs/>
                <w:szCs w:val="24"/>
              </w:rPr>
              <w:t>0.86-0.94</w:t>
            </w:r>
          </w:p>
        </w:tc>
      </w:tr>
    </w:tbl>
    <w:p w14:paraId="55FD62B1" w14:textId="77777777" w:rsidR="003B6D98" w:rsidRPr="00027D72" w:rsidRDefault="003B6D98" w:rsidP="003B6D98">
      <w:pPr>
        <w:jc w:val="center"/>
        <w:rPr>
          <w:rFonts w:cs="Times New Roman"/>
          <w:bCs/>
          <w:szCs w:val="24"/>
        </w:rPr>
      </w:pPr>
    </w:p>
    <w:p w14:paraId="31565A8C" w14:textId="080373F0" w:rsidR="003B6D98" w:rsidRDefault="003B6D98">
      <w:pPr>
        <w:rPr>
          <w:rFonts w:eastAsia="Times New Roman"/>
          <w:lang w:eastAsia="fi-FI"/>
        </w:rPr>
      </w:pPr>
      <w:r>
        <w:rPr>
          <w:rFonts w:eastAsia="Times New Roman"/>
          <w:lang w:eastAsia="fi-FI"/>
        </w:rPr>
        <w:br w:type="page"/>
      </w:r>
    </w:p>
    <w:p w14:paraId="1641637D" w14:textId="45420933" w:rsidR="003B6D98" w:rsidRDefault="003B6D98" w:rsidP="003B6D98">
      <w:pPr>
        <w:autoSpaceDE w:val="0"/>
        <w:autoSpaceDN w:val="0"/>
        <w:adjustRightInd w:val="0"/>
        <w:spacing w:after="0" w:line="360" w:lineRule="auto"/>
        <w:jc w:val="both"/>
      </w:pPr>
      <w:r>
        <w:object w:dxaOrig="12189" w:dyaOrig="8731" w14:anchorId="576D46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in;height:399pt" o:ole="">
            <v:imagedata r:id="rId9" o:title=""/>
          </v:shape>
          <o:OLEObject Type="Embed" ProgID="Prism5.Document" ShapeID="_x0000_i1025" DrawAspect="Content" ObjectID="_1610277083" r:id="rId10"/>
        </w:object>
      </w:r>
    </w:p>
    <w:p w14:paraId="65927D69" w14:textId="77777777" w:rsidR="003B6D98" w:rsidRDefault="003B6D98" w:rsidP="003B6D98">
      <w:pPr>
        <w:autoSpaceDE w:val="0"/>
        <w:autoSpaceDN w:val="0"/>
        <w:adjustRightInd w:val="0"/>
        <w:spacing w:after="0" w:line="240" w:lineRule="auto"/>
        <w:jc w:val="both"/>
        <w:rPr>
          <w:rFonts w:eastAsia="Times New Roman" w:cs="Times New Roman"/>
          <w:szCs w:val="24"/>
          <w:lang w:eastAsia="fi-FI"/>
        </w:rPr>
      </w:pPr>
      <w:r w:rsidRPr="00F840C4">
        <w:rPr>
          <w:rFonts w:cs="Times New Roman"/>
          <w:b/>
          <w:szCs w:val="24"/>
        </w:rPr>
        <w:t>Figure 1.</w:t>
      </w:r>
      <w:r w:rsidRPr="00F840C4">
        <w:rPr>
          <w:rFonts w:cs="Times New Roman"/>
          <w:szCs w:val="24"/>
        </w:rPr>
        <w:t xml:space="preserve"> </w:t>
      </w:r>
      <w:r w:rsidRPr="00DA49A1">
        <w:rPr>
          <w:rFonts w:eastAsia="Times New Roman" w:cs="Times New Roman"/>
          <w:szCs w:val="24"/>
          <w:lang w:eastAsia="fi-FI"/>
        </w:rPr>
        <w:t xml:space="preserve">Adherence to dietary recommendation by </w:t>
      </w:r>
      <w:r>
        <w:rPr>
          <w:rFonts w:eastAsia="Times New Roman" w:cs="Times New Roman"/>
          <w:szCs w:val="24"/>
          <w:lang w:eastAsia="fi-FI"/>
        </w:rPr>
        <w:t xml:space="preserve">neighborhood SES </w:t>
      </w:r>
      <w:r w:rsidRPr="00DA49A1">
        <w:rPr>
          <w:rFonts w:eastAsia="Times New Roman" w:cs="Times New Roman"/>
          <w:szCs w:val="24"/>
          <w:lang w:eastAsia="fi-FI"/>
        </w:rPr>
        <w:t xml:space="preserve">among non-movers and </w:t>
      </w:r>
      <w:r>
        <w:rPr>
          <w:rFonts w:eastAsia="Times New Roman" w:cs="Times New Roman"/>
          <w:szCs w:val="24"/>
          <w:lang w:eastAsia="fi-FI"/>
        </w:rPr>
        <w:t xml:space="preserve">movers stratified to participants with very low, low, intermediate, high and very high cumulative </w:t>
      </w:r>
      <w:r>
        <w:rPr>
          <w:rFonts w:eastAsia="Times New Roman" w:cs="Times New Roman"/>
          <w:szCs w:val="24"/>
          <w:lang w:eastAsia="fi-FI"/>
        </w:rPr>
        <w:lastRenderedPageBreak/>
        <w:t>neighborhood SES</w:t>
      </w:r>
      <w:r w:rsidRPr="00DA49A1">
        <w:rPr>
          <w:rFonts w:eastAsia="Times New Roman" w:cs="Times New Roman"/>
          <w:szCs w:val="24"/>
          <w:lang w:eastAsia="fi-FI"/>
        </w:rPr>
        <w:t>.</w:t>
      </w:r>
      <w:r>
        <w:rPr>
          <w:rFonts w:eastAsia="Times New Roman" w:cs="Times New Roman"/>
          <w:szCs w:val="24"/>
          <w:lang w:eastAsia="fi-FI"/>
        </w:rPr>
        <w:t xml:space="preserve"> </w:t>
      </w:r>
      <w:r w:rsidRPr="00DA49A1">
        <w:rPr>
          <w:rFonts w:eastAsia="Times New Roman" w:cs="Times New Roman"/>
          <w:szCs w:val="24"/>
          <w:lang w:eastAsia="fi-FI"/>
        </w:rPr>
        <w:t xml:space="preserve">Mean </w:t>
      </w:r>
      <w:r>
        <w:rPr>
          <w:rFonts w:eastAsia="Times New Roman" w:cs="Times New Roman"/>
          <w:szCs w:val="24"/>
          <w:lang w:eastAsia="fi-FI"/>
        </w:rPr>
        <w:t xml:space="preserve">scores and mean differences (above the columns) and their </w:t>
      </w:r>
      <w:r w:rsidRPr="00DA49A1">
        <w:rPr>
          <w:rFonts w:eastAsia="Times New Roman" w:cs="Times New Roman"/>
          <w:szCs w:val="24"/>
          <w:lang w:eastAsia="fi-FI"/>
        </w:rPr>
        <w:t xml:space="preserve">95% confidence </w:t>
      </w:r>
      <w:r>
        <w:rPr>
          <w:rFonts w:eastAsia="Times New Roman" w:cs="Times New Roman"/>
          <w:szCs w:val="24"/>
          <w:lang w:eastAsia="fi-FI"/>
        </w:rPr>
        <w:t>limits</w:t>
      </w:r>
      <w:r w:rsidRPr="00DA49A1">
        <w:rPr>
          <w:rFonts w:eastAsia="Times New Roman" w:cs="Times New Roman"/>
          <w:szCs w:val="24"/>
          <w:lang w:eastAsia="fi-FI"/>
        </w:rPr>
        <w:t xml:space="preserve"> adjusted for sex, age, marital status, education, chronic cardio</w:t>
      </w:r>
      <w:r>
        <w:rPr>
          <w:rFonts w:eastAsia="Times New Roman" w:cs="Times New Roman"/>
          <w:szCs w:val="24"/>
          <w:lang w:eastAsia="fi-FI"/>
        </w:rPr>
        <w:t>-</w:t>
      </w:r>
      <w:r w:rsidRPr="00DA49A1">
        <w:rPr>
          <w:rFonts w:eastAsia="Times New Roman" w:cs="Times New Roman"/>
          <w:szCs w:val="24"/>
          <w:lang w:eastAsia="fi-FI"/>
        </w:rPr>
        <w:t>metabolic diseases</w:t>
      </w:r>
      <w:r>
        <w:rPr>
          <w:rFonts w:eastAsia="Times New Roman" w:cs="Times New Roman"/>
          <w:szCs w:val="24"/>
          <w:lang w:eastAsia="fi-FI"/>
        </w:rPr>
        <w:t>, severe financial difficulties, death of spouse, divorce and urbanicity.</w:t>
      </w:r>
    </w:p>
    <w:p w14:paraId="3FE21E87" w14:textId="77777777" w:rsidR="003B6D98" w:rsidRDefault="003B6D98" w:rsidP="003B6D98">
      <w:pPr>
        <w:autoSpaceDE w:val="0"/>
        <w:autoSpaceDN w:val="0"/>
        <w:adjustRightInd w:val="0"/>
        <w:spacing w:after="0" w:line="240" w:lineRule="auto"/>
        <w:jc w:val="both"/>
        <w:rPr>
          <w:rFonts w:eastAsia="Times New Roman" w:cs="Times New Roman"/>
          <w:szCs w:val="24"/>
          <w:lang w:eastAsia="fi-FI"/>
        </w:rPr>
      </w:pPr>
      <w:r>
        <w:rPr>
          <w:rFonts w:eastAsia="Times New Roman" w:cs="Times New Roman"/>
          <w:szCs w:val="24"/>
          <w:lang w:eastAsia="fi-FI"/>
        </w:rPr>
        <w:t>*Intermediate</w:t>
      </w:r>
      <w:r>
        <w:rPr>
          <w:rFonts w:eastAsia="Times New Roman" w:cs="Times New Roman"/>
          <w:szCs w:val="24"/>
          <w:lang w:eastAsia="fi-FI"/>
        </w:rPr>
        <w:br w:type="page"/>
      </w:r>
    </w:p>
    <w:p w14:paraId="60BA04C5" w14:textId="77777777" w:rsidR="003B6D98" w:rsidRDefault="003B6D98" w:rsidP="003B6D98">
      <w:pPr>
        <w:autoSpaceDE w:val="0"/>
        <w:autoSpaceDN w:val="0"/>
        <w:adjustRightInd w:val="0"/>
        <w:spacing w:after="0" w:line="240" w:lineRule="auto"/>
        <w:jc w:val="both"/>
        <w:rPr>
          <w:rFonts w:eastAsia="Times New Roman" w:cs="Times New Roman"/>
          <w:szCs w:val="24"/>
          <w:lang w:eastAsia="fi-FI"/>
        </w:rPr>
      </w:pPr>
    </w:p>
    <w:p w14:paraId="5B55F0B3" w14:textId="77777777" w:rsidR="003B6D98" w:rsidRDefault="003B6D98" w:rsidP="003B6D98">
      <w:pPr>
        <w:autoSpaceDE w:val="0"/>
        <w:autoSpaceDN w:val="0"/>
        <w:adjustRightInd w:val="0"/>
        <w:spacing w:after="0" w:line="240" w:lineRule="auto"/>
        <w:jc w:val="both"/>
        <w:rPr>
          <w:rFonts w:cs="Times New Roman"/>
          <w:b/>
          <w:szCs w:val="24"/>
        </w:rPr>
      </w:pPr>
    </w:p>
    <w:p w14:paraId="0AFFFBE4" w14:textId="77777777" w:rsidR="003B6D98" w:rsidRDefault="003B6D98" w:rsidP="003B6D98">
      <w:pPr>
        <w:autoSpaceDE w:val="0"/>
        <w:autoSpaceDN w:val="0"/>
        <w:adjustRightInd w:val="0"/>
        <w:spacing w:after="0" w:line="240" w:lineRule="auto"/>
        <w:jc w:val="both"/>
        <w:rPr>
          <w:noProof/>
          <w:lang w:val="fi-FI" w:eastAsia="fi-FI"/>
        </w:rPr>
      </w:pPr>
      <w:r w:rsidRPr="007D6220">
        <w:rPr>
          <w:noProof/>
          <w:lang w:val="fi-FI" w:eastAsia="fi-FI"/>
        </w:rPr>
        <w:drawing>
          <wp:inline distT="0" distB="0" distL="0" distR="0" wp14:anchorId="3A1DAFE2" wp14:editId="1FF13CB5">
            <wp:extent cx="8153400" cy="29146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153400" cy="2914650"/>
                    </a:xfrm>
                    <a:prstGeom prst="rect">
                      <a:avLst/>
                    </a:prstGeom>
                    <a:noFill/>
                    <a:ln>
                      <a:noFill/>
                    </a:ln>
                  </pic:spPr>
                </pic:pic>
              </a:graphicData>
            </a:graphic>
          </wp:inline>
        </w:drawing>
      </w:r>
    </w:p>
    <w:p w14:paraId="196F0CC8" w14:textId="77777777" w:rsidR="003B6D98" w:rsidRDefault="003B6D98" w:rsidP="003B6D98">
      <w:pPr>
        <w:autoSpaceDE w:val="0"/>
        <w:autoSpaceDN w:val="0"/>
        <w:adjustRightInd w:val="0"/>
        <w:spacing w:after="0" w:line="240" w:lineRule="auto"/>
        <w:jc w:val="both"/>
        <w:rPr>
          <w:rFonts w:cs="Times New Roman"/>
          <w:b/>
          <w:szCs w:val="24"/>
        </w:rPr>
      </w:pPr>
    </w:p>
    <w:p w14:paraId="544A1BEA" w14:textId="77777777" w:rsidR="003B6D98" w:rsidRPr="00214724" w:rsidRDefault="003B6D98" w:rsidP="003B6D98">
      <w:pPr>
        <w:autoSpaceDE w:val="0"/>
        <w:autoSpaceDN w:val="0"/>
        <w:adjustRightInd w:val="0"/>
        <w:spacing w:after="0" w:line="240" w:lineRule="auto"/>
        <w:jc w:val="both"/>
        <w:rPr>
          <w:rFonts w:eastAsia="Times New Roman" w:cs="Times New Roman"/>
          <w:szCs w:val="24"/>
          <w:lang w:eastAsia="fi-FI"/>
        </w:rPr>
      </w:pPr>
      <w:r w:rsidRPr="00214724">
        <w:rPr>
          <w:rFonts w:cs="Times New Roman"/>
          <w:b/>
          <w:szCs w:val="24"/>
        </w:rPr>
        <w:t>Figure 2.</w:t>
      </w:r>
      <w:r w:rsidRPr="00214724">
        <w:rPr>
          <w:rFonts w:cs="Times New Roman"/>
          <w:szCs w:val="24"/>
        </w:rPr>
        <w:t xml:space="preserve"> T</w:t>
      </w:r>
      <w:r w:rsidRPr="00214724">
        <w:rPr>
          <w:rFonts w:eastAsia="Times New Roman" w:cs="Times New Roman"/>
          <w:szCs w:val="24"/>
          <w:lang w:eastAsia="fi-FI"/>
        </w:rPr>
        <w:t xml:space="preserve">rajectories of annual neighborhood SES over </w:t>
      </w:r>
      <w:r>
        <w:rPr>
          <w:rFonts w:eastAsia="Times New Roman" w:cs="Times New Roman"/>
          <w:szCs w:val="24"/>
          <w:lang w:eastAsia="fi-FI"/>
        </w:rPr>
        <w:t xml:space="preserve">the </w:t>
      </w:r>
      <w:r w:rsidRPr="00214724">
        <w:rPr>
          <w:rFonts w:eastAsia="Times New Roman" w:cs="Times New Roman"/>
          <w:szCs w:val="24"/>
          <w:lang w:eastAsia="fi-FI"/>
        </w:rPr>
        <w:t>six</w:t>
      </w:r>
      <w:r>
        <w:rPr>
          <w:rFonts w:eastAsia="Times New Roman" w:cs="Times New Roman"/>
          <w:szCs w:val="24"/>
          <w:lang w:eastAsia="fi-FI"/>
        </w:rPr>
        <w:t>-</w:t>
      </w:r>
      <w:r w:rsidRPr="00214724">
        <w:rPr>
          <w:rFonts w:eastAsia="Times New Roman" w:cs="Times New Roman"/>
          <w:szCs w:val="24"/>
          <w:lang w:eastAsia="fi-FI"/>
        </w:rPr>
        <w:t>year study period, the group sizes and the associations with diet</w:t>
      </w:r>
      <w:r>
        <w:rPr>
          <w:rFonts w:eastAsia="Times New Roman" w:cs="Times New Roman"/>
          <w:szCs w:val="24"/>
          <w:lang w:eastAsia="fi-FI"/>
        </w:rPr>
        <w:t>ary</w:t>
      </w:r>
      <w:r w:rsidRPr="00214724">
        <w:rPr>
          <w:rFonts w:eastAsia="Times New Roman" w:cs="Times New Roman"/>
          <w:szCs w:val="24"/>
          <w:lang w:eastAsia="fi-FI"/>
        </w:rPr>
        <w:t xml:space="preserve"> score. Mean scores </w:t>
      </w:r>
      <w:r>
        <w:rPr>
          <w:rFonts w:eastAsia="Times New Roman" w:cs="Times New Roman"/>
          <w:szCs w:val="24"/>
          <w:lang w:eastAsia="fi-FI"/>
        </w:rPr>
        <w:t>and mean differences for</w:t>
      </w:r>
      <w:r w:rsidRPr="00214724">
        <w:rPr>
          <w:rFonts w:eastAsia="Times New Roman" w:cs="Times New Roman"/>
          <w:szCs w:val="24"/>
          <w:lang w:eastAsia="fi-FI"/>
        </w:rPr>
        <w:t xml:space="preserve"> adherence to dietary recommendation (95% confidence </w:t>
      </w:r>
      <w:r>
        <w:rPr>
          <w:rFonts w:eastAsia="Times New Roman" w:cs="Times New Roman"/>
          <w:szCs w:val="24"/>
          <w:lang w:eastAsia="fi-FI"/>
        </w:rPr>
        <w:t>limits</w:t>
      </w:r>
      <w:r w:rsidRPr="00214724">
        <w:rPr>
          <w:rFonts w:eastAsia="Times New Roman" w:cs="Times New Roman"/>
          <w:szCs w:val="24"/>
          <w:lang w:eastAsia="fi-FI"/>
        </w:rPr>
        <w:t>) adjusted for sex, age, marital status, education, chronic cardio-metabolic diseases, severe financial difficulties, death of spouse, divorce and urbanicity.</w:t>
      </w:r>
    </w:p>
    <w:p w14:paraId="0783695A" w14:textId="77777777" w:rsidR="008A6F36" w:rsidRDefault="008A6F36" w:rsidP="00426282">
      <w:pPr>
        <w:widowControl w:val="0"/>
        <w:autoSpaceDE w:val="0"/>
        <w:autoSpaceDN w:val="0"/>
        <w:adjustRightInd w:val="0"/>
        <w:spacing w:after="0" w:line="360" w:lineRule="auto"/>
        <w:ind w:left="480" w:hanging="480"/>
        <w:rPr>
          <w:rFonts w:eastAsia="Times New Roman"/>
          <w:lang w:eastAsia="fi-FI"/>
        </w:rPr>
      </w:pPr>
    </w:p>
    <w:sectPr w:rsidR="008A6F36" w:rsidSect="003B6D98">
      <w:footerReference w:type="default" r:id="rId12"/>
      <w:pgSz w:w="16840" w:h="11907" w:orient="landscape" w:code="9"/>
      <w:pgMar w:top="1134" w:right="1134" w:bottom="1134" w:left="1134"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F587C15" w16cid:durableId="1F688DD4"/>
  <w16cid:commentId w16cid:paraId="48B53441" w16cid:durableId="1F688DD5"/>
  <w16cid:commentId w16cid:paraId="1C1FC0D6" w16cid:durableId="1F688DD6"/>
  <w16cid:commentId w16cid:paraId="22925A9C" w16cid:durableId="1F688DD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21A0D1" w14:textId="77777777" w:rsidR="00ED2137" w:rsidRDefault="00ED2137" w:rsidP="008C1A3C">
      <w:pPr>
        <w:spacing w:after="0" w:line="240" w:lineRule="auto"/>
      </w:pPr>
      <w:r>
        <w:separator/>
      </w:r>
    </w:p>
  </w:endnote>
  <w:endnote w:type="continuationSeparator" w:id="0">
    <w:p w14:paraId="6FFC9F77" w14:textId="77777777" w:rsidR="00ED2137" w:rsidRDefault="00ED2137" w:rsidP="008C1A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 w:name="AdvOT777cf4fb">
    <w:altName w:val="Calibri"/>
    <w:panose1 w:val="00000000000000000000"/>
    <w:charset w:val="00"/>
    <w:family w:val="swiss"/>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icrosoft JhengHei">
    <w:panose1 w:val="020B0604030504040204"/>
    <w:charset w:val="88"/>
    <w:family w:val="swiss"/>
    <w:pitch w:val="variable"/>
    <w:sig w:usb0="00000087" w:usb1="288F4000" w:usb2="00000016" w:usb3="00000000" w:csb0="00100009"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15369049"/>
      <w:docPartObj>
        <w:docPartGallery w:val="Page Numbers (Bottom of Page)"/>
        <w:docPartUnique/>
      </w:docPartObj>
    </w:sdtPr>
    <w:sdtEndPr>
      <w:rPr>
        <w:noProof/>
      </w:rPr>
    </w:sdtEndPr>
    <w:sdtContent>
      <w:p w14:paraId="74C011D0" w14:textId="3384D5BE" w:rsidR="003B6D98" w:rsidRDefault="003B6D98">
        <w:pPr>
          <w:pStyle w:val="Footer"/>
          <w:jc w:val="right"/>
        </w:pPr>
        <w:r>
          <w:fldChar w:fldCharType="begin"/>
        </w:r>
        <w:r>
          <w:instrText xml:space="preserve"> PAGE   \* MERGEFORMAT </w:instrText>
        </w:r>
        <w:r>
          <w:fldChar w:fldCharType="separate"/>
        </w:r>
        <w:r w:rsidR="000C2FD4">
          <w:rPr>
            <w:noProof/>
          </w:rPr>
          <w:t>1</w:t>
        </w:r>
        <w:r>
          <w:rPr>
            <w:noProof/>
          </w:rPr>
          <w:fldChar w:fldCharType="end"/>
        </w:r>
      </w:p>
    </w:sdtContent>
  </w:sdt>
  <w:p w14:paraId="07785FE3" w14:textId="77777777" w:rsidR="003B6D98" w:rsidRDefault="003B6D9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1950412"/>
      <w:docPartObj>
        <w:docPartGallery w:val="Page Numbers (Bottom of Page)"/>
        <w:docPartUnique/>
      </w:docPartObj>
    </w:sdtPr>
    <w:sdtEndPr>
      <w:rPr>
        <w:noProof/>
      </w:rPr>
    </w:sdtEndPr>
    <w:sdtContent>
      <w:p w14:paraId="3C278059" w14:textId="4CE6FA22" w:rsidR="00DC4F36" w:rsidRDefault="00DC4F36">
        <w:pPr>
          <w:pStyle w:val="Footer"/>
          <w:jc w:val="right"/>
        </w:pPr>
        <w:r>
          <w:fldChar w:fldCharType="begin"/>
        </w:r>
        <w:r>
          <w:instrText xml:space="preserve"> PAGE   \* MERGEFORMAT </w:instrText>
        </w:r>
        <w:r>
          <w:fldChar w:fldCharType="separate"/>
        </w:r>
        <w:r w:rsidR="00D55C05">
          <w:rPr>
            <w:noProof/>
          </w:rPr>
          <w:t>22</w:t>
        </w:r>
        <w:r>
          <w:rPr>
            <w:noProof/>
          </w:rPr>
          <w:fldChar w:fldCharType="end"/>
        </w:r>
      </w:p>
    </w:sdtContent>
  </w:sdt>
  <w:p w14:paraId="4D23B670" w14:textId="77777777" w:rsidR="00DC4F36" w:rsidRDefault="00DC4F3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114E0ED" w14:textId="77777777" w:rsidR="00ED2137" w:rsidRDefault="00ED2137" w:rsidP="008C1A3C">
      <w:pPr>
        <w:spacing w:after="0" w:line="240" w:lineRule="auto"/>
      </w:pPr>
      <w:r>
        <w:separator/>
      </w:r>
    </w:p>
  </w:footnote>
  <w:footnote w:type="continuationSeparator" w:id="0">
    <w:p w14:paraId="7EBE7633" w14:textId="77777777" w:rsidR="00ED2137" w:rsidRDefault="00ED2137" w:rsidP="008C1A3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6397A"/>
    <w:multiLevelType w:val="multilevel"/>
    <w:tmpl w:val="975C19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2E15F1"/>
    <w:multiLevelType w:val="hybridMultilevel"/>
    <w:tmpl w:val="C14E7646"/>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15:restartNumberingAfterBreak="0">
    <w:nsid w:val="09216B14"/>
    <w:multiLevelType w:val="multilevel"/>
    <w:tmpl w:val="357E87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FEA33DC"/>
    <w:multiLevelType w:val="multilevel"/>
    <w:tmpl w:val="625A9A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8DF4E1F"/>
    <w:multiLevelType w:val="hybridMultilevel"/>
    <w:tmpl w:val="9F4CC4F2"/>
    <w:lvl w:ilvl="0" w:tplc="040B0001">
      <w:numFmt w:val="bullet"/>
      <w:lvlText w:val=""/>
      <w:lvlJc w:val="left"/>
      <w:pPr>
        <w:ind w:left="720" w:hanging="360"/>
      </w:pPr>
      <w:rPr>
        <w:rFonts w:ascii="Symbol" w:eastAsia="Times New Roman" w:hAnsi="Symbol"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5" w15:restartNumberingAfterBreak="0">
    <w:nsid w:val="19EB7593"/>
    <w:multiLevelType w:val="hybridMultilevel"/>
    <w:tmpl w:val="D394812E"/>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6" w15:restartNumberingAfterBreak="0">
    <w:nsid w:val="1B0E0FB6"/>
    <w:multiLevelType w:val="hybridMultilevel"/>
    <w:tmpl w:val="D2AE144C"/>
    <w:lvl w:ilvl="0" w:tplc="040B0001">
      <w:start w:val="1"/>
      <w:numFmt w:val="bullet"/>
      <w:lvlText w:val=""/>
      <w:lvlJc w:val="left"/>
      <w:pPr>
        <w:ind w:left="720" w:hanging="360"/>
      </w:pPr>
      <w:rPr>
        <w:rFonts w:ascii="Symbol" w:hAnsi="Symbol"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7" w15:restartNumberingAfterBreak="0">
    <w:nsid w:val="206151D6"/>
    <w:multiLevelType w:val="hybridMultilevel"/>
    <w:tmpl w:val="D6DA2804"/>
    <w:lvl w:ilvl="0" w:tplc="E56C0ECA">
      <w:start w:val="3"/>
      <w:numFmt w:val="bullet"/>
      <w:lvlText w:val=""/>
      <w:lvlJc w:val="left"/>
      <w:pPr>
        <w:ind w:left="720" w:hanging="360"/>
      </w:pPr>
      <w:rPr>
        <w:rFonts w:ascii="Symbol" w:eastAsiaTheme="minorHAnsi" w:hAnsi="Symbol" w:cstheme="minorBidi"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8" w15:restartNumberingAfterBreak="0">
    <w:nsid w:val="2425583C"/>
    <w:multiLevelType w:val="multilevel"/>
    <w:tmpl w:val="810E6E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5D67D38"/>
    <w:multiLevelType w:val="hybridMultilevel"/>
    <w:tmpl w:val="7E20E249"/>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38610FB5"/>
    <w:multiLevelType w:val="multilevel"/>
    <w:tmpl w:val="9272C5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9BC25F0"/>
    <w:multiLevelType w:val="multilevel"/>
    <w:tmpl w:val="3356CB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1C61858"/>
    <w:multiLevelType w:val="multilevel"/>
    <w:tmpl w:val="1FCA10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26A1E1F"/>
    <w:multiLevelType w:val="multilevel"/>
    <w:tmpl w:val="812ACA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2A068C1"/>
    <w:multiLevelType w:val="multilevel"/>
    <w:tmpl w:val="F3F0CB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17F60B1"/>
    <w:multiLevelType w:val="multilevel"/>
    <w:tmpl w:val="81F06F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5C01CAF"/>
    <w:multiLevelType w:val="hybridMultilevel"/>
    <w:tmpl w:val="3AA06260"/>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12"/>
  </w:num>
  <w:num w:numId="2">
    <w:abstractNumId w:val="15"/>
  </w:num>
  <w:num w:numId="3">
    <w:abstractNumId w:val="8"/>
  </w:num>
  <w:num w:numId="4">
    <w:abstractNumId w:val="3"/>
  </w:num>
  <w:num w:numId="5">
    <w:abstractNumId w:val="0"/>
  </w:num>
  <w:num w:numId="6">
    <w:abstractNumId w:val="10"/>
  </w:num>
  <w:num w:numId="7">
    <w:abstractNumId w:val="13"/>
  </w:num>
  <w:num w:numId="8">
    <w:abstractNumId w:val="5"/>
  </w:num>
  <w:num w:numId="9">
    <w:abstractNumId w:val="11"/>
  </w:num>
  <w:num w:numId="10">
    <w:abstractNumId w:val="14"/>
  </w:num>
  <w:num w:numId="11">
    <w:abstractNumId w:val="7"/>
  </w:num>
  <w:num w:numId="12">
    <w:abstractNumId w:val="9"/>
  </w:num>
  <w:num w:numId="13">
    <w:abstractNumId w:val="6"/>
  </w:num>
  <w:num w:numId="14">
    <w:abstractNumId w:val="16"/>
  </w:num>
  <w:num w:numId="15">
    <w:abstractNumId w:val="1"/>
  </w:num>
  <w:num w:numId="16">
    <w:abstractNumId w:val="2"/>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4FED"/>
    <w:rsid w:val="00001369"/>
    <w:rsid w:val="00001F58"/>
    <w:rsid w:val="0000471F"/>
    <w:rsid w:val="00010BB6"/>
    <w:rsid w:val="000137E6"/>
    <w:rsid w:val="00014BD0"/>
    <w:rsid w:val="0001616B"/>
    <w:rsid w:val="000164DF"/>
    <w:rsid w:val="000247C8"/>
    <w:rsid w:val="00024E85"/>
    <w:rsid w:val="00026176"/>
    <w:rsid w:val="000265E9"/>
    <w:rsid w:val="000267CE"/>
    <w:rsid w:val="00033478"/>
    <w:rsid w:val="00034A56"/>
    <w:rsid w:val="00035E05"/>
    <w:rsid w:val="00036059"/>
    <w:rsid w:val="000361DB"/>
    <w:rsid w:val="00036795"/>
    <w:rsid w:val="00040395"/>
    <w:rsid w:val="000416DA"/>
    <w:rsid w:val="00050EC0"/>
    <w:rsid w:val="0005364E"/>
    <w:rsid w:val="000538DD"/>
    <w:rsid w:val="00053FC6"/>
    <w:rsid w:val="00054763"/>
    <w:rsid w:val="000552BF"/>
    <w:rsid w:val="00055B79"/>
    <w:rsid w:val="00055D2E"/>
    <w:rsid w:val="00056AF3"/>
    <w:rsid w:val="00061694"/>
    <w:rsid w:val="0006446E"/>
    <w:rsid w:val="000648B0"/>
    <w:rsid w:val="0006646F"/>
    <w:rsid w:val="00067A1C"/>
    <w:rsid w:val="00070052"/>
    <w:rsid w:val="0007040B"/>
    <w:rsid w:val="00070EE8"/>
    <w:rsid w:val="000720C2"/>
    <w:rsid w:val="00073D77"/>
    <w:rsid w:val="00074FB8"/>
    <w:rsid w:val="0007613E"/>
    <w:rsid w:val="00077B5E"/>
    <w:rsid w:val="00082B87"/>
    <w:rsid w:val="00083CFB"/>
    <w:rsid w:val="0008507D"/>
    <w:rsid w:val="000866DF"/>
    <w:rsid w:val="00090699"/>
    <w:rsid w:val="00090A14"/>
    <w:rsid w:val="00091785"/>
    <w:rsid w:val="000919BC"/>
    <w:rsid w:val="00091A21"/>
    <w:rsid w:val="00093174"/>
    <w:rsid w:val="00093A3C"/>
    <w:rsid w:val="00095727"/>
    <w:rsid w:val="00095B19"/>
    <w:rsid w:val="000960F1"/>
    <w:rsid w:val="000A0C85"/>
    <w:rsid w:val="000A156C"/>
    <w:rsid w:val="000A1B6A"/>
    <w:rsid w:val="000A6B88"/>
    <w:rsid w:val="000A6C3A"/>
    <w:rsid w:val="000A6E68"/>
    <w:rsid w:val="000A71E3"/>
    <w:rsid w:val="000B0A87"/>
    <w:rsid w:val="000B2D16"/>
    <w:rsid w:val="000B4885"/>
    <w:rsid w:val="000C0C55"/>
    <w:rsid w:val="000C0F33"/>
    <w:rsid w:val="000C11AE"/>
    <w:rsid w:val="000C143D"/>
    <w:rsid w:val="000C2A4D"/>
    <w:rsid w:val="000C2B40"/>
    <w:rsid w:val="000C2FD4"/>
    <w:rsid w:val="000C3ABD"/>
    <w:rsid w:val="000C47B4"/>
    <w:rsid w:val="000C4B89"/>
    <w:rsid w:val="000C4C3D"/>
    <w:rsid w:val="000C4EDF"/>
    <w:rsid w:val="000C6F52"/>
    <w:rsid w:val="000C788F"/>
    <w:rsid w:val="000C7BE4"/>
    <w:rsid w:val="000D0C6C"/>
    <w:rsid w:val="000D10F8"/>
    <w:rsid w:val="000D25BB"/>
    <w:rsid w:val="000D2813"/>
    <w:rsid w:val="000D4516"/>
    <w:rsid w:val="000D50FF"/>
    <w:rsid w:val="000D705D"/>
    <w:rsid w:val="000D7BBF"/>
    <w:rsid w:val="000D7FF0"/>
    <w:rsid w:val="000E0562"/>
    <w:rsid w:val="000E0683"/>
    <w:rsid w:val="000E0D1C"/>
    <w:rsid w:val="000E2F26"/>
    <w:rsid w:val="000E37EB"/>
    <w:rsid w:val="000E415D"/>
    <w:rsid w:val="000E4F3F"/>
    <w:rsid w:val="000E7B0F"/>
    <w:rsid w:val="000E7C83"/>
    <w:rsid w:val="000F0D33"/>
    <w:rsid w:val="000F26BB"/>
    <w:rsid w:val="000F2E08"/>
    <w:rsid w:val="000F41E0"/>
    <w:rsid w:val="000F42CF"/>
    <w:rsid w:val="000F6BFA"/>
    <w:rsid w:val="000F7A72"/>
    <w:rsid w:val="00101DA0"/>
    <w:rsid w:val="00101F75"/>
    <w:rsid w:val="00102E1D"/>
    <w:rsid w:val="00103D21"/>
    <w:rsid w:val="00105FB8"/>
    <w:rsid w:val="00107CB5"/>
    <w:rsid w:val="001107F0"/>
    <w:rsid w:val="00111B61"/>
    <w:rsid w:val="00112BE8"/>
    <w:rsid w:val="001139C3"/>
    <w:rsid w:val="0011453B"/>
    <w:rsid w:val="00114D80"/>
    <w:rsid w:val="001150FA"/>
    <w:rsid w:val="001176EC"/>
    <w:rsid w:val="0012051C"/>
    <w:rsid w:val="00121221"/>
    <w:rsid w:val="00122367"/>
    <w:rsid w:val="0012286E"/>
    <w:rsid w:val="00124B2A"/>
    <w:rsid w:val="00125490"/>
    <w:rsid w:val="001257A1"/>
    <w:rsid w:val="00125F74"/>
    <w:rsid w:val="00130380"/>
    <w:rsid w:val="00132E3B"/>
    <w:rsid w:val="0013501E"/>
    <w:rsid w:val="001351F9"/>
    <w:rsid w:val="00137AA2"/>
    <w:rsid w:val="00137C6F"/>
    <w:rsid w:val="001406DF"/>
    <w:rsid w:val="00143FEE"/>
    <w:rsid w:val="001462D6"/>
    <w:rsid w:val="00147302"/>
    <w:rsid w:val="00151216"/>
    <w:rsid w:val="00154537"/>
    <w:rsid w:val="00154AB2"/>
    <w:rsid w:val="0015522C"/>
    <w:rsid w:val="00156623"/>
    <w:rsid w:val="00161DBD"/>
    <w:rsid w:val="0016292B"/>
    <w:rsid w:val="00162C83"/>
    <w:rsid w:val="00163AA9"/>
    <w:rsid w:val="001672A6"/>
    <w:rsid w:val="00177EBB"/>
    <w:rsid w:val="00180C54"/>
    <w:rsid w:val="001833BB"/>
    <w:rsid w:val="001839E6"/>
    <w:rsid w:val="00183D0B"/>
    <w:rsid w:val="00183E52"/>
    <w:rsid w:val="001850DB"/>
    <w:rsid w:val="001855F1"/>
    <w:rsid w:val="00185870"/>
    <w:rsid w:val="00185F6E"/>
    <w:rsid w:val="00193360"/>
    <w:rsid w:val="00193D7B"/>
    <w:rsid w:val="00195146"/>
    <w:rsid w:val="001968F0"/>
    <w:rsid w:val="00196953"/>
    <w:rsid w:val="001977FE"/>
    <w:rsid w:val="00197BC0"/>
    <w:rsid w:val="00197DEF"/>
    <w:rsid w:val="001A2A6D"/>
    <w:rsid w:val="001A5DE3"/>
    <w:rsid w:val="001A6939"/>
    <w:rsid w:val="001B0732"/>
    <w:rsid w:val="001B119D"/>
    <w:rsid w:val="001B1FD0"/>
    <w:rsid w:val="001B26C1"/>
    <w:rsid w:val="001B4FED"/>
    <w:rsid w:val="001B5696"/>
    <w:rsid w:val="001B59D0"/>
    <w:rsid w:val="001B6146"/>
    <w:rsid w:val="001B6F8B"/>
    <w:rsid w:val="001C0171"/>
    <w:rsid w:val="001C1764"/>
    <w:rsid w:val="001C207A"/>
    <w:rsid w:val="001C417B"/>
    <w:rsid w:val="001C4902"/>
    <w:rsid w:val="001C5220"/>
    <w:rsid w:val="001C678E"/>
    <w:rsid w:val="001C6B83"/>
    <w:rsid w:val="001C75D7"/>
    <w:rsid w:val="001D0647"/>
    <w:rsid w:val="001D1AB9"/>
    <w:rsid w:val="001D21A9"/>
    <w:rsid w:val="001D225F"/>
    <w:rsid w:val="001D3241"/>
    <w:rsid w:val="001D6865"/>
    <w:rsid w:val="001D77E1"/>
    <w:rsid w:val="001E03B4"/>
    <w:rsid w:val="001E03FF"/>
    <w:rsid w:val="001E31FC"/>
    <w:rsid w:val="001E4AEF"/>
    <w:rsid w:val="001E4E0E"/>
    <w:rsid w:val="001E573E"/>
    <w:rsid w:val="001F043C"/>
    <w:rsid w:val="001F1961"/>
    <w:rsid w:val="001F1994"/>
    <w:rsid w:val="001F4AA8"/>
    <w:rsid w:val="001F5448"/>
    <w:rsid w:val="001F5B47"/>
    <w:rsid w:val="001F763E"/>
    <w:rsid w:val="0020001B"/>
    <w:rsid w:val="0020003B"/>
    <w:rsid w:val="00200B9C"/>
    <w:rsid w:val="00200C52"/>
    <w:rsid w:val="002014CD"/>
    <w:rsid w:val="002017C6"/>
    <w:rsid w:val="002029D6"/>
    <w:rsid w:val="002055CD"/>
    <w:rsid w:val="002078FB"/>
    <w:rsid w:val="002104C0"/>
    <w:rsid w:val="0021072E"/>
    <w:rsid w:val="00210892"/>
    <w:rsid w:val="00211ECD"/>
    <w:rsid w:val="00211F8C"/>
    <w:rsid w:val="002122C3"/>
    <w:rsid w:val="00212978"/>
    <w:rsid w:val="00213881"/>
    <w:rsid w:val="002144D0"/>
    <w:rsid w:val="0021685F"/>
    <w:rsid w:val="002209F0"/>
    <w:rsid w:val="00220D03"/>
    <w:rsid w:val="00220EE3"/>
    <w:rsid w:val="00221019"/>
    <w:rsid w:val="00221172"/>
    <w:rsid w:val="00222897"/>
    <w:rsid w:val="00224A22"/>
    <w:rsid w:val="00224D81"/>
    <w:rsid w:val="00224F73"/>
    <w:rsid w:val="00225987"/>
    <w:rsid w:val="00227426"/>
    <w:rsid w:val="00230AC8"/>
    <w:rsid w:val="0023318E"/>
    <w:rsid w:val="002344EF"/>
    <w:rsid w:val="00234E56"/>
    <w:rsid w:val="002400AE"/>
    <w:rsid w:val="00240D45"/>
    <w:rsid w:val="00241270"/>
    <w:rsid w:val="00243403"/>
    <w:rsid w:val="00244A77"/>
    <w:rsid w:val="00244E8E"/>
    <w:rsid w:val="002464C4"/>
    <w:rsid w:val="00246F2C"/>
    <w:rsid w:val="00247BCF"/>
    <w:rsid w:val="00250875"/>
    <w:rsid w:val="00250C3A"/>
    <w:rsid w:val="002523AA"/>
    <w:rsid w:val="0025292D"/>
    <w:rsid w:val="002539FC"/>
    <w:rsid w:val="00254922"/>
    <w:rsid w:val="00254C74"/>
    <w:rsid w:val="00255DC1"/>
    <w:rsid w:val="00256BF8"/>
    <w:rsid w:val="00261193"/>
    <w:rsid w:val="0026171D"/>
    <w:rsid w:val="00261C9F"/>
    <w:rsid w:val="00262120"/>
    <w:rsid w:val="002633F7"/>
    <w:rsid w:val="00265A71"/>
    <w:rsid w:val="00274302"/>
    <w:rsid w:val="00274442"/>
    <w:rsid w:val="00274AD5"/>
    <w:rsid w:val="00274C0F"/>
    <w:rsid w:val="00275FCD"/>
    <w:rsid w:val="00276295"/>
    <w:rsid w:val="002763C8"/>
    <w:rsid w:val="00276AD7"/>
    <w:rsid w:val="002773DA"/>
    <w:rsid w:val="00280436"/>
    <w:rsid w:val="00281A98"/>
    <w:rsid w:val="00282174"/>
    <w:rsid w:val="00282558"/>
    <w:rsid w:val="0028280E"/>
    <w:rsid w:val="00282F64"/>
    <w:rsid w:val="00285DBF"/>
    <w:rsid w:val="00287361"/>
    <w:rsid w:val="00290BC2"/>
    <w:rsid w:val="002924A5"/>
    <w:rsid w:val="00292575"/>
    <w:rsid w:val="00294A16"/>
    <w:rsid w:val="00296E85"/>
    <w:rsid w:val="0029789F"/>
    <w:rsid w:val="00297BF9"/>
    <w:rsid w:val="002A01B3"/>
    <w:rsid w:val="002A10BD"/>
    <w:rsid w:val="002A11DF"/>
    <w:rsid w:val="002A1BD4"/>
    <w:rsid w:val="002A30A8"/>
    <w:rsid w:val="002A354C"/>
    <w:rsid w:val="002A378C"/>
    <w:rsid w:val="002A55E5"/>
    <w:rsid w:val="002A64C6"/>
    <w:rsid w:val="002A6A76"/>
    <w:rsid w:val="002A6BC6"/>
    <w:rsid w:val="002B11A9"/>
    <w:rsid w:val="002B1AC0"/>
    <w:rsid w:val="002B1F41"/>
    <w:rsid w:val="002B209A"/>
    <w:rsid w:val="002B268F"/>
    <w:rsid w:val="002B36E8"/>
    <w:rsid w:val="002B51F3"/>
    <w:rsid w:val="002B6529"/>
    <w:rsid w:val="002B6A16"/>
    <w:rsid w:val="002B6B5A"/>
    <w:rsid w:val="002B6C6D"/>
    <w:rsid w:val="002B7BD3"/>
    <w:rsid w:val="002C123A"/>
    <w:rsid w:val="002C218B"/>
    <w:rsid w:val="002C2D86"/>
    <w:rsid w:val="002C7782"/>
    <w:rsid w:val="002D0A18"/>
    <w:rsid w:val="002D11A8"/>
    <w:rsid w:val="002D1FB3"/>
    <w:rsid w:val="002D27B1"/>
    <w:rsid w:val="002D3BB9"/>
    <w:rsid w:val="002D4895"/>
    <w:rsid w:val="002D5B7A"/>
    <w:rsid w:val="002D6D2E"/>
    <w:rsid w:val="002D6D84"/>
    <w:rsid w:val="002D6DF0"/>
    <w:rsid w:val="002D7688"/>
    <w:rsid w:val="002E00DC"/>
    <w:rsid w:val="002E0A59"/>
    <w:rsid w:val="002E205B"/>
    <w:rsid w:val="002E52E4"/>
    <w:rsid w:val="002E56E3"/>
    <w:rsid w:val="002E6D73"/>
    <w:rsid w:val="002E7E62"/>
    <w:rsid w:val="002F0C6D"/>
    <w:rsid w:val="002F1A93"/>
    <w:rsid w:val="002F26E4"/>
    <w:rsid w:val="002F271B"/>
    <w:rsid w:val="002F3308"/>
    <w:rsid w:val="002F3812"/>
    <w:rsid w:val="002F38D6"/>
    <w:rsid w:val="002F48C3"/>
    <w:rsid w:val="002F4B00"/>
    <w:rsid w:val="002F4E1D"/>
    <w:rsid w:val="002F6AB1"/>
    <w:rsid w:val="002F7199"/>
    <w:rsid w:val="002F7954"/>
    <w:rsid w:val="002F7B08"/>
    <w:rsid w:val="00300D9A"/>
    <w:rsid w:val="0030235A"/>
    <w:rsid w:val="00302B1A"/>
    <w:rsid w:val="00302D5D"/>
    <w:rsid w:val="00303102"/>
    <w:rsid w:val="003053EE"/>
    <w:rsid w:val="00305E4E"/>
    <w:rsid w:val="003067C1"/>
    <w:rsid w:val="00310F11"/>
    <w:rsid w:val="00311C93"/>
    <w:rsid w:val="00317396"/>
    <w:rsid w:val="00320539"/>
    <w:rsid w:val="00320D44"/>
    <w:rsid w:val="003212E0"/>
    <w:rsid w:val="00323604"/>
    <w:rsid w:val="00324B7D"/>
    <w:rsid w:val="00326B90"/>
    <w:rsid w:val="003305F1"/>
    <w:rsid w:val="00331236"/>
    <w:rsid w:val="00331262"/>
    <w:rsid w:val="00334A06"/>
    <w:rsid w:val="00337C67"/>
    <w:rsid w:val="00341F79"/>
    <w:rsid w:val="00343862"/>
    <w:rsid w:val="00343AE9"/>
    <w:rsid w:val="0034401C"/>
    <w:rsid w:val="00346236"/>
    <w:rsid w:val="0034643C"/>
    <w:rsid w:val="003464C0"/>
    <w:rsid w:val="0034781A"/>
    <w:rsid w:val="003515CB"/>
    <w:rsid w:val="003520B7"/>
    <w:rsid w:val="00352884"/>
    <w:rsid w:val="00354483"/>
    <w:rsid w:val="00355254"/>
    <w:rsid w:val="00357A5A"/>
    <w:rsid w:val="003602C0"/>
    <w:rsid w:val="003622BE"/>
    <w:rsid w:val="00362593"/>
    <w:rsid w:val="0036296E"/>
    <w:rsid w:val="00362E55"/>
    <w:rsid w:val="0036483C"/>
    <w:rsid w:val="00365460"/>
    <w:rsid w:val="0036665F"/>
    <w:rsid w:val="0036698F"/>
    <w:rsid w:val="00371F30"/>
    <w:rsid w:val="00372340"/>
    <w:rsid w:val="00373074"/>
    <w:rsid w:val="0037350B"/>
    <w:rsid w:val="00373EF0"/>
    <w:rsid w:val="0037497C"/>
    <w:rsid w:val="00375763"/>
    <w:rsid w:val="00380664"/>
    <w:rsid w:val="00381733"/>
    <w:rsid w:val="003829EA"/>
    <w:rsid w:val="00382C29"/>
    <w:rsid w:val="00385591"/>
    <w:rsid w:val="00385AAD"/>
    <w:rsid w:val="003861AC"/>
    <w:rsid w:val="00390296"/>
    <w:rsid w:val="0039032D"/>
    <w:rsid w:val="00392270"/>
    <w:rsid w:val="00393A51"/>
    <w:rsid w:val="00393FDC"/>
    <w:rsid w:val="003951EF"/>
    <w:rsid w:val="00395870"/>
    <w:rsid w:val="00395C99"/>
    <w:rsid w:val="003A48B5"/>
    <w:rsid w:val="003A4B7B"/>
    <w:rsid w:val="003A4F1F"/>
    <w:rsid w:val="003A5C66"/>
    <w:rsid w:val="003A6596"/>
    <w:rsid w:val="003A6650"/>
    <w:rsid w:val="003A6CC1"/>
    <w:rsid w:val="003A7B95"/>
    <w:rsid w:val="003A7F8F"/>
    <w:rsid w:val="003B1246"/>
    <w:rsid w:val="003B1A9B"/>
    <w:rsid w:val="003B3766"/>
    <w:rsid w:val="003B44A6"/>
    <w:rsid w:val="003B51CA"/>
    <w:rsid w:val="003B5CBB"/>
    <w:rsid w:val="003B6240"/>
    <w:rsid w:val="003B6938"/>
    <w:rsid w:val="003B6D98"/>
    <w:rsid w:val="003B76DF"/>
    <w:rsid w:val="003C1294"/>
    <w:rsid w:val="003C12A0"/>
    <w:rsid w:val="003C15E6"/>
    <w:rsid w:val="003C250C"/>
    <w:rsid w:val="003C3109"/>
    <w:rsid w:val="003C5A74"/>
    <w:rsid w:val="003C6228"/>
    <w:rsid w:val="003C7141"/>
    <w:rsid w:val="003D2B61"/>
    <w:rsid w:val="003D37F6"/>
    <w:rsid w:val="003D43CD"/>
    <w:rsid w:val="003D4C94"/>
    <w:rsid w:val="003D670F"/>
    <w:rsid w:val="003D6D34"/>
    <w:rsid w:val="003D7412"/>
    <w:rsid w:val="003E01D7"/>
    <w:rsid w:val="003E163F"/>
    <w:rsid w:val="003E20B8"/>
    <w:rsid w:val="003E29A2"/>
    <w:rsid w:val="003E2B97"/>
    <w:rsid w:val="003E3881"/>
    <w:rsid w:val="003E51EE"/>
    <w:rsid w:val="003E5A5B"/>
    <w:rsid w:val="003E6482"/>
    <w:rsid w:val="003E67BF"/>
    <w:rsid w:val="003E6CD0"/>
    <w:rsid w:val="003E7689"/>
    <w:rsid w:val="003E76EA"/>
    <w:rsid w:val="003F0C9A"/>
    <w:rsid w:val="003F1081"/>
    <w:rsid w:val="003F1364"/>
    <w:rsid w:val="003F19F8"/>
    <w:rsid w:val="003F51D8"/>
    <w:rsid w:val="003F5AFF"/>
    <w:rsid w:val="003F6837"/>
    <w:rsid w:val="003F71F0"/>
    <w:rsid w:val="00401790"/>
    <w:rsid w:val="00401D01"/>
    <w:rsid w:val="00405164"/>
    <w:rsid w:val="004054AB"/>
    <w:rsid w:val="00407957"/>
    <w:rsid w:val="00412622"/>
    <w:rsid w:val="0041429C"/>
    <w:rsid w:val="004165B1"/>
    <w:rsid w:val="004202E0"/>
    <w:rsid w:val="004212EB"/>
    <w:rsid w:val="0042137B"/>
    <w:rsid w:val="00421EA4"/>
    <w:rsid w:val="00422564"/>
    <w:rsid w:val="004228BA"/>
    <w:rsid w:val="00424294"/>
    <w:rsid w:val="00424D91"/>
    <w:rsid w:val="00425A6D"/>
    <w:rsid w:val="00426282"/>
    <w:rsid w:val="004270C7"/>
    <w:rsid w:val="00427842"/>
    <w:rsid w:val="00427BA4"/>
    <w:rsid w:val="00427FD2"/>
    <w:rsid w:val="00430342"/>
    <w:rsid w:val="00430F1F"/>
    <w:rsid w:val="00431D56"/>
    <w:rsid w:val="00432AED"/>
    <w:rsid w:val="0043373A"/>
    <w:rsid w:val="004340DB"/>
    <w:rsid w:val="00434527"/>
    <w:rsid w:val="004345E3"/>
    <w:rsid w:val="00434C1C"/>
    <w:rsid w:val="004352A9"/>
    <w:rsid w:val="0044001A"/>
    <w:rsid w:val="004429E2"/>
    <w:rsid w:val="00446243"/>
    <w:rsid w:val="00446298"/>
    <w:rsid w:val="004467C7"/>
    <w:rsid w:val="004469F4"/>
    <w:rsid w:val="00446E6F"/>
    <w:rsid w:val="004479A6"/>
    <w:rsid w:val="00452C86"/>
    <w:rsid w:val="00453E8A"/>
    <w:rsid w:val="00457441"/>
    <w:rsid w:val="00461614"/>
    <w:rsid w:val="00462B2C"/>
    <w:rsid w:val="004634F9"/>
    <w:rsid w:val="00463FD8"/>
    <w:rsid w:val="00464D7F"/>
    <w:rsid w:val="00465656"/>
    <w:rsid w:val="00465B1B"/>
    <w:rsid w:val="00465D7E"/>
    <w:rsid w:val="004675B9"/>
    <w:rsid w:val="004704CB"/>
    <w:rsid w:val="00470D23"/>
    <w:rsid w:val="00473E12"/>
    <w:rsid w:val="004748F6"/>
    <w:rsid w:val="00474CB3"/>
    <w:rsid w:val="004752C7"/>
    <w:rsid w:val="00475CFA"/>
    <w:rsid w:val="004761BC"/>
    <w:rsid w:val="00476CC1"/>
    <w:rsid w:val="0047778E"/>
    <w:rsid w:val="004802AB"/>
    <w:rsid w:val="00480C60"/>
    <w:rsid w:val="00481730"/>
    <w:rsid w:val="00483301"/>
    <w:rsid w:val="004860E1"/>
    <w:rsid w:val="00492914"/>
    <w:rsid w:val="0049436A"/>
    <w:rsid w:val="00494780"/>
    <w:rsid w:val="00494E9F"/>
    <w:rsid w:val="0049643C"/>
    <w:rsid w:val="0049740E"/>
    <w:rsid w:val="0049784D"/>
    <w:rsid w:val="004A0EB9"/>
    <w:rsid w:val="004A1190"/>
    <w:rsid w:val="004A3F1F"/>
    <w:rsid w:val="004A6425"/>
    <w:rsid w:val="004A7317"/>
    <w:rsid w:val="004A7916"/>
    <w:rsid w:val="004B08BA"/>
    <w:rsid w:val="004B0E43"/>
    <w:rsid w:val="004B13C8"/>
    <w:rsid w:val="004B1F79"/>
    <w:rsid w:val="004B2931"/>
    <w:rsid w:val="004B31CC"/>
    <w:rsid w:val="004B3351"/>
    <w:rsid w:val="004B40AD"/>
    <w:rsid w:val="004B5B8D"/>
    <w:rsid w:val="004C026C"/>
    <w:rsid w:val="004C246C"/>
    <w:rsid w:val="004C46B9"/>
    <w:rsid w:val="004C75E0"/>
    <w:rsid w:val="004C7986"/>
    <w:rsid w:val="004C7D23"/>
    <w:rsid w:val="004D14D0"/>
    <w:rsid w:val="004D1538"/>
    <w:rsid w:val="004D34C3"/>
    <w:rsid w:val="004D3A85"/>
    <w:rsid w:val="004D7134"/>
    <w:rsid w:val="004D794E"/>
    <w:rsid w:val="004E2745"/>
    <w:rsid w:val="004E289A"/>
    <w:rsid w:val="004E2E8C"/>
    <w:rsid w:val="004E4F40"/>
    <w:rsid w:val="004E562D"/>
    <w:rsid w:val="004E5CE4"/>
    <w:rsid w:val="004E681B"/>
    <w:rsid w:val="004E6D3D"/>
    <w:rsid w:val="004F2106"/>
    <w:rsid w:val="004F40D3"/>
    <w:rsid w:val="004F4C66"/>
    <w:rsid w:val="004F50F0"/>
    <w:rsid w:val="004F5E09"/>
    <w:rsid w:val="004F6C8F"/>
    <w:rsid w:val="004F7D56"/>
    <w:rsid w:val="005010C1"/>
    <w:rsid w:val="005012AA"/>
    <w:rsid w:val="00501559"/>
    <w:rsid w:val="00501A87"/>
    <w:rsid w:val="00504A93"/>
    <w:rsid w:val="00505788"/>
    <w:rsid w:val="00505D6E"/>
    <w:rsid w:val="00506D97"/>
    <w:rsid w:val="00507164"/>
    <w:rsid w:val="00507C27"/>
    <w:rsid w:val="00507C59"/>
    <w:rsid w:val="00510241"/>
    <w:rsid w:val="005102E8"/>
    <w:rsid w:val="0051060D"/>
    <w:rsid w:val="00510672"/>
    <w:rsid w:val="005123BF"/>
    <w:rsid w:val="005149BE"/>
    <w:rsid w:val="00514E68"/>
    <w:rsid w:val="00514F88"/>
    <w:rsid w:val="00515215"/>
    <w:rsid w:val="00515BB0"/>
    <w:rsid w:val="0051697C"/>
    <w:rsid w:val="00516BE2"/>
    <w:rsid w:val="0052005E"/>
    <w:rsid w:val="005200D9"/>
    <w:rsid w:val="00520299"/>
    <w:rsid w:val="00520A48"/>
    <w:rsid w:val="00521D0D"/>
    <w:rsid w:val="00521F9E"/>
    <w:rsid w:val="0052389C"/>
    <w:rsid w:val="0052495B"/>
    <w:rsid w:val="00524D4E"/>
    <w:rsid w:val="00525844"/>
    <w:rsid w:val="005261AA"/>
    <w:rsid w:val="0052640A"/>
    <w:rsid w:val="00526669"/>
    <w:rsid w:val="00526E0A"/>
    <w:rsid w:val="0053085F"/>
    <w:rsid w:val="00531E7A"/>
    <w:rsid w:val="00532370"/>
    <w:rsid w:val="005337CA"/>
    <w:rsid w:val="00533DED"/>
    <w:rsid w:val="005360E4"/>
    <w:rsid w:val="005361ED"/>
    <w:rsid w:val="00536B56"/>
    <w:rsid w:val="00536BE9"/>
    <w:rsid w:val="00541290"/>
    <w:rsid w:val="00542BCC"/>
    <w:rsid w:val="00542D1E"/>
    <w:rsid w:val="00544203"/>
    <w:rsid w:val="005446F8"/>
    <w:rsid w:val="005455EE"/>
    <w:rsid w:val="005472A6"/>
    <w:rsid w:val="00547A37"/>
    <w:rsid w:val="00550782"/>
    <w:rsid w:val="005509C9"/>
    <w:rsid w:val="005525F2"/>
    <w:rsid w:val="00552B4E"/>
    <w:rsid w:val="005532DD"/>
    <w:rsid w:val="0055363C"/>
    <w:rsid w:val="0056430A"/>
    <w:rsid w:val="00564D7B"/>
    <w:rsid w:val="005654F3"/>
    <w:rsid w:val="00566633"/>
    <w:rsid w:val="005666A5"/>
    <w:rsid w:val="00567963"/>
    <w:rsid w:val="00567DC7"/>
    <w:rsid w:val="00567FAC"/>
    <w:rsid w:val="005703E0"/>
    <w:rsid w:val="00570709"/>
    <w:rsid w:val="00572860"/>
    <w:rsid w:val="00572BCC"/>
    <w:rsid w:val="00573622"/>
    <w:rsid w:val="00573656"/>
    <w:rsid w:val="00575294"/>
    <w:rsid w:val="00575940"/>
    <w:rsid w:val="005761D0"/>
    <w:rsid w:val="00576DAA"/>
    <w:rsid w:val="00577B59"/>
    <w:rsid w:val="00577E7F"/>
    <w:rsid w:val="0058025C"/>
    <w:rsid w:val="00580D03"/>
    <w:rsid w:val="00580D6E"/>
    <w:rsid w:val="005845E2"/>
    <w:rsid w:val="00584B52"/>
    <w:rsid w:val="005853F1"/>
    <w:rsid w:val="00586521"/>
    <w:rsid w:val="00590C0C"/>
    <w:rsid w:val="005953C4"/>
    <w:rsid w:val="00597299"/>
    <w:rsid w:val="005975FD"/>
    <w:rsid w:val="0059781B"/>
    <w:rsid w:val="005A00F7"/>
    <w:rsid w:val="005A16A3"/>
    <w:rsid w:val="005A51EC"/>
    <w:rsid w:val="005A5CF4"/>
    <w:rsid w:val="005B2C07"/>
    <w:rsid w:val="005B2F8A"/>
    <w:rsid w:val="005B4C51"/>
    <w:rsid w:val="005B5D8A"/>
    <w:rsid w:val="005B6420"/>
    <w:rsid w:val="005B6716"/>
    <w:rsid w:val="005B6D68"/>
    <w:rsid w:val="005C3717"/>
    <w:rsid w:val="005C4198"/>
    <w:rsid w:val="005C47CC"/>
    <w:rsid w:val="005C536B"/>
    <w:rsid w:val="005C5BE9"/>
    <w:rsid w:val="005C6188"/>
    <w:rsid w:val="005C67D6"/>
    <w:rsid w:val="005C6BDA"/>
    <w:rsid w:val="005C6C57"/>
    <w:rsid w:val="005D123E"/>
    <w:rsid w:val="005D146A"/>
    <w:rsid w:val="005D1D61"/>
    <w:rsid w:val="005D527A"/>
    <w:rsid w:val="005D560F"/>
    <w:rsid w:val="005D7A2D"/>
    <w:rsid w:val="005E10E2"/>
    <w:rsid w:val="005E1CA1"/>
    <w:rsid w:val="005E2308"/>
    <w:rsid w:val="005E5B41"/>
    <w:rsid w:val="005F127F"/>
    <w:rsid w:val="005F1AC9"/>
    <w:rsid w:val="005F2E65"/>
    <w:rsid w:val="005F34CD"/>
    <w:rsid w:val="005F3873"/>
    <w:rsid w:val="005F3E04"/>
    <w:rsid w:val="005F474F"/>
    <w:rsid w:val="005F645E"/>
    <w:rsid w:val="005F7F6A"/>
    <w:rsid w:val="0060118D"/>
    <w:rsid w:val="00602397"/>
    <w:rsid w:val="00603312"/>
    <w:rsid w:val="006051FF"/>
    <w:rsid w:val="006057F4"/>
    <w:rsid w:val="0060590E"/>
    <w:rsid w:val="00606724"/>
    <w:rsid w:val="006072DA"/>
    <w:rsid w:val="00610D4D"/>
    <w:rsid w:val="00611735"/>
    <w:rsid w:val="006132F9"/>
    <w:rsid w:val="00613AF4"/>
    <w:rsid w:val="00615337"/>
    <w:rsid w:val="0061534C"/>
    <w:rsid w:val="00615864"/>
    <w:rsid w:val="00615C21"/>
    <w:rsid w:val="00617631"/>
    <w:rsid w:val="0061776F"/>
    <w:rsid w:val="0062011A"/>
    <w:rsid w:val="00620397"/>
    <w:rsid w:val="006203B2"/>
    <w:rsid w:val="00621A71"/>
    <w:rsid w:val="00621E5D"/>
    <w:rsid w:val="00623A54"/>
    <w:rsid w:val="00625B68"/>
    <w:rsid w:val="00625C12"/>
    <w:rsid w:val="00626479"/>
    <w:rsid w:val="006266F3"/>
    <w:rsid w:val="00627291"/>
    <w:rsid w:val="00630FDD"/>
    <w:rsid w:val="006319BE"/>
    <w:rsid w:val="006326C6"/>
    <w:rsid w:val="0063281B"/>
    <w:rsid w:val="00634E42"/>
    <w:rsid w:val="00635B61"/>
    <w:rsid w:val="00637850"/>
    <w:rsid w:val="006401E9"/>
    <w:rsid w:val="006412BD"/>
    <w:rsid w:val="00642313"/>
    <w:rsid w:val="00642D02"/>
    <w:rsid w:val="00645E74"/>
    <w:rsid w:val="00651C32"/>
    <w:rsid w:val="00653123"/>
    <w:rsid w:val="006549A8"/>
    <w:rsid w:val="006565C7"/>
    <w:rsid w:val="00660060"/>
    <w:rsid w:val="00661E9A"/>
    <w:rsid w:val="00662359"/>
    <w:rsid w:val="00662730"/>
    <w:rsid w:val="00664087"/>
    <w:rsid w:val="006642AA"/>
    <w:rsid w:val="00665421"/>
    <w:rsid w:val="0067491C"/>
    <w:rsid w:val="00674B1D"/>
    <w:rsid w:val="0067558A"/>
    <w:rsid w:val="00676452"/>
    <w:rsid w:val="006765B4"/>
    <w:rsid w:val="00676C2C"/>
    <w:rsid w:val="00680498"/>
    <w:rsid w:val="006807A8"/>
    <w:rsid w:val="00680C86"/>
    <w:rsid w:val="00681863"/>
    <w:rsid w:val="00681999"/>
    <w:rsid w:val="00682127"/>
    <w:rsid w:val="00682731"/>
    <w:rsid w:val="006830A4"/>
    <w:rsid w:val="00683F63"/>
    <w:rsid w:val="00684DA7"/>
    <w:rsid w:val="006859A1"/>
    <w:rsid w:val="00687071"/>
    <w:rsid w:val="0069038D"/>
    <w:rsid w:val="00690540"/>
    <w:rsid w:val="00690A68"/>
    <w:rsid w:val="00693BED"/>
    <w:rsid w:val="006A083D"/>
    <w:rsid w:val="006A26A1"/>
    <w:rsid w:val="006A2C24"/>
    <w:rsid w:val="006A4E00"/>
    <w:rsid w:val="006A508D"/>
    <w:rsid w:val="006A5EDC"/>
    <w:rsid w:val="006B2930"/>
    <w:rsid w:val="006C1F61"/>
    <w:rsid w:val="006C2BDE"/>
    <w:rsid w:val="006C35AF"/>
    <w:rsid w:val="006C3F9C"/>
    <w:rsid w:val="006C423D"/>
    <w:rsid w:val="006C5349"/>
    <w:rsid w:val="006C5FF9"/>
    <w:rsid w:val="006C74A0"/>
    <w:rsid w:val="006C7C10"/>
    <w:rsid w:val="006D0E3D"/>
    <w:rsid w:val="006D19A5"/>
    <w:rsid w:val="006D245A"/>
    <w:rsid w:val="006D4D2C"/>
    <w:rsid w:val="006D57A9"/>
    <w:rsid w:val="006D5C59"/>
    <w:rsid w:val="006D5E61"/>
    <w:rsid w:val="006E03CC"/>
    <w:rsid w:val="006E0BE4"/>
    <w:rsid w:val="006E2AC9"/>
    <w:rsid w:val="006E3268"/>
    <w:rsid w:val="006E405E"/>
    <w:rsid w:val="006E4181"/>
    <w:rsid w:val="006E4F02"/>
    <w:rsid w:val="006E587D"/>
    <w:rsid w:val="006E70ED"/>
    <w:rsid w:val="006E7286"/>
    <w:rsid w:val="006E757C"/>
    <w:rsid w:val="006E7A2F"/>
    <w:rsid w:val="006E7CDB"/>
    <w:rsid w:val="006F424E"/>
    <w:rsid w:val="006F4274"/>
    <w:rsid w:val="006F6053"/>
    <w:rsid w:val="006F78BD"/>
    <w:rsid w:val="00700613"/>
    <w:rsid w:val="00701362"/>
    <w:rsid w:val="007025A6"/>
    <w:rsid w:val="007045AE"/>
    <w:rsid w:val="00705377"/>
    <w:rsid w:val="00713AF2"/>
    <w:rsid w:val="00714DB9"/>
    <w:rsid w:val="00714F5B"/>
    <w:rsid w:val="00715E41"/>
    <w:rsid w:val="00716FF3"/>
    <w:rsid w:val="00720879"/>
    <w:rsid w:val="00722E84"/>
    <w:rsid w:val="00723130"/>
    <w:rsid w:val="00724655"/>
    <w:rsid w:val="00725518"/>
    <w:rsid w:val="007255AC"/>
    <w:rsid w:val="00725ABA"/>
    <w:rsid w:val="0072663D"/>
    <w:rsid w:val="0072799D"/>
    <w:rsid w:val="007318D3"/>
    <w:rsid w:val="00732C39"/>
    <w:rsid w:val="00733ADE"/>
    <w:rsid w:val="00733C4F"/>
    <w:rsid w:val="0073413E"/>
    <w:rsid w:val="00734A12"/>
    <w:rsid w:val="0073505B"/>
    <w:rsid w:val="00737EF0"/>
    <w:rsid w:val="007462DB"/>
    <w:rsid w:val="007468C4"/>
    <w:rsid w:val="0074760D"/>
    <w:rsid w:val="0075040A"/>
    <w:rsid w:val="00751432"/>
    <w:rsid w:val="00752009"/>
    <w:rsid w:val="007532FF"/>
    <w:rsid w:val="007534DD"/>
    <w:rsid w:val="00753873"/>
    <w:rsid w:val="00753B02"/>
    <w:rsid w:val="0075470D"/>
    <w:rsid w:val="00754B72"/>
    <w:rsid w:val="00755008"/>
    <w:rsid w:val="00757EAB"/>
    <w:rsid w:val="0076266B"/>
    <w:rsid w:val="00763655"/>
    <w:rsid w:val="00764473"/>
    <w:rsid w:val="00764493"/>
    <w:rsid w:val="007647A2"/>
    <w:rsid w:val="00764D81"/>
    <w:rsid w:val="007669DA"/>
    <w:rsid w:val="00767536"/>
    <w:rsid w:val="00767583"/>
    <w:rsid w:val="00770422"/>
    <w:rsid w:val="00772262"/>
    <w:rsid w:val="00772A14"/>
    <w:rsid w:val="00773373"/>
    <w:rsid w:val="00776C53"/>
    <w:rsid w:val="00780368"/>
    <w:rsid w:val="00780A24"/>
    <w:rsid w:val="007813FF"/>
    <w:rsid w:val="00782972"/>
    <w:rsid w:val="007843CF"/>
    <w:rsid w:val="0078515B"/>
    <w:rsid w:val="00785CE7"/>
    <w:rsid w:val="0079304F"/>
    <w:rsid w:val="0079327D"/>
    <w:rsid w:val="00793A72"/>
    <w:rsid w:val="00793D09"/>
    <w:rsid w:val="007949F7"/>
    <w:rsid w:val="00794FB2"/>
    <w:rsid w:val="007952C5"/>
    <w:rsid w:val="007956B2"/>
    <w:rsid w:val="00796098"/>
    <w:rsid w:val="007A0B5B"/>
    <w:rsid w:val="007A364B"/>
    <w:rsid w:val="007A42A3"/>
    <w:rsid w:val="007A4E61"/>
    <w:rsid w:val="007A517D"/>
    <w:rsid w:val="007A54DC"/>
    <w:rsid w:val="007A7EE3"/>
    <w:rsid w:val="007B06AA"/>
    <w:rsid w:val="007B2A1B"/>
    <w:rsid w:val="007B2B39"/>
    <w:rsid w:val="007B2E20"/>
    <w:rsid w:val="007B2FE6"/>
    <w:rsid w:val="007B3AC0"/>
    <w:rsid w:val="007B3D5E"/>
    <w:rsid w:val="007C1342"/>
    <w:rsid w:val="007C1A9C"/>
    <w:rsid w:val="007C321F"/>
    <w:rsid w:val="007C3274"/>
    <w:rsid w:val="007C3412"/>
    <w:rsid w:val="007C38C2"/>
    <w:rsid w:val="007C4200"/>
    <w:rsid w:val="007C4A7D"/>
    <w:rsid w:val="007C4D32"/>
    <w:rsid w:val="007C51F5"/>
    <w:rsid w:val="007C74C7"/>
    <w:rsid w:val="007C7F29"/>
    <w:rsid w:val="007D0875"/>
    <w:rsid w:val="007D0B53"/>
    <w:rsid w:val="007D31CD"/>
    <w:rsid w:val="007D3CB9"/>
    <w:rsid w:val="007D44B3"/>
    <w:rsid w:val="007D45EB"/>
    <w:rsid w:val="007D512E"/>
    <w:rsid w:val="007D5722"/>
    <w:rsid w:val="007D5C90"/>
    <w:rsid w:val="007E1166"/>
    <w:rsid w:val="007E1332"/>
    <w:rsid w:val="007E1526"/>
    <w:rsid w:val="007E1A42"/>
    <w:rsid w:val="007E2992"/>
    <w:rsid w:val="007E3407"/>
    <w:rsid w:val="007E4B27"/>
    <w:rsid w:val="007E4BA8"/>
    <w:rsid w:val="007E6D8B"/>
    <w:rsid w:val="007F05F6"/>
    <w:rsid w:val="007F08EB"/>
    <w:rsid w:val="007F174B"/>
    <w:rsid w:val="007F2886"/>
    <w:rsid w:val="007F4143"/>
    <w:rsid w:val="007F62D5"/>
    <w:rsid w:val="007F76DF"/>
    <w:rsid w:val="007F7768"/>
    <w:rsid w:val="00804482"/>
    <w:rsid w:val="00804CBE"/>
    <w:rsid w:val="00805522"/>
    <w:rsid w:val="00805D5C"/>
    <w:rsid w:val="00806DBD"/>
    <w:rsid w:val="00811595"/>
    <w:rsid w:val="00813F98"/>
    <w:rsid w:val="008150C7"/>
    <w:rsid w:val="0082188D"/>
    <w:rsid w:val="00824924"/>
    <w:rsid w:val="00824BCF"/>
    <w:rsid w:val="00826542"/>
    <w:rsid w:val="00826BEA"/>
    <w:rsid w:val="008273E9"/>
    <w:rsid w:val="00827650"/>
    <w:rsid w:val="00830B2C"/>
    <w:rsid w:val="00830C6D"/>
    <w:rsid w:val="008313C5"/>
    <w:rsid w:val="00832648"/>
    <w:rsid w:val="00832E60"/>
    <w:rsid w:val="00834BC1"/>
    <w:rsid w:val="00834F66"/>
    <w:rsid w:val="008362EF"/>
    <w:rsid w:val="00836816"/>
    <w:rsid w:val="00836CD9"/>
    <w:rsid w:val="00837609"/>
    <w:rsid w:val="00837D29"/>
    <w:rsid w:val="00841ED1"/>
    <w:rsid w:val="00843225"/>
    <w:rsid w:val="0084468B"/>
    <w:rsid w:val="008463AB"/>
    <w:rsid w:val="00846E9F"/>
    <w:rsid w:val="008473D5"/>
    <w:rsid w:val="00847575"/>
    <w:rsid w:val="00850A6C"/>
    <w:rsid w:val="00850B0E"/>
    <w:rsid w:val="00851782"/>
    <w:rsid w:val="00851888"/>
    <w:rsid w:val="00851B07"/>
    <w:rsid w:val="008524DF"/>
    <w:rsid w:val="00854F8B"/>
    <w:rsid w:val="00856615"/>
    <w:rsid w:val="00856995"/>
    <w:rsid w:val="008579BF"/>
    <w:rsid w:val="008602EC"/>
    <w:rsid w:val="00861177"/>
    <w:rsid w:val="00861631"/>
    <w:rsid w:val="00861912"/>
    <w:rsid w:val="00862406"/>
    <w:rsid w:val="00862F71"/>
    <w:rsid w:val="00865096"/>
    <w:rsid w:val="008656B8"/>
    <w:rsid w:val="00866388"/>
    <w:rsid w:val="008674A4"/>
    <w:rsid w:val="0086770E"/>
    <w:rsid w:val="00870648"/>
    <w:rsid w:val="008757A7"/>
    <w:rsid w:val="008767B2"/>
    <w:rsid w:val="00876E26"/>
    <w:rsid w:val="00880E9C"/>
    <w:rsid w:val="008821B9"/>
    <w:rsid w:val="008823B9"/>
    <w:rsid w:val="0088688B"/>
    <w:rsid w:val="0088703B"/>
    <w:rsid w:val="0089260C"/>
    <w:rsid w:val="0089313F"/>
    <w:rsid w:val="00893D01"/>
    <w:rsid w:val="008955C1"/>
    <w:rsid w:val="0089595F"/>
    <w:rsid w:val="00895C90"/>
    <w:rsid w:val="00897BB7"/>
    <w:rsid w:val="008A0327"/>
    <w:rsid w:val="008A0715"/>
    <w:rsid w:val="008A0EF1"/>
    <w:rsid w:val="008A22AE"/>
    <w:rsid w:val="008A3A3F"/>
    <w:rsid w:val="008A4D41"/>
    <w:rsid w:val="008A6F36"/>
    <w:rsid w:val="008A6FB1"/>
    <w:rsid w:val="008B0099"/>
    <w:rsid w:val="008B0191"/>
    <w:rsid w:val="008B059A"/>
    <w:rsid w:val="008B1339"/>
    <w:rsid w:val="008B36D9"/>
    <w:rsid w:val="008B3A4E"/>
    <w:rsid w:val="008B44F2"/>
    <w:rsid w:val="008B4A6D"/>
    <w:rsid w:val="008B5533"/>
    <w:rsid w:val="008B5E75"/>
    <w:rsid w:val="008B6C42"/>
    <w:rsid w:val="008B6C7A"/>
    <w:rsid w:val="008B702F"/>
    <w:rsid w:val="008B731F"/>
    <w:rsid w:val="008B7C3F"/>
    <w:rsid w:val="008B7E49"/>
    <w:rsid w:val="008C0866"/>
    <w:rsid w:val="008C1A3C"/>
    <w:rsid w:val="008C2DD5"/>
    <w:rsid w:val="008C6004"/>
    <w:rsid w:val="008C7EF5"/>
    <w:rsid w:val="008D1526"/>
    <w:rsid w:val="008D1819"/>
    <w:rsid w:val="008D2B13"/>
    <w:rsid w:val="008D379C"/>
    <w:rsid w:val="008D3E97"/>
    <w:rsid w:val="008D4246"/>
    <w:rsid w:val="008D70D4"/>
    <w:rsid w:val="008E298C"/>
    <w:rsid w:val="008E2D39"/>
    <w:rsid w:val="008E486F"/>
    <w:rsid w:val="008E66B4"/>
    <w:rsid w:val="008F048D"/>
    <w:rsid w:val="008F5909"/>
    <w:rsid w:val="00900A31"/>
    <w:rsid w:val="0090119D"/>
    <w:rsid w:val="00902BCB"/>
    <w:rsid w:val="00902EFB"/>
    <w:rsid w:val="00902F4F"/>
    <w:rsid w:val="00903173"/>
    <w:rsid w:val="00910726"/>
    <w:rsid w:val="00910BD0"/>
    <w:rsid w:val="00910E41"/>
    <w:rsid w:val="00912CEF"/>
    <w:rsid w:val="009139EE"/>
    <w:rsid w:val="00914C71"/>
    <w:rsid w:val="0091529C"/>
    <w:rsid w:val="009177BA"/>
    <w:rsid w:val="00917D84"/>
    <w:rsid w:val="00920832"/>
    <w:rsid w:val="00921CFE"/>
    <w:rsid w:val="00924893"/>
    <w:rsid w:val="00924A2B"/>
    <w:rsid w:val="00926928"/>
    <w:rsid w:val="009308FC"/>
    <w:rsid w:val="009319B6"/>
    <w:rsid w:val="0093208B"/>
    <w:rsid w:val="0093372F"/>
    <w:rsid w:val="009337D4"/>
    <w:rsid w:val="00933DD3"/>
    <w:rsid w:val="00933DF0"/>
    <w:rsid w:val="00935E30"/>
    <w:rsid w:val="00936A5B"/>
    <w:rsid w:val="00936A69"/>
    <w:rsid w:val="00941183"/>
    <w:rsid w:val="009423DB"/>
    <w:rsid w:val="00946222"/>
    <w:rsid w:val="00951083"/>
    <w:rsid w:val="00951EB8"/>
    <w:rsid w:val="009524ED"/>
    <w:rsid w:val="00953AB4"/>
    <w:rsid w:val="00953E41"/>
    <w:rsid w:val="009544D8"/>
    <w:rsid w:val="00960317"/>
    <w:rsid w:val="00960BE2"/>
    <w:rsid w:val="0096258C"/>
    <w:rsid w:val="009629BA"/>
    <w:rsid w:val="009629E7"/>
    <w:rsid w:val="0096484E"/>
    <w:rsid w:val="00965E49"/>
    <w:rsid w:val="009663D6"/>
    <w:rsid w:val="009709DE"/>
    <w:rsid w:val="00970A6A"/>
    <w:rsid w:val="00973AAB"/>
    <w:rsid w:val="00974CE1"/>
    <w:rsid w:val="0097743B"/>
    <w:rsid w:val="00981E86"/>
    <w:rsid w:val="009822A6"/>
    <w:rsid w:val="009831CC"/>
    <w:rsid w:val="00984423"/>
    <w:rsid w:val="00985F33"/>
    <w:rsid w:val="0098671A"/>
    <w:rsid w:val="00987471"/>
    <w:rsid w:val="00991542"/>
    <w:rsid w:val="00991EBE"/>
    <w:rsid w:val="00994137"/>
    <w:rsid w:val="00994294"/>
    <w:rsid w:val="0099455B"/>
    <w:rsid w:val="00995548"/>
    <w:rsid w:val="009A0171"/>
    <w:rsid w:val="009A1B3E"/>
    <w:rsid w:val="009A240D"/>
    <w:rsid w:val="009A4457"/>
    <w:rsid w:val="009A5624"/>
    <w:rsid w:val="009A7027"/>
    <w:rsid w:val="009A765E"/>
    <w:rsid w:val="009A7ED9"/>
    <w:rsid w:val="009B2D35"/>
    <w:rsid w:val="009B31E5"/>
    <w:rsid w:val="009B6F38"/>
    <w:rsid w:val="009C07A9"/>
    <w:rsid w:val="009C1BDD"/>
    <w:rsid w:val="009C1EAE"/>
    <w:rsid w:val="009C3839"/>
    <w:rsid w:val="009C3887"/>
    <w:rsid w:val="009C5112"/>
    <w:rsid w:val="009C6E42"/>
    <w:rsid w:val="009D01A8"/>
    <w:rsid w:val="009D07BD"/>
    <w:rsid w:val="009D189E"/>
    <w:rsid w:val="009D24F6"/>
    <w:rsid w:val="009D34BC"/>
    <w:rsid w:val="009D6141"/>
    <w:rsid w:val="009D61F8"/>
    <w:rsid w:val="009D6A65"/>
    <w:rsid w:val="009D7941"/>
    <w:rsid w:val="009E10D3"/>
    <w:rsid w:val="009E149F"/>
    <w:rsid w:val="009E14C9"/>
    <w:rsid w:val="009E45B4"/>
    <w:rsid w:val="009E7495"/>
    <w:rsid w:val="009F140F"/>
    <w:rsid w:val="009F39A1"/>
    <w:rsid w:val="009F4AD2"/>
    <w:rsid w:val="009F5B0E"/>
    <w:rsid w:val="009F6E48"/>
    <w:rsid w:val="009F7DD8"/>
    <w:rsid w:val="00A0081A"/>
    <w:rsid w:val="00A0185B"/>
    <w:rsid w:val="00A02A7A"/>
    <w:rsid w:val="00A02E1A"/>
    <w:rsid w:val="00A04145"/>
    <w:rsid w:val="00A0440D"/>
    <w:rsid w:val="00A05888"/>
    <w:rsid w:val="00A05BCC"/>
    <w:rsid w:val="00A07D37"/>
    <w:rsid w:val="00A07EED"/>
    <w:rsid w:val="00A07F8F"/>
    <w:rsid w:val="00A10E41"/>
    <w:rsid w:val="00A113B4"/>
    <w:rsid w:val="00A12A8E"/>
    <w:rsid w:val="00A13A12"/>
    <w:rsid w:val="00A152CA"/>
    <w:rsid w:val="00A16BAD"/>
    <w:rsid w:val="00A20968"/>
    <w:rsid w:val="00A214CC"/>
    <w:rsid w:val="00A21D24"/>
    <w:rsid w:val="00A22469"/>
    <w:rsid w:val="00A233C7"/>
    <w:rsid w:val="00A238AB"/>
    <w:rsid w:val="00A254EF"/>
    <w:rsid w:val="00A277F2"/>
    <w:rsid w:val="00A30D04"/>
    <w:rsid w:val="00A30E4E"/>
    <w:rsid w:val="00A30F1A"/>
    <w:rsid w:val="00A31B8F"/>
    <w:rsid w:val="00A323EA"/>
    <w:rsid w:val="00A3262C"/>
    <w:rsid w:val="00A32A9C"/>
    <w:rsid w:val="00A3308C"/>
    <w:rsid w:val="00A35770"/>
    <w:rsid w:val="00A3691A"/>
    <w:rsid w:val="00A377A7"/>
    <w:rsid w:val="00A37EDA"/>
    <w:rsid w:val="00A41DCF"/>
    <w:rsid w:val="00A43081"/>
    <w:rsid w:val="00A4317E"/>
    <w:rsid w:val="00A44787"/>
    <w:rsid w:val="00A45177"/>
    <w:rsid w:val="00A45257"/>
    <w:rsid w:val="00A45ED3"/>
    <w:rsid w:val="00A461BB"/>
    <w:rsid w:val="00A46A8F"/>
    <w:rsid w:val="00A51A63"/>
    <w:rsid w:val="00A54E01"/>
    <w:rsid w:val="00A55177"/>
    <w:rsid w:val="00A56157"/>
    <w:rsid w:val="00A57607"/>
    <w:rsid w:val="00A609B3"/>
    <w:rsid w:val="00A61AB3"/>
    <w:rsid w:val="00A61CC5"/>
    <w:rsid w:val="00A6209F"/>
    <w:rsid w:val="00A62CFF"/>
    <w:rsid w:val="00A63553"/>
    <w:rsid w:val="00A63B36"/>
    <w:rsid w:val="00A6453E"/>
    <w:rsid w:val="00A67606"/>
    <w:rsid w:val="00A71E3D"/>
    <w:rsid w:val="00A731AB"/>
    <w:rsid w:val="00A73597"/>
    <w:rsid w:val="00A74E8E"/>
    <w:rsid w:val="00A7590A"/>
    <w:rsid w:val="00A76AA2"/>
    <w:rsid w:val="00A76D35"/>
    <w:rsid w:val="00A8013F"/>
    <w:rsid w:val="00A8163B"/>
    <w:rsid w:val="00A82902"/>
    <w:rsid w:val="00A844EC"/>
    <w:rsid w:val="00A84FB1"/>
    <w:rsid w:val="00A8539A"/>
    <w:rsid w:val="00A914F6"/>
    <w:rsid w:val="00A96AAA"/>
    <w:rsid w:val="00A97505"/>
    <w:rsid w:val="00A976DD"/>
    <w:rsid w:val="00A979F3"/>
    <w:rsid w:val="00AA1429"/>
    <w:rsid w:val="00AA14D2"/>
    <w:rsid w:val="00AA296B"/>
    <w:rsid w:val="00AA2BEF"/>
    <w:rsid w:val="00AA2DE0"/>
    <w:rsid w:val="00AA59C0"/>
    <w:rsid w:val="00AA5ACE"/>
    <w:rsid w:val="00AA60A2"/>
    <w:rsid w:val="00AA69A5"/>
    <w:rsid w:val="00AB01F9"/>
    <w:rsid w:val="00AB1D5C"/>
    <w:rsid w:val="00AB7CDE"/>
    <w:rsid w:val="00AC1F36"/>
    <w:rsid w:val="00AC1F8E"/>
    <w:rsid w:val="00AC2119"/>
    <w:rsid w:val="00AD13B2"/>
    <w:rsid w:val="00AD17E4"/>
    <w:rsid w:val="00AD3D04"/>
    <w:rsid w:val="00AD4126"/>
    <w:rsid w:val="00AD5BB0"/>
    <w:rsid w:val="00AD708D"/>
    <w:rsid w:val="00AE083C"/>
    <w:rsid w:val="00AE1E40"/>
    <w:rsid w:val="00AE222E"/>
    <w:rsid w:val="00AE3486"/>
    <w:rsid w:val="00AE3CBF"/>
    <w:rsid w:val="00AE401B"/>
    <w:rsid w:val="00AE415A"/>
    <w:rsid w:val="00AE7EEB"/>
    <w:rsid w:val="00AE7FBB"/>
    <w:rsid w:val="00AF0143"/>
    <w:rsid w:val="00AF155F"/>
    <w:rsid w:val="00AF20AF"/>
    <w:rsid w:val="00AF22BA"/>
    <w:rsid w:val="00AF3AFC"/>
    <w:rsid w:val="00AF3D54"/>
    <w:rsid w:val="00AF3E1C"/>
    <w:rsid w:val="00AF3EEC"/>
    <w:rsid w:val="00AF57F2"/>
    <w:rsid w:val="00AF71E8"/>
    <w:rsid w:val="00B00760"/>
    <w:rsid w:val="00B051CA"/>
    <w:rsid w:val="00B053B7"/>
    <w:rsid w:val="00B070F0"/>
    <w:rsid w:val="00B10032"/>
    <w:rsid w:val="00B10C5E"/>
    <w:rsid w:val="00B12C5E"/>
    <w:rsid w:val="00B14726"/>
    <w:rsid w:val="00B16378"/>
    <w:rsid w:val="00B17EAA"/>
    <w:rsid w:val="00B21132"/>
    <w:rsid w:val="00B22001"/>
    <w:rsid w:val="00B24604"/>
    <w:rsid w:val="00B249DA"/>
    <w:rsid w:val="00B303AD"/>
    <w:rsid w:val="00B308CF"/>
    <w:rsid w:val="00B3116F"/>
    <w:rsid w:val="00B32756"/>
    <w:rsid w:val="00B32E33"/>
    <w:rsid w:val="00B3312D"/>
    <w:rsid w:val="00B340D8"/>
    <w:rsid w:val="00B34E4C"/>
    <w:rsid w:val="00B4110C"/>
    <w:rsid w:val="00B41471"/>
    <w:rsid w:val="00B44F67"/>
    <w:rsid w:val="00B51562"/>
    <w:rsid w:val="00B52468"/>
    <w:rsid w:val="00B53A2D"/>
    <w:rsid w:val="00B56DE9"/>
    <w:rsid w:val="00B57345"/>
    <w:rsid w:val="00B57572"/>
    <w:rsid w:val="00B6184A"/>
    <w:rsid w:val="00B61D67"/>
    <w:rsid w:val="00B6296F"/>
    <w:rsid w:val="00B650C8"/>
    <w:rsid w:val="00B66556"/>
    <w:rsid w:val="00B67852"/>
    <w:rsid w:val="00B701E2"/>
    <w:rsid w:val="00B70A3B"/>
    <w:rsid w:val="00B70AE5"/>
    <w:rsid w:val="00B70F9A"/>
    <w:rsid w:val="00B72D13"/>
    <w:rsid w:val="00B7400F"/>
    <w:rsid w:val="00B75B36"/>
    <w:rsid w:val="00B75C41"/>
    <w:rsid w:val="00B75DF2"/>
    <w:rsid w:val="00B77002"/>
    <w:rsid w:val="00B8012E"/>
    <w:rsid w:val="00B82564"/>
    <w:rsid w:val="00B83418"/>
    <w:rsid w:val="00B84925"/>
    <w:rsid w:val="00B86F43"/>
    <w:rsid w:val="00B91A3A"/>
    <w:rsid w:val="00B9243F"/>
    <w:rsid w:val="00B92940"/>
    <w:rsid w:val="00B9302B"/>
    <w:rsid w:val="00B93B29"/>
    <w:rsid w:val="00B93D22"/>
    <w:rsid w:val="00B94235"/>
    <w:rsid w:val="00B9448F"/>
    <w:rsid w:val="00B95B43"/>
    <w:rsid w:val="00BA052C"/>
    <w:rsid w:val="00BA16D6"/>
    <w:rsid w:val="00BA51EB"/>
    <w:rsid w:val="00BA61ED"/>
    <w:rsid w:val="00BA6658"/>
    <w:rsid w:val="00BA7692"/>
    <w:rsid w:val="00BA76D7"/>
    <w:rsid w:val="00BB0E93"/>
    <w:rsid w:val="00BB3605"/>
    <w:rsid w:val="00BB6362"/>
    <w:rsid w:val="00BB6DCA"/>
    <w:rsid w:val="00BB7A86"/>
    <w:rsid w:val="00BC08EA"/>
    <w:rsid w:val="00BC3208"/>
    <w:rsid w:val="00BC4C8E"/>
    <w:rsid w:val="00BC6559"/>
    <w:rsid w:val="00BD0480"/>
    <w:rsid w:val="00BD2231"/>
    <w:rsid w:val="00BD629E"/>
    <w:rsid w:val="00BE02DB"/>
    <w:rsid w:val="00BE1BCC"/>
    <w:rsid w:val="00BE2694"/>
    <w:rsid w:val="00BE432F"/>
    <w:rsid w:val="00BE43BC"/>
    <w:rsid w:val="00BE4C61"/>
    <w:rsid w:val="00BE4D60"/>
    <w:rsid w:val="00BE558A"/>
    <w:rsid w:val="00BE5722"/>
    <w:rsid w:val="00BE70D1"/>
    <w:rsid w:val="00BE7F10"/>
    <w:rsid w:val="00BF2711"/>
    <w:rsid w:val="00BF5DF5"/>
    <w:rsid w:val="00BF690B"/>
    <w:rsid w:val="00BF6CA2"/>
    <w:rsid w:val="00BF6FC3"/>
    <w:rsid w:val="00C009AB"/>
    <w:rsid w:val="00C02C10"/>
    <w:rsid w:val="00C02EB8"/>
    <w:rsid w:val="00C03F37"/>
    <w:rsid w:val="00C05609"/>
    <w:rsid w:val="00C062AD"/>
    <w:rsid w:val="00C07832"/>
    <w:rsid w:val="00C110B7"/>
    <w:rsid w:val="00C12E6F"/>
    <w:rsid w:val="00C13BE9"/>
    <w:rsid w:val="00C13F44"/>
    <w:rsid w:val="00C1448E"/>
    <w:rsid w:val="00C15541"/>
    <w:rsid w:val="00C165BE"/>
    <w:rsid w:val="00C20C86"/>
    <w:rsid w:val="00C20E4E"/>
    <w:rsid w:val="00C2229D"/>
    <w:rsid w:val="00C22407"/>
    <w:rsid w:val="00C23E10"/>
    <w:rsid w:val="00C2505D"/>
    <w:rsid w:val="00C33DBF"/>
    <w:rsid w:val="00C34F05"/>
    <w:rsid w:val="00C3543C"/>
    <w:rsid w:val="00C4031F"/>
    <w:rsid w:val="00C407E9"/>
    <w:rsid w:val="00C409D1"/>
    <w:rsid w:val="00C40B6F"/>
    <w:rsid w:val="00C425C2"/>
    <w:rsid w:val="00C42F2A"/>
    <w:rsid w:val="00C45688"/>
    <w:rsid w:val="00C45946"/>
    <w:rsid w:val="00C46ACD"/>
    <w:rsid w:val="00C46BE5"/>
    <w:rsid w:val="00C47964"/>
    <w:rsid w:val="00C5163B"/>
    <w:rsid w:val="00C51EBE"/>
    <w:rsid w:val="00C52027"/>
    <w:rsid w:val="00C53F20"/>
    <w:rsid w:val="00C57337"/>
    <w:rsid w:val="00C6042B"/>
    <w:rsid w:val="00C60995"/>
    <w:rsid w:val="00C620A4"/>
    <w:rsid w:val="00C622A3"/>
    <w:rsid w:val="00C656BD"/>
    <w:rsid w:val="00C658C4"/>
    <w:rsid w:val="00C65C70"/>
    <w:rsid w:val="00C65E45"/>
    <w:rsid w:val="00C705DB"/>
    <w:rsid w:val="00C70F68"/>
    <w:rsid w:val="00C72EF8"/>
    <w:rsid w:val="00C73009"/>
    <w:rsid w:val="00C73E45"/>
    <w:rsid w:val="00C76B27"/>
    <w:rsid w:val="00C803EC"/>
    <w:rsid w:val="00C819BE"/>
    <w:rsid w:val="00C837C6"/>
    <w:rsid w:val="00C83E56"/>
    <w:rsid w:val="00C850E4"/>
    <w:rsid w:val="00C85CBB"/>
    <w:rsid w:val="00C90E3A"/>
    <w:rsid w:val="00C92999"/>
    <w:rsid w:val="00C93A1F"/>
    <w:rsid w:val="00C94906"/>
    <w:rsid w:val="00C97823"/>
    <w:rsid w:val="00C97925"/>
    <w:rsid w:val="00CA062E"/>
    <w:rsid w:val="00CA2382"/>
    <w:rsid w:val="00CA2728"/>
    <w:rsid w:val="00CA2800"/>
    <w:rsid w:val="00CB2AB8"/>
    <w:rsid w:val="00CB6C67"/>
    <w:rsid w:val="00CC0B33"/>
    <w:rsid w:val="00CC11B2"/>
    <w:rsid w:val="00CC18D1"/>
    <w:rsid w:val="00CC1DD9"/>
    <w:rsid w:val="00CC263D"/>
    <w:rsid w:val="00CC3419"/>
    <w:rsid w:val="00CC3B97"/>
    <w:rsid w:val="00CC3DF6"/>
    <w:rsid w:val="00CC4AA3"/>
    <w:rsid w:val="00CD0089"/>
    <w:rsid w:val="00CD046D"/>
    <w:rsid w:val="00CD0D6B"/>
    <w:rsid w:val="00CD269F"/>
    <w:rsid w:val="00CD4420"/>
    <w:rsid w:val="00CD5024"/>
    <w:rsid w:val="00CD6C53"/>
    <w:rsid w:val="00CD7A3B"/>
    <w:rsid w:val="00CE0C6D"/>
    <w:rsid w:val="00CE0F4D"/>
    <w:rsid w:val="00CE16ED"/>
    <w:rsid w:val="00CE2B62"/>
    <w:rsid w:val="00CE2B89"/>
    <w:rsid w:val="00CE3EE1"/>
    <w:rsid w:val="00CE418C"/>
    <w:rsid w:val="00CE5B10"/>
    <w:rsid w:val="00CE5F0F"/>
    <w:rsid w:val="00CE720F"/>
    <w:rsid w:val="00CE7CA4"/>
    <w:rsid w:val="00CF0779"/>
    <w:rsid w:val="00CF0A77"/>
    <w:rsid w:val="00CF0E55"/>
    <w:rsid w:val="00CF15EC"/>
    <w:rsid w:val="00CF16C4"/>
    <w:rsid w:val="00CF2063"/>
    <w:rsid w:val="00CF5603"/>
    <w:rsid w:val="00CF5749"/>
    <w:rsid w:val="00CF5FCC"/>
    <w:rsid w:val="00D00090"/>
    <w:rsid w:val="00D00E2F"/>
    <w:rsid w:val="00D02E4A"/>
    <w:rsid w:val="00D041E4"/>
    <w:rsid w:val="00D07074"/>
    <w:rsid w:val="00D07E07"/>
    <w:rsid w:val="00D101B1"/>
    <w:rsid w:val="00D104CE"/>
    <w:rsid w:val="00D13E4D"/>
    <w:rsid w:val="00D14BE3"/>
    <w:rsid w:val="00D15E5C"/>
    <w:rsid w:val="00D16126"/>
    <w:rsid w:val="00D16E5C"/>
    <w:rsid w:val="00D20619"/>
    <w:rsid w:val="00D20D43"/>
    <w:rsid w:val="00D20FDE"/>
    <w:rsid w:val="00D2150C"/>
    <w:rsid w:val="00D221E3"/>
    <w:rsid w:val="00D22A1C"/>
    <w:rsid w:val="00D22A40"/>
    <w:rsid w:val="00D23A56"/>
    <w:rsid w:val="00D251CA"/>
    <w:rsid w:val="00D25589"/>
    <w:rsid w:val="00D27A7B"/>
    <w:rsid w:val="00D31040"/>
    <w:rsid w:val="00D316A8"/>
    <w:rsid w:val="00D3359F"/>
    <w:rsid w:val="00D337B2"/>
    <w:rsid w:val="00D33A42"/>
    <w:rsid w:val="00D347CF"/>
    <w:rsid w:val="00D34F74"/>
    <w:rsid w:val="00D368BF"/>
    <w:rsid w:val="00D36B02"/>
    <w:rsid w:val="00D36D7B"/>
    <w:rsid w:val="00D4225B"/>
    <w:rsid w:val="00D42D63"/>
    <w:rsid w:val="00D452D0"/>
    <w:rsid w:val="00D47A9D"/>
    <w:rsid w:val="00D50472"/>
    <w:rsid w:val="00D50FCF"/>
    <w:rsid w:val="00D53B48"/>
    <w:rsid w:val="00D53FCF"/>
    <w:rsid w:val="00D54D0A"/>
    <w:rsid w:val="00D5555E"/>
    <w:rsid w:val="00D55C05"/>
    <w:rsid w:val="00D57A42"/>
    <w:rsid w:val="00D6217B"/>
    <w:rsid w:val="00D63327"/>
    <w:rsid w:val="00D640D5"/>
    <w:rsid w:val="00D7029F"/>
    <w:rsid w:val="00D70E1B"/>
    <w:rsid w:val="00D71615"/>
    <w:rsid w:val="00D71686"/>
    <w:rsid w:val="00D71AF2"/>
    <w:rsid w:val="00D72C6F"/>
    <w:rsid w:val="00D73FA5"/>
    <w:rsid w:val="00D752B8"/>
    <w:rsid w:val="00D760CD"/>
    <w:rsid w:val="00D767CA"/>
    <w:rsid w:val="00D77FBA"/>
    <w:rsid w:val="00D8183A"/>
    <w:rsid w:val="00D8345B"/>
    <w:rsid w:val="00D8508F"/>
    <w:rsid w:val="00D86C78"/>
    <w:rsid w:val="00D87D5C"/>
    <w:rsid w:val="00D90187"/>
    <w:rsid w:val="00D91EDB"/>
    <w:rsid w:val="00D933DC"/>
    <w:rsid w:val="00D94A54"/>
    <w:rsid w:val="00D965E4"/>
    <w:rsid w:val="00D96E22"/>
    <w:rsid w:val="00D97AE5"/>
    <w:rsid w:val="00DA0569"/>
    <w:rsid w:val="00DA20EE"/>
    <w:rsid w:val="00DA4E96"/>
    <w:rsid w:val="00DA750A"/>
    <w:rsid w:val="00DB0649"/>
    <w:rsid w:val="00DB2096"/>
    <w:rsid w:val="00DB261F"/>
    <w:rsid w:val="00DB28FC"/>
    <w:rsid w:val="00DB3E5A"/>
    <w:rsid w:val="00DB49D1"/>
    <w:rsid w:val="00DB5506"/>
    <w:rsid w:val="00DB7B69"/>
    <w:rsid w:val="00DB7DA8"/>
    <w:rsid w:val="00DC0502"/>
    <w:rsid w:val="00DC0693"/>
    <w:rsid w:val="00DC080C"/>
    <w:rsid w:val="00DC2256"/>
    <w:rsid w:val="00DC2EA5"/>
    <w:rsid w:val="00DC4004"/>
    <w:rsid w:val="00DC4243"/>
    <w:rsid w:val="00DC43D3"/>
    <w:rsid w:val="00DC4F36"/>
    <w:rsid w:val="00DC51AF"/>
    <w:rsid w:val="00DC51C9"/>
    <w:rsid w:val="00DC5CEE"/>
    <w:rsid w:val="00DC6AF6"/>
    <w:rsid w:val="00DC7204"/>
    <w:rsid w:val="00DC7BE0"/>
    <w:rsid w:val="00DC7D85"/>
    <w:rsid w:val="00DD0146"/>
    <w:rsid w:val="00DD1BE3"/>
    <w:rsid w:val="00DD3332"/>
    <w:rsid w:val="00DD4C7C"/>
    <w:rsid w:val="00DD5848"/>
    <w:rsid w:val="00DD5C1E"/>
    <w:rsid w:val="00DD5E86"/>
    <w:rsid w:val="00DD6BF1"/>
    <w:rsid w:val="00DD6DE9"/>
    <w:rsid w:val="00DE05F9"/>
    <w:rsid w:val="00DE08E6"/>
    <w:rsid w:val="00DE597A"/>
    <w:rsid w:val="00DE69AC"/>
    <w:rsid w:val="00DF1D42"/>
    <w:rsid w:val="00DF23A3"/>
    <w:rsid w:val="00DF4ABD"/>
    <w:rsid w:val="00DF4B9C"/>
    <w:rsid w:val="00DF4FAE"/>
    <w:rsid w:val="00DF51D6"/>
    <w:rsid w:val="00DF58A0"/>
    <w:rsid w:val="00DF6182"/>
    <w:rsid w:val="00E00B08"/>
    <w:rsid w:val="00E01509"/>
    <w:rsid w:val="00E01679"/>
    <w:rsid w:val="00E01DC4"/>
    <w:rsid w:val="00E01E0D"/>
    <w:rsid w:val="00E026C9"/>
    <w:rsid w:val="00E028E4"/>
    <w:rsid w:val="00E043BE"/>
    <w:rsid w:val="00E0680C"/>
    <w:rsid w:val="00E074DD"/>
    <w:rsid w:val="00E07520"/>
    <w:rsid w:val="00E1026E"/>
    <w:rsid w:val="00E1214F"/>
    <w:rsid w:val="00E12C07"/>
    <w:rsid w:val="00E13052"/>
    <w:rsid w:val="00E16B1A"/>
    <w:rsid w:val="00E20260"/>
    <w:rsid w:val="00E20ADA"/>
    <w:rsid w:val="00E22E09"/>
    <w:rsid w:val="00E234F4"/>
    <w:rsid w:val="00E23881"/>
    <w:rsid w:val="00E26D6B"/>
    <w:rsid w:val="00E27E0B"/>
    <w:rsid w:val="00E31DF1"/>
    <w:rsid w:val="00E32D35"/>
    <w:rsid w:val="00E33206"/>
    <w:rsid w:val="00E3346D"/>
    <w:rsid w:val="00E34707"/>
    <w:rsid w:val="00E351B7"/>
    <w:rsid w:val="00E45015"/>
    <w:rsid w:val="00E4561A"/>
    <w:rsid w:val="00E45667"/>
    <w:rsid w:val="00E47057"/>
    <w:rsid w:val="00E47BC1"/>
    <w:rsid w:val="00E5424E"/>
    <w:rsid w:val="00E54DD6"/>
    <w:rsid w:val="00E55096"/>
    <w:rsid w:val="00E55857"/>
    <w:rsid w:val="00E57096"/>
    <w:rsid w:val="00E6165E"/>
    <w:rsid w:val="00E62A1B"/>
    <w:rsid w:val="00E64279"/>
    <w:rsid w:val="00E647D3"/>
    <w:rsid w:val="00E649A9"/>
    <w:rsid w:val="00E665E2"/>
    <w:rsid w:val="00E67FEB"/>
    <w:rsid w:val="00E700A2"/>
    <w:rsid w:val="00E72CE4"/>
    <w:rsid w:val="00E75D35"/>
    <w:rsid w:val="00E77349"/>
    <w:rsid w:val="00E777E9"/>
    <w:rsid w:val="00E77ECE"/>
    <w:rsid w:val="00E77FC9"/>
    <w:rsid w:val="00E80F7A"/>
    <w:rsid w:val="00E83D89"/>
    <w:rsid w:val="00E8655B"/>
    <w:rsid w:val="00E86F88"/>
    <w:rsid w:val="00E878A2"/>
    <w:rsid w:val="00E96845"/>
    <w:rsid w:val="00E96CC5"/>
    <w:rsid w:val="00E97CEB"/>
    <w:rsid w:val="00EA068E"/>
    <w:rsid w:val="00EA0D5D"/>
    <w:rsid w:val="00EA188E"/>
    <w:rsid w:val="00EA2E8E"/>
    <w:rsid w:val="00EA43EF"/>
    <w:rsid w:val="00EA4D4D"/>
    <w:rsid w:val="00EA5D11"/>
    <w:rsid w:val="00EA7BC8"/>
    <w:rsid w:val="00EB1B47"/>
    <w:rsid w:val="00EB2128"/>
    <w:rsid w:val="00EB3752"/>
    <w:rsid w:val="00EB3988"/>
    <w:rsid w:val="00EB5575"/>
    <w:rsid w:val="00EB5C7D"/>
    <w:rsid w:val="00EB6F7F"/>
    <w:rsid w:val="00EB73F4"/>
    <w:rsid w:val="00EC09BB"/>
    <w:rsid w:val="00EC1788"/>
    <w:rsid w:val="00EC3115"/>
    <w:rsid w:val="00EC49CA"/>
    <w:rsid w:val="00EC51EC"/>
    <w:rsid w:val="00EC6D7E"/>
    <w:rsid w:val="00ED2137"/>
    <w:rsid w:val="00ED3D44"/>
    <w:rsid w:val="00ED42B1"/>
    <w:rsid w:val="00ED4356"/>
    <w:rsid w:val="00ED4EAC"/>
    <w:rsid w:val="00ED5DF4"/>
    <w:rsid w:val="00ED5E69"/>
    <w:rsid w:val="00EE01C9"/>
    <w:rsid w:val="00EE157B"/>
    <w:rsid w:val="00EE1A55"/>
    <w:rsid w:val="00EE42EA"/>
    <w:rsid w:val="00EE479D"/>
    <w:rsid w:val="00EE5AA4"/>
    <w:rsid w:val="00EE6EAB"/>
    <w:rsid w:val="00EE7E4A"/>
    <w:rsid w:val="00EF0DCA"/>
    <w:rsid w:val="00EF169D"/>
    <w:rsid w:val="00EF27E5"/>
    <w:rsid w:val="00EF286F"/>
    <w:rsid w:val="00EF4474"/>
    <w:rsid w:val="00EF4517"/>
    <w:rsid w:val="00EF46D4"/>
    <w:rsid w:val="00EF4EF0"/>
    <w:rsid w:val="00F002A2"/>
    <w:rsid w:val="00F021B7"/>
    <w:rsid w:val="00F02578"/>
    <w:rsid w:val="00F040DD"/>
    <w:rsid w:val="00F0492D"/>
    <w:rsid w:val="00F04C16"/>
    <w:rsid w:val="00F04FB7"/>
    <w:rsid w:val="00F053BE"/>
    <w:rsid w:val="00F06556"/>
    <w:rsid w:val="00F06964"/>
    <w:rsid w:val="00F0760F"/>
    <w:rsid w:val="00F07C15"/>
    <w:rsid w:val="00F10548"/>
    <w:rsid w:val="00F11B23"/>
    <w:rsid w:val="00F12EED"/>
    <w:rsid w:val="00F13564"/>
    <w:rsid w:val="00F13D93"/>
    <w:rsid w:val="00F13E98"/>
    <w:rsid w:val="00F16439"/>
    <w:rsid w:val="00F208BA"/>
    <w:rsid w:val="00F21911"/>
    <w:rsid w:val="00F232FB"/>
    <w:rsid w:val="00F23671"/>
    <w:rsid w:val="00F241F9"/>
    <w:rsid w:val="00F25549"/>
    <w:rsid w:val="00F27BE4"/>
    <w:rsid w:val="00F30E21"/>
    <w:rsid w:val="00F3243A"/>
    <w:rsid w:val="00F33C91"/>
    <w:rsid w:val="00F35E8E"/>
    <w:rsid w:val="00F36808"/>
    <w:rsid w:val="00F36A82"/>
    <w:rsid w:val="00F37144"/>
    <w:rsid w:val="00F400F0"/>
    <w:rsid w:val="00F40B56"/>
    <w:rsid w:val="00F4328F"/>
    <w:rsid w:val="00F435AD"/>
    <w:rsid w:val="00F43790"/>
    <w:rsid w:val="00F44D90"/>
    <w:rsid w:val="00F475BB"/>
    <w:rsid w:val="00F5118B"/>
    <w:rsid w:val="00F516DB"/>
    <w:rsid w:val="00F51769"/>
    <w:rsid w:val="00F52803"/>
    <w:rsid w:val="00F52C9F"/>
    <w:rsid w:val="00F53306"/>
    <w:rsid w:val="00F53433"/>
    <w:rsid w:val="00F5429B"/>
    <w:rsid w:val="00F542F6"/>
    <w:rsid w:val="00F56446"/>
    <w:rsid w:val="00F6021F"/>
    <w:rsid w:val="00F605A8"/>
    <w:rsid w:val="00F61164"/>
    <w:rsid w:val="00F6138B"/>
    <w:rsid w:val="00F628EE"/>
    <w:rsid w:val="00F62C86"/>
    <w:rsid w:val="00F630CA"/>
    <w:rsid w:val="00F6421A"/>
    <w:rsid w:val="00F653AF"/>
    <w:rsid w:val="00F72CE7"/>
    <w:rsid w:val="00F738F0"/>
    <w:rsid w:val="00F74067"/>
    <w:rsid w:val="00F745D1"/>
    <w:rsid w:val="00F757AD"/>
    <w:rsid w:val="00F758E3"/>
    <w:rsid w:val="00F75F16"/>
    <w:rsid w:val="00F76272"/>
    <w:rsid w:val="00F7714D"/>
    <w:rsid w:val="00F77471"/>
    <w:rsid w:val="00F80671"/>
    <w:rsid w:val="00F8070B"/>
    <w:rsid w:val="00F81A09"/>
    <w:rsid w:val="00F840C4"/>
    <w:rsid w:val="00F845B4"/>
    <w:rsid w:val="00F84B73"/>
    <w:rsid w:val="00F85C15"/>
    <w:rsid w:val="00F8792E"/>
    <w:rsid w:val="00F917FF"/>
    <w:rsid w:val="00F92437"/>
    <w:rsid w:val="00F947E6"/>
    <w:rsid w:val="00F94E85"/>
    <w:rsid w:val="00F951D9"/>
    <w:rsid w:val="00F9522A"/>
    <w:rsid w:val="00F95997"/>
    <w:rsid w:val="00F973A6"/>
    <w:rsid w:val="00F973FF"/>
    <w:rsid w:val="00F97930"/>
    <w:rsid w:val="00FA064D"/>
    <w:rsid w:val="00FA0692"/>
    <w:rsid w:val="00FA2141"/>
    <w:rsid w:val="00FA43D1"/>
    <w:rsid w:val="00FA55A8"/>
    <w:rsid w:val="00FA5B16"/>
    <w:rsid w:val="00FB1005"/>
    <w:rsid w:val="00FB107D"/>
    <w:rsid w:val="00FB12D9"/>
    <w:rsid w:val="00FB159C"/>
    <w:rsid w:val="00FB44F6"/>
    <w:rsid w:val="00FB699E"/>
    <w:rsid w:val="00FB6D95"/>
    <w:rsid w:val="00FB7943"/>
    <w:rsid w:val="00FC072F"/>
    <w:rsid w:val="00FC0AC6"/>
    <w:rsid w:val="00FC24BA"/>
    <w:rsid w:val="00FC2961"/>
    <w:rsid w:val="00FC521B"/>
    <w:rsid w:val="00FC58F7"/>
    <w:rsid w:val="00FC5F5E"/>
    <w:rsid w:val="00FC705A"/>
    <w:rsid w:val="00FC7B37"/>
    <w:rsid w:val="00FD04CD"/>
    <w:rsid w:val="00FD0DAC"/>
    <w:rsid w:val="00FD0FC8"/>
    <w:rsid w:val="00FD188C"/>
    <w:rsid w:val="00FD1F66"/>
    <w:rsid w:val="00FD262B"/>
    <w:rsid w:val="00FD34BE"/>
    <w:rsid w:val="00FD4874"/>
    <w:rsid w:val="00FD4D6B"/>
    <w:rsid w:val="00FD65CD"/>
    <w:rsid w:val="00FE1C7F"/>
    <w:rsid w:val="00FE20C0"/>
    <w:rsid w:val="00FE2686"/>
    <w:rsid w:val="00FE5F55"/>
    <w:rsid w:val="00FE6BBC"/>
    <w:rsid w:val="00FE7C41"/>
    <w:rsid w:val="00FF0660"/>
    <w:rsid w:val="00FF0AF1"/>
    <w:rsid w:val="00FF13D1"/>
    <w:rsid w:val="00FF1AA8"/>
    <w:rsid w:val="00FF2CDE"/>
    <w:rsid w:val="00FF4109"/>
    <w:rsid w:val="00FF5418"/>
    <w:rsid w:val="00FF61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687FD2"/>
  <w15:chartTrackingRefBased/>
  <w15:docId w15:val="{BD34950B-02D2-481F-9758-514D3FE558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123BF"/>
    <w:rPr>
      <w:rFonts w:ascii="Times New Roman" w:hAnsi="Times New Roman"/>
      <w:sz w:val="24"/>
    </w:rPr>
  </w:style>
  <w:style w:type="paragraph" w:styleId="Heading1">
    <w:name w:val="heading 1"/>
    <w:basedOn w:val="Normal"/>
    <w:next w:val="Normal"/>
    <w:link w:val="Heading1Char"/>
    <w:uiPriority w:val="9"/>
    <w:qFormat/>
    <w:rsid w:val="0022117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link w:val="Heading3Char"/>
    <w:uiPriority w:val="9"/>
    <w:qFormat/>
    <w:rsid w:val="001E4E0E"/>
    <w:pPr>
      <w:spacing w:after="0" w:line="240" w:lineRule="auto"/>
      <w:outlineLvl w:val="2"/>
    </w:pPr>
    <w:rPr>
      <w:rFonts w:ascii="Arial" w:eastAsia="Times New Roman" w:hAnsi="Arial" w:cs="Arial"/>
      <w:b/>
      <w:bCs/>
      <w:color w:val="333333"/>
      <w:sz w:val="27"/>
      <w:szCs w:val="27"/>
      <w:lang w:val="fi-FI" w:eastAsia="fi-FI"/>
    </w:rPr>
  </w:style>
  <w:style w:type="paragraph" w:styleId="Heading4">
    <w:name w:val="heading 4"/>
    <w:basedOn w:val="Normal"/>
    <w:next w:val="Normal"/>
    <w:link w:val="Heading4Char"/>
    <w:uiPriority w:val="9"/>
    <w:semiHidden/>
    <w:unhideWhenUsed/>
    <w:qFormat/>
    <w:rsid w:val="00221172"/>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933DC"/>
    <w:rPr>
      <w:strike w:val="0"/>
      <w:dstrike w:val="0"/>
      <w:color w:val="316C9D"/>
      <w:u w:val="none"/>
      <w:effect w:val="none"/>
    </w:rPr>
  </w:style>
  <w:style w:type="character" w:styleId="Emphasis">
    <w:name w:val="Emphasis"/>
    <w:basedOn w:val="DefaultParagraphFont"/>
    <w:uiPriority w:val="20"/>
    <w:qFormat/>
    <w:rsid w:val="00D933DC"/>
    <w:rPr>
      <w:i/>
      <w:iCs/>
      <w:sz w:val="24"/>
      <w:szCs w:val="24"/>
      <w:bdr w:val="none" w:sz="0" w:space="0" w:color="auto" w:frame="1"/>
      <w:vertAlign w:val="baseline"/>
    </w:rPr>
  </w:style>
  <w:style w:type="character" w:customStyle="1" w:styleId="Heading3Char">
    <w:name w:val="Heading 3 Char"/>
    <w:basedOn w:val="DefaultParagraphFont"/>
    <w:link w:val="Heading3"/>
    <w:uiPriority w:val="9"/>
    <w:rsid w:val="001E4E0E"/>
    <w:rPr>
      <w:rFonts w:ascii="Arial" w:eastAsia="Times New Roman" w:hAnsi="Arial" w:cs="Arial"/>
      <w:b/>
      <w:bCs/>
      <w:color w:val="333333"/>
      <w:sz w:val="27"/>
      <w:szCs w:val="27"/>
      <w:lang w:val="fi-FI" w:eastAsia="fi-FI"/>
    </w:rPr>
  </w:style>
  <w:style w:type="paragraph" w:styleId="NormalWeb">
    <w:name w:val="Normal (Web)"/>
    <w:basedOn w:val="Normal"/>
    <w:uiPriority w:val="99"/>
    <w:unhideWhenUsed/>
    <w:rsid w:val="001E4E0E"/>
    <w:pPr>
      <w:spacing w:after="0" w:line="240" w:lineRule="auto"/>
    </w:pPr>
    <w:rPr>
      <w:rFonts w:ascii="inherit" w:eastAsia="Times New Roman" w:hAnsi="inherit" w:cs="Times New Roman"/>
      <w:szCs w:val="24"/>
      <w:lang w:val="fi-FI" w:eastAsia="fi-FI"/>
    </w:rPr>
  </w:style>
  <w:style w:type="table" w:styleId="TableGrid">
    <w:name w:val="Table Grid"/>
    <w:basedOn w:val="TableNormal"/>
    <w:uiPriority w:val="59"/>
    <w:rsid w:val="00DC06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ighlight">
    <w:name w:val="highlight"/>
    <w:basedOn w:val="DefaultParagraphFont"/>
    <w:rsid w:val="00407957"/>
  </w:style>
  <w:style w:type="character" w:styleId="CommentReference">
    <w:name w:val="annotation reference"/>
    <w:uiPriority w:val="99"/>
    <w:semiHidden/>
    <w:unhideWhenUsed/>
    <w:rsid w:val="00407957"/>
    <w:rPr>
      <w:sz w:val="16"/>
      <w:szCs w:val="16"/>
    </w:rPr>
  </w:style>
  <w:style w:type="paragraph" w:styleId="CommentText">
    <w:name w:val="annotation text"/>
    <w:basedOn w:val="Normal"/>
    <w:link w:val="CommentTextChar"/>
    <w:uiPriority w:val="99"/>
    <w:semiHidden/>
    <w:unhideWhenUsed/>
    <w:rsid w:val="00407957"/>
    <w:rPr>
      <w:rFonts w:ascii="Calibri" w:eastAsia="Calibri" w:hAnsi="Calibri" w:cs="Times New Roman"/>
      <w:sz w:val="20"/>
      <w:szCs w:val="20"/>
    </w:rPr>
  </w:style>
  <w:style w:type="character" w:customStyle="1" w:styleId="CommentTextChar">
    <w:name w:val="Comment Text Char"/>
    <w:basedOn w:val="DefaultParagraphFont"/>
    <w:link w:val="CommentText"/>
    <w:uiPriority w:val="99"/>
    <w:semiHidden/>
    <w:rsid w:val="00407957"/>
    <w:rPr>
      <w:rFonts w:ascii="Calibri" w:eastAsia="Calibri" w:hAnsi="Calibri" w:cs="Times New Roman"/>
      <w:sz w:val="20"/>
      <w:szCs w:val="20"/>
    </w:rPr>
  </w:style>
  <w:style w:type="character" w:styleId="SubtleEmphasis">
    <w:name w:val="Subtle Emphasis"/>
    <w:uiPriority w:val="19"/>
    <w:qFormat/>
    <w:rsid w:val="00407957"/>
    <w:rPr>
      <w:i/>
      <w:iCs/>
      <w:color w:val="404040"/>
    </w:rPr>
  </w:style>
  <w:style w:type="paragraph" w:styleId="BalloonText">
    <w:name w:val="Balloon Text"/>
    <w:basedOn w:val="Normal"/>
    <w:link w:val="BalloonTextChar"/>
    <w:uiPriority w:val="99"/>
    <w:semiHidden/>
    <w:unhideWhenUsed/>
    <w:rsid w:val="0040795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07957"/>
    <w:rPr>
      <w:rFonts w:ascii="Segoe UI" w:hAnsi="Segoe UI" w:cs="Segoe UI"/>
      <w:sz w:val="18"/>
      <w:szCs w:val="18"/>
    </w:rPr>
  </w:style>
  <w:style w:type="character" w:customStyle="1" w:styleId="Heading1Char">
    <w:name w:val="Heading 1 Char"/>
    <w:basedOn w:val="DefaultParagraphFont"/>
    <w:link w:val="Heading1"/>
    <w:uiPriority w:val="9"/>
    <w:rsid w:val="00221172"/>
    <w:rPr>
      <w:rFonts w:asciiTheme="majorHAnsi" w:eastAsiaTheme="majorEastAsia" w:hAnsiTheme="majorHAnsi" w:cstheme="majorBidi"/>
      <w:color w:val="365F91" w:themeColor="accent1" w:themeShade="BF"/>
      <w:sz w:val="32"/>
      <w:szCs w:val="32"/>
    </w:rPr>
  </w:style>
  <w:style w:type="character" w:customStyle="1" w:styleId="Heading4Char">
    <w:name w:val="Heading 4 Char"/>
    <w:basedOn w:val="DefaultParagraphFont"/>
    <w:link w:val="Heading4"/>
    <w:uiPriority w:val="9"/>
    <w:semiHidden/>
    <w:rsid w:val="00221172"/>
    <w:rPr>
      <w:rFonts w:asciiTheme="majorHAnsi" w:eastAsiaTheme="majorEastAsia" w:hAnsiTheme="majorHAnsi" w:cstheme="majorBidi"/>
      <w:i/>
      <w:iCs/>
      <w:color w:val="365F91" w:themeColor="accent1" w:themeShade="BF"/>
    </w:rPr>
  </w:style>
  <w:style w:type="character" w:customStyle="1" w:styleId="highlight2">
    <w:name w:val="highlight2"/>
    <w:basedOn w:val="DefaultParagraphFont"/>
    <w:rsid w:val="00221172"/>
  </w:style>
  <w:style w:type="character" w:customStyle="1" w:styleId="ui-ncbitoggler-master-text">
    <w:name w:val="ui-ncbitoggler-master-text"/>
    <w:basedOn w:val="DefaultParagraphFont"/>
    <w:rsid w:val="00221172"/>
  </w:style>
  <w:style w:type="paragraph" w:customStyle="1" w:styleId="copyright">
    <w:name w:val="copyright"/>
    <w:basedOn w:val="Normal"/>
    <w:rsid w:val="00221172"/>
    <w:pPr>
      <w:spacing w:before="100" w:beforeAutospacing="1" w:after="100" w:afterAutospacing="1" w:line="240" w:lineRule="auto"/>
    </w:pPr>
    <w:rPr>
      <w:rFonts w:eastAsia="Times New Roman" w:cs="Times New Roman"/>
      <w:szCs w:val="24"/>
      <w:lang w:val="fi-FI" w:eastAsia="fi-FI"/>
    </w:rPr>
  </w:style>
  <w:style w:type="character" w:customStyle="1" w:styleId="label2">
    <w:name w:val="label2"/>
    <w:basedOn w:val="DefaultParagraphFont"/>
    <w:rsid w:val="00103D21"/>
  </w:style>
  <w:style w:type="character" w:customStyle="1" w:styleId="separator2">
    <w:name w:val="separator2"/>
    <w:basedOn w:val="DefaultParagraphFont"/>
    <w:rsid w:val="00103D21"/>
  </w:style>
  <w:style w:type="character" w:customStyle="1" w:styleId="value2">
    <w:name w:val="value2"/>
    <w:basedOn w:val="DefaultParagraphFont"/>
    <w:rsid w:val="00103D21"/>
  </w:style>
  <w:style w:type="character" w:customStyle="1" w:styleId="xref-sep">
    <w:name w:val="xref-sep"/>
    <w:basedOn w:val="DefaultParagraphFont"/>
    <w:rsid w:val="00B53A2D"/>
  </w:style>
  <w:style w:type="character" w:customStyle="1" w:styleId="journaltitlesp">
    <w:name w:val="journaltitlesp"/>
    <w:basedOn w:val="DefaultParagraphFont"/>
    <w:rsid w:val="00F06964"/>
  </w:style>
  <w:style w:type="character" w:customStyle="1" w:styleId="issuevolsp">
    <w:name w:val="issuevolsp"/>
    <w:basedOn w:val="DefaultParagraphFont"/>
    <w:rsid w:val="00F06964"/>
  </w:style>
  <w:style w:type="character" w:customStyle="1" w:styleId="issuenumsp">
    <w:name w:val="issuenumsp"/>
    <w:basedOn w:val="DefaultParagraphFont"/>
    <w:rsid w:val="00F06964"/>
  </w:style>
  <w:style w:type="paragraph" w:styleId="ListParagraph">
    <w:name w:val="List Paragraph"/>
    <w:basedOn w:val="Normal"/>
    <w:uiPriority w:val="34"/>
    <w:qFormat/>
    <w:rsid w:val="00E47BC1"/>
    <w:pPr>
      <w:ind w:left="720"/>
      <w:contextualSpacing/>
    </w:pPr>
    <w:rPr>
      <w:rFonts w:asciiTheme="minorHAnsi" w:hAnsiTheme="minorHAnsi"/>
      <w:sz w:val="22"/>
    </w:rPr>
  </w:style>
  <w:style w:type="character" w:customStyle="1" w:styleId="shorttext">
    <w:name w:val="short_text"/>
    <w:basedOn w:val="DefaultParagraphFont"/>
    <w:rsid w:val="00660060"/>
  </w:style>
  <w:style w:type="paragraph" w:styleId="CommentSubject">
    <w:name w:val="annotation subject"/>
    <w:basedOn w:val="CommentText"/>
    <w:next w:val="CommentText"/>
    <w:link w:val="CommentSubjectChar"/>
    <w:uiPriority w:val="99"/>
    <w:semiHidden/>
    <w:unhideWhenUsed/>
    <w:rsid w:val="001C207A"/>
    <w:pPr>
      <w:spacing w:line="240" w:lineRule="auto"/>
    </w:pPr>
    <w:rPr>
      <w:rFonts w:ascii="Times New Roman" w:eastAsiaTheme="minorHAnsi" w:hAnsi="Times New Roman" w:cstheme="minorBidi"/>
      <w:b/>
      <w:bCs/>
    </w:rPr>
  </w:style>
  <w:style w:type="character" w:customStyle="1" w:styleId="CommentSubjectChar">
    <w:name w:val="Comment Subject Char"/>
    <w:basedOn w:val="CommentTextChar"/>
    <w:link w:val="CommentSubject"/>
    <w:uiPriority w:val="99"/>
    <w:semiHidden/>
    <w:rsid w:val="001C207A"/>
    <w:rPr>
      <w:rFonts w:ascii="Times New Roman" w:eastAsia="Calibri" w:hAnsi="Times New Roman" w:cs="Times New Roman"/>
      <w:b/>
      <w:bCs/>
      <w:sz w:val="20"/>
      <w:szCs w:val="20"/>
    </w:rPr>
  </w:style>
  <w:style w:type="character" w:customStyle="1" w:styleId="gt-card-ttl-txt">
    <w:name w:val="gt-card-ttl-txt"/>
    <w:basedOn w:val="DefaultParagraphFont"/>
    <w:rsid w:val="003E7689"/>
  </w:style>
  <w:style w:type="paragraph" w:customStyle="1" w:styleId="Default">
    <w:name w:val="Default"/>
    <w:rsid w:val="007E3407"/>
    <w:pPr>
      <w:autoSpaceDE w:val="0"/>
      <w:autoSpaceDN w:val="0"/>
      <w:adjustRightInd w:val="0"/>
      <w:spacing w:after="0" w:line="240" w:lineRule="auto"/>
    </w:pPr>
    <w:rPr>
      <w:rFonts w:ascii="Times New Roman" w:hAnsi="Times New Roman" w:cs="Times New Roman"/>
      <w:color w:val="000000"/>
      <w:sz w:val="24"/>
      <w:szCs w:val="24"/>
      <w:lang w:val="fi-FI"/>
    </w:rPr>
  </w:style>
  <w:style w:type="character" w:styleId="LineNumber">
    <w:name w:val="line number"/>
    <w:basedOn w:val="DefaultParagraphFont"/>
    <w:uiPriority w:val="99"/>
    <w:semiHidden/>
    <w:unhideWhenUsed/>
    <w:rsid w:val="00BB3605"/>
  </w:style>
  <w:style w:type="paragraph" w:styleId="Header">
    <w:name w:val="header"/>
    <w:basedOn w:val="Normal"/>
    <w:link w:val="HeaderChar"/>
    <w:uiPriority w:val="99"/>
    <w:unhideWhenUsed/>
    <w:rsid w:val="008C1A3C"/>
    <w:pPr>
      <w:tabs>
        <w:tab w:val="center" w:pos="4819"/>
        <w:tab w:val="right" w:pos="9638"/>
      </w:tabs>
      <w:spacing w:after="0" w:line="240" w:lineRule="auto"/>
    </w:pPr>
  </w:style>
  <w:style w:type="character" w:customStyle="1" w:styleId="HeaderChar">
    <w:name w:val="Header Char"/>
    <w:basedOn w:val="DefaultParagraphFont"/>
    <w:link w:val="Header"/>
    <w:uiPriority w:val="99"/>
    <w:rsid w:val="008C1A3C"/>
    <w:rPr>
      <w:rFonts w:ascii="Times New Roman" w:hAnsi="Times New Roman"/>
      <w:sz w:val="24"/>
    </w:rPr>
  </w:style>
  <w:style w:type="paragraph" w:styleId="Footer">
    <w:name w:val="footer"/>
    <w:basedOn w:val="Normal"/>
    <w:link w:val="FooterChar"/>
    <w:uiPriority w:val="99"/>
    <w:unhideWhenUsed/>
    <w:rsid w:val="008C1A3C"/>
    <w:pPr>
      <w:tabs>
        <w:tab w:val="center" w:pos="4819"/>
        <w:tab w:val="right" w:pos="9638"/>
      </w:tabs>
      <w:spacing w:after="0" w:line="240" w:lineRule="auto"/>
    </w:pPr>
  </w:style>
  <w:style w:type="character" w:customStyle="1" w:styleId="FooterChar">
    <w:name w:val="Footer Char"/>
    <w:basedOn w:val="DefaultParagraphFont"/>
    <w:link w:val="Footer"/>
    <w:uiPriority w:val="99"/>
    <w:rsid w:val="008C1A3C"/>
    <w:rPr>
      <w:rFonts w:ascii="Times New Roman" w:hAnsi="Times New Roman"/>
      <w:sz w:val="24"/>
    </w:rPr>
  </w:style>
  <w:style w:type="paragraph" w:styleId="PlainText">
    <w:name w:val="Plain Text"/>
    <w:basedOn w:val="Normal"/>
    <w:link w:val="PlainTextChar"/>
    <w:uiPriority w:val="99"/>
    <w:unhideWhenUsed/>
    <w:rsid w:val="00FC58F7"/>
    <w:pPr>
      <w:spacing w:after="0" w:line="240" w:lineRule="auto"/>
    </w:pPr>
    <w:rPr>
      <w:rFonts w:ascii="Calibri" w:hAnsi="Calibri"/>
      <w:sz w:val="22"/>
      <w:szCs w:val="21"/>
      <w:lang w:val="fi-FI"/>
    </w:rPr>
  </w:style>
  <w:style w:type="character" w:customStyle="1" w:styleId="PlainTextChar">
    <w:name w:val="Plain Text Char"/>
    <w:basedOn w:val="DefaultParagraphFont"/>
    <w:link w:val="PlainText"/>
    <w:uiPriority w:val="99"/>
    <w:rsid w:val="00FC58F7"/>
    <w:rPr>
      <w:rFonts w:ascii="Calibri" w:hAnsi="Calibri"/>
      <w:szCs w:val="21"/>
      <w:lang w:val="fi-FI"/>
    </w:rPr>
  </w:style>
  <w:style w:type="paragraph" w:styleId="Revision">
    <w:name w:val="Revision"/>
    <w:hidden/>
    <w:uiPriority w:val="99"/>
    <w:semiHidden/>
    <w:rsid w:val="0036483C"/>
    <w:pPr>
      <w:spacing w:after="0" w:line="240" w:lineRule="auto"/>
    </w:pPr>
    <w:rPr>
      <w:rFonts w:ascii="Times New Roman" w:hAnsi="Times New Roman"/>
      <w:sz w:val="24"/>
    </w:rPr>
  </w:style>
  <w:style w:type="paragraph" w:styleId="FootnoteText">
    <w:name w:val="footnote text"/>
    <w:basedOn w:val="Normal"/>
    <w:link w:val="FootnoteTextChar"/>
    <w:uiPriority w:val="99"/>
    <w:semiHidden/>
    <w:unhideWhenUsed/>
    <w:rsid w:val="00CE3EE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E3EE1"/>
    <w:rPr>
      <w:rFonts w:ascii="Times New Roman" w:hAnsi="Times New Roman"/>
      <w:sz w:val="20"/>
      <w:szCs w:val="20"/>
    </w:rPr>
  </w:style>
  <w:style w:type="character" w:styleId="FootnoteReference">
    <w:name w:val="footnote reference"/>
    <w:basedOn w:val="DefaultParagraphFont"/>
    <w:uiPriority w:val="99"/>
    <w:semiHidden/>
    <w:unhideWhenUsed/>
    <w:rsid w:val="00CE3EE1"/>
    <w:rPr>
      <w:vertAlign w:val="superscript"/>
    </w:rPr>
  </w:style>
  <w:style w:type="paragraph" w:customStyle="1" w:styleId="p1">
    <w:name w:val="p1"/>
    <w:basedOn w:val="Normal"/>
    <w:uiPriority w:val="99"/>
    <w:semiHidden/>
    <w:rsid w:val="009524ED"/>
    <w:pPr>
      <w:spacing w:before="100" w:beforeAutospacing="1" w:after="100" w:afterAutospacing="1" w:line="240" w:lineRule="auto"/>
    </w:pPr>
    <w:rPr>
      <w:rFonts w:cs="Times New Roman"/>
      <w:szCs w:val="24"/>
      <w:lang w:val="fi-FI" w:eastAsia="fi-FI"/>
    </w:rPr>
  </w:style>
  <w:style w:type="character" w:customStyle="1" w:styleId="apple-converted-space">
    <w:name w:val="apple-converted-space"/>
    <w:basedOn w:val="DefaultParagraphFont"/>
    <w:rsid w:val="009524ED"/>
  </w:style>
  <w:style w:type="paragraph" w:styleId="Subtitle">
    <w:name w:val="Subtitle"/>
    <w:basedOn w:val="Normal"/>
    <w:next w:val="Normal"/>
    <w:link w:val="SubtitleChar"/>
    <w:uiPriority w:val="11"/>
    <w:qFormat/>
    <w:rsid w:val="00C93A1F"/>
    <w:pPr>
      <w:numPr>
        <w:ilvl w:val="1"/>
      </w:numPr>
      <w:spacing w:before="240" w:after="120"/>
    </w:pPr>
    <w:rPr>
      <w:rFonts w:eastAsiaTheme="minorEastAsia"/>
      <w:b/>
      <w:color w:val="000000" w:themeColor="text1"/>
      <w:spacing w:val="15"/>
    </w:rPr>
  </w:style>
  <w:style w:type="character" w:customStyle="1" w:styleId="SubtitleChar">
    <w:name w:val="Subtitle Char"/>
    <w:basedOn w:val="DefaultParagraphFont"/>
    <w:link w:val="Subtitle"/>
    <w:uiPriority w:val="11"/>
    <w:rsid w:val="00C93A1F"/>
    <w:rPr>
      <w:rFonts w:ascii="Times New Roman" w:eastAsiaTheme="minorEastAsia" w:hAnsi="Times New Roman"/>
      <w:b/>
      <w:color w:val="000000" w:themeColor="text1"/>
      <w:spacing w:val="15"/>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744110">
      <w:bodyDiv w:val="1"/>
      <w:marLeft w:val="0"/>
      <w:marRight w:val="0"/>
      <w:marTop w:val="0"/>
      <w:marBottom w:val="0"/>
      <w:divBdr>
        <w:top w:val="none" w:sz="0" w:space="0" w:color="auto"/>
        <w:left w:val="none" w:sz="0" w:space="0" w:color="auto"/>
        <w:bottom w:val="none" w:sz="0" w:space="0" w:color="auto"/>
        <w:right w:val="none" w:sz="0" w:space="0" w:color="auto"/>
      </w:divBdr>
    </w:div>
    <w:div w:id="70007509">
      <w:bodyDiv w:val="1"/>
      <w:marLeft w:val="0"/>
      <w:marRight w:val="0"/>
      <w:marTop w:val="0"/>
      <w:marBottom w:val="0"/>
      <w:divBdr>
        <w:top w:val="none" w:sz="0" w:space="0" w:color="auto"/>
        <w:left w:val="none" w:sz="0" w:space="0" w:color="auto"/>
        <w:bottom w:val="none" w:sz="0" w:space="0" w:color="auto"/>
        <w:right w:val="none" w:sz="0" w:space="0" w:color="auto"/>
      </w:divBdr>
      <w:divsChild>
        <w:div w:id="759907383">
          <w:marLeft w:val="0"/>
          <w:marRight w:val="0"/>
          <w:marTop w:val="0"/>
          <w:marBottom w:val="0"/>
          <w:divBdr>
            <w:top w:val="single" w:sz="2" w:space="0" w:color="2E2E2E"/>
            <w:left w:val="single" w:sz="2" w:space="0" w:color="2E2E2E"/>
            <w:bottom w:val="single" w:sz="2" w:space="0" w:color="2E2E2E"/>
            <w:right w:val="single" w:sz="2" w:space="0" w:color="2E2E2E"/>
          </w:divBdr>
          <w:divsChild>
            <w:div w:id="891041880">
              <w:marLeft w:val="0"/>
              <w:marRight w:val="0"/>
              <w:marTop w:val="0"/>
              <w:marBottom w:val="0"/>
              <w:divBdr>
                <w:top w:val="single" w:sz="6" w:space="0" w:color="C9C9C9"/>
                <w:left w:val="none" w:sz="0" w:space="0" w:color="auto"/>
                <w:bottom w:val="none" w:sz="0" w:space="0" w:color="auto"/>
                <w:right w:val="none" w:sz="0" w:space="0" w:color="auto"/>
              </w:divBdr>
              <w:divsChild>
                <w:div w:id="1222332333">
                  <w:marLeft w:val="0"/>
                  <w:marRight w:val="0"/>
                  <w:marTop w:val="0"/>
                  <w:marBottom w:val="0"/>
                  <w:divBdr>
                    <w:top w:val="none" w:sz="0" w:space="0" w:color="auto"/>
                    <w:left w:val="none" w:sz="0" w:space="0" w:color="auto"/>
                    <w:bottom w:val="none" w:sz="0" w:space="0" w:color="auto"/>
                    <w:right w:val="none" w:sz="0" w:space="0" w:color="auto"/>
                  </w:divBdr>
                  <w:divsChild>
                    <w:div w:id="1187014128">
                      <w:marLeft w:val="0"/>
                      <w:marRight w:val="0"/>
                      <w:marTop w:val="0"/>
                      <w:marBottom w:val="0"/>
                      <w:divBdr>
                        <w:top w:val="none" w:sz="0" w:space="0" w:color="auto"/>
                        <w:left w:val="none" w:sz="0" w:space="0" w:color="auto"/>
                        <w:bottom w:val="none" w:sz="0" w:space="0" w:color="auto"/>
                        <w:right w:val="none" w:sz="0" w:space="0" w:color="auto"/>
                      </w:divBdr>
                      <w:divsChild>
                        <w:div w:id="1474129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742532">
      <w:bodyDiv w:val="1"/>
      <w:marLeft w:val="0"/>
      <w:marRight w:val="0"/>
      <w:marTop w:val="0"/>
      <w:marBottom w:val="0"/>
      <w:divBdr>
        <w:top w:val="none" w:sz="0" w:space="0" w:color="auto"/>
        <w:left w:val="none" w:sz="0" w:space="0" w:color="auto"/>
        <w:bottom w:val="none" w:sz="0" w:space="0" w:color="auto"/>
        <w:right w:val="none" w:sz="0" w:space="0" w:color="auto"/>
      </w:divBdr>
    </w:div>
    <w:div w:id="151920049">
      <w:bodyDiv w:val="1"/>
      <w:marLeft w:val="0"/>
      <w:marRight w:val="0"/>
      <w:marTop w:val="0"/>
      <w:marBottom w:val="0"/>
      <w:divBdr>
        <w:top w:val="none" w:sz="0" w:space="0" w:color="auto"/>
        <w:left w:val="none" w:sz="0" w:space="0" w:color="auto"/>
        <w:bottom w:val="none" w:sz="0" w:space="0" w:color="auto"/>
        <w:right w:val="none" w:sz="0" w:space="0" w:color="auto"/>
      </w:divBdr>
      <w:divsChild>
        <w:div w:id="810319314">
          <w:marLeft w:val="0"/>
          <w:marRight w:val="1"/>
          <w:marTop w:val="0"/>
          <w:marBottom w:val="0"/>
          <w:divBdr>
            <w:top w:val="none" w:sz="0" w:space="0" w:color="auto"/>
            <w:left w:val="none" w:sz="0" w:space="0" w:color="auto"/>
            <w:bottom w:val="none" w:sz="0" w:space="0" w:color="auto"/>
            <w:right w:val="none" w:sz="0" w:space="0" w:color="auto"/>
          </w:divBdr>
          <w:divsChild>
            <w:div w:id="835612698">
              <w:marLeft w:val="0"/>
              <w:marRight w:val="0"/>
              <w:marTop w:val="0"/>
              <w:marBottom w:val="0"/>
              <w:divBdr>
                <w:top w:val="none" w:sz="0" w:space="0" w:color="auto"/>
                <w:left w:val="none" w:sz="0" w:space="0" w:color="auto"/>
                <w:bottom w:val="none" w:sz="0" w:space="0" w:color="auto"/>
                <w:right w:val="none" w:sz="0" w:space="0" w:color="auto"/>
              </w:divBdr>
              <w:divsChild>
                <w:div w:id="1379016984">
                  <w:marLeft w:val="0"/>
                  <w:marRight w:val="1"/>
                  <w:marTop w:val="0"/>
                  <w:marBottom w:val="0"/>
                  <w:divBdr>
                    <w:top w:val="none" w:sz="0" w:space="0" w:color="auto"/>
                    <w:left w:val="none" w:sz="0" w:space="0" w:color="auto"/>
                    <w:bottom w:val="none" w:sz="0" w:space="0" w:color="auto"/>
                    <w:right w:val="none" w:sz="0" w:space="0" w:color="auto"/>
                  </w:divBdr>
                  <w:divsChild>
                    <w:div w:id="482627879">
                      <w:marLeft w:val="0"/>
                      <w:marRight w:val="0"/>
                      <w:marTop w:val="0"/>
                      <w:marBottom w:val="0"/>
                      <w:divBdr>
                        <w:top w:val="none" w:sz="0" w:space="0" w:color="auto"/>
                        <w:left w:val="none" w:sz="0" w:space="0" w:color="auto"/>
                        <w:bottom w:val="none" w:sz="0" w:space="0" w:color="auto"/>
                        <w:right w:val="none" w:sz="0" w:space="0" w:color="auto"/>
                      </w:divBdr>
                      <w:divsChild>
                        <w:div w:id="1291127646">
                          <w:marLeft w:val="0"/>
                          <w:marRight w:val="0"/>
                          <w:marTop w:val="0"/>
                          <w:marBottom w:val="0"/>
                          <w:divBdr>
                            <w:top w:val="none" w:sz="0" w:space="0" w:color="auto"/>
                            <w:left w:val="none" w:sz="0" w:space="0" w:color="auto"/>
                            <w:bottom w:val="none" w:sz="0" w:space="0" w:color="auto"/>
                            <w:right w:val="none" w:sz="0" w:space="0" w:color="auto"/>
                          </w:divBdr>
                          <w:divsChild>
                            <w:div w:id="1220828659">
                              <w:marLeft w:val="0"/>
                              <w:marRight w:val="0"/>
                              <w:marTop w:val="120"/>
                              <w:marBottom w:val="360"/>
                              <w:divBdr>
                                <w:top w:val="none" w:sz="0" w:space="0" w:color="auto"/>
                                <w:left w:val="none" w:sz="0" w:space="0" w:color="auto"/>
                                <w:bottom w:val="none" w:sz="0" w:space="0" w:color="auto"/>
                                <w:right w:val="none" w:sz="0" w:space="0" w:color="auto"/>
                              </w:divBdr>
                              <w:divsChild>
                                <w:div w:id="1738162996">
                                  <w:marLeft w:val="0"/>
                                  <w:marRight w:val="0"/>
                                  <w:marTop w:val="0"/>
                                  <w:marBottom w:val="0"/>
                                  <w:divBdr>
                                    <w:top w:val="none" w:sz="0" w:space="0" w:color="auto"/>
                                    <w:left w:val="none" w:sz="0" w:space="0" w:color="auto"/>
                                    <w:bottom w:val="none" w:sz="0" w:space="0" w:color="auto"/>
                                    <w:right w:val="none" w:sz="0" w:space="0" w:color="auto"/>
                                  </w:divBdr>
                                  <w:divsChild>
                                    <w:div w:id="1592279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69550633">
      <w:bodyDiv w:val="1"/>
      <w:marLeft w:val="0"/>
      <w:marRight w:val="0"/>
      <w:marTop w:val="0"/>
      <w:marBottom w:val="0"/>
      <w:divBdr>
        <w:top w:val="none" w:sz="0" w:space="0" w:color="auto"/>
        <w:left w:val="none" w:sz="0" w:space="0" w:color="auto"/>
        <w:bottom w:val="none" w:sz="0" w:space="0" w:color="auto"/>
        <w:right w:val="none" w:sz="0" w:space="0" w:color="auto"/>
      </w:divBdr>
    </w:div>
    <w:div w:id="271281216">
      <w:bodyDiv w:val="1"/>
      <w:marLeft w:val="0"/>
      <w:marRight w:val="0"/>
      <w:marTop w:val="0"/>
      <w:marBottom w:val="0"/>
      <w:divBdr>
        <w:top w:val="none" w:sz="0" w:space="0" w:color="auto"/>
        <w:left w:val="none" w:sz="0" w:space="0" w:color="auto"/>
        <w:bottom w:val="none" w:sz="0" w:space="0" w:color="auto"/>
        <w:right w:val="none" w:sz="0" w:space="0" w:color="auto"/>
      </w:divBdr>
    </w:div>
    <w:div w:id="476803716">
      <w:bodyDiv w:val="1"/>
      <w:marLeft w:val="0"/>
      <w:marRight w:val="0"/>
      <w:marTop w:val="0"/>
      <w:marBottom w:val="0"/>
      <w:divBdr>
        <w:top w:val="none" w:sz="0" w:space="0" w:color="auto"/>
        <w:left w:val="none" w:sz="0" w:space="0" w:color="auto"/>
        <w:bottom w:val="none" w:sz="0" w:space="0" w:color="auto"/>
        <w:right w:val="none" w:sz="0" w:space="0" w:color="auto"/>
      </w:divBdr>
      <w:divsChild>
        <w:div w:id="38751068">
          <w:marLeft w:val="0"/>
          <w:marRight w:val="0"/>
          <w:marTop w:val="0"/>
          <w:marBottom w:val="0"/>
          <w:divBdr>
            <w:top w:val="none" w:sz="0" w:space="0" w:color="auto"/>
            <w:left w:val="none" w:sz="0" w:space="0" w:color="auto"/>
            <w:bottom w:val="none" w:sz="0" w:space="0" w:color="auto"/>
            <w:right w:val="none" w:sz="0" w:space="0" w:color="auto"/>
          </w:divBdr>
        </w:div>
        <w:div w:id="651720146">
          <w:marLeft w:val="0"/>
          <w:marRight w:val="0"/>
          <w:marTop w:val="0"/>
          <w:marBottom w:val="0"/>
          <w:divBdr>
            <w:top w:val="none" w:sz="0" w:space="0" w:color="auto"/>
            <w:left w:val="none" w:sz="0" w:space="0" w:color="auto"/>
            <w:bottom w:val="none" w:sz="0" w:space="0" w:color="auto"/>
            <w:right w:val="none" w:sz="0" w:space="0" w:color="auto"/>
          </w:divBdr>
        </w:div>
      </w:divsChild>
    </w:div>
    <w:div w:id="530846188">
      <w:bodyDiv w:val="1"/>
      <w:marLeft w:val="0"/>
      <w:marRight w:val="0"/>
      <w:marTop w:val="0"/>
      <w:marBottom w:val="0"/>
      <w:divBdr>
        <w:top w:val="none" w:sz="0" w:space="0" w:color="auto"/>
        <w:left w:val="none" w:sz="0" w:space="0" w:color="auto"/>
        <w:bottom w:val="none" w:sz="0" w:space="0" w:color="auto"/>
        <w:right w:val="none" w:sz="0" w:space="0" w:color="auto"/>
      </w:divBdr>
      <w:divsChild>
        <w:div w:id="222645444">
          <w:marLeft w:val="0"/>
          <w:marRight w:val="1"/>
          <w:marTop w:val="0"/>
          <w:marBottom w:val="0"/>
          <w:divBdr>
            <w:top w:val="none" w:sz="0" w:space="0" w:color="auto"/>
            <w:left w:val="none" w:sz="0" w:space="0" w:color="auto"/>
            <w:bottom w:val="none" w:sz="0" w:space="0" w:color="auto"/>
            <w:right w:val="none" w:sz="0" w:space="0" w:color="auto"/>
          </w:divBdr>
          <w:divsChild>
            <w:div w:id="1361665304">
              <w:marLeft w:val="0"/>
              <w:marRight w:val="0"/>
              <w:marTop w:val="0"/>
              <w:marBottom w:val="0"/>
              <w:divBdr>
                <w:top w:val="none" w:sz="0" w:space="0" w:color="auto"/>
                <w:left w:val="none" w:sz="0" w:space="0" w:color="auto"/>
                <w:bottom w:val="none" w:sz="0" w:space="0" w:color="auto"/>
                <w:right w:val="none" w:sz="0" w:space="0" w:color="auto"/>
              </w:divBdr>
              <w:divsChild>
                <w:div w:id="2086878735">
                  <w:marLeft w:val="0"/>
                  <w:marRight w:val="1"/>
                  <w:marTop w:val="0"/>
                  <w:marBottom w:val="0"/>
                  <w:divBdr>
                    <w:top w:val="none" w:sz="0" w:space="0" w:color="auto"/>
                    <w:left w:val="none" w:sz="0" w:space="0" w:color="auto"/>
                    <w:bottom w:val="none" w:sz="0" w:space="0" w:color="auto"/>
                    <w:right w:val="none" w:sz="0" w:space="0" w:color="auto"/>
                  </w:divBdr>
                  <w:divsChild>
                    <w:div w:id="1205211664">
                      <w:marLeft w:val="0"/>
                      <w:marRight w:val="0"/>
                      <w:marTop w:val="0"/>
                      <w:marBottom w:val="0"/>
                      <w:divBdr>
                        <w:top w:val="none" w:sz="0" w:space="0" w:color="auto"/>
                        <w:left w:val="none" w:sz="0" w:space="0" w:color="auto"/>
                        <w:bottom w:val="none" w:sz="0" w:space="0" w:color="auto"/>
                        <w:right w:val="none" w:sz="0" w:space="0" w:color="auto"/>
                      </w:divBdr>
                      <w:divsChild>
                        <w:div w:id="1135102202">
                          <w:marLeft w:val="0"/>
                          <w:marRight w:val="0"/>
                          <w:marTop w:val="0"/>
                          <w:marBottom w:val="0"/>
                          <w:divBdr>
                            <w:top w:val="none" w:sz="0" w:space="0" w:color="auto"/>
                            <w:left w:val="none" w:sz="0" w:space="0" w:color="auto"/>
                            <w:bottom w:val="none" w:sz="0" w:space="0" w:color="auto"/>
                            <w:right w:val="none" w:sz="0" w:space="0" w:color="auto"/>
                          </w:divBdr>
                          <w:divsChild>
                            <w:div w:id="1138843136">
                              <w:marLeft w:val="0"/>
                              <w:marRight w:val="0"/>
                              <w:marTop w:val="120"/>
                              <w:marBottom w:val="360"/>
                              <w:divBdr>
                                <w:top w:val="none" w:sz="0" w:space="0" w:color="auto"/>
                                <w:left w:val="none" w:sz="0" w:space="0" w:color="auto"/>
                                <w:bottom w:val="none" w:sz="0" w:space="0" w:color="auto"/>
                                <w:right w:val="none" w:sz="0" w:space="0" w:color="auto"/>
                              </w:divBdr>
                              <w:divsChild>
                                <w:div w:id="925188859">
                                  <w:marLeft w:val="0"/>
                                  <w:marRight w:val="0"/>
                                  <w:marTop w:val="0"/>
                                  <w:marBottom w:val="0"/>
                                  <w:divBdr>
                                    <w:top w:val="none" w:sz="0" w:space="0" w:color="auto"/>
                                    <w:left w:val="none" w:sz="0" w:space="0" w:color="auto"/>
                                    <w:bottom w:val="none" w:sz="0" w:space="0" w:color="auto"/>
                                    <w:right w:val="none" w:sz="0" w:space="0" w:color="auto"/>
                                  </w:divBdr>
                                </w:div>
                                <w:div w:id="2033609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21615778">
      <w:bodyDiv w:val="1"/>
      <w:marLeft w:val="0"/>
      <w:marRight w:val="0"/>
      <w:marTop w:val="0"/>
      <w:marBottom w:val="0"/>
      <w:divBdr>
        <w:top w:val="none" w:sz="0" w:space="0" w:color="auto"/>
        <w:left w:val="none" w:sz="0" w:space="0" w:color="auto"/>
        <w:bottom w:val="none" w:sz="0" w:space="0" w:color="auto"/>
        <w:right w:val="none" w:sz="0" w:space="0" w:color="auto"/>
      </w:divBdr>
    </w:div>
    <w:div w:id="737627565">
      <w:bodyDiv w:val="1"/>
      <w:marLeft w:val="0"/>
      <w:marRight w:val="0"/>
      <w:marTop w:val="0"/>
      <w:marBottom w:val="0"/>
      <w:divBdr>
        <w:top w:val="none" w:sz="0" w:space="0" w:color="auto"/>
        <w:left w:val="none" w:sz="0" w:space="0" w:color="auto"/>
        <w:bottom w:val="none" w:sz="0" w:space="0" w:color="auto"/>
        <w:right w:val="none" w:sz="0" w:space="0" w:color="auto"/>
      </w:divBdr>
      <w:divsChild>
        <w:div w:id="417218569">
          <w:marLeft w:val="0"/>
          <w:marRight w:val="0"/>
          <w:marTop w:val="0"/>
          <w:marBottom w:val="0"/>
          <w:divBdr>
            <w:top w:val="none" w:sz="0" w:space="0" w:color="auto"/>
            <w:left w:val="none" w:sz="0" w:space="0" w:color="auto"/>
            <w:bottom w:val="none" w:sz="0" w:space="0" w:color="auto"/>
            <w:right w:val="none" w:sz="0" w:space="0" w:color="auto"/>
          </w:divBdr>
        </w:div>
        <w:div w:id="734857792">
          <w:marLeft w:val="0"/>
          <w:marRight w:val="0"/>
          <w:marTop w:val="0"/>
          <w:marBottom w:val="0"/>
          <w:divBdr>
            <w:top w:val="none" w:sz="0" w:space="0" w:color="auto"/>
            <w:left w:val="none" w:sz="0" w:space="0" w:color="auto"/>
            <w:bottom w:val="none" w:sz="0" w:space="0" w:color="auto"/>
            <w:right w:val="none" w:sz="0" w:space="0" w:color="auto"/>
          </w:divBdr>
        </w:div>
        <w:div w:id="1819103572">
          <w:marLeft w:val="0"/>
          <w:marRight w:val="0"/>
          <w:marTop w:val="0"/>
          <w:marBottom w:val="0"/>
          <w:divBdr>
            <w:top w:val="none" w:sz="0" w:space="0" w:color="auto"/>
            <w:left w:val="none" w:sz="0" w:space="0" w:color="auto"/>
            <w:bottom w:val="none" w:sz="0" w:space="0" w:color="auto"/>
            <w:right w:val="none" w:sz="0" w:space="0" w:color="auto"/>
          </w:divBdr>
          <w:divsChild>
            <w:div w:id="1295987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6803750">
      <w:bodyDiv w:val="1"/>
      <w:marLeft w:val="0"/>
      <w:marRight w:val="0"/>
      <w:marTop w:val="0"/>
      <w:marBottom w:val="0"/>
      <w:divBdr>
        <w:top w:val="none" w:sz="0" w:space="0" w:color="auto"/>
        <w:left w:val="none" w:sz="0" w:space="0" w:color="auto"/>
        <w:bottom w:val="none" w:sz="0" w:space="0" w:color="auto"/>
        <w:right w:val="none" w:sz="0" w:space="0" w:color="auto"/>
      </w:divBdr>
    </w:div>
    <w:div w:id="886067969">
      <w:bodyDiv w:val="1"/>
      <w:marLeft w:val="0"/>
      <w:marRight w:val="0"/>
      <w:marTop w:val="0"/>
      <w:marBottom w:val="0"/>
      <w:divBdr>
        <w:top w:val="none" w:sz="0" w:space="0" w:color="auto"/>
        <w:left w:val="none" w:sz="0" w:space="0" w:color="auto"/>
        <w:bottom w:val="none" w:sz="0" w:space="0" w:color="auto"/>
        <w:right w:val="none" w:sz="0" w:space="0" w:color="auto"/>
      </w:divBdr>
      <w:divsChild>
        <w:div w:id="399789990">
          <w:marLeft w:val="0"/>
          <w:marRight w:val="1"/>
          <w:marTop w:val="0"/>
          <w:marBottom w:val="0"/>
          <w:divBdr>
            <w:top w:val="none" w:sz="0" w:space="0" w:color="auto"/>
            <w:left w:val="none" w:sz="0" w:space="0" w:color="auto"/>
            <w:bottom w:val="none" w:sz="0" w:space="0" w:color="auto"/>
            <w:right w:val="none" w:sz="0" w:space="0" w:color="auto"/>
          </w:divBdr>
          <w:divsChild>
            <w:div w:id="1045107634">
              <w:marLeft w:val="0"/>
              <w:marRight w:val="0"/>
              <w:marTop w:val="0"/>
              <w:marBottom w:val="0"/>
              <w:divBdr>
                <w:top w:val="none" w:sz="0" w:space="0" w:color="auto"/>
                <w:left w:val="none" w:sz="0" w:space="0" w:color="auto"/>
                <w:bottom w:val="none" w:sz="0" w:space="0" w:color="auto"/>
                <w:right w:val="none" w:sz="0" w:space="0" w:color="auto"/>
              </w:divBdr>
              <w:divsChild>
                <w:div w:id="1515533467">
                  <w:marLeft w:val="0"/>
                  <w:marRight w:val="1"/>
                  <w:marTop w:val="0"/>
                  <w:marBottom w:val="0"/>
                  <w:divBdr>
                    <w:top w:val="none" w:sz="0" w:space="0" w:color="auto"/>
                    <w:left w:val="none" w:sz="0" w:space="0" w:color="auto"/>
                    <w:bottom w:val="none" w:sz="0" w:space="0" w:color="auto"/>
                    <w:right w:val="none" w:sz="0" w:space="0" w:color="auto"/>
                  </w:divBdr>
                  <w:divsChild>
                    <w:div w:id="513765616">
                      <w:marLeft w:val="0"/>
                      <w:marRight w:val="0"/>
                      <w:marTop w:val="0"/>
                      <w:marBottom w:val="0"/>
                      <w:divBdr>
                        <w:top w:val="none" w:sz="0" w:space="0" w:color="auto"/>
                        <w:left w:val="none" w:sz="0" w:space="0" w:color="auto"/>
                        <w:bottom w:val="none" w:sz="0" w:space="0" w:color="auto"/>
                        <w:right w:val="none" w:sz="0" w:space="0" w:color="auto"/>
                      </w:divBdr>
                      <w:divsChild>
                        <w:div w:id="194123925">
                          <w:marLeft w:val="0"/>
                          <w:marRight w:val="0"/>
                          <w:marTop w:val="0"/>
                          <w:marBottom w:val="0"/>
                          <w:divBdr>
                            <w:top w:val="none" w:sz="0" w:space="0" w:color="auto"/>
                            <w:left w:val="none" w:sz="0" w:space="0" w:color="auto"/>
                            <w:bottom w:val="none" w:sz="0" w:space="0" w:color="auto"/>
                            <w:right w:val="none" w:sz="0" w:space="0" w:color="auto"/>
                          </w:divBdr>
                          <w:divsChild>
                            <w:div w:id="854270562">
                              <w:marLeft w:val="0"/>
                              <w:marRight w:val="0"/>
                              <w:marTop w:val="120"/>
                              <w:marBottom w:val="360"/>
                              <w:divBdr>
                                <w:top w:val="none" w:sz="0" w:space="0" w:color="auto"/>
                                <w:left w:val="none" w:sz="0" w:space="0" w:color="auto"/>
                                <w:bottom w:val="none" w:sz="0" w:space="0" w:color="auto"/>
                                <w:right w:val="none" w:sz="0" w:space="0" w:color="auto"/>
                              </w:divBdr>
                              <w:divsChild>
                                <w:div w:id="327291806">
                                  <w:marLeft w:val="0"/>
                                  <w:marRight w:val="0"/>
                                  <w:marTop w:val="0"/>
                                  <w:marBottom w:val="0"/>
                                  <w:divBdr>
                                    <w:top w:val="none" w:sz="0" w:space="0" w:color="auto"/>
                                    <w:left w:val="none" w:sz="0" w:space="0" w:color="auto"/>
                                    <w:bottom w:val="none" w:sz="0" w:space="0" w:color="auto"/>
                                    <w:right w:val="none" w:sz="0" w:space="0" w:color="auto"/>
                                  </w:divBdr>
                                  <w:divsChild>
                                    <w:div w:id="323094362">
                                      <w:marLeft w:val="0"/>
                                      <w:marRight w:val="0"/>
                                      <w:marTop w:val="0"/>
                                      <w:marBottom w:val="0"/>
                                      <w:divBdr>
                                        <w:top w:val="none" w:sz="0" w:space="0" w:color="auto"/>
                                        <w:left w:val="none" w:sz="0" w:space="0" w:color="auto"/>
                                        <w:bottom w:val="none" w:sz="0" w:space="0" w:color="auto"/>
                                        <w:right w:val="none" w:sz="0" w:space="0" w:color="auto"/>
                                      </w:divBdr>
                                    </w:div>
                                  </w:divsChild>
                                </w:div>
                                <w:div w:id="539589612">
                                  <w:marLeft w:val="0"/>
                                  <w:marRight w:val="0"/>
                                  <w:marTop w:val="0"/>
                                  <w:marBottom w:val="0"/>
                                  <w:divBdr>
                                    <w:top w:val="none" w:sz="0" w:space="0" w:color="auto"/>
                                    <w:left w:val="none" w:sz="0" w:space="0" w:color="auto"/>
                                    <w:bottom w:val="none" w:sz="0" w:space="0" w:color="auto"/>
                                    <w:right w:val="none" w:sz="0" w:space="0" w:color="auto"/>
                                  </w:divBdr>
                                </w:div>
                                <w:div w:id="925990601">
                                  <w:marLeft w:val="0"/>
                                  <w:marRight w:val="0"/>
                                  <w:marTop w:val="0"/>
                                  <w:marBottom w:val="0"/>
                                  <w:divBdr>
                                    <w:top w:val="none" w:sz="0" w:space="0" w:color="auto"/>
                                    <w:left w:val="none" w:sz="0" w:space="0" w:color="auto"/>
                                    <w:bottom w:val="none" w:sz="0" w:space="0" w:color="auto"/>
                                    <w:right w:val="none" w:sz="0" w:space="0" w:color="auto"/>
                                  </w:divBdr>
                                </w:div>
                                <w:div w:id="1071930782">
                                  <w:marLeft w:val="0"/>
                                  <w:marRight w:val="0"/>
                                  <w:marTop w:val="0"/>
                                  <w:marBottom w:val="0"/>
                                  <w:divBdr>
                                    <w:top w:val="none" w:sz="0" w:space="0" w:color="auto"/>
                                    <w:left w:val="none" w:sz="0" w:space="0" w:color="auto"/>
                                    <w:bottom w:val="none" w:sz="0" w:space="0" w:color="auto"/>
                                    <w:right w:val="none" w:sz="0" w:space="0" w:color="auto"/>
                                  </w:divBdr>
                                  <w:divsChild>
                                    <w:div w:id="575896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7266223">
                          <w:marLeft w:val="0"/>
                          <w:marRight w:val="0"/>
                          <w:marTop w:val="0"/>
                          <w:marBottom w:val="0"/>
                          <w:divBdr>
                            <w:top w:val="none" w:sz="0" w:space="0" w:color="auto"/>
                            <w:left w:val="none" w:sz="0" w:space="0" w:color="auto"/>
                            <w:bottom w:val="none" w:sz="0" w:space="0" w:color="auto"/>
                            <w:right w:val="none" w:sz="0" w:space="0" w:color="auto"/>
                          </w:divBdr>
                          <w:divsChild>
                            <w:div w:id="809715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3928773">
      <w:bodyDiv w:val="1"/>
      <w:marLeft w:val="0"/>
      <w:marRight w:val="0"/>
      <w:marTop w:val="0"/>
      <w:marBottom w:val="0"/>
      <w:divBdr>
        <w:top w:val="none" w:sz="0" w:space="0" w:color="auto"/>
        <w:left w:val="none" w:sz="0" w:space="0" w:color="auto"/>
        <w:bottom w:val="none" w:sz="0" w:space="0" w:color="auto"/>
        <w:right w:val="none" w:sz="0" w:space="0" w:color="auto"/>
      </w:divBdr>
      <w:divsChild>
        <w:div w:id="505439234">
          <w:marLeft w:val="0"/>
          <w:marRight w:val="0"/>
          <w:marTop w:val="0"/>
          <w:marBottom w:val="0"/>
          <w:divBdr>
            <w:top w:val="none" w:sz="0" w:space="0" w:color="auto"/>
            <w:left w:val="none" w:sz="0" w:space="0" w:color="auto"/>
            <w:bottom w:val="none" w:sz="0" w:space="0" w:color="auto"/>
            <w:right w:val="none" w:sz="0" w:space="0" w:color="auto"/>
          </w:divBdr>
          <w:divsChild>
            <w:div w:id="1512597545">
              <w:marLeft w:val="0"/>
              <w:marRight w:val="0"/>
              <w:marTop w:val="0"/>
              <w:marBottom w:val="0"/>
              <w:divBdr>
                <w:top w:val="none" w:sz="0" w:space="0" w:color="auto"/>
                <w:left w:val="none" w:sz="0" w:space="0" w:color="auto"/>
                <w:bottom w:val="none" w:sz="0" w:space="0" w:color="auto"/>
                <w:right w:val="none" w:sz="0" w:space="0" w:color="auto"/>
              </w:divBdr>
              <w:divsChild>
                <w:div w:id="5787736">
                  <w:marLeft w:val="0"/>
                  <w:marRight w:val="0"/>
                  <w:marTop w:val="0"/>
                  <w:marBottom w:val="0"/>
                  <w:divBdr>
                    <w:top w:val="none" w:sz="0" w:space="0" w:color="auto"/>
                    <w:left w:val="none" w:sz="0" w:space="0" w:color="auto"/>
                    <w:bottom w:val="none" w:sz="0" w:space="0" w:color="auto"/>
                    <w:right w:val="none" w:sz="0" w:space="0" w:color="auto"/>
                  </w:divBdr>
                  <w:divsChild>
                    <w:div w:id="1107772064">
                      <w:marLeft w:val="0"/>
                      <w:marRight w:val="0"/>
                      <w:marTop w:val="0"/>
                      <w:marBottom w:val="0"/>
                      <w:divBdr>
                        <w:top w:val="none" w:sz="0" w:space="0" w:color="auto"/>
                        <w:left w:val="none" w:sz="0" w:space="0" w:color="auto"/>
                        <w:bottom w:val="none" w:sz="0" w:space="0" w:color="auto"/>
                        <w:right w:val="none" w:sz="0" w:space="0" w:color="auto"/>
                      </w:divBdr>
                      <w:divsChild>
                        <w:div w:id="757409476">
                          <w:marLeft w:val="0"/>
                          <w:marRight w:val="0"/>
                          <w:marTop w:val="0"/>
                          <w:marBottom w:val="0"/>
                          <w:divBdr>
                            <w:top w:val="none" w:sz="0" w:space="0" w:color="auto"/>
                            <w:left w:val="none" w:sz="0" w:space="0" w:color="auto"/>
                            <w:bottom w:val="none" w:sz="0" w:space="0" w:color="auto"/>
                            <w:right w:val="none" w:sz="0" w:space="0" w:color="auto"/>
                          </w:divBdr>
                          <w:divsChild>
                            <w:div w:id="208341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0955947">
      <w:bodyDiv w:val="1"/>
      <w:marLeft w:val="0"/>
      <w:marRight w:val="0"/>
      <w:marTop w:val="0"/>
      <w:marBottom w:val="0"/>
      <w:divBdr>
        <w:top w:val="none" w:sz="0" w:space="0" w:color="auto"/>
        <w:left w:val="none" w:sz="0" w:space="0" w:color="auto"/>
        <w:bottom w:val="none" w:sz="0" w:space="0" w:color="auto"/>
        <w:right w:val="none" w:sz="0" w:space="0" w:color="auto"/>
      </w:divBdr>
    </w:div>
    <w:div w:id="1160922415">
      <w:bodyDiv w:val="1"/>
      <w:marLeft w:val="0"/>
      <w:marRight w:val="0"/>
      <w:marTop w:val="0"/>
      <w:marBottom w:val="0"/>
      <w:divBdr>
        <w:top w:val="none" w:sz="0" w:space="0" w:color="auto"/>
        <w:left w:val="none" w:sz="0" w:space="0" w:color="auto"/>
        <w:bottom w:val="none" w:sz="0" w:space="0" w:color="auto"/>
        <w:right w:val="none" w:sz="0" w:space="0" w:color="auto"/>
      </w:divBdr>
    </w:div>
    <w:div w:id="1164738430">
      <w:bodyDiv w:val="1"/>
      <w:marLeft w:val="0"/>
      <w:marRight w:val="0"/>
      <w:marTop w:val="0"/>
      <w:marBottom w:val="0"/>
      <w:divBdr>
        <w:top w:val="none" w:sz="0" w:space="0" w:color="auto"/>
        <w:left w:val="none" w:sz="0" w:space="0" w:color="auto"/>
        <w:bottom w:val="none" w:sz="0" w:space="0" w:color="auto"/>
        <w:right w:val="none" w:sz="0" w:space="0" w:color="auto"/>
      </w:divBdr>
    </w:div>
    <w:div w:id="1245338989">
      <w:bodyDiv w:val="1"/>
      <w:marLeft w:val="0"/>
      <w:marRight w:val="0"/>
      <w:marTop w:val="0"/>
      <w:marBottom w:val="0"/>
      <w:divBdr>
        <w:top w:val="none" w:sz="0" w:space="0" w:color="auto"/>
        <w:left w:val="none" w:sz="0" w:space="0" w:color="auto"/>
        <w:bottom w:val="none" w:sz="0" w:space="0" w:color="auto"/>
        <w:right w:val="none" w:sz="0" w:space="0" w:color="auto"/>
      </w:divBdr>
    </w:div>
    <w:div w:id="1278246892">
      <w:bodyDiv w:val="1"/>
      <w:marLeft w:val="0"/>
      <w:marRight w:val="0"/>
      <w:marTop w:val="0"/>
      <w:marBottom w:val="0"/>
      <w:divBdr>
        <w:top w:val="none" w:sz="0" w:space="0" w:color="auto"/>
        <w:left w:val="none" w:sz="0" w:space="0" w:color="auto"/>
        <w:bottom w:val="none" w:sz="0" w:space="0" w:color="auto"/>
        <w:right w:val="none" w:sz="0" w:space="0" w:color="auto"/>
      </w:divBdr>
      <w:divsChild>
        <w:div w:id="1510833223">
          <w:marLeft w:val="0"/>
          <w:marRight w:val="0"/>
          <w:marTop w:val="0"/>
          <w:marBottom w:val="0"/>
          <w:divBdr>
            <w:top w:val="none" w:sz="0" w:space="0" w:color="auto"/>
            <w:left w:val="none" w:sz="0" w:space="0" w:color="auto"/>
            <w:bottom w:val="none" w:sz="0" w:space="0" w:color="auto"/>
            <w:right w:val="none" w:sz="0" w:space="0" w:color="auto"/>
          </w:divBdr>
          <w:divsChild>
            <w:div w:id="557521160">
              <w:marLeft w:val="0"/>
              <w:marRight w:val="0"/>
              <w:marTop w:val="0"/>
              <w:marBottom w:val="0"/>
              <w:divBdr>
                <w:top w:val="none" w:sz="0" w:space="0" w:color="auto"/>
                <w:left w:val="none" w:sz="0" w:space="0" w:color="auto"/>
                <w:bottom w:val="none" w:sz="0" w:space="0" w:color="auto"/>
                <w:right w:val="none" w:sz="0" w:space="0" w:color="auto"/>
              </w:divBdr>
              <w:divsChild>
                <w:div w:id="1368679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8284105">
      <w:bodyDiv w:val="1"/>
      <w:marLeft w:val="0"/>
      <w:marRight w:val="0"/>
      <w:marTop w:val="0"/>
      <w:marBottom w:val="0"/>
      <w:divBdr>
        <w:top w:val="none" w:sz="0" w:space="0" w:color="auto"/>
        <w:left w:val="none" w:sz="0" w:space="0" w:color="auto"/>
        <w:bottom w:val="none" w:sz="0" w:space="0" w:color="auto"/>
        <w:right w:val="none" w:sz="0" w:space="0" w:color="auto"/>
      </w:divBdr>
      <w:divsChild>
        <w:div w:id="1086152476">
          <w:marLeft w:val="0"/>
          <w:marRight w:val="1"/>
          <w:marTop w:val="0"/>
          <w:marBottom w:val="0"/>
          <w:divBdr>
            <w:top w:val="none" w:sz="0" w:space="0" w:color="auto"/>
            <w:left w:val="none" w:sz="0" w:space="0" w:color="auto"/>
            <w:bottom w:val="none" w:sz="0" w:space="0" w:color="auto"/>
            <w:right w:val="none" w:sz="0" w:space="0" w:color="auto"/>
          </w:divBdr>
          <w:divsChild>
            <w:div w:id="820316616">
              <w:marLeft w:val="0"/>
              <w:marRight w:val="0"/>
              <w:marTop w:val="0"/>
              <w:marBottom w:val="0"/>
              <w:divBdr>
                <w:top w:val="none" w:sz="0" w:space="0" w:color="auto"/>
                <w:left w:val="none" w:sz="0" w:space="0" w:color="auto"/>
                <w:bottom w:val="none" w:sz="0" w:space="0" w:color="auto"/>
                <w:right w:val="none" w:sz="0" w:space="0" w:color="auto"/>
              </w:divBdr>
              <w:divsChild>
                <w:div w:id="1401639469">
                  <w:marLeft w:val="0"/>
                  <w:marRight w:val="1"/>
                  <w:marTop w:val="0"/>
                  <w:marBottom w:val="0"/>
                  <w:divBdr>
                    <w:top w:val="none" w:sz="0" w:space="0" w:color="auto"/>
                    <w:left w:val="none" w:sz="0" w:space="0" w:color="auto"/>
                    <w:bottom w:val="none" w:sz="0" w:space="0" w:color="auto"/>
                    <w:right w:val="none" w:sz="0" w:space="0" w:color="auto"/>
                  </w:divBdr>
                  <w:divsChild>
                    <w:div w:id="734276056">
                      <w:marLeft w:val="0"/>
                      <w:marRight w:val="0"/>
                      <w:marTop w:val="0"/>
                      <w:marBottom w:val="0"/>
                      <w:divBdr>
                        <w:top w:val="none" w:sz="0" w:space="0" w:color="auto"/>
                        <w:left w:val="none" w:sz="0" w:space="0" w:color="auto"/>
                        <w:bottom w:val="none" w:sz="0" w:space="0" w:color="auto"/>
                        <w:right w:val="none" w:sz="0" w:space="0" w:color="auto"/>
                      </w:divBdr>
                      <w:divsChild>
                        <w:div w:id="1387603712">
                          <w:marLeft w:val="0"/>
                          <w:marRight w:val="0"/>
                          <w:marTop w:val="0"/>
                          <w:marBottom w:val="0"/>
                          <w:divBdr>
                            <w:top w:val="none" w:sz="0" w:space="0" w:color="auto"/>
                            <w:left w:val="none" w:sz="0" w:space="0" w:color="auto"/>
                            <w:bottom w:val="none" w:sz="0" w:space="0" w:color="auto"/>
                            <w:right w:val="none" w:sz="0" w:space="0" w:color="auto"/>
                          </w:divBdr>
                          <w:divsChild>
                            <w:div w:id="1970041776">
                              <w:marLeft w:val="0"/>
                              <w:marRight w:val="0"/>
                              <w:marTop w:val="120"/>
                              <w:marBottom w:val="360"/>
                              <w:divBdr>
                                <w:top w:val="none" w:sz="0" w:space="0" w:color="auto"/>
                                <w:left w:val="none" w:sz="0" w:space="0" w:color="auto"/>
                                <w:bottom w:val="none" w:sz="0" w:space="0" w:color="auto"/>
                                <w:right w:val="none" w:sz="0" w:space="0" w:color="auto"/>
                              </w:divBdr>
                              <w:divsChild>
                                <w:div w:id="1159420434">
                                  <w:marLeft w:val="0"/>
                                  <w:marRight w:val="0"/>
                                  <w:marTop w:val="0"/>
                                  <w:marBottom w:val="0"/>
                                  <w:divBdr>
                                    <w:top w:val="none" w:sz="0" w:space="0" w:color="auto"/>
                                    <w:left w:val="none" w:sz="0" w:space="0" w:color="auto"/>
                                    <w:bottom w:val="none" w:sz="0" w:space="0" w:color="auto"/>
                                    <w:right w:val="none" w:sz="0" w:space="0" w:color="auto"/>
                                  </w:divBdr>
                                  <w:divsChild>
                                    <w:div w:id="201524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29421800">
      <w:bodyDiv w:val="1"/>
      <w:marLeft w:val="0"/>
      <w:marRight w:val="0"/>
      <w:marTop w:val="0"/>
      <w:marBottom w:val="0"/>
      <w:divBdr>
        <w:top w:val="none" w:sz="0" w:space="0" w:color="auto"/>
        <w:left w:val="none" w:sz="0" w:space="0" w:color="auto"/>
        <w:bottom w:val="none" w:sz="0" w:space="0" w:color="auto"/>
        <w:right w:val="none" w:sz="0" w:space="0" w:color="auto"/>
      </w:divBdr>
      <w:divsChild>
        <w:div w:id="118257007">
          <w:marLeft w:val="0"/>
          <w:marRight w:val="0"/>
          <w:marTop w:val="0"/>
          <w:marBottom w:val="0"/>
          <w:divBdr>
            <w:top w:val="none" w:sz="0" w:space="0" w:color="auto"/>
            <w:left w:val="none" w:sz="0" w:space="0" w:color="auto"/>
            <w:bottom w:val="none" w:sz="0" w:space="0" w:color="auto"/>
            <w:right w:val="none" w:sz="0" w:space="0" w:color="auto"/>
          </w:divBdr>
          <w:divsChild>
            <w:div w:id="436607751">
              <w:marLeft w:val="0"/>
              <w:marRight w:val="0"/>
              <w:marTop w:val="0"/>
              <w:marBottom w:val="0"/>
              <w:divBdr>
                <w:top w:val="none" w:sz="0" w:space="0" w:color="auto"/>
                <w:left w:val="none" w:sz="0" w:space="0" w:color="auto"/>
                <w:bottom w:val="none" w:sz="0" w:space="0" w:color="auto"/>
                <w:right w:val="none" w:sz="0" w:space="0" w:color="auto"/>
              </w:divBdr>
            </w:div>
            <w:div w:id="1792820387">
              <w:marLeft w:val="0"/>
              <w:marRight w:val="0"/>
              <w:marTop w:val="0"/>
              <w:marBottom w:val="0"/>
              <w:divBdr>
                <w:top w:val="none" w:sz="0" w:space="0" w:color="auto"/>
                <w:left w:val="none" w:sz="0" w:space="0" w:color="auto"/>
                <w:bottom w:val="none" w:sz="0" w:space="0" w:color="auto"/>
                <w:right w:val="none" w:sz="0" w:space="0" w:color="auto"/>
              </w:divBdr>
            </w:div>
            <w:div w:id="1940134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4387075">
      <w:bodyDiv w:val="1"/>
      <w:marLeft w:val="0"/>
      <w:marRight w:val="0"/>
      <w:marTop w:val="0"/>
      <w:marBottom w:val="0"/>
      <w:divBdr>
        <w:top w:val="none" w:sz="0" w:space="0" w:color="auto"/>
        <w:left w:val="none" w:sz="0" w:space="0" w:color="auto"/>
        <w:bottom w:val="none" w:sz="0" w:space="0" w:color="auto"/>
        <w:right w:val="none" w:sz="0" w:space="0" w:color="auto"/>
      </w:divBdr>
      <w:divsChild>
        <w:div w:id="119424054">
          <w:marLeft w:val="0"/>
          <w:marRight w:val="1"/>
          <w:marTop w:val="0"/>
          <w:marBottom w:val="0"/>
          <w:divBdr>
            <w:top w:val="none" w:sz="0" w:space="0" w:color="auto"/>
            <w:left w:val="none" w:sz="0" w:space="0" w:color="auto"/>
            <w:bottom w:val="none" w:sz="0" w:space="0" w:color="auto"/>
            <w:right w:val="none" w:sz="0" w:space="0" w:color="auto"/>
          </w:divBdr>
          <w:divsChild>
            <w:div w:id="803817070">
              <w:marLeft w:val="0"/>
              <w:marRight w:val="0"/>
              <w:marTop w:val="0"/>
              <w:marBottom w:val="0"/>
              <w:divBdr>
                <w:top w:val="none" w:sz="0" w:space="0" w:color="auto"/>
                <w:left w:val="none" w:sz="0" w:space="0" w:color="auto"/>
                <w:bottom w:val="none" w:sz="0" w:space="0" w:color="auto"/>
                <w:right w:val="none" w:sz="0" w:space="0" w:color="auto"/>
              </w:divBdr>
              <w:divsChild>
                <w:div w:id="324093171">
                  <w:marLeft w:val="0"/>
                  <w:marRight w:val="1"/>
                  <w:marTop w:val="0"/>
                  <w:marBottom w:val="0"/>
                  <w:divBdr>
                    <w:top w:val="none" w:sz="0" w:space="0" w:color="auto"/>
                    <w:left w:val="none" w:sz="0" w:space="0" w:color="auto"/>
                    <w:bottom w:val="none" w:sz="0" w:space="0" w:color="auto"/>
                    <w:right w:val="none" w:sz="0" w:space="0" w:color="auto"/>
                  </w:divBdr>
                  <w:divsChild>
                    <w:div w:id="1176074285">
                      <w:marLeft w:val="0"/>
                      <w:marRight w:val="0"/>
                      <w:marTop w:val="0"/>
                      <w:marBottom w:val="0"/>
                      <w:divBdr>
                        <w:top w:val="none" w:sz="0" w:space="0" w:color="auto"/>
                        <w:left w:val="none" w:sz="0" w:space="0" w:color="auto"/>
                        <w:bottom w:val="none" w:sz="0" w:space="0" w:color="auto"/>
                        <w:right w:val="none" w:sz="0" w:space="0" w:color="auto"/>
                      </w:divBdr>
                      <w:divsChild>
                        <w:div w:id="117264798">
                          <w:marLeft w:val="0"/>
                          <w:marRight w:val="0"/>
                          <w:marTop w:val="0"/>
                          <w:marBottom w:val="0"/>
                          <w:divBdr>
                            <w:top w:val="none" w:sz="0" w:space="0" w:color="auto"/>
                            <w:left w:val="none" w:sz="0" w:space="0" w:color="auto"/>
                            <w:bottom w:val="none" w:sz="0" w:space="0" w:color="auto"/>
                            <w:right w:val="none" w:sz="0" w:space="0" w:color="auto"/>
                          </w:divBdr>
                          <w:divsChild>
                            <w:div w:id="1215847491">
                              <w:marLeft w:val="0"/>
                              <w:marRight w:val="0"/>
                              <w:marTop w:val="120"/>
                              <w:marBottom w:val="360"/>
                              <w:divBdr>
                                <w:top w:val="none" w:sz="0" w:space="0" w:color="auto"/>
                                <w:left w:val="none" w:sz="0" w:space="0" w:color="auto"/>
                                <w:bottom w:val="none" w:sz="0" w:space="0" w:color="auto"/>
                                <w:right w:val="none" w:sz="0" w:space="0" w:color="auto"/>
                              </w:divBdr>
                              <w:divsChild>
                                <w:div w:id="38626414">
                                  <w:marLeft w:val="0"/>
                                  <w:marRight w:val="0"/>
                                  <w:marTop w:val="0"/>
                                  <w:marBottom w:val="0"/>
                                  <w:divBdr>
                                    <w:top w:val="none" w:sz="0" w:space="0" w:color="auto"/>
                                    <w:left w:val="none" w:sz="0" w:space="0" w:color="auto"/>
                                    <w:bottom w:val="none" w:sz="0" w:space="0" w:color="auto"/>
                                    <w:right w:val="none" w:sz="0" w:space="0" w:color="auto"/>
                                  </w:divBdr>
                                  <w:divsChild>
                                    <w:div w:id="1581716451">
                                      <w:marLeft w:val="0"/>
                                      <w:marRight w:val="0"/>
                                      <w:marTop w:val="0"/>
                                      <w:marBottom w:val="0"/>
                                      <w:divBdr>
                                        <w:top w:val="none" w:sz="0" w:space="0" w:color="auto"/>
                                        <w:left w:val="none" w:sz="0" w:space="0" w:color="auto"/>
                                        <w:bottom w:val="none" w:sz="0" w:space="0" w:color="auto"/>
                                        <w:right w:val="none" w:sz="0" w:space="0" w:color="auto"/>
                                      </w:divBdr>
                                    </w:div>
                                  </w:divsChild>
                                </w:div>
                                <w:div w:id="526413833">
                                  <w:marLeft w:val="0"/>
                                  <w:marRight w:val="0"/>
                                  <w:marTop w:val="0"/>
                                  <w:marBottom w:val="0"/>
                                  <w:divBdr>
                                    <w:top w:val="none" w:sz="0" w:space="0" w:color="auto"/>
                                    <w:left w:val="none" w:sz="0" w:space="0" w:color="auto"/>
                                    <w:bottom w:val="none" w:sz="0" w:space="0" w:color="auto"/>
                                    <w:right w:val="none" w:sz="0" w:space="0" w:color="auto"/>
                                  </w:divBdr>
                                </w:div>
                                <w:div w:id="546643304">
                                  <w:marLeft w:val="0"/>
                                  <w:marRight w:val="0"/>
                                  <w:marTop w:val="0"/>
                                  <w:marBottom w:val="0"/>
                                  <w:divBdr>
                                    <w:top w:val="none" w:sz="0" w:space="0" w:color="auto"/>
                                    <w:left w:val="none" w:sz="0" w:space="0" w:color="auto"/>
                                    <w:bottom w:val="none" w:sz="0" w:space="0" w:color="auto"/>
                                    <w:right w:val="none" w:sz="0" w:space="0" w:color="auto"/>
                                  </w:divBdr>
                                </w:div>
                                <w:div w:id="1077019293">
                                  <w:marLeft w:val="0"/>
                                  <w:marRight w:val="0"/>
                                  <w:marTop w:val="0"/>
                                  <w:marBottom w:val="0"/>
                                  <w:divBdr>
                                    <w:top w:val="none" w:sz="0" w:space="0" w:color="auto"/>
                                    <w:left w:val="none" w:sz="0" w:space="0" w:color="auto"/>
                                    <w:bottom w:val="none" w:sz="0" w:space="0" w:color="auto"/>
                                    <w:right w:val="none" w:sz="0" w:space="0" w:color="auto"/>
                                  </w:divBdr>
                                  <w:divsChild>
                                    <w:div w:id="1694649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5611150">
                          <w:marLeft w:val="0"/>
                          <w:marRight w:val="0"/>
                          <w:marTop w:val="0"/>
                          <w:marBottom w:val="0"/>
                          <w:divBdr>
                            <w:top w:val="none" w:sz="0" w:space="0" w:color="auto"/>
                            <w:left w:val="none" w:sz="0" w:space="0" w:color="auto"/>
                            <w:bottom w:val="none" w:sz="0" w:space="0" w:color="auto"/>
                            <w:right w:val="none" w:sz="0" w:space="0" w:color="auto"/>
                          </w:divBdr>
                          <w:divsChild>
                            <w:div w:id="1186938945">
                              <w:marLeft w:val="0"/>
                              <w:marRight w:val="0"/>
                              <w:marTop w:val="0"/>
                              <w:marBottom w:val="0"/>
                              <w:divBdr>
                                <w:top w:val="none" w:sz="0" w:space="0" w:color="auto"/>
                                <w:left w:val="none" w:sz="0" w:space="0" w:color="auto"/>
                                <w:bottom w:val="none" w:sz="0" w:space="0" w:color="auto"/>
                                <w:right w:val="none" w:sz="0" w:space="0" w:color="auto"/>
                              </w:divBdr>
                            </w:div>
                          </w:divsChild>
                        </w:div>
                        <w:div w:id="2010480134">
                          <w:marLeft w:val="0"/>
                          <w:marRight w:val="0"/>
                          <w:marTop w:val="0"/>
                          <w:marBottom w:val="0"/>
                          <w:divBdr>
                            <w:top w:val="none" w:sz="0" w:space="0" w:color="auto"/>
                            <w:left w:val="none" w:sz="0" w:space="0" w:color="auto"/>
                            <w:bottom w:val="none" w:sz="0" w:space="0" w:color="auto"/>
                            <w:right w:val="none" w:sz="0" w:space="0" w:color="auto"/>
                          </w:divBdr>
                          <w:divsChild>
                            <w:div w:id="677848093">
                              <w:marLeft w:val="240"/>
                              <w:marRight w:val="0"/>
                              <w:marTop w:val="0"/>
                              <w:marBottom w:val="0"/>
                              <w:divBdr>
                                <w:top w:val="none" w:sz="0" w:space="0" w:color="auto"/>
                                <w:left w:val="none" w:sz="0" w:space="0" w:color="auto"/>
                                <w:bottom w:val="none" w:sz="0" w:space="0" w:color="auto"/>
                                <w:right w:val="none" w:sz="0" w:space="0" w:color="auto"/>
                              </w:divBdr>
                            </w:div>
                            <w:div w:id="1918326246">
                              <w:marLeft w:val="0"/>
                              <w:marRight w:val="0"/>
                              <w:marTop w:val="45"/>
                              <w:marBottom w:val="0"/>
                              <w:divBdr>
                                <w:top w:val="single" w:sz="6" w:space="2" w:color="CCCCCC"/>
                                <w:left w:val="single" w:sz="6" w:space="2" w:color="CCCCCC"/>
                                <w:bottom w:val="single" w:sz="6" w:space="2" w:color="CCCCCC"/>
                                <w:right w:val="single" w:sz="6" w:space="2" w:color="CCCCCC"/>
                              </w:divBdr>
                              <w:divsChild>
                                <w:div w:id="347801558">
                                  <w:marLeft w:val="0"/>
                                  <w:marRight w:val="0"/>
                                  <w:marTop w:val="0"/>
                                  <w:marBottom w:val="0"/>
                                  <w:divBdr>
                                    <w:top w:val="none" w:sz="0" w:space="0" w:color="auto"/>
                                    <w:left w:val="none" w:sz="0" w:space="0" w:color="auto"/>
                                    <w:bottom w:val="none" w:sz="0" w:space="0" w:color="auto"/>
                                    <w:right w:val="none" w:sz="0" w:space="0" w:color="auto"/>
                                  </w:divBdr>
                                </w:div>
                                <w:div w:id="498926174">
                                  <w:marLeft w:val="0"/>
                                  <w:marRight w:val="0"/>
                                  <w:marTop w:val="0"/>
                                  <w:marBottom w:val="0"/>
                                  <w:divBdr>
                                    <w:top w:val="none" w:sz="0" w:space="0" w:color="auto"/>
                                    <w:left w:val="none" w:sz="0" w:space="0" w:color="auto"/>
                                    <w:bottom w:val="none" w:sz="0" w:space="0" w:color="auto"/>
                                    <w:right w:val="none" w:sz="0" w:space="0" w:color="auto"/>
                                  </w:divBdr>
                                  <w:divsChild>
                                    <w:div w:id="1411274775">
                                      <w:marLeft w:val="0"/>
                                      <w:marRight w:val="0"/>
                                      <w:marTop w:val="0"/>
                                      <w:marBottom w:val="0"/>
                                      <w:divBdr>
                                        <w:top w:val="none" w:sz="0" w:space="0" w:color="auto"/>
                                        <w:left w:val="none" w:sz="0" w:space="0" w:color="auto"/>
                                        <w:bottom w:val="none" w:sz="0" w:space="0" w:color="auto"/>
                                        <w:right w:val="none" w:sz="0" w:space="0" w:color="auto"/>
                                      </w:divBdr>
                                    </w:div>
                                  </w:divsChild>
                                </w:div>
                                <w:div w:id="559481285">
                                  <w:marLeft w:val="0"/>
                                  <w:marRight w:val="0"/>
                                  <w:marTop w:val="0"/>
                                  <w:marBottom w:val="0"/>
                                  <w:divBdr>
                                    <w:top w:val="none" w:sz="0" w:space="0" w:color="auto"/>
                                    <w:left w:val="none" w:sz="0" w:space="0" w:color="auto"/>
                                    <w:bottom w:val="none" w:sz="0" w:space="0" w:color="auto"/>
                                    <w:right w:val="none" w:sz="0" w:space="0" w:color="auto"/>
                                  </w:divBdr>
                                </w:div>
                                <w:div w:id="1547985626">
                                  <w:marLeft w:val="0"/>
                                  <w:marRight w:val="0"/>
                                  <w:marTop w:val="0"/>
                                  <w:marBottom w:val="0"/>
                                  <w:divBdr>
                                    <w:top w:val="none" w:sz="0" w:space="0" w:color="auto"/>
                                    <w:left w:val="none" w:sz="0" w:space="0" w:color="auto"/>
                                    <w:bottom w:val="none" w:sz="0" w:space="0" w:color="auto"/>
                                    <w:right w:val="none" w:sz="0" w:space="0" w:color="auto"/>
                                  </w:divBdr>
                                </w:div>
                                <w:div w:id="1577126535">
                                  <w:marLeft w:val="0"/>
                                  <w:marRight w:val="0"/>
                                  <w:marTop w:val="0"/>
                                  <w:marBottom w:val="0"/>
                                  <w:divBdr>
                                    <w:top w:val="none" w:sz="0" w:space="0" w:color="auto"/>
                                    <w:left w:val="none" w:sz="0" w:space="0" w:color="auto"/>
                                    <w:bottom w:val="none" w:sz="0" w:space="0" w:color="auto"/>
                                    <w:right w:val="none" w:sz="0" w:space="0" w:color="auto"/>
                                  </w:divBdr>
                                </w:div>
                                <w:div w:id="1791125901">
                                  <w:marLeft w:val="0"/>
                                  <w:marRight w:val="0"/>
                                  <w:marTop w:val="0"/>
                                  <w:marBottom w:val="0"/>
                                  <w:divBdr>
                                    <w:top w:val="none" w:sz="0" w:space="0" w:color="auto"/>
                                    <w:left w:val="none" w:sz="0" w:space="0" w:color="auto"/>
                                    <w:bottom w:val="none" w:sz="0" w:space="0" w:color="auto"/>
                                    <w:right w:val="none" w:sz="0" w:space="0" w:color="auto"/>
                                  </w:divBdr>
                                </w:div>
                                <w:div w:id="1976911227">
                                  <w:marLeft w:val="0"/>
                                  <w:marRight w:val="0"/>
                                  <w:marTop w:val="0"/>
                                  <w:marBottom w:val="0"/>
                                  <w:divBdr>
                                    <w:top w:val="none" w:sz="0" w:space="0" w:color="auto"/>
                                    <w:left w:val="none" w:sz="0" w:space="0" w:color="auto"/>
                                    <w:bottom w:val="none" w:sz="0" w:space="0" w:color="auto"/>
                                    <w:right w:val="none" w:sz="0" w:space="0" w:color="auto"/>
                                  </w:divBdr>
                                </w:div>
                              </w:divsChild>
                            </w:div>
                            <w:div w:id="2082556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3471774">
      <w:bodyDiv w:val="1"/>
      <w:marLeft w:val="0"/>
      <w:marRight w:val="0"/>
      <w:marTop w:val="0"/>
      <w:marBottom w:val="0"/>
      <w:divBdr>
        <w:top w:val="none" w:sz="0" w:space="0" w:color="auto"/>
        <w:left w:val="none" w:sz="0" w:space="0" w:color="auto"/>
        <w:bottom w:val="none" w:sz="0" w:space="0" w:color="auto"/>
        <w:right w:val="none" w:sz="0" w:space="0" w:color="auto"/>
      </w:divBdr>
      <w:divsChild>
        <w:div w:id="441612522">
          <w:marLeft w:val="0"/>
          <w:marRight w:val="0"/>
          <w:marTop w:val="0"/>
          <w:marBottom w:val="0"/>
          <w:divBdr>
            <w:top w:val="none" w:sz="0" w:space="0" w:color="auto"/>
            <w:left w:val="none" w:sz="0" w:space="0" w:color="auto"/>
            <w:bottom w:val="none" w:sz="0" w:space="0" w:color="auto"/>
            <w:right w:val="none" w:sz="0" w:space="0" w:color="auto"/>
          </w:divBdr>
          <w:divsChild>
            <w:div w:id="1428308270">
              <w:marLeft w:val="0"/>
              <w:marRight w:val="0"/>
              <w:marTop w:val="0"/>
              <w:marBottom w:val="0"/>
              <w:divBdr>
                <w:top w:val="none" w:sz="0" w:space="0" w:color="auto"/>
                <w:left w:val="none" w:sz="0" w:space="0" w:color="auto"/>
                <w:bottom w:val="none" w:sz="0" w:space="0" w:color="auto"/>
                <w:right w:val="none" w:sz="0" w:space="0" w:color="auto"/>
              </w:divBdr>
              <w:divsChild>
                <w:div w:id="225117256">
                  <w:marLeft w:val="0"/>
                  <w:marRight w:val="0"/>
                  <w:marTop w:val="0"/>
                  <w:marBottom w:val="0"/>
                  <w:divBdr>
                    <w:top w:val="none" w:sz="0" w:space="0" w:color="auto"/>
                    <w:left w:val="none" w:sz="0" w:space="0" w:color="auto"/>
                    <w:bottom w:val="none" w:sz="0" w:space="0" w:color="auto"/>
                    <w:right w:val="none" w:sz="0" w:space="0" w:color="auto"/>
                  </w:divBdr>
                  <w:divsChild>
                    <w:div w:id="1176505178">
                      <w:marLeft w:val="0"/>
                      <w:marRight w:val="0"/>
                      <w:marTop w:val="0"/>
                      <w:marBottom w:val="0"/>
                      <w:divBdr>
                        <w:top w:val="none" w:sz="0" w:space="0" w:color="auto"/>
                        <w:left w:val="none" w:sz="0" w:space="0" w:color="auto"/>
                        <w:bottom w:val="none" w:sz="0" w:space="0" w:color="auto"/>
                        <w:right w:val="none" w:sz="0" w:space="0" w:color="auto"/>
                      </w:divBdr>
                      <w:divsChild>
                        <w:div w:id="1079903421">
                          <w:marLeft w:val="0"/>
                          <w:marRight w:val="0"/>
                          <w:marTop w:val="0"/>
                          <w:marBottom w:val="0"/>
                          <w:divBdr>
                            <w:top w:val="none" w:sz="0" w:space="0" w:color="auto"/>
                            <w:left w:val="none" w:sz="0" w:space="0" w:color="auto"/>
                            <w:bottom w:val="none" w:sz="0" w:space="0" w:color="auto"/>
                            <w:right w:val="none" w:sz="0" w:space="0" w:color="auto"/>
                          </w:divBdr>
                          <w:divsChild>
                            <w:div w:id="1243874222">
                              <w:marLeft w:val="0"/>
                              <w:marRight w:val="0"/>
                              <w:marTop w:val="0"/>
                              <w:marBottom w:val="0"/>
                              <w:divBdr>
                                <w:top w:val="none" w:sz="0" w:space="0" w:color="auto"/>
                                <w:left w:val="none" w:sz="0" w:space="0" w:color="auto"/>
                                <w:bottom w:val="none" w:sz="0" w:space="0" w:color="auto"/>
                                <w:right w:val="none" w:sz="0" w:space="0" w:color="auto"/>
                              </w:divBdr>
                              <w:divsChild>
                                <w:div w:id="7759434">
                                  <w:marLeft w:val="0"/>
                                  <w:marRight w:val="0"/>
                                  <w:marTop w:val="0"/>
                                  <w:marBottom w:val="0"/>
                                  <w:divBdr>
                                    <w:top w:val="none" w:sz="0" w:space="0" w:color="auto"/>
                                    <w:left w:val="none" w:sz="0" w:space="0" w:color="auto"/>
                                    <w:bottom w:val="none" w:sz="0" w:space="0" w:color="auto"/>
                                    <w:right w:val="none" w:sz="0" w:space="0" w:color="auto"/>
                                  </w:divBdr>
                                  <w:divsChild>
                                    <w:div w:id="1835947774">
                                      <w:marLeft w:val="0"/>
                                      <w:marRight w:val="0"/>
                                      <w:marTop w:val="0"/>
                                      <w:marBottom w:val="0"/>
                                      <w:divBdr>
                                        <w:top w:val="none" w:sz="0" w:space="0" w:color="auto"/>
                                        <w:left w:val="none" w:sz="0" w:space="0" w:color="auto"/>
                                        <w:bottom w:val="none" w:sz="0" w:space="0" w:color="auto"/>
                                        <w:right w:val="none" w:sz="0" w:space="0" w:color="auto"/>
                                      </w:divBdr>
                                      <w:divsChild>
                                        <w:div w:id="984238445">
                                          <w:marLeft w:val="0"/>
                                          <w:marRight w:val="0"/>
                                          <w:marTop w:val="0"/>
                                          <w:marBottom w:val="0"/>
                                          <w:divBdr>
                                            <w:top w:val="none" w:sz="0" w:space="0" w:color="auto"/>
                                            <w:left w:val="none" w:sz="0" w:space="0" w:color="auto"/>
                                            <w:bottom w:val="none" w:sz="0" w:space="0" w:color="auto"/>
                                            <w:right w:val="none" w:sz="0" w:space="0" w:color="auto"/>
                                          </w:divBdr>
                                          <w:divsChild>
                                            <w:div w:id="377094149">
                                              <w:marLeft w:val="0"/>
                                              <w:marRight w:val="0"/>
                                              <w:marTop w:val="0"/>
                                              <w:marBottom w:val="0"/>
                                              <w:divBdr>
                                                <w:top w:val="none" w:sz="0" w:space="0" w:color="auto"/>
                                                <w:left w:val="none" w:sz="0" w:space="0" w:color="auto"/>
                                                <w:bottom w:val="none" w:sz="0" w:space="0" w:color="auto"/>
                                                <w:right w:val="none" w:sz="0" w:space="0" w:color="auto"/>
                                              </w:divBdr>
                                              <w:divsChild>
                                                <w:div w:id="77946774">
                                                  <w:marLeft w:val="0"/>
                                                  <w:marRight w:val="0"/>
                                                  <w:marTop w:val="0"/>
                                                  <w:marBottom w:val="0"/>
                                                  <w:divBdr>
                                                    <w:top w:val="none" w:sz="0" w:space="0" w:color="auto"/>
                                                    <w:left w:val="none" w:sz="0" w:space="0" w:color="auto"/>
                                                    <w:bottom w:val="none" w:sz="0" w:space="0" w:color="auto"/>
                                                    <w:right w:val="none" w:sz="0" w:space="0" w:color="auto"/>
                                                  </w:divBdr>
                                                  <w:divsChild>
                                                    <w:div w:id="445663707">
                                                      <w:marLeft w:val="0"/>
                                                      <w:marRight w:val="0"/>
                                                      <w:marTop w:val="0"/>
                                                      <w:marBottom w:val="0"/>
                                                      <w:divBdr>
                                                        <w:top w:val="none" w:sz="0" w:space="0" w:color="auto"/>
                                                        <w:left w:val="none" w:sz="0" w:space="0" w:color="auto"/>
                                                        <w:bottom w:val="none" w:sz="0" w:space="0" w:color="auto"/>
                                                        <w:right w:val="none" w:sz="0" w:space="0" w:color="auto"/>
                                                      </w:divBdr>
                                                      <w:divsChild>
                                                        <w:div w:id="1630890813">
                                                          <w:marLeft w:val="0"/>
                                                          <w:marRight w:val="0"/>
                                                          <w:marTop w:val="0"/>
                                                          <w:marBottom w:val="0"/>
                                                          <w:divBdr>
                                                            <w:top w:val="none" w:sz="0" w:space="0" w:color="auto"/>
                                                            <w:left w:val="none" w:sz="0" w:space="0" w:color="auto"/>
                                                            <w:bottom w:val="none" w:sz="0" w:space="0" w:color="auto"/>
                                                            <w:right w:val="none" w:sz="0" w:space="0" w:color="auto"/>
                                                          </w:divBdr>
                                                          <w:divsChild>
                                                            <w:div w:id="1623609956">
                                                              <w:marLeft w:val="0"/>
                                                              <w:marRight w:val="0"/>
                                                              <w:marTop w:val="0"/>
                                                              <w:marBottom w:val="0"/>
                                                              <w:divBdr>
                                                                <w:top w:val="none" w:sz="0" w:space="0" w:color="auto"/>
                                                                <w:left w:val="none" w:sz="0" w:space="0" w:color="auto"/>
                                                                <w:bottom w:val="none" w:sz="0" w:space="0" w:color="auto"/>
                                                                <w:right w:val="none" w:sz="0" w:space="0" w:color="auto"/>
                                                              </w:divBdr>
                                                              <w:divsChild>
                                                                <w:div w:id="1294142634">
                                                                  <w:marLeft w:val="0"/>
                                                                  <w:marRight w:val="0"/>
                                                                  <w:marTop w:val="0"/>
                                                                  <w:marBottom w:val="0"/>
                                                                  <w:divBdr>
                                                                    <w:top w:val="none" w:sz="0" w:space="0" w:color="auto"/>
                                                                    <w:left w:val="none" w:sz="0" w:space="0" w:color="auto"/>
                                                                    <w:bottom w:val="none" w:sz="0" w:space="0" w:color="auto"/>
                                                                    <w:right w:val="none" w:sz="0" w:space="0" w:color="auto"/>
                                                                  </w:divBdr>
                                                                  <w:divsChild>
                                                                    <w:div w:id="1528178673">
                                                                      <w:marLeft w:val="0"/>
                                                                      <w:marRight w:val="0"/>
                                                                      <w:marTop w:val="0"/>
                                                                      <w:marBottom w:val="0"/>
                                                                      <w:divBdr>
                                                                        <w:top w:val="none" w:sz="0" w:space="0" w:color="auto"/>
                                                                        <w:left w:val="none" w:sz="0" w:space="0" w:color="auto"/>
                                                                        <w:bottom w:val="none" w:sz="0" w:space="0" w:color="auto"/>
                                                                        <w:right w:val="none" w:sz="0" w:space="0" w:color="auto"/>
                                                                      </w:divBdr>
                                                                      <w:divsChild>
                                                                        <w:div w:id="220335007">
                                                                          <w:marLeft w:val="0"/>
                                                                          <w:marRight w:val="0"/>
                                                                          <w:marTop w:val="0"/>
                                                                          <w:marBottom w:val="0"/>
                                                                          <w:divBdr>
                                                                            <w:top w:val="none" w:sz="0" w:space="0" w:color="auto"/>
                                                                            <w:left w:val="none" w:sz="0" w:space="0" w:color="auto"/>
                                                                            <w:bottom w:val="none" w:sz="0" w:space="0" w:color="auto"/>
                                                                            <w:right w:val="none" w:sz="0" w:space="0" w:color="auto"/>
                                                                          </w:divBdr>
                                                                          <w:divsChild>
                                                                            <w:div w:id="1241915034">
                                                                              <w:marLeft w:val="0"/>
                                                                              <w:marRight w:val="0"/>
                                                                              <w:marTop w:val="0"/>
                                                                              <w:marBottom w:val="0"/>
                                                                              <w:divBdr>
                                                                                <w:top w:val="none" w:sz="0" w:space="0" w:color="auto"/>
                                                                                <w:left w:val="none" w:sz="0" w:space="0" w:color="auto"/>
                                                                                <w:bottom w:val="none" w:sz="0" w:space="0" w:color="auto"/>
                                                                                <w:right w:val="none" w:sz="0" w:space="0" w:color="auto"/>
                                                                              </w:divBdr>
                                                                              <w:divsChild>
                                                                                <w:div w:id="301736794">
                                                                                  <w:marLeft w:val="0"/>
                                                                                  <w:marRight w:val="0"/>
                                                                                  <w:marTop w:val="0"/>
                                                                                  <w:marBottom w:val="0"/>
                                                                                  <w:divBdr>
                                                                                    <w:top w:val="none" w:sz="0" w:space="0" w:color="auto"/>
                                                                                    <w:left w:val="none" w:sz="0" w:space="0" w:color="auto"/>
                                                                                    <w:bottom w:val="none" w:sz="0" w:space="0" w:color="auto"/>
                                                                                    <w:right w:val="none" w:sz="0" w:space="0" w:color="auto"/>
                                                                                  </w:divBdr>
                                                                                  <w:divsChild>
                                                                                    <w:div w:id="1301576700">
                                                                                      <w:marLeft w:val="0"/>
                                                                                      <w:marRight w:val="0"/>
                                                                                      <w:marTop w:val="0"/>
                                                                                      <w:marBottom w:val="0"/>
                                                                                      <w:divBdr>
                                                                                        <w:top w:val="none" w:sz="0" w:space="0" w:color="auto"/>
                                                                                        <w:left w:val="none" w:sz="0" w:space="0" w:color="auto"/>
                                                                                        <w:bottom w:val="none" w:sz="0" w:space="0" w:color="auto"/>
                                                                                        <w:right w:val="none" w:sz="0" w:space="0" w:color="auto"/>
                                                                                      </w:divBdr>
                                                                                      <w:divsChild>
                                                                                        <w:div w:id="1002315216">
                                                                                          <w:marLeft w:val="0"/>
                                                                                          <w:marRight w:val="0"/>
                                                                                          <w:marTop w:val="0"/>
                                                                                          <w:marBottom w:val="0"/>
                                                                                          <w:divBdr>
                                                                                            <w:top w:val="none" w:sz="0" w:space="0" w:color="auto"/>
                                                                                            <w:left w:val="none" w:sz="0" w:space="0" w:color="auto"/>
                                                                                            <w:bottom w:val="none" w:sz="0" w:space="0" w:color="auto"/>
                                                                                            <w:right w:val="none" w:sz="0" w:space="0" w:color="auto"/>
                                                                                          </w:divBdr>
                                                                                          <w:divsChild>
                                                                                            <w:div w:id="130296216">
                                                                                              <w:marLeft w:val="0"/>
                                                                                              <w:marRight w:val="0"/>
                                                                                              <w:marTop w:val="0"/>
                                                                                              <w:marBottom w:val="0"/>
                                                                                              <w:divBdr>
                                                                                                <w:top w:val="none" w:sz="0" w:space="0" w:color="auto"/>
                                                                                                <w:left w:val="none" w:sz="0" w:space="0" w:color="auto"/>
                                                                                                <w:bottom w:val="none" w:sz="0" w:space="0" w:color="auto"/>
                                                                                                <w:right w:val="none" w:sz="0" w:space="0" w:color="auto"/>
                                                                                              </w:divBdr>
                                                                                              <w:divsChild>
                                                                                                <w:div w:id="1184856983">
                                                                                                  <w:marLeft w:val="0"/>
                                                                                                  <w:marRight w:val="0"/>
                                                                                                  <w:marTop w:val="0"/>
                                                                                                  <w:marBottom w:val="0"/>
                                                                                                  <w:divBdr>
                                                                                                    <w:top w:val="none" w:sz="0" w:space="0" w:color="auto"/>
                                                                                                    <w:left w:val="none" w:sz="0" w:space="0" w:color="auto"/>
                                                                                                    <w:bottom w:val="none" w:sz="0" w:space="0" w:color="auto"/>
                                                                                                    <w:right w:val="none" w:sz="0" w:space="0" w:color="auto"/>
                                                                                                  </w:divBdr>
                                                                                                  <w:divsChild>
                                                                                                    <w:div w:id="1509639351">
                                                                                                      <w:marLeft w:val="0"/>
                                                                                                      <w:marRight w:val="0"/>
                                                                                                      <w:marTop w:val="0"/>
                                                                                                      <w:marBottom w:val="0"/>
                                                                                                      <w:divBdr>
                                                                                                        <w:top w:val="none" w:sz="0" w:space="0" w:color="auto"/>
                                                                                                        <w:left w:val="none" w:sz="0" w:space="0" w:color="auto"/>
                                                                                                        <w:bottom w:val="none" w:sz="0" w:space="0" w:color="auto"/>
                                                                                                        <w:right w:val="none" w:sz="0" w:space="0" w:color="auto"/>
                                                                                                      </w:divBdr>
                                                                                                      <w:divsChild>
                                                                                                        <w:div w:id="1695840684">
                                                                                                          <w:marLeft w:val="0"/>
                                                                                                          <w:marRight w:val="0"/>
                                                                                                          <w:marTop w:val="0"/>
                                                                                                          <w:marBottom w:val="0"/>
                                                                                                          <w:divBdr>
                                                                                                            <w:top w:val="none" w:sz="0" w:space="0" w:color="auto"/>
                                                                                                            <w:left w:val="none" w:sz="0" w:space="0" w:color="auto"/>
                                                                                                            <w:bottom w:val="none" w:sz="0" w:space="0" w:color="auto"/>
                                                                                                            <w:right w:val="none" w:sz="0" w:space="0" w:color="auto"/>
                                                                                                          </w:divBdr>
                                                                                                          <w:divsChild>
                                                                                                            <w:div w:id="614293253">
                                                                                                              <w:marLeft w:val="0"/>
                                                                                                              <w:marRight w:val="0"/>
                                                                                                              <w:marTop w:val="0"/>
                                                                                                              <w:marBottom w:val="0"/>
                                                                                                              <w:divBdr>
                                                                                                                <w:top w:val="none" w:sz="0" w:space="0" w:color="auto"/>
                                                                                                                <w:left w:val="none" w:sz="0" w:space="0" w:color="auto"/>
                                                                                                                <w:bottom w:val="none" w:sz="0" w:space="0" w:color="auto"/>
                                                                                                                <w:right w:val="none" w:sz="0" w:space="0" w:color="auto"/>
                                                                                                              </w:divBdr>
                                                                                                              <w:divsChild>
                                                                                                                <w:div w:id="22366531">
                                                                                                                  <w:marLeft w:val="0"/>
                                                                                                                  <w:marRight w:val="0"/>
                                                                                                                  <w:marTop w:val="0"/>
                                                                                                                  <w:marBottom w:val="0"/>
                                                                                                                  <w:divBdr>
                                                                                                                    <w:top w:val="none" w:sz="0" w:space="0" w:color="auto"/>
                                                                                                                    <w:left w:val="none" w:sz="0" w:space="0" w:color="auto"/>
                                                                                                                    <w:bottom w:val="none" w:sz="0" w:space="0" w:color="auto"/>
                                                                                                                    <w:right w:val="none" w:sz="0" w:space="0" w:color="auto"/>
                                                                                                                  </w:divBdr>
                                                                                                                  <w:divsChild>
                                                                                                                    <w:div w:id="1599171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40643866">
      <w:bodyDiv w:val="1"/>
      <w:marLeft w:val="0"/>
      <w:marRight w:val="0"/>
      <w:marTop w:val="0"/>
      <w:marBottom w:val="0"/>
      <w:divBdr>
        <w:top w:val="none" w:sz="0" w:space="0" w:color="auto"/>
        <w:left w:val="none" w:sz="0" w:space="0" w:color="auto"/>
        <w:bottom w:val="none" w:sz="0" w:space="0" w:color="auto"/>
        <w:right w:val="none" w:sz="0" w:space="0" w:color="auto"/>
      </w:divBdr>
    </w:div>
    <w:div w:id="1731344415">
      <w:bodyDiv w:val="1"/>
      <w:marLeft w:val="0"/>
      <w:marRight w:val="0"/>
      <w:marTop w:val="0"/>
      <w:marBottom w:val="0"/>
      <w:divBdr>
        <w:top w:val="none" w:sz="0" w:space="0" w:color="auto"/>
        <w:left w:val="none" w:sz="0" w:space="0" w:color="auto"/>
        <w:bottom w:val="none" w:sz="0" w:space="0" w:color="auto"/>
        <w:right w:val="none" w:sz="0" w:space="0" w:color="auto"/>
      </w:divBdr>
    </w:div>
    <w:div w:id="1775516461">
      <w:bodyDiv w:val="1"/>
      <w:marLeft w:val="0"/>
      <w:marRight w:val="0"/>
      <w:marTop w:val="0"/>
      <w:marBottom w:val="0"/>
      <w:divBdr>
        <w:top w:val="none" w:sz="0" w:space="0" w:color="auto"/>
        <w:left w:val="none" w:sz="0" w:space="0" w:color="auto"/>
        <w:bottom w:val="none" w:sz="0" w:space="0" w:color="auto"/>
        <w:right w:val="none" w:sz="0" w:space="0" w:color="auto"/>
      </w:divBdr>
    </w:div>
    <w:div w:id="1880123231">
      <w:bodyDiv w:val="1"/>
      <w:marLeft w:val="0"/>
      <w:marRight w:val="0"/>
      <w:marTop w:val="0"/>
      <w:marBottom w:val="0"/>
      <w:divBdr>
        <w:top w:val="none" w:sz="0" w:space="0" w:color="auto"/>
        <w:left w:val="none" w:sz="0" w:space="0" w:color="auto"/>
        <w:bottom w:val="none" w:sz="0" w:space="0" w:color="auto"/>
        <w:right w:val="none" w:sz="0" w:space="0" w:color="auto"/>
      </w:divBdr>
    </w:div>
    <w:div w:id="1923754821">
      <w:bodyDiv w:val="1"/>
      <w:marLeft w:val="0"/>
      <w:marRight w:val="0"/>
      <w:marTop w:val="0"/>
      <w:marBottom w:val="0"/>
      <w:divBdr>
        <w:top w:val="none" w:sz="0" w:space="0" w:color="auto"/>
        <w:left w:val="none" w:sz="0" w:space="0" w:color="auto"/>
        <w:bottom w:val="none" w:sz="0" w:space="0" w:color="auto"/>
        <w:right w:val="none" w:sz="0" w:space="0" w:color="auto"/>
      </w:divBdr>
    </w:div>
    <w:div w:id="2089112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6D98A1-D036-45AB-BCA7-23C06E1DE0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67</Pages>
  <Words>27695</Words>
  <Characters>224336</Characters>
  <Application>Microsoft Office Word</Application>
  <DocSecurity>0</DocSecurity>
  <Lines>1869</Lines>
  <Paragraphs>503</Paragraphs>
  <ScaleCrop>false</ScaleCrop>
  <HeadingPairs>
    <vt:vector size="2" baseType="variant">
      <vt:variant>
        <vt:lpstr>Title</vt:lpstr>
      </vt:variant>
      <vt:variant>
        <vt:i4>1</vt:i4>
      </vt:variant>
    </vt:vector>
  </HeadingPairs>
  <TitlesOfParts>
    <vt:vector size="1" baseType="lpstr">
      <vt:lpstr/>
    </vt:vector>
  </TitlesOfParts>
  <Company>Turun yliopisto</Company>
  <LinksUpToDate>false</LinksUpToDate>
  <CharactersWithSpaces>251528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 Lagström</dc:creator>
  <cp:keywords/>
  <dc:description/>
  <cp:lastModifiedBy>Kimmo Niukko</cp:lastModifiedBy>
  <cp:revision>2</cp:revision>
  <cp:lastPrinted>2018-08-21T06:52:00Z</cp:lastPrinted>
  <dcterms:created xsi:type="dcterms:W3CDTF">2019-01-29T12:25:00Z</dcterms:created>
  <dcterms:modified xsi:type="dcterms:W3CDTF">2019-01-29T12:25:00Z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53716ab0-6c6b-31ea-8f2c-612cd9a7a87c</vt:lpwstr>
  </property>
  <property fmtid="{D5CDD505-2E9C-101B-9397-08002B2CF9AE}" pid="4" name="Mendeley Recent Style Id 0_1">
    <vt:lpwstr>http://www.zotero.org/styles/american-medical-association</vt:lpwstr>
  </property>
  <property fmtid="{D5CDD505-2E9C-101B-9397-08002B2CF9AE}" pid="5" name="Mendeley Recent Style Name 0_1">
    <vt:lpwstr>American Medical Association</vt:lpwstr>
  </property>
  <property fmtid="{D5CDD505-2E9C-101B-9397-08002B2CF9AE}" pid="6" name="Mendeley Recent Style Id 1_1">
    <vt:lpwstr>http://www.zotero.org/styles/environmental-health-perspectives</vt:lpwstr>
  </property>
  <property fmtid="{D5CDD505-2E9C-101B-9397-08002B2CF9AE}" pid="7" name="Mendeley Recent Style Name 1_1">
    <vt:lpwstr>Environmental Health Perspectives</vt:lpwstr>
  </property>
  <property fmtid="{D5CDD505-2E9C-101B-9397-08002B2CF9AE}" pid="8" name="Mendeley Recent Style Id 2_1">
    <vt:lpwstr>http://www.zotero.org/styles/harvard-cite-them-right</vt:lpwstr>
  </property>
  <property fmtid="{D5CDD505-2E9C-101B-9397-08002B2CF9AE}" pid="9" name="Mendeley Recent Style Name 2_1">
    <vt:lpwstr>Harvard - Cite Them Right 9th edition</vt:lpwstr>
  </property>
  <property fmtid="{D5CDD505-2E9C-101B-9397-08002B2CF9AE}" pid="10" name="Mendeley Recent Style Id 3_1">
    <vt:lpwstr>http://www.zotero.org/styles/harvard1</vt:lpwstr>
  </property>
  <property fmtid="{D5CDD505-2E9C-101B-9397-08002B2CF9AE}" pid="11" name="Mendeley Recent Style Name 3_1">
    <vt:lpwstr>Harvard Reference format 1 (author-date)</vt:lpwstr>
  </property>
  <property fmtid="{D5CDD505-2E9C-101B-9397-08002B2CF9AE}" pid="12" name="Mendeley Recent Style Id 4_1">
    <vt:lpwstr>http://www.zotero.org/styles/health-and-place</vt:lpwstr>
  </property>
  <property fmtid="{D5CDD505-2E9C-101B-9397-08002B2CF9AE}" pid="13" name="Mendeley Recent Style Name 4_1">
    <vt:lpwstr>Health and Place</vt:lpwstr>
  </property>
  <property fmtid="{D5CDD505-2E9C-101B-9397-08002B2CF9AE}" pid="14" name="Mendeley Recent Style Id 5_1">
    <vt:lpwstr>http://www.zotero.org/styles/modern-humanities-research-association</vt:lpwstr>
  </property>
  <property fmtid="{D5CDD505-2E9C-101B-9397-08002B2CF9AE}" pid="15" name="Mendeley Recent Style Name 5_1">
    <vt:lpwstr>Modern Humanities Research Association 3rd edition (note with bibliography)</vt:lpwstr>
  </property>
  <property fmtid="{D5CDD505-2E9C-101B-9397-08002B2CF9AE}" pid="16" name="Mendeley Recent Style Id 6_1">
    <vt:lpwstr>http://www.zotero.org/styles/nature</vt:lpwstr>
  </property>
  <property fmtid="{D5CDD505-2E9C-101B-9397-08002B2CF9AE}" pid="17" name="Mendeley Recent Style Name 6_1">
    <vt:lpwstr>Nature</vt:lpwstr>
  </property>
  <property fmtid="{D5CDD505-2E9C-101B-9397-08002B2CF9AE}" pid="18" name="Mendeley Recent Style Id 7_1">
    <vt:lpwstr>http://www.zotero.org/styles/pediatrics</vt:lpwstr>
  </property>
  <property fmtid="{D5CDD505-2E9C-101B-9397-08002B2CF9AE}" pid="19" name="Mendeley Recent Style Name 7_1">
    <vt:lpwstr>Pediatrics</vt:lpwstr>
  </property>
  <property fmtid="{D5CDD505-2E9C-101B-9397-08002B2CF9AE}" pid="20" name="Mendeley Recent Style Id 8_1">
    <vt:lpwstr>http://www.zotero.org/styles/public-health-nutrition</vt:lpwstr>
  </property>
  <property fmtid="{D5CDD505-2E9C-101B-9397-08002B2CF9AE}" pid="21" name="Mendeley Recent Style Name 8_1">
    <vt:lpwstr>Public Health Nutrition</vt:lpwstr>
  </property>
  <property fmtid="{D5CDD505-2E9C-101B-9397-08002B2CF9AE}" pid="22" name="Mendeley Recent Style Id 9_1">
    <vt:lpwstr>http://www.zotero.org/styles/vancouver</vt:lpwstr>
  </property>
  <property fmtid="{D5CDD505-2E9C-101B-9397-08002B2CF9AE}" pid="23" name="Mendeley Recent Style Name 9_1">
    <vt:lpwstr>Vancouver</vt:lpwstr>
  </property>
  <property fmtid="{D5CDD505-2E9C-101B-9397-08002B2CF9AE}" pid="24" name="Mendeley Citation Style_1">
    <vt:lpwstr>http://www.zotero.org/styles/health-and-place</vt:lpwstr>
  </property>
</Properties>
</file>