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B5473" w:rsidRPr="00717651" w:rsidRDefault="00717651" w:rsidP="00717651">
      <w:pPr>
        <w:spacing w:after="0" w:line="360" w:lineRule="auto"/>
        <w:jc w:val="center"/>
        <w:rPr>
          <w:rFonts w:ascii="Arial" w:hAnsi="Arial" w:cs="Arial"/>
          <w:b/>
          <w:sz w:val="24"/>
          <w:szCs w:val="24"/>
        </w:rPr>
      </w:pPr>
      <w:r w:rsidRPr="00717651">
        <w:rPr>
          <w:rFonts w:ascii="Arial" w:hAnsi="Arial" w:cs="Arial"/>
          <w:b/>
          <w:sz w:val="24"/>
          <w:szCs w:val="24"/>
        </w:rPr>
        <w:t>ON THE DEFINITION OF CUSTOMER EXPERIENCE</w:t>
      </w:r>
      <w:r>
        <w:rPr>
          <w:rFonts w:ascii="Arial" w:hAnsi="Arial" w:cs="Arial"/>
          <w:b/>
          <w:sz w:val="24"/>
          <w:szCs w:val="24"/>
        </w:rPr>
        <w:t>: REPACKING OLD CONCEPTS?</w:t>
      </w:r>
    </w:p>
    <w:p w:rsidR="009B5473" w:rsidRPr="009B5473" w:rsidRDefault="009B5473" w:rsidP="009B5473">
      <w:pPr>
        <w:spacing w:after="0" w:line="360" w:lineRule="auto"/>
        <w:rPr>
          <w:rFonts w:ascii="Arial" w:hAnsi="Arial" w:cs="Arial"/>
          <w:sz w:val="24"/>
          <w:szCs w:val="24"/>
        </w:rPr>
      </w:pPr>
    </w:p>
    <w:p w:rsidR="009B5473" w:rsidRPr="009B5473" w:rsidRDefault="009B5473" w:rsidP="009B5473">
      <w:pPr>
        <w:pStyle w:val="Ttulo1"/>
        <w:rPr>
          <w:rFonts w:ascii="Arial" w:hAnsi="Arial" w:cs="Arial"/>
          <w:szCs w:val="24"/>
        </w:rPr>
      </w:pPr>
      <w:r w:rsidRPr="009B5473">
        <w:rPr>
          <w:rFonts w:ascii="Arial" w:hAnsi="Arial" w:cs="Arial"/>
          <w:szCs w:val="24"/>
        </w:rPr>
        <w:t>1 Introduction</w:t>
      </w:r>
    </w:p>
    <w:p w:rsidR="009B5473" w:rsidRPr="009B5473" w:rsidRDefault="009B5473" w:rsidP="009B5473">
      <w:pPr>
        <w:spacing w:after="0" w:line="360" w:lineRule="auto"/>
        <w:rPr>
          <w:rFonts w:ascii="Arial" w:hAnsi="Arial" w:cs="Arial"/>
          <w:sz w:val="24"/>
          <w:szCs w:val="24"/>
        </w:rPr>
      </w:pPr>
    </w:p>
    <w:p w:rsidR="009B5473" w:rsidRPr="009B5473" w:rsidRDefault="009B5473" w:rsidP="009B5473">
      <w:pPr>
        <w:spacing w:after="0" w:line="360" w:lineRule="auto"/>
        <w:rPr>
          <w:rFonts w:ascii="Arial" w:hAnsi="Arial" w:cs="Arial"/>
          <w:sz w:val="24"/>
          <w:szCs w:val="24"/>
        </w:rPr>
      </w:pPr>
      <w:r w:rsidRPr="009B5473">
        <w:rPr>
          <w:rFonts w:ascii="Arial" w:hAnsi="Arial" w:cs="Arial"/>
          <w:sz w:val="24"/>
          <w:szCs w:val="24"/>
        </w:rPr>
        <w:tab/>
        <w:t xml:space="preserve">Customer </w:t>
      </w:r>
      <w:r>
        <w:rPr>
          <w:rFonts w:ascii="Arial" w:hAnsi="Arial" w:cs="Arial"/>
          <w:sz w:val="24"/>
          <w:szCs w:val="24"/>
        </w:rPr>
        <w:t xml:space="preserve">or service </w:t>
      </w:r>
      <w:r w:rsidRPr="009B5473">
        <w:rPr>
          <w:rFonts w:ascii="Arial" w:hAnsi="Arial" w:cs="Arial"/>
          <w:sz w:val="24"/>
          <w:szCs w:val="24"/>
        </w:rPr>
        <w:t xml:space="preserve">experience is a subject that can be considered a hot topic in current marketing literature and practice. It has been considered a Marketing Science Institute research priority since 2010 at least. This is important, considering that these priorities reflect practitioners’ problems. Furthermore, they can shape researchers’ choices, considering that proposals about subjects that relate to these priorities can receive funding. Despite the current focus, customer experience as a concept has been receiving attention since Holbrook and </w:t>
      </w:r>
      <w:proofErr w:type="spellStart"/>
      <w:r w:rsidRPr="009B5473">
        <w:rPr>
          <w:rFonts w:ascii="Arial" w:hAnsi="Arial" w:cs="Arial"/>
          <w:sz w:val="24"/>
          <w:szCs w:val="24"/>
        </w:rPr>
        <w:t>Hirschmann’s</w:t>
      </w:r>
      <w:proofErr w:type="spellEnd"/>
      <w:r w:rsidRPr="009B5473">
        <w:rPr>
          <w:rFonts w:ascii="Arial" w:hAnsi="Arial" w:cs="Arial"/>
          <w:sz w:val="24"/>
          <w:szCs w:val="24"/>
        </w:rPr>
        <w:t xml:space="preserve"> (1982) seminal article that highlighted the experiential aspects of consumption. However, to date the definition of customer experience is subject to debate. What is customer experience? How does it differ from other concepts, such as value, satisfaction or perceived quality?</w:t>
      </w:r>
    </w:p>
    <w:p w:rsidR="009B5473" w:rsidRDefault="009B5473" w:rsidP="009B5473">
      <w:pPr>
        <w:spacing w:after="0" w:line="360" w:lineRule="auto"/>
        <w:rPr>
          <w:rFonts w:ascii="Arial" w:hAnsi="Arial" w:cs="Arial"/>
          <w:sz w:val="24"/>
          <w:szCs w:val="24"/>
        </w:rPr>
      </w:pPr>
      <w:r w:rsidRPr="009B5473">
        <w:rPr>
          <w:rFonts w:ascii="Arial" w:hAnsi="Arial" w:cs="Arial"/>
          <w:sz w:val="24"/>
          <w:szCs w:val="24"/>
        </w:rPr>
        <w:tab/>
        <w:t xml:space="preserve">This paper has </w:t>
      </w:r>
      <w:r>
        <w:rPr>
          <w:rFonts w:ascii="Arial" w:hAnsi="Arial" w:cs="Arial"/>
          <w:sz w:val="24"/>
          <w:szCs w:val="24"/>
        </w:rPr>
        <w:t>two</w:t>
      </w:r>
      <w:r w:rsidRPr="009B5473">
        <w:rPr>
          <w:rFonts w:ascii="Arial" w:hAnsi="Arial" w:cs="Arial"/>
          <w:sz w:val="24"/>
          <w:szCs w:val="24"/>
        </w:rPr>
        <w:t xml:space="preserve"> goals. The first goal of this paper is analyze how customer experience has been defined in the marketing literature. The second goal is to propose a definition of customer experience and explains how it differs from related concepts, particularl</w:t>
      </w:r>
      <w:r>
        <w:rPr>
          <w:rFonts w:ascii="Arial" w:hAnsi="Arial" w:cs="Arial"/>
          <w:sz w:val="24"/>
          <w:szCs w:val="24"/>
        </w:rPr>
        <w:t>y value, perceived quality and customer satisfaction</w:t>
      </w:r>
      <w:r w:rsidRPr="009B5473">
        <w:rPr>
          <w:rFonts w:ascii="Arial" w:hAnsi="Arial" w:cs="Arial"/>
          <w:sz w:val="24"/>
          <w:szCs w:val="24"/>
        </w:rPr>
        <w:t>.</w:t>
      </w:r>
    </w:p>
    <w:p w:rsidR="009B5473" w:rsidRPr="009B5473" w:rsidRDefault="009B5473" w:rsidP="009B5473">
      <w:pPr>
        <w:spacing w:after="0" w:line="360" w:lineRule="auto"/>
        <w:rPr>
          <w:rFonts w:ascii="Arial" w:hAnsi="Arial" w:cs="Arial"/>
          <w:sz w:val="24"/>
          <w:szCs w:val="24"/>
        </w:rPr>
      </w:pPr>
    </w:p>
    <w:p w:rsidR="009B5473" w:rsidRPr="009B5473" w:rsidRDefault="009B5473" w:rsidP="009B5473">
      <w:pPr>
        <w:pStyle w:val="Ttulo1"/>
        <w:rPr>
          <w:rFonts w:ascii="Arial" w:hAnsi="Arial" w:cs="Arial"/>
          <w:szCs w:val="24"/>
        </w:rPr>
      </w:pPr>
      <w:r w:rsidRPr="009B5473">
        <w:rPr>
          <w:rFonts w:ascii="Arial" w:hAnsi="Arial" w:cs="Arial"/>
          <w:szCs w:val="24"/>
        </w:rPr>
        <w:t>2 Method</w:t>
      </w:r>
    </w:p>
    <w:p w:rsidR="009B5473" w:rsidRPr="009B5473" w:rsidRDefault="009B5473" w:rsidP="009B5473">
      <w:pPr>
        <w:spacing w:after="0" w:line="360" w:lineRule="auto"/>
        <w:rPr>
          <w:rFonts w:ascii="Arial" w:hAnsi="Arial" w:cs="Arial"/>
          <w:sz w:val="24"/>
          <w:szCs w:val="24"/>
        </w:rPr>
      </w:pPr>
    </w:p>
    <w:p w:rsidR="009B5473" w:rsidRPr="009B5473" w:rsidRDefault="009B5473" w:rsidP="009B5473">
      <w:pPr>
        <w:spacing w:after="0" w:line="360" w:lineRule="auto"/>
        <w:rPr>
          <w:rFonts w:ascii="Arial" w:hAnsi="Arial" w:cs="Arial"/>
          <w:sz w:val="24"/>
          <w:szCs w:val="24"/>
        </w:rPr>
      </w:pPr>
      <w:r w:rsidRPr="009B5473">
        <w:rPr>
          <w:rFonts w:ascii="Arial" w:hAnsi="Arial" w:cs="Arial"/>
          <w:sz w:val="24"/>
          <w:szCs w:val="24"/>
        </w:rPr>
        <w:tab/>
        <w:t>To achieve the goals, I conducted a systematic literature review of experience in marketing literature, following traditional guidelines (</w:t>
      </w:r>
      <w:r w:rsidR="001C6231">
        <w:rPr>
          <w:rFonts w:ascii="Arial" w:hAnsi="Arial" w:cs="Arial"/>
          <w:sz w:val="24"/>
          <w:szCs w:val="24"/>
        </w:rPr>
        <w:t xml:space="preserve">e.g., </w:t>
      </w:r>
      <w:r w:rsidRPr="009B5473">
        <w:rPr>
          <w:rFonts w:ascii="Arial" w:hAnsi="Arial" w:cs="Arial"/>
          <w:sz w:val="24"/>
          <w:szCs w:val="24"/>
        </w:rPr>
        <w:t xml:space="preserve">Booth et al., 2012).  First, before conducting the systematic literature review, I read 43 articles. Booth et al. (2012) call this process scoping search and it serves to familiarize with the literature and help with methodological choices. Second, I conducted a search on EBSCO and Science Direct databases using different types of expressions for experience (e.g., customer experience, consumer experience, service experience) that had to be present in the title, abstract or keywords. I restricted the choice to peer-reviewed journals, articles in English (when possible). This search resulted in 1769 articles. Third, I excluded repeated articles, editorials, comments and non-peer-reviewed articles, resulting in 698 articles. Fourth, I further excluded </w:t>
      </w:r>
      <w:r w:rsidRPr="009B5473">
        <w:rPr>
          <w:rFonts w:ascii="Arial" w:hAnsi="Arial" w:cs="Arial"/>
          <w:sz w:val="24"/>
          <w:szCs w:val="24"/>
        </w:rPr>
        <w:lastRenderedPageBreak/>
        <w:t>non-relevant articles using three criteria: a) experience had to be one of the central focuses of the article; b) B2C context; and c) the article had to present a definition or characterization of experience. This procedure resulted in 142 articles.</w:t>
      </w:r>
    </w:p>
    <w:p w:rsidR="009B5473" w:rsidRPr="009B5473" w:rsidRDefault="009B5473" w:rsidP="009B5473">
      <w:pPr>
        <w:spacing w:after="0" w:line="360" w:lineRule="auto"/>
        <w:rPr>
          <w:rFonts w:ascii="Arial" w:hAnsi="Arial" w:cs="Arial"/>
          <w:sz w:val="24"/>
          <w:szCs w:val="24"/>
        </w:rPr>
      </w:pPr>
      <w:r w:rsidRPr="009B5473">
        <w:rPr>
          <w:rFonts w:ascii="Arial" w:hAnsi="Arial" w:cs="Arial"/>
          <w:sz w:val="24"/>
          <w:szCs w:val="24"/>
        </w:rPr>
        <w:tab/>
        <w:t>Fifth, each article was read twice. In the second time, the definition of experience, the characterization, elements, antecedents, consequents, method, among other variables were written or coded in a codebook. Sixth, to analyze the data, each definition was read and classified according to its defining characteristic</w:t>
      </w:r>
      <w:r>
        <w:rPr>
          <w:rFonts w:ascii="Arial" w:hAnsi="Arial" w:cs="Arial"/>
          <w:sz w:val="24"/>
          <w:szCs w:val="24"/>
        </w:rPr>
        <w:t>s</w:t>
      </w:r>
      <w:r w:rsidRPr="009B5473">
        <w:rPr>
          <w:rFonts w:ascii="Arial" w:hAnsi="Arial" w:cs="Arial"/>
          <w:sz w:val="24"/>
          <w:szCs w:val="24"/>
        </w:rPr>
        <w:t xml:space="preserve"> (i.e., an outcome, assessment, response, service per se). This categorization was both deductive (after reading all the articles more than once I had an idea about the several types of definitions) and inductive (new categories I did not have in mind emerged </w:t>
      </w:r>
      <w:r>
        <w:rPr>
          <w:rFonts w:ascii="Arial" w:hAnsi="Arial" w:cs="Arial"/>
          <w:sz w:val="24"/>
          <w:szCs w:val="24"/>
        </w:rPr>
        <w:t>in this step</w:t>
      </w:r>
      <w:r w:rsidRPr="009B5473">
        <w:rPr>
          <w:rFonts w:ascii="Arial" w:hAnsi="Arial" w:cs="Arial"/>
          <w:sz w:val="24"/>
          <w:szCs w:val="24"/>
        </w:rPr>
        <w:t>). Seventh, these categories were grouped according to their similarities.</w:t>
      </w:r>
    </w:p>
    <w:p w:rsidR="009B5473" w:rsidRPr="009B5473" w:rsidRDefault="009B5473" w:rsidP="009B5473">
      <w:pPr>
        <w:spacing w:after="0" w:line="360" w:lineRule="auto"/>
        <w:rPr>
          <w:rFonts w:ascii="Arial" w:hAnsi="Arial" w:cs="Arial"/>
          <w:sz w:val="24"/>
          <w:szCs w:val="24"/>
        </w:rPr>
      </w:pPr>
    </w:p>
    <w:p w:rsidR="009B5473" w:rsidRPr="009B5473" w:rsidRDefault="009B5473" w:rsidP="009B5473">
      <w:pPr>
        <w:pStyle w:val="Ttulo1"/>
        <w:rPr>
          <w:rFonts w:ascii="Arial" w:hAnsi="Arial" w:cs="Arial"/>
          <w:szCs w:val="24"/>
        </w:rPr>
      </w:pPr>
      <w:r w:rsidRPr="009B5473">
        <w:rPr>
          <w:rFonts w:ascii="Arial" w:hAnsi="Arial" w:cs="Arial"/>
          <w:szCs w:val="24"/>
        </w:rPr>
        <w:t>3 Results</w:t>
      </w:r>
    </w:p>
    <w:p w:rsidR="009B5473" w:rsidRPr="009B5473" w:rsidRDefault="009B5473" w:rsidP="009B5473">
      <w:pPr>
        <w:spacing w:after="0" w:line="360" w:lineRule="auto"/>
        <w:rPr>
          <w:rFonts w:ascii="Arial" w:hAnsi="Arial" w:cs="Arial"/>
          <w:sz w:val="24"/>
          <w:szCs w:val="24"/>
        </w:rPr>
      </w:pPr>
    </w:p>
    <w:p w:rsidR="009B5473" w:rsidRPr="009B5473" w:rsidRDefault="009B5473" w:rsidP="009B5473">
      <w:pPr>
        <w:pStyle w:val="Ttulo1"/>
        <w:rPr>
          <w:rFonts w:ascii="Arial" w:hAnsi="Arial" w:cs="Arial"/>
          <w:b w:val="0"/>
          <w:i/>
          <w:szCs w:val="24"/>
        </w:rPr>
      </w:pPr>
      <w:r w:rsidRPr="009B5473">
        <w:rPr>
          <w:rFonts w:ascii="Arial" w:hAnsi="Arial" w:cs="Arial"/>
          <w:b w:val="0"/>
          <w:i/>
          <w:szCs w:val="24"/>
        </w:rPr>
        <w:t>3.1 Definitions of customer experience in marketing literature</w:t>
      </w:r>
    </w:p>
    <w:p w:rsidR="009B5473" w:rsidRPr="009B5473" w:rsidRDefault="009B5473" w:rsidP="009B5473">
      <w:pPr>
        <w:spacing w:after="0" w:line="360" w:lineRule="auto"/>
        <w:rPr>
          <w:rFonts w:ascii="Arial" w:hAnsi="Arial" w:cs="Arial"/>
          <w:sz w:val="24"/>
          <w:szCs w:val="24"/>
        </w:rPr>
      </w:pPr>
    </w:p>
    <w:p w:rsidR="009B5473" w:rsidRPr="009B5473" w:rsidRDefault="009B5473" w:rsidP="009B5473">
      <w:pPr>
        <w:spacing w:after="0" w:line="360" w:lineRule="auto"/>
        <w:rPr>
          <w:rFonts w:ascii="Arial" w:hAnsi="Arial" w:cs="Arial"/>
          <w:sz w:val="24"/>
          <w:szCs w:val="24"/>
        </w:rPr>
      </w:pPr>
      <w:r w:rsidRPr="009B5473">
        <w:rPr>
          <w:rFonts w:ascii="Arial" w:hAnsi="Arial" w:cs="Arial"/>
          <w:sz w:val="24"/>
          <w:szCs w:val="24"/>
        </w:rPr>
        <w:tab/>
        <w:t>The first goal of this paper was to analyze how customer experience has been defined in marketing literature. Five types of definitions of customer experience were found (Table 1).</w:t>
      </w:r>
    </w:p>
    <w:p w:rsidR="009B5473" w:rsidRPr="009B5473" w:rsidRDefault="009B5473" w:rsidP="009B5473">
      <w:pPr>
        <w:spacing w:after="0" w:line="360" w:lineRule="auto"/>
        <w:rPr>
          <w:rFonts w:ascii="Arial" w:hAnsi="Arial" w:cs="Arial"/>
          <w:sz w:val="24"/>
          <w:szCs w:val="24"/>
        </w:rPr>
      </w:pPr>
    </w:p>
    <w:tbl>
      <w:tblPr>
        <w:tblStyle w:val="Tabelacomgrade"/>
        <w:tblW w:w="0" w:type="auto"/>
        <w:tblLook w:val="04A0" w:firstRow="1" w:lastRow="0" w:firstColumn="1" w:lastColumn="0" w:noHBand="0" w:noVBand="1"/>
      </w:tblPr>
      <w:tblGrid>
        <w:gridCol w:w="2373"/>
        <w:gridCol w:w="5815"/>
        <w:gridCol w:w="1701"/>
      </w:tblGrid>
      <w:tr w:rsidR="00DC0C26" w:rsidRPr="009B5473" w:rsidTr="00DC0C26">
        <w:tc>
          <w:tcPr>
            <w:tcW w:w="2373" w:type="dxa"/>
          </w:tcPr>
          <w:p w:rsidR="00DC0C26" w:rsidRPr="009B5473" w:rsidRDefault="00DC0C26" w:rsidP="009B5473">
            <w:pPr>
              <w:spacing w:after="0"/>
              <w:rPr>
                <w:rFonts w:ascii="Arial" w:hAnsi="Arial" w:cs="Arial"/>
                <w:b/>
                <w:sz w:val="24"/>
                <w:szCs w:val="24"/>
              </w:rPr>
            </w:pPr>
            <w:r w:rsidRPr="009B5473">
              <w:rPr>
                <w:rFonts w:ascii="Arial" w:hAnsi="Arial" w:cs="Arial"/>
                <w:b/>
                <w:sz w:val="24"/>
                <w:szCs w:val="24"/>
              </w:rPr>
              <w:t>Type of definition</w:t>
            </w:r>
          </w:p>
        </w:tc>
        <w:tc>
          <w:tcPr>
            <w:tcW w:w="5815" w:type="dxa"/>
          </w:tcPr>
          <w:p w:rsidR="00DC0C26" w:rsidRPr="009B5473" w:rsidRDefault="00DC0C26" w:rsidP="009B5473">
            <w:pPr>
              <w:spacing w:after="0"/>
              <w:rPr>
                <w:rFonts w:ascii="Arial" w:hAnsi="Arial" w:cs="Arial"/>
                <w:b/>
                <w:sz w:val="24"/>
                <w:szCs w:val="24"/>
              </w:rPr>
            </w:pPr>
            <w:r w:rsidRPr="009B5473">
              <w:rPr>
                <w:rFonts w:ascii="Arial" w:hAnsi="Arial" w:cs="Arial"/>
                <w:b/>
                <w:sz w:val="24"/>
                <w:szCs w:val="24"/>
              </w:rPr>
              <w:t>Description</w:t>
            </w:r>
          </w:p>
        </w:tc>
        <w:tc>
          <w:tcPr>
            <w:tcW w:w="1701" w:type="dxa"/>
          </w:tcPr>
          <w:p w:rsidR="00DC0C26" w:rsidRPr="009B5473" w:rsidRDefault="00DC0C26" w:rsidP="009B5473">
            <w:pPr>
              <w:spacing w:after="0"/>
              <w:rPr>
                <w:rFonts w:ascii="Arial" w:hAnsi="Arial" w:cs="Arial"/>
                <w:b/>
                <w:sz w:val="24"/>
                <w:szCs w:val="24"/>
              </w:rPr>
            </w:pPr>
            <w:r w:rsidRPr="009B5473">
              <w:rPr>
                <w:rFonts w:ascii="Arial" w:hAnsi="Arial" w:cs="Arial"/>
                <w:b/>
                <w:sz w:val="24"/>
                <w:szCs w:val="24"/>
              </w:rPr>
              <w:t>Percentage</w:t>
            </w:r>
          </w:p>
        </w:tc>
      </w:tr>
      <w:tr w:rsidR="00DC0C26" w:rsidRPr="009B5473" w:rsidTr="00DC0C26">
        <w:tc>
          <w:tcPr>
            <w:tcW w:w="2373" w:type="dxa"/>
            <w:vAlign w:val="center"/>
          </w:tcPr>
          <w:p w:rsidR="00DC0C26" w:rsidRPr="009B5473" w:rsidRDefault="00DC0C26" w:rsidP="009B5473">
            <w:pPr>
              <w:spacing w:after="0"/>
              <w:rPr>
                <w:rFonts w:ascii="Arial" w:hAnsi="Arial" w:cs="Arial"/>
                <w:sz w:val="24"/>
                <w:szCs w:val="24"/>
              </w:rPr>
            </w:pPr>
            <w:r w:rsidRPr="009B5473">
              <w:rPr>
                <w:rFonts w:ascii="Arial" w:hAnsi="Arial" w:cs="Arial"/>
                <w:sz w:val="24"/>
                <w:szCs w:val="24"/>
              </w:rPr>
              <w:t>Experience as a reaction</w:t>
            </w:r>
          </w:p>
        </w:tc>
        <w:tc>
          <w:tcPr>
            <w:tcW w:w="5815" w:type="dxa"/>
            <w:vAlign w:val="center"/>
          </w:tcPr>
          <w:p w:rsidR="00DC0C26" w:rsidRPr="009B5473" w:rsidRDefault="00DC0C26" w:rsidP="009B5473">
            <w:pPr>
              <w:spacing w:after="0"/>
              <w:rPr>
                <w:rFonts w:ascii="Arial" w:hAnsi="Arial" w:cs="Arial"/>
                <w:sz w:val="24"/>
                <w:szCs w:val="24"/>
              </w:rPr>
            </w:pPr>
            <w:r w:rsidRPr="009B5473">
              <w:rPr>
                <w:rFonts w:ascii="Arial" w:hAnsi="Arial" w:cs="Arial"/>
                <w:sz w:val="24"/>
                <w:szCs w:val="24"/>
              </w:rPr>
              <w:t xml:space="preserve">Experience is defined as a response to, reaction to, perception of, or mental state derived from a situation (i.e., interactions with a company). </w:t>
            </w:r>
          </w:p>
        </w:tc>
        <w:tc>
          <w:tcPr>
            <w:tcW w:w="1701" w:type="dxa"/>
            <w:vAlign w:val="center"/>
          </w:tcPr>
          <w:p w:rsidR="00DC0C26" w:rsidRPr="009B5473" w:rsidRDefault="00DC0C26" w:rsidP="009B5473">
            <w:pPr>
              <w:spacing w:after="0"/>
              <w:rPr>
                <w:rFonts w:ascii="Arial" w:hAnsi="Arial" w:cs="Arial"/>
                <w:sz w:val="24"/>
                <w:szCs w:val="24"/>
              </w:rPr>
            </w:pPr>
            <w:r w:rsidRPr="009B5473">
              <w:rPr>
                <w:rFonts w:ascii="Arial" w:hAnsi="Arial" w:cs="Arial"/>
                <w:sz w:val="24"/>
                <w:szCs w:val="24"/>
              </w:rPr>
              <w:t>53.4%</w:t>
            </w:r>
          </w:p>
        </w:tc>
      </w:tr>
      <w:tr w:rsidR="00DC0C26" w:rsidRPr="009B5473" w:rsidTr="00DC0C26">
        <w:tc>
          <w:tcPr>
            <w:tcW w:w="2373" w:type="dxa"/>
            <w:vAlign w:val="center"/>
          </w:tcPr>
          <w:p w:rsidR="00DC0C26" w:rsidRPr="009B5473" w:rsidRDefault="00DC0C26" w:rsidP="009B5473">
            <w:pPr>
              <w:spacing w:after="0"/>
              <w:rPr>
                <w:rFonts w:ascii="Arial" w:hAnsi="Arial" w:cs="Arial"/>
                <w:sz w:val="24"/>
                <w:szCs w:val="24"/>
              </w:rPr>
            </w:pPr>
            <w:r w:rsidRPr="009B5473">
              <w:rPr>
                <w:rFonts w:ascii="Arial" w:hAnsi="Arial" w:cs="Arial"/>
                <w:sz w:val="24"/>
                <w:szCs w:val="24"/>
              </w:rPr>
              <w:t>Experience as interactions</w:t>
            </w:r>
          </w:p>
        </w:tc>
        <w:tc>
          <w:tcPr>
            <w:tcW w:w="5815" w:type="dxa"/>
            <w:vAlign w:val="center"/>
          </w:tcPr>
          <w:p w:rsidR="00DC0C26" w:rsidRPr="009B5473" w:rsidRDefault="00DC0C26" w:rsidP="009B5473">
            <w:pPr>
              <w:spacing w:after="0"/>
              <w:rPr>
                <w:rFonts w:ascii="Arial" w:hAnsi="Arial" w:cs="Arial"/>
                <w:sz w:val="24"/>
                <w:szCs w:val="24"/>
              </w:rPr>
            </w:pPr>
            <w:r w:rsidRPr="009B5473">
              <w:rPr>
                <w:rFonts w:ascii="Arial" w:hAnsi="Arial" w:cs="Arial"/>
                <w:sz w:val="24"/>
                <w:szCs w:val="24"/>
              </w:rPr>
              <w:t>Experience is defined as the activities, events and interactions the customer undergoes during a purchasing or consumption situation.</w:t>
            </w:r>
          </w:p>
        </w:tc>
        <w:tc>
          <w:tcPr>
            <w:tcW w:w="1701" w:type="dxa"/>
            <w:vAlign w:val="center"/>
          </w:tcPr>
          <w:p w:rsidR="00DC0C26" w:rsidRPr="009B5473" w:rsidRDefault="00DC0C26" w:rsidP="009B5473">
            <w:pPr>
              <w:spacing w:after="0"/>
              <w:rPr>
                <w:rFonts w:ascii="Arial" w:hAnsi="Arial" w:cs="Arial"/>
                <w:sz w:val="24"/>
                <w:szCs w:val="24"/>
              </w:rPr>
            </w:pPr>
            <w:r w:rsidRPr="009B5473">
              <w:rPr>
                <w:rFonts w:ascii="Arial" w:hAnsi="Arial" w:cs="Arial"/>
                <w:sz w:val="24"/>
                <w:szCs w:val="24"/>
              </w:rPr>
              <w:t>19.2%</w:t>
            </w:r>
          </w:p>
        </w:tc>
      </w:tr>
      <w:tr w:rsidR="00DC0C26" w:rsidRPr="009B5473" w:rsidTr="00DC0C26">
        <w:tc>
          <w:tcPr>
            <w:tcW w:w="2373" w:type="dxa"/>
            <w:vAlign w:val="center"/>
          </w:tcPr>
          <w:p w:rsidR="00DC0C26" w:rsidRPr="009B5473" w:rsidRDefault="00DC0C26" w:rsidP="009B5473">
            <w:pPr>
              <w:spacing w:after="0"/>
              <w:rPr>
                <w:rFonts w:ascii="Arial" w:hAnsi="Arial" w:cs="Arial"/>
                <w:sz w:val="24"/>
                <w:szCs w:val="24"/>
              </w:rPr>
            </w:pPr>
            <w:r w:rsidRPr="009B5473">
              <w:rPr>
                <w:rFonts w:ascii="Arial" w:hAnsi="Arial" w:cs="Arial"/>
                <w:sz w:val="24"/>
                <w:szCs w:val="24"/>
              </w:rPr>
              <w:t>Experience as assessment</w:t>
            </w:r>
          </w:p>
        </w:tc>
        <w:tc>
          <w:tcPr>
            <w:tcW w:w="5815" w:type="dxa"/>
            <w:vAlign w:val="center"/>
          </w:tcPr>
          <w:p w:rsidR="00DC0C26" w:rsidRPr="009B5473" w:rsidRDefault="00DC0C26" w:rsidP="009B5473">
            <w:pPr>
              <w:spacing w:after="0"/>
              <w:rPr>
                <w:rFonts w:ascii="Arial" w:hAnsi="Arial" w:cs="Arial"/>
                <w:sz w:val="24"/>
                <w:szCs w:val="24"/>
              </w:rPr>
            </w:pPr>
            <w:r w:rsidRPr="009B5473">
              <w:rPr>
                <w:rFonts w:ascii="Arial" w:hAnsi="Arial" w:cs="Arial"/>
                <w:sz w:val="24"/>
                <w:szCs w:val="24"/>
              </w:rPr>
              <w:t>Experience is defined as an assessment, evaluation, or outcome of a service or consumption situation.</w:t>
            </w:r>
          </w:p>
        </w:tc>
        <w:tc>
          <w:tcPr>
            <w:tcW w:w="1701" w:type="dxa"/>
            <w:vAlign w:val="center"/>
          </w:tcPr>
          <w:p w:rsidR="00DC0C26" w:rsidRPr="009B5473" w:rsidRDefault="00DC0C26" w:rsidP="009B5473">
            <w:pPr>
              <w:spacing w:after="0"/>
              <w:rPr>
                <w:rFonts w:ascii="Arial" w:hAnsi="Arial" w:cs="Arial"/>
                <w:sz w:val="24"/>
                <w:szCs w:val="24"/>
              </w:rPr>
            </w:pPr>
            <w:r w:rsidRPr="009B5473">
              <w:rPr>
                <w:rFonts w:ascii="Arial" w:hAnsi="Arial" w:cs="Arial"/>
                <w:sz w:val="24"/>
                <w:szCs w:val="24"/>
              </w:rPr>
              <w:t>14.4%</w:t>
            </w:r>
          </w:p>
        </w:tc>
      </w:tr>
      <w:tr w:rsidR="00DC0C26" w:rsidRPr="009B5473" w:rsidTr="00DC0C26">
        <w:tc>
          <w:tcPr>
            <w:tcW w:w="2373" w:type="dxa"/>
            <w:vAlign w:val="center"/>
          </w:tcPr>
          <w:p w:rsidR="00DC0C26" w:rsidRPr="009B5473" w:rsidRDefault="00DC0C26" w:rsidP="009B5473">
            <w:pPr>
              <w:spacing w:after="0"/>
              <w:rPr>
                <w:rFonts w:ascii="Arial" w:hAnsi="Arial" w:cs="Arial"/>
                <w:sz w:val="24"/>
                <w:szCs w:val="24"/>
              </w:rPr>
            </w:pPr>
            <w:r w:rsidRPr="009B5473">
              <w:rPr>
                <w:rFonts w:ascii="Arial" w:hAnsi="Arial" w:cs="Arial"/>
                <w:sz w:val="24"/>
                <w:szCs w:val="24"/>
              </w:rPr>
              <w:t>Experience as service</w:t>
            </w:r>
          </w:p>
        </w:tc>
        <w:tc>
          <w:tcPr>
            <w:tcW w:w="5815" w:type="dxa"/>
            <w:vAlign w:val="center"/>
          </w:tcPr>
          <w:p w:rsidR="00DC0C26" w:rsidRPr="009B5473" w:rsidRDefault="00DC0C26" w:rsidP="009B5473">
            <w:pPr>
              <w:spacing w:after="0"/>
              <w:rPr>
                <w:rFonts w:ascii="Arial" w:hAnsi="Arial" w:cs="Arial"/>
                <w:sz w:val="24"/>
                <w:szCs w:val="24"/>
              </w:rPr>
            </w:pPr>
            <w:r w:rsidRPr="009B5473">
              <w:rPr>
                <w:rFonts w:ascii="Arial" w:hAnsi="Arial" w:cs="Arial"/>
                <w:sz w:val="24"/>
                <w:szCs w:val="24"/>
              </w:rPr>
              <w:t xml:space="preserve">Experience is defined as the service per se, including the service personnel, </w:t>
            </w:r>
            <w:proofErr w:type="spellStart"/>
            <w:r w:rsidRPr="009B5473">
              <w:rPr>
                <w:rFonts w:ascii="Arial" w:hAnsi="Arial" w:cs="Arial"/>
                <w:sz w:val="24"/>
                <w:szCs w:val="24"/>
              </w:rPr>
              <w:t>servicescape</w:t>
            </w:r>
            <w:proofErr w:type="spellEnd"/>
            <w:r w:rsidRPr="009B5473">
              <w:rPr>
                <w:rFonts w:ascii="Arial" w:hAnsi="Arial" w:cs="Arial"/>
                <w:sz w:val="24"/>
                <w:szCs w:val="24"/>
              </w:rPr>
              <w:t xml:space="preserve"> and other customers.</w:t>
            </w:r>
          </w:p>
        </w:tc>
        <w:tc>
          <w:tcPr>
            <w:tcW w:w="1701" w:type="dxa"/>
            <w:vAlign w:val="center"/>
          </w:tcPr>
          <w:p w:rsidR="00DC0C26" w:rsidRPr="009B5473" w:rsidRDefault="00DC0C26" w:rsidP="009B5473">
            <w:pPr>
              <w:spacing w:after="0"/>
              <w:rPr>
                <w:rFonts w:ascii="Arial" w:hAnsi="Arial" w:cs="Arial"/>
                <w:sz w:val="24"/>
                <w:szCs w:val="24"/>
              </w:rPr>
            </w:pPr>
            <w:r w:rsidRPr="009B5473">
              <w:rPr>
                <w:rFonts w:ascii="Arial" w:hAnsi="Arial" w:cs="Arial"/>
                <w:sz w:val="24"/>
                <w:szCs w:val="24"/>
              </w:rPr>
              <w:t>7.5%</w:t>
            </w:r>
          </w:p>
        </w:tc>
      </w:tr>
      <w:tr w:rsidR="00DC0C26" w:rsidRPr="009B5473" w:rsidTr="00DC0C26">
        <w:tc>
          <w:tcPr>
            <w:tcW w:w="2373" w:type="dxa"/>
            <w:vAlign w:val="center"/>
          </w:tcPr>
          <w:p w:rsidR="00DC0C26" w:rsidRPr="009B5473" w:rsidRDefault="00DC0C26" w:rsidP="009B5473">
            <w:pPr>
              <w:spacing w:after="0"/>
              <w:rPr>
                <w:rFonts w:ascii="Arial" w:hAnsi="Arial" w:cs="Arial"/>
                <w:sz w:val="24"/>
                <w:szCs w:val="24"/>
              </w:rPr>
            </w:pPr>
            <w:r w:rsidRPr="009B5473">
              <w:rPr>
                <w:rFonts w:ascii="Arial" w:hAnsi="Arial" w:cs="Arial"/>
                <w:sz w:val="24"/>
                <w:szCs w:val="24"/>
              </w:rPr>
              <w:t>Experience as a type of offering</w:t>
            </w:r>
          </w:p>
        </w:tc>
        <w:tc>
          <w:tcPr>
            <w:tcW w:w="5815" w:type="dxa"/>
            <w:vAlign w:val="center"/>
          </w:tcPr>
          <w:p w:rsidR="00DC0C26" w:rsidRPr="009B5473" w:rsidRDefault="00DC0C26" w:rsidP="009B5473">
            <w:pPr>
              <w:spacing w:after="0"/>
              <w:rPr>
                <w:rFonts w:ascii="Arial" w:hAnsi="Arial" w:cs="Arial"/>
                <w:sz w:val="24"/>
                <w:szCs w:val="24"/>
              </w:rPr>
            </w:pPr>
            <w:r w:rsidRPr="009B5473">
              <w:rPr>
                <w:rFonts w:ascii="Arial" w:hAnsi="Arial" w:cs="Arial"/>
                <w:sz w:val="24"/>
                <w:szCs w:val="24"/>
              </w:rPr>
              <w:t>Experience is defined as a distinct type of offering that is staged to customers.</w:t>
            </w:r>
          </w:p>
        </w:tc>
        <w:tc>
          <w:tcPr>
            <w:tcW w:w="1701" w:type="dxa"/>
            <w:vAlign w:val="center"/>
          </w:tcPr>
          <w:p w:rsidR="00DC0C26" w:rsidRPr="009B5473" w:rsidRDefault="00DC0C26" w:rsidP="009B5473">
            <w:pPr>
              <w:spacing w:after="0"/>
              <w:rPr>
                <w:rFonts w:ascii="Arial" w:hAnsi="Arial" w:cs="Arial"/>
                <w:sz w:val="24"/>
                <w:szCs w:val="24"/>
              </w:rPr>
            </w:pPr>
            <w:r w:rsidRPr="009B5473">
              <w:rPr>
                <w:rFonts w:ascii="Arial" w:hAnsi="Arial" w:cs="Arial"/>
                <w:sz w:val="24"/>
                <w:szCs w:val="24"/>
              </w:rPr>
              <w:t>5.5%</w:t>
            </w:r>
          </w:p>
        </w:tc>
      </w:tr>
    </w:tbl>
    <w:p w:rsidR="009B5473" w:rsidRPr="009B5473" w:rsidRDefault="009B5473" w:rsidP="009B5473">
      <w:pPr>
        <w:spacing w:after="0" w:line="360" w:lineRule="auto"/>
        <w:rPr>
          <w:rFonts w:ascii="Arial" w:hAnsi="Arial" w:cs="Arial"/>
          <w:sz w:val="24"/>
          <w:szCs w:val="24"/>
          <w:lang w:val="fi-FI"/>
        </w:rPr>
      </w:pPr>
    </w:p>
    <w:p w:rsidR="009B5473" w:rsidRPr="009B5473" w:rsidRDefault="009B5473" w:rsidP="009B5473">
      <w:pPr>
        <w:spacing w:after="0" w:line="360" w:lineRule="auto"/>
        <w:rPr>
          <w:rFonts w:ascii="Arial" w:hAnsi="Arial" w:cs="Arial"/>
          <w:sz w:val="24"/>
          <w:szCs w:val="24"/>
        </w:rPr>
      </w:pPr>
      <w:r w:rsidRPr="009B5473">
        <w:rPr>
          <w:rFonts w:ascii="Arial" w:hAnsi="Arial" w:cs="Arial"/>
          <w:sz w:val="24"/>
          <w:szCs w:val="24"/>
          <w:lang w:val="fi-FI"/>
        </w:rPr>
        <w:lastRenderedPageBreak/>
        <w:tab/>
      </w:r>
      <w:r w:rsidRPr="009B5473">
        <w:rPr>
          <w:rFonts w:ascii="Arial" w:hAnsi="Arial" w:cs="Arial"/>
          <w:sz w:val="24"/>
          <w:szCs w:val="24"/>
        </w:rPr>
        <w:t xml:space="preserve">The most common definition of customer experience describes it as responses or reactions that emerge in the service, purchase or consumption process. Usually, these definitions portray experience as multidimensional, composing of emotional, cognitive, sensorial, behavioral and relational responses (e.g., </w:t>
      </w:r>
      <w:proofErr w:type="spellStart"/>
      <w:r w:rsidRPr="009B5473">
        <w:rPr>
          <w:rFonts w:ascii="Arial" w:hAnsi="Arial" w:cs="Arial"/>
          <w:sz w:val="24"/>
          <w:szCs w:val="24"/>
        </w:rPr>
        <w:t>Brakus</w:t>
      </w:r>
      <w:proofErr w:type="spellEnd"/>
      <w:r w:rsidRPr="009B5473">
        <w:rPr>
          <w:rFonts w:ascii="Arial" w:hAnsi="Arial" w:cs="Arial"/>
          <w:sz w:val="24"/>
          <w:szCs w:val="24"/>
        </w:rPr>
        <w:t xml:space="preserve"> et al., 2009). Also in this group there are those who define experience as a perception of, interpretation of, or mental </w:t>
      </w:r>
      <w:r>
        <w:rPr>
          <w:rFonts w:ascii="Arial" w:hAnsi="Arial" w:cs="Arial"/>
          <w:sz w:val="24"/>
          <w:szCs w:val="24"/>
        </w:rPr>
        <w:t xml:space="preserve">state </w:t>
      </w:r>
      <w:r w:rsidRPr="009B5473">
        <w:rPr>
          <w:rFonts w:ascii="Arial" w:hAnsi="Arial" w:cs="Arial"/>
          <w:sz w:val="24"/>
          <w:szCs w:val="24"/>
        </w:rPr>
        <w:t>derived from a service, purchase or consumption situation. In these studies, the experience is considered subjective and individual, commonly triggered by company-related stimuli.</w:t>
      </w:r>
    </w:p>
    <w:p w:rsidR="009B5473" w:rsidRPr="009B5473" w:rsidRDefault="009B5473" w:rsidP="009B5473">
      <w:pPr>
        <w:spacing w:after="0" w:line="360" w:lineRule="auto"/>
        <w:rPr>
          <w:rFonts w:ascii="Arial" w:hAnsi="Arial" w:cs="Arial"/>
          <w:sz w:val="24"/>
          <w:szCs w:val="24"/>
        </w:rPr>
      </w:pPr>
      <w:r w:rsidRPr="009B5473">
        <w:rPr>
          <w:rFonts w:ascii="Arial" w:hAnsi="Arial" w:cs="Arial"/>
          <w:sz w:val="24"/>
          <w:szCs w:val="24"/>
        </w:rPr>
        <w:tab/>
        <w:t xml:space="preserve">The second most common definition describes experiences not as responses to interactions with multiple actors (often the company or the company elements), but as the interactions per se. </w:t>
      </w:r>
      <w:r w:rsidR="002413D4">
        <w:rPr>
          <w:rFonts w:ascii="Arial" w:hAnsi="Arial" w:cs="Arial"/>
          <w:sz w:val="24"/>
          <w:szCs w:val="24"/>
        </w:rPr>
        <w:t>I</w:t>
      </w:r>
      <w:r w:rsidRPr="009B5473">
        <w:rPr>
          <w:rFonts w:ascii="Arial" w:hAnsi="Arial" w:cs="Arial"/>
          <w:sz w:val="24"/>
          <w:szCs w:val="24"/>
        </w:rPr>
        <w:t xml:space="preserve">n some of these definitions, the authors state that these interactions create customer’s emotional, cognitive and behavioral responses (e.g., </w:t>
      </w:r>
      <w:proofErr w:type="spellStart"/>
      <w:r w:rsidRPr="009B5473">
        <w:rPr>
          <w:rFonts w:ascii="Arial" w:hAnsi="Arial" w:cs="Arial"/>
          <w:sz w:val="24"/>
          <w:szCs w:val="24"/>
        </w:rPr>
        <w:t>Edvardsson</w:t>
      </w:r>
      <w:proofErr w:type="spellEnd"/>
      <w:r w:rsidRPr="009B5473">
        <w:rPr>
          <w:rFonts w:ascii="Arial" w:hAnsi="Arial" w:cs="Arial"/>
          <w:sz w:val="24"/>
          <w:szCs w:val="24"/>
        </w:rPr>
        <w:t xml:space="preserve"> et al., 2005). At first, these two groups of definitions can seem very similar, but in the first case, the interactions with a service provider can be considered one of the antecedents of customer experience (the responses), while in </w:t>
      </w:r>
      <w:bookmarkStart w:id="0" w:name="_GoBack"/>
      <w:bookmarkEnd w:id="0"/>
      <w:r w:rsidRPr="009B5473">
        <w:rPr>
          <w:rFonts w:ascii="Arial" w:hAnsi="Arial" w:cs="Arial"/>
          <w:sz w:val="24"/>
          <w:szCs w:val="24"/>
        </w:rPr>
        <w:t>the latter, the interactions are the customer experience, which causes responses (a different variable).</w:t>
      </w:r>
    </w:p>
    <w:p w:rsidR="009B5473" w:rsidRPr="009B5473" w:rsidRDefault="009B5473" w:rsidP="009B5473">
      <w:pPr>
        <w:spacing w:after="0" w:line="360" w:lineRule="auto"/>
        <w:rPr>
          <w:rFonts w:ascii="Arial" w:hAnsi="Arial" w:cs="Arial"/>
          <w:sz w:val="24"/>
          <w:szCs w:val="24"/>
        </w:rPr>
      </w:pPr>
      <w:r w:rsidRPr="009B5473">
        <w:rPr>
          <w:rFonts w:ascii="Arial" w:hAnsi="Arial" w:cs="Arial"/>
          <w:sz w:val="24"/>
          <w:szCs w:val="24"/>
        </w:rPr>
        <w:tab/>
      </w:r>
      <w:r>
        <w:rPr>
          <w:rFonts w:ascii="Arial" w:hAnsi="Arial" w:cs="Arial"/>
          <w:sz w:val="24"/>
          <w:szCs w:val="24"/>
        </w:rPr>
        <w:t>The third group</w:t>
      </w:r>
      <w:r w:rsidRPr="009B5473">
        <w:rPr>
          <w:rFonts w:ascii="Arial" w:hAnsi="Arial" w:cs="Arial"/>
          <w:sz w:val="24"/>
          <w:szCs w:val="24"/>
        </w:rPr>
        <w:t xml:space="preserve"> defines customer experience as an assessment, evaluation or outcome of a service, purchase or consumption situation. Here, measures such as service quality and satisfaction are often used as a proxy for customer experience (e.g., </w:t>
      </w:r>
      <w:proofErr w:type="spellStart"/>
      <w:r w:rsidRPr="009B5473">
        <w:rPr>
          <w:rFonts w:ascii="Arial" w:hAnsi="Arial" w:cs="Arial"/>
          <w:sz w:val="24"/>
          <w:szCs w:val="24"/>
        </w:rPr>
        <w:t>Ngobo</w:t>
      </w:r>
      <w:proofErr w:type="spellEnd"/>
      <w:r w:rsidRPr="009B5473">
        <w:rPr>
          <w:rFonts w:ascii="Arial" w:hAnsi="Arial" w:cs="Arial"/>
          <w:sz w:val="24"/>
          <w:szCs w:val="24"/>
        </w:rPr>
        <w:t>, 2005). Therefore, this definition seems to involve a more calculative, cognitive aspect than a reaction. It could be argued that the cognitive dimension in the first group could be an assessment. However, the cognitive dimension involves a reaction instead of a calculative assessment</w:t>
      </w:r>
      <w:r w:rsidR="00DC0C26">
        <w:rPr>
          <w:rFonts w:ascii="Arial" w:hAnsi="Arial" w:cs="Arial"/>
          <w:sz w:val="24"/>
          <w:szCs w:val="24"/>
        </w:rPr>
        <w:t xml:space="preserve"> (e.g., curiosity)</w:t>
      </w:r>
      <w:r w:rsidRPr="009B5473">
        <w:rPr>
          <w:rFonts w:ascii="Arial" w:hAnsi="Arial" w:cs="Arial"/>
          <w:sz w:val="24"/>
          <w:szCs w:val="24"/>
        </w:rPr>
        <w:t>.</w:t>
      </w:r>
    </w:p>
    <w:p w:rsidR="009B5473" w:rsidRPr="009B5473" w:rsidRDefault="009B5473" w:rsidP="009B5473">
      <w:pPr>
        <w:spacing w:after="0" w:line="360" w:lineRule="auto"/>
        <w:rPr>
          <w:rFonts w:ascii="Arial" w:hAnsi="Arial" w:cs="Arial"/>
          <w:sz w:val="24"/>
          <w:szCs w:val="24"/>
        </w:rPr>
      </w:pPr>
      <w:r w:rsidRPr="009B5473">
        <w:rPr>
          <w:rFonts w:ascii="Arial" w:hAnsi="Arial" w:cs="Arial"/>
          <w:sz w:val="24"/>
          <w:szCs w:val="24"/>
        </w:rPr>
        <w:tab/>
        <w:t xml:space="preserve">The last two groups define customer experience as the service provision per se, containing elements such as the </w:t>
      </w:r>
      <w:proofErr w:type="spellStart"/>
      <w:r w:rsidRPr="009B5473">
        <w:rPr>
          <w:rFonts w:ascii="Arial" w:hAnsi="Arial" w:cs="Arial"/>
          <w:sz w:val="24"/>
          <w:szCs w:val="24"/>
        </w:rPr>
        <w:t>servicescape</w:t>
      </w:r>
      <w:proofErr w:type="spellEnd"/>
      <w:r w:rsidRPr="009B5473">
        <w:rPr>
          <w:rFonts w:ascii="Arial" w:hAnsi="Arial" w:cs="Arial"/>
          <w:sz w:val="24"/>
          <w:szCs w:val="24"/>
        </w:rPr>
        <w:t xml:space="preserve">, interpersonal interaction and other customers (e.g., Grove &amp; Fisk, 1992) or a type of offering, where the extraordinary, hedonic experience is created by the company and delivered to the customers (Pine and Gilmore, 1998). </w:t>
      </w:r>
    </w:p>
    <w:p w:rsidR="009B5473" w:rsidRPr="009B5473" w:rsidRDefault="009B5473" w:rsidP="009B5473">
      <w:pPr>
        <w:spacing w:after="0" w:line="360" w:lineRule="auto"/>
        <w:rPr>
          <w:rFonts w:ascii="Arial" w:hAnsi="Arial" w:cs="Arial"/>
          <w:sz w:val="24"/>
          <w:szCs w:val="24"/>
        </w:rPr>
      </w:pPr>
    </w:p>
    <w:p w:rsidR="009B5473" w:rsidRPr="009B5473" w:rsidRDefault="009B5473" w:rsidP="009B5473">
      <w:pPr>
        <w:pStyle w:val="Ttulo1"/>
        <w:rPr>
          <w:rFonts w:ascii="Arial" w:hAnsi="Arial" w:cs="Arial"/>
          <w:b w:val="0"/>
          <w:i/>
          <w:szCs w:val="24"/>
        </w:rPr>
      </w:pPr>
      <w:r w:rsidRPr="009B5473">
        <w:rPr>
          <w:rFonts w:ascii="Arial" w:hAnsi="Arial" w:cs="Arial"/>
          <w:b w:val="0"/>
          <w:i/>
          <w:szCs w:val="24"/>
        </w:rPr>
        <w:t>3.2 Proposed definition of customer experience</w:t>
      </w:r>
    </w:p>
    <w:p w:rsidR="009B5473" w:rsidRPr="009B5473" w:rsidRDefault="009B5473" w:rsidP="009B5473">
      <w:pPr>
        <w:spacing w:after="0" w:line="360" w:lineRule="auto"/>
        <w:rPr>
          <w:rFonts w:ascii="Arial" w:hAnsi="Arial" w:cs="Arial"/>
          <w:sz w:val="24"/>
          <w:szCs w:val="24"/>
        </w:rPr>
      </w:pPr>
    </w:p>
    <w:p w:rsidR="009B5473" w:rsidRPr="009B5473" w:rsidRDefault="009B5473" w:rsidP="009B5473">
      <w:pPr>
        <w:spacing w:after="0" w:line="360" w:lineRule="auto"/>
        <w:rPr>
          <w:rFonts w:ascii="Arial" w:hAnsi="Arial" w:cs="Arial"/>
          <w:sz w:val="24"/>
          <w:szCs w:val="24"/>
        </w:rPr>
      </w:pPr>
      <w:r w:rsidRPr="009B5473">
        <w:rPr>
          <w:rFonts w:ascii="Arial" w:hAnsi="Arial" w:cs="Arial"/>
          <w:sz w:val="24"/>
          <w:szCs w:val="24"/>
        </w:rPr>
        <w:tab/>
        <w:t xml:space="preserve">There are many discussions in academia questioning whether customer experience is a different concept or it is only an old concept with a new package. The answer to this </w:t>
      </w:r>
      <w:r w:rsidRPr="009B5473">
        <w:rPr>
          <w:rFonts w:ascii="Arial" w:hAnsi="Arial" w:cs="Arial"/>
          <w:sz w:val="24"/>
          <w:szCs w:val="24"/>
        </w:rPr>
        <w:lastRenderedPageBreak/>
        <w:t>question depends on the definition of customer experience that is adopted. In this database of articles, many authors defined customer experience similarly to other conce</w:t>
      </w:r>
      <w:r w:rsidR="00DC0C26">
        <w:rPr>
          <w:rFonts w:ascii="Arial" w:hAnsi="Arial" w:cs="Arial"/>
          <w:sz w:val="24"/>
          <w:szCs w:val="24"/>
        </w:rPr>
        <w:t>pts, such as service encounter</w:t>
      </w:r>
      <w:r w:rsidRPr="009B5473">
        <w:rPr>
          <w:rFonts w:ascii="Arial" w:hAnsi="Arial" w:cs="Arial"/>
          <w:sz w:val="24"/>
          <w:szCs w:val="24"/>
        </w:rPr>
        <w:t>,</w:t>
      </w:r>
      <w:r w:rsidR="00DC0C26">
        <w:rPr>
          <w:rFonts w:ascii="Arial" w:hAnsi="Arial" w:cs="Arial"/>
          <w:sz w:val="24"/>
          <w:szCs w:val="24"/>
        </w:rPr>
        <w:t xml:space="preserve"> service as a type of offering</w:t>
      </w:r>
      <w:r w:rsidRPr="009B5473">
        <w:rPr>
          <w:rFonts w:ascii="Arial" w:hAnsi="Arial" w:cs="Arial"/>
          <w:sz w:val="24"/>
          <w:szCs w:val="24"/>
        </w:rPr>
        <w:t>, satisfaction with the service encounter,</w:t>
      </w:r>
      <w:r w:rsidR="00B44FEA">
        <w:rPr>
          <w:rFonts w:ascii="Arial" w:hAnsi="Arial" w:cs="Arial"/>
          <w:sz w:val="24"/>
          <w:szCs w:val="24"/>
        </w:rPr>
        <w:t xml:space="preserve"> and</w:t>
      </w:r>
      <w:r w:rsidR="00DC0C26">
        <w:rPr>
          <w:rFonts w:ascii="Arial" w:hAnsi="Arial" w:cs="Arial"/>
          <w:sz w:val="24"/>
          <w:szCs w:val="24"/>
        </w:rPr>
        <w:t xml:space="preserve"> service quality</w:t>
      </w:r>
      <w:r w:rsidR="00B44FEA">
        <w:rPr>
          <w:rFonts w:ascii="Arial" w:hAnsi="Arial" w:cs="Arial"/>
          <w:sz w:val="24"/>
          <w:szCs w:val="24"/>
        </w:rPr>
        <w:t>.</w:t>
      </w:r>
    </w:p>
    <w:p w:rsidR="001655D6" w:rsidRDefault="00B44FEA" w:rsidP="009B5473">
      <w:pPr>
        <w:spacing w:after="0" w:line="360" w:lineRule="auto"/>
        <w:ind w:firstLine="720"/>
        <w:rPr>
          <w:rFonts w:ascii="Arial" w:hAnsi="Arial" w:cs="Arial"/>
          <w:sz w:val="24"/>
          <w:szCs w:val="24"/>
        </w:rPr>
      </w:pPr>
      <w:r>
        <w:rPr>
          <w:rFonts w:ascii="Arial" w:hAnsi="Arial" w:cs="Arial"/>
          <w:sz w:val="24"/>
          <w:szCs w:val="24"/>
        </w:rPr>
        <w:t>The definition of</w:t>
      </w:r>
      <w:r w:rsidRPr="00B44FEA">
        <w:rPr>
          <w:rFonts w:ascii="Arial" w:hAnsi="Arial" w:cs="Arial"/>
          <w:sz w:val="24"/>
          <w:szCs w:val="24"/>
        </w:rPr>
        <w:t xml:space="preserve"> experience as a response or reaction that emerges during a customer journey </w:t>
      </w:r>
      <w:r>
        <w:rPr>
          <w:rFonts w:ascii="Arial" w:hAnsi="Arial" w:cs="Arial"/>
          <w:sz w:val="24"/>
          <w:szCs w:val="24"/>
        </w:rPr>
        <w:t xml:space="preserve">does not overlap significantly with these other concepts. </w:t>
      </w:r>
      <w:r w:rsidR="009B5473" w:rsidRPr="009B5473">
        <w:rPr>
          <w:rFonts w:ascii="Arial" w:hAnsi="Arial" w:cs="Arial"/>
          <w:i/>
          <w:sz w:val="24"/>
          <w:szCs w:val="24"/>
        </w:rPr>
        <w:t>Perceived service quality</w:t>
      </w:r>
      <w:r w:rsidR="009B5473" w:rsidRPr="009B5473">
        <w:rPr>
          <w:rFonts w:ascii="Arial" w:hAnsi="Arial" w:cs="Arial"/>
          <w:sz w:val="24"/>
          <w:szCs w:val="24"/>
        </w:rPr>
        <w:t xml:space="preserve"> is defined as a global attitude or judgment about the superiority or excellence of a service</w:t>
      </w:r>
      <w:r>
        <w:rPr>
          <w:rFonts w:ascii="Arial" w:hAnsi="Arial" w:cs="Arial"/>
          <w:sz w:val="24"/>
          <w:szCs w:val="24"/>
        </w:rPr>
        <w:t xml:space="preserve"> and its elements (e.g., responsiveness)</w:t>
      </w:r>
      <w:r w:rsidR="009B5473" w:rsidRPr="009B5473">
        <w:rPr>
          <w:rFonts w:ascii="Arial" w:hAnsi="Arial" w:cs="Arial"/>
          <w:sz w:val="24"/>
          <w:szCs w:val="24"/>
        </w:rPr>
        <w:t xml:space="preserve"> (</w:t>
      </w:r>
      <w:proofErr w:type="spellStart"/>
      <w:r w:rsidR="009B5473" w:rsidRPr="009B5473">
        <w:rPr>
          <w:rFonts w:ascii="Arial" w:hAnsi="Arial" w:cs="Arial"/>
          <w:sz w:val="24"/>
          <w:szCs w:val="24"/>
        </w:rPr>
        <w:t>Parasuraman</w:t>
      </w:r>
      <w:proofErr w:type="spellEnd"/>
      <w:r w:rsidR="009B5473" w:rsidRPr="009B5473">
        <w:rPr>
          <w:rFonts w:ascii="Arial" w:hAnsi="Arial" w:cs="Arial"/>
          <w:sz w:val="24"/>
          <w:szCs w:val="24"/>
        </w:rPr>
        <w:t xml:space="preserve"> et al., 1988). </w:t>
      </w:r>
      <w:r>
        <w:rPr>
          <w:rFonts w:ascii="Arial" w:hAnsi="Arial" w:cs="Arial"/>
          <w:sz w:val="24"/>
          <w:szCs w:val="24"/>
        </w:rPr>
        <w:t xml:space="preserve">Oliver (2010) </w:t>
      </w:r>
      <w:r w:rsidR="009B5473" w:rsidRPr="009B5473">
        <w:rPr>
          <w:rFonts w:ascii="Arial" w:hAnsi="Arial" w:cs="Arial"/>
          <w:sz w:val="24"/>
          <w:szCs w:val="24"/>
        </w:rPr>
        <w:t xml:space="preserve">defines </w:t>
      </w:r>
      <w:r w:rsidR="009B5473" w:rsidRPr="00B44FEA">
        <w:rPr>
          <w:rFonts w:ascii="Arial" w:hAnsi="Arial" w:cs="Arial"/>
          <w:i/>
          <w:sz w:val="24"/>
          <w:szCs w:val="24"/>
        </w:rPr>
        <w:t>satisfaction</w:t>
      </w:r>
      <w:r w:rsidR="009B5473" w:rsidRPr="009B5473">
        <w:rPr>
          <w:rFonts w:ascii="Arial" w:hAnsi="Arial" w:cs="Arial"/>
          <w:sz w:val="24"/>
          <w:szCs w:val="24"/>
        </w:rPr>
        <w:t xml:space="preserve"> as the </w:t>
      </w:r>
      <w:r w:rsidRPr="009B5473">
        <w:rPr>
          <w:rFonts w:ascii="Arial" w:hAnsi="Arial" w:cs="Arial"/>
          <w:sz w:val="24"/>
          <w:szCs w:val="24"/>
        </w:rPr>
        <w:t>judgment</w:t>
      </w:r>
      <w:r w:rsidR="009B5473" w:rsidRPr="009B5473">
        <w:rPr>
          <w:rFonts w:ascii="Arial" w:hAnsi="Arial" w:cs="Arial"/>
          <w:sz w:val="24"/>
          <w:szCs w:val="24"/>
        </w:rPr>
        <w:t xml:space="preserve"> of whether a characteristic of or the product/service </w:t>
      </w:r>
      <w:r w:rsidR="009B5473" w:rsidRPr="009B5473">
        <w:rPr>
          <w:rFonts w:ascii="Arial" w:hAnsi="Arial" w:cs="Arial"/>
          <w:i/>
          <w:sz w:val="24"/>
          <w:szCs w:val="24"/>
        </w:rPr>
        <w:t>per se</w:t>
      </w:r>
      <w:r w:rsidR="009B5473" w:rsidRPr="009B5473">
        <w:rPr>
          <w:rFonts w:ascii="Arial" w:hAnsi="Arial" w:cs="Arial"/>
          <w:sz w:val="24"/>
          <w:szCs w:val="24"/>
        </w:rPr>
        <w:t xml:space="preserve"> provided a certain level of pleasant consumption. </w:t>
      </w:r>
      <w:r>
        <w:rPr>
          <w:rFonts w:ascii="Arial" w:hAnsi="Arial" w:cs="Arial"/>
          <w:sz w:val="24"/>
          <w:szCs w:val="24"/>
        </w:rPr>
        <w:t xml:space="preserve">Therefore, if we define experience as an assessment, there is </w:t>
      </w:r>
      <w:r>
        <w:rPr>
          <w:rFonts w:ascii="Arial" w:hAnsi="Arial" w:cs="Arial"/>
          <w:sz w:val="24"/>
          <w:szCs w:val="24"/>
        </w:rPr>
        <w:t>a substantial overlap</w:t>
      </w:r>
      <w:r>
        <w:rPr>
          <w:rFonts w:ascii="Arial" w:hAnsi="Arial" w:cs="Arial"/>
          <w:sz w:val="24"/>
          <w:szCs w:val="24"/>
        </w:rPr>
        <w:t xml:space="preserve"> between these constructs.</w:t>
      </w:r>
      <w:r w:rsidR="002413D4">
        <w:rPr>
          <w:rFonts w:ascii="Arial" w:hAnsi="Arial" w:cs="Arial"/>
          <w:sz w:val="24"/>
          <w:szCs w:val="24"/>
        </w:rPr>
        <w:t xml:space="preserve"> </w:t>
      </w:r>
      <w:r w:rsidR="001655D6">
        <w:rPr>
          <w:rFonts w:ascii="Arial" w:hAnsi="Arial" w:cs="Arial"/>
          <w:sz w:val="24"/>
          <w:szCs w:val="24"/>
        </w:rPr>
        <w:t>Perceived value has traditionally been conceptualized as the difference between the benefits and costs of an offering. More recent views on value, however, conceptualize it as an improvement in the customer’s well-being (</w:t>
      </w:r>
      <w:proofErr w:type="spellStart"/>
      <w:r w:rsidR="001655D6">
        <w:rPr>
          <w:rFonts w:ascii="Arial" w:hAnsi="Arial" w:cs="Arial"/>
          <w:sz w:val="24"/>
          <w:szCs w:val="24"/>
        </w:rPr>
        <w:t>Vargo</w:t>
      </w:r>
      <w:proofErr w:type="spellEnd"/>
      <w:r w:rsidR="001655D6">
        <w:rPr>
          <w:rFonts w:ascii="Arial" w:hAnsi="Arial" w:cs="Arial"/>
          <w:sz w:val="24"/>
          <w:szCs w:val="24"/>
        </w:rPr>
        <w:t xml:space="preserve"> &amp; </w:t>
      </w:r>
      <w:proofErr w:type="spellStart"/>
      <w:r w:rsidR="001655D6">
        <w:rPr>
          <w:rFonts w:ascii="Arial" w:hAnsi="Arial" w:cs="Arial"/>
          <w:sz w:val="24"/>
          <w:szCs w:val="24"/>
        </w:rPr>
        <w:t>Lusch</w:t>
      </w:r>
      <w:proofErr w:type="spellEnd"/>
      <w:r w:rsidR="001655D6">
        <w:rPr>
          <w:rFonts w:ascii="Arial" w:hAnsi="Arial" w:cs="Arial"/>
          <w:sz w:val="24"/>
          <w:szCs w:val="24"/>
        </w:rPr>
        <w:t>, 2012</w:t>
      </w:r>
      <w:r w:rsidR="002413D4">
        <w:rPr>
          <w:rFonts w:ascii="Arial" w:hAnsi="Arial" w:cs="Arial"/>
          <w:sz w:val="24"/>
          <w:szCs w:val="24"/>
        </w:rPr>
        <w:t>)</w:t>
      </w:r>
      <w:r w:rsidR="001655D6">
        <w:rPr>
          <w:rFonts w:ascii="Arial" w:hAnsi="Arial" w:cs="Arial"/>
          <w:sz w:val="24"/>
          <w:szCs w:val="24"/>
        </w:rPr>
        <w:t>. Therefore, these concepts also differ from customer experience as a response or reaction to the elements in the customer journey.</w:t>
      </w:r>
    </w:p>
    <w:p w:rsidR="001655D6" w:rsidRDefault="001655D6" w:rsidP="001655D6">
      <w:pPr>
        <w:spacing w:after="0" w:line="360" w:lineRule="auto"/>
        <w:rPr>
          <w:rFonts w:ascii="Arial" w:hAnsi="Arial" w:cs="Arial"/>
          <w:sz w:val="24"/>
          <w:szCs w:val="24"/>
        </w:rPr>
      </w:pPr>
    </w:p>
    <w:p w:rsidR="001655D6" w:rsidRPr="001655D6" w:rsidRDefault="001655D6" w:rsidP="001655D6">
      <w:pPr>
        <w:pStyle w:val="Ttulo1"/>
        <w:rPr>
          <w:rFonts w:ascii="Arial" w:hAnsi="Arial" w:cs="Arial"/>
        </w:rPr>
      </w:pPr>
      <w:r w:rsidRPr="001655D6">
        <w:rPr>
          <w:rFonts w:ascii="Arial" w:hAnsi="Arial" w:cs="Arial"/>
        </w:rPr>
        <w:t>4 Conclusion</w:t>
      </w:r>
    </w:p>
    <w:p w:rsidR="001655D6" w:rsidRDefault="001655D6" w:rsidP="001655D6">
      <w:pPr>
        <w:spacing w:after="0" w:line="360" w:lineRule="auto"/>
        <w:rPr>
          <w:rFonts w:ascii="Arial" w:hAnsi="Arial" w:cs="Arial"/>
          <w:sz w:val="24"/>
          <w:szCs w:val="24"/>
        </w:rPr>
      </w:pPr>
    </w:p>
    <w:p w:rsidR="00B44FEA" w:rsidRPr="009B5473" w:rsidRDefault="001655D6" w:rsidP="001655D6">
      <w:pPr>
        <w:spacing w:after="0" w:line="360" w:lineRule="auto"/>
        <w:rPr>
          <w:rFonts w:ascii="Arial" w:hAnsi="Arial" w:cs="Arial"/>
          <w:sz w:val="24"/>
          <w:szCs w:val="24"/>
        </w:rPr>
      </w:pPr>
      <w:r>
        <w:rPr>
          <w:rFonts w:ascii="Arial" w:hAnsi="Arial" w:cs="Arial"/>
          <w:sz w:val="24"/>
          <w:szCs w:val="24"/>
        </w:rPr>
        <w:tab/>
        <w:t xml:space="preserve">In this paper, I identified the main definitions of experience in the literature and proposed a definition that differs from related constructs. Customer experience is defined as responses or reactions to elements in a customer journey. This definition is not new, but is necessary in light of the several controversies around this construct. By defining experience as a reaction, many implications can be drawn. First, a reaction can be considered spontaneous, involuntary. Therefore, in conceptual models, these reactions would be considered antecedents to evaluative concepts, such as service quality and satisfaction, which can be considered more deliberate. Second, </w:t>
      </w:r>
      <w:r w:rsidR="00717651">
        <w:rPr>
          <w:rFonts w:ascii="Arial" w:hAnsi="Arial" w:cs="Arial"/>
          <w:sz w:val="24"/>
          <w:szCs w:val="24"/>
        </w:rPr>
        <w:t xml:space="preserve">having </w:t>
      </w:r>
      <w:r>
        <w:rPr>
          <w:rFonts w:ascii="Arial" w:hAnsi="Arial" w:cs="Arial"/>
          <w:sz w:val="24"/>
          <w:szCs w:val="24"/>
        </w:rPr>
        <w:t>a single</w:t>
      </w:r>
      <w:r w:rsidR="00717651">
        <w:rPr>
          <w:rFonts w:ascii="Arial" w:hAnsi="Arial" w:cs="Arial"/>
          <w:sz w:val="24"/>
          <w:szCs w:val="24"/>
        </w:rPr>
        <w:t xml:space="preserve"> and clear</w:t>
      </w:r>
      <w:r>
        <w:rPr>
          <w:rFonts w:ascii="Arial" w:hAnsi="Arial" w:cs="Arial"/>
          <w:sz w:val="24"/>
          <w:szCs w:val="24"/>
        </w:rPr>
        <w:t xml:space="preserve"> definition allow</w:t>
      </w:r>
      <w:r w:rsidR="00717651">
        <w:rPr>
          <w:rFonts w:ascii="Arial" w:hAnsi="Arial" w:cs="Arial"/>
          <w:sz w:val="24"/>
          <w:szCs w:val="24"/>
        </w:rPr>
        <w:t>s</w:t>
      </w:r>
      <w:r>
        <w:rPr>
          <w:rFonts w:ascii="Arial" w:hAnsi="Arial" w:cs="Arial"/>
          <w:sz w:val="24"/>
          <w:szCs w:val="24"/>
        </w:rPr>
        <w:t xml:space="preserve"> this literature to move forward, for instance, by allowing meta-analyses on the antecedents and consequents of customer experience.</w:t>
      </w:r>
    </w:p>
    <w:p w:rsidR="009B5473" w:rsidRPr="009B5473" w:rsidRDefault="009B5473" w:rsidP="009B5473">
      <w:pPr>
        <w:spacing w:after="0" w:line="360" w:lineRule="auto"/>
        <w:rPr>
          <w:rFonts w:ascii="Arial" w:hAnsi="Arial" w:cs="Arial"/>
          <w:sz w:val="24"/>
          <w:szCs w:val="24"/>
        </w:rPr>
      </w:pPr>
      <w:r w:rsidRPr="009B5473">
        <w:rPr>
          <w:rFonts w:ascii="Arial" w:hAnsi="Arial" w:cs="Arial"/>
          <w:sz w:val="24"/>
          <w:szCs w:val="24"/>
        </w:rPr>
        <w:tab/>
      </w:r>
    </w:p>
    <w:p w:rsidR="002413D4" w:rsidRPr="002413D4" w:rsidRDefault="002413D4" w:rsidP="002413D4">
      <w:pPr>
        <w:pStyle w:val="Ttulo1"/>
        <w:rPr>
          <w:rFonts w:ascii="Arial" w:hAnsi="Arial" w:cs="Arial"/>
        </w:rPr>
      </w:pPr>
      <w:r w:rsidRPr="002413D4">
        <w:rPr>
          <w:rFonts w:ascii="Arial" w:hAnsi="Arial" w:cs="Arial"/>
        </w:rPr>
        <w:t>REFERENCES</w:t>
      </w:r>
    </w:p>
    <w:p w:rsidR="002413D4" w:rsidRPr="00232861" w:rsidRDefault="002413D4" w:rsidP="002413D4">
      <w:pPr>
        <w:spacing w:after="0" w:line="360" w:lineRule="auto"/>
        <w:ind w:left="851" w:hanging="851"/>
        <w:rPr>
          <w:rFonts w:ascii="Arial" w:hAnsi="Arial" w:cs="Arial"/>
          <w:sz w:val="24"/>
          <w:szCs w:val="24"/>
        </w:rPr>
      </w:pPr>
    </w:p>
    <w:p w:rsidR="002413D4" w:rsidRPr="00232861" w:rsidRDefault="002413D4" w:rsidP="002413D4">
      <w:pPr>
        <w:pStyle w:val="Default"/>
        <w:spacing w:line="360" w:lineRule="auto"/>
        <w:ind w:left="851" w:hanging="851"/>
        <w:rPr>
          <w:lang w:val="en-US"/>
        </w:rPr>
      </w:pPr>
      <w:proofErr w:type="gramStart"/>
      <w:r w:rsidRPr="00232861">
        <w:rPr>
          <w:lang w:val="en-US"/>
        </w:rPr>
        <w:lastRenderedPageBreak/>
        <w:t xml:space="preserve">Booth, A., </w:t>
      </w:r>
      <w:proofErr w:type="spellStart"/>
      <w:r w:rsidRPr="00232861">
        <w:rPr>
          <w:lang w:val="en-US"/>
        </w:rPr>
        <w:t>Papaioannou</w:t>
      </w:r>
      <w:proofErr w:type="spellEnd"/>
      <w:r w:rsidRPr="00232861">
        <w:rPr>
          <w:lang w:val="en-US"/>
        </w:rPr>
        <w:t>, D., &amp; Sutton, A. (2012).</w:t>
      </w:r>
      <w:proofErr w:type="gramEnd"/>
      <w:r w:rsidRPr="00232861">
        <w:rPr>
          <w:lang w:val="en-US"/>
        </w:rPr>
        <w:t xml:space="preserve"> </w:t>
      </w:r>
      <w:r w:rsidRPr="00232861">
        <w:rPr>
          <w:i/>
          <w:lang w:val="en-US"/>
        </w:rPr>
        <w:t>Systematic approaches to a successful literature review.</w:t>
      </w:r>
      <w:r w:rsidRPr="00232861">
        <w:rPr>
          <w:lang w:val="en-US"/>
        </w:rPr>
        <w:t xml:space="preserve"> London: Sage.</w:t>
      </w:r>
    </w:p>
    <w:p w:rsidR="002413D4" w:rsidRPr="00232861" w:rsidRDefault="002413D4" w:rsidP="002413D4">
      <w:pPr>
        <w:pStyle w:val="Default"/>
        <w:spacing w:line="360" w:lineRule="auto"/>
        <w:ind w:left="851" w:hanging="851"/>
        <w:rPr>
          <w:lang w:val="en-US"/>
        </w:rPr>
      </w:pPr>
      <w:proofErr w:type="spellStart"/>
      <w:proofErr w:type="gramStart"/>
      <w:r w:rsidRPr="00232861">
        <w:rPr>
          <w:lang w:val="en-US"/>
        </w:rPr>
        <w:t>Brakus</w:t>
      </w:r>
      <w:proofErr w:type="spellEnd"/>
      <w:r w:rsidRPr="00232861">
        <w:rPr>
          <w:lang w:val="en-US"/>
        </w:rPr>
        <w:t xml:space="preserve">, J. J., Schmitt, B. H., &amp; </w:t>
      </w:r>
      <w:proofErr w:type="spellStart"/>
      <w:r w:rsidRPr="00232861">
        <w:rPr>
          <w:lang w:val="en-US"/>
        </w:rPr>
        <w:t>Zarantonello</w:t>
      </w:r>
      <w:proofErr w:type="spellEnd"/>
      <w:r w:rsidRPr="00232861">
        <w:rPr>
          <w:lang w:val="en-US"/>
        </w:rPr>
        <w:t>, L. (2009).</w:t>
      </w:r>
      <w:proofErr w:type="gramEnd"/>
      <w:r w:rsidRPr="00232861">
        <w:rPr>
          <w:lang w:val="en-US"/>
        </w:rPr>
        <w:t xml:space="preserve"> Brand experience: What is it? How is it measured? Does it affect loyalty? </w:t>
      </w:r>
      <w:r w:rsidRPr="00232861">
        <w:rPr>
          <w:i/>
          <w:lang w:val="en-US"/>
        </w:rPr>
        <w:t>Journal of Marketing</w:t>
      </w:r>
      <w:r w:rsidRPr="00232861">
        <w:rPr>
          <w:lang w:val="en-US"/>
        </w:rPr>
        <w:t xml:space="preserve">, </w:t>
      </w:r>
      <w:r w:rsidRPr="00232861">
        <w:rPr>
          <w:i/>
          <w:lang w:val="en-US"/>
        </w:rPr>
        <w:t>73</w:t>
      </w:r>
      <w:r w:rsidRPr="00232861">
        <w:rPr>
          <w:lang w:val="en-US"/>
        </w:rPr>
        <w:t>, 52-68.</w:t>
      </w:r>
    </w:p>
    <w:p w:rsidR="002413D4" w:rsidRPr="00232861" w:rsidRDefault="002413D4" w:rsidP="002413D4">
      <w:pPr>
        <w:pStyle w:val="Default"/>
        <w:spacing w:line="360" w:lineRule="auto"/>
        <w:ind w:left="851" w:hanging="851"/>
        <w:rPr>
          <w:lang w:val="en-US"/>
        </w:rPr>
      </w:pPr>
      <w:proofErr w:type="spellStart"/>
      <w:proofErr w:type="gramStart"/>
      <w:r w:rsidRPr="00232861">
        <w:rPr>
          <w:lang w:val="en-US"/>
        </w:rPr>
        <w:t>Edvardsson</w:t>
      </w:r>
      <w:proofErr w:type="spellEnd"/>
      <w:r w:rsidRPr="00232861">
        <w:rPr>
          <w:lang w:val="en-US"/>
        </w:rPr>
        <w:t xml:space="preserve">, B., </w:t>
      </w:r>
      <w:proofErr w:type="spellStart"/>
      <w:r w:rsidRPr="00232861">
        <w:rPr>
          <w:lang w:val="en-US"/>
        </w:rPr>
        <w:t>Enquist</w:t>
      </w:r>
      <w:proofErr w:type="spellEnd"/>
      <w:r w:rsidRPr="00232861">
        <w:rPr>
          <w:lang w:val="en-US"/>
        </w:rPr>
        <w:t>, B., &amp; Johnston, R. (2005).</w:t>
      </w:r>
      <w:proofErr w:type="gramEnd"/>
      <w:r w:rsidRPr="00232861">
        <w:rPr>
          <w:lang w:val="en-US"/>
        </w:rPr>
        <w:t xml:space="preserve"> </w:t>
      </w:r>
      <w:proofErr w:type="spellStart"/>
      <w:proofErr w:type="gramStart"/>
      <w:r w:rsidRPr="00232861">
        <w:rPr>
          <w:lang w:val="en-US"/>
        </w:rPr>
        <w:t>Cocreating</w:t>
      </w:r>
      <w:proofErr w:type="spellEnd"/>
      <w:r w:rsidRPr="00232861">
        <w:rPr>
          <w:lang w:val="en-US"/>
        </w:rPr>
        <w:t xml:space="preserve"> customer value through </w:t>
      </w:r>
      <w:proofErr w:type="spellStart"/>
      <w:r w:rsidRPr="00232861">
        <w:rPr>
          <w:lang w:val="en-US"/>
        </w:rPr>
        <w:t>hyperreality</w:t>
      </w:r>
      <w:proofErr w:type="spellEnd"/>
      <w:r w:rsidRPr="00232861">
        <w:rPr>
          <w:lang w:val="en-US"/>
        </w:rPr>
        <w:t xml:space="preserve"> in the </w:t>
      </w:r>
      <w:proofErr w:type="spellStart"/>
      <w:r w:rsidRPr="00232861">
        <w:rPr>
          <w:lang w:val="en-US"/>
        </w:rPr>
        <w:t>prepurchase</w:t>
      </w:r>
      <w:proofErr w:type="spellEnd"/>
      <w:r w:rsidRPr="00232861">
        <w:rPr>
          <w:lang w:val="en-US"/>
        </w:rPr>
        <w:t xml:space="preserve"> service experience.</w:t>
      </w:r>
      <w:proofErr w:type="gramEnd"/>
      <w:r w:rsidRPr="00232861">
        <w:rPr>
          <w:lang w:val="en-US"/>
        </w:rPr>
        <w:t xml:space="preserve"> </w:t>
      </w:r>
      <w:r w:rsidRPr="00232861">
        <w:rPr>
          <w:i/>
          <w:lang w:val="en-US"/>
        </w:rPr>
        <w:t>Journal of Service Research</w:t>
      </w:r>
      <w:r w:rsidRPr="00232861">
        <w:rPr>
          <w:lang w:val="en-US"/>
        </w:rPr>
        <w:t xml:space="preserve">, </w:t>
      </w:r>
      <w:r w:rsidRPr="00232861">
        <w:rPr>
          <w:i/>
          <w:lang w:val="en-US"/>
        </w:rPr>
        <w:t>8</w:t>
      </w:r>
      <w:r w:rsidRPr="00232861">
        <w:rPr>
          <w:lang w:val="en-US"/>
        </w:rPr>
        <w:t>(2), 149-161.</w:t>
      </w:r>
    </w:p>
    <w:p w:rsidR="002413D4" w:rsidRPr="00232861" w:rsidRDefault="002413D4" w:rsidP="002413D4">
      <w:pPr>
        <w:spacing w:after="0" w:line="360" w:lineRule="auto"/>
        <w:ind w:left="851" w:hanging="851"/>
        <w:rPr>
          <w:rFonts w:ascii="Arial" w:hAnsi="Arial" w:cs="Arial"/>
          <w:sz w:val="24"/>
          <w:szCs w:val="24"/>
        </w:rPr>
      </w:pPr>
      <w:proofErr w:type="gramStart"/>
      <w:r w:rsidRPr="00232861">
        <w:rPr>
          <w:rFonts w:ascii="Arial" w:hAnsi="Arial" w:cs="Arial"/>
          <w:sz w:val="24"/>
          <w:szCs w:val="24"/>
        </w:rPr>
        <w:t>Grove, S. J. &amp; Fisk, R. P. (1992).</w:t>
      </w:r>
      <w:proofErr w:type="gramEnd"/>
      <w:r w:rsidRPr="00232861">
        <w:rPr>
          <w:rFonts w:ascii="Arial" w:hAnsi="Arial" w:cs="Arial"/>
          <w:sz w:val="24"/>
          <w:szCs w:val="24"/>
        </w:rPr>
        <w:t xml:space="preserve"> </w:t>
      </w:r>
      <w:proofErr w:type="gramStart"/>
      <w:r w:rsidRPr="00232861">
        <w:rPr>
          <w:rFonts w:ascii="Arial" w:hAnsi="Arial" w:cs="Arial"/>
          <w:sz w:val="24"/>
          <w:szCs w:val="24"/>
        </w:rPr>
        <w:t>The service experience as theater</w:t>
      </w:r>
      <w:r w:rsidRPr="00232861">
        <w:rPr>
          <w:rFonts w:ascii="Arial" w:hAnsi="Arial" w:cs="Arial"/>
          <w:i/>
          <w:sz w:val="24"/>
          <w:szCs w:val="24"/>
        </w:rPr>
        <w:t>.</w:t>
      </w:r>
      <w:proofErr w:type="gramEnd"/>
      <w:r w:rsidRPr="00232861">
        <w:rPr>
          <w:rFonts w:ascii="Arial" w:hAnsi="Arial" w:cs="Arial"/>
          <w:i/>
          <w:sz w:val="24"/>
          <w:szCs w:val="24"/>
        </w:rPr>
        <w:t xml:space="preserve"> Advances in Consumer Research</w:t>
      </w:r>
      <w:r w:rsidRPr="00232861">
        <w:rPr>
          <w:rFonts w:ascii="Arial" w:hAnsi="Arial" w:cs="Arial"/>
          <w:sz w:val="24"/>
          <w:szCs w:val="24"/>
        </w:rPr>
        <w:t xml:space="preserve">, </w:t>
      </w:r>
      <w:r w:rsidRPr="00232861">
        <w:rPr>
          <w:rFonts w:ascii="Arial" w:hAnsi="Arial" w:cs="Arial"/>
          <w:i/>
          <w:sz w:val="24"/>
          <w:szCs w:val="24"/>
        </w:rPr>
        <w:t>19</w:t>
      </w:r>
      <w:r w:rsidRPr="00232861">
        <w:rPr>
          <w:rFonts w:ascii="Arial" w:hAnsi="Arial" w:cs="Arial"/>
          <w:sz w:val="24"/>
          <w:szCs w:val="24"/>
        </w:rPr>
        <w:t>, 455-461.</w:t>
      </w:r>
    </w:p>
    <w:p w:rsidR="002413D4" w:rsidRPr="00232861" w:rsidRDefault="002413D4" w:rsidP="002413D4">
      <w:pPr>
        <w:pStyle w:val="Default"/>
        <w:spacing w:line="360" w:lineRule="auto"/>
        <w:ind w:left="851" w:hanging="851"/>
        <w:rPr>
          <w:lang w:val="en-US"/>
        </w:rPr>
      </w:pPr>
      <w:proofErr w:type="gramStart"/>
      <w:r w:rsidRPr="00232861">
        <w:rPr>
          <w:lang w:val="en-US"/>
        </w:rPr>
        <w:t xml:space="preserve">Holbrook, M. B. &amp; </w:t>
      </w:r>
      <w:proofErr w:type="spellStart"/>
      <w:r w:rsidRPr="00232861">
        <w:rPr>
          <w:lang w:val="en-US"/>
        </w:rPr>
        <w:t>Hirschmann</w:t>
      </w:r>
      <w:proofErr w:type="spellEnd"/>
      <w:r w:rsidRPr="00232861">
        <w:rPr>
          <w:lang w:val="en-US"/>
        </w:rPr>
        <w:t>, E. C. (1982).</w:t>
      </w:r>
      <w:proofErr w:type="gramEnd"/>
      <w:r w:rsidRPr="00232861">
        <w:rPr>
          <w:lang w:val="en-US"/>
        </w:rPr>
        <w:t xml:space="preserve"> The experiential aspects of consumption: consumer fantasies, feelings, and fun. </w:t>
      </w:r>
      <w:r w:rsidRPr="00232861">
        <w:rPr>
          <w:i/>
          <w:lang w:val="en-US"/>
        </w:rPr>
        <w:t>Journal of Consumer Research</w:t>
      </w:r>
      <w:r w:rsidRPr="00232861">
        <w:rPr>
          <w:lang w:val="en-US"/>
        </w:rPr>
        <w:t xml:space="preserve">, </w:t>
      </w:r>
      <w:r w:rsidRPr="00232861">
        <w:rPr>
          <w:i/>
          <w:lang w:val="en-US"/>
        </w:rPr>
        <w:t>9</w:t>
      </w:r>
      <w:r w:rsidRPr="00232861">
        <w:rPr>
          <w:lang w:val="en-US"/>
        </w:rPr>
        <w:t>(2), 132-140.</w:t>
      </w:r>
    </w:p>
    <w:p w:rsidR="002413D4" w:rsidRPr="00232861" w:rsidRDefault="002413D4" w:rsidP="002413D4">
      <w:pPr>
        <w:pStyle w:val="Default"/>
        <w:spacing w:line="360" w:lineRule="auto"/>
        <w:ind w:left="851" w:hanging="851"/>
        <w:rPr>
          <w:color w:val="auto"/>
          <w:lang w:val="en-US"/>
        </w:rPr>
      </w:pPr>
      <w:proofErr w:type="spellStart"/>
      <w:r w:rsidRPr="00232861">
        <w:rPr>
          <w:color w:val="auto"/>
          <w:lang w:val="en-US"/>
        </w:rPr>
        <w:t>Ngobo</w:t>
      </w:r>
      <w:proofErr w:type="spellEnd"/>
      <w:r w:rsidRPr="00232861">
        <w:rPr>
          <w:color w:val="auto"/>
          <w:lang w:val="en-US"/>
        </w:rPr>
        <w:t xml:space="preserve">, P. V. (2005). </w:t>
      </w:r>
      <w:proofErr w:type="gramStart"/>
      <w:r w:rsidRPr="00232861">
        <w:rPr>
          <w:color w:val="auto"/>
          <w:lang w:val="en-US"/>
        </w:rPr>
        <w:t>Drives of upward and downward migration: An empirical investigation among theatregoers.</w:t>
      </w:r>
      <w:proofErr w:type="gramEnd"/>
      <w:r w:rsidRPr="00232861">
        <w:rPr>
          <w:color w:val="auto"/>
          <w:lang w:val="en-US"/>
        </w:rPr>
        <w:t xml:space="preserve"> </w:t>
      </w:r>
      <w:r w:rsidRPr="00232861">
        <w:rPr>
          <w:i/>
          <w:color w:val="auto"/>
          <w:lang w:val="en-US"/>
        </w:rPr>
        <w:t>International Journal of Research in Marketing</w:t>
      </w:r>
      <w:r w:rsidRPr="00232861">
        <w:rPr>
          <w:color w:val="auto"/>
          <w:lang w:val="en-US"/>
        </w:rPr>
        <w:t xml:space="preserve">, </w:t>
      </w:r>
      <w:r w:rsidRPr="00232861">
        <w:rPr>
          <w:i/>
          <w:color w:val="auto"/>
          <w:lang w:val="en-US"/>
        </w:rPr>
        <w:t>22</w:t>
      </w:r>
      <w:r w:rsidRPr="00232861">
        <w:rPr>
          <w:color w:val="auto"/>
          <w:lang w:val="en-US"/>
        </w:rPr>
        <w:t>, 183-201.</w:t>
      </w:r>
    </w:p>
    <w:p w:rsidR="002413D4" w:rsidRPr="00232861" w:rsidRDefault="002413D4" w:rsidP="002413D4">
      <w:pPr>
        <w:pStyle w:val="Default"/>
        <w:spacing w:line="360" w:lineRule="auto"/>
        <w:ind w:left="851" w:hanging="851"/>
        <w:rPr>
          <w:lang w:val="en-US"/>
        </w:rPr>
      </w:pPr>
      <w:r w:rsidRPr="00232861">
        <w:rPr>
          <w:lang w:val="en-US"/>
        </w:rPr>
        <w:t xml:space="preserve">Oliver, R. L. (2010). </w:t>
      </w:r>
      <w:r w:rsidRPr="00232861">
        <w:rPr>
          <w:i/>
          <w:lang w:val="en-US"/>
        </w:rPr>
        <w:t>Satisfaction:</w:t>
      </w:r>
      <w:r w:rsidRPr="00232861">
        <w:rPr>
          <w:lang w:val="en-US"/>
        </w:rPr>
        <w:t xml:space="preserve"> A behavioral perspective on the consumer. 2. ed. M.E. Sharpe: Armonk, New York; London, England.</w:t>
      </w:r>
    </w:p>
    <w:p w:rsidR="002413D4" w:rsidRPr="00232861" w:rsidRDefault="002413D4" w:rsidP="002413D4">
      <w:pPr>
        <w:pStyle w:val="Default"/>
        <w:spacing w:line="360" w:lineRule="auto"/>
        <w:ind w:left="851" w:hanging="851"/>
        <w:rPr>
          <w:color w:val="auto"/>
          <w:lang w:val="en-US"/>
        </w:rPr>
      </w:pPr>
      <w:proofErr w:type="spellStart"/>
      <w:proofErr w:type="gramStart"/>
      <w:r w:rsidRPr="00232861">
        <w:rPr>
          <w:color w:val="auto"/>
          <w:lang w:val="en-US"/>
        </w:rPr>
        <w:t>Parasuraman</w:t>
      </w:r>
      <w:proofErr w:type="spellEnd"/>
      <w:r w:rsidRPr="00232861">
        <w:rPr>
          <w:color w:val="auto"/>
          <w:lang w:val="en-US"/>
        </w:rPr>
        <w:t xml:space="preserve">, A., </w:t>
      </w:r>
      <w:proofErr w:type="spellStart"/>
      <w:r w:rsidRPr="00232861">
        <w:rPr>
          <w:color w:val="auto"/>
          <w:lang w:val="en-US"/>
        </w:rPr>
        <w:t>Zeithaml</w:t>
      </w:r>
      <w:proofErr w:type="spellEnd"/>
      <w:r w:rsidRPr="00232861">
        <w:rPr>
          <w:color w:val="auto"/>
          <w:lang w:val="en-US"/>
        </w:rPr>
        <w:t>, V. A., &amp; Berry, L. L. (1988).</w:t>
      </w:r>
      <w:proofErr w:type="gramEnd"/>
      <w:r w:rsidRPr="00232861">
        <w:rPr>
          <w:color w:val="auto"/>
          <w:lang w:val="en-US"/>
        </w:rPr>
        <w:t xml:space="preserve"> SERVQUAL: A multiple-item scale for measuring consumer perceptions of service quality. </w:t>
      </w:r>
      <w:r w:rsidRPr="00232861">
        <w:rPr>
          <w:i/>
          <w:color w:val="auto"/>
          <w:lang w:val="en-US"/>
        </w:rPr>
        <w:t>Journal of Retailing</w:t>
      </w:r>
      <w:r w:rsidRPr="00232861">
        <w:rPr>
          <w:color w:val="auto"/>
          <w:lang w:val="en-US"/>
        </w:rPr>
        <w:t xml:space="preserve">, </w:t>
      </w:r>
      <w:r w:rsidRPr="00232861">
        <w:rPr>
          <w:i/>
          <w:color w:val="auto"/>
          <w:lang w:val="en-US"/>
        </w:rPr>
        <w:t>64</w:t>
      </w:r>
      <w:r w:rsidRPr="00232861">
        <w:rPr>
          <w:color w:val="auto"/>
          <w:lang w:val="en-US"/>
        </w:rPr>
        <w:t>(1), 12-40.</w:t>
      </w:r>
    </w:p>
    <w:p w:rsidR="002413D4" w:rsidRPr="00232861" w:rsidRDefault="002413D4" w:rsidP="002413D4">
      <w:pPr>
        <w:pStyle w:val="Default"/>
        <w:spacing w:line="360" w:lineRule="auto"/>
        <w:ind w:left="851" w:hanging="851"/>
        <w:rPr>
          <w:color w:val="auto"/>
          <w:lang w:val="en-US"/>
        </w:rPr>
      </w:pPr>
      <w:r w:rsidRPr="00232861">
        <w:rPr>
          <w:color w:val="auto"/>
          <w:lang w:val="en-US"/>
        </w:rPr>
        <w:t xml:space="preserve">Pine II, B. J. &amp; Gilmore, J. H. (1998). Welcome to the experience economy. </w:t>
      </w:r>
      <w:r w:rsidRPr="00232861">
        <w:rPr>
          <w:i/>
          <w:color w:val="auto"/>
          <w:lang w:val="en-US"/>
        </w:rPr>
        <w:t>Harvard Business Review,</w:t>
      </w:r>
      <w:r w:rsidRPr="00232861">
        <w:rPr>
          <w:color w:val="auto"/>
          <w:lang w:val="en-US"/>
        </w:rPr>
        <w:t xml:space="preserve"> 97-105.</w:t>
      </w:r>
    </w:p>
    <w:p w:rsidR="00234074" w:rsidRPr="009B5473" w:rsidRDefault="002413D4" w:rsidP="002413D4">
      <w:pPr>
        <w:spacing w:after="0" w:line="360" w:lineRule="auto"/>
        <w:ind w:left="851" w:hanging="851"/>
        <w:rPr>
          <w:rFonts w:ascii="Arial" w:hAnsi="Arial" w:cs="Arial"/>
          <w:sz w:val="24"/>
          <w:szCs w:val="24"/>
        </w:rPr>
      </w:pPr>
      <w:r w:rsidRPr="00232861">
        <w:rPr>
          <w:rFonts w:ascii="Arial" w:hAnsi="Arial" w:cs="Arial"/>
          <w:sz w:val="24"/>
          <w:szCs w:val="24"/>
          <w:lang w:val="sv-SE"/>
        </w:rPr>
        <w:t xml:space="preserve">Vargo, S. L. &amp; Lusch, R. F. (2012). </w:t>
      </w:r>
      <w:r w:rsidRPr="00232861">
        <w:rPr>
          <w:rFonts w:ascii="Arial" w:hAnsi="Arial" w:cs="Arial"/>
          <w:sz w:val="24"/>
          <w:szCs w:val="24"/>
        </w:rPr>
        <w:t xml:space="preserve">The nature and understanding of value: a service-dominant logic perspective. </w:t>
      </w:r>
      <w:r w:rsidRPr="002413D4">
        <w:rPr>
          <w:rFonts w:ascii="Arial" w:hAnsi="Arial" w:cs="Arial"/>
          <w:i/>
          <w:sz w:val="24"/>
          <w:szCs w:val="24"/>
        </w:rPr>
        <w:t>Review of Marketing Research</w:t>
      </w:r>
      <w:r w:rsidRPr="00232861">
        <w:rPr>
          <w:rFonts w:ascii="Arial" w:hAnsi="Arial" w:cs="Arial"/>
          <w:sz w:val="24"/>
          <w:szCs w:val="24"/>
        </w:rPr>
        <w:t xml:space="preserve">, </w:t>
      </w:r>
      <w:r w:rsidRPr="002413D4">
        <w:rPr>
          <w:rFonts w:ascii="Arial" w:hAnsi="Arial" w:cs="Arial"/>
          <w:i/>
          <w:sz w:val="24"/>
          <w:szCs w:val="24"/>
        </w:rPr>
        <w:t>9</w:t>
      </w:r>
      <w:r w:rsidRPr="00232861">
        <w:rPr>
          <w:rFonts w:ascii="Arial" w:hAnsi="Arial" w:cs="Arial"/>
          <w:sz w:val="24"/>
          <w:szCs w:val="24"/>
        </w:rPr>
        <w:t>, 1-12.</w:t>
      </w:r>
    </w:p>
    <w:sectPr w:rsidR="00234074" w:rsidRPr="009B5473">
      <w:pgSz w:w="12240" w:h="15840"/>
      <w:pgMar w:top="1417" w:right="1134" w:bottom="1417" w:left="1134"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C5511" w:rsidRDefault="006C5511" w:rsidP="009B5473">
      <w:pPr>
        <w:spacing w:after="0" w:line="240" w:lineRule="auto"/>
      </w:pPr>
      <w:r>
        <w:separator/>
      </w:r>
    </w:p>
  </w:endnote>
  <w:endnote w:type="continuationSeparator" w:id="0">
    <w:p w:rsidR="006C5511" w:rsidRDefault="006C5511" w:rsidP="009B547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E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C5511" w:rsidRDefault="006C5511" w:rsidP="009B5473">
      <w:pPr>
        <w:spacing w:after="0" w:line="240" w:lineRule="auto"/>
      </w:pPr>
      <w:r>
        <w:separator/>
      </w:r>
    </w:p>
  </w:footnote>
  <w:footnote w:type="continuationSeparator" w:id="0">
    <w:p w:rsidR="006C5511" w:rsidRDefault="006C5511" w:rsidP="009B5473">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B5473"/>
    <w:rsid w:val="001655D6"/>
    <w:rsid w:val="001C6231"/>
    <w:rsid w:val="00234074"/>
    <w:rsid w:val="002413D4"/>
    <w:rsid w:val="006C5511"/>
    <w:rsid w:val="00717651"/>
    <w:rsid w:val="009B5473"/>
    <w:rsid w:val="00B44FEA"/>
    <w:rsid w:val="00DC0C26"/>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pt-B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B5473"/>
    <w:pPr>
      <w:spacing w:after="160" w:line="259" w:lineRule="auto"/>
    </w:pPr>
    <w:rPr>
      <w:lang w:val="en-US"/>
    </w:rPr>
  </w:style>
  <w:style w:type="paragraph" w:styleId="Ttulo1">
    <w:name w:val="heading 1"/>
    <w:basedOn w:val="Normal"/>
    <w:next w:val="Normal"/>
    <w:link w:val="Ttulo1Char"/>
    <w:uiPriority w:val="9"/>
    <w:qFormat/>
    <w:rsid w:val="009B5473"/>
    <w:pPr>
      <w:keepNext/>
      <w:keepLines/>
      <w:spacing w:after="0" w:line="360" w:lineRule="auto"/>
      <w:outlineLvl w:val="0"/>
    </w:pPr>
    <w:rPr>
      <w:rFonts w:ascii="Times New Roman" w:eastAsiaTheme="majorEastAsia" w:hAnsi="Times New Roman" w:cstheme="majorBidi"/>
      <w:b/>
      <w:sz w:val="24"/>
      <w:szCs w:val="32"/>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Ttulo1Char">
    <w:name w:val="Título 1 Char"/>
    <w:basedOn w:val="Fontepargpadro"/>
    <w:link w:val="Ttulo1"/>
    <w:uiPriority w:val="9"/>
    <w:rsid w:val="009B5473"/>
    <w:rPr>
      <w:rFonts w:ascii="Times New Roman" w:eastAsiaTheme="majorEastAsia" w:hAnsi="Times New Roman" w:cstheme="majorBidi"/>
      <w:b/>
      <w:sz w:val="24"/>
      <w:szCs w:val="32"/>
      <w:lang w:val="en-US"/>
    </w:rPr>
  </w:style>
  <w:style w:type="paragraph" w:styleId="Textodenotaderodap">
    <w:name w:val="footnote text"/>
    <w:basedOn w:val="Normal"/>
    <w:link w:val="TextodenotaderodapChar"/>
    <w:uiPriority w:val="99"/>
    <w:semiHidden/>
    <w:unhideWhenUsed/>
    <w:rsid w:val="009B5473"/>
    <w:pPr>
      <w:spacing w:after="0" w:line="240" w:lineRule="auto"/>
    </w:pPr>
    <w:rPr>
      <w:sz w:val="20"/>
      <w:szCs w:val="20"/>
    </w:rPr>
  </w:style>
  <w:style w:type="character" w:customStyle="1" w:styleId="TextodenotaderodapChar">
    <w:name w:val="Texto de nota de rodapé Char"/>
    <w:basedOn w:val="Fontepargpadro"/>
    <w:link w:val="Textodenotaderodap"/>
    <w:uiPriority w:val="99"/>
    <w:semiHidden/>
    <w:rsid w:val="009B5473"/>
    <w:rPr>
      <w:sz w:val="20"/>
      <w:szCs w:val="20"/>
      <w:lang w:val="en-US"/>
    </w:rPr>
  </w:style>
  <w:style w:type="character" w:styleId="Refdenotaderodap">
    <w:name w:val="footnote reference"/>
    <w:basedOn w:val="Fontepargpadro"/>
    <w:uiPriority w:val="99"/>
    <w:semiHidden/>
    <w:unhideWhenUsed/>
    <w:rsid w:val="009B5473"/>
    <w:rPr>
      <w:vertAlign w:val="superscript"/>
    </w:rPr>
  </w:style>
  <w:style w:type="table" w:styleId="Tabelacomgrade">
    <w:name w:val="Table Grid"/>
    <w:basedOn w:val="Tabelanormal"/>
    <w:uiPriority w:val="39"/>
    <w:rsid w:val="009B5473"/>
    <w:pPr>
      <w:spacing w:after="0" w:line="240" w:lineRule="auto"/>
    </w:pPr>
    <w:rPr>
      <w:lang w:val="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Default">
    <w:name w:val="Default"/>
    <w:rsid w:val="002413D4"/>
    <w:pPr>
      <w:autoSpaceDE w:val="0"/>
      <w:autoSpaceDN w:val="0"/>
      <w:adjustRightInd w:val="0"/>
      <w:spacing w:after="0" w:line="240" w:lineRule="auto"/>
    </w:pPr>
    <w:rPr>
      <w:rFonts w:ascii="Arial" w:hAnsi="Arial" w:cs="Arial"/>
      <w:color w:val="000000"/>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pt-B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B5473"/>
    <w:pPr>
      <w:spacing w:after="160" w:line="259" w:lineRule="auto"/>
    </w:pPr>
    <w:rPr>
      <w:lang w:val="en-US"/>
    </w:rPr>
  </w:style>
  <w:style w:type="paragraph" w:styleId="Ttulo1">
    <w:name w:val="heading 1"/>
    <w:basedOn w:val="Normal"/>
    <w:next w:val="Normal"/>
    <w:link w:val="Ttulo1Char"/>
    <w:uiPriority w:val="9"/>
    <w:qFormat/>
    <w:rsid w:val="009B5473"/>
    <w:pPr>
      <w:keepNext/>
      <w:keepLines/>
      <w:spacing w:after="0" w:line="360" w:lineRule="auto"/>
      <w:outlineLvl w:val="0"/>
    </w:pPr>
    <w:rPr>
      <w:rFonts w:ascii="Times New Roman" w:eastAsiaTheme="majorEastAsia" w:hAnsi="Times New Roman" w:cstheme="majorBidi"/>
      <w:b/>
      <w:sz w:val="24"/>
      <w:szCs w:val="32"/>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Ttulo1Char">
    <w:name w:val="Título 1 Char"/>
    <w:basedOn w:val="Fontepargpadro"/>
    <w:link w:val="Ttulo1"/>
    <w:uiPriority w:val="9"/>
    <w:rsid w:val="009B5473"/>
    <w:rPr>
      <w:rFonts w:ascii="Times New Roman" w:eastAsiaTheme="majorEastAsia" w:hAnsi="Times New Roman" w:cstheme="majorBidi"/>
      <w:b/>
      <w:sz w:val="24"/>
      <w:szCs w:val="32"/>
      <w:lang w:val="en-US"/>
    </w:rPr>
  </w:style>
  <w:style w:type="paragraph" w:styleId="Textodenotaderodap">
    <w:name w:val="footnote text"/>
    <w:basedOn w:val="Normal"/>
    <w:link w:val="TextodenotaderodapChar"/>
    <w:uiPriority w:val="99"/>
    <w:semiHidden/>
    <w:unhideWhenUsed/>
    <w:rsid w:val="009B5473"/>
    <w:pPr>
      <w:spacing w:after="0" w:line="240" w:lineRule="auto"/>
    </w:pPr>
    <w:rPr>
      <w:sz w:val="20"/>
      <w:szCs w:val="20"/>
    </w:rPr>
  </w:style>
  <w:style w:type="character" w:customStyle="1" w:styleId="TextodenotaderodapChar">
    <w:name w:val="Texto de nota de rodapé Char"/>
    <w:basedOn w:val="Fontepargpadro"/>
    <w:link w:val="Textodenotaderodap"/>
    <w:uiPriority w:val="99"/>
    <w:semiHidden/>
    <w:rsid w:val="009B5473"/>
    <w:rPr>
      <w:sz w:val="20"/>
      <w:szCs w:val="20"/>
      <w:lang w:val="en-US"/>
    </w:rPr>
  </w:style>
  <w:style w:type="character" w:styleId="Refdenotaderodap">
    <w:name w:val="footnote reference"/>
    <w:basedOn w:val="Fontepargpadro"/>
    <w:uiPriority w:val="99"/>
    <w:semiHidden/>
    <w:unhideWhenUsed/>
    <w:rsid w:val="009B5473"/>
    <w:rPr>
      <w:vertAlign w:val="superscript"/>
    </w:rPr>
  </w:style>
  <w:style w:type="table" w:styleId="Tabelacomgrade">
    <w:name w:val="Table Grid"/>
    <w:basedOn w:val="Tabelanormal"/>
    <w:uiPriority w:val="39"/>
    <w:rsid w:val="009B5473"/>
    <w:pPr>
      <w:spacing w:after="0" w:line="240" w:lineRule="auto"/>
    </w:pPr>
    <w:rPr>
      <w:lang w:val="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Default">
    <w:name w:val="Default"/>
    <w:rsid w:val="002413D4"/>
    <w:pPr>
      <w:autoSpaceDE w:val="0"/>
      <w:autoSpaceDN w:val="0"/>
      <w:adjustRightInd w:val="0"/>
      <w:spacing w:after="0" w:line="240" w:lineRule="auto"/>
    </w:pPr>
    <w:rPr>
      <w:rFonts w:ascii="Arial" w:hAnsi="Arial" w:cs="Arial"/>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Escritório">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44</TotalTime>
  <Pages>5</Pages>
  <Words>1594</Words>
  <Characters>8613</Characters>
  <Application>Microsoft Office Word</Application>
  <DocSecurity>0</DocSecurity>
  <Lines>71</Lines>
  <Paragraphs>20</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10187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Larissa</dc:creator>
  <cp:lastModifiedBy>Larissa</cp:lastModifiedBy>
  <cp:revision>2</cp:revision>
  <dcterms:created xsi:type="dcterms:W3CDTF">2017-11-22T19:03:00Z</dcterms:created>
  <dcterms:modified xsi:type="dcterms:W3CDTF">2017-11-22T20:07:00Z</dcterms:modified>
</cp:coreProperties>
</file>