
<file path=[Content_Types].xml><?xml version="1.0" encoding="utf-8"?>
<Types xmlns="http://schemas.openxmlformats.org/package/2006/content-types">
  <Default Extension="rels" ContentType="application/vnd.openxmlformats-package.relationships+xml"/>
  <Default Extension="xml" ContentType="application/xml"/>
  <Default Extension="ti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DC33849" w14:textId="68FC6E2A" w:rsidR="00E24871" w:rsidRPr="00E24871" w:rsidRDefault="00E24871" w:rsidP="00CE3A5E">
      <w:pPr>
        <w:jc w:val="center"/>
        <w:rPr>
          <w:b/>
          <w:color w:val="FF0000"/>
          <w:sz w:val="28"/>
          <w:szCs w:val="28"/>
          <w:lang w:val="en-US"/>
        </w:rPr>
      </w:pPr>
      <w:bookmarkStart w:id="0" w:name="_GoBack"/>
      <w:r w:rsidRPr="00E24871">
        <w:rPr>
          <w:b/>
          <w:color w:val="FF0000"/>
          <w:sz w:val="28"/>
          <w:szCs w:val="28"/>
          <w:lang w:val="en-US"/>
        </w:rPr>
        <w:t>This is the pre-peer reviewed version of the following article: Moulder R, Bhosale SD, Goodlett DR, Lahesmaa R. Analysis of the plasma proteome using iTRAQ and TMT-based Isobaric labeling. Mass Spec Rev. 2017; 1–24., which has been published in final form at https://doi.org/10.1002/mas.21550. This article may be used for non-commercial purposes in accordance with Wiley Terms and Conditions for Self-Archiving</w:t>
      </w:r>
    </w:p>
    <w:bookmarkEnd w:id="0"/>
    <w:p w14:paraId="6FCA6711" w14:textId="77777777" w:rsidR="00E24871" w:rsidRDefault="00E24871" w:rsidP="00CE3A5E">
      <w:pPr>
        <w:jc w:val="center"/>
        <w:rPr>
          <w:b/>
          <w:sz w:val="28"/>
          <w:szCs w:val="28"/>
          <w:lang w:val="en-US"/>
        </w:rPr>
      </w:pPr>
    </w:p>
    <w:p w14:paraId="0090291B" w14:textId="77777777" w:rsidR="00CE3A5E" w:rsidRPr="007D089C" w:rsidRDefault="00CE3A5E" w:rsidP="00CE3A5E">
      <w:pPr>
        <w:jc w:val="center"/>
        <w:rPr>
          <w:b/>
          <w:sz w:val="28"/>
          <w:szCs w:val="28"/>
          <w:lang w:val="en-US"/>
        </w:rPr>
      </w:pPr>
      <w:r w:rsidRPr="007D089C">
        <w:rPr>
          <w:b/>
          <w:sz w:val="28"/>
          <w:szCs w:val="28"/>
          <w:lang w:val="en-US"/>
        </w:rPr>
        <w:t>Analysis of the Plasma Proteome using Isobaric Labelling</w:t>
      </w:r>
    </w:p>
    <w:p w14:paraId="3585A183" w14:textId="77777777" w:rsidR="00CE3A5E" w:rsidRPr="007D089C" w:rsidRDefault="00CE3A5E" w:rsidP="00CE3A5E">
      <w:pPr>
        <w:jc w:val="center"/>
        <w:rPr>
          <w:b/>
          <w:sz w:val="28"/>
          <w:szCs w:val="28"/>
          <w:lang w:val="en-US"/>
        </w:rPr>
      </w:pPr>
    </w:p>
    <w:p w14:paraId="6291FAFA" w14:textId="77777777" w:rsidR="00CE3A5E" w:rsidRPr="007D089C" w:rsidRDefault="00CE3A5E" w:rsidP="00CE3A5E">
      <w:pPr>
        <w:jc w:val="center"/>
        <w:rPr>
          <w:b/>
          <w:sz w:val="28"/>
          <w:szCs w:val="28"/>
          <w:lang w:val="en-US"/>
        </w:rPr>
      </w:pPr>
    </w:p>
    <w:p w14:paraId="15562CB4" w14:textId="432CEC12" w:rsidR="00CE3A5E" w:rsidRPr="007D089C" w:rsidRDefault="00CE3A5E" w:rsidP="00CE3A5E">
      <w:pPr>
        <w:spacing w:line="480" w:lineRule="auto"/>
        <w:jc w:val="center"/>
        <w:rPr>
          <w:sz w:val="22"/>
          <w:szCs w:val="22"/>
          <w:lang w:val="en-US"/>
        </w:rPr>
      </w:pPr>
      <w:r w:rsidRPr="007D089C">
        <w:rPr>
          <w:sz w:val="22"/>
          <w:szCs w:val="22"/>
          <w:lang w:val="en-US"/>
        </w:rPr>
        <w:t>Robert Moulder</w:t>
      </w:r>
      <w:r w:rsidRPr="006B2CAE">
        <w:rPr>
          <w:sz w:val="22"/>
          <w:szCs w:val="22"/>
          <w:vertAlign w:val="superscript"/>
          <w:lang w:val="en-US"/>
        </w:rPr>
        <w:t>1</w:t>
      </w:r>
      <w:r>
        <w:rPr>
          <w:sz w:val="22"/>
          <w:szCs w:val="22"/>
          <w:vertAlign w:val="superscript"/>
          <w:lang w:val="en-US"/>
        </w:rPr>
        <w:t>*</w:t>
      </w:r>
      <w:r w:rsidRPr="007D089C">
        <w:rPr>
          <w:sz w:val="22"/>
          <w:szCs w:val="22"/>
          <w:lang w:val="en-US"/>
        </w:rPr>
        <w:t>, Santosh D</w:t>
      </w:r>
      <w:r w:rsidRPr="007D089C">
        <w:rPr>
          <w:color w:val="FF0000"/>
          <w:sz w:val="22"/>
          <w:szCs w:val="22"/>
          <w:lang w:val="en-US"/>
        </w:rPr>
        <w:t>.</w:t>
      </w:r>
      <w:r w:rsidRPr="007D089C">
        <w:rPr>
          <w:sz w:val="22"/>
          <w:szCs w:val="22"/>
          <w:lang w:val="en-US"/>
        </w:rPr>
        <w:t xml:space="preserve"> Bhosale</w:t>
      </w:r>
      <w:r w:rsidRPr="006B2CAE">
        <w:rPr>
          <w:sz w:val="22"/>
          <w:szCs w:val="22"/>
          <w:vertAlign w:val="superscript"/>
          <w:lang w:val="en-US"/>
        </w:rPr>
        <w:t>1</w:t>
      </w:r>
      <w:r w:rsidRPr="007D089C">
        <w:rPr>
          <w:sz w:val="22"/>
          <w:szCs w:val="22"/>
          <w:lang w:val="en-US"/>
        </w:rPr>
        <w:t>, David R. Goodlett</w:t>
      </w:r>
      <w:r w:rsidRPr="006B2CAE">
        <w:rPr>
          <w:sz w:val="22"/>
          <w:szCs w:val="22"/>
          <w:vertAlign w:val="superscript"/>
          <w:lang w:val="en-US"/>
        </w:rPr>
        <w:t>2</w:t>
      </w:r>
      <w:r w:rsidRPr="007D089C">
        <w:rPr>
          <w:sz w:val="22"/>
          <w:szCs w:val="22"/>
          <w:lang w:val="en-US"/>
        </w:rPr>
        <w:t>, Riitta Lahesmaa</w:t>
      </w:r>
      <w:r w:rsidRPr="006B2CAE">
        <w:rPr>
          <w:sz w:val="22"/>
          <w:szCs w:val="22"/>
          <w:vertAlign w:val="superscript"/>
          <w:lang w:val="en-US"/>
        </w:rPr>
        <w:t>1</w:t>
      </w:r>
    </w:p>
    <w:p w14:paraId="3667567A" w14:textId="77777777" w:rsidR="008056FD" w:rsidRDefault="008056FD" w:rsidP="008056FD">
      <w:pPr>
        <w:spacing w:line="360" w:lineRule="auto"/>
        <w:rPr>
          <w:sz w:val="22"/>
          <w:szCs w:val="22"/>
          <w:vertAlign w:val="superscript"/>
          <w:lang w:val="en-US"/>
        </w:rPr>
      </w:pPr>
    </w:p>
    <w:p w14:paraId="25FDADBD" w14:textId="77777777" w:rsidR="00CE3A5E" w:rsidRPr="007D089C" w:rsidRDefault="00CE3A5E" w:rsidP="008056FD">
      <w:pPr>
        <w:spacing w:line="360" w:lineRule="auto"/>
        <w:rPr>
          <w:sz w:val="22"/>
          <w:szCs w:val="22"/>
          <w:lang w:val="en-US"/>
        </w:rPr>
      </w:pPr>
      <w:r w:rsidRPr="006B2CAE">
        <w:rPr>
          <w:sz w:val="22"/>
          <w:szCs w:val="22"/>
          <w:vertAlign w:val="superscript"/>
          <w:lang w:val="en-US"/>
        </w:rPr>
        <w:t>1</w:t>
      </w:r>
      <w:r w:rsidRPr="007D089C">
        <w:rPr>
          <w:sz w:val="22"/>
          <w:szCs w:val="22"/>
          <w:lang w:val="en-US"/>
        </w:rPr>
        <w:t>Turku Centre for Biotechnology, University of Turku and Åbo Akademi Un</w:t>
      </w:r>
      <w:r>
        <w:rPr>
          <w:sz w:val="22"/>
          <w:szCs w:val="22"/>
          <w:lang w:val="en-US"/>
        </w:rPr>
        <w:t>i</w:t>
      </w:r>
      <w:r w:rsidRPr="007D089C">
        <w:rPr>
          <w:sz w:val="22"/>
          <w:szCs w:val="22"/>
          <w:lang w:val="en-US"/>
        </w:rPr>
        <w:t>versity, Turku, Finland</w:t>
      </w:r>
    </w:p>
    <w:p w14:paraId="0FFEF5EB" w14:textId="77777777" w:rsidR="00CE3A5E" w:rsidRDefault="00CE3A5E" w:rsidP="008056FD">
      <w:pPr>
        <w:spacing w:line="360" w:lineRule="auto"/>
        <w:rPr>
          <w:sz w:val="22"/>
          <w:szCs w:val="22"/>
          <w:lang w:val="en-US"/>
        </w:rPr>
      </w:pPr>
      <w:r w:rsidRPr="006B2CAE">
        <w:rPr>
          <w:sz w:val="22"/>
          <w:szCs w:val="22"/>
          <w:vertAlign w:val="superscript"/>
          <w:lang w:val="en-US"/>
        </w:rPr>
        <w:t>2</w:t>
      </w:r>
      <w:r w:rsidRPr="007D089C">
        <w:rPr>
          <w:sz w:val="22"/>
          <w:szCs w:val="22"/>
          <w:lang w:val="en-US"/>
        </w:rPr>
        <w:t>University of Maryland, Baltimore, MD, USA</w:t>
      </w:r>
    </w:p>
    <w:p w14:paraId="0FE5DAC1" w14:textId="77777777" w:rsidR="00CE3A5E" w:rsidRDefault="00CE3A5E" w:rsidP="00CE3A5E">
      <w:pPr>
        <w:spacing w:line="480" w:lineRule="auto"/>
        <w:rPr>
          <w:sz w:val="22"/>
          <w:szCs w:val="22"/>
          <w:lang w:val="en-US"/>
        </w:rPr>
      </w:pPr>
    </w:p>
    <w:p w14:paraId="2D69551E" w14:textId="13B9516B" w:rsidR="00CE3A5E" w:rsidRDefault="00CE3A5E" w:rsidP="00CE3A5E">
      <w:pPr>
        <w:spacing w:line="360" w:lineRule="auto"/>
        <w:rPr>
          <w:sz w:val="22"/>
          <w:szCs w:val="22"/>
          <w:u w:val="single"/>
          <w:lang w:val="en-US"/>
        </w:rPr>
      </w:pPr>
      <w:r>
        <w:rPr>
          <w:sz w:val="22"/>
          <w:szCs w:val="22"/>
          <w:lang w:val="en-US"/>
        </w:rPr>
        <w:t>*</w:t>
      </w:r>
      <w:r w:rsidRPr="00CE3A5E">
        <w:rPr>
          <w:sz w:val="22"/>
          <w:szCs w:val="22"/>
          <w:u w:val="single"/>
          <w:lang w:val="en-US"/>
        </w:rPr>
        <w:t>corresponding author</w:t>
      </w:r>
    </w:p>
    <w:p w14:paraId="47752AB2" w14:textId="18DB6B54" w:rsidR="00CE3A5E" w:rsidRDefault="00E24871" w:rsidP="00CE3A5E">
      <w:pPr>
        <w:spacing w:line="360" w:lineRule="auto"/>
        <w:rPr>
          <w:sz w:val="22"/>
          <w:szCs w:val="22"/>
          <w:lang w:val="en-US"/>
        </w:rPr>
      </w:pPr>
      <w:hyperlink r:id="rId8" w:history="1">
        <w:r w:rsidR="00CE3A5E" w:rsidRPr="00F6222B">
          <w:rPr>
            <w:rStyle w:val="Hyperlink"/>
            <w:sz w:val="22"/>
            <w:szCs w:val="22"/>
            <w:lang w:val="en-US"/>
          </w:rPr>
          <w:t>robmou@utu.fi</w:t>
        </w:r>
      </w:hyperlink>
    </w:p>
    <w:p w14:paraId="198A08B2" w14:textId="51A12DF2" w:rsidR="00CE3A5E" w:rsidRDefault="00CE3A5E" w:rsidP="00CE3A5E">
      <w:pPr>
        <w:spacing w:line="360" w:lineRule="auto"/>
        <w:rPr>
          <w:sz w:val="22"/>
          <w:szCs w:val="22"/>
          <w:lang w:val="en-US"/>
        </w:rPr>
      </w:pPr>
      <w:r>
        <w:rPr>
          <w:sz w:val="22"/>
          <w:szCs w:val="22"/>
          <w:lang w:val="en-US"/>
        </w:rPr>
        <w:t xml:space="preserve">Telephone:  </w:t>
      </w:r>
      <w:r>
        <w:rPr>
          <w:sz w:val="22"/>
          <w:szCs w:val="22"/>
          <w:lang w:val="en-US"/>
        </w:rPr>
        <w:tab/>
        <w:t>(</w:t>
      </w:r>
      <w:r w:rsidR="00B62307">
        <w:rPr>
          <w:sz w:val="22"/>
          <w:szCs w:val="22"/>
          <w:lang w:val="en-US"/>
        </w:rPr>
        <w:t>M</w:t>
      </w:r>
      <w:r>
        <w:rPr>
          <w:sz w:val="22"/>
          <w:szCs w:val="22"/>
          <w:lang w:val="en-US"/>
        </w:rPr>
        <w:t xml:space="preserve">obile) +358 440 170467, </w:t>
      </w:r>
    </w:p>
    <w:p w14:paraId="2222C507" w14:textId="65165FA5" w:rsidR="00CE3A5E" w:rsidRDefault="00CE3A5E" w:rsidP="00CE3A5E">
      <w:pPr>
        <w:spacing w:line="360" w:lineRule="auto"/>
        <w:rPr>
          <w:sz w:val="22"/>
          <w:szCs w:val="22"/>
          <w:lang w:val="en-US"/>
        </w:rPr>
      </w:pPr>
      <w:r>
        <w:rPr>
          <w:sz w:val="22"/>
          <w:szCs w:val="22"/>
          <w:lang w:val="en-US"/>
        </w:rPr>
        <w:tab/>
      </w:r>
      <w:r>
        <w:rPr>
          <w:sz w:val="22"/>
          <w:szCs w:val="22"/>
          <w:lang w:val="en-US"/>
        </w:rPr>
        <w:tab/>
      </w:r>
      <w:r w:rsidR="00B62307">
        <w:rPr>
          <w:sz w:val="22"/>
          <w:szCs w:val="22"/>
          <w:lang w:val="en-US"/>
        </w:rPr>
        <w:t>(O</w:t>
      </w:r>
      <w:r>
        <w:rPr>
          <w:sz w:val="22"/>
          <w:szCs w:val="22"/>
          <w:lang w:val="en-US"/>
        </w:rPr>
        <w:t>ffice) +358 294503802</w:t>
      </w:r>
    </w:p>
    <w:p w14:paraId="0005E992" w14:textId="77777777" w:rsidR="00CE3A5E" w:rsidRDefault="00CE3A5E" w:rsidP="00CE3A5E">
      <w:pPr>
        <w:spacing w:line="480" w:lineRule="auto"/>
        <w:rPr>
          <w:sz w:val="22"/>
          <w:szCs w:val="22"/>
          <w:lang w:val="en-US"/>
        </w:rPr>
      </w:pPr>
    </w:p>
    <w:p w14:paraId="70A6C6B9" w14:textId="617CCAE3" w:rsidR="00CE3A5E" w:rsidRDefault="00CE3A5E" w:rsidP="00CE3A5E">
      <w:pPr>
        <w:spacing w:line="360" w:lineRule="auto"/>
        <w:rPr>
          <w:sz w:val="22"/>
          <w:szCs w:val="22"/>
          <w:lang w:val="en-US"/>
        </w:rPr>
      </w:pPr>
      <w:r>
        <w:rPr>
          <w:sz w:val="22"/>
          <w:szCs w:val="22"/>
          <w:lang w:val="en-US"/>
        </w:rPr>
        <w:t xml:space="preserve">Address: </w:t>
      </w:r>
      <w:r>
        <w:rPr>
          <w:sz w:val="22"/>
          <w:szCs w:val="22"/>
          <w:lang w:val="en-US"/>
        </w:rPr>
        <w:tab/>
        <w:t>Robert Moulder,</w:t>
      </w:r>
    </w:p>
    <w:p w14:paraId="124B0070" w14:textId="49229C3F" w:rsidR="00CE3A5E" w:rsidRDefault="00CE3A5E" w:rsidP="00CE3A5E">
      <w:pPr>
        <w:spacing w:line="360" w:lineRule="auto"/>
        <w:ind w:left="720" w:firstLine="720"/>
        <w:rPr>
          <w:sz w:val="22"/>
          <w:szCs w:val="22"/>
          <w:lang w:val="en-US"/>
        </w:rPr>
      </w:pPr>
      <w:r>
        <w:rPr>
          <w:sz w:val="22"/>
          <w:szCs w:val="22"/>
          <w:lang w:val="en-US"/>
        </w:rPr>
        <w:t>Turku Centre for Biotechnology,</w:t>
      </w:r>
    </w:p>
    <w:p w14:paraId="3DD3AA07" w14:textId="792D24C3" w:rsidR="00CE3A5E" w:rsidRDefault="00CE3A5E" w:rsidP="00CE3A5E">
      <w:pPr>
        <w:spacing w:line="360" w:lineRule="auto"/>
        <w:rPr>
          <w:sz w:val="22"/>
          <w:szCs w:val="22"/>
          <w:lang w:val="en-US"/>
        </w:rPr>
      </w:pPr>
      <w:r>
        <w:rPr>
          <w:sz w:val="22"/>
          <w:szCs w:val="22"/>
          <w:lang w:val="en-US"/>
        </w:rPr>
        <w:tab/>
      </w:r>
      <w:r>
        <w:rPr>
          <w:sz w:val="22"/>
          <w:szCs w:val="22"/>
          <w:lang w:val="en-US"/>
        </w:rPr>
        <w:tab/>
        <w:t>Biocity (7</w:t>
      </w:r>
      <w:r w:rsidRPr="00CE3A5E">
        <w:rPr>
          <w:sz w:val="22"/>
          <w:szCs w:val="22"/>
          <w:vertAlign w:val="superscript"/>
          <w:lang w:val="en-US"/>
        </w:rPr>
        <w:t>th</w:t>
      </w:r>
      <w:r>
        <w:rPr>
          <w:sz w:val="22"/>
          <w:szCs w:val="22"/>
          <w:lang w:val="en-US"/>
        </w:rPr>
        <w:t xml:space="preserve"> floor)</w:t>
      </w:r>
    </w:p>
    <w:p w14:paraId="53E850F0" w14:textId="50CFF472" w:rsidR="00CE3A5E" w:rsidRDefault="00CE3A5E" w:rsidP="00CE3A5E">
      <w:pPr>
        <w:spacing w:line="360" w:lineRule="auto"/>
        <w:rPr>
          <w:sz w:val="22"/>
          <w:szCs w:val="22"/>
          <w:lang w:val="en-US"/>
        </w:rPr>
      </w:pPr>
      <w:r>
        <w:rPr>
          <w:sz w:val="22"/>
          <w:szCs w:val="22"/>
          <w:lang w:val="en-US"/>
        </w:rPr>
        <w:tab/>
      </w:r>
      <w:r>
        <w:rPr>
          <w:sz w:val="22"/>
          <w:szCs w:val="22"/>
          <w:lang w:val="en-US"/>
        </w:rPr>
        <w:tab/>
        <w:t>Tykistökatu 6,</w:t>
      </w:r>
    </w:p>
    <w:p w14:paraId="54E19A4C" w14:textId="32F4E6AF" w:rsidR="00CE3A5E" w:rsidRPr="007D089C" w:rsidRDefault="00CE3A5E" w:rsidP="00CE3A5E">
      <w:pPr>
        <w:spacing w:line="360" w:lineRule="auto"/>
        <w:rPr>
          <w:sz w:val="22"/>
          <w:szCs w:val="22"/>
          <w:lang w:val="en-US"/>
        </w:rPr>
      </w:pPr>
      <w:r>
        <w:rPr>
          <w:sz w:val="22"/>
          <w:szCs w:val="22"/>
          <w:lang w:val="en-US"/>
        </w:rPr>
        <w:tab/>
      </w:r>
      <w:r>
        <w:rPr>
          <w:sz w:val="22"/>
          <w:szCs w:val="22"/>
          <w:lang w:val="en-US"/>
        </w:rPr>
        <w:tab/>
        <w:t>Turku, Finland FI-20520</w:t>
      </w:r>
    </w:p>
    <w:p w14:paraId="60B3C125" w14:textId="77777777" w:rsidR="000074EB" w:rsidRDefault="000074EB" w:rsidP="00C141DD">
      <w:pPr>
        <w:jc w:val="center"/>
        <w:rPr>
          <w:b/>
          <w:sz w:val="28"/>
          <w:szCs w:val="28"/>
          <w:lang w:val="en-US"/>
        </w:rPr>
      </w:pPr>
    </w:p>
    <w:p w14:paraId="415D83CC" w14:textId="77777777" w:rsidR="00CE3A5E" w:rsidRPr="007D089C" w:rsidRDefault="00CE3A5E" w:rsidP="00C141DD">
      <w:pPr>
        <w:jc w:val="center"/>
        <w:rPr>
          <w:b/>
          <w:sz w:val="28"/>
          <w:szCs w:val="28"/>
          <w:lang w:val="en-US"/>
        </w:rPr>
      </w:pPr>
    </w:p>
    <w:p w14:paraId="6208A252" w14:textId="1F646ED0" w:rsidR="00CE3A5E" w:rsidRPr="00CE3A5E" w:rsidRDefault="00CE3A5E" w:rsidP="00CE3A5E">
      <w:pPr>
        <w:rPr>
          <w:sz w:val="28"/>
          <w:szCs w:val="28"/>
          <w:lang w:val="en-US"/>
        </w:rPr>
      </w:pPr>
      <w:r w:rsidRPr="00CE3A5E">
        <w:rPr>
          <w:sz w:val="28"/>
          <w:szCs w:val="28"/>
          <w:lang w:val="en-US"/>
        </w:rPr>
        <w:t>Running Title:</w:t>
      </w:r>
      <w:r>
        <w:rPr>
          <w:b/>
          <w:sz w:val="28"/>
          <w:szCs w:val="28"/>
          <w:lang w:val="en-US"/>
        </w:rPr>
        <w:t xml:space="preserve"> “Plasma proteomics with isobaric labelling” </w:t>
      </w:r>
    </w:p>
    <w:p w14:paraId="0E85C071" w14:textId="68187458" w:rsidR="00CE3A5E" w:rsidRDefault="00CE3A5E">
      <w:pPr>
        <w:rPr>
          <w:b/>
          <w:sz w:val="28"/>
          <w:szCs w:val="28"/>
          <w:lang w:val="en-US"/>
        </w:rPr>
      </w:pPr>
      <w:r>
        <w:rPr>
          <w:b/>
          <w:sz w:val="28"/>
          <w:szCs w:val="28"/>
          <w:lang w:val="en-US"/>
        </w:rPr>
        <w:br w:type="page"/>
      </w:r>
    </w:p>
    <w:p w14:paraId="6B05A02D" w14:textId="314A6808" w:rsidR="000074EB" w:rsidRPr="007D089C" w:rsidRDefault="000074EB" w:rsidP="00C141DD">
      <w:pPr>
        <w:jc w:val="center"/>
        <w:rPr>
          <w:b/>
          <w:sz w:val="28"/>
          <w:szCs w:val="28"/>
          <w:lang w:val="en-US"/>
        </w:rPr>
      </w:pPr>
      <w:r w:rsidRPr="007D089C">
        <w:rPr>
          <w:b/>
          <w:sz w:val="28"/>
          <w:szCs w:val="28"/>
          <w:lang w:val="en-US"/>
        </w:rPr>
        <w:lastRenderedPageBreak/>
        <w:t>Analysis of the Plasma Proteome using Isobaric Labelling</w:t>
      </w:r>
    </w:p>
    <w:p w14:paraId="51DEC23A" w14:textId="77777777" w:rsidR="000074EB" w:rsidRPr="007D089C" w:rsidRDefault="000074EB" w:rsidP="00C141DD">
      <w:pPr>
        <w:jc w:val="center"/>
        <w:rPr>
          <w:b/>
          <w:sz w:val="28"/>
          <w:szCs w:val="28"/>
          <w:lang w:val="en-US"/>
        </w:rPr>
      </w:pPr>
    </w:p>
    <w:p w14:paraId="69CE09DA" w14:textId="77777777" w:rsidR="000074EB" w:rsidRPr="007D089C" w:rsidRDefault="000074EB" w:rsidP="00C141DD">
      <w:pPr>
        <w:jc w:val="center"/>
        <w:rPr>
          <w:b/>
          <w:sz w:val="28"/>
          <w:szCs w:val="28"/>
          <w:lang w:val="en-US"/>
        </w:rPr>
      </w:pPr>
    </w:p>
    <w:p w14:paraId="205CE7C8" w14:textId="65E1B643" w:rsidR="000074EB" w:rsidRPr="007D089C" w:rsidRDefault="000074EB" w:rsidP="00B43F04">
      <w:pPr>
        <w:spacing w:line="480" w:lineRule="auto"/>
        <w:jc w:val="center"/>
        <w:rPr>
          <w:sz w:val="22"/>
          <w:szCs w:val="22"/>
          <w:lang w:val="en-US"/>
        </w:rPr>
      </w:pPr>
      <w:r w:rsidRPr="007D089C">
        <w:rPr>
          <w:sz w:val="22"/>
          <w:szCs w:val="22"/>
          <w:lang w:val="en-US"/>
        </w:rPr>
        <w:t>Robert Moulder</w:t>
      </w:r>
      <w:r w:rsidR="006B2CAE" w:rsidRPr="006B2CAE">
        <w:rPr>
          <w:sz w:val="22"/>
          <w:szCs w:val="22"/>
          <w:vertAlign w:val="superscript"/>
          <w:lang w:val="en-US"/>
        </w:rPr>
        <w:t>1</w:t>
      </w:r>
      <w:r w:rsidRPr="007D089C">
        <w:rPr>
          <w:sz w:val="22"/>
          <w:szCs w:val="22"/>
          <w:lang w:val="en-US"/>
        </w:rPr>
        <w:t>, Santosh</w:t>
      </w:r>
      <w:r w:rsidR="00C141DD" w:rsidRPr="007D089C">
        <w:rPr>
          <w:sz w:val="22"/>
          <w:szCs w:val="22"/>
          <w:lang w:val="en-US"/>
        </w:rPr>
        <w:t xml:space="preserve"> D</w:t>
      </w:r>
      <w:r w:rsidR="00C141DD" w:rsidRPr="007D089C">
        <w:rPr>
          <w:color w:val="FF0000"/>
          <w:sz w:val="22"/>
          <w:szCs w:val="22"/>
          <w:lang w:val="en-US"/>
        </w:rPr>
        <w:t>.</w:t>
      </w:r>
      <w:r w:rsidRPr="007D089C">
        <w:rPr>
          <w:sz w:val="22"/>
          <w:szCs w:val="22"/>
          <w:lang w:val="en-US"/>
        </w:rPr>
        <w:t xml:space="preserve"> Bhosale</w:t>
      </w:r>
      <w:r w:rsidR="006B2CAE" w:rsidRPr="006B2CAE">
        <w:rPr>
          <w:sz w:val="22"/>
          <w:szCs w:val="22"/>
          <w:vertAlign w:val="superscript"/>
          <w:lang w:val="en-US"/>
        </w:rPr>
        <w:t>1</w:t>
      </w:r>
      <w:r w:rsidRPr="007D089C">
        <w:rPr>
          <w:sz w:val="22"/>
          <w:szCs w:val="22"/>
          <w:lang w:val="en-US"/>
        </w:rPr>
        <w:t>, David R. Goodlett</w:t>
      </w:r>
      <w:r w:rsidR="006B2CAE" w:rsidRPr="006B2CAE">
        <w:rPr>
          <w:sz w:val="22"/>
          <w:szCs w:val="22"/>
          <w:vertAlign w:val="superscript"/>
          <w:lang w:val="en-US"/>
        </w:rPr>
        <w:t>2</w:t>
      </w:r>
      <w:r w:rsidRPr="007D089C">
        <w:rPr>
          <w:sz w:val="22"/>
          <w:szCs w:val="22"/>
          <w:lang w:val="en-US"/>
        </w:rPr>
        <w:t>, Riitta Lahesmaa</w:t>
      </w:r>
      <w:r w:rsidR="006B2CAE" w:rsidRPr="006B2CAE">
        <w:rPr>
          <w:sz w:val="22"/>
          <w:szCs w:val="22"/>
          <w:vertAlign w:val="superscript"/>
          <w:lang w:val="en-US"/>
        </w:rPr>
        <w:t>1</w:t>
      </w:r>
    </w:p>
    <w:p w14:paraId="2734B99A" w14:textId="1F1A1956" w:rsidR="000074EB" w:rsidRPr="007D089C" w:rsidRDefault="006B2CAE" w:rsidP="00B43F04">
      <w:pPr>
        <w:spacing w:line="480" w:lineRule="auto"/>
        <w:rPr>
          <w:sz w:val="22"/>
          <w:szCs w:val="22"/>
          <w:lang w:val="en-US"/>
        </w:rPr>
      </w:pPr>
      <w:r w:rsidRPr="006B2CAE">
        <w:rPr>
          <w:sz w:val="22"/>
          <w:szCs w:val="22"/>
          <w:vertAlign w:val="superscript"/>
          <w:lang w:val="en-US"/>
        </w:rPr>
        <w:t>1</w:t>
      </w:r>
      <w:r w:rsidR="000074EB" w:rsidRPr="007D089C">
        <w:rPr>
          <w:sz w:val="22"/>
          <w:szCs w:val="22"/>
          <w:lang w:val="en-US"/>
        </w:rPr>
        <w:t>Turku Centre for Biotechnology, University of Turku and Åbo Akademi</w:t>
      </w:r>
      <w:r w:rsidR="007D089C" w:rsidRPr="007D089C">
        <w:rPr>
          <w:sz w:val="22"/>
          <w:szCs w:val="22"/>
          <w:lang w:val="en-US"/>
        </w:rPr>
        <w:t xml:space="preserve"> Un</w:t>
      </w:r>
      <w:r>
        <w:rPr>
          <w:sz w:val="22"/>
          <w:szCs w:val="22"/>
          <w:lang w:val="en-US"/>
        </w:rPr>
        <w:t>i</w:t>
      </w:r>
      <w:r w:rsidR="007D089C" w:rsidRPr="007D089C">
        <w:rPr>
          <w:sz w:val="22"/>
          <w:szCs w:val="22"/>
          <w:lang w:val="en-US"/>
        </w:rPr>
        <w:t>versity</w:t>
      </w:r>
      <w:r w:rsidR="000074EB" w:rsidRPr="007D089C">
        <w:rPr>
          <w:sz w:val="22"/>
          <w:szCs w:val="22"/>
          <w:lang w:val="en-US"/>
        </w:rPr>
        <w:t>, Turku, Finland</w:t>
      </w:r>
    </w:p>
    <w:p w14:paraId="2CC10989" w14:textId="474AA86C" w:rsidR="000074EB" w:rsidRPr="007D089C" w:rsidRDefault="006B2CAE" w:rsidP="00B43F04">
      <w:pPr>
        <w:spacing w:line="480" w:lineRule="auto"/>
        <w:rPr>
          <w:sz w:val="22"/>
          <w:szCs w:val="22"/>
          <w:lang w:val="en-US"/>
        </w:rPr>
      </w:pPr>
      <w:r w:rsidRPr="006B2CAE">
        <w:rPr>
          <w:sz w:val="22"/>
          <w:szCs w:val="22"/>
          <w:vertAlign w:val="superscript"/>
          <w:lang w:val="en-US"/>
        </w:rPr>
        <w:t>2</w:t>
      </w:r>
      <w:r w:rsidR="000074EB" w:rsidRPr="007D089C">
        <w:rPr>
          <w:sz w:val="22"/>
          <w:szCs w:val="22"/>
          <w:lang w:val="en-US"/>
        </w:rPr>
        <w:t>University of Maryland, Baltimore, MD, USA</w:t>
      </w:r>
    </w:p>
    <w:p w14:paraId="04979647" w14:textId="77777777" w:rsidR="000074EB" w:rsidRPr="007D089C" w:rsidRDefault="000074EB" w:rsidP="00B43F04">
      <w:pPr>
        <w:spacing w:line="480" w:lineRule="auto"/>
        <w:rPr>
          <w:lang w:val="en-US"/>
        </w:rPr>
      </w:pPr>
    </w:p>
    <w:sdt>
      <w:sdtPr>
        <w:rPr>
          <w:rFonts w:ascii="Times New Roman" w:eastAsia="Times New Roman" w:hAnsi="Times New Roman" w:cs="Times New Roman"/>
          <w:b w:val="0"/>
          <w:bCs w:val="0"/>
          <w:color w:val="auto"/>
          <w:sz w:val="24"/>
          <w:szCs w:val="24"/>
          <w:lang w:val="en-GB" w:eastAsia="en-GB"/>
        </w:rPr>
        <w:id w:val="426622029"/>
        <w:docPartObj>
          <w:docPartGallery w:val="Table of Contents"/>
          <w:docPartUnique/>
        </w:docPartObj>
      </w:sdtPr>
      <w:sdtEndPr>
        <w:rPr>
          <w:noProof/>
        </w:rPr>
      </w:sdtEndPr>
      <w:sdtContent>
        <w:p w14:paraId="0E199747" w14:textId="5B5424AE" w:rsidR="00227F1F" w:rsidRPr="007D089C" w:rsidRDefault="00227F1F">
          <w:pPr>
            <w:pStyle w:val="TOCHeading"/>
          </w:pPr>
          <w:r w:rsidRPr="007D089C">
            <w:t>Table of Contents</w:t>
          </w:r>
        </w:p>
        <w:p w14:paraId="33C26418" w14:textId="77777777" w:rsidR="00D358A7" w:rsidRDefault="00227F1F">
          <w:pPr>
            <w:pStyle w:val="TOC1"/>
            <w:tabs>
              <w:tab w:val="left" w:pos="480"/>
              <w:tab w:val="right" w:leader="dot" w:pos="9016"/>
            </w:tabs>
            <w:rPr>
              <w:rFonts w:asciiTheme="minorHAnsi" w:eastAsiaTheme="minorEastAsia" w:hAnsiTheme="minorHAnsi" w:cstheme="minorBidi"/>
              <w:noProof/>
              <w:sz w:val="22"/>
              <w:szCs w:val="22"/>
            </w:rPr>
          </w:pPr>
          <w:r w:rsidRPr="007D089C">
            <w:rPr>
              <w:lang w:val="en-US"/>
            </w:rPr>
            <w:fldChar w:fldCharType="begin"/>
          </w:r>
          <w:r w:rsidRPr="007D089C">
            <w:rPr>
              <w:lang w:val="en-US"/>
            </w:rPr>
            <w:instrText xml:space="preserve"> TOC \o "1-3" \h \z \u </w:instrText>
          </w:r>
          <w:r w:rsidRPr="007D089C">
            <w:rPr>
              <w:lang w:val="en-US"/>
            </w:rPr>
            <w:fldChar w:fldCharType="separate"/>
          </w:r>
          <w:hyperlink w:anchor="_Toc483395813" w:history="1">
            <w:r w:rsidR="00D358A7" w:rsidRPr="007600C5">
              <w:rPr>
                <w:rStyle w:val="Hyperlink"/>
                <w:noProof/>
              </w:rPr>
              <w:t>1</w:t>
            </w:r>
            <w:r w:rsidR="00D358A7">
              <w:rPr>
                <w:rFonts w:asciiTheme="minorHAnsi" w:eastAsiaTheme="minorEastAsia" w:hAnsiTheme="minorHAnsi" w:cstheme="minorBidi"/>
                <w:noProof/>
                <w:sz w:val="22"/>
                <w:szCs w:val="22"/>
              </w:rPr>
              <w:tab/>
            </w:r>
            <w:r w:rsidR="00D358A7" w:rsidRPr="007600C5">
              <w:rPr>
                <w:rStyle w:val="Hyperlink"/>
                <w:noProof/>
              </w:rPr>
              <w:t>Introduction</w:t>
            </w:r>
            <w:r w:rsidR="00D358A7">
              <w:rPr>
                <w:noProof/>
                <w:webHidden/>
              </w:rPr>
              <w:tab/>
            </w:r>
            <w:r w:rsidR="00D358A7">
              <w:rPr>
                <w:noProof/>
                <w:webHidden/>
              </w:rPr>
              <w:fldChar w:fldCharType="begin"/>
            </w:r>
            <w:r w:rsidR="00D358A7">
              <w:rPr>
                <w:noProof/>
                <w:webHidden/>
              </w:rPr>
              <w:instrText xml:space="preserve"> PAGEREF _Toc483395813 \h </w:instrText>
            </w:r>
            <w:r w:rsidR="00D358A7">
              <w:rPr>
                <w:noProof/>
                <w:webHidden/>
              </w:rPr>
            </w:r>
            <w:r w:rsidR="00D358A7">
              <w:rPr>
                <w:noProof/>
                <w:webHidden/>
              </w:rPr>
              <w:fldChar w:fldCharType="separate"/>
            </w:r>
            <w:r w:rsidR="00D358A7">
              <w:rPr>
                <w:noProof/>
                <w:webHidden/>
              </w:rPr>
              <w:t>5</w:t>
            </w:r>
            <w:r w:rsidR="00D358A7">
              <w:rPr>
                <w:noProof/>
                <w:webHidden/>
              </w:rPr>
              <w:fldChar w:fldCharType="end"/>
            </w:r>
          </w:hyperlink>
        </w:p>
        <w:p w14:paraId="4386AA76" w14:textId="77777777" w:rsidR="00D358A7" w:rsidRDefault="00E24871">
          <w:pPr>
            <w:pStyle w:val="TOC1"/>
            <w:tabs>
              <w:tab w:val="left" w:pos="480"/>
              <w:tab w:val="right" w:leader="dot" w:pos="9016"/>
            </w:tabs>
            <w:rPr>
              <w:rFonts w:asciiTheme="minorHAnsi" w:eastAsiaTheme="minorEastAsia" w:hAnsiTheme="minorHAnsi" w:cstheme="minorBidi"/>
              <w:noProof/>
              <w:sz w:val="22"/>
              <w:szCs w:val="22"/>
            </w:rPr>
          </w:pPr>
          <w:hyperlink w:anchor="_Toc483395814" w:history="1">
            <w:r w:rsidR="00D358A7" w:rsidRPr="007600C5">
              <w:rPr>
                <w:rStyle w:val="Hyperlink"/>
                <w:noProof/>
              </w:rPr>
              <w:t>2</w:t>
            </w:r>
            <w:r w:rsidR="00D358A7">
              <w:rPr>
                <w:rFonts w:asciiTheme="minorHAnsi" w:eastAsiaTheme="minorEastAsia" w:hAnsiTheme="minorHAnsi" w:cstheme="minorBidi"/>
                <w:noProof/>
                <w:sz w:val="22"/>
                <w:szCs w:val="22"/>
              </w:rPr>
              <w:tab/>
            </w:r>
            <w:r w:rsidR="00D358A7" w:rsidRPr="007600C5">
              <w:rPr>
                <w:rStyle w:val="Hyperlink"/>
                <w:noProof/>
              </w:rPr>
              <w:t>Methodology</w:t>
            </w:r>
            <w:r w:rsidR="00D358A7">
              <w:rPr>
                <w:noProof/>
                <w:webHidden/>
              </w:rPr>
              <w:tab/>
            </w:r>
            <w:r w:rsidR="00D358A7">
              <w:rPr>
                <w:noProof/>
                <w:webHidden/>
              </w:rPr>
              <w:fldChar w:fldCharType="begin"/>
            </w:r>
            <w:r w:rsidR="00D358A7">
              <w:rPr>
                <w:noProof/>
                <w:webHidden/>
              </w:rPr>
              <w:instrText xml:space="preserve"> PAGEREF _Toc483395814 \h </w:instrText>
            </w:r>
            <w:r w:rsidR="00D358A7">
              <w:rPr>
                <w:noProof/>
                <w:webHidden/>
              </w:rPr>
            </w:r>
            <w:r w:rsidR="00D358A7">
              <w:rPr>
                <w:noProof/>
                <w:webHidden/>
              </w:rPr>
              <w:fldChar w:fldCharType="separate"/>
            </w:r>
            <w:r w:rsidR="00D358A7">
              <w:rPr>
                <w:noProof/>
                <w:webHidden/>
              </w:rPr>
              <w:t>7</w:t>
            </w:r>
            <w:r w:rsidR="00D358A7">
              <w:rPr>
                <w:noProof/>
                <w:webHidden/>
              </w:rPr>
              <w:fldChar w:fldCharType="end"/>
            </w:r>
          </w:hyperlink>
        </w:p>
        <w:p w14:paraId="20463E1F" w14:textId="77777777" w:rsidR="00D358A7" w:rsidRDefault="00E24871">
          <w:pPr>
            <w:pStyle w:val="TOC2"/>
            <w:tabs>
              <w:tab w:val="left" w:pos="880"/>
              <w:tab w:val="right" w:leader="dot" w:pos="9016"/>
            </w:tabs>
            <w:rPr>
              <w:rFonts w:asciiTheme="minorHAnsi" w:eastAsiaTheme="minorEastAsia" w:hAnsiTheme="minorHAnsi" w:cstheme="minorBidi"/>
              <w:noProof/>
              <w:sz w:val="22"/>
              <w:szCs w:val="22"/>
            </w:rPr>
          </w:pPr>
          <w:hyperlink w:anchor="_Toc483395815" w:history="1">
            <w:r w:rsidR="00D358A7" w:rsidRPr="007600C5">
              <w:rPr>
                <w:rStyle w:val="Hyperlink"/>
                <w:rFonts w:asciiTheme="majorHAnsi" w:hAnsiTheme="majorHAnsi"/>
                <w:noProof/>
              </w:rPr>
              <w:t>2.1</w:t>
            </w:r>
            <w:r w:rsidR="00D358A7">
              <w:rPr>
                <w:rFonts w:asciiTheme="minorHAnsi" w:eastAsiaTheme="minorEastAsia" w:hAnsiTheme="minorHAnsi" w:cstheme="minorBidi"/>
                <w:noProof/>
                <w:sz w:val="22"/>
                <w:szCs w:val="22"/>
              </w:rPr>
              <w:tab/>
            </w:r>
            <w:r w:rsidR="00D358A7" w:rsidRPr="007600C5">
              <w:rPr>
                <w:rStyle w:val="Hyperlink"/>
                <w:noProof/>
              </w:rPr>
              <w:t>Labeling and General Protocols</w:t>
            </w:r>
            <w:r w:rsidR="00D358A7">
              <w:rPr>
                <w:noProof/>
                <w:webHidden/>
              </w:rPr>
              <w:tab/>
            </w:r>
            <w:r w:rsidR="00D358A7">
              <w:rPr>
                <w:noProof/>
                <w:webHidden/>
              </w:rPr>
              <w:fldChar w:fldCharType="begin"/>
            </w:r>
            <w:r w:rsidR="00D358A7">
              <w:rPr>
                <w:noProof/>
                <w:webHidden/>
              </w:rPr>
              <w:instrText xml:space="preserve"> PAGEREF _Toc483395815 \h </w:instrText>
            </w:r>
            <w:r w:rsidR="00D358A7">
              <w:rPr>
                <w:noProof/>
                <w:webHidden/>
              </w:rPr>
            </w:r>
            <w:r w:rsidR="00D358A7">
              <w:rPr>
                <w:noProof/>
                <w:webHidden/>
              </w:rPr>
              <w:fldChar w:fldCharType="separate"/>
            </w:r>
            <w:r w:rsidR="00D358A7">
              <w:rPr>
                <w:noProof/>
                <w:webHidden/>
              </w:rPr>
              <w:t>7</w:t>
            </w:r>
            <w:r w:rsidR="00D358A7">
              <w:rPr>
                <w:noProof/>
                <w:webHidden/>
              </w:rPr>
              <w:fldChar w:fldCharType="end"/>
            </w:r>
          </w:hyperlink>
        </w:p>
        <w:p w14:paraId="41C9E927" w14:textId="77777777" w:rsidR="00D358A7" w:rsidRDefault="00E24871">
          <w:pPr>
            <w:pStyle w:val="TOC2"/>
            <w:tabs>
              <w:tab w:val="left" w:pos="880"/>
              <w:tab w:val="right" w:leader="dot" w:pos="9016"/>
            </w:tabs>
            <w:rPr>
              <w:rFonts w:asciiTheme="minorHAnsi" w:eastAsiaTheme="minorEastAsia" w:hAnsiTheme="minorHAnsi" w:cstheme="minorBidi"/>
              <w:noProof/>
              <w:sz w:val="22"/>
              <w:szCs w:val="22"/>
            </w:rPr>
          </w:pPr>
          <w:hyperlink w:anchor="_Toc483395816" w:history="1">
            <w:r w:rsidR="00D358A7" w:rsidRPr="007600C5">
              <w:rPr>
                <w:rStyle w:val="Hyperlink"/>
                <w:noProof/>
              </w:rPr>
              <w:t>2.2</w:t>
            </w:r>
            <w:r w:rsidR="00D358A7">
              <w:rPr>
                <w:rFonts w:asciiTheme="minorHAnsi" w:eastAsiaTheme="minorEastAsia" w:hAnsiTheme="minorHAnsi" w:cstheme="minorBidi"/>
                <w:noProof/>
                <w:sz w:val="22"/>
                <w:szCs w:val="22"/>
              </w:rPr>
              <w:tab/>
            </w:r>
            <w:r w:rsidR="00D358A7" w:rsidRPr="007600C5">
              <w:rPr>
                <w:rStyle w:val="Hyperlink"/>
                <w:noProof/>
              </w:rPr>
              <w:t>Depletion of Abundant Proteins</w:t>
            </w:r>
            <w:r w:rsidR="00D358A7">
              <w:rPr>
                <w:noProof/>
                <w:webHidden/>
              </w:rPr>
              <w:tab/>
            </w:r>
            <w:r w:rsidR="00D358A7">
              <w:rPr>
                <w:noProof/>
                <w:webHidden/>
              </w:rPr>
              <w:fldChar w:fldCharType="begin"/>
            </w:r>
            <w:r w:rsidR="00D358A7">
              <w:rPr>
                <w:noProof/>
                <w:webHidden/>
              </w:rPr>
              <w:instrText xml:space="preserve"> PAGEREF _Toc483395816 \h </w:instrText>
            </w:r>
            <w:r w:rsidR="00D358A7">
              <w:rPr>
                <w:noProof/>
                <w:webHidden/>
              </w:rPr>
            </w:r>
            <w:r w:rsidR="00D358A7">
              <w:rPr>
                <w:noProof/>
                <w:webHidden/>
              </w:rPr>
              <w:fldChar w:fldCharType="separate"/>
            </w:r>
            <w:r w:rsidR="00D358A7">
              <w:rPr>
                <w:noProof/>
                <w:webHidden/>
              </w:rPr>
              <w:t>10</w:t>
            </w:r>
            <w:r w:rsidR="00D358A7">
              <w:rPr>
                <w:noProof/>
                <w:webHidden/>
              </w:rPr>
              <w:fldChar w:fldCharType="end"/>
            </w:r>
          </w:hyperlink>
        </w:p>
        <w:p w14:paraId="7A02585A" w14:textId="77777777" w:rsidR="00D358A7" w:rsidRDefault="00E24871">
          <w:pPr>
            <w:pStyle w:val="TOC2"/>
            <w:tabs>
              <w:tab w:val="left" w:pos="880"/>
              <w:tab w:val="right" w:leader="dot" w:pos="9016"/>
            </w:tabs>
            <w:rPr>
              <w:rFonts w:asciiTheme="minorHAnsi" w:eastAsiaTheme="minorEastAsia" w:hAnsiTheme="minorHAnsi" w:cstheme="minorBidi"/>
              <w:noProof/>
              <w:sz w:val="22"/>
              <w:szCs w:val="22"/>
            </w:rPr>
          </w:pPr>
          <w:hyperlink w:anchor="_Toc483395817" w:history="1">
            <w:r w:rsidR="00D358A7" w:rsidRPr="007600C5">
              <w:rPr>
                <w:rStyle w:val="Hyperlink"/>
                <w:noProof/>
              </w:rPr>
              <w:t>2.3</w:t>
            </w:r>
            <w:r w:rsidR="00D358A7">
              <w:rPr>
                <w:rFonts w:asciiTheme="minorHAnsi" w:eastAsiaTheme="minorEastAsia" w:hAnsiTheme="minorHAnsi" w:cstheme="minorBidi"/>
                <w:noProof/>
                <w:sz w:val="22"/>
                <w:szCs w:val="22"/>
              </w:rPr>
              <w:tab/>
            </w:r>
            <w:r w:rsidR="00D358A7" w:rsidRPr="007600C5">
              <w:rPr>
                <w:rStyle w:val="Hyperlink"/>
                <w:noProof/>
              </w:rPr>
              <w:t>Fractionation of Labeled Peptides:</w:t>
            </w:r>
            <w:r w:rsidR="00D358A7">
              <w:rPr>
                <w:noProof/>
                <w:webHidden/>
              </w:rPr>
              <w:tab/>
            </w:r>
            <w:r w:rsidR="00D358A7">
              <w:rPr>
                <w:noProof/>
                <w:webHidden/>
              </w:rPr>
              <w:fldChar w:fldCharType="begin"/>
            </w:r>
            <w:r w:rsidR="00D358A7">
              <w:rPr>
                <w:noProof/>
                <w:webHidden/>
              </w:rPr>
              <w:instrText xml:space="preserve"> PAGEREF _Toc483395817 \h </w:instrText>
            </w:r>
            <w:r w:rsidR="00D358A7">
              <w:rPr>
                <w:noProof/>
                <w:webHidden/>
              </w:rPr>
            </w:r>
            <w:r w:rsidR="00D358A7">
              <w:rPr>
                <w:noProof/>
                <w:webHidden/>
              </w:rPr>
              <w:fldChar w:fldCharType="separate"/>
            </w:r>
            <w:r w:rsidR="00D358A7">
              <w:rPr>
                <w:noProof/>
                <w:webHidden/>
              </w:rPr>
              <w:t>14</w:t>
            </w:r>
            <w:r w:rsidR="00D358A7">
              <w:rPr>
                <w:noProof/>
                <w:webHidden/>
              </w:rPr>
              <w:fldChar w:fldCharType="end"/>
            </w:r>
          </w:hyperlink>
        </w:p>
        <w:p w14:paraId="47047712" w14:textId="77777777" w:rsidR="00D358A7" w:rsidRDefault="00E24871">
          <w:pPr>
            <w:pStyle w:val="TOC2"/>
            <w:tabs>
              <w:tab w:val="left" w:pos="880"/>
              <w:tab w:val="right" w:leader="dot" w:pos="9016"/>
            </w:tabs>
            <w:rPr>
              <w:rFonts w:asciiTheme="minorHAnsi" w:eastAsiaTheme="minorEastAsia" w:hAnsiTheme="minorHAnsi" w:cstheme="minorBidi"/>
              <w:noProof/>
              <w:sz w:val="22"/>
              <w:szCs w:val="22"/>
            </w:rPr>
          </w:pPr>
          <w:hyperlink w:anchor="_Toc483395818" w:history="1">
            <w:r w:rsidR="00D358A7" w:rsidRPr="007600C5">
              <w:rPr>
                <w:rStyle w:val="Hyperlink"/>
                <w:noProof/>
              </w:rPr>
              <w:t>2.4</w:t>
            </w:r>
            <w:r w:rsidR="00D358A7">
              <w:rPr>
                <w:rFonts w:asciiTheme="minorHAnsi" w:eastAsiaTheme="minorEastAsia" w:hAnsiTheme="minorHAnsi" w:cstheme="minorBidi"/>
                <w:noProof/>
                <w:sz w:val="22"/>
                <w:szCs w:val="22"/>
              </w:rPr>
              <w:tab/>
            </w:r>
            <w:r w:rsidR="00D358A7" w:rsidRPr="007600C5">
              <w:rPr>
                <w:rStyle w:val="Hyperlink"/>
                <w:noProof/>
              </w:rPr>
              <w:t>Targeting Post Translational Modifications</w:t>
            </w:r>
            <w:r w:rsidR="00D358A7">
              <w:rPr>
                <w:noProof/>
                <w:webHidden/>
              </w:rPr>
              <w:tab/>
            </w:r>
            <w:r w:rsidR="00D358A7">
              <w:rPr>
                <w:noProof/>
                <w:webHidden/>
              </w:rPr>
              <w:fldChar w:fldCharType="begin"/>
            </w:r>
            <w:r w:rsidR="00D358A7">
              <w:rPr>
                <w:noProof/>
                <w:webHidden/>
              </w:rPr>
              <w:instrText xml:space="preserve"> PAGEREF _Toc483395818 \h </w:instrText>
            </w:r>
            <w:r w:rsidR="00D358A7">
              <w:rPr>
                <w:noProof/>
                <w:webHidden/>
              </w:rPr>
            </w:r>
            <w:r w:rsidR="00D358A7">
              <w:rPr>
                <w:noProof/>
                <w:webHidden/>
              </w:rPr>
              <w:fldChar w:fldCharType="separate"/>
            </w:r>
            <w:r w:rsidR="00D358A7">
              <w:rPr>
                <w:noProof/>
                <w:webHidden/>
              </w:rPr>
              <w:t>17</w:t>
            </w:r>
            <w:r w:rsidR="00D358A7">
              <w:rPr>
                <w:noProof/>
                <w:webHidden/>
              </w:rPr>
              <w:fldChar w:fldCharType="end"/>
            </w:r>
          </w:hyperlink>
        </w:p>
        <w:p w14:paraId="1158C97B" w14:textId="77777777" w:rsidR="00D358A7" w:rsidRDefault="00E24871">
          <w:pPr>
            <w:pStyle w:val="TOC2"/>
            <w:tabs>
              <w:tab w:val="left" w:pos="880"/>
              <w:tab w:val="right" w:leader="dot" w:pos="9016"/>
            </w:tabs>
            <w:rPr>
              <w:rFonts w:asciiTheme="minorHAnsi" w:eastAsiaTheme="minorEastAsia" w:hAnsiTheme="minorHAnsi" w:cstheme="minorBidi"/>
              <w:noProof/>
              <w:sz w:val="22"/>
              <w:szCs w:val="22"/>
            </w:rPr>
          </w:pPr>
          <w:hyperlink w:anchor="_Toc483395819" w:history="1">
            <w:r w:rsidR="00D358A7" w:rsidRPr="007600C5">
              <w:rPr>
                <w:rStyle w:val="Hyperlink"/>
                <w:noProof/>
              </w:rPr>
              <w:t>2.5</w:t>
            </w:r>
            <w:r w:rsidR="00D358A7">
              <w:rPr>
                <w:rFonts w:asciiTheme="minorHAnsi" w:eastAsiaTheme="minorEastAsia" w:hAnsiTheme="minorHAnsi" w:cstheme="minorBidi"/>
                <w:noProof/>
                <w:sz w:val="22"/>
                <w:szCs w:val="22"/>
              </w:rPr>
              <w:tab/>
            </w:r>
            <w:r w:rsidR="00D358A7" w:rsidRPr="007600C5">
              <w:rPr>
                <w:rStyle w:val="Hyperlink"/>
                <w:noProof/>
              </w:rPr>
              <w:t>Mass Spectrometry and Chromatography</w:t>
            </w:r>
            <w:r w:rsidR="00D358A7">
              <w:rPr>
                <w:noProof/>
                <w:webHidden/>
              </w:rPr>
              <w:tab/>
            </w:r>
            <w:r w:rsidR="00D358A7">
              <w:rPr>
                <w:noProof/>
                <w:webHidden/>
              </w:rPr>
              <w:fldChar w:fldCharType="begin"/>
            </w:r>
            <w:r w:rsidR="00D358A7">
              <w:rPr>
                <w:noProof/>
                <w:webHidden/>
              </w:rPr>
              <w:instrText xml:space="preserve"> PAGEREF _Toc483395819 \h </w:instrText>
            </w:r>
            <w:r w:rsidR="00D358A7">
              <w:rPr>
                <w:noProof/>
                <w:webHidden/>
              </w:rPr>
            </w:r>
            <w:r w:rsidR="00D358A7">
              <w:rPr>
                <w:noProof/>
                <w:webHidden/>
              </w:rPr>
              <w:fldChar w:fldCharType="separate"/>
            </w:r>
            <w:r w:rsidR="00D358A7">
              <w:rPr>
                <w:noProof/>
                <w:webHidden/>
              </w:rPr>
              <w:t>18</w:t>
            </w:r>
            <w:r w:rsidR="00D358A7">
              <w:rPr>
                <w:noProof/>
                <w:webHidden/>
              </w:rPr>
              <w:fldChar w:fldCharType="end"/>
            </w:r>
          </w:hyperlink>
        </w:p>
        <w:p w14:paraId="1636224B" w14:textId="77777777" w:rsidR="00D358A7" w:rsidRDefault="00E24871">
          <w:pPr>
            <w:pStyle w:val="TOC2"/>
            <w:tabs>
              <w:tab w:val="left" w:pos="880"/>
              <w:tab w:val="right" w:leader="dot" w:pos="9016"/>
            </w:tabs>
            <w:rPr>
              <w:rFonts w:asciiTheme="minorHAnsi" w:eastAsiaTheme="minorEastAsia" w:hAnsiTheme="minorHAnsi" w:cstheme="minorBidi"/>
              <w:noProof/>
              <w:sz w:val="22"/>
              <w:szCs w:val="22"/>
            </w:rPr>
          </w:pPr>
          <w:hyperlink w:anchor="_Toc483395820" w:history="1">
            <w:r w:rsidR="00D358A7" w:rsidRPr="007600C5">
              <w:rPr>
                <w:rStyle w:val="Hyperlink"/>
                <w:noProof/>
              </w:rPr>
              <w:t>2.6</w:t>
            </w:r>
            <w:r w:rsidR="00D358A7">
              <w:rPr>
                <w:rFonts w:asciiTheme="minorHAnsi" w:eastAsiaTheme="minorEastAsia" w:hAnsiTheme="minorHAnsi" w:cstheme="minorBidi"/>
                <w:noProof/>
                <w:sz w:val="22"/>
                <w:szCs w:val="22"/>
              </w:rPr>
              <w:tab/>
            </w:r>
            <w:r w:rsidR="00D358A7" w:rsidRPr="007600C5">
              <w:rPr>
                <w:rStyle w:val="Hyperlink"/>
                <w:noProof/>
              </w:rPr>
              <w:t>Study size, Discovery and Validation Cohorts</w:t>
            </w:r>
            <w:r w:rsidR="00D358A7">
              <w:rPr>
                <w:noProof/>
                <w:webHidden/>
              </w:rPr>
              <w:tab/>
            </w:r>
            <w:r w:rsidR="00D358A7">
              <w:rPr>
                <w:noProof/>
                <w:webHidden/>
              </w:rPr>
              <w:fldChar w:fldCharType="begin"/>
            </w:r>
            <w:r w:rsidR="00D358A7">
              <w:rPr>
                <w:noProof/>
                <w:webHidden/>
              </w:rPr>
              <w:instrText xml:space="preserve"> PAGEREF _Toc483395820 \h </w:instrText>
            </w:r>
            <w:r w:rsidR="00D358A7">
              <w:rPr>
                <w:noProof/>
                <w:webHidden/>
              </w:rPr>
            </w:r>
            <w:r w:rsidR="00D358A7">
              <w:rPr>
                <w:noProof/>
                <w:webHidden/>
              </w:rPr>
              <w:fldChar w:fldCharType="separate"/>
            </w:r>
            <w:r w:rsidR="00D358A7">
              <w:rPr>
                <w:noProof/>
                <w:webHidden/>
              </w:rPr>
              <w:t>20</w:t>
            </w:r>
            <w:r w:rsidR="00D358A7">
              <w:rPr>
                <w:noProof/>
                <w:webHidden/>
              </w:rPr>
              <w:fldChar w:fldCharType="end"/>
            </w:r>
          </w:hyperlink>
        </w:p>
        <w:p w14:paraId="35CE49F9" w14:textId="77777777" w:rsidR="00D358A7" w:rsidRDefault="00E24871">
          <w:pPr>
            <w:pStyle w:val="TOC2"/>
            <w:tabs>
              <w:tab w:val="left" w:pos="880"/>
              <w:tab w:val="right" w:leader="dot" w:pos="9016"/>
            </w:tabs>
            <w:rPr>
              <w:rFonts w:asciiTheme="minorHAnsi" w:eastAsiaTheme="minorEastAsia" w:hAnsiTheme="minorHAnsi" w:cstheme="minorBidi"/>
              <w:noProof/>
              <w:sz w:val="22"/>
              <w:szCs w:val="22"/>
            </w:rPr>
          </w:pPr>
          <w:hyperlink w:anchor="_Toc483395821" w:history="1">
            <w:r w:rsidR="00D358A7" w:rsidRPr="007600C5">
              <w:rPr>
                <w:rStyle w:val="Hyperlink"/>
                <w:noProof/>
              </w:rPr>
              <w:t>2.7</w:t>
            </w:r>
            <w:r w:rsidR="00D358A7">
              <w:rPr>
                <w:rFonts w:asciiTheme="minorHAnsi" w:eastAsiaTheme="minorEastAsia" w:hAnsiTheme="minorHAnsi" w:cstheme="minorBidi"/>
                <w:noProof/>
                <w:sz w:val="22"/>
                <w:szCs w:val="22"/>
              </w:rPr>
              <w:tab/>
            </w:r>
            <w:r w:rsidR="00D358A7" w:rsidRPr="007600C5">
              <w:rPr>
                <w:rStyle w:val="Hyperlink"/>
                <w:noProof/>
              </w:rPr>
              <w:t>Differentially Abundant Proteins</w:t>
            </w:r>
            <w:r w:rsidR="00D358A7">
              <w:rPr>
                <w:noProof/>
                <w:webHidden/>
              </w:rPr>
              <w:tab/>
            </w:r>
            <w:r w:rsidR="00D358A7">
              <w:rPr>
                <w:noProof/>
                <w:webHidden/>
              </w:rPr>
              <w:fldChar w:fldCharType="begin"/>
            </w:r>
            <w:r w:rsidR="00D358A7">
              <w:rPr>
                <w:noProof/>
                <w:webHidden/>
              </w:rPr>
              <w:instrText xml:space="preserve"> PAGEREF _Toc483395821 \h </w:instrText>
            </w:r>
            <w:r w:rsidR="00D358A7">
              <w:rPr>
                <w:noProof/>
                <w:webHidden/>
              </w:rPr>
            </w:r>
            <w:r w:rsidR="00D358A7">
              <w:rPr>
                <w:noProof/>
                <w:webHidden/>
              </w:rPr>
              <w:fldChar w:fldCharType="separate"/>
            </w:r>
            <w:r w:rsidR="00D358A7">
              <w:rPr>
                <w:noProof/>
                <w:webHidden/>
              </w:rPr>
              <w:t>22</w:t>
            </w:r>
            <w:r w:rsidR="00D358A7">
              <w:rPr>
                <w:noProof/>
                <w:webHidden/>
              </w:rPr>
              <w:fldChar w:fldCharType="end"/>
            </w:r>
          </w:hyperlink>
        </w:p>
        <w:p w14:paraId="45F8AE2C" w14:textId="77777777" w:rsidR="00D358A7" w:rsidRDefault="00E24871">
          <w:pPr>
            <w:pStyle w:val="TOC1"/>
            <w:tabs>
              <w:tab w:val="left" w:pos="480"/>
              <w:tab w:val="right" w:leader="dot" w:pos="9016"/>
            </w:tabs>
            <w:rPr>
              <w:rFonts w:asciiTheme="minorHAnsi" w:eastAsiaTheme="minorEastAsia" w:hAnsiTheme="minorHAnsi" w:cstheme="minorBidi"/>
              <w:noProof/>
              <w:sz w:val="22"/>
              <w:szCs w:val="22"/>
            </w:rPr>
          </w:pPr>
          <w:hyperlink w:anchor="_Toc483395822" w:history="1">
            <w:r w:rsidR="00D358A7" w:rsidRPr="007600C5">
              <w:rPr>
                <w:rStyle w:val="Hyperlink"/>
                <w:noProof/>
              </w:rPr>
              <w:t>3</w:t>
            </w:r>
            <w:r w:rsidR="00D358A7">
              <w:rPr>
                <w:rFonts w:asciiTheme="minorHAnsi" w:eastAsiaTheme="minorEastAsia" w:hAnsiTheme="minorHAnsi" w:cstheme="minorBidi"/>
                <w:noProof/>
                <w:sz w:val="22"/>
                <w:szCs w:val="22"/>
              </w:rPr>
              <w:tab/>
            </w:r>
            <w:r w:rsidR="00D358A7" w:rsidRPr="007600C5">
              <w:rPr>
                <w:rStyle w:val="Hyperlink"/>
                <w:noProof/>
              </w:rPr>
              <w:t>Applications of Isobaric Labeling for Serum and Plasma Proteomics</w:t>
            </w:r>
            <w:r w:rsidR="00D358A7">
              <w:rPr>
                <w:noProof/>
                <w:webHidden/>
              </w:rPr>
              <w:tab/>
            </w:r>
            <w:r w:rsidR="00D358A7">
              <w:rPr>
                <w:noProof/>
                <w:webHidden/>
              </w:rPr>
              <w:fldChar w:fldCharType="begin"/>
            </w:r>
            <w:r w:rsidR="00D358A7">
              <w:rPr>
                <w:noProof/>
                <w:webHidden/>
              </w:rPr>
              <w:instrText xml:space="preserve"> PAGEREF _Toc483395822 \h </w:instrText>
            </w:r>
            <w:r w:rsidR="00D358A7">
              <w:rPr>
                <w:noProof/>
                <w:webHidden/>
              </w:rPr>
            </w:r>
            <w:r w:rsidR="00D358A7">
              <w:rPr>
                <w:noProof/>
                <w:webHidden/>
              </w:rPr>
              <w:fldChar w:fldCharType="separate"/>
            </w:r>
            <w:r w:rsidR="00D358A7">
              <w:rPr>
                <w:noProof/>
                <w:webHidden/>
              </w:rPr>
              <w:t>24</w:t>
            </w:r>
            <w:r w:rsidR="00D358A7">
              <w:rPr>
                <w:noProof/>
                <w:webHidden/>
              </w:rPr>
              <w:fldChar w:fldCharType="end"/>
            </w:r>
          </w:hyperlink>
        </w:p>
        <w:p w14:paraId="703EAA38" w14:textId="77777777" w:rsidR="00D358A7" w:rsidRDefault="00E24871">
          <w:pPr>
            <w:pStyle w:val="TOC2"/>
            <w:tabs>
              <w:tab w:val="left" w:pos="880"/>
              <w:tab w:val="right" w:leader="dot" w:pos="9016"/>
            </w:tabs>
            <w:rPr>
              <w:rFonts w:asciiTheme="minorHAnsi" w:eastAsiaTheme="minorEastAsia" w:hAnsiTheme="minorHAnsi" w:cstheme="minorBidi"/>
              <w:noProof/>
              <w:sz w:val="22"/>
              <w:szCs w:val="22"/>
            </w:rPr>
          </w:pPr>
          <w:hyperlink w:anchor="_Toc483395823" w:history="1">
            <w:r w:rsidR="00D358A7" w:rsidRPr="007600C5">
              <w:rPr>
                <w:rStyle w:val="Hyperlink"/>
                <w:noProof/>
              </w:rPr>
              <w:t>3.1</w:t>
            </w:r>
            <w:r w:rsidR="00D358A7">
              <w:rPr>
                <w:rFonts w:asciiTheme="minorHAnsi" w:eastAsiaTheme="minorEastAsia" w:hAnsiTheme="minorHAnsi" w:cstheme="minorBidi"/>
                <w:noProof/>
                <w:sz w:val="22"/>
                <w:szCs w:val="22"/>
              </w:rPr>
              <w:tab/>
            </w:r>
            <w:r w:rsidR="00D358A7" w:rsidRPr="007600C5">
              <w:rPr>
                <w:rStyle w:val="Hyperlink"/>
                <w:noProof/>
              </w:rPr>
              <w:t>Cancer</w:t>
            </w:r>
            <w:r w:rsidR="00D358A7">
              <w:rPr>
                <w:noProof/>
                <w:webHidden/>
              </w:rPr>
              <w:tab/>
            </w:r>
            <w:r w:rsidR="00D358A7">
              <w:rPr>
                <w:noProof/>
                <w:webHidden/>
              </w:rPr>
              <w:fldChar w:fldCharType="begin"/>
            </w:r>
            <w:r w:rsidR="00D358A7">
              <w:rPr>
                <w:noProof/>
                <w:webHidden/>
              </w:rPr>
              <w:instrText xml:space="preserve"> PAGEREF _Toc483395823 \h </w:instrText>
            </w:r>
            <w:r w:rsidR="00D358A7">
              <w:rPr>
                <w:noProof/>
                <w:webHidden/>
              </w:rPr>
            </w:r>
            <w:r w:rsidR="00D358A7">
              <w:rPr>
                <w:noProof/>
                <w:webHidden/>
              </w:rPr>
              <w:fldChar w:fldCharType="separate"/>
            </w:r>
            <w:r w:rsidR="00D358A7">
              <w:rPr>
                <w:noProof/>
                <w:webHidden/>
              </w:rPr>
              <w:t>24</w:t>
            </w:r>
            <w:r w:rsidR="00D358A7">
              <w:rPr>
                <w:noProof/>
                <w:webHidden/>
              </w:rPr>
              <w:fldChar w:fldCharType="end"/>
            </w:r>
          </w:hyperlink>
        </w:p>
        <w:p w14:paraId="2F151730" w14:textId="77777777" w:rsidR="00D358A7" w:rsidRDefault="00E24871">
          <w:pPr>
            <w:pStyle w:val="TOC2"/>
            <w:tabs>
              <w:tab w:val="left" w:pos="880"/>
              <w:tab w:val="right" w:leader="dot" w:pos="9016"/>
            </w:tabs>
            <w:rPr>
              <w:rFonts w:asciiTheme="minorHAnsi" w:eastAsiaTheme="minorEastAsia" w:hAnsiTheme="minorHAnsi" w:cstheme="minorBidi"/>
              <w:noProof/>
              <w:sz w:val="22"/>
              <w:szCs w:val="22"/>
            </w:rPr>
          </w:pPr>
          <w:hyperlink w:anchor="_Toc483395824" w:history="1">
            <w:r w:rsidR="00D358A7" w:rsidRPr="007600C5">
              <w:rPr>
                <w:rStyle w:val="Hyperlink"/>
                <w:noProof/>
              </w:rPr>
              <w:t>3.2</w:t>
            </w:r>
            <w:r w:rsidR="00D358A7">
              <w:rPr>
                <w:rFonts w:asciiTheme="minorHAnsi" w:eastAsiaTheme="minorEastAsia" w:hAnsiTheme="minorHAnsi" w:cstheme="minorBidi"/>
                <w:noProof/>
                <w:sz w:val="22"/>
                <w:szCs w:val="22"/>
              </w:rPr>
              <w:tab/>
            </w:r>
            <w:r w:rsidR="00D358A7" w:rsidRPr="007600C5">
              <w:rPr>
                <w:rStyle w:val="Hyperlink"/>
                <w:noProof/>
              </w:rPr>
              <w:t>Circulation and Cardiovascular Risk</w:t>
            </w:r>
            <w:r w:rsidR="00D358A7">
              <w:rPr>
                <w:noProof/>
                <w:webHidden/>
              </w:rPr>
              <w:tab/>
            </w:r>
            <w:r w:rsidR="00D358A7">
              <w:rPr>
                <w:noProof/>
                <w:webHidden/>
              </w:rPr>
              <w:fldChar w:fldCharType="begin"/>
            </w:r>
            <w:r w:rsidR="00D358A7">
              <w:rPr>
                <w:noProof/>
                <w:webHidden/>
              </w:rPr>
              <w:instrText xml:space="preserve"> PAGEREF _Toc483395824 \h </w:instrText>
            </w:r>
            <w:r w:rsidR="00D358A7">
              <w:rPr>
                <w:noProof/>
                <w:webHidden/>
              </w:rPr>
            </w:r>
            <w:r w:rsidR="00D358A7">
              <w:rPr>
                <w:noProof/>
                <w:webHidden/>
              </w:rPr>
              <w:fldChar w:fldCharType="separate"/>
            </w:r>
            <w:r w:rsidR="00D358A7">
              <w:rPr>
                <w:noProof/>
                <w:webHidden/>
              </w:rPr>
              <w:t>27</w:t>
            </w:r>
            <w:r w:rsidR="00D358A7">
              <w:rPr>
                <w:noProof/>
                <w:webHidden/>
              </w:rPr>
              <w:fldChar w:fldCharType="end"/>
            </w:r>
          </w:hyperlink>
        </w:p>
        <w:p w14:paraId="57275531" w14:textId="77777777" w:rsidR="00D358A7" w:rsidRDefault="00E24871">
          <w:pPr>
            <w:pStyle w:val="TOC2"/>
            <w:tabs>
              <w:tab w:val="left" w:pos="880"/>
              <w:tab w:val="right" w:leader="dot" w:pos="9016"/>
            </w:tabs>
            <w:rPr>
              <w:rFonts w:asciiTheme="minorHAnsi" w:eastAsiaTheme="minorEastAsia" w:hAnsiTheme="minorHAnsi" w:cstheme="minorBidi"/>
              <w:noProof/>
              <w:sz w:val="22"/>
              <w:szCs w:val="22"/>
            </w:rPr>
          </w:pPr>
          <w:hyperlink w:anchor="_Toc483395825" w:history="1">
            <w:r w:rsidR="00D358A7" w:rsidRPr="007600C5">
              <w:rPr>
                <w:rStyle w:val="Hyperlink"/>
                <w:noProof/>
              </w:rPr>
              <w:t>3.3</w:t>
            </w:r>
            <w:r w:rsidR="00D358A7">
              <w:rPr>
                <w:rFonts w:asciiTheme="minorHAnsi" w:eastAsiaTheme="minorEastAsia" w:hAnsiTheme="minorHAnsi" w:cstheme="minorBidi"/>
                <w:noProof/>
                <w:sz w:val="22"/>
                <w:szCs w:val="22"/>
              </w:rPr>
              <w:tab/>
            </w:r>
            <w:r w:rsidR="00D358A7" w:rsidRPr="007600C5">
              <w:rPr>
                <w:rStyle w:val="Hyperlink"/>
                <w:noProof/>
              </w:rPr>
              <w:t>Respiratory illnesses</w:t>
            </w:r>
            <w:r w:rsidR="00D358A7">
              <w:rPr>
                <w:noProof/>
                <w:webHidden/>
              </w:rPr>
              <w:tab/>
            </w:r>
            <w:r w:rsidR="00D358A7">
              <w:rPr>
                <w:noProof/>
                <w:webHidden/>
              </w:rPr>
              <w:fldChar w:fldCharType="begin"/>
            </w:r>
            <w:r w:rsidR="00D358A7">
              <w:rPr>
                <w:noProof/>
                <w:webHidden/>
              </w:rPr>
              <w:instrText xml:space="preserve"> PAGEREF _Toc483395825 \h </w:instrText>
            </w:r>
            <w:r w:rsidR="00D358A7">
              <w:rPr>
                <w:noProof/>
                <w:webHidden/>
              </w:rPr>
            </w:r>
            <w:r w:rsidR="00D358A7">
              <w:rPr>
                <w:noProof/>
                <w:webHidden/>
              </w:rPr>
              <w:fldChar w:fldCharType="separate"/>
            </w:r>
            <w:r w:rsidR="00D358A7">
              <w:rPr>
                <w:noProof/>
                <w:webHidden/>
              </w:rPr>
              <w:t>31</w:t>
            </w:r>
            <w:r w:rsidR="00D358A7">
              <w:rPr>
                <w:noProof/>
                <w:webHidden/>
              </w:rPr>
              <w:fldChar w:fldCharType="end"/>
            </w:r>
          </w:hyperlink>
        </w:p>
        <w:p w14:paraId="1AFC20F4" w14:textId="77777777" w:rsidR="00D358A7" w:rsidRDefault="00E24871">
          <w:pPr>
            <w:pStyle w:val="TOC2"/>
            <w:tabs>
              <w:tab w:val="left" w:pos="880"/>
              <w:tab w:val="right" w:leader="dot" w:pos="9016"/>
            </w:tabs>
            <w:rPr>
              <w:rFonts w:asciiTheme="minorHAnsi" w:eastAsiaTheme="minorEastAsia" w:hAnsiTheme="minorHAnsi" w:cstheme="minorBidi"/>
              <w:noProof/>
              <w:sz w:val="22"/>
              <w:szCs w:val="22"/>
            </w:rPr>
          </w:pPr>
          <w:hyperlink w:anchor="_Toc483395826" w:history="1">
            <w:r w:rsidR="00D358A7" w:rsidRPr="007600C5">
              <w:rPr>
                <w:rStyle w:val="Hyperlink"/>
                <w:noProof/>
              </w:rPr>
              <w:t>3.4</w:t>
            </w:r>
            <w:r w:rsidR="00D358A7">
              <w:rPr>
                <w:rFonts w:asciiTheme="minorHAnsi" w:eastAsiaTheme="minorEastAsia" w:hAnsiTheme="minorHAnsi" w:cstheme="minorBidi"/>
                <w:noProof/>
                <w:sz w:val="22"/>
                <w:szCs w:val="22"/>
              </w:rPr>
              <w:tab/>
            </w:r>
            <w:r w:rsidR="00D358A7" w:rsidRPr="007600C5">
              <w:rPr>
                <w:rStyle w:val="Hyperlink"/>
                <w:noProof/>
              </w:rPr>
              <w:t>Autoimmune Diseases</w:t>
            </w:r>
            <w:r w:rsidR="00D358A7">
              <w:rPr>
                <w:noProof/>
                <w:webHidden/>
              </w:rPr>
              <w:tab/>
            </w:r>
            <w:r w:rsidR="00D358A7">
              <w:rPr>
                <w:noProof/>
                <w:webHidden/>
              </w:rPr>
              <w:fldChar w:fldCharType="begin"/>
            </w:r>
            <w:r w:rsidR="00D358A7">
              <w:rPr>
                <w:noProof/>
                <w:webHidden/>
              </w:rPr>
              <w:instrText xml:space="preserve"> PAGEREF _Toc483395826 \h </w:instrText>
            </w:r>
            <w:r w:rsidR="00D358A7">
              <w:rPr>
                <w:noProof/>
                <w:webHidden/>
              </w:rPr>
            </w:r>
            <w:r w:rsidR="00D358A7">
              <w:rPr>
                <w:noProof/>
                <w:webHidden/>
              </w:rPr>
              <w:fldChar w:fldCharType="separate"/>
            </w:r>
            <w:r w:rsidR="00D358A7">
              <w:rPr>
                <w:noProof/>
                <w:webHidden/>
              </w:rPr>
              <w:t>32</w:t>
            </w:r>
            <w:r w:rsidR="00D358A7">
              <w:rPr>
                <w:noProof/>
                <w:webHidden/>
              </w:rPr>
              <w:fldChar w:fldCharType="end"/>
            </w:r>
          </w:hyperlink>
        </w:p>
        <w:p w14:paraId="5588F68C" w14:textId="77777777" w:rsidR="00D358A7" w:rsidRDefault="00E24871">
          <w:pPr>
            <w:pStyle w:val="TOC2"/>
            <w:tabs>
              <w:tab w:val="left" w:pos="880"/>
              <w:tab w:val="right" w:leader="dot" w:pos="9016"/>
            </w:tabs>
            <w:rPr>
              <w:rFonts w:asciiTheme="minorHAnsi" w:eastAsiaTheme="minorEastAsia" w:hAnsiTheme="minorHAnsi" w:cstheme="minorBidi"/>
              <w:noProof/>
              <w:sz w:val="22"/>
              <w:szCs w:val="22"/>
            </w:rPr>
          </w:pPr>
          <w:hyperlink w:anchor="_Toc483395827" w:history="1">
            <w:r w:rsidR="00D358A7" w:rsidRPr="007600C5">
              <w:rPr>
                <w:rStyle w:val="Hyperlink"/>
                <w:noProof/>
              </w:rPr>
              <w:t>3.5</w:t>
            </w:r>
            <w:r w:rsidR="00D358A7">
              <w:rPr>
                <w:rFonts w:asciiTheme="minorHAnsi" w:eastAsiaTheme="minorEastAsia" w:hAnsiTheme="minorHAnsi" w:cstheme="minorBidi"/>
                <w:noProof/>
                <w:sz w:val="22"/>
                <w:szCs w:val="22"/>
              </w:rPr>
              <w:tab/>
            </w:r>
            <w:r w:rsidR="00D358A7" w:rsidRPr="007600C5">
              <w:rPr>
                <w:rStyle w:val="Hyperlink"/>
                <w:noProof/>
              </w:rPr>
              <w:t>Type 2 Diabetes, Obesity and Diet</w:t>
            </w:r>
            <w:r w:rsidR="00D358A7">
              <w:rPr>
                <w:noProof/>
                <w:webHidden/>
              </w:rPr>
              <w:tab/>
            </w:r>
            <w:r w:rsidR="00D358A7">
              <w:rPr>
                <w:noProof/>
                <w:webHidden/>
              </w:rPr>
              <w:fldChar w:fldCharType="begin"/>
            </w:r>
            <w:r w:rsidR="00D358A7">
              <w:rPr>
                <w:noProof/>
                <w:webHidden/>
              </w:rPr>
              <w:instrText xml:space="preserve"> PAGEREF _Toc483395827 \h </w:instrText>
            </w:r>
            <w:r w:rsidR="00D358A7">
              <w:rPr>
                <w:noProof/>
                <w:webHidden/>
              </w:rPr>
            </w:r>
            <w:r w:rsidR="00D358A7">
              <w:rPr>
                <w:noProof/>
                <w:webHidden/>
              </w:rPr>
              <w:fldChar w:fldCharType="separate"/>
            </w:r>
            <w:r w:rsidR="00D358A7">
              <w:rPr>
                <w:noProof/>
                <w:webHidden/>
              </w:rPr>
              <w:t>34</w:t>
            </w:r>
            <w:r w:rsidR="00D358A7">
              <w:rPr>
                <w:noProof/>
                <w:webHidden/>
              </w:rPr>
              <w:fldChar w:fldCharType="end"/>
            </w:r>
          </w:hyperlink>
        </w:p>
        <w:p w14:paraId="026744C3" w14:textId="77777777" w:rsidR="00D358A7" w:rsidRDefault="00E24871">
          <w:pPr>
            <w:pStyle w:val="TOC2"/>
            <w:tabs>
              <w:tab w:val="left" w:pos="880"/>
              <w:tab w:val="right" w:leader="dot" w:pos="9016"/>
            </w:tabs>
            <w:rPr>
              <w:rFonts w:asciiTheme="minorHAnsi" w:eastAsiaTheme="minorEastAsia" w:hAnsiTheme="minorHAnsi" w:cstheme="minorBidi"/>
              <w:noProof/>
              <w:sz w:val="22"/>
              <w:szCs w:val="22"/>
            </w:rPr>
          </w:pPr>
          <w:hyperlink w:anchor="_Toc483395828" w:history="1">
            <w:r w:rsidR="00D358A7" w:rsidRPr="007600C5">
              <w:rPr>
                <w:rStyle w:val="Hyperlink"/>
                <w:noProof/>
              </w:rPr>
              <w:t>3.6</w:t>
            </w:r>
            <w:r w:rsidR="00D358A7">
              <w:rPr>
                <w:rFonts w:asciiTheme="minorHAnsi" w:eastAsiaTheme="minorEastAsia" w:hAnsiTheme="minorHAnsi" w:cstheme="minorBidi"/>
                <w:noProof/>
                <w:sz w:val="22"/>
                <w:szCs w:val="22"/>
              </w:rPr>
              <w:tab/>
            </w:r>
            <w:r w:rsidR="00D358A7" w:rsidRPr="007600C5">
              <w:rPr>
                <w:rStyle w:val="Hyperlink"/>
                <w:noProof/>
              </w:rPr>
              <w:t>Pregnancy and Gynecology</w:t>
            </w:r>
            <w:r w:rsidR="00D358A7">
              <w:rPr>
                <w:noProof/>
                <w:webHidden/>
              </w:rPr>
              <w:tab/>
            </w:r>
            <w:r w:rsidR="00D358A7">
              <w:rPr>
                <w:noProof/>
                <w:webHidden/>
              </w:rPr>
              <w:fldChar w:fldCharType="begin"/>
            </w:r>
            <w:r w:rsidR="00D358A7">
              <w:rPr>
                <w:noProof/>
                <w:webHidden/>
              </w:rPr>
              <w:instrText xml:space="preserve"> PAGEREF _Toc483395828 \h </w:instrText>
            </w:r>
            <w:r w:rsidR="00D358A7">
              <w:rPr>
                <w:noProof/>
                <w:webHidden/>
              </w:rPr>
            </w:r>
            <w:r w:rsidR="00D358A7">
              <w:rPr>
                <w:noProof/>
                <w:webHidden/>
              </w:rPr>
              <w:fldChar w:fldCharType="separate"/>
            </w:r>
            <w:r w:rsidR="00D358A7">
              <w:rPr>
                <w:noProof/>
                <w:webHidden/>
              </w:rPr>
              <w:t>36</w:t>
            </w:r>
            <w:r w:rsidR="00D358A7">
              <w:rPr>
                <w:noProof/>
                <w:webHidden/>
              </w:rPr>
              <w:fldChar w:fldCharType="end"/>
            </w:r>
          </w:hyperlink>
        </w:p>
        <w:p w14:paraId="4EC58F88" w14:textId="77777777" w:rsidR="00D358A7" w:rsidRDefault="00E24871">
          <w:pPr>
            <w:pStyle w:val="TOC2"/>
            <w:tabs>
              <w:tab w:val="left" w:pos="880"/>
              <w:tab w:val="right" w:leader="dot" w:pos="9016"/>
            </w:tabs>
            <w:rPr>
              <w:rFonts w:asciiTheme="minorHAnsi" w:eastAsiaTheme="minorEastAsia" w:hAnsiTheme="minorHAnsi" w:cstheme="minorBidi"/>
              <w:noProof/>
              <w:sz w:val="22"/>
              <w:szCs w:val="22"/>
            </w:rPr>
          </w:pPr>
          <w:hyperlink w:anchor="_Toc483395829" w:history="1">
            <w:r w:rsidR="00D358A7" w:rsidRPr="007600C5">
              <w:rPr>
                <w:rStyle w:val="Hyperlink"/>
                <w:noProof/>
              </w:rPr>
              <w:t>3.7</w:t>
            </w:r>
            <w:r w:rsidR="00D358A7">
              <w:rPr>
                <w:rFonts w:asciiTheme="minorHAnsi" w:eastAsiaTheme="minorEastAsia" w:hAnsiTheme="minorHAnsi" w:cstheme="minorBidi"/>
                <w:noProof/>
                <w:sz w:val="22"/>
                <w:szCs w:val="22"/>
              </w:rPr>
              <w:tab/>
            </w:r>
            <w:r w:rsidR="00D358A7" w:rsidRPr="007600C5">
              <w:rPr>
                <w:rStyle w:val="Hyperlink"/>
                <w:noProof/>
              </w:rPr>
              <w:t>Infection</w:t>
            </w:r>
            <w:r w:rsidR="00D358A7">
              <w:rPr>
                <w:noProof/>
                <w:webHidden/>
              </w:rPr>
              <w:tab/>
            </w:r>
            <w:r w:rsidR="00D358A7">
              <w:rPr>
                <w:noProof/>
                <w:webHidden/>
              </w:rPr>
              <w:fldChar w:fldCharType="begin"/>
            </w:r>
            <w:r w:rsidR="00D358A7">
              <w:rPr>
                <w:noProof/>
                <w:webHidden/>
              </w:rPr>
              <w:instrText xml:space="preserve"> PAGEREF _Toc483395829 \h </w:instrText>
            </w:r>
            <w:r w:rsidR="00D358A7">
              <w:rPr>
                <w:noProof/>
                <w:webHidden/>
              </w:rPr>
            </w:r>
            <w:r w:rsidR="00D358A7">
              <w:rPr>
                <w:noProof/>
                <w:webHidden/>
              </w:rPr>
              <w:fldChar w:fldCharType="separate"/>
            </w:r>
            <w:r w:rsidR="00D358A7">
              <w:rPr>
                <w:noProof/>
                <w:webHidden/>
              </w:rPr>
              <w:t>37</w:t>
            </w:r>
            <w:r w:rsidR="00D358A7">
              <w:rPr>
                <w:noProof/>
                <w:webHidden/>
              </w:rPr>
              <w:fldChar w:fldCharType="end"/>
            </w:r>
          </w:hyperlink>
        </w:p>
        <w:p w14:paraId="0C203213" w14:textId="77777777" w:rsidR="00D358A7" w:rsidRDefault="00E24871">
          <w:pPr>
            <w:pStyle w:val="TOC2"/>
            <w:tabs>
              <w:tab w:val="left" w:pos="880"/>
              <w:tab w:val="right" w:leader="dot" w:pos="9016"/>
            </w:tabs>
            <w:rPr>
              <w:rFonts w:asciiTheme="minorHAnsi" w:eastAsiaTheme="minorEastAsia" w:hAnsiTheme="minorHAnsi" w:cstheme="minorBidi"/>
              <w:noProof/>
              <w:sz w:val="22"/>
              <w:szCs w:val="22"/>
            </w:rPr>
          </w:pPr>
          <w:hyperlink w:anchor="_Toc483395830" w:history="1">
            <w:r w:rsidR="00D358A7" w:rsidRPr="007600C5">
              <w:rPr>
                <w:rStyle w:val="Hyperlink"/>
                <w:noProof/>
              </w:rPr>
              <w:t>3.8</w:t>
            </w:r>
            <w:r w:rsidR="00D358A7">
              <w:rPr>
                <w:rFonts w:asciiTheme="minorHAnsi" w:eastAsiaTheme="minorEastAsia" w:hAnsiTheme="minorHAnsi" w:cstheme="minorBidi"/>
                <w:noProof/>
                <w:sz w:val="22"/>
                <w:szCs w:val="22"/>
              </w:rPr>
              <w:tab/>
            </w:r>
            <w:r w:rsidR="00D358A7" w:rsidRPr="007600C5">
              <w:rPr>
                <w:rStyle w:val="Hyperlink"/>
                <w:noProof/>
              </w:rPr>
              <w:t>Diseases, Injuries and Afflictions of the Brain</w:t>
            </w:r>
            <w:r w:rsidR="00D358A7">
              <w:rPr>
                <w:noProof/>
                <w:webHidden/>
              </w:rPr>
              <w:tab/>
            </w:r>
            <w:r w:rsidR="00D358A7">
              <w:rPr>
                <w:noProof/>
                <w:webHidden/>
              </w:rPr>
              <w:fldChar w:fldCharType="begin"/>
            </w:r>
            <w:r w:rsidR="00D358A7">
              <w:rPr>
                <w:noProof/>
                <w:webHidden/>
              </w:rPr>
              <w:instrText xml:space="preserve"> PAGEREF _Toc483395830 \h </w:instrText>
            </w:r>
            <w:r w:rsidR="00D358A7">
              <w:rPr>
                <w:noProof/>
                <w:webHidden/>
              </w:rPr>
            </w:r>
            <w:r w:rsidR="00D358A7">
              <w:rPr>
                <w:noProof/>
                <w:webHidden/>
              </w:rPr>
              <w:fldChar w:fldCharType="separate"/>
            </w:r>
            <w:r w:rsidR="00D358A7">
              <w:rPr>
                <w:noProof/>
                <w:webHidden/>
              </w:rPr>
              <w:t>39</w:t>
            </w:r>
            <w:r w:rsidR="00D358A7">
              <w:rPr>
                <w:noProof/>
                <w:webHidden/>
              </w:rPr>
              <w:fldChar w:fldCharType="end"/>
            </w:r>
          </w:hyperlink>
        </w:p>
        <w:p w14:paraId="4A2DA8F7" w14:textId="77777777" w:rsidR="00D358A7" w:rsidRDefault="00E24871">
          <w:pPr>
            <w:pStyle w:val="TOC2"/>
            <w:tabs>
              <w:tab w:val="left" w:pos="880"/>
              <w:tab w:val="right" w:leader="dot" w:pos="9016"/>
            </w:tabs>
            <w:rPr>
              <w:rFonts w:asciiTheme="minorHAnsi" w:eastAsiaTheme="minorEastAsia" w:hAnsiTheme="minorHAnsi" w:cstheme="minorBidi"/>
              <w:noProof/>
              <w:sz w:val="22"/>
              <w:szCs w:val="22"/>
            </w:rPr>
          </w:pPr>
          <w:hyperlink w:anchor="_Toc483395831" w:history="1">
            <w:r w:rsidR="00D358A7" w:rsidRPr="007600C5">
              <w:rPr>
                <w:rStyle w:val="Hyperlink"/>
                <w:noProof/>
              </w:rPr>
              <w:t>3.9</w:t>
            </w:r>
            <w:r w:rsidR="00D358A7">
              <w:rPr>
                <w:rFonts w:asciiTheme="minorHAnsi" w:eastAsiaTheme="minorEastAsia" w:hAnsiTheme="minorHAnsi" w:cstheme="minorBidi"/>
                <w:noProof/>
                <w:sz w:val="22"/>
                <w:szCs w:val="22"/>
              </w:rPr>
              <w:tab/>
            </w:r>
            <w:r w:rsidR="00D358A7" w:rsidRPr="007600C5">
              <w:rPr>
                <w:rStyle w:val="Hyperlink"/>
                <w:noProof/>
              </w:rPr>
              <w:t>Occupational Exposure</w:t>
            </w:r>
            <w:r w:rsidR="00D358A7">
              <w:rPr>
                <w:noProof/>
                <w:webHidden/>
              </w:rPr>
              <w:tab/>
            </w:r>
            <w:r w:rsidR="00D358A7">
              <w:rPr>
                <w:noProof/>
                <w:webHidden/>
              </w:rPr>
              <w:fldChar w:fldCharType="begin"/>
            </w:r>
            <w:r w:rsidR="00D358A7">
              <w:rPr>
                <w:noProof/>
                <w:webHidden/>
              </w:rPr>
              <w:instrText xml:space="preserve"> PAGEREF _Toc483395831 \h </w:instrText>
            </w:r>
            <w:r w:rsidR="00D358A7">
              <w:rPr>
                <w:noProof/>
                <w:webHidden/>
              </w:rPr>
            </w:r>
            <w:r w:rsidR="00D358A7">
              <w:rPr>
                <w:noProof/>
                <w:webHidden/>
              </w:rPr>
              <w:fldChar w:fldCharType="separate"/>
            </w:r>
            <w:r w:rsidR="00D358A7">
              <w:rPr>
                <w:noProof/>
                <w:webHidden/>
              </w:rPr>
              <w:t>39</w:t>
            </w:r>
            <w:r w:rsidR="00D358A7">
              <w:rPr>
                <w:noProof/>
                <w:webHidden/>
              </w:rPr>
              <w:fldChar w:fldCharType="end"/>
            </w:r>
          </w:hyperlink>
        </w:p>
        <w:p w14:paraId="54B7F00F" w14:textId="77777777" w:rsidR="00D358A7" w:rsidRDefault="00E24871">
          <w:pPr>
            <w:pStyle w:val="TOC2"/>
            <w:tabs>
              <w:tab w:val="left" w:pos="1100"/>
              <w:tab w:val="right" w:leader="dot" w:pos="9016"/>
            </w:tabs>
            <w:rPr>
              <w:rFonts w:asciiTheme="minorHAnsi" w:eastAsiaTheme="minorEastAsia" w:hAnsiTheme="minorHAnsi" w:cstheme="minorBidi"/>
              <w:noProof/>
              <w:sz w:val="22"/>
              <w:szCs w:val="22"/>
            </w:rPr>
          </w:pPr>
          <w:hyperlink w:anchor="_Toc483395832" w:history="1">
            <w:r w:rsidR="00D358A7" w:rsidRPr="007600C5">
              <w:rPr>
                <w:rStyle w:val="Hyperlink"/>
                <w:noProof/>
              </w:rPr>
              <w:t>3.10</w:t>
            </w:r>
            <w:r w:rsidR="00D358A7">
              <w:rPr>
                <w:rFonts w:asciiTheme="minorHAnsi" w:eastAsiaTheme="minorEastAsia" w:hAnsiTheme="minorHAnsi" w:cstheme="minorBidi"/>
                <w:noProof/>
                <w:sz w:val="22"/>
                <w:szCs w:val="22"/>
              </w:rPr>
              <w:tab/>
            </w:r>
            <w:r w:rsidR="00D358A7" w:rsidRPr="007600C5">
              <w:rPr>
                <w:rStyle w:val="Hyperlink"/>
                <w:noProof/>
              </w:rPr>
              <w:t>Other Diseases and Applications</w:t>
            </w:r>
            <w:r w:rsidR="00D358A7">
              <w:rPr>
                <w:noProof/>
                <w:webHidden/>
              </w:rPr>
              <w:tab/>
            </w:r>
            <w:r w:rsidR="00D358A7">
              <w:rPr>
                <w:noProof/>
                <w:webHidden/>
              </w:rPr>
              <w:fldChar w:fldCharType="begin"/>
            </w:r>
            <w:r w:rsidR="00D358A7">
              <w:rPr>
                <w:noProof/>
                <w:webHidden/>
              </w:rPr>
              <w:instrText xml:space="preserve"> PAGEREF _Toc483395832 \h </w:instrText>
            </w:r>
            <w:r w:rsidR="00D358A7">
              <w:rPr>
                <w:noProof/>
                <w:webHidden/>
              </w:rPr>
            </w:r>
            <w:r w:rsidR="00D358A7">
              <w:rPr>
                <w:noProof/>
                <w:webHidden/>
              </w:rPr>
              <w:fldChar w:fldCharType="separate"/>
            </w:r>
            <w:r w:rsidR="00D358A7">
              <w:rPr>
                <w:noProof/>
                <w:webHidden/>
              </w:rPr>
              <w:t>40</w:t>
            </w:r>
            <w:r w:rsidR="00D358A7">
              <w:rPr>
                <w:noProof/>
                <w:webHidden/>
              </w:rPr>
              <w:fldChar w:fldCharType="end"/>
            </w:r>
          </w:hyperlink>
        </w:p>
        <w:p w14:paraId="2F81519B" w14:textId="77777777" w:rsidR="00D358A7" w:rsidRDefault="00E24871">
          <w:pPr>
            <w:pStyle w:val="TOC1"/>
            <w:tabs>
              <w:tab w:val="left" w:pos="480"/>
              <w:tab w:val="right" w:leader="dot" w:pos="9016"/>
            </w:tabs>
            <w:rPr>
              <w:rFonts w:asciiTheme="minorHAnsi" w:eastAsiaTheme="minorEastAsia" w:hAnsiTheme="minorHAnsi" w:cstheme="minorBidi"/>
              <w:noProof/>
              <w:sz w:val="22"/>
              <w:szCs w:val="22"/>
            </w:rPr>
          </w:pPr>
          <w:hyperlink w:anchor="_Toc483395833" w:history="1">
            <w:r w:rsidR="00D358A7" w:rsidRPr="007600C5">
              <w:rPr>
                <w:rStyle w:val="Hyperlink"/>
                <w:noProof/>
              </w:rPr>
              <w:t>4</w:t>
            </w:r>
            <w:r w:rsidR="00D358A7">
              <w:rPr>
                <w:rFonts w:asciiTheme="minorHAnsi" w:eastAsiaTheme="minorEastAsia" w:hAnsiTheme="minorHAnsi" w:cstheme="minorBidi"/>
                <w:noProof/>
                <w:sz w:val="22"/>
                <w:szCs w:val="22"/>
              </w:rPr>
              <w:tab/>
            </w:r>
            <w:r w:rsidR="00D358A7" w:rsidRPr="007600C5">
              <w:rPr>
                <w:rStyle w:val="Hyperlink"/>
                <w:noProof/>
              </w:rPr>
              <w:t>Discussion and Summary</w:t>
            </w:r>
            <w:r w:rsidR="00D358A7">
              <w:rPr>
                <w:noProof/>
                <w:webHidden/>
              </w:rPr>
              <w:tab/>
            </w:r>
            <w:r w:rsidR="00D358A7">
              <w:rPr>
                <w:noProof/>
                <w:webHidden/>
              </w:rPr>
              <w:fldChar w:fldCharType="begin"/>
            </w:r>
            <w:r w:rsidR="00D358A7">
              <w:rPr>
                <w:noProof/>
                <w:webHidden/>
              </w:rPr>
              <w:instrText xml:space="preserve"> PAGEREF _Toc483395833 \h </w:instrText>
            </w:r>
            <w:r w:rsidR="00D358A7">
              <w:rPr>
                <w:noProof/>
                <w:webHidden/>
              </w:rPr>
            </w:r>
            <w:r w:rsidR="00D358A7">
              <w:rPr>
                <w:noProof/>
                <w:webHidden/>
              </w:rPr>
              <w:fldChar w:fldCharType="separate"/>
            </w:r>
            <w:r w:rsidR="00D358A7">
              <w:rPr>
                <w:noProof/>
                <w:webHidden/>
              </w:rPr>
              <w:t>43</w:t>
            </w:r>
            <w:r w:rsidR="00D358A7">
              <w:rPr>
                <w:noProof/>
                <w:webHidden/>
              </w:rPr>
              <w:fldChar w:fldCharType="end"/>
            </w:r>
          </w:hyperlink>
        </w:p>
        <w:p w14:paraId="0F247F34" w14:textId="77777777" w:rsidR="00D358A7" w:rsidRDefault="00E24871">
          <w:pPr>
            <w:pStyle w:val="TOC1"/>
            <w:tabs>
              <w:tab w:val="left" w:pos="480"/>
              <w:tab w:val="right" w:leader="dot" w:pos="9016"/>
            </w:tabs>
            <w:rPr>
              <w:rFonts w:asciiTheme="minorHAnsi" w:eastAsiaTheme="minorEastAsia" w:hAnsiTheme="minorHAnsi" w:cstheme="minorBidi"/>
              <w:noProof/>
              <w:sz w:val="22"/>
              <w:szCs w:val="22"/>
            </w:rPr>
          </w:pPr>
          <w:hyperlink w:anchor="_Toc483395834" w:history="1">
            <w:r w:rsidR="00D358A7" w:rsidRPr="007600C5">
              <w:rPr>
                <w:rStyle w:val="Hyperlink"/>
                <w:noProof/>
              </w:rPr>
              <w:t>5</w:t>
            </w:r>
            <w:r w:rsidR="00D358A7">
              <w:rPr>
                <w:rFonts w:asciiTheme="minorHAnsi" w:eastAsiaTheme="minorEastAsia" w:hAnsiTheme="minorHAnsi" w:cstheme="minorBidi"/>
                <w:noProof/>
                <w:sz w:val="22"/>
                <w:szCs w:val="22"/>
              </w:rPr>
              <w:tab/>
            </w:r>
            <w:r w:rsidR="00D358A7" w:rsidRPr="007600C5">
              <w:rPr>
                <w:rStyle w:val="Hyperlink"/>
                <w:noProof/>
              </w:rPr>
              <w:t>Acknowledgements:</w:t>
            </w:r>
            <w:r w:rsidR="00D358A7">
              <w:rPr>
                <w:noProof/>
                <w:webHidden/>
              </w:rPr>
              <w:tab/>
            </w:r>
            <w:r w:rsidR="00D358A7">
              <w:rPr>
                <w:noProof/>
                <w:webHidden/>
              </w:rPr>
              <w:fldChar w:fldCharType="begin"/>
            </w:r>
            <w:r w:rsidR="00D358A7">
              <w:rPr>
                <w:noProof/>
                <w:webHidden/>
              </w:rPr>
              <w:instrText xml:space="preserve"> PAGEREF _Toc483395834 \h </w:instrText>
            </w:r>
            <w:r w:rsidR="00D358A7">
              <w:rPr>
                <w:noProof/>
                <w:webHidden/>
              </w:rPr>
            </w:r>
            <w:r w:rsidR="00D358A7">
              <w:rPr>
                <w:noProof/>
                <w:webHidden/>
              </w:rPr>
              <w:fldChar w:fldCharType="separate"/>
            </w:r>
            <w:r w:rsidR="00D358A7">
              <w:rPr>
                <w:noProof/>
                <w:webHidden/>
              </w:rPr>
              <w:t>45</w:t>
            </w:r>
            <w:r w:rsidR="00D358A7">
              <w:rPr>
                <w:noProof/>
                <w:webHidden/>
              </w:rPr>
              <w:fldChar w:fldCharType="end"/>
            </w:r>
          </w:hyperlink>
        </w:p>
        <w:p w14:paraId="0630A3D8" w14:textId="77777777" w:rsidR="00D358A7" w:rsidRDefault="00E24871">
          <w:pPr>
            <w:pStyle w:val="TOC1"/>
            <w:tabs>
              <w:tab w:val="left" w:pos="480"/>
              <w:tab w:val="right" w:leader="dot" w:pos="9016"/>
            </w:tabs>
            <w:rPr>
              <w:rFonts w:asciiTheme="minorHAnsi" w:eastAsiaTheme="minorEastAsia" w:hAnsiTheme="minorHAnsi" w:cstheme="minorBidi"/>
              <w:noProof/>
              <w:sz w:val="22"/>
              <w:szCs w:val="22"/>
            </w:rPr>
          </w:pPr>
          <w:hyperlink w:anchor="_Toc483395835" w:history="1">
            <w:r w:rsidR="00D358A7" w:rsidRPr="007600C5">
              <w:rPr>
                <w:rStyle w:val="Hyperlink"/>
                <w:noProof/>
              </w:rPr>
              <w:t>6</w:t>
            </w:r>
            <w:r w:rsidR="00D358A7">
              <w:rPr>
                <w:rFonts w:asciiTheme="minorHAnsi" w:eastAsiaTheme="minorEastAsia" w:hAnsiTheme="minorHAnsi" w:cstheme="minorBidi"/>
                <w:noProof/>
                <w:sz w:val="22"/>
                <w:szCs w:val="22"/>
              </w:rPr>
              <w:tab/>
            </w:r>
            <w:r w:rsidR="00D358A7" w:rsidRPr="007600C5">
              <w:rPr>
                <w:rStyle w:val="Hyperlink"/>
                <w:noProof/>
              </w:rPr>
              <w:t>References</w:t>
            </w:r>
            <w:r w:rsidR="00D358A7">
              <w:rPr>
                <w:noProof/>
                <w:webHidden/>
              </w:rPr>
              <w:tab/>
            </w:r>
            <w:r w:rsidR="00D358A7">
              <w:rPr>
                <w:noProof/>
                <w:webHidden/>
              </w:rPr>
              <w:fldChar w:fldCharType="begin"/>
            </w:r>
            <w:r w:rsidR="00D358A7">
              <w:rPr>
                <w:noProof/>
                <w:webHidden/>
              </w:rPr>
              <w:instrText xml:space="preserve"> PAGEREF _Toc483395835 \h </w:instrText>
            </w:r>
            <w:r w:rsidR="00D358A7">
              <w:rPr>
                <w:noProof/>
                <w:webHidden/>
              </w:rPr>
            </w:r>
            <w:r w:rsidR="00D358A7">
              <w:rPr>
                <w:noProof/>
                <w:webHidden/>
              </w:rPr>
              <w:fldChar w:fldCharType="separate"/>
            </w:r>
            <w:r w:rsidR="00D358A7">
              <w:rPr>
                <w:noProof/>
                <w:webHidden/>
              </w:rPr>
              <w:t>46</w:t>
            </w:r>
            <w:r w:rsidR="00D358A7">
              <w:rPr>
                <w:noProof/>
                <w:webHidden/>
              </w:rPr>
              <w:fldChar w:fldCharType="end"/>
            </w:r>
          </w:hyperlink>
        </w:p>
        <w:p w14:paraId="06CD333F" w14:textId="4DE167B3" w:rsidR="00227F1F" w:rsidRPr="007D089C" w:rsidRDefault="00227F1F">
          <w:pPr>
            <w:rPr>
              <w:lang w:val="en-US"/>
            </w:rPr>
          </w:pPr>
          <w:r w:rsidRPr="007D089C">
            <w:rPr>
              <w:b/>
              <w:bCs/>
              <w:noProof/>
              <w:lang w:val="en-US"/>
            </w:rPr>
            <w:fldChar w:fldCharType="end"/>
          </w:r>
        </w:p>
      </w:sdtContent>
    </w:sdt>
    <w:p w14:paraId="3AE51072" w14:textId="443FEB1D" w:rsidR="00CE3A5E" w:rsidRDefault="00CE3A5E" w:rsidP="00C141DD">
      <w:pPr>
        <w:jc w:val="both"/>
        <w:rPr>
          <w:lang w:val="en-US"/>
        </w:rPr>
      </w:pPr>
    </w:p>
    <w:p w14:paraId="632BA0CF" w14:textId="77777777" w:rsidR="00CE3A5E" w:rsidRDefault="00CE3A5E">
      <w:pPr>
        <w:rPr>
          <w:lang w:val="en-US"/>
        </w:rPr>
      </w:pPr>
      <w:r>
        <w:rPr>
          <w:lang w:val="en-US"/>
        </w:rPr>
        <w:br w:type="page"/>
      </w:r>
    </w:p>
    <w:p w14:paraId="28EA6C0D" w14:textId="051CE45F" w:rsidR="00CE3A5E" w:rsidRPr="00E24871" w:rsidRDefault="008056FD" w:rsidP="00C141DD">
      <w:pPr>
        <w:jc w:val="both"/>
        <w:rPr>
          <w:b/>
          <w:u w:val="single"/>
          <w:lang w:val="sv-SE"/>
        </w:rPr>
      </w:pPr>
      <w:r w:rsidRPr="00E24871">
        <w:rPr>
          <w:b/>
          <w:u w:val="single"/>
          <w:lang w:val="sv-SE"/>
        </w:rPr>
        <w:lastRenderedPageBreak/>
        <w:t>Keywords:</w:t>
      </w:r>
    </w:p>
    <w:p w14:paraId="4071CDBA" w14:textId="6ECF5975" w:rsidR="008056FD" w:rsidRPr="00E24871" w:rsidRDefault="008056FD" w:rsidP="00C141DD">
      <w:pPr>
        <w:jc w:val="both"/>
        <w:rPr>
          <w:lang w:val="sv-SE"/>
        </w:rPr>
      </w:pPr>
      <w:r w:rsidRPr="00E24871">
        <w:rPr>
          <w:lang w:val="sv-SE"/>
        </w:rPr>
        <w:t>Isobaric labelling,</w:t>
      </w:r>
    </w:p>
    <w:p w14:paraId="23A7DE88" w14:textId="2BE66689" w:rsidR="008056FD" w:rsidRPr="00E24871" w:rsidRDefault="008056FD" w:rsidP="00C141DD">
      <w:pPr>
        <w:jc w:val="both"/>
        <w:rPr>
          <w:lang w:val="sv-SE"/>
        </w:rPr>
      </w:pPr>
      <w:r w:rsidRPr="00E24871">
        <w:rPr>
          <w:lang w:val="sv-SE"/>
        </w:rPr>
        <w:t>Tandem mass tags,</w:t>
      </w:r>
    </w:p>
    <w:p w14:paraId="40F84EF1" w14:textId="360F8B7F" w:rsidR="008056FD" w:rsidRDefault="008056FD" w:rsidP="00C141DD">
      <w:pPr>
        <w:jc w:val="both"/>
        <w:rPr>
          <w:lang w:val="en-US"/>
        </w:rPr>
      </w:pPr>
      <w:r>
        <w:rPr>
          <w:lang w:val="en-US"/>
        </w:rPr>
        <w:t>Serum,</w:t>
      </w:r>
    </w:p>
    <w:p w14:paraId="0D67536B" w14:textId="2E0EBBC9" w:rsidR="008056FD" w:rsidRDefault="008056FD" w:rsidP="00C141DD">
      <w:pPr>
        <w:jc w:val="both"/>
        <w:rPr>
          <w:lang w:val="en-US"/>
        </w:rPr>
      </w:pPr>
      <w:r>
        <w:rPr>
          <w:lang w:val="en-US"/>
        </w:rPr>
        <w:t>Plasma,</w:t>
      </w:r>
    </w:p>
    <w:p w14:paraId="4F0FF051" w14:textId="48EAE13A" w:rsidR="008056FD" w:rsidRDefault="008056FD" w:rsidP="00C141DD">
      <w:pPr>
        <w:jc w:val="both"/>
        <w:rPr>
          <w:lang w:val="en-US"/>
        </w:rPr>
      </w:pPr>
      <w:r>
        <w:rPr>
          <w:lang w:val="en-US"/>
        </w:rPr>
        <w:t>Protein biomarkers,</w:t>
      </w:r>
    </w:p>
    <w:p w14:paraId="2014010E" w14:textId="29665826" w:rsidR="008056FD" w:rsidRDefault="008056FD" w:rsidP="00C141DD">
      <w:pPr>
        <w:jc w:val="both"/>
        <w:rPr>
          <w:lang w:val="en-US"/>
        </w:rPr>
      </w:pPr>
      <w:r>
        <w:rPr>
          <w:lang w:val="en-US"/>
        </w:rPr>
        <w:t>Disease</w:t>
      </w:r>
      <w:r w:rsidR="00A76992">
        <w:rPr>
          <w:lang w:val="en-US"/>
        </w:rPr>
        <w:t xml:space="preserve"> research</w:t>
      </w:r>
    </w:p>
    <w:p w14:paraId="4F691D4B" w14:textId="15E15996" w:rsidR="008056FD" w:rsidRDefault="008056FD" w:rsidP="00C141DD">
      <w:pPr>
        <w:jc w:val="both"/>
        <w:rPr>
          <w:lang w:val="en-US"/>
        </w:rPr>
      </w:pPr>
      <w:r>
        <w:rPr>
          <w:lang w:val="en-US"/>
        </w:rPr>
        <w:t>Immunodepletion,</w:t>
      </w:r>
    </w:p>
    <w:p w14:paraId="0136855F" w14:textId="24285D4C" w:rsidR="008056FD" w:rsidRDefault="008056FD" w:rsidP="00C141DD">
      <w:pPr>
        <w:jc w:val="both"/>
        <w:rPr>
          <w:lang w:val="en-US"/>
        </w:rPr>
      </w:pPr>
      <w:r>
        <w:rPr>
          <w:lang w:val="en-US"/>
        </w:rPr>
        <w:t>Peptide fractionation,</w:t>
      </w:r>
    </w:p>
    <w:p w14:paraId="3B8FEF25" w14:textId="6452C0F0" w:rsidR="008056FD" w:rsidRPr="008056FD" w:rsidRDefault="008056FD" w:rsidP="00C141DD">
      <w:pPr>
        <w:jc w:val="both"/>
        <w:rPr>
          <w:lang w:val="en-US"/>
        </w:rPr>
      </w:pPr>
      <w:r>
        <w:rPr>
          <w:lang w:val="en-US"/>
        </w:rPr>
        <w:t>Tandem mass spectrometry</w:t>
      </w:r>
    </w:p>
    <w:p w14:paraId="087E2FB9" w14:textId="77777777" w:rsidR="00CE3A5E" w:rsidRDefault="00CE3A5E">
      <w:pPr>
        <w:rPr>
          <w:lang w:val="en-US"/>
        </w:rPr>
      </w:pPr>
      <w:r>
        <w:rPr>
          <w:lang w:val="en-US"/>
        </w:rPr>
        <w:br w:type="page"/>
      </w:r>
    </w:p>
    <w:p w14:paraId="6BF985F9" w14:textId="77777777" w:rsidR="00CE3A5E" w:rsidRPr="00A76992" w:rsidRDefault="00CE3A5E" w:rsidP="00CE3A5E">
      <w:pPr>
        <w:spacing w:line="480" w:lineRule="auto"/>
        <w:jc w:val="both"/>
        <w:rPr>
          <w:b/>
          <w:caps/>
          <w:sz w:val="36"/>
          <w:szCs w:val="36"/>
          <w:lang w:val="en-US"/>
        </w:rPr>
      </w:pPr>
      <w:r w:rsidRPr="00A76992">
        <w:rPr>
          <w:b/>
          <w:caps/>
          <w:sz w:val="36"/>
          <w:szCs w:val="36"/>
          <w:lang w:val="en-US"/>
        </w:rPr>
        <w:lastRenderedPageBreak/>
        <w:t>Abstract.</w:t>
      </w:r>
    </w:p>
    <w:p w14:paraId="5E95A362" w14:textId="77777777" w:rsidR="00CE3A5E" w:rsidRPr="007D089C" w:rsidRDefault="00CE3A5E" w:rsidP="00CE3A5E">
      <w:pPr>
        <w:spacing w:line="480" w:lineRule="auto"/>
        <w:jc w:val="both"/>
        <w:rPr>
          <w:strike/>
          <w:lang w:val="en-US"/>
        </w:rPr>
      </w:pPr>
      <w:bookmarkStart w:id="1" w:name="OLE_LINK4"/>
      <w:bookmarkStart w:id="2" w:name="OLE_LINK5"/>
      <w:r w:rsidRPr="007D089C">
        <w:rPr>
          <w:lang w:val="en-US"/>
        </w:rPr>
        <w:t xml:space="preserve">Over the past decade, chemical labelling with isobaric tandem mass tags, such as isobaric tags for relative and absolute quantification reagents (iTRAQ) and tandem mass tag (TMT) reagents, has been employed in a wide range of different clinically orientated serum and plasma </w:t>
      </w:r>
      <w:bookmarkEnd w:id="1"/>
      <w:bookmarkEnd w:id="2"/>
      <w:r w:rsidRPr="007D089C">
        <w:rPr>
          <w:lang w:val="en-US"/>
        </w:rPr>
        <w:t>proteomics studies. In this review the scope of these works is presented with attention to the areas of research, methods employed and performance limitations. These applications have covered a wide range of diseases, disorders and infections and have implemented a variety of different preparative and mass spectrometric approaches. In contrast to earlier works, which struggled to quantify more than a few hundred proteins, increasingly these studies have provided deeper insight into the plasma proteome extending the numbers of quantified proteins to over a thousand.</w:t>
      </w:r>
    </w:p>
    <w:p w14:paraId="0B2E297B" w14:textId="77777777" w:rsidR="000074EB" w:rsidRPr="007D089C" w:rsidRDefault="000074EB" w:rsidP="00C141DD">
      <w:pPr>
        <w:jc w:val="both"/>
        <w:rPr>
          <w:lang w:val="en-US"/>
        </w:rPr>
      </w:pPr>
    </w:p>
    <w:p w14:paraId="00B4B19F" w14:textId="77777777" w:rsidR="000074EB" w:rsidRPr="007D089C" w:rsidRDefault="000074EB" w:rsidP="00C141DD">
      <w:pPr>
        <w:pStyle w:val="Heading1"/>
        <w:spacing w:line="240" w:lineRule="auto"/>
      </w:pPr>
      <w:bookmarkStart w:id="3" w:name="_Toc483395813"/>
      <w:r w:rsidRPr="007D089C">
        <w:lastRenderedPageBreak/>
        <w:t>Introduction</w:t>
      </w:r>
      <w:bookmarkEnd w:id="3"/>
    </w:p>
    <w:p w14:paraId="2F0EC9D3" w14:textId="3C7F1994" w:rsidR="000074EB" w:rsidRPr="007D089C" w:rsidRDefault="000074EB" w:rsidP="00B43F04">
      <w:pPr>
        <w:spacing w:line="480" w:lineRule="auto"/>
        <w:jc w:val="both"/>
        <w:rPr>
          <w:lang w:val="en-US"/>
        </w:rPr>
      </w:pPr>
      <w:r w:rsidRPr="007D089C">
        <w:rPr>
          <w:lang w:val="en-US"/>
        </w:rPr>
        <w:t xml:space="preserve">With the emergence of proteomics technology that has </w:t>
      </w:r>
      <w:r w:rsidR="008056FD">
        <w:rPr>
          <w:lang w:val="en-US"/>
        </w:rPr>
        <w:t>enabled the detailed characteriz</w:t>
      </w:r>
      <w:r w:rsidRPr="007D089C">
        <w:rPr>
          <w:lang w:val="en-US"/>
        </w:rPr>
        <w:t xml:space="preserve">ation of complex organelles and biological fluids, plasma proteomics has maintained attention as a source of biomarkers for disease status and prediction </w:t>
      </w:r>
      <w:r w:rsidRPr="007D089C">
        <w:rPr>
          <w:lang w:val="en-US"/>
        </w:rPr>
        <w:fldChar w:fldCharType="begin"/>
      </w:r>
      <w:r w:rsidRPr="007D089C">
        <w:rPr>
          <w:lang w:val="en-US"/>
        </w:rPr>
        <w:instrText>ADDIN RW.CITE{{2186 Pernemalm,M. 2014}}</w:instrText>
      </w:r>
      <w:r w:rsidRPr="007D089C">
        <w:rPr>
          <w:lang w:val="en-US"/>
        </w:rPr>
        <w:fldChar w:fldCharType="separate"/>
      </w:r>
      <w:r w:rsidR="00C77B76">
        <w:rPr>
          <w:lang w:val="en-US"/>
        </w:rPr>
        <w:t>(Pernemalm &amp; Lehtio, 2014)</w:t>
      </w:r>
      <w:r w:rsidRPr="007D089C">
        <w:rPr>
          <w:lang w:val="en-US"/>
        </w:rPr>
        <w:fldChar w:fldCharType="end"/>
      </w:r>
      <w:r w:rsidRPr="007D089C">
        <w:rPr>
          <w:lang w:val="en-US"/>
        </w:rPr>
        <w:t xml:space="preserve">. To date a wide body of research has indicated that there may be in the order of thousands of proteins detectable in plasma </w:t>
      </w:r>
      <w:r w:rsidRPr="007D089C">
        <w:rPr>
          <w:lang w:val="en-US"/>
        </w:rPr>
        <w:fldChar w:fldCharType="begin"/>
      </w:r>
      <w:r w:rsidRPr="007D089C">
        <w:rPr>
          <w:lang w:val="en-US"/>
        </w:rPr>
        <w:instrText>ADDIN RW.CITE{{2190 Nanjappa,V. 2014}}</w:instrText>
      </w:r>
      <w:r w:rsidRPr="007D089C">
        <w:rPr>
          <w:lang w:val="en-US"/>
        </w:rPr>
        <w:fldChar w:fldCharType="separate"/>
      </w:r>
      <w:r w:rsidR="00C77B76">
        <w:rPr>
          <w:lang w:val="en-US"/>
        </w:rPr>
        <w:t>(Nanjappa et al., 2014)</w:t>
      </w:r>
      <w:r w:rsidRPr="007D089C">
        <w:rPr>
          <w:lang w:val="en-US"/>
        </w:rPr>
        <w:fldChar w:fldCharType="end"/>
      </w:r>
      <w:r w:rsidRPr="007D089C">
        <w:rPr>
          <w:lang w:val="en-US"/>
        </w:rPr>
        <w:t xml:space="preserve">, however, the number of proteins that have been detected in multiple data sets is substantially less. Moreover, beyond qualitative representation a quantitative component is essential for any comparison. </w:t>
      </w:r>
      <w:r w:rsidR="004E6DFE" w:rsidRPr="007D089C">
        <w:rPr>
          <w:lang w:val="en-US"/>
        </w:rPr>
        <w:t xml:space="preserve">Amongst the quantitative proteomic methods that have been developed and applied, </w:t>
      </w:r>
      <w:r w:rsidRPr="007D089C">
        <w:rPr>
          <w:rFonts w:ascii="Times-Roman" w:hAnsi="Times-Roman" w:cs="Times-Roman"/>
          <w:lang w:val="en-US"/>
        </w:rPr>
        <w:t>chemical</w:t>
      </w:r>
      <w:r w:rsidRPr="007D089C">
        <w:rPr>
          <w:lang w:val="en-US"/>
        </w:rPr>
        <w:t xml:space="preserve"> </w:t>
      </w:r>
      <w:r w:rsidRPr="007D089C">
        <w:rPr>
          <w:rFonts w:ascii="Times-Roman" w:hAnsi="Times-Roman" w:cs="Times-Roman"/>
          <w:lang w:val="en-US"/>
        </w:rPr>
        <w:t>labeling with isobaric tandem mass tags</w:t>
      </w:r>
      <w:r w:rsidR="004E6DFE" w:rsidRPr="007D089C">
        <w:rPr>
          <w:rFonts w:ascii="Times-Roman" w:hAnsi="Times-Roman" w:cs="Times-Roman"/>
          <w:lang w:val="en-US"/>
        </w:rPr>
        <w:t xml:space="preserve"> </w:t>
      </w:r>
      <w:r w:rsidR="004E6DFE" w:rsidRPr="007D089C">
        <w:rPr>
          <w:rFonts w:ascii="Times-Roman" w:hAnsi="Times-Roman" w:cs="Times-Roman"/>
          <w:lang w:val="en-US"/>
        </w:rPr>
        <w:fldChar w:fldCharType="begin"/>
      </w:r>
      <w:r w:rsidR="004E6DFE" w:rsidRPr="007D089C">
        <w:rPr>
          <w:rFonts w:ascii="Times-Roman" w:hAnsi="Times-Roman" w:cs="Times-Roman"/>
          <w:lang w:val="en-US"/>
        </w:rPr>
        <w:instrText>ADDIN RW.CITE{{250 Thompson,A. 2003; 137 Ross,P.L. 2004}}</w:instrText>
      </w:r>
      <w:r w:rsidR="004E6DFE" w:rsidRPr="007D089C">
        <w:rPr>
          <w:rFonts w:ascii="Times-Roman" w:hAnsi="Times-Roman" w:cs="Times-Roman"/>
          <w:lang w:val="en-US"/>
        </w:rPr>
        <w:fldChar w:fldCharType="separate"/>
      </w:r>
      <w:r w:rsidR="00C77B76">
        <w:rPr>
          <w:rFonts w:ascii="Times-Roman" w:hAnsi="Times-Roman" w:cs="Times-Roman"/>
          <w:lang w:val="en-US"/>
        </w:rPr>
        <w:t>(Ross et al., 2004; Thompson et al., 2003)</w:t>
      </w:r>
      <w:r w:rsidR="004E6DFE" w:rsidRPr="007D089C">
        <w:rPr>
          <w:rFonts w:ascii="Times-Roman" w:hAnsi="Times-Roman" w:cs="Times-Roman"/>
          <w:lang w:val="en-US"/>
        </w:rPr>
        <w:fldChar w:fldCharType="end"/>
      </w:r>
      <w:r w:rsidRPr="007D089C">
        <w:rPr>
          <w:rFonts w:ascii="Times-Roman" w:hAnsi="Times-Roman" w:cs="Times-Roman"/>
          <w:lang w:val="en-US"/>
        </w:rPr>
        <w:t xml:space="preserve"> </w:t>
      </w:r>
      <w:r w:rsidR="004E6DFE" w:rsidRPr="007D089C">
        <w:rPr>
          <w:rFonts w:ascii="Times-Roman" w:hAnsi="Times-Roman" w:cs="Times-Roman"/>
          <w:lang w:val="en-US"/>
        </w:rPr>
        <w:t xml:space="preserve">has </w:t>
      </w:r>
      <w:r w:rsidRPr="007D089C">
        <w:rPr>
          <w:rFonts w:ascii="Times-Roman" w:hAnsi="Times-Roman" w:cs="Times-Roman"/>
          <w:lang w:val="en-US"/>
        </w:rPr>
        <w:t xml:space="preserve">been amongst the most popular methods of the past decade </w:t>
      </w:r>
      <w:r w:rsidRPr="007D089C">
        <w:rPr>
          <w:rFonts w:ascii="Times-Roman" w:hAnsi="Times-Roman" w:cs="Times-Roman"/>
          <w:lang w:val="en-US"/>
        </w:rPr>
        <w:fldChar w:fldCharType="begin"/>
      </w:r>
      <w:r w:rsidRPr="007D089C">
        <w:rPr>
          <w:rFonts w:ascii="Times-Roman" w:hAnsi="Times-Roman" w:cs="Times-Roman"/>
          <w:lang w:val="en-US"/>
        </w:rPr>
        <w:instrText>ADDIN RW.CITE{{1619 Evans,C. 2012; 1906 Rauniyar,N. 2014}}</w:instrText>
      </w:r>
      <w:r w:rsidRPr="007D089C">
        <w:rPr>
          <w:rFonts w:ascii="Times-Roman" w:hAnsi="Times-Roman" w:cs="Times-Roman"/>
          <w:lang w:val="en-US"/>
        </w:rPr>
        <w:fldChar w:fldCharType="separate"/>
      </w:r>
      <w:r w:rsidR="00C77B76">
        <w:rPr>
          <w:rFonts w:ascii="Times-Roman" w:hAnsi="Times-Roman" w:cs="Times-Roman"/>
          <w:lang w:val="en-US"/>
        </w:rPr>
        <w:t>(Evans et al., 2012; Rauniyar &amp; Yates, 2014)</w:t>
      </w:r>
      <w:r w:rsidRPr="007D089C">
        <w:rPr>
          <w:rFonts w:ascii="Times-Roman" w:hAnsi="Times-Roman" w:cs="Times-Roman"/>
          <w:lang w:val="en-US"/>
        </w:rPr>
        <w:fldChar w:fldCharType="end"/>
      </w:r>
      <w:r w:rsidRPr="007D089C">
        <w:rPr>
          <w:rFonts w:ascii="Times-Roman" w:hAnsi="Times-Roman" w:cs="Times-Roman"/>
          <w:lang w:val="en-US"/>
        </w:rPr>
        <w:t>. The iTRAQ method and isobaric labeling in general has been previously covered in detailed reviews</w:t>
      </w:r>
      <w:r w:rsidR="00345E92" w:rsidRPr="007D089C">
        <w:rPr>
          <w:rFonts w:ascii="Times-Roman" w:hAnsi="Times-Roman" w:cs="Times-Roman"/>
          <w:lang w:val="en-US"/>
        </w:rPr>
        <w:t xml:space="preserve"> including </w:t>
      </w:r>
      <w:r w:rsidR="0043360D" w:rsidRPr="007D089C">
        <w:rPr>
          <w:rFonts w:ascii="Times-Roman" w:hAnsi="Times-Roman" w:cs="Times-Roman"/>
          <w:lang w:val="en-US"/>
        </w:rPr>
        <w:t xml:space="preserve">some indication of </w:t>
      </w:r>
      <w:r w:rsidR="00345E92" w:rsidRPr="007D089C">
        <w:rPr>
          <w:rFonts w:ascii="Times-Roman" w:hAnsi="Times-Roman" w:cs="Times-Roman"/>
          <w:lang w:val="en-US"/>
        </w:rPr>
        <w:t>their usage in biomarkers studies</w:t>
      </w:r>
      <w:r w:rsidRPr="007D089C">
        <w:rPr>
          <w:rFonts w:ascii="Times-Roman" w:hAnsi="Times-Roman" w:cs="Times-Roman"/>
          <w:lang w:val="en-US"/>
        </w:rPr>
        <w:t xml:space="preserve">, to which the reader is referred for additional information </w:t>
      </w:r>
      <w:r w:rsidRPr="007D089C">
        <w:rPr>
          <w:rFonts w:ascii="Times-Roman" w:hAnsi="Times-Roman" w:cs="Times-Roman"/>
          <w:lang w:val="en-US"/>
        </w:rPr>
        <w:fldChar w:fldCharType="begin"/>
      </w:r>
      <w:r w:rsidRPr="007D089C">
        <w:rPr>
          <w:rFonts w:ascii="Times-Roman" w:hAnsi="Times-Roman" w:cs="Times-Roman"/>
          <w:lang w:val="en-US"/>
        </w:rPr>
        <w:instrText>ADDIN RW.CITE{{1619 Evans,C. 2012; 1906 Rauniyar,N. 2014}}</w:instrText>
      </w:r>
      <w:r w:rsidRPr="007D089C">
        <w:rPr>
          <w:rFonts w:ascii="Times-Roman" w:hAnsi="Times-Roman" w:cs="Times-Roman"/>
          <w:lang w:val="en-US"/>
        </w:rPr>
        <w:fldChar w:fldCharType="separate"/>
      </w:r>
      <w:r w:rsidR="00C77B76">
        <w:rPr>
          <w:rFonts w:ascii="Times-Roman" w:hAnsi="Times-Roman" w:cs="Times-Roman"/>
          <w:lang w:val="en-US"/>
        </w:rPr>
        <w:t>(Evans et al., 2012; Rauniyar &amp; Yates, 2014)</w:t>
      </w:r>
      <w:r w:rsidRPr="007D089C">
        <w:rPr>
          <w:rFonts w:ascii="Times-Roman" w:hAnsi="Times-Roman" w:cs="Times-Roman"/>
          <w:lang w:val="en-US"/>
        </w:rPr>
        <w:fldChar w:fldCharType="end"/>
      </w:r>
      <w:r w:rsidRPr="007D089C">
        <w:rPr>
          <w:rFonts w:ascii="Times-Roman" w:hAnsi="Times-Roman" w:cs="Times-Roman"/>
          <w:lang w:val="en-US"/>
        </w:rPr>
        <w:fldChar w:fldCharType="begin"/>
      </w:r>
      <w:r w:rsidRPr="007D089C">
        <w:rPr>
          <w:rFonts w:ascii="Times-Roman" w:hAnsi="Times-Roman" w:cs="Times-Roman"/>
          <w:lang w:val="en-US"/>
        </w:rPr>
        <w:instrText>ADDIN RW.CITE{{1902 Westbrook,J.A. 2015}}</w:instrText>
      </w:r>
      <w:r w:rsidRPr="007D089C">
        <w:rPr>
          <w:rFonts w:ascii="Times-Roman" w:hAnsi="Times-Roman" w:cs="Times-Roman"/>
          <w:lang w:val="en-US"/>
        </w:rPr>
        <w:fldChar w:fldCharType="separate"/>
      </w:r>
      <w:r w:rsidR="00C77B76">
        <w:rPr>
          <w:rFonts w:ascii="Times-Roman" w:hAnsi="Times-Roman" w:cs="Times-Roman"/>
          <w:lang w:val="en-US"/>
        </w:rPr>
        <w:t>(Westbrook, Noirel, Brown, Wright, &amp; Evans, 2015)</w:t>
      </w:r>
      <w:r w:rsidRPr="007D089C">
        <w:rPr>
          <w:rFonts w:ascii="Times-Roman" w:hAnsi="Times-Roman" w:cs="Times-Roman"/>
          <w:lang w:val="en-US"/>
        </w:rPr>
        <w:fldChar w:fldCharType="end"/>
      </w:r>
      <w:r w:rsidR="00345E92" w:rsidRPr="007D089C">
        <w:rPr>
          <w:rFonts w:ascii="Times-Roman" w:hAnsi="Times-Roman" w:cs="Times-Roman"/>
          <w:lang w:val="en-US"/>
        </w:rPr>
        <w:t xml:space="preserve">. </w:t>
      </w:r>
      <w:r w:rsidRPr="007D089C">
        <w:rPr>
          <w:rFonts w:ascii="Times-Roman" w:hAnsi="Times-Roman" w:cs="Times-Roman"/>
          <w:lang w:val="en-US"/>
        </w:rPr>
        <w:t xml:space="preserve"> </w:t>
      </w:r>
      <w:r w:rsidRPr="007D089C">
        <w:rPr>
          <w:lang w:val="en-US"/>
        </w:rPr>
        <w:t>In this review we present a critical overview of the applications in which stable isotope isobaric labelling has been employed for serum or plasma analysis, which, unless otherwise indicated</w:t>
      </w:r>
      <w:r w:rsidR="00334738" w:rsidRPr="007D089C">
        <w:rPr>
          <w:lang w:val="en-US"/>
        </w:rPr>
        <w:t>,</w:t>
      </w:r>
      <w:r w:rsidRPr="007D089C">
        <w:rPr>
          <w:lang w:val="en-US"/>
        </w:rPr>
        <w:t xml:space="preserve"> refer to human samples</w:t>
      </w:r>
      <w:r w:rsidR="00946A31" w:rsidRPr="007D089C">
        <w:rPr>
          <w:lang w:val="en-US"/>
        </w:rPr>
        <w:t>, and on the basis of the literature identified describe applications with the commercially available TMT and iTRAQ reagents only</w:t>
      </w:r>
      <w:r w:rsidRPr="007D089C">
        <w:rPr>
          <w:lang w:val="en-US"/>
        </w:rPr>
        <w:t xml:space="preserve">. We will use plasma as the general collective term for serum and plasma and refer the reader to specific details of the given references. </w:t>
      </w:r>
    </w:p>
    <w:p w14:paraId="65616BCF" w14:textId="77777777" w:rsidR="00946A31" w:rsidRPr="007D089C" w:rsidRDefault="00946A31" w:rsidP="00B43F04">
      <w:pPr>
        <w:spacing w:line="480" w:lineRule="auto"/>
        <w:jc w:val="both"/>
        <w:rPr>
          <w:lang w:val="en-US"/>
        </w:rPr>
      </w:pPr>
    </w:p>
    <w:p w14:paraId="6571C677" w14:textId="51D060AE" w:rsidR="000074EB" w:rsidRPr="007D089C" w:rsidRDefault="00FD48BD" w:rsidP="00B43F04">
      <w:pPr>
        <w:spacing w:line="480" w:lineRule="auto"/>
        <w:jc w:val="both"/>
        <w:rPr>
          <w:color w:val="FF0000"/>
          <w:lang w:val="en-US"/>
        </w:rPr>
      </w:pPr>
      <w:r w:rsidRPr="007D089C">
        <w:rPr>
          <w:rFonts w:ascii="Times-Roman" w:hAnsi="Times-Roman" w:cs="Times-Roman"/>
          <w:lang w:val="en-US"/>
        </w:rPr>
        <w:t>I</w:t>
      </w:r>
      <w:r w:rsidR="000074EB" w:rsidRPr="007D089C">
        <w:rPr>
          <w:rFonts w:ascii="Times-Roman" w:hAnsi="Times-Roman" w:cs="Times-Roman"/>
          <w:lang w:val="en-US"/>
        </w:rPr>
        <w:t xml:space="preserve">sobaric </w:t>
      </w:r>
      <w:r w:rsidR="007F6946" w:rsidRPr="007D089C">
        <w:rPr>
          <w:rFonts w:ascii="Times-Roman" w:hAnsi="Times-Roman" w:cs="Times-Roman"/>
          <w:lang w:val="en-US"/>
        </w:rPr>
        <w:t xml:space="preserve">peptide </w:t>
      </w:r>
      <w:r w:rsidR="000074EB" w:rsidRPr="007D089C">
        <w:rPr>
          <w:rFonts w:ascii="Times-Roman" w:hAnsi="Times-Roman" w:cs="Times-Roman"/>
          <w:lang w:val="en-US"/>
        </w:rPr>
        <w:t xml:space="preserve">labeling strategies have </w:t>
      </w:r>
      <w:r w:rsidR="007F6946" w:rsidRPr="007D089C">
        <w:rPr>
          <w:rFonts w:ascii="Times-Roman" w:hAnsi="Times-Roman" w:cs="Times-Roman"/>
          <w:lang w:val="en-US"/>
        </w:rPr>
        <w:t>predominantly</w:t>
      </w:r>
      <w:r w:rsidRPr="007D089C">
        <w:rPr>
          <w:rFonts w:ascii="Times-Roman" w:hAnsi="Times-Roman" w:cs="Times-Roman"/>
          <w:lang w:val="en-US"/>
        </w:rPr>
        <w:t xml:space="preserve"> </w:t>
      </w:r>
      <w:r w:rsidR="000074EB" w:rsidRPr="007D089C">
        <w:rPr>
          <w:rFonts w:ascii="Times-Roman" w:hAnsi="Times-Roman" w:cs="Times-Roman"/>
          <w:lang w:val="en-US"/>
        </w:rPr>
        <w:t>targeted the N terminus and lysine residues</w:t>
      </w:r>
      <w:r w:rsidR="00563401" w:rsidRPr="007D089C">
        <w:rPr>
          <w:rFonts w:ascii="Times-Roman" w:hAnsi="Times-Roman" w:cs="Times-Roman"/>
          <w:lang w:val="en-US"/>
        </w:rPr>
        <w:t xml:space="preserve"> (there </w:t>
      </w:r>
      <w:r w:rsidR="00BD7945" w:rsidRPr="007D089C">
        <w:rPr>
          <w:rFonts w:ascii="Times-Roman" w:hAnsi="Times-Roman" w:cs="Times-Roman"/>
          <w:lang w:val="en-US"/>
        </w:rPr>
        <w:t>are also</w:t>
      </w:r>
      <w:r w:rsidR="00563401" w:rsidRPr="007D089C">
        <w:rPr>
          <w:rFonts w:ascii="Times-Roman" w:hAnsi="Times-Roman" w:cs="Times-Roman"/>
          <w:lang w:val="en-US"/>
        </w:rPr>
        <w:t xml:space="preserve"> cysteine reagents),</w:t>
      </w:r>
      <w:r w:rsidR="000074EB" w:rsidRPr="007D089C">
        <w:rPr>
          <w:rFonts w:ascii="Times-Roman" w:hAnsi="Times-Roman" w:cs="Times-Roman"/>
          <w:lang w:val="en-US"/>
        </w:rPr>
        <w:t xml:space="preserve"> using an N-hydroxysuccinimide-reactive group that promotes peptide aminolysis with substitution of a bipartite adduct consisting of a mass balance and reporter</w:t>
      </w:r>
      <w:r w:rsidR="00563401" w:rsidRPr="007D089C">
        <w:rPr>
          <w:rFonts w:ascii="Times-Roman" w:hAnsi="Times-Roman" w:cs="Times-Roman"/>
          <w:lang w:val="en-US"/>
        </w:rPr>
        <w:t xml:space="preserve"> </w:t>
      </w:r>
      <w:r w:rsidR="00563401" w:rsidRPr="007D089C">
        <w:rPr>
          <w:rFonts w:ascii="Times-Roman" w:hAnsi="Times-Roman" w:cs="Times-Roman"/>
          <w:lang w:val="en-US"/>
        </w:rPr>
        <w:fldChar w:fldCharType="begin"/>
      </w:r>
      <w:r w:rsidR="00563401" w:rsidRPr="007D089C">
        <w:rPr>
          <w:rFonts w:ascii="Times-Roman" w:hAnsi="Times-Roman" w:cs="Times-Roman"/>
          <w:lang w:val="en-US"/>
        </w:rPr>
        <w:instrText>ADDIN RW.CITE{{137 Ross,P.L. 2004}}</w:instrText>
      </w:r>
      <w:r w:rsidR="00563401" w:rsidRPr="007D089C">
        <w:rPr>
          <w:rFonts w:ascii="Times-Roman" w:hAnsi="Times-Roman" w:cs="Times-Roman"/>
          <w:lang w:val="en-US"/>
        </w:rPr>
        <w:fldChar w:fldCharType="separate"/>
      </w:r>
      <w:r w:rsidR="00C77B76">
        <w:rPr>
          <w:rFonts w:ascii="Times-Roman" w:hAnsi="Times-Roman" w:cs="Times-Roman"/>
          <w:lang w:val="en-US"/>
        </w:rPr>
        <w:t>(Ross et al., 2004)</w:t>
      </w:r>
      <w:r w:rsidR="00563401" w:rsidRPr="007D089C">
        <w:rPr>
          <w:rFonts w:ascii="Times-Roman" w:hAnsi="Times-Roman" w:cs="Times-Roman"/>
          <w:lang w:val="en-US"/>
        </w:rPr>
        <w:fldChar w:fldCharType="end"/>
      </w:r>
      <w:r w:rsidR="000074EB" w:rsidRPr="007D089C">
        <w:rPr>
          <w:rFonts w:ascii="Times-Roman" w:hAnsi="Times-Roman" w:cs="Times-Roman"/>
          <w:lang w:val="en-US"/>
        </w:rPr>
        <w:t xml:space="preserve">. The intensity </w:t>
      </w:r>
      <w:r w:rsidR="00B14A20" w:rsidRPr="007D089C">
        <w:rPr>
          <w:rFonts w:ascii="Times-Roman" w:hAnsi="Times-Roman" w:cs="Times-Roman"/>
          <w:lang w:val="en-US"/>
        </w:rPr>
        <w:t xml:space="preserve">of distinct </w:t>
      </w:r>
      <w:r w:rsidR="00670428" w:rsidRPr="007D089C">
        <w:rPr>
          <w:rFonts w:ascii="Times-Roman" w:hAnsi="Times-Roman" w:cs="Times-Roman"/>
          <w:lang w:val="en-US"/>
        </w:rPr>
        <w:t>fragment reporter</w:t>
      </w:r>
      <w:r w:rsidR="000074EB" w:rsidRPr="007D089C">
        <w:rPr>
          <w:rFonts w:ascii="Times-Roman" w:hAnsi="Times-Roman" w:cs="Times-Roman"/>
          <w:lang w:val="en-US"/>
        </w:rPr>
        <w:t xml:space="preserve"> ions</w:t>
      </w:r>
      <w:r w:rsidR="00B14A20" w:rsidRPr="007D089C">
        <w:rPr>
          <w:rFonts w:ascii="Times-Roman" w:hAnsi="Times-Roman" w:cs="Times-Roman"/>
          <w:lang w:val="en-US"/>
        </w:rPr>
        <w:t xml:space="preserve"> at different m/z values</w:t>
      </w:r>
      <w:r w:rsidR="000074EB" w:rsidRPr="007D089C">
        <w:rPr>
          <w:rFonts w:ascii="Times-Roman" w:hAnsi="Times-Roman" w:cs="Times-Roman"/>
          <w:lang w:val="en-US"/>
        </w:rPr>
        <w:t xml:space="preserve">, which arise from </w:t>
      </w:r>
      <w:r w:rsidR="00B14A20" w:rsidRPr="007D089C">
        <w:rPr>
          <w:rFonts w:ascii="Times-Roman" w:hAnsi="Times-Roman" w:cs="Times-Roman"/>
          <w:lang w:val="en-US"/>
        </w:rPr>
        <w:t xml:space="preserve">the </w:t>
      </w:r>
      <w:r w:rsidR="000074EB" w:rsidRPr="007D089C">
        <w:rPr>
          <w:rFonts w:ascii="Times-Roman" w:hAnsi="Times-Roman" w:cs="Times-Roman"/>
          <w:lang w:val="en-US"/>
        </w:rPr>
        <w:t xml:space="preserve">different isobaric combinations of </w:t>
      </w:r>
      <w:r w:rsidRPr="007D089C">
        <w:rPr>
          <w:rFonts w:ascii="Times-Roman" w:hAnsi="Times-Roman" w:cs="Times-Roman"/>
          <w:lang w:val="en-US"/>
        </w:rPr>
        <w:t xml:space="preserve">heavy and light </w:t>
      </w:r>
      <w:r w:rsidR="000074EB" w:rsidRPr="007D089C">
        <w:rPr>
          <w:rFonts w:ascii="Times-Roman" w:hAnsi="Times-Roman" w:cs="Times-Roman"/>
          <w:lang w:val="en-US"/>
        </w:rPr>
        <w:t>C, N and O isotopes in the reagent</w:t>
      </w:r>
      <w:r w:rsidR="00B14A20" w:rsidRPr="007D089C">
        <w:rPr>
          <w:rFonts w:ascii="Times-Roman" w:hAnsi="Times-Roman" w:cs="Times-Roman"/>
          <w:lang w:val="en-US"/>
        </w:rPr>
        <w:t>’s alternative forms</w:t>
      </w:r>
      <w:r w:rsidR="000074EB" w:rsidRPr="007D089C">
        <w:rPr>
          <w:rFonts w:ascii="Times-Roman" w:hAnsi="Times-Roman" w:cs="Times-Roman"/>
          <w:lang w:val="en-US"/>
        </w:rPr>
        <w:t xml:space="preserve">, are detected in the tandem mass spectra of </w:t>
      </w:r>
      <w:r w:rsidR="00946A31" w:rsidRPr="007D089C">
        <w:rPr>
          <w:rFonts w:ascii="Times-Roman" w:hAnsi="Times-Roman" w:cs="Times-Roman"/>
          <w:lang w:val="en-US"/>
        </w:rPr>
        <w:t xml:space="preserve">the </w:t>
      </w:r>
      <w:r w:rsidR="000074EB" w:rsidRPr="007D089C">
        <w:rPr>
          <w:rFonts w:ascii="Times-Roman" w:hAnsi="Times-Roman" w:cs="Times-Roman"/>
          <w:lang w:val="en-US"/>
        </w:rPr>
        <w:t xml:space="preserve">pooled </w:t>
      </w:r>
      <w:r w:rsidR="00946A31" w:rsidRPr="007D089C">
        <w:rPr>
          <w:rFonts w:ascii="Times-Roman" w:hAnsi="Times-Roman" w:cs="Times-Roman"/>
          <w:lang w:val="en-US"/>
        </w:rPr>
        <w:t xml:space="preserve">labeled </w:t>
      </w:r>
      <w:r w:rsidR="00B14A20" w:rsidRPr="007D089C">
        <w:rPr>
          <w:rFonts w:ascii="Times-Roman" w:hAnsi="Times-Roman" w:cs="Times-Roman"/>
          <w:lang w:val="en-US"/>
        </w:rPr>
        <w:t xml:space="preserve">samples and used to </w:t>
      </w:r>
      <w:r w:rsidR="004351CA" w:rsidRPr="007D089C">
        <w:rPr>
          <w:rFonts w:ascii="Times-Roman" w:hAnsi="Times-Roman" w:cs="Times-Roman"/>
          <w:lang w:val="en-US"/>
        </w:rPr>
        <w:t>determine the relative</w:t>
      </w:r>
      <w:r w:rsidR="000074EB" w:rsidRPr="007D089C">
        <w:rPr>
          <w:rFonts w:ascii="Times-Roman" w:hAnsi="Times-Roman" w:cs="Times-Roman"/>
          <w:lang w:val="en-US"/>
        </w:rPr>
        <w:t xml:space="preserve"> contribution/abundance of peptides and thereby the relative quantification of proteins. Reagents have bee</w:t>
      </w:r>
      <w:r w:rsidR="00D81B11" w:rsidRPr="007D089C">
        <w:rPr>
          <w:rFonts w:ascii="Times-Roman" w:hAnsi="Times-Roman" w:cs="Times-Roman"/>
          <w:lang w:val="en-US"/>
        </w:rPr>
        <w:t>n produced to permit 2, 4, 6, 8, 10 and 12</w:t>
      </w:r>
      <w:r w:rsidR="00670428" w:rsidRPr="007D089C">
        <w:rPr>
          <w:rFonts w:ascii="Times-Roman" w:hAnsi="Times-Roman" w:cs="Times-Roman"/>
          <w:lang w:val="en-US"/>
        </w:rPr>
        <w:t>-plex comparisons.</w:t>
      </w:r>
      <w:r w:rsidR="000074EB" w:rsidRPr="007D089C">
        <w:rPr>
          <w:rFonts w:ascii="Times-Roman" w:hAnsi="Times-Roman" w:cs="Times-Roman"/>
          <w:lang w:val="en-US"/>
        </w:rPr>
        <w:t xml:space="preserve"> </w:t>
      </w:r>
      <w:r w:rsidR="00670428" w:rsidRPr="007D089C">
        <w:rPr>
          <w:rFonts w:ascii="Times-Roman" w:hAnsi="Times-Roman" w:cs="Times-Roman"/>
          <w:lang w:val="en-US"/>
        </w:rPr>
        <w:t>T</w:t>
      </w:r>
      <w:r w:rsidR="000074EB" w:rsidRPr="007D089C">
        <w:rPr>
          <w:rFonts w:ascii="Times-Roman" w:hAnsi="Times-Roman" w:cs="Times-Roman"/>
          <w:lang w:val="en-US"/>
        </w:rPr>
        <w:t xml:space="preserve">hrough the use of </w:t>
      </w:r>
      <w:r w:rsidR="000074EB" w:rsidRPr="007D089C">
        <w:rPr>
          <w:lang w:val="en-US"/>
        </w:rPr>
        <w:t xml:space="preserve">isotopologues, where the 6.32 mDa mass difference between positional variations of </w:t>
      </w:r>
      <w:r w:rsidR="000074EB" w:rsidRPr="007D089C">
        <w:rPr>
          <w:vertAlign w:val="superscript"/>
          <w:lang w:val="en-US"/>
        </w:rPr>
        <w:t>13</w:t>
      </w:r>
      <w:r w:rsidR="000074EB" w:rsidRPr="007D089C">
        <w:rPr>
          <w:lang w:val="en-US"/>
        </w:rPr>
        <w:t xml:space="preserve">C and </w:t>
      </w:r>
      <w:r w:rsidR="000074EB" w:rsidRPr="007D089C">
        <w:rPr>
          <w:vertAlign w:val="superscript"/>
          <w:lang w:val="en-US"/>
        </w:rPr>
        <w:t>15</w:t>
      </w:r>
      <w:r w:rsidR="000074EB" w:rsidRPr="007D089C">
        <w:rPr>
          <w:lang w:val="en-US"/>
        </w:rPr>
        <w:t>N substitutions</w:t>
      </w:r>
      <w:r w:rsidR="00345E92" w:rsidRPr="007D089C">
        <w:rPr>
          <w:lang w:val="en-US"/>
        </w:rPr>
        <w:t xml:space="preserve"> are combined</w:t>
      </w:r>
      <w:r w:rsidR="00B14A20" w:rsidRPr="007D089C">
        <w:rPr>
          <w:lang w:val="en-US"/>
        </w:rPr>
        <w:t xml:space="preserve"> (as are currently used in the 10</w:t>
      </w:r>
      <w:r w:rsidR="00D81B11" w:rsidRPr="007D089C">
        <w:rPr>
          <w:lang w:val="en-US"/>
        </w:rPr>
        <w:t xml:space="preserve"> and 12</w:t>
      </w:r>
      <w:r w:rsidR="00B14A20" w:rsidRPr="007D089C">
        <w:rPr>
          <w:lang w:val="en-US"/>
        </w:rPr>
        <w:t>-plex reagents)</w:t>
      </w:r>
      <w:r w:rsidR="000074EB" w:rsidRPr="007D089C">
        <w:rPr>
          <w:lang w:val="en-US"/>
        </w:rPr>
        <w:t xml:space="preserve">, multiplexing up to 18-plex has been suggested as a future possibility </w:t>
      </w:r>
      <w:r w:rsidR="000074EB" w:rsidRPr="007D089C">
        <w:rPr>
          <w:lang w:val="en-US"/>
        </w:rPr>
        <w:fldChar w:fldCharType="begin"/>
      </w:r>
      <w:r w:rsidR="000074EB" w:rsidRPr="007D089C">
        <w:rPr>
          <w:lang w:val="en-US"/>
        </w:rPr>
        <w:instrText>ADDIN RW.CITE{{2188 McAlister,G.C. 2012}}</w:instrText>
      </w:r>
      <w:r w:rsidR="000074EB" w:rsidRPr="007D089C">
        <w:rPr>
          <w:lang w:val="en-US"/>
        </w:rPr>
        <w:fldChar w:fldCharType="separate"/>
      </w:r>
      <w:r w:rsidR="00C77B76">
        <w:rPr>
          <w:lang w:val="en-US"/>
        </w:rPr>
        <w:t>(McAlister et al., 2012)</w:t>
      </w:r>
      <w:r w:rsidR="000074EB" w:rsidRPr="007D089C">
        <w:rPr>
          <w:lang w:val="en-US"/>
        </w:rPr>
        <w:fldChar w:fldCharType="end"/>
      </w:r>
      <w:r w:rsidR="000074EB" w:rsidRPr="007D089C">
        <w:rPr>
          <w:lang w:val="en-US"/>
        </w:rPr>
        <w:t>.</w:t>
      </w:r>
    </w:p>
    <w:p w14:paraId="58D7B8B8" w14:textId="72D95D85" w:rsidR="000074EB" w:rsidRPr="007D089C" w:rsidRDefault="000074EB" w:rsidP="00B43F04">
      <w:pPr>
        <w:pStyle w:val="NormalWeb"/>
        <w:spacing w:before="0" w:beforeAutospacing="0" w:after="0" w:afterAutospacing="0" w:line="480" w:lineRule="auto"/>
        <w:jc w:val="both"/>
        <w:rPr>
          <w:rFonts w:ascii="Times-Roman" w:hAnsi="Times-Roman" w:cs="Times-Roman"/>
          <w:lang w:val="en-US"/>
        </w:rPr>
      </w:pPr>
      <w:r w:rsidRPr="007D089C">
        <w:rPr>
          <w:rFonts w:ascii="Times-Roman" w:hAnsi="Times-Roman" w:cs="Times-Roman"/>
          <w:lang w:val="en-US"/>
        </w:rPr>
        <w:t xml:space="preserve"> A striking characteristic of plasma proteome datasets, with or without labeling, has often been the relatively small number of proteins identified in comparison to analyses of cells or tissues </w:t>
      </w:r>
      <w:r w:rsidRPr="007D089C">
        <w:rPr>
          <w:rFonts w:ascii="Times-Roman" w:hAnsi="Times-Roman" w:cs="Times-Roman"/>
          <w:lang w:val="en-US"/>
        </w:rPr>
        <w:fldChar w:fldCharType="begin"/>
      </w:r>
      <w:r w:rsidRPr="007D089C">
        <w:rPr>
          <w:rFonts w:ascii="Times-Roman" w:hAnsi="Times-Roman" w:cs="Times-Roman"/>
          <w:lang w:val="en-US"/>
        </w:rPr>
        <w:instrText>ADDIN RW.CITE{{2069 Tu,C. 2010}}</w:instrText>
      </w:r>
      <w:r w:rsidRPr="007D089C">
        <w:rPr>
          <w:rFonts w:ascii="Times-Roman" w:hAnsi="Times-Roman" w:cs="Times-Roman"/>
          <w:lang w:val="en-US"/>
        </w:rPr>
        <w:fldChar w:fldCharType="separate"/>
      </w:r>
      <w:r w:rsidR="00C77B76">
        <w:rPr>
          <w:rFonts w:ascii="Times-Roman" w:hAnsi="Times-Roman" w:cs="Times-Roman"/>
          <w:lang w:val="en-US"/>
        </w:rPr>
        <w:t>(Tu et al., 2010)</w:t>
      </w:r>
      <w:r w:rsidRPr="007D089C">
        <w:rPr>
          <w:rFonts w:ascii="Times-Roman" w:hAnsi="Times-Roman" w:cs="Times-Roman"/>
          <w:lang w:val="en-US"/>
        </w:rPr>
        <w:fldChar w:fldCharType="end"/>
      </w:r>
      <w:r w:rsidRPr="007D089C">
        <w:rPr>
          <w:rFonts w:ascii="Times-Roman" w:hAnsi="Times-Roman" w:cs="Times-Roman"/>
          <w:lang w:val="en-US"/>
        </w:rPr>
        <w:t>. Until recently many of the published studies in which iTRAQ or TMT reagents were used in the analysis of plasma have only reported several hundred proteins</w:t>
      </w:r>
      <w:r w:rsidR="00986CAE" w:rsidRPr="007D089C">
        <w:rPr>
          <w:rFonts w:ascii="Times-Roman" w:hAnsi="Times-Roman" w:cs="Times-Roman"/>
          <w:lang w:val="en-US"/>
        </w:rPr>
        <w:t xml:space="preserve"> (identified with </w:t>
      </w:r>
      <w:r w:rsidR="00986CAE" w:rsidRPr="007D089C">
        <w:rPr>
          <w:rFonts w:ascii="Times-Roman" w:hAnsi="Times-Roman" w:cs="Times-Roman"/>
          <w:u w:val="single"/>
          <w:lang w:val="en-US"/>
        </w:rPr>
        <w:t>&gt;</w:t>
      </w:r>
      <w:r w:rsidR="00986CAE" w:rsidRPr="007D089C">
        <w:rPr>
          <w:rFonts w:ascii="Times-Roman" w:hAnsi="Times-Roman" w:cs="Times-Roman"/>
          <w:lang w:val="en-US"/>
        </w:rPr>
        <w:t>2 unique peptides)</w:t>
      </w:r>
      <w:r w:rsidRPr="007D089C">
        <w:rPr>
          <w:rFonts w:ascii="Times-Roman" w:hAnsi="Times-Roman" w:cs="Times-Roman"/>
          <w:lang w:val="en-US"/>
        </w:rPr>
        <w:t xml:space="preserve">, and often fewer being detected consistently in multiple experiments. These failings can be partly attributed to the heterogeneity of plasma between individuals and the wide abundance range of plasma proteins. On account of the latter, whilst much of the methodology for labeling, subsequent fractionation and mass spectrometry may be alike with other isobaric labeling applications, additional considerations have been made in terms of sample preparation. To provide the reader with a concise overview of the technology and the types of applications, this review is divided into sections first describing the methodology used and then subdivided by the classes of disease and health concerns studied. </w:t>
      </w:r>
    </w:p>
    <w:p w14:paraId="66D63D7D" w14:textId="77777777" w:rsidR="000074EB" w:rsidRPr="007D089C" w:rsidRDefault="000074EB" w:rsidP="00C141DD">
      <w:pPr>
        <w:pStyle w:val="Heading1"/>
        <w:spacing w:line="240" w:lineRule="auto"/>
      </w:pPr>
      <w:bookmarkStart w:id="4" w:name="_Toc483395814"/>
      <w:r w:rsidRPr="007D089C">
        <w:t>Methodology</w:t>
      </w:r>
      <w:bookmarkEnd w:id="4"/>
    </w:p>
    <w:p w14:paraId="4401CBA9" w14:textId="1D14A923" w:rsidR="000074EB" w:rsidRPr="007D089C" w:rsidRDefault="000074EB" w:rsidP="00C141DD">
      <w:pPr>
        <w:pStyle w:val="Heading2"/>
        <w:spacing w:line="240" w:lineRule="auto"/>
        <w:rPr>
          <w:rFonts w:asciiTheme="majorHAnsi" w:hAnsiTheme="majorHAnsi"/>
          <w:color w:val="365F91" w:themeColor="accent1" w:themeShade="BF"/>
          <w:sz w:val="32"/>
        </w:rPr>
      </w:pPr>
      <w:bookmarkStart w:id="5" w:name="_Toc483395815"/>
      <w:r w:rsidRPr="007D089C">
        <w:t>Labeling and General Protocols</w:t>
      </w:r>
      <w:bookmarkEnd w:id="5"/>
    </w:p>
    <w:p w14:paraId="13EEF7C7" w14:textId="42155C1E" w:rsidR="000074EB" w:rsidRPr="007D089C" w:rsidRDefault="000074EB" w:rsidP="00B43F04">
      <w:pPr>
        <w:spacing w:line="480" w:lineRule="auto"/>
        <w:jc w:val="both"/>
        <w:rPr>
          <w:lang w:val="en-US"/>
        </w:rPr>
      </w:pPr>
      <w:r w:rsidRPr="007D089C">
        <w:rPr>
          <w:rFonts w:ascii="Times-Roman" w:hAnsi="Times-Roman" w:cs="Times-Roman"/>
          <w:lang w:val="en-US"/>
        </w:rPr>
        <w:t>In keeping with other proteomic applications using isobaric labeling, the key steps in plasma preparation and analysis are the same, i.e. denatur</w:t>
      </w:r>
      <w:r w:rsidR="00BB24B2" w:rsidRPr="007D089C">
        <w:rPr>
          <w:rFonts w:ascii="Times-Roman" w:hAnsi="Times-Roman" w:cs="Times-Roman"/>
          <w:lang w:val="en-US"/>
        </w:rPr>
        <w:t>ation</w:t>
      </w:r>
      <w:r w:rsidRPr="007D089C">
        <w:rPr>
          <w:rFonts w:ascii="Times-Roman" w:hAnsi="Times-Roman" w:cs="Times-Roman"/>
          <w:lang w:val="en-US"/>
        </w:rPr>
        <w:t>, digestion, labeling, fractionation and mass spectrometric analysis. However, most frequently some kind of pre-fractionation has been performed to remove the most abundant proteins</w:t>
      </w:r>
      <w:r w:rsidR="0076727D" w:rsidRPr="007D089C">
        <w:rPr>
          <w:rFonts w:ascii="Times-Roman" w:hAnsi="Times-Roman" w:cs="Times-Roman"/>
          <w:lang w:val="en-US"/>
        </w:rPr>
        <w:t xml:space="preserve"> (</w:t>
      </w:r>
      <w:r w:rsidR="0076727D" w:rsidRPr="007D089C">
        <w:rPr>
          <w:rFonts w:ascii="Times-Roman" w:hAnsi="Times-Roman" w:cs="Times-Roman"/>
          <w:b/>
          <w:lang w:val="en-US"/>
        </w:rPr>
        <w:t>Figure 1</w:t>
      </w:r>
      <w:r w:rsidR="0076727D" w:rsidRPr="007D089C">
        <w:rPr>
          <w:rFonts w:ascii="Times-Roman" w:hAnsi="Times-Roman" w:cs="Times-Roman"/>
          <w:lang w:val="en-US"/>
        </w:rPr>
        <w:t>)</w:t>
      </w:r>
      <w:r w:rsidRPr="007D089C">
        <w:rPr>
          <w:rFonts w:ascii="Times-Roman" w:hAnsi="Times-Roman" w:cs="Times-Roman"/>
          <w:lang w:val="en-US"/>
        </w:rPr>
        <w:t xml:space="preserve">. Amongst the literature several publications have been reported in the format of general protocols for iTRAQ analysis of plasma </w:t>
      </w:r>
      <w:r w:rsidRPr="007D089C">
        <w:rPr>
          <w:rFonts w:ascii="Times-Roman" w:hAnsi="Times-Roman" w:cs="Times-Roman"/>
          <w:lang w:val="en-US"/>
        </w:rPr>
        <w:fldChar w:fldCharType="begin"/>
      </w:r>
      <w:r w:rsidRPr="007D089C">
        <w:rPr>
          <w:rFonts w:ascii="Times-Roman" w:hAnsi="Times-Roman" w:cs="Times-Roman"/>
          <w:lang w:val="en-US"/>
        </w:rPr>
        <w:instrText>ADDIN RW.CITE{{1436 Song,X. 2008; 1457 Tonack,S. 2009; 2107 Tonack,S. 2010; 1986 Koutroukides,T.A. 2013}}</w:instrText>
      </w:r>
      <w:r w:rsidRPr="007D089C">
        <w:rPr>
          <w:rFonts w:ascii="Times-Roman" w:hAnsi="Times-Roman" w:cs="Times-Roman"/>
          <w:lang w:val="en-US"/>
        </w:rPr>
        <w:fldChar w:fldCharType="separate"/>
      </w:r>
      <w:r w:rsidR="00C77B76">
        <w:rPr>
          <w:rFonts w:ascii="Times-Roman" w:hAnsi="Times-Roman" w:cs="Times-Roman"/>
          <w:lang w:val="en-US"/>
        </w:rPr>
        <w:t>(Koutroukides et al., 2013; X. Song et al., 2008; Tonack et al., 2009; Tonack, Neoptolemos, &amp; Costello, 2010)</w:t>
      </w:r>
      <w:r w:rsidRPr="007D089C">
        <w:rPr>
          <w:rFonts w:ascii="Times-Roman" w:hAnsi="Times-Roman" w:cs="Times-Roman"/>
          <w:lang w:val="en-US"/>
        </w:rPr>
        <w:fldChar w:fldCharType="end"/>
      </w:r>
      <w:r w:rsidRPr="007D089C">
        <w:rPr>
          <w:rFonts w:ascii="Times-Roman" w:hAnsi="Times-Roman" w:cs="Times-Roman"/>
          <w:lang w:val="en-US"/>
        </w:rPr>
        <w:t xml:space="preserve">. In the earliest of these, Song, X </w:t>
      </w:r>
      <w:r w:rsidRPr="007D089C">
        <w:rPr>
          <w:rFonts w:ascii="Times-Roman" w:hAnsi="Times-Roman" w:cs="Times-Roman"/>
          <w:i/>
          <w:lang w:val="en-US"/>
        </w:rPr>
        <w:t>et al.</w:t>
      </w:r>
      <w:r w:rsidRPr="007D089C">
        <w:rPr>
          <w:rFonts w:ascii="Times-Roman" w:hAnsi="Times-Roman" w:cs="Times-Roman"/>
          <w:lang w:val="en-US"/>
        </w:rPr>
        <w:t xml:space="preserve"> (2008) used a workflow typical of its era in which </w:t>
      </w:r>
      <w:r w:rsidR="00563401" w:rsidRPr="007D089C">
        <w:rPr>
          <w:rFonts w:ascii="Times-Roman" w:hAnsi="Times-Roman" w:cs="Times-Roman"/>
          <w:lang w:val="en-US"/>
        </w:rPr>
        <w:t>immuno-</w:t>
      </w:r>
      <w:r w:rsidRPr="007D089C">
        <w:rPr>
          <w:rFonts w:ascii="Times-Roman" w:hAnsi="Times-Roman" w:cs="Times-Roman"/>
          <w:lang w:val="en-US"/>
        </w:rPr>
        <w:t>affinity depletion was followed by digestion, labeling, fractionation by strong cation exchange chromatography (SCX) and then LC-MS/MS with electrospray ionization (ESI). In this example only 73 proteins (identified by at least two peptides each) were quantified in all eight iTRAQ experiments. This level of proteome coverage pales in comparison to recent work where improvements in many aspects of the analytical instrumentation, including depletion, UHPLC separation and innovations in mass spectrometry, ha</w:t>
      </w:r>
      <w:r w:rsidR="00563401" w:rsidRPr="007D089C">
        <w:rPr>
          <w:rFonts w:ascii="Times-Roman" w:hAnsi="Times-Roman" w:cs="Times-Roman"/>
          <w:lang w:val="en-US"/>
        </w:rPr>
        <w:t>s</w:t>
      </w:r>
      <w:r w:rsidRPr="007D089C">
        <w:rPr>
          <w:rFonts w:ascii="Times-Roman" w:hAnsi="Times-Roman" w:cs="Times-Roman"/>
          <w:lang w:val="en-US"/>
        </w:rPr>
        <w:t xml:space="preserve"> provided quantification of over a thousand proteins, </w:t>
      </w:r>
      <w:r w:rsidRPr="007D089C">
        <w:rPr>
          <w:rFonts w:ascii="Times-Roman" w:hAnsi="Times-Roman" w:cs="Times-Roman"/>
          <w:lang w:val="en-US"/>
        </w:rPr>
        <w:fldChar w:fldCharType="begin"/>
      </w:r>
      <w:r w:rsidRPr="007D089C">
        <w:rPr>
          <w:rFonts w:ascii="Times-Roman" w:hAnsi="Times-Roman" w:cs="Times-Roman"/>
          <w:lang w:val="en-US"/>
        </w:rPr>
        <w:instrText>ADDIN RW.CITE{{2138 Keshishian,H. 2015}}</w:instrText>
      </w:r>
      <w:r w:rsidRPr="007D089C">
        <w:rPr>
          <w:rFonts w:ascii="Times-Roman" w:hAnsi="Times-Roman" w:cs="Times-Roman"/>
          <w:lang w:val="en-US"/>
        </w:rPr>
        <w:fldChar w:fldCharType="separate"/>
      </w:r>
      <w:r w:rsidR="00C77B76">
        <w:rPr>
          <w:rFonts w:ascii="Times-Roman" w:hAnsi="Times-Roman" w:cs="Times-Roman"/>
          <w:lang w:val="en-US"/>
        </w:rPr>
        <w:t>(Keshishian et al., 2015)</w:t>
      </w:r>
      <w:r w:rsidRPr="007D089C">
        <w:rPr>
          <w:rFonts w:ascii="Times-Roman" w:hAnsi="Times-Roman" w:cs="Times-Roman"/>
          <w:lang w:val="en-US"/>
        </w:rPr>
        <w:fldChar w:fldCharType="end"/>
      </w:r>
      <w:r w:rsidRPr="007D089C">
        <w:rPr>
          <w:rFonts w:ascii="Times-Roman" w:hAnsi="Times-Roman" w:cs="Times-Roman"/>
          <w:lang w:val="en-US"/>
        </w:rPr>
        <w:t xml:space="preserve">.  In the work of Dayon </w:t>
      </w:r>
      <w:r w:rsidRPr="007D089C">
        <w:rPr>
          <w:rFonts w:ascii="Times-Roman" w:hAnsi="Times-Roman" w:cs="Times-Roman"/>
          <w:i/>
          <w:lang w:val="en-US"/>
        </w:rPr>
        <w:t>et al.</w:t>
      </w:r>
      <w:r w:rsidRPr="007D089C">
        <w:rPr>
          <w:rFonts w:ascii="Times-Roman" w:hAnsi="Times-Roman" w:cs="Times-Roman"/>
          <w:lang w:val="en-US"/>
        </w:rPr>
        <w:t xml:space="preserve"> they evaluated the merits of label-based and label free analysis of depleted and undepleted sera </w:t>
      </w:r>
      <w:r w:rsidRPr="007D089C">
        <w:rPr>
          <w:rFonts w:ascii="Times-Roman" w:hAnsi="Times-Roman" w:cs="Times-Roman"/>
          <w:lang w:val="en-US"/>
        </w:rPr>
        <w:fldChar w:fldCharType="begin"/>
      </w:r>
      <w:r w:rsidRPr="007D089C">
        <w:rPr>
          <w:rFonts w:ascii="Times-Roman" w:hAnsi="Times-Roman" w:cs="Times-Roman"/>
          <w:lang w:val="en-US"/>
        </w:rPr>
        <w:instrText>ADDIN RW.CITE{{2147 Dayon,LoÃ¯c 2013}}</w:instrText>
      </w:r>
      <w:r w:rsidRPr="007D089C">
        <w:rPr>
          <w:rFonts w:ascii="Times-Roman" w:hAnsi="Times-Roman" w:cs="Times-Roman"/>
          <w:lang w:val="en-US"/>
        </w:rPr>
        <w:fldChar w:fldCharType="separate"/>
      </w:r>
      <w:r w:rsidR="00C77B76">
        <w:rPr>
          <w:rFonts w:ascii="Times-Roman" w:hAnsi="Times-Roman" w:cs="Times-Roman"/>
          <w:lang w:val="en-US"/>
        </w:rPr>
        <w:t>(L. Dayon &amp; Kussmann, 2013)</w:t>
      </w:r>
      <w:r w:rsidRPr="007D089C">
        <w:rPr>
          <w:rFonts w:ascii="Times-Roman" w:hAnsi="Times-Roman" w:cs="Times-Roman"/>
          <w:lang w:val="en-US"/>
        </w:rPr>
        <w:fldChar w:fldCharType="end"/>
      </w:r>
      <w:r w:rsidRPr="007D089C">
        <w:rPr>
          <w:rFonts w:ascii="Times-Roman" w:hAnsi="Times-Roman" w:cs="Times-Roman"/>
          <w:lang w:val="en-US"/>
        </w:rPr>
        <w:t xml:space="preserve">, and </w:t>
      </w:r>
      <w:r w:rsidR="00670428" w:rsidRPr="007D089C">
        <w:rPr>
          <w:rFonts w:ascii="Times-Roman" w:hAnsi="Times-Roman" w:cs="Times-Roman"/>
          <w:lang w:val="en-US"/>
        </w:rPr>
        <w:t>in a subsequent publication</w:t>
      </w:r>
      <w:r w:rsidRPr="007D089C">
        <w:rPr>
          <w:rFonts w:ascii="Times-Roman" w:hAnsi="Times-Roman" w:cs="Times-Roman"/>
          <w:lang w:val="en-US"/>
        </w:rPr>
        <w:t xml:space="preserve"> presented an automated set-up for depletion, buffer exchange, digestion and TMT labeling followed by 1D separation and ESI analysis with an Orbitrap Elite (Thermo Scientific) </w:t>
      </w:r>
      <w:r w:rsidRPr="007D089C">
        <w:rPr>
          <w:lang w:val="en-US"/>
        </w:rPr>
        <w:fldChar w:fldCharType="begin"/>
      </w:r>
      <w:r w:rsidRPr="007D089C">
        <w:rPr>
          <w:lang w:val="en-US"/>
        </w:rPr>
        <w:instrText>ADDIN RW.CITE{{2114 Dayon,L. 2014}}</w:instrText>
      </w:r>
      <w:r w:rsidRPr="007D089C">
        <w:rPr>
          <w:lang w:val="en-US"/>
        </w:rPr>
        <w:fldChar w:fldCharType="separate"/>
      </w:r>
      <w:r w:rsidR="00C77B76">
        <w:rPr>
          <w:lang w:val="en-US"/>
        </w:rPr>
        <w:t>(L. Dayon, Nunez Galindo, Corthesy, Cominetti, &amp; Kussmann, 2014)</w:t>
      </w:r>
      <w:r w:rsidRPr="007D089C">
        <w:rPr>
          <w:lang w:val="en-US"/>
        </w:rPr>
        <w:fldChar w:fldCharType="end"/>
      </w:r>
      <w:r w:rsidRPr="007D089C">
        <w:rPr>
          <w:rFonts w:ascii="Times-Roman" w:hAnsi="Times-Roman" w:cs="Times-Roman"/>
          <w:lang w:val="en-US"/>
        </w:rPr>
        <w:t xml:space="preserve">. </w:t>
      </w:r>
      <w:r w:rsidRPr="007D089C">
        <w:rPr>
          <w:lang w:val="en-US"/>
        </w:rPr>
        <w:t>In a large scale practical application with th</w:t>
      </w:r>
      <w:r w:rsidR="00670428" w:rsidRPr="007D089C">
        <w:rPr>
          <w:lang w:val="en-US"/>
        </w:rPr>
        <w:t>e latter</w:t>
      </w:r>
      <w:r w:rsidRPr="007D089C">
        <w:rPr>
          <w:lang w:val="en-US"/>
        </w:rPr>
        <w:t xml:space="preserve"> system 365 proteins were identified in 304 TMT 6-plex experiments, however, only 110 proteins were identified in all 1005 samples </w:t>
      </w:r>
      <w:r w:rsidRPr="007D089C">
        <w:rPr>
          <w:lang w:val="en-US"/>
        </w:rPr>
        <w:fldChar w:fldCharType="begin"/>
      </w:r>
      <w:r w:rsidRPr="007D089C">
        <w:rPr>
          <w:lang w:val="en-US"/>
        </w:rPr>
        <w:instrText>ADDIN RW.CITE{{2234 Cominetti,Ornella 2015}}</w:instrText>
      </w:r>
      <w:r w:rsidRPr="007D089C">
        <w:rPr>
          <w:lang w:val="en-US"/>
        </w:rPr>
        <w:fldChar w:fldCharType="separate"/>
      </w:r>
      <w:r w:rsidR="00C77B76">
        <w:rPr>
          <w:lang w:val="en-US"/>
        </w:rPr>
        <w:t>(Cominetti et al., 2015)</w:t>
      </w:r>
      <w:r w:rsidRPr="007D089C">
        <w:rPr>
          <w:lang w:val="en-US"/>
        </w:rPr>
        <w:fldChar w:fldCharType="end"/>
      </w:r>
      <w:r w:rsidRPr="007D089C">
        <w:rPr>
          <w:lang w:val="en-US"/>
        </w:rPr>
        <w:t>. The absence of additional fractionation after labelling is a likely cause for the limited depth and consistency of these plasma profiles.</w:t>
      </w:r>
    </w:p>
    <w:p w14:paraId="51A4378D" w14:textId="77777777" w:rsidR="000074EB" w:rsidRPr="007D089C" w:rsidRDefault="000074EB" w:rsidP="00B43F04">
      <w:pPr>
        <w:spacing w:line="480" w:lineRule="auto"/>
        <w:jc w:val="both"/>
        <w:rPr>
          <w:rFonts w:ascii="Times-Roman" w:hAnsi="Times-Roman" w:cs="Times-Roman"/>
          <w:lang w:val="en-US"/>
        </w:rPr>
      </w:pPr>
    </w:p>
    <w:p w14:paraId="23F40726" w14:textId="03A1C1CE" w:rsidR="000074EB" w:rsidRPr="007D089C" w:rsidRDefault="000074EB" w:rsidP="00B43F04">
      <w:pPr>
        <w:spacing w:line="480" w:lineRule="auto"/>
        <w:jc w:val="both"/>
        <w:rPr>
          <w:rFonts w:ascii="Times-Roman" w:hAnsi="Times-Roman" w:cs="Times-Roman"/>
          <w:strike/>
          <w:lang w:val="en-US"/>
        </w:rPr>
      </w:pPr>
      <w:r w:rsidRPr="007D089C">
        <w:rPr>
          <w:lang w:val="en-US"/>
        </w:rPr>
        <w:t>Several</w:t>
      </w:r>
      <w:r w:rsidRPr="007D089C">
        <w:rPr>
          <w:rFonts w:ascii="Times-Roman" w:hAnsi="Times-Roman" w:cs="Times-Roman"/>
          <w:lang w:val="en-US"/>
        </w:rPr>
        <w:t xml:space="preserve"> technically orientated articles have considered the merits of the different multiplex options and the comparison of preparative steps, such as depletion of the abundant proteins and fractionation of the labeled mixtures </w:t>
      </w:r>
      <w:r w:rsidRPr="007D089C">
        <w:rPr>
          <w:rFonts w:ascii="Times-Roman" w:hAnsi="Times-Roman" w:cs="Times-Roman"/>
          <w:lang w:val="en-US"/>
        </w:rPr>
        <w:fldChar w:fldCharType="begin"/>
      </w:r>
      <w:r w:rsidRPr="007D089C">
        <w:rPr>
          <w:rFonts w:ascii="Times-Roman" w:hAnsi="Times-Roman" w:cs="Times-Roman"/>
          <w:lang w:val="en-US"/>
        </w:rPr>
        <w:instrText>ADDIN RW.CITE{{2238 Pichler,P. 2010; 2031 Pottiez,G. 2012; 2207 Patel,Bhavinkumar B. 2012; 2028 Pernemalm,M. 2008}}</w:instrText>
      </w:r>
      <w:r w:rsidRPr="007D089C">
        <w:rPr>
          <w:rFonts w:ascii="Times-Roman" w:hAnsi="Times-Roman" w:cs="Times-Roman"/>
          <w:lang w:val="en-US"/>
        </w:rPr>
        <w:fldChar w:fldCharType="separate"/>
      </w:r>
      <w:r w:rsidR="00C77B76">
        <w:rPr>
          <w:rFonts w:ascii="Times-Roman" w:hAnsi="Times-Roman" w:cs="Times-Roman"/>
          <w:lang w:val="en-US"/>
        </w:rPr>
        <w:t>(Patel et al., 2012; Pernemalm et al., 2008; Pichler et al., 2010; Pottiez, Wiederin, Fox, &amp; Ciborowski, 2012)</w:t>
      </w:r>
      <w:r w:rsidRPr="007D089C">
        <w:rPr>
          <w:rFonts w:ascii="Times-Roman" w:hAnsi="Times-Roman" w:cs="Times-Roman"/>
          <w:lang w:val="en-US"/>
        </w:rPr>
        <w:fldChar w:fldCharType="end"/>
      </w:r>
      <w:r w:rsidRPr="007D089C">
        <w:rPr>
          <w:rFonts w:ascii="Times-Roman" w:hAnsi="Times-Roman" w:cs="Times-Roman"/>
          <w:lang w:val="en-US"/>
        </w:rPr>
        <w:t xml:space="preserve">. For example, in the study of Keshishian </w:t>
      </w:r>
      <w:r w:rsidRPr="007D089C">
        <w:rPr>
          <w:rFonts w:ascii="Times-Roman" w:hAnsi="Times-Roman" w:cs="Times-Roman"/>
          <w:i/>
          <w:lang w:val="en-US"/>
        </w:rPr>
        <w:t>et al.</w:t>
      </w:r>
      <w:r w:rsidRPr="007D089C">
        <w:rPr>
          <w:rFonts w:ascii="Times-Roman" w:hAnsi="Times-Roman" w:cs="Times-Roman"/>
          <w:lang w:val="en-US"/>
        </w:rPr>
        <w:t xml:space="preserve"> they evaluated whether any fewer proteins were identified with 6 and 10-plex TMT reagents, when compared to 4-plex iTRAQ. They found that </w:t>
      </w:r>
      <w:r w:rsidRPr="007D089C">
        <w:rPr>
          <w:lang w:val="en-US"/>
        </w:rPr>
        <w:t xml:space="preserve">9% fewer proteins were detected with </w:t>
      </w:r>
      <w:r w:rsidR="00BA452B" w:rsidRPr="007D089C">
        <w:rPr>
          <w:lang w:val="en-US"/>
        </w:rPr>
        <w:t xml:space="preserve">a </w:t>
      </w:r>
      <w:r w:rsidRPr="007D089C">
        <w:rPr>
          <w:lang w:val="en-US"/>
        </w:rPr>
        <w:t xml:space="preserve">TMT 6-plex experiment and 17% fewer were detected in the TMT 10-plex experiment. Earlier studies </w:t>
      </w:r>
      <w:r w:rsidR="007F6946" w:rsidRPr="007D089C">
        <w:rPr>
          <w:lang w:val="en-US"/>
        </w:rPr>
        <w:t>similarly</w:t>
      </w:r>
      <w:r w:rsidRPr="007D089C">
        <w:rPr>
          <w:lang w:val="en-US"/>
        </w:rPr>
        <w:t xml:space="preserve"> indicated that protein identification is more successful using ESI with 4-plex reagents than 6 or 8-plex, </w:t>
      </w:r>
      <w:r w:rsidRPr="007D089C">
        <w:rPr>
          <w:lang w:val="en-US"/>
        </w:rPr>
        <w:fldChar w:fldCharType="begin"/>
      </w:r>
      <w:r w:rsidRPr="007D089C">
        <w:rPr>
          <w:lang w:val="en-US"/>
        </w:rPr>
        <w:instrText>ADDIN RW.CITE{{2238 Pichler,P. 2010}}</w:instrText>
      </w:r>
      <w:r w:rsidRPr="007D089C">
        <w:rPr>
          <w:lang w:val="en-US"/>
        </w:rPr>
        <w:fldChar w:fldCharType="separate"/>
      </w:r>
      <w:r w:rsidR="00C77B76">
        <w:rPr>
          <w:lang w:val="en-US"/>
        </w:rPr>
        <w:t>(Pichler et al., 2010)</w:t>
      </w:r>
      <w:r w:rsidRPr="007D089C">
        <w:rPr>
          <w:lang w:val="en-US"/>
        </w:rPr>
        <w:fldChar w:fldCharType="end"/>
      </w:r>
      <w:r w:rsidRPr="007D089C">
        <w:rPr>
          <w:lang w:val="en-US"/>
        </w:rPr>
        <w:t xml:space="preserve">, although these were not tested with plasma. Pottiez </w:t>
      </w:r>
      <w:r w:rsidRPr="007D089C">
        <w:rPr>
          <w:i/>
          <w:lang w:val="en-US"/>
        </w:rPr>
        <w:t xml:space="preserve">et al., </w:t>
      </w:r>
      <w:r w:rsidRPr="007D089C">
        <w:rPr>
          <w:lang w:val="en-US"/>
        </w:rPr>
        <w:t>however,</w:t>
      </w:r>
      <w:r w:rsidRPr="007D089C">
        <w:rPr>
          <w:i/>
          <w:lang w:val="en-US"/>
        </w:rPr>
        <w:t xml:space="preserve"> </w:t>
      </w:r>
      <w:r w:rsidRPr="007D089C">
        <w:rPr>
          <w:lang w:val="en-US"/>
        </w:rPr>
        <w:t xml:space="preserve">reported in their LC-MALDI based plasma analysis that the 8-plex reagents were preferable to 4-plex, </w:t>
      </w:r>
      <w:r w:rsidRPr="007D089C">
        <w:rPr>
          <w:rFonts w:ascii="timesroman" w:hAnsi="timesroman"/>
          <w:lang w:val="en-US"/>
        </w:rPr>
        <w:t xml:space="preserve">providing more consistent ratios without compromising protein identification </w:t>
      </w:r>
      <w:r w:rsidRPr="007D089C">
        <w:rPr>
          <w:rFonts w:ascii="timesroman" w:hAnsi="timesroman"/>
          <w:lang w:val="en-US"/>
        </w:rPr>
        <w:fldChar w:fldCharType="begin"/>
      </w:r>
      <w:r w:rsidRPr="007D089C">
        <w:rPr>
          <w:rFonts w:ascii="timesroman" w:hAnsi="timesroman"/>
          <w:lang w:val="en-US"/>
        </w:rPr>
        <w:instrText>ADDIN RW.CITE{{2031 Pottiez,G. 2012}}</w:instrText>
      </w:r>
      <w:r w:rsidRPr="007D089C">
        <w:rPr>
          <w:rFonts w:ascii="timesroman" w:hAnsi="timesroman"/>
          <w:lang w:val="en-US"/>
        </w:rPr>
        <w:fldChar w:fldCharType="separate"/>
      </w:r>
      <w:r w:rsidR="00C77B76">
        <w:rPr>
          <w:rFonts w:ascii="timesroman" w:hAnsi="timesroman"/>
          <w:lang w:val="en-US"/>
        </w:rPr>
        <w:t>(Pottiez et al., 2012)</w:t>
      </w:r>
      <w:r w:rsidRPr="007D089C">
        <w:rPr>
          <w:rFonts w:ascii="timesroman" w:hAnsi="timesroman"/>
          <w:lang w:val="en-US"/>
        </w:rPr>
        <w:fldChar w:fldCharType="end"/>
      </w:r>
      <w:r w:rsidRPr="007D089C">
        <w:rPr>
          <w:rFonts w:ascii="timesroman" w:hAnsi="timesroman"/>
          <w:lang w:val="en-US"/>
        </w:rPr>
        <w:t xml:space="preserve">. </w:t>
      </w:r>
      <w:r w:rsidR="00B83A8C" w:rsidRPr="007D089C">
        <w:rPr>
          <w:rFonts w:ascii="timesroman" w:hAnsi="timesroman"/>
          <w:lang w:val="en-US"/>
        </w:rPr>
        <w:t xml:space="preserve">To date 4-plex labelling has been the most frequently used approach, as can be seen in </w:t>
      </w:r>
      <w:r w:rsidR="00B83A8C" w:rsidRPr="007D089C">
        <w:rPr>
          <w:rFonts w:ascii="timesroman" w:hAnsi="timesroman"/>
          <w:b/>
          <w:lang w:val="en-US"/>
        </w:rPr>
        <w:t>Figure 1b</w:t>
      </w:r>
      <w:r w:rsidR="00B83A8C" w:rsidRPr="007D089C">
        <w:rPr>
          <w:rFonts w:ascii="timesroman" w:hAnsi="timesroman"/>
          <w:lang w:val="en-US"/>
        </w:rPr>
        <w:t>.</w:t>
      </w:r>
    </w:p>
    <w:p w14:paraId="63C2F7FF" w14:textId="77777777" w:rsidR="000074EB" w:rsidRPr="007D089C" w:rsidRDefault="000074EB" w:rsidP="00B43F04">
      <w:pPr>
        <w:spacing w:line="480" w:lineRule="auto"/>
        <w:jc w:val="both"/>
        <w:rPr>
          <w:rFonts w:ascii="Times-Roman" w:hAnsi="Times-Roman" w:cs="Times-Roman"/>
          <w:lang w:val="en-US"/>
        </w:rPr>
      </w:pPr>
    </w:p>
    <w:p w14:paraId="49B0DE82" w14:textId="673B8DEA" w:rsidR="000074EB" w:rsidRPr="007D089C" w:rsidRDefault="000074EB" w:rsidP="00B43F04">
      <w:pPr>
        <w:spacing w:line="480" w:lineRule="auto"/>
        <w:jc w:val="both"/>
        <w:rPr>
          <w:rFonts w:ascii="Times-Roman" w:hAnsi="Times-Roman" w:cs="Times-Roman"/>
          <w:lang w:val="en-US"/>
        </w:rPr>
      </w:pPr>
      <w:r w:rsidRPr="007D089C">
        <w:rPr>
          <w:rFonts w:ascii="Times-Roman" w:hAnsi="Times-Roman" w:cs="Times-Roman"/>
          <w:lang w:val="en-US"/>
        </w:rPr>
        <w:t xml:space="preserve">Whilst primarily designed for peptide labeling, labeling at the protein level has also been demonstrated with TMT and iTRAQ reagents </w:t>
      </w:r>
      <w:r w:rsidRPr="007D089C">
        <w:rPr>
          <w:rFonts w:ascii="Times-Roman" w:hAnsi="Times-Roman" w:cs="Times-Roman"/>
          <w:lang w:val="en-US"/>
        </w:rPr>
        <w:fldChar w:fldCharType="begin"/>
      </w:r>
      <w:r w:rsidRPr="007D089C">
        <w:rPr>
          <w:rFonts w:ascii="Times-Roman" w:hAnsi="Times-Roman" w:cs="Times-Roman"/>
          <w:lang w:val="en-US"/>
        </w:rPr>
        <w:instrText>ADDIN RW.CITE{{765 Wiese,Sebastian 2007}}</w:instrText>
      </w:r>
      <w:r w:rsidRPr="007D089C">
        <w:rPr>
          <w:rFonts w:ascii="Times-Roman" w:hAnsi="Times-Roman" w:cs="Times-Roman"/>
          <w:lang w:val="en-US"/>
        </w:rPr>
        <w:fldChar w:fldCharType="separate"/>
      </w:r>
      <w:r w:rsidR="00C77B76">
        <w:rPr>
          <w:rFonts w:ascii="Times-Roman" w:hAnsi="Times-Roman" w:cs="Times-Roman"/>
          <w:lang w:val="en-US"/>
        </w:rPr>
        <w:t>(Wiese, Reidegeld, Meyer, &amp; Warscheid, 2007)</w:t>
      </w:r>
      <w:r w:rsidRPr="007D089C">
        <w:rPr>
          <w:rFonts w:ascii="Times-Roman" w:hAnsi="Times-Roman" w:cs="Times-Roman"/>
          <w:lang w:val="en-US"/>
        </w:rPr>
        <w:fldChar w:fldCharType="end"/>
      </w:r>
      <w:r w:rsidR="007F6946" w:rsidRPr="007D089C">
        <w:rPr>
          <w:rFonts w:ascii="Times-Roman" w:hAnsi="Times-Roman" w:cs="Times-Roman"/>
          <w:lang w:val="en-US"/>
        </w:rPr>
        <w:t xml:space="preserve"> </w:t>
      </w:r>
      <w:r w:rsidR="007F6946" w:rsidRPr="007D089C">
        <w:rPr>
          <w:rFonts w:ascii="Times-Roman" w:hAnsi="Times-Roman" w:cs="Times-Roman"/>
          <w:lang w:val="en-US"/>
        </w:rPr>
        <w:fldChar w:fldCharType="begin"/>
      </w:r>
      <w:r w:rsidR="007F6946" w:rsidRPr="007D089C">
        <w:rPr>
          <w:rFonts w:ascii="Times-Roman" w:hAnsi="Times-Roman" w:cs="Times-Roman"/>
          <w:lang w:val="en-US"/>
        </w:rPr>
        <w:instrText>ADDIN RW.CITE{{2105 Sinclair,J. 2011}}</w:instrText>
      </w:r>
      <w:r w:rsidR="007F6946" w:rsidRPr="007D089C">
        <w:rPr>
          <w:rFonts w:ascii="Times-Roman" w:hAnsi="Times-Roman" w:cs="Times-Roman"/>
          <w:lang w:val="en-US"/>
        </w:rPr>
        <w:fldChar w:fldCharType="separate"/>
      </w:r>
      <w:r w:rsidR="00C77B76">
        <w:rPr>
          <w:rFonts w:ascii="Times-Roman" w:hAnsi="Times-Roman" w:cs="Times-Roman"/>
          <w:lang w:val="en-US"/>
        </w:rPr>
        <w:t>(Sinclair &amp; Timms, 2011)</w:t>
      </w:r>
      <w:r w:rsidR="007F6946" w:rsidRPr="007D089C">
        <w:rPr>
          <w:rFonts w:ascii="Times-Roman" w:hAnsi="Times-Roman" w:cs="Times-Roman"/>
          <w:lang w:val="en-US"/>
        </w:rPr>
        <w:fldChar w:fldCharType="end"/>
      </w:r>
      <w:r w:rsidRPr="007D089C">
        <w:rPr>
          <w:rFonts w:ascii="Times-Roman" w:hAnsi="Times-Roman" w:cs="Times-Roman"/>
          <w:lang w:val="en-US"/>
        </w:rPr>
        <w:t xml:space="preserve">. </w:t>
      </w:r>
      <w:r w:rsidR="00BB24B2" w:rsidRPr="007D089C">
        <w:rPr>
          <w:rFonts w:ascii="Times-Roman" w:hAnsi="Times-Roman" w:cs="Times-Roman"/>
          <w:lang w:val="en-US"/>
        </w:rPr>
        <w:t>However, it has also been noted that l</w:t>
      </w:r>
      <w:r w:rsidRPr="007D089C">
        <w:rPr>
          <w:rFonts w:ascii="Times-Roman" w:hAnsi="Times-Roman" w:cs="Times-Roman"/>
          <w:lang w:val="en-US"/>
        </w:rPr>
        <w:t>abeling of lysine residues negat</w:t>
      </w:r>
      <w:r w:rsidR="00BB24B2" w:rsidRPr="007D089C">
        <w:rPr>
          <w:rFonts w:ascii="Times-Roman" w:hAnsi="Times-Roman" w:cs="Times-Roman"/>
          <w:lang w:val="en-US"/>
        </w:rPr>
        <w:t xml:space="preserve">ively affects trypsin digestion. </w:t>
      </w:r>
      <w:r w:rsidRPr="007D089C">
        <w:rPr>
          <w:rFonts w:ascii="Times-Roman" w:hAnsi="Times-Roman" w:cs="Times-Roman"/>
          <w:lang w:val="en-US"/>
        </w:rPr>
        <w:t xml:space="preserve">Sinclair </w:t>
      </w:r>
      <w:r w:rsidRPr="007D089C">
        <w:rPr>
          <w:rFonts w:ascii="Times-Roman" w:hAnsi="Times-Roman" w:cs="Times-Roman"/>
          <w:i/>
          <w:lang w:val="en-US"/>
        </w:rPr>
        <w:t>et al.</w:t>
      </w:r>
      <w:r w:rsidRPr="007D089C">
        <w:rPr>
          <w:rFonts w:ascii="Times-Roman" w:hAnsi="Times-Roman" w:cs="Times-Roman"/>
          <w:lang w:val="en-US"/>
        </w:rPr>
        <w:t xml:space="preserve"> evaluated different digestion combinations, trypsin and chymotrypsin vs. trypsin and Glu-C, with the aim to improve the digestion efficiency of </w:t>
      </w:r>
      <w:r w:rsidR="007F6946" w:rsidRPr="007D089C">
        <w:rPr>
          <w:rFonts w:ascii="Times-Roman" w:hAnsi="Times-Roman" w:cs="Times-Roman"/>
          <w:lang w:val="en-US"/>
        </w:rPr>
        <w:t xml:space="preserve">TMT </w:t>
      </w:r>
      <w:r w:rsidRPr="007D089C">
        <w:rPr>
          <w:rFonts w:ascii="Times-Roman" w:hAnsi="Times-Roman" w:cs="Times-Roman"/>
          <w:lang w:val="en-US"/>
        </w:rPr>
        <w:t xml:space="preserve">labeled proteins from depleted serum </w:t>
      </w:r>
      <w:r w:rsidRPr="007D089C">
        <w:rPr>
          <w:rFonts w:ascii="Times-Roman" w:hAnsi="Times-Roman" w:cs="Times-Roman"/>
          <w:lang w:val="en-US"/>
        </w:rPr>
        <w:fldChar w:fldCharType="begin"/>
      </w:r>
      <w:r w:rsidRPr="007D089C">
        <w:rPr>
          <w:rFonts w:ascii="Times-Roman" w:hAnsi="Times-Roman" w:cs="Times-Roman"/>
          <w:lang w:val="en-US"/>
        </w:rPr>
        <w:instrText>ADDIN RW.CITE{{2105 Sinclair,J. 2011}}</w:instrText>
      </w:r>
      <w:r w:rsidRPr="007D089C">
        <w:rPr>
          <w:rFonts w:ascii="Times-Roman" w:hAnsi="Times-Roman" w:cs="Times-Roman"/>
          <w:lang w:val="en-US"/>
        </w:rPr>
        <w:fldChar w:fldCharType="separate"/>
      </w:r>
      <w:r w:rsidR="00C77B76">
        <w:rPr>
          <w:rFonts w:ascii="Times-Roman" w:hAnsi="Times-Roman" w:cs="Times-Roman"/>
          <w:lang w:val="en-US"/>
        </w:rPr>
        <w:t>(Sinclair &amp; Timms, 2011)</w:t>
      </w:r>
      <w:r w:rsidRPr="007D089C">
        <w:rPr>
          <w:rFonts w:ascii="Times-Roman" w:hAnsi="Times-Roman" w:cs="Times-Roman"/>
          <w:lang w:val="en-US"/>
        </w:rPr>
        <w:fldChar w:fldCharType="end"/>
      </w:r>
      <w:r w:rsidRPr="007D089C">
        <w:rPr>
          <w:rFonts w:ascii="Times-Roman" w:hAnsi="Times-Roman" w:cs="Times-Roman"/>
          <w:lang w:val="en-US"/>
        </w:rPr>
        <w:t xml:space="preserve">.  Using a series of temporal samples from women with pancreatic ductal adenocarcinoma they employed two separate work flows that differed by the depletion system and fractionation of the labeled proteins. Overall a larger percentage of the proteins digested with trypsin and chymotrypsin </w:t>
      </w:r>
      <w:r w:rsidR="005B2773" w:rsidRPr="007D089C">
        <w:rPr>
          <w:rFonts w:ascii="Times-Roman" w:hAnsi="Times-Roman" w:cs="Times-Roman"/>
          <w:lang w:val="en-US"/>
        </w:rPr>
        <w:t>were quantified</w:t>
      </w:r>
      <w:r w:rsidRPr="007D089C">
        <w:rPr>
          <w:rFonts w:ascii="Times-Roman" w:hAnsi="Times-Roman" w:cs="Times-Roman"/>
          <w:lang w:val="en-US"/>
        </w:rPr>
        <w:t>.</w:t>
      </w:r>
    </w:p>
    <w:p w14:paraId="2154F825" w14:textId="77777777" w:rsidR="00EC504A" w:rsidRPr="007D089C" w:rsidRDefault="00EC504A" w:rsidP="00B43F04">
      <w:pPr>
        <w:spacing w:line="480" w:lineRule="auto"/>
        <w:jc w:val="both"/>
        <w:rPr>
          <w:rFonts w:ascii="Times-Roman" w:hAnsi="Times-Roman" w:cs="Times-Roman"/>
          <w:lang w:val="en-US"/>
        </w:rPr>
      </w:pPr>
    </w:p>
    <w:p w14:paraId="53C071E4" w14:textId="4E535E87" w:rsidR="000074EB" w:rsidRPr="007D089C" w:rsidRDefault="00EC504A" w:rsidP="00B43F04">
      <w:pPr>
        <w:spacing w:line="480" w:lineRule="auto"/>
        <w:rPr>
          <w:rFonts w:ascii="Times-Roman" w:hAnsi="Times-Roman" w:cs="Times-Roman"/>
          <w:lang w:val="en-US"/>
        </w:rPr>
      </w:pPr>
      <w:r w:rsidRPr="007D089C">
        <w:rPr>
          <w:rFonts w:ascii="Times-Roman" w:hAnsi="Times-Roman" w:cs="Times-Roman"/>
          <w:lang w:val="en-US"/>
        </w:rPr>
        <w:t xml:space="preserve">In all situations, particularly with small lists of detected proteins and the comparison of a few sample pools, normalization of the data is a concern. To achieve comparison of multiple labeling experiments many researchers have used a common pooled reference material that is </w:t>
      </w:r>
      <w:r w:rsidR="006D6E5B" w:rsidRPr="007D089C">
        <w:rPr>
          <w:rFonts w:ascii="Times-Roman" w:hAnsi="Times-Roman" w:cs="Times-Roman"/>
          <w:lang w:val="en-US"/>
        </w:rPr>
        <w:t xml:space="preserve">labeled and </w:t>
      </w:r>
      <w:r w:rsidRPr="007D089C">
        <w:rPr>
          <w:rFonts w:ascii="Times-Roman" w:hAnsi="Times-Roman" w:cs="Times-Roman"/>
          <w:lang w:val="en-US"/>
        </w:rPr>
        <w:t xml:space="preserve">included in each set of measurements </w:t>
      </w:r>
      <w:r w:rsidRPr="007D089C">
        <w:rPr>
          <w:rFonts w:ascii="Times-Roman" w:hAnsi="Times-Roman" w:cs="Times-Roman"/>
          <w:lang w:val="en-US"/>
        </w:rPr>
        <w:fldChar w:fldCharType="begin"/>
      </w:r>
      <w:r w:rsidRPr="007D089C">
        <w:rPr>
          <w:rFonts w:ascii="Times-Roman" w:hAnsi="Times-Roman" w:cs="Times-Roman"/>
          <w:lang w:val="en-US"/>
        </w:rPr>
        <w:instrText>ADDIN RW.CITE{{1906 Rauniyar,N. 2014}}</w:instrText>
      </w:r>
      <w:r w:rsidRPr="007D089C">
        <w:rPr>
          <w:rFonts w:ascii="Times-Roman" w:hAnsi="Times-Roman" w:cs="Times-Roman"/>
          <w:lang w:val="en-US"/>
        </w:rPr>
        <w:fldChar w:fldCharType="separate"/>
      </w:r>
      <w:r w:rsidR="00C77B76">
        <w:rPr>
          <w:rFonts w:ascii="Times-Roman" w:hAnsi="Times-Roman" w:cs="Times-Roman"/>
          <w:lang w:val="en-US"/>
        </w:rPr>
        <w:t>(Rauniyar &amp; Yates, 2014)</w:t>
      </w:r>
      <w:r w:rsidRPr="007D089C">
        <w:rPr>
          <w:rFonts w:ascii="Times-Roman" w:hAnsi="Times-Roman" w:cs="Times-Roman"/>
          <w:lang w:val="en-US"/>
        </w:rPr>
        <w:fldChar w:fldCharType="end"/>
      </w:r>
      <w:r w:rsidRPr="007D089C">
        <w:rPr>
          <w:rFonts w:ascii="Times-Roman" w:hAnsi="Times-Roman" w:cs="Times-Roman"/>
          <w:lang w:val="en-US"/>
        </w:rPr>
        <w:t xml:space="preserve">. As an alternative approach, Herbrich </w:t>
      </w:r>
      <w:r w:rsidRPr="007D089C">
        <w:rPr>
          <w:rFonts w:ascii="Times-Roman" w:hAnsi="Times-Roman" w:cs="Times-Roman"/>
          <w:i/>
          <w:lang w:val="en-US"/>
        </w:rPr>
        <w:t>et al.</w:t>
      </w:r>
      <w:r w:rsidRPr="007D089C">
        <w:rPr>
          <w:rFonts w:ascii="Times-Roman" w:hAnsi="Times-Roman" w:cs="Times-Roman"/>
          <w:lang w:val="en-US"/>
        </w:rPr>
        <w:t xml:space="preserve"> presented a method that used the biological data itself to achieve normalization </w:t>
      </w:r>
      <w:r w:rsidRPr="007D089C">
        <w:rPr>
          <w:rFonts w:ascii="Times-Roman" w:hAnsi="Times-Roman" w:cs="Times-Roman"/>
          <w:lang w:val="en-US"/>
        </w:rPr>
        <w:fldChar w:fldCharType="begin"/>
      </w:r>
      <w:r w:rsidRPr="007D089C">
        <w:rPr>
          <w:rFonts w:ascii="Times-Roman" w:hAnsi="Times-Roman" w:cs="Times-Roman"/>
          <w:lang w:val="en-US"/>
        </w:rPr>
        <w:instrText>ADDIN RW.CITE{{1996 Herbrich,S.M. 2013}}</w:instrText>
      </w:r>
      <w:r w:rsidRPr="007D089C">
        <w:rPr>
          <w:rFonts w:ascii="Times-Roman" w:hAnsi="Times-Roman" w:cs="Times-Roman"/>
          <w:lang w:val="en-US"/>
        </w:rPr>
        <w:fldChar w:fldCharType="separate"/>
      </w:r>
      <w:r w:rsidR="00C77B76">
        <w:rPr>
          <w:rFonts w:ascii="Times-Roman" w:hAnsi="Times-Roman" w:cs="Times-Roman"/>
          <w:lang w:val="en-US"/>
        </w:rPr>
        <w:t>(Herbrich et al., 2013)</w:t>
      </w:r>
      <w:r w:rsidRPr="007D089C">
        <w:rPr>
          <w:rFonts w:ascii="Times-Roman" w:hAnsi="Times-Roman" w:cs="Times-Roman"/>
          <w:lang w:val="en-US"/>
        </w:rPr>
        <w:fldChar w:fldCharType="end"/>
      </w:r>
      <w:r w:rsidRPr="007D089C">
        <w:rPr>
          <w:rFonts w:ascii="Times-Roman" w:hAnsi="Times-Roman" w:cs="Times-Roman"/>
          <w:lang w:val="en-US"/>
        </w:rPr>
        <w:t xml:space="preserve">. The latter method was subsequently used in the presentation of results from a wide scale </w:t>
      </w:r>
      <w:r w:rsidR="004351CA" w:rsidRPr="007D089C">
        <w:rPr>
          <w:rFonts w:ascii="Times-Roman" w:hAnsi="Times-Roman" w:cs="Times-Roman"/>
          <w:lang w:val="en-US"/>
        </w:rPr>
        <w:t xml:space="preserve">plasma proteomics </w:t>
      </w:r>
      <w:r w:rsidRPr="007D089C">
        <w:rPr>
          <w:rFonts w:ascii="Times-Roman" w:hAnsi="Times-Roman" w:cs="Times-Roman"/>
          <w:lang w:val="en-US"/>
        </w:rPr>
        <w:t xml:space="preserve">study of nutrition </w:t>
      </w:r>
      <w:r w:rsidRPr="007D089C">
        <w:rPr>
          <w:rFonts w:ascii="Times-Roman" w:hAnsi="Times-Roman" w:cs="Times-Roman"/>
          <w:lang w:val="en-US"/>
        </w:rPr>
        <w:fldChar w:fldCharType="begin"/>
      </w:r>
      <w:r w:rsidRPr="007D089C">
        <w:rPr>
          <w:rFonts w:ascii="Times-Roman" w:hAnsi="Times-Roman" w:cs="Times-Roman"/>
          <w:lang w:val="en-US"/>
        </w:rPr>
        <w:instrText>ADDIN RW.CITE{{1670 Cole,R.N. 2013}}</w:instrText>
      </w:r>
      <w:r w:rsidRPr="007D089C">
        <w:rPr>
          <w:rFonts w:ascii="Times-Roman" w:hAnsi="Times-Roman" w:cs="Times-Roman"/>
          <w:lang w:val="en-US"/>
        </w:rPr>
        <w:fldChar w:fldCharType="separate"/>
      </w:r>
      <w:r w:rsidR="00C77B76">
        <w:rPr>
          <w:rFonts w:ascii="Times-Roman" w:hAnsi="Times-Roman" w:cs="Times-Roman"/>
          <w:lang w:val="en-US"/>
        </w:rPr>
        <w:t>(Cole et al., 2013)</w:t>
      </w:r>
      <w:r w:rsidRPr="007D089C">
        <w:rPr>
          <w:rFonts w:ascii="Times-Roman" w:hAnsi="Times-Roman" w:cs="Times-Roman"/>
          <w:lang w:val="en-US"/>
        </w:rPr>
        <w:fldChar w:fldCharType="end"/>
      </w:r>
      <w:r w:rsidRPr="007D089C">
        <w:rPr>
          <w:rFonts w:ascii="Times-Roman" w:hAnsi="Times-Roman" w:cs="Times-Roman"/>
          <w:lang w:val="en-US"/>
        </w:rPr>
        <w:t>.</w:t>
      </w:r>
    </w:p>
    <w:p w14:paraId="18DE187D" w14:textId="77777777" w:rsidR="00EC504A" w:rsidRPr="007D089C" w:rsidRDefault="00EC504A" w:rsidP="00B43F04">
      <w:pPr>
        <w:spacing w:line="480" w:lineRule="auto"/>
        <w:rPr>
          <w:color w:val="FF0000"/>
          <w:lang w:val="en-US"/>
        </w:rPr>
      </w:pPr>
    </w:p>
    <w:p w14:paraId="1B5E3307" w14:textId="4E847665" w:rsidR="000074EB" w:rsidRPr="007D089C" w:rsidRDefault="00FD48BD" w:rsidP="00B43F04">
      <w:pPr>
        <w:spacing w:line="480" w:lineRule="auto"/>
        <w:rPr>
          <w:lang w:val="en-US"/>
        </w:rPr>
      </w:pPr>
      <w:r w:rsidRPr="007D089C">
        <w:rPr>
          <w:lang w:val="en-US"/>
        </w:rPr>
        <w:t>S</w:t>
      </w:r>
      <w:r w:rsidR="000074EB" w:rsidRPr="007D089C">
        <w:rPr>
          <w:lang w:val="en-US"/>
        </w:rPr>
        <w:t xml:space="preserve">ample handling is a vital consideration in the search for differentially abundant proteins. Hassis and coworkers used iTRAQ to evaluate the effects of pre-analytical variables on the stability of the plasma proteome </w:t>
      </w:r>
      <w:r w:rsidR="000074EB" w:rsidRPr="007D089C">
        <w:rPr>
          <w:lang w:val="en-US"/>
        </w:rPr>
        <w:fldChar w:fldCharType="begin"/>
      </w:r>
      <w:r w:rsidR="000074EB" w:rsidRPr="007D089C">
        <w:rPr>
          <w:lang w:val="en-US"/>
        </w:rPr>
        <w:instrText>ADDIN RW.CITE{{3098 Hassis,M.E. 2015}}</w:instrText>
      </w:r>
      <w:r w:rsidR="000074EB" w:rsidRPr="007D089C">
        <w:rPr>
          <w:lang w:val="en-US"/>
        </w:rPr>
        <w:fldChar w:fldCharType="separate"/>
      </w:r>
      <w:r w:rsidR="00C77B76">
        <w:rPr>
          <w:lang w:val="en-US"/>
        </w:rPr>
        <w:t>(Hassis et al., 2015)</w:t>
      </w:r>
      <w:r w:rsidR="000074EB" w:rsidRPr="007D089C">
        <w:rPr>
          <w:lang w:val="en-US"/>
        </w:rPr>
        <w:fldChar w:fldCharType="end"/>
      </w:r>
      <w:r w:rsidR="000074EB" w:rsidRPr="007D089C">
        <w:rPr>
          <w:lang w:val="en-US"/>
        </w:rPr>
        <w:t xml:space="preserve">. They determined the influence of the time delay (0.5, 6 and 96 h) and temperature (RT &amp; 37 ˚C) before processing, freeze thaw cycles and long term storage (14-17 years). They concluded that the time prior to processing was the most significant variable. Notably, although one of their tested pre-analytical storage conditions of four days at 37 ˚C might seem somewhat unlikely, amongst the 83 differentially abundant proteins observed at this condition were many that have been frequently detected in biomarker studies. </w:t>
      </w:r>
      <w:r w:rsidR="00E531CE" w:rsidRPr="007D089C">
        <w:rPr>
          <w:lang w:val="en-US"/>
        </w:rPr>
        <w:t>In contrast</w:t>
      </w:r>
      <w:r w:rsidR="00A65859" w:rsidRPr="007D089C">
        <w:rPr>
          <w:lang w:val="en-US"/>
        </w:rPr>
        <w:t>, on the basis of the results combined in the multi</w:t>
      </w:r>
      <w:r w:rsidR="008F419B" w:rsidRPr="007D089C">
        <w:rPr>
          <w:lang w:val="en-US"/>
        </w:rPr>
        <w:t>-</w:t>
      </w:r>
      <w:r w:rsidR="00A65859" w:rsidRPr="007D089C">
        <w:rPr>
          <w:lang w:val="en-US"/>
        </w:rPr>
        <w:t xml:space="preserve">centric study presented by Mateos et al. </w:t>
      </w:r>
      <w:r w:rsidR="00A65859" w:rsidRPr="007D089C">
        <w:rPr>
          <w:lang w:val="en-US"/>
        </w:rPr>
        <w:fldChar w:fldCharType="begin"/>
      </w:r>
      <w:r w:rsidR="00A65859" w:rsidRPr="007D089C">
        <w:rPr>
          <w:lang w:val="en-US"/>
        </w:rPr>
        <w:instrText>ADDIN RW.CITE{{3088 Mateos,J. 2017}}</w:instrText>
      </w:r>
      <w:r w:rsidR="00A65859" w:rsidRPr="007D089C">
        <w:rPr>
          <w:lang w:val="en-US"/>
        </w:rPr>
        <w:fldChar w:fldCharType="separate"/>
      </w:r>
      <w:r w:rsidR="00C77B76">
        <w:rPr>
          <w:lang w:val="en-US"/>
        </w:rPr>
        <w:t>(Mateos et al., 2017)</w:t>
      </w:r>
      <w:r w:rsidR="00A65859" w:rsidRPr="007D089C">
        <w:rPr>
          <w:lang w:val="en-US"/>
        </w:rPr>
        <w:fldChar w:fldCharType="end"/>
      </w:r>
      <w:r w:rsidR="0043360D" w:rsidRPr="007D089C">
        <w:rPr>
          <w:lang w:val="en-US"/>
        </w:rPr>
        <w:t xml:space="preserve">, comparing </w:t>
      </w:r>
      <w:r w:rsidR="00A65859" w:rsidRPr="007D089C">
        <w:rPr>
          <w:lang w:val="en-US"/>
        </w:rPr>
        <w:t>the effect of pre-analytical variables on the quality of plasma samples using different proteomic methods (including iTRAQ), they reported that delayed processing of blood samples and the number of freeze/thaw cycles had little effect on the integrity of proteins in the plasma samples.</w:t>
      </w:r>
      <w:r w:rsidR="001A5C9A" w:rsidRPr="007D089C">
        <w:rPr>
          <w:lang w:val="en-US"/>
        </w:rPr>
        <w:t xml:space="preserve"> </w:t>
      </w:r>
      <w:r w:rsidR="000074EB" w:rsidRPr="007D089C">
        <w:rPr>
          <w:lang w:val="en-US"/>
        </w:rPr>
        <w:t>In another detailed study concerning</w:t>
      </w:r>
      <w:r w:rsidR="000074EB" w:rsidRPr="007D089C">
        <w:rPr>
          <w:rFonts w:ascii="Times-Roman" w:hAnsi="Times-Roman" w:cs="Times-Roman"/>
          <w:lang w:val="en-US"/>
        </w:rPr>
        <w:t xml:space="preserve"> sample handling,</w:t>
      </w:r>
      <w:r w:rsidR="000074EB" w:rsidRPr="007D089C">
        <w:rPr>
          <w:rFonts w:ascii="timesroman" w:hAnsi="timesroman"/>
          <w:lang w:val="en-US"/>
        </w:rPr>
        <w:t xml:space="preserve"> </w:t>
      </w:r>
      <w:r w:rsidR="000074EB" w:rsidRPr="007D089C">
        <w:rPr>
          <w:rFonts w:ascii="Times-Roman" w:hAnsi="Times-Roman" w:cs="Times-Roman"/>
          <w:lang w:val="en-US"/>
        </w:rPr>
        <w:t xml:space="preserve">iTRAQ was used to evaluate </w:t>
      </w:r>
      <w:r w:rsidR="000074EB" w:rsidRPr="007D089C">
        <w:rPr>
          <w:lang w:val="en-US"/>
        </w:rPr>
        <w:t>the</w:t>
      </w:r>
      <w:r w:rsidR="000074EB" w:rsidRPr="007D089C">
        <w:rPr>
          <w:rFonts w:ascii="Times-Roman" w:hAnsi="Times-Roman" w:cs="Times-Roman"/>
          <w:lang w:val="en-US"/>
        </w:rPr>
        <w:t xml:space="preserve"> influence of serum clotting time upon protein abundance </w:t>
      </w:r>
      <w:r w:rsidR="000074EB" w:rsidRPr="007D089C">
        <w:rPr>
          <w:rFonts w:ascii="Times-Roman" w:hAnsi="Times-Roman" w:cs="Times-Roman"/>
          <w:lang w:val="en-US"/>
        </w:rPr>
        <w:fldChar w:fldCharType="begin"/>
      </w:r>
      <w:r w:rsidR="000074EB" w:rsidRPr="007D089C">
        <w:rPr>
          <w:rFonts w:ascii="Times-Roman" w:hAnsi="Times-Roman" w:cs="Times-Roman"/>
          <w:lang w:val="en-US"/>
        </w:rPr>
        <w:instrText>ADDIN RW.CITE{{2144 Govorukhina,N.I. 2009}}</w:instrText>
      </w:r>
      <w:r w:rsidR="000074EB" w:rsidRPr="007D089C">
        <w:rPr>
          <w:rFonts w:ascii="Times-Roman" w:hAnsi="Times-Roman" w:cs="Times-Roman"/>
          <w:lang w:val="en-US"/>
        </w:rPr>
        <w:fldChar w:fldCharType="separate"/>
      </w:r>
      <w:r w:rsidR="00C77B76">
        <w:rPr>
          <w:rFonts w:ascii="Times-Roman" w:hAnsi="Times-Roman" w:cs="Times-Roman"/>
          <w:lang w:val="en-US"/>
        </w:rPr>
        <w:t>(Govorukhina et al., 2009)</w:t>
      </w:r>
      <w:r w:rsidR="000074EB" w:rsidRPr="007D089C">
        <w:rPr>
          <w:rFonts w:ascii="Times-Roman" w:hAnsi="Times-Roman" w:cs="Times-Roman"/>
          <w:lang w:val="en-US"/>
        </w:rPr>
        <w:fldChar w:fldCharType="end"/>
      </w:r>
      <w:r w:rsidR="000074EB" w:rsidRPr="007D089C">
        <w:rPr>
          <w:rFonts w:ascii="Times-Roman" w:hAnsi="Times-Roman" w:cs="Times-Roman"/>
          <w:lang w:val="en-US"/>
        </w:rPr>
        <w:t xml:space="preserve">. </w:t>
      </w:r>
      <w:r w:rsidR="00946A31" w:rsidRPr="007D089C">
        <w:rPr>
          <w:rFonts w:ascii="Times-Roman" w:hAnsi="Times-Roman" w:cs="Times-Roman"/>
          <w:lang w:val="en-US"/>
        </w:rPr>
        <w:t xml:space="preserve">Here they found that in addition to </w:t>
      </w:r>
      <w:r w:rsidR="00563401" w:rsidRPr="007D089C">
        <w:rPr>
          <w:rFonts w:ascii="Times-Roman" w:hAnsi="Times-Roman" w:cs="Times-Roman"/>
          <w:lang w:val="en-US"/>
        </w:rPr>
        <w:t xml:space="preserve">changes with </w:t>
      </w:r>
      <w:r w:rsidR="00946A31" w:rsidRPr="007D089C">
        <w:rPr>
          <w:rFonts w:ascii="Times-Roman" w:hAnsi="Times-Roman" w:cs="Times-Roman"/>
          <w:lang w:val="en-US"/>
        </w:rPr>
        <w:t xml:space="preserve">fibrinogen peptides, </w:t>
      </w:r>
      <w:r w:rsidR="00946A31" w:rsidRPr="007D089C">
        <w:rPr>
          <w:rFonts w:ascii="timesroman" w:hAnsi="timesroman"/>
          <w:lang w:val="en-US"/>
        </w:rPr>
        <w:t>leucine-rich alpha-2-glycoprotein decreased with longer clotting times.</w:t>
      </w:r>
    </w:p>
    <w:p w14:paraId="07D84F31" w14:textId="77777777" w:rsidR="000074EB" w:rsidRPr="007D089C" w:rsidRDefault="000074EB" w:rsidP="00C141DD">
      <w:pPr>
        <w:autoSpaceDE w:val="0"/>
        <w:autoSpaceDN w:val="0"/>
        <w:adjustRightInd w:val="0"/>
        <w:rPr>
          <w:color w:val="FF0000"/>
          <w:lang w:val="en-US"/>
        </w:rPr>
      </w:pPr>
    </w:p>
    <w:p w14:paraId="1062AE65" w14:textId="474034F2" w:rsidR="000074EB" w:rsidRPr="007D089C" w:rsidRDefault="000074EB" w:rsidP="00C141DD">
      <w:pPr>
        <w:pStyle w:val="Heading2"/>
        <w:spacing w:line="240" w:lineRule="auto"/>
      </w:pPr>
      <w:bookmarkStart w:id="6" w:name="_Toc483395816"/>
      <w:r w:rsidRPr="007D089C">
        <w:t>Depletion</w:t>
      </w:r>
      <w:r w:rsidR="00670428" w:rsidRPr="007D089C">
        <w:t xml:space="preserve"> of Abundant P</w:t>
      </w:r>
      <w:r w:rsidRPr="007D089C">
        <w:t>roteins</w:t>
      </w:r>
      <w:bookmarkEnd w:id="6"/>
      <w:r w:rsidR="00BD7945" w:rsidRPr="007D089C">
        <w:t xml:space="preserve"> </w:t>
      </w:r>
    </w:p>
    <w:p w14:paraId="34C916E2" w14:textId="4FAF6F39" w:rsidR="0085514D" w:rsidRPr="007D089C" w:rsidRDefault="004677BE" w:rsidP="00B43F04">
      <w:pPr>
        <w:autoSpaceDE w:val="0"/>
        <w:autoSpaceDN w:val="0"/>
        <w:adjustRightInd w:val="0"/>
        <w:spacing w:line="480" w:lineRule="auto"/>
        <w:jc w:val="both"/>
        <w:rPr>
          <w:rFonts w:ascii="Times-Roman" w:hAnsi="Times-Roman" w:cs="Times-Roman"/>
          <w:lang w:val="en-US"/>
        </w:rPr>
      </w:pPr>
      <w:r w:rsidRPr="007D089C">
        <w:rPr>
          <w:lang w:val="en-US"/>
        </w:rPr>
        <w:t xml:space="preserve">The </w:t>
      </w:r>
      <w:r w:rsidR="000074EB" w:rsidRPr="007D089C">
        <w:rPr>
          <w:lang w:val="en-US"/>
        </w:rPr>
        <w:t>plasma proteom</w:t>
      </w:r>
      <w:r w:rsidRPr="007D089C">
        <w:rPr>
          <w:lang w:val="en-US"/>
        </w:rPr>
        <w:t>e</w:t>
      </w:r>
      <w:r w:rsidR="000074EB" w:rsidRPr="007D089C">
        <w:rPr>
          <w:lang w:val="en-US"/>
        </w:rPr>
        <w:t xml:space="preserve"> </w:t>
      </w:r>
      <w:r w:rsidRPr="007D089C">
        <w:rPr>
          <w:lang w:val="en-US"/>
        </w:rPr>
        <w:t>spans a</w:t>
      </w:r>
      <w:r w:rsidR="00670428" w:rsidRPr="007D089C">
        <w:rPr>
          <w:lang w:val="en-US"/>
        </w:rPr>
        <w:t xml:space="preserve"> concentration</w:t>
      </w:r>
      <w:r w:rsidRPr="007D089C">
        <w:rPr>
          <w:lang w:val="en-US"/>
        </w:rPr>
        <w:t xml:space="preserve"> range </w:t>
      </w:r>
      <w:r w:rsidR="000074EB" w:rsidRPr="007D089C">
        <w:rPr>
          <w:lang w:val="en-US"/>
        </w:rPr>
        <w:t>of 10 orders of magnitude</w:t>
      </w:r>
      <w:r w:rsidR="00FE35E0" w:rsidRPr="007D089C">
        <w:rPr>
          <w:lang w:val="en-US"/>
        </w:rPr>
        <w:t xml:space="preserve"> </w:t>
      </w:r>
      <w:r w:rsidR="00FE35E0" w:rsidRPr="007D089C">
        <w:rPr>
          <w:lang w:val="en-US"/>
        </w:rPr>
        <w:fldChar w:fldCharType="begin"/>
      </w:r>
      <w:r w:rsidR="00FE35E0" w:rsidRPr="007D089C">
        <w:rPr>
          <w:lang w:val="en-US"/>
        </w:rPr>
        <w:instrText>ADDIN RW.CITE{{264 Anderson,N.L. 2002}}</w:instrText>
      </w:r>
      <w:r w:rsidR="00FE35E0" w:rsidRPr="007D089C">
        <w:rPr>
          <w:lang w:val="en-US"/>
        </w:rPr>
        <w:fldChar w:fldCharType="separate"/>
      </w:r>
      <w:r w:rsidR="00C77B76">
        <w:rPr>
          <w:lang w:val="en-US"/>
        </w:rPr>
        <w:t>(Anderson &amp; Anderson, 2002)</w:t>
      </w:r>
      <w:r w:rsidR="00FE35E0" w:rsidRPr="007D089C">
        <w:rPr>
          <w:lang w:val="en-US"/>
        </w:rPr>
        <w:fldChar w:fldCharType="end"/>
      </w:r>
      <w:r w:rsidR="007F6946" w:rsidRPr="007D089C">
        <w:rPr>
          <w:lang w:val="en-US"/>
        </w:rPr>
        <w:t>:</w:t>
      </w:r>
      <w:r w:rsidR="000074EB" w:rsidRPr="007D089C">
        <w:rPr>
          <w:lang w:val="en-US"/>
        </w:rPr>
        <w:t xml:space="preserve"> </w:t>
      </w:r>
      <w:r w:rsidR="007F6946" w:rsidRPr="007D089C">
        <w:rPr>
          <w:lang w:val="en-US"/>
        </w:rPr>
        <w:t>f</w:t>
      </w:r>
      <w:r w:rsidRPr="007D089C">
        <w:rPr>
          <w:lang w:val="en-US"/>
        </w:rPr>
        <w:t>rom a</w:t>
      </w:r>
      <w:r w:rsidR="000074EB" w:rsidRPr="007D089C">
        <w:rPr>
          <w:lang w:val="en-US"/>
        </w:rPr>
        <w:t>lbumin</w:t>
      </w:r>
      <w:r w:rsidRPr="007D089C">
        <w:rPr>
          <w:lang w:val="en-US"/>
        </w:rPr>
        <w:t>, which represents</w:t>
      </w:r>
      <w:r w:rsidR="000074EB" w:rsidRPr="007D089C">
        <w:rPr>
          <w:lang w:val="en-US"/>
        </w:rPr>
        <w:t xml:space="preserve"> around 50% of the protein mass, </w:t>
      </w:r>
      <w:r w:rsidRPr="007D089C">
        <w:rPr>
          <w:lang w:val="en-US"/>
        </w:rPr>
        <w:t>to low abundance cytokines</w:t>
      </w:r>
      <w:r w:rsidR="00FE35E0" w:rsidRPr="007D089C">
        <w:rPr>
          <w:lang w:val="en-US"/>
        </w:rPr>
        <w:t>, with the</w:t>
      </w:r>
      <w:r w:rsidR="000074EB" w:rsidRPr="007D089C">
        <w:rPr>
          <w:lang w:val="en-US"/>
        </w:rPr>
        <w:t xml:space="preserve"> 22 </w:t>
      </w:r>
      <w:r w:rsidR="00FE35E0" w:rsidRPr="007D089C">
        <w:rPr>
          <w:lang w:val="en-US"/>
        </w:rPr>
        <w:t xml:space="preserve">most abundant proteins having </w:t>
      </w:r>
      <w:r w:rsidR="000074EB" w:rsidRPr="007D089C">
        <w:rPr>
          <w:lang w:val="en-US"/>
        </w:rPr>
        <w:t xml:space="preserve">been reported to account for up to 99% </w:t>
      </w:r>
      <w:r w:rsidR="000074EB" w:rsidRPr="007D089C">
        <w:rPr>
          <w:lang w:val="en-US"/>
        </w:rPr>
        <w:fldChar w:fldCharType="begin"/>
      </w:r>
      <w:r w:rsidR="000074EB" w:rsidRPr="007D089C">
        <w:rPr>
          <w:lang w:val="en-US"/>
        </w:rPr>
        <w:instrText>ADDIN RW.CITE{{2190 Nanjappa,V. 2014}}</w:instrText>
      </w:r>
      <w:r w:rsidR="000074EB" w:rsidRPr="007D089C">
        <w:rPr>
          <w:lang w:val="en-US"/>
        </w:rPr>
        <w:fldChar w:fldCharType="separate"/>
      </w:r>
      <w:r w:rsidR="00C77B76">
        <w:rPr>
          <w:lang w:val="en-US"/>
        </w:rPr>
        <w:t>(Nanjappa et al., 2014)</w:t>
      </w:r>
      <w:r w:rsidR="000074EB" w:rsidRPr="007D089C">
        <w:rPr>
          <w:lang w:val="en-US"/>
        </w:rPr>
        <w:fldChar w:fldCharType="end"/>
      </w:r>
      <w:r w:rsidR="000074EB" w:rsidRPr="007D089C">
        <w:rPr>
          <w:lang w:val="en-US"/>
        </w:rPr>
        <w:t xml:space="preserve">. </w:t>
      </w:r>
      <w:r w:rsidR="0043360D" w:rsidRPr="007D089C">
        <w:rPr>
          <w:lang w:val="en-US"/>
        </w:rPr>
        <w:t>Subsequently, p</w:t>
      </w:r>
      <w:r w:rsidR="00FE35E0" w:rsidRPr="007D089C">
        <w:rPr>
          <w:lang w:val="en-US"/>
        </w:rPr>
        <w:t>lasma</w:t>
      </w:r>
      <w:r w:rsidR="004351CA" w:rsidRPr="007D089C">
        <w:rPr>
          <w:lang w:val="en-US"/>
        </w:rPr>
        <w:t xml:space="preserve"> proteomics</w:t>
      </w:r>
      <w:r w:rsidR="000074EB" w:rsidRPr="007D089C">
        <w:rPr>
          <w:lang w:val="en-US"/>
        </w:rPr>
        <w:t xml:space="preserve"> data sets</w:t>
      </w:r>
      <w:r w:rsidR="0043360D" w:rsidRPr="007D089C">
        <w:rPr>
          <w:lang w:val="en-US"/>
        </w:rPr>
        <w:t xml:space="preserve"> </w:t>
      </w:r>
      <w:r w:rsidR="000074EB" w:rsidRPr="007D089C">
        <w:rPr>
          <w:lang w:val="en-US"/>
        </w:rPr>
        <w:t xml:space="preserve">are frequently limited in the number of proteins identified and quantified, and although the disease state can be reflected by the moderately abundant proteins that are quite amenable to detection by general proteomics methodology, disease specific markers may be somewhat less abundant. To enable the detection of lower abundance plasma proteins many researchers have used antibody-based affinity methods to remove (i.e. immunodeplete) the most abundant proteins. </w:t>
      </w:r>
      <w:r w:rsidR="000074EB" w:rsidRPr="007D089C">
        <w:rPr>
          <w:rFonts w:ascii="Times-Roman" w:hAnsi="Times-Roman" w:cs="Times-Roman"/>
          <w:lang w:val="en-US"/>
        </w:rPr>
        <w:t xml:space="preserve">The depletion of the high abundance proteins has the advantage of reducing or avoiding overloading of the chromatographic and detection systems, and creating a sub-fraction of the plasma proteome with a reduced range of abundance. </w:t>
      </w:r>
    </w:p>
    <w:p w14:paraId="217FACCD" w14:textId="77777777" w:rsidR="0085514D" w:rsidRPr="007D089C" w:rsidRDefault="0085514D" w:rsidP="00B43F04">
      <w:pPr>
        <w:autoSpaceDE w:val="0"/>
        <w:autoSpaceDN w:val="0"/>
        <w:adjustRightInd w:val="0"/>
        <w:spacing w:line="480" w:lineRule="auto"/>
        <w:jc w:val="both"/>
        <w:rPr>
          <w:rFonts w:ascii="Times-Roman" w:hAnsi="Times-Roman" w:cs="Times-Roman"/>
          <w:lang w:val="en-US"/>
        </w:rPr>
      </w:pPr>
    </w:p>
    <w:p w14:paraId="3A150000" w14:textId="32E66C3D" w:rsidR="000074EB" w:rsidRPr="007D089C" w:rsidRDefault="000074EB" w:rsidP="00B43F04">
      <w:pPr>
        <w:autoSpaceDE w:val="0"/>
        <w:autoSpaceDN w:val="0"/>
        <w:adjustRightInd w:val="0"/>
        <w:spacing w:line="480" w:lineRule="auto"/>
        <w:jc w:val="both"/>
        <w:rPr>
          <w:rFonts w:ascii="Times-Roman" w:hAnsi="Times-Roman" w:cs="Times-Roman"/>
          <w:lang w:val="en-US"/>
        </w:rPr>
      </w:pPr>
      <w:r w:rsidRPr="007D089C">
        <w:rPr>
          <w:rFonts w:ascii="Times-Roman" w:hAnsi="Times-Roman" w:cs="Times-Roman"/>
          <w:lang w:val="en-US"/>
        </w:rPr>
        <w:t xml:space="preserve">Immuno-affinity based applications have </w:t>
      </w:r>
      <w:r w:rsidRPr="007D089C">
        <w:rPr>
          <w:lang w:val="en-US"/>
        </w:rPr>
        <w:t xml:space="preserve">ranged from removal of albumin only </w:t>
      </w:r>
      <w:r w:rsidR="00946A31" w:rsidRPr="007D089C">
        <w:rPr>
          <w:lang w:val="en-US"/>
        </w:rPr>
        <w:t xml:space="preserve">or albumin with IgG </w:t>
      </w:r>
      <w:r w:rsidRPr="007D089C">
        <w:rPr>
          <w:lang w:val="en-US"/>
        </w:rPr>
        <w:t xml:space="preserve">and evolved to the targeted removal of the top 3,  6, 7, 12, 14 or 20 </w:t>
      </w:r>
      <w:r w:rsidR="00946A31" w:rsidRPr="007D089C">
        <w:rPr>
          <w:lang w:val="en-US"/>
        </w:rPr>
        <w:t xml:space="preserve">most abundant </w:t>
      </w:r>
      <w:r w:rsidRPr="007D089C">
        <w:rPr>
          <w:lang w:val="en-US"/>
        </w:rPr>
        <w:t>proteins (</w:t>
      </w:r>
      <w:r w:rsidRPr="007D089C">
        <w:rPr>
          <w:b/>
          <w:lang w:val="en-US"/>
        </w:rPr>
        <w:t>Table 1</w:t>
      </w:r>
      <w:r w:rsidRPr="007D089C">
        <w:rPr>
          <w:lang w:val="en-US"/>
        </w:rPr>
        <w:t>).</w:t>
      </w:r>
      <w:r w:rsidR="009A0387" w:rsidRPr="007D089C">
        <w:rPr>
          <w:lang w:val="en-US"/>
        </w:rPr>
        <w:t xml:space="preserve"> The frequency that these different approaches have been used in the literature presented in this review is indicated in </w:t>
      </w:r>
      <w:r w:rsidR="009A0387" w:rsidRPr="007D089C">
        <w:rPr>
          <w:b/>
          <w:lang w:val="en-US"/>
        </w:rPr>
        <w:t>Figure 1</w:t>
      </w:r>
      <w:r w:rsidR="00B83A8C" w:rsidRPr="007D089C">
        <w:rPr>
          <w:b/>
          <w:lang w:val="en-US"/>
        </w:rPr>
        <w:t>a</w:t>
      </w:r>
      <w:r w:rsidR="009A0387" w:rsidRPr="007D089C">
        <w:rPr>
          <w:lang w:val="en-US"/>
        </w:rPr>
        <w:t xml:space="preserve">. </w:t>
      </w:r>
      <w:r w:rsidRPr="007D089C">
        <w:rPr>
          <w:lang w:val="en-US"/>
        </w:rPr>
        <w:t>Amongst the major commercial products are the Multi Affinity Removal Syst</w:t>
      </w:r>
      <w:r w:rsidR="0043360D" w:rsidRPr="007D089C">
        <w:rPr>
          <w:lang w:val="en-US"/>
        </w:rPr>
        <w:t>em, (MARS, Agilent) and the Sepp</w:t>
      </w:r>
      <w:r w:rsidRPr="007D089C">
        <w:rPr>
          <w:lang w:val="en-US"/>
        </w:rPr>
        <w:t xml:space="preserve">ro IgY products (developed by GenWay Biotech). The MARS systems use a mixture of polyclonal IgG antibodies attached to polymeric beads and </w:t>
      </w:r>
      <w:r w:rsidR="00EE5C14" w:rsidRPr="007D089C">
        <w:rPr>
          <w:lang w:val="en-US"/>
        </w:rPr>
        <w:t xml:space="preserve">the </w:t>
      </w:r>
      <w:r w:rsidRPr="007D089C">
        <w:rPr>
          <w:lang w:val="en-US"/>
        </w:rPr>
        <w:t xml:space="preserve">IgY products are derived from avian polyclonal immunoglobulin yolk (IgY) antibodies. In terms of their relative performance, lower cross-reactivity to non-target proteins and higher affinity for their targets have been reported for the IgY columns </w:t>
      </w:r>
      <w:r w:rsidRPr="007D089C">
        <w:rPr>
          <w:lang w:val="en-US"/>
        </w:rPr>
        <w:fldChar w:fldCharType="begin"/>
      </w:r>
      <w:r w:rsidRPr="007D089C">
        <w:rPr>
          <w:lang w:val="en-US"/>
        </w:rPr>
        <w:instrText>ADDIN RW.CITE{{2237 Shi,Tujin 2011}}</w:instrText>
      </w:r>
      <w:r w:rsidRPr="007D089C">
        <w:rPr>
          <w:lang w:val="en-US"/>
        </w:rPr>
        <w:fldChar w:fldCharType="separate"/>
      </w:r>
      <w:r w:rsidR="00C77B76">
        <w:rPr>
          <w:lang w:val="en-US"/>
        </w:rPr>
        <w:t>(Shi et al., 2011)</w:t>
      </w:r>
      <w:r w:rsidRPr="007D089C">
        <w:rPr>
          <w:lang w:val="en-US"/>
        </w:rPr>
        <w:fldChar w:fldCharType="end"/>
      </w:r>
      <w:r w:rsidRPr="007D089C">
        <w:rPr>
          <w:lang w:val="en-US"/>
        </w:rPr>
        <w:t>.  T</w:t>
      </w:r>
      <w:r w:rsidRPr="007D089C">
        <w:rPr>
          <w:rFonts w:ascii="Times-Roman" w:hAnsi="Times-Roman" w:cs="Times-Roman"/>
          <w:lang w:val="en-US"/>
        </w:rPr>
        <w:t xml:space="preserve">andem depletion methods have </w:t>
      </w:r>
      <w:r w:rsidR="00495A40" w:rsidRPr="007D089C">
        <w:rPr>
          <w:rFonts w:ascii="Times-Roman" w:hAnsi="Times-Roman" w:cs="Times-Roman"/>
          <w:lang w:val="en-US"/>
        </w:rPr>
        <w:t xml:space="preserve">also </w:t>
      </w:r>
      <w:r w:rsidRPr="007D089C">
        <w:rPr>
          <w:rFonts w:ascii="Times-Roman" w:hAnsi="Times-Roman" w:cs="Times-Roman"/>
          <w:lang w:val="en-US"/>
        </w:rPr>
        <w:t xml:space="preserve">been developed to extend the range of depletion targets to estimates of 60 and 155 proteins </w:t>
      </w:r>
      <w:r w:rsidRPr="007D089C">
        <w:rPr>
          <w:rFonts w:ascii="Times-Roman" w:hAnsi="Times-Roman" w:cs="Times-Roman"/>
          <w:lang w:val="en-US"/>
        </w:rPr>
        <w:fldChar w:fldCharType="begin"/>
      </w:r>
      <w:r w:rsidRPr="007D089C">
        <w:rPr>
          <w:rFonts w:ascii="Times-Roman" w:hAnsi="Times-Roman" w:cs="Times-Roman"/>
          <w:lang w:val="en-US"/>
        </w:rPr>
        <w:instrText>ADDIN RW.CITE{{2138 Keshishian,H. 2015; 2207 Patel,Bhavinkumar B. 2012}}</w:instrText>
      </w:r>
      <w:r w:rsidRPr="007D089C">
        <w:rPr>
          <w:rFonts w:ascii="Times-Roman" w:hAnsi="Times-Roman" w:cs="Times-Roman"/>
          <w:lang w:val="en-US"/>
        </w:rPr>
        <w:fldChar w:fldCharType="separate"/>
      </w:r>
      <w:r w:rsidR="00C77B76">
        <w:rPr>
          <w:rFonts w:ascii="Times-Roman" w:hAnsi="Times-Roman" w:cs="Times-Roman"/>
          <w:lang w:val="en-US"/>
        </w:rPr>
        <w:t>(Keshishian et al., 2015; Patel et al., 2012)</w:t>
      </w:r>
      <w:r w:rsidRPr="007D089C">
        <w:rPr>
          <w:rFonts w:ascii="Times-Roman" w:hAnsi="Times-Roman" w:cs="Times-Roman"/>
          <w:lang w:val="en-US"/>
        </w:rPr>
        <w:fldChar w:fldCharType="end"/>
      </w:r>
      <w:r w:rsidRPr="007D089C">
        <w:rPr>
          <w:rFonts w:ascii="Times-Roman" w:hAnsi="Times-Roman" w:cs="Times-Roman"/>
          <w:lang w:val="en-US"/>
        </w:rPr>
        <w:t>. The more extensive depletion media have been developed by immunizing chickens to sera depleted of the top 12 or 14 proteins to produce antibodies that enable removal of a wider range of targets. These so called SuperMix columns</w:t>
      </w:r>
      <w:r w:rsidR="00BD7945" w:rsidRPr="007D089C">
        <w:rPr>
          <w:rFonts w:ascii="Times-Roman" w:hAnsi="Times-Roman" w:cs="Times-Roman"/>
          <w:lang w:val="en-US"/>
        </w:rPr>
        <w:t xml:space="preserve"> (Sigma Aldrich)</w:t>
      </w:r>
      <w:r w:rsidRPr="007D089C">
        <w:rPr>
          <w:rFonts w:ascii="Times-Roman" w:hAnsi="Times-Roman" w:cs="Times-Roman"/>
          <w:lang w:val="en-US"/>
        </w:rPr>
        <w:t xml:space="preserve"> are used in combination with columns removing the original targets (i.e. the IgY12 or Ig</w:t>
      </w:r>
      <w:r w:rsidR="009A0387" w:rsidRPr="007D089C">
        <w:rPr>
          <w:rFonts w:ascii="Times-Roman" w:hAnsi="Times-Roman" w:cs="Times-Roman"/>
          <w:lang w:val="en-US"/>
        </w:rPr>
        <w:t>Y</w:t>
      </w:r>
      <w:r w:rsidRPr="007D089C">
        <w:rPr>
          <w:rFonts w:ascii="Times-Roman" w:hAnsi="Times-Roman" w:cs="Times-Roman"/>
          <w:lang w:val="en-US"/>
        </w:rPr>
        <w:t>14). The enrichment achieved from these depletion steps has been estimated as 10-fold for the Ig</w:t>
      </w:r>
      <w:r w:rsidR="009A0387" w:rsidRPr="007D089C">
        <w:rPr>
          <w:rFonts w:ascii="Times-Roman" w:hAnsi="Times-Roman" w:cs="Times-Roman"/>
          <w:lang w:val="en-US"/>
        </w:rPr>
        <w:t>Y</w:t>
      </w:r>
      <w:r w:rsidRPr="007D089C">
        <w:rPr>
          <w:rFonts w:ascii="Times-Roman" w:hAnsi="Times-Roman" w:cs="Times-Roman"/>
          <w:lang w:val="en-US"/>
        </w:rPr>
        <w:t xml:space="preserve">14 alone, increasing to 100 fold for the combination </w:t>
      </w:r>
      <w:r w:rsidRPr="007D089C">
        <w:rPr>
          <w:rFonts w:ascii="Times-Roman" w:hAnsi="Times-Roman" w:cs="Times-Roman"/>
          <w:lang w:val="en-US"/>
        </w:rPr>
        <w:fldChar w:fldCharType="begin"/>
      </w:r>
      <w:r w:rsidRPr="007D089C">
        <w:rPr>
          <w:rFonts w:ascii="Times-Roman" w:hAnsi="Times-Roman" w:cs="Times-Roman"/>
          <w:lang w:val="en-US"/>
        </w:rPr>
        <w:instrText>ADDIN RW.CITE{{2237 Shi,Tujin 2011}}</w:instrText>
      </w:r>
      <w:r w:rsidRPr="007D089C">
        <w:rPr>
          <w:rFonts w:ascii="Times-Roman" w:hAnsi="Times-Roman" w:cs="Times-Roman"/>
          <w:lang w:val="en-US"/>
        </w:rPr>
        <w:fldChar w:fldCharType="separate"/>
      </w:r>
      <w:r w:rsidR="00C77B76">
        <w:rPr>
          <w:rFonts w:ascii="Times-Roman" w:hAnsi="Times-Roman" w:cs="Times-Roman"/>
          <w:lang w:val="en-US"/>
        </w:rPr>
        <w:t>(Shi et al., 2011)</w:t>
      </w:r>
      <w:r w:rsidRPr="007D089C">
        <w:rPr>
          <w:rFonts w:ascii="Times-Roman" w:hAnsi="Times-Roman" w:cs="Times-Roman"/>
          <w:lang w:val="en-US"/>
        </w:rPr>
        <w:fldChar w:fldCharType="end"/>
      </w:r>
      <w:r w:rsidRPr="007D089C">
        <w:rPr>
          <w:rFonts w:ascii="Times-Roman" w:hAnsi="Times-Roman" w:cs="Times-Roman"/>
          <w:lang w:val="en-US"/>
        </w:rPr>
        <w:t xml:space="preserve">. Juhasz </w:t>
      </w:r>
      <w:r w:rsidRPr="007D089C">
        <w:rPr>
          <w:rFonts w:ascii="Times-Roman" w:hAnsi="Times-Roman" w:cs="Times-Roman"/>
          <w:i/>
          <w:lang w:val="en-US"/>
        </w:rPr>
        <w:t>et al.</w:t>
      </w:r>
      <w:r w:rsidRPr="007D089C">
        <w:rPr>
          <w:rFonts w:ascii="Times-Roman" w:hAnsi="Times-Roman" w:cs="Times-Roman"/>
          <w:lang w:val="en-US"/>
        </w:rPr>
        <w:t xml:space="preserve"> used iTRAQ together with a LC-MALDI MS/MS work flow and demonstrated that the SuperMix column provided consistent depletion and increased coverage of the plasma proteome </w:t>
      </w:r>
      <w:r w:rsidRPr="007D089C">
        <w:rPr>
          <w:rFonts w:ascii="Times-Roman" w:hAnsi="Times-Roman" w:cs="Times-Roman"/>
          <w:lang w:val="en-US"/>
        </w:rPr>
        <w:fldChar w:fldCharType="begin"/>
      </w:r>
      <w:r w:rsidRPr="007D089C">
        <w:rPr>
          <w:rFonts w:ascii="Times-Roman" w:hAnsi="Times-Roman" w:cs="Times-Roman"/>
          <w:lang w:val="en-US"/>
        </w:rPr>
        <w:instrText>ADDIN RW.CITE{{2019 Juhasz,P. 2011}}</w:instrText>
      </w:r>
      <w:r w:rsidRPr="007D089C">
        <w:rPr>
          <w:rFonts w:ascii="Times-Roman" w:hAnsi="Times-Roman" w:cs="Times-Roman"/>
          <w:lang w:val="en-US"/>
        </w:rPr>
        <w:fldChar w:fldCharType="separate"/>
      </w:r>
      <w:r w:rsidR="00C77B76">
        <w:rPr>
          <w:rFonts w:ascii="Times-Roman" w:hAnsi="Times-Roman" w:cs="Times-Roman"/>
          <w:lang w:val="en-US"/>
        </w:rPr>
        <w:t>(Juhasz et al., 2011)</w:t>
      </w:r>
      <w:r w:rsidRPr="007D089C">
        <w:rPr>
          <w:rFonts w:ascii="Times-Roman" w:hAnsi="Times-Roman" w:cs="Times-Roman"/>
          <w:lang w:val="en-US"/>
        </w:rPr>
        <w:fldChar w:fldCharType="end"/>
      </w:r>
      <w:r w:rsidRPr="007D089C">
        <w:rPr>
          <w:rFonts w:ascii="Times-Roman" w:hAnsi="Times-Roman" w:cs="Times-Roman"/>
          <w:lang w:val="en-US"/>
        </w:rPr>
        <w:t xml:space="preserve">. They reported 870 proteins in total, with 480 detected in nine iTRAQ experiments.  Patel </w:t>
      </w:r>
      <w:r w:rsidRPr="007D089C">
        <w:rPr>
          <w:rFonts w:ascii="Times-Roman" w:hAnsi="Times-Roman" w:cs="Times-Roman"/>
          <w:i/>
          <w:lang w:val="en-US"/>
        </w:rPr>
        <w:t>et al.</w:t>
      </w:r>
      <w:r w:rsidRPr="007D089C">
        <w:rPr>
          <w:rFonts w:ascii="Times-Roman" w:hAnsi="Times-Roman" w:cs="Times-Roman"/>
          <w:lang w:val="en-US"/>
        </w:rPr>
        <w:t xml:space="preserve"> used iTRAQ with ESI- LC-MS/MS and evaluated the off-target effects of two different depletion systems; one which removed albumin and immunoglobulins, and the other the SuperMix system, which they estimated removed 155 proteins </w:t>
      </w:r>
      <w:r w:rsidRPr="007D089C">
        <w:rPr>
          <w:rFonts w:ascii="Times-Roman" w:hAnsi="Times-Roman" w:cs="Times-Roman"/>
          <w:lang w:val="en-US"/>
        </w:rPr>
        <w:fldChar w:fldCharType="begin"/>
      </w:r>
      <w:r w:rsidRPr="007D089C">
        <w:rPr>
          <w:rFonts w:ascii="Times-Roman" w:hAnsi="Times-Roman" w:cs="Times-Roman"/>
          <w:lang w:val="en-US"/>
        </w:rPr>
        <w:instrText>ADDIN RW.CITE{{2207 Patel,Bhavinkumar B. 2012}}</w:instrText>
      </w:r>
      <w:r w:rsidRPr="007D089C">
        <w:rPr>
          <w:rFonts w:ascii="Times-Roman" w:hAnsi="Times-Roman" w:cs="Times-Roman"/>
          <w:lang w:val="en-US"/>
        </w:rPr>
        <w:fldChar w:fldCharType="separate"/>
      </w:r>
      <w:r w:rsidR="00C77B76">
        <w:rPr>
          <w:rFonts w:ascii="Times-Roman" w:hAnsi="Times-Roman" w:cs="Times-Roman"/>
          <w:lang w:val="en-US"/>
        </w:rPr>
        <w:t>(Patel et al., 2012)</w:t>
      </w:r>
      <w:r w:rsidRPr="007D089C">
        <w:rPr>
          <w:rFonts w:ascii="Times-Roman" w:hAnsi="Times-Roman" w:cs="Times-Roman"/>
          <w:lang w:val="en-US"/>
        </w:rPr>
        <w:fldChar w:fldCharType="end"/>
      </w:r>
      <w:r w:rsidRPr="007D089C">
        <w:rPr>
          <w:rFonts w:ascii="Times-Roman" w:hAnsi="Times-Roman" w:cs="Times-Roman"/>
          <w:lang w:val="en-US"/>
        </w:rPr>
        <w:t xml:space="preserve">. They reported that the abundant proteins were quantified better with the removal of albumin and immunoglobulins only, while lower abundance proteins were better evaluated using the exhaustive immunodepletion. Although they </w:t>
      </w:r>
      <w:r w:rsidR="009A0387" w:rsidRPr="007D089C">
        <w:rPr>
          <w:rFonts w:ascii="Times-Roman" w:hAnsi="Times-Roman" w:cs="Times-Roman"/>
          <w:lang w:val="en-US"/>
        </w:rPr>
        <w:t xml:space="preserve">only </w:t>
      </w:r>
      <w:r w:rsidRPr="007D089C">
        <w:rPr>
          <w:rFonts w:ascii="Times-Roman" w:hAnsi="Times-Roman" w:cs="Times-Roman"/>
          <w:lang w:val="en-US"/>
        </w:rPr>
        <w:t>reported identification of 412 proteins in tota</w:t>
      </w:r>
      <w:r w:rsidR="00BD7945" w:rsidRPr="007D089C">
        <w:rPr>
          <w:rFonts w:ascii="Times-Roman" w:hAnsi="Times-Roman" w:cs="Times-Roman"/>
          <w:lang w:val="en-US"/>
        </w:rPr>
        <w:t>l (120 present in both the IgY12</w:t>
      </w:r>
      <w:r w:rsidRPr="007D089C">
        <w:rPr>
          <w:rFonts w:ascii="Times-Roman" w:hAnsi="Times-Roman" w:cs="Times-Roman"/>
          <w:color w:val="FF0000"/>
          <w:lang w:val="en-US"/>
        </w:rPr>
        <w:t xml:space="preserve"> </w:t>
      </w:r>
      <w:r w:rsidRPr="007D089C">
        <w:rPr>
          <w:rFonts w:ascii="Times-Roman" w:hAnsi="Times-Roman" w:cs="Times-Roman"/>
          <w:lang w:val="en-US"/>
        </w:rPr>
        <w:t>and the Ig</w:t>
      </w:r>
      <w:r w:rsidR="009A0387" w:rsidRPr="007D089C">
        <w:rPr>
          <w:rFonts w:ascii="Times-Roman" w:hAnsi="Times-Roman" w:cs="Times-Roman"/>
          <w:lang w:val="en-US"/>
        </w:rPr>
        <w:t>Y</w:t>
      </w:r>
      <w:r w:rsidRPr="007D089C">
        <w:rPr>
          <w:rFonts w:ascii="Times-Roman" w:hAnsi="Times-Roman" w:cs="Times-Roman"/>
          <w:lang w:val="en-US"/>
        </w:rPr>
        <w:t xml:space="preserve">14 + SuperMix fractions), in studies </w:t>
      </w:r>
      <w:r w:rsidR="00495A40" w:rsidRPr="007D089C">
        <w:rPr>
          <w:rFonts w:ascii="Times-Roman" w:hAnsi="Times-Roman" w:cs="Times-Roman"/>
          <w:lang w:val="en-US"/>
        </w:rPr>
        <w:t xml:space="preserve">using the same depletion strategy </w:t>
      </w:r>
      <w:r w:rsidRPr="007D089C">
        <w:rPr>
          <w:rFonts w:ascii="Times-Roman" w:hAnsi="Times-Roman" w:cs="Times-Roman"/>
          <w:lang w:val="en-US"/>
        </w:rPr>
        <w:t>with more recent MS instrumentation</w:t>
      </w:r>
      <w:r w:rsidR="00495A40" w:rsidRPr="007D089C">
        <w:rPr>
          <w:rFonts w:ascii="Times-Roman" w:hAnsi="Times-Roman" w:cs="Times-Roman"/>
          <w:lang w:val="en-US"/>
        </w:rPr>
        <w:t>,</w:t>
      </w:r>
      <w:r w:rsidRPr="007D089C">
        <w:rPr>
          <w:rFonts w:ascii="Times-Roman" w:hAnsi="Times-Roman" w:cs="Times-Roman"/>
          <w:lang w:val="en-US"/>
        </w:rPr>
        <w:t xml:space="preserve"> quantification of in the order of 1500 proteins has been reported </w:t>
      </w:r>
      <w:r w:rsidRPr="007D089C">
        <w:rPr>
          <w:rFonts w:ascii="Times-Roman" w:hAnsi="Times-Roman" w:cs="Times-Roman"/>
          <w:lang w:val="en-US"/>
        </w:rPr>
        <w:fldChar w:fldCharType="begin"/>
      </w:r>
      <w:r w:rsidRPr="007D089C">
        <w:rPr>
          <w:rFonts w:ascii="Times-Roman" w:hAnsi="Times-Roman" w:cs="Times-Roman"/>
          <w:lang w:val="en-US"/>
        </w:rPr>
        <w:instrText>ADDIN RW.CITE{{1898 Jones,K.A. 2013}}</w:instrText>
      </w:r>
      <w:r w:rsidRPr="007D089C">
        <w:rPr>
          <w:rFonts w:ascii="Times-Roman" w:hAnsi="Times-Roman" w:cs="Times-Roman"/>
          <w:lang w:val="en-US"/>
        </w:rPr>
        <w:fldChar w:fldCharType="separate"/>
      </w:r>
      <w:r w:rsidR="00C77B76">
        <w:rPr>
          <w:rFonts w:ascii="Times-Roman" w:hAnsi="Times-Roman" w:cs="Times-Roman"/>
          <w:lang w:val="en-US"/>
        </w:rPr>
        <w:t>(Jones et al., 2013)</w:t>
      </w:r>
      <w:r w:rsidRPr="007D089C">
        <w:rPr>
          <w:rFonts w:ascii="Times-Roman" w:hAnsi="Times-Roman" w:cs="Times-Roman"/>
          <w:lang w:val="en-US"/>
        </w:rPr>
        <w:fldChar w:fldCharType="end"/>
      </w:r>
      <w:r w:rsidRPr="007D089C">
        <w:rPr>
          <w:rFonts w:ascii="Times-Roman" w:hAnsi="Times-Roman" w:cs="Times-Roman"/>
          <w:lang w:val="en-US"/>
        </w:rPr>
        <w:t xml:space="preserve">. </w:t>
      </w:r>
    </w:p>
    <w:p w14:paraId="52ADDD6F" w14:textId="77777777" w:rsidR="0085514D" w:rsidRPr="007D089C" w:rsidRDefault="0085514D" w:rsidP="00B43F04">
      <w:pPr>
        <w:autoSpaceDE w:val="0"/>
        <w:autoSpaceDN w:val="0"/>
        <w:adjustRightInd w:val="0"/>
        <w:spacing w:line="480" w:lineRule="auto"/>
        <w:jc w:val="both"/>
        <w:rPr>
          <w:rFonts w:ascii="Times-Roman" w:hAnsi="Times-Roman" w:cs="Times-Roman"/>
          <w:lang w:val="en-US"/>
        </w:rPr>
      </w:pPr>
    </w:p>
    <w:p w14:paraId="7314D891" w14:textId="5CC1368D" w:rsidR="000074EB" w:rsidRPr="007D089C" w:rsidRDefault="00946A31" w:rsidP="00B43F04">
      <w:pPr>
        <w:autoSpaceDE w:val="0"/>
        <w:autoSpaceDN w:val="0"/>
        <w:adjustRightInd w:val="0"/>
        <w:spacing w:line="480" w:lineRule="auto"/>
        <w:jc w:val="both"/>
        <w:rPr>
          <w:lang w:val="en-US"/>
        </w:rPr>
      </w:pPr>
      <w:r w:rsidRPr="007D089C">
        <w:rPr>
          <w:rFonts w:ascii="Times-Roman" w:hAnsi="Times-Roman" w:cs="Times-Roman"/>
          <w:lang w:val="en-US"/>
        </w:rPr>
        <w:t>O</w:t>
      </w:r>
      <w:r w:rsidR="00563401" w:rsidRPr="007D089C">
        <w:rPr>
          <w:rFonts w:ascii="Times-Roman" w:hAnsi="Times-Roman" w:cs="Times-Roman"/>
          <w:lang w:val="en-US"/>
        </w:rPr>
        <w:t>n the basis of gel-</w:t>
      </w:r>
      <w:r w:rsidRPr="007D089C">
        <w:rPr>
          <w:rFonts w:ascii="Times-Roman" w:hAnsi="Times-Roman" w:cs="Times-Roman"/>
          <w:lang w:val="en-US"/>
        </w:rPr>
        <w:t>based comparison of the flow-through, bound fraction and untreated plasma, e</w:t>
      </w:r>
      <w:r w:rsidR="000074EB" w:rsidRPr="007D089C">
        <w:rPr>
          <w:rFonts w:ascii="Times-Roman" w:hAnsi="Times-Roman" w:cs="Times-Roman"/>
          <w:lang w:val="en-US"/>
        </w:rPr>
        <w:t xml:space="preserve">arlier publications have suggested that these </w:t>
      </w:r>
      <w:r w:rsidR="00EE5C14" w:rsidRPr="007D089C">
        <w:rPr>
          <w:rFonts w:ascii="Times-Roman" w:hAnsi="Times-Roman" w:cs="Times-Roman"/>
          <w:lang w:val="en-US"/>
        </w:rPr>
        <w:t xml:space="preserve">depletion </w:t>
      </w:r>
      <w:r w:rsidR="000074EB" w:rsidRPr="007D089C">
        <w:rPr>
          <w:rFonts w:ascii="Times-Roman" w:hAnsi="Times-Roman" w:cs="Times-Roman"/>
          <w:lang w:val="en-US"/>
        </w:rPr>
        <w:t>systems provide high efficiencies (i.e. 99-100%</w:t>
      </w:r>
      <w:r w:rsidRPr="007D089C">
        <w:rPr>
          <w:rFonts w:ascii="Times-Roman" w:hAnsi="Times-Roman" w:cs="Times-Roman"/>
          <w:lang w:val="en-US"/>
        </w:rPr>
        <w:t xml:space="preserve"> removal</w:t>
      </w:r>
      <w:r w:rsidR="000074EB" w:rsidRPr="007D089C">
        <w:rPr>
          <w:rFonts w:ascii="Times-Roman" w:hAnsi="Times-Roman" w:cs="Times-Roman"/>
          <w:lang w:val="en-US"/>
        </w:rPr>
        <w:t xml:space="preserve">). However, in our practical experience depletion is never complete and the depletion targets can still be detected by mass spectrometry with reasonable sequence coverage. </w:t>
      </w:r>
      <w:r w:rsidR="000074EB" w:rsidRPr="007D089C">
        <w:rPr>
          <w:lang w:val="en-US"/>
        </w:rPr>
        <w:t xml:space="preserve">The major depletion targets are biologically important plasma proteins, and </w:t>
      </w:r>
      <w:r w:rsidR="00495A40" w:rsidRPr="007D089C">
        <w:rPr>
          <w:lang w:val="en-US"/>
        </w:rPr>
        <w:t xml:space="preserve">their </w:t>
      </w:r>
      <w:r w:rsidR="000074EB" w:rsidRPr="007D089C">
        <w:rPr>
          <w:lang w:val="en-US"/>
        </w:rPr>
        <w:t xml:space="preserve">differential abundances </w:t>
      </w:r>
      <w:r w:rsidR="00495A40" w:rsidRPr="007D089C">
        <w:rPr>
          <w:lang w:val="en-US"/>
        </w:rPr>
        <w:t>often</w:t>
      </w:r>
      <w:r w:rsidR="000074EB" w:rsidRPr="007D089C">
        <w:rPr>
          <w:lang w:val="en-US"/>
        </w:rPr>
        <w:t xml:space="preserve"> been </w:t>
      </w:r>
      <w:r w:rsidR="00495A40" w:rsidRPr="007D089C">
        <w:rPr>
          <w:lang w:val="en-US"/>
        </w:rPr>
        <w:t>re</w:t>
      </w:r>
      <w:r w:rsidR="000074EB" w:rsidRPr="007D089C">
        <w:rPr>
          <w:lang w:val="en-US"/>
        </w:rPr>
        <w:t xml:space="preserve">ported in plasma labelling studies with and without depletion. </w:t>
      </w:r>
      <w:r w:rsidR="000074EB" w:rsidRPr="007D089C">
        <w:rPr>
          <w:rFonts w:ascii="Times-Roman" w:hAnsi="Times-Roman" w:cs="Times-Roman"/>
          <w:lang w:val="en-US"/>
        </w:rPr>
        <w:t xml:space="preserve">Typical examples include haptoglobulin, alpha-1-antitrypsin, and alpha-2-macroglobulin. </w:t>
      </w:r>
      <w:r w:rsidR="00FD48BD" w:rsidRPr="007D089C">
        <w:rPr>
          <w:rFonts w:ascii="Times-Roman" w:hAnsi="Times-Roman" w:cs="Times-Roman"/>
          <w:lang w:val="en-US"/>
        </w:rPr>
        <w:t>For</w:t>
      </w:r>
      <w:r w:rsidR="000074EB" w:rsidRPr="007D089C">
        <w:rPr>
          <w:rFonts w:ascii="Times-Roman" w:hAnsi="Times-Roman" w:cs="Times-Roman"/>
          <w:lang w:val="en-US"/>
        </w:rPr>
        <w:t xml:space="preserve"> example, </w:t>
      </w:r>
      <w:r w:rsidR="000074EB" w:rsidRPr="007D089C">
        <w:rPr>
          <w:lang w:val="en-US"/>
        </w:rPr>
        <w:t xml:space="preserve">Boichenko </w:t>
      </w:r>
      <w:r w:rsidR="000074EB" w:rsidRPr="007D089C">
        <w:rPr>
          <w:i/>
          <w:lang w:val="en-US"/>
        </w:rPr>
        <w:t xml:space="preserve">et al. </w:t>
      </w:r>
      <w:r w:rsidR="000074EB" w:rsidRPr="007D089C">
        <w:rPr>
          <w:lang w:val="en-US"/>
        </w:rPr>
        <w:t xml:space="preserve">observed differential abundance of several immunodepletion targets (A1AT, HPT, TRFE, IGHA1, and IGHG3), for which the differences were confirmed for A1AT, HPT and TRFE in the undepleted serum </w:t>
      </w:r>
      <w:r w:rsidR="000074EB" w:rsidRPr="007D089C">
        <w:rPr>
          <w:lang w:val="en-US"/>
        </w:rPr>
        <w:fldChar w:fldCharType="begin"/>
      </w:r>
      <w:r w:rsidR="000074EB" w:rsidRPr="007D089C">
        <w:rPr>
          <w:lang w:val="en-US"/>
        </w:rPr>
        <w:instrText>ADDIN RW.CITE{{2086 Boichenko,A.P. 2014}}</w:instrText>
      </w:r>
      <w:r w:rsidR="000074EB" w:rsidRPr="007D089C">
        <w:rPr>
          <w:lang w:val="en-US"/>
        </w:rPr>
        <w:fldChar w:fldCharType="separate"/>
      </w:r>
      <w:r w:rsidR="00C77B76">
        <w:rPr>
          <w:lang w:val="en-US"/>
        </w:rPr>
        <w:t>(Boichenko et al., 2014)</w:t>
      </w:r>
      <w:r w:rsidR="000074EB" w:rsidRPr="007D089C">
        <w:rPr>
          <w:lang w:val="en-US"/>
        </w:rPr>
        <w:fldChar w:fldCharType="end"/>
      </w:r>
      <w:r w:rsidR="000074EB" w:rsidRPr="007D089C">
        <w:rPr>
          <w:lang w:val="en-US"/>
        </w:rPr>
        <w:t xml:space="preserve">. </w:t>
      </w:r>
    </w:p>
    <w:p w14:paraId="01C52C70" w14:textId="77777777" w:rsidR="0085514D" w:rsidRPr="007D089C" w:rsidRDefault="0085514D" w:rsidP="00B43F04">
      <w:pPr>
        <w:autoSpaceDE w:val="0"/>
        <w:autoSpaceDN w:val="0"/>
        <w:adjustRightInd w:val="0"/>
        <w:spacing w:line="480" w:lineRule="auto"/>
        <w:jc w:val="both"/>
        <w:rPr>
          <w:rFonts w:ascii="Times-Roman" w:hAnsi="Times-Roman" w:cs="Times-Roman"/>
          <w:lang w:val="en-US"/>
        </w:rPr>
      </w:pPr>
    </w:p>
    <w:p w14:paraId="04467E9C" w14:textId="0DD1F10B" w:rsidR="000074EB" w:rsidRPr="007D089C" w:rsidRDefault="000074EB" w:rsidP="00B43F04">
      <w:pPr>
        <w:autoSpaceDE w:val="0"/>
        <w:autoSpaceDN w:val="0"/>
        <w:adjustRightInd w:val="0"/>
        <w:spacing w:line="480" w:lineRule="auto"/>
        <w:jc w:val="both"/>
        <w:rPr>
          <w:rFonts w:ascii="Times-Roman" w:hAnsi="Times-Roman" w:cs="Times-Roman"/>
          <w:lang w:val="en-US"/>
        </w:rPr>
      </w:pPr>
      <w:r w:rsidRPr="007D089C">
        <w:rPr>
          <w:rFonts w:ascii="Times-Roman" w:hAnsi="Times-Roman" w:cs="Times-Roman"/>
          <w:lang w:val="en-US"/>
        </w:rPr>
        <w:t xml:space="preserve">As an alternative to immuno-affinity depletion, Proteominer hexapeptide beads (BioRad) have been used </w:t>
      </w:r>
      <w:r w:rsidRPr="007D089C">
        <w:rPr>
          <w:rFonts w:ascii="Times-Roman" w:hAnsi="Times-Roman" w:cs="Times-Roman"/>
          <w:lang w:val="en-US"/>
        </w:rPr>
        <w:fldChar w:fldCharType="begin"/>
      </w:r>
      <w:r w:rsidRPr="007D089C">
        <w:rPr>
          <w:rFonts w:ascii="Times-Roman" w:hAnsi="Times-Roman" w:cs="Times-Roman"/>
          <w:lang w:val="en-US"/>
        </w:rPr>
        <w:instrText>ADDIN RW.CITE{{2028 Pernemalm,M. 2008; 1433 Ernoult,E. 2010}}</w:instrText>
      </w:r>
      <w:r w:rsidRPr="007D089C">
        <w:rPr>
          <w:rFonts w:ascii="Times-Roman" w:hAnsi="Times-Roman" w:cs="Times-Roman"/>
          <w:lang w:val="en-US"/>
        </w:rPr>
        <w:fldChar w:fldCharType="separate"/>
      </w:r>
      <w:r w:rsidR="00C77B76">
        <w:rPr>
          <w:rFonts w:ascii="Times-Roman" w:hAnsi="Times-Roman" w:cs="Times-Roman"/>
          <w:lang w:val="en-US"/>
        </w:rPr>
        <w:t>(Ernoult, Bourreau, Gamelin, &amp; Guette, 2010; Pernemalm et al., 2008)</w:t>
      </w:r>
      <w:r w:rsidRPr="007D089C">
        <w:rPr>
          <w:rFonts w:ascii="Times-Roman" w:hAnsi="Times-Roman" w:cs="Times-Roman"/>
          <w:lang w:val="en-US"/>
        </w:rPr>
        <w:fldChar w:fldCharType="end"/>
      </w:r>
      <w:r w:rsidRPr="007D089C">
        <w:rPr>
          <w:rFonts w:ascii="Times-Roman" w:hAnsi="Times-Roman" w:cs="Times-Roman"/>
          <w:lang w:val="en-US"/>
        </w:rPr>
        <w:t xml:space="preserve">. This combinatorial library of hexapeptides theoretically presents a ligand for every </w:t>
      </w:r>
      <w:r w:rsidR="00670428" w:rsidRPr="007D089C">
        <w:rPr>
          <w:rFonts w:ascii="Times-Roman" w:hAnsi="Times-Roman" w:cs="Times-Roman"/>
          <w:lang w:val="en-US"/>
        </w:rPr>
        <w:t>protein. Here, b</w:t>
      </w:r>
      <w:r w:rsidRPr="007D089C">
        <w:rPr>
          <w:rFonts w:ascii="Times-Roman" w:hAnsi="Times-Roman" w:cs="Times-Roman"/>
          <w:lang w:val="en-US"/>
        </w:rPr>
        <w:t xml:space="preserve">y weight of numbers the sample is simplified as the more abundant proteins quickly saturate their targets and the excess pass through with the flow-through, whilst the lower abundance proteins are retained and subsequently released for analysis. ITRAQ-based comparisons of immuno-affinity depletion platforms and hexapeptide beads in the analysis of serum/plasma have reported similar numbers of proteins with both methods with some complementary and additional identifications </w:t>
      </w:r>
      <w:r w:rsidRPr="007D089C">
        <w:rPr>
          <w:rFonts w:ascii="Times-Roman" w:hAnsi="Times-Roman" w:cs="Times-Roman"/>
          <w:lang w:val="en-US"/>
        </w:rPr>
        <w:fldChar w:fldCharType="begin"/>
      </w:r>
      <w:r w:rsidRPr="007D089C">
        <w:rPr>
          <w:rFonts w:ascii="Times-Roman" w:hAnsi="Times-Roman" w:cs="Times-Roman"/>
          <w:lang w:val="en-US"/>
        </w:rPr>
        <w:instrText>ADDIN RW.CITE{{1427 Ye,H. 2010; 2143 Dwivedi,R.C. 2010}}</w:instrText>
      </w:r>
      <w:r w:rsidRPr="007D089C">
        <w:rPr>
          <w:rFonts w:ascii="Times-Roman" w:hAnsi="Times-Roman" w:cs="Times-Roman"/>
          <w:lang w:val="en-US"/>
        </w:rPr>
        <w:fldChar w:fldCharType="separate"/>
      </w:r>
      <w:r w:rsidR="00C77B76">
        <w:rPr>
          <w:rFonts w:ascii="Times-Roman" w:hAnsi="Times-Roman" w:cs="Times-Roman"/>
          <w:lang w:val="en-US"/>
        </w:rPr>
        <w:t>(Dwivedi, Krokhin, Cortens, &amp; Wilkins, 2010; Ye, Sun, Huang, Zhang, &amp; Zhao, 2010)</w:t>
      </w:r>
      <w:r w:rsidRPr="007D089C">
        <w:rPr>
          <w:rFonts w:ascii="Times-Roman" w:hAnsi="Times-Roman" w:cs="Times-Roman"/>
          <w:lang w:val="en-US"/>
        </w:rPr>
        <w:fldChar w:fldCharType="end"/>
      </w:r>
      <w:r w:rsidRPr="007D089C">
        <w:rPr>
          <w:rFonts w:ascii="Times-Roman" w:hAnsi="Times-Roman" w:cs="Times-Roman"/>
          <w:lang w:val="en-US"/>
        </w:rPr>
        <w:t xml:space="preserve">.  There have, however, been some indications that the </w:t>
      </w:r>
      <w:r w:rsidRPr="007D089C">
        <w:rPr>
          <w:lang w:val="en-US"/>
        </w:rPr>
        <w:t xml:space="preserve">relative capture efficiencies </w:t>
      </w:r>
      <w:r w:rsidRPr="007D089C">
        <w:rPr>
          <w:rFonts w:ascii="Times-Roman" w:hAnsi="Times-Roman" w:cs="Times-Roman"/>
          <w:lang w:val="en-US"/>
        </w:rPr>
        <w:t xml:space="preserve">of the hexapeptide beads </w:t>
      </w:r>
      <w:r w:rsidRPr="007D089C">
        <w:rPr>
          <w:lang w:val="en-US"/>
        </w:rPr>
        <w:t xml:space="preserve">can vary as much as two-fold with some proteins </w:t>
      </w:r>
      <w:r w:rsidRPr="007D089C">
        <w:rPr>
          <w:rFonts w:ascii="Times-Roman" w:hAnsi="Times-Roman" w:cs="Times-Roman"/>
          <w:lang w:val="en-US"/>
        </w:rPr>
        <w:fldChar w:fldCharType="begin"/>
      </w:r>
      <w:r w:rsidRPr="007D089C">
        <w:rPr>
          <w:rFonts w:ascii="Times-Roman" w:hAnsi="Times-Roman" w:cs="Times-Roman"/>
          <w:lang w:val="en-US"/>
        </w:rPr>
        <w:instrText>ADDIN RW.CITE{{2143 Dwivedi,R.C. 2010}}</w:instrText>
      </w:r>
      <w:r w:rsidRPr="007D089C">
        <w:rPr>
          <w:rFonts w:ascii="Times-Roman" w:hAnsi="Times-Roman" w:cs="Times-Roman"/>
          <w:lang w:val="en-US"/>
        </w:rPr>
        <w:fldChar w:fldCharType="separate"/>
      </w:r>
      <w:r w:rsidR="00C77B76">
        <w:rPr>
          <w:rFonts w:ascii="Times-Roman" w:hAnsi="Times-Roman" w:cs="Times-Roman"/>
          <w:lang w:val="en-US"/>
        </w:rPr>
        <w:t>(Dwivedi et al., 2010)</w:t>
      </w:r>
      <w:r w:rsidRPr="007D089C">
        <w:rPr>
          <w:rFonts w:ascii="Times-Roman" w:hAnsi="Times-Roman" w:cs="Times-Roman"/>
          <w:lang w:val="en-US"/>
        </w:rPr>
        <w:fldChar w:fldCharType="end"/>
      </w:r>
      <w:r w:rsidRPr="007D089C">
        <w:rPr>
          <w:rFonts w:ascii="Times-Roman" w:hAnsi="Times-Roman" w:cs="Times-Roman"/>
          <w:lang w:val="en-US"/>
        </w:rPr>
        <w:t>.</w:t>
      </w:r>
    </w:p>
    <w:p w14:paraId="1F73E9D0" w14:textId="77777777" w:rsidR="000074EB" w:rsidRPr="007D089C" w:rsidRDefault="000074EB" w:rsidP="00B43F04">
      <w:pPr>
        <w:autoSpaceDE w:val="0"/>
        <w:autoSpaceDN w:val="0"/>
        <w:adjustRightInd w:val="0"/>
        <w:spacing w:line="480" w:lineRule="auto"/>
        <w:jc w:val="both"/>
        <w:rPr>
          <w:rFonts w:ascii="Times-Roman" w:hAnsi="Times-Roman" w:cs="Times-Roman"/>
          <w:lang w:val="en-US"/>
        </w:rPr>
      </w:pPr>
    </w:p>
    <w:p w14:paraId="3CDD9171" w14:textId="69D7D0AC" w:rsidR="000074EB" w:rsidRPr="007D089C" w:rsidRDefault="000074EB" w:rsidP="00B43F04">
      <w:pPr>
        <w:autoSpaceDE w:val="0"/>
        <w:autoSpaceDN w:val="0"/>
        <w:adjustRightInd w:val="0"/>
        <w:spacing w:line="480" w:lineRule="auto"/>
        <w:jc w:val="both"/>
        <w:rPr>
          <w:rFonts w:ascii="Times-Roman" w:hAnsi="Times-Roman" w:cs="Times-Roman"/>
          <w:lang w:val="en-US"/>
        </w:rPr>
      </w:pPr>
      <w:r w:rsidRPr="007D089C">
        <w:rPr>
          <w:rFonts w:ascii="Times-Roman" w:hAnsi="Times-Roman" w:cs="Times-Roman"/>
          <w:lang w:val="en-US"/>
        </w:rPr>
        <w:t xml:space="preserve">Isobaric labeling analyses of plasma samples have also been made without </w:t>
      </w:r>
      <w:r w:rsidR="006D6E5B" w:rsidRPr="007D089C">
        <w:rPr>
          <w:rFonts w:ascii="Times-Roman" w:hAnsi="Times-Roman" w:cs="Times-Roman"/>
          <w:lang w:val="en-US"/>
        </w:rPr>
        <w:t>immuno</w:t>
      </w:r>
      <w:r w:rsidRPr="007D089C">
        <w:rPr>
          <w:rFonts w:ascii="Times-Roman" w:hAnsi="Times-Roman" w:cs="Times-Roman"/>
          <w:lang w:val="en-US"/>
        </w:rPr>
        <w:t xml:space="preserve">depletion </w:t>
      </w:r>
      <w:r w:rsidR="0085514D" w:rsidRPr="007D089C">
        <w:rPr>
          <w:rFonts w:ascii="Times-Roman" w:hAnsi="Times-Roman" w:cs="Times-Roman"/>
          <w:lang w:val="en-US"/>
        </w:rPr>
        <w:t xml:space="preserve">or ligand affinity </w:t>
      </w:r>
      <w:r w:rsidRPr="007D089C">
        <w:rPr>
          <w:rFonts w:ascii="Times-Roman" w:hAnsi="Times-Roman" w:cs="Times-Roman"/>
          <w:lang w:val="en-US"/>
        </w:rPr>
        <w:fldChar w:fldCharType="begin"/>
      </w:r>
      <w:r w:rsidRPr="007D089C">
        <w:rPr>
          <w:rFonts w:ascii="Times-Roman" w:hAnsi="Times-Roman" w:cs="Times-Roman"/>
          <w:lang w:val="en-US"/>
        </w:rPr>
        <w:instrText>ADDIN RW.CITE{{2120 Saminathan,R. 2010; 2121 Song,B. 2014; 2209 Liu,Y. 2013; 2037 Al-Daghri,N.M. 2014}}</w:instrText>
      </w:r>
      <w:r w:rsidRPr="007D089C">
        <w:rPr>
          <w:rFonts w:ascii="Times-Roman" w:hAnsi="Times-Roman" w:cs="Times-Roman"/>
          <w:lang w:val="en-US"/>
        </w:rPr>
        <w:fldChar w:fldCharType="separate"/>
      </w:r>
      <w:r w:rsidR="00C77B76">
        <w:rPr>
          <w:rFonts w:ascii="Times-Roman" w:hAnsi="Times-Roman" w:cs="Times-Roman"/>
          <w:lang w:val="en-US"/>
        </w:rPr>
        <w:t>(Al-Daghri et al., 2014; Y. Liu et al., 2013; Saminathan et al., 2010; B. Song et al., 2014)</w:t>
      </w:r>
      <w:r w:rsidRPr="007D089C">
        <w:rPr>
          <w:rFonts w:ascii="Times-Roman" w:hAnsi="Times-Roman" w:cs="Times-Roman"/>
          <w:lang w:val="en-US"/>
        </w:rPr>
        <w:fldChar w:fldCharType="end"/>
      </w:r>
      <w:r w:rsidR="00EE5C14" w:rsidRPr="007D089C">
        <w:rPr>
          <w:rFonts w:ascii="Times-Roman" w:hAnsi="Times-Roman" w:cs="Times-Roman"/>
          <w:lang w:val="en-US"/>
        </w:rPr>
        <w:t xml:space="preserve">, including direct labeling of undepleted plasma, </w:t>
      </w:r>
      <w:r w:rsidR="00D02BBE" w:rsidRPr="007D089C">
        <w:rPr>
          <w:rFonts w:ascii="Times-Roman" w:hAnsi="Times-Roman" w:cs="Times-Roman"/>
          <w:lang w:val="en-US"/>
        </w:rPr>
        <w:t>as well as</w:t>
      </w:r>
      <w:r w:rsidR="00EE5C14" w:rsidRPr="007D089C">
        <w:rPr>
          <w:rFonts w:ascii="Times-Roman" w:hAnsi="Times-Roman" w:cs="Times-Roman"/>
          <w:lang w:val="en-US"/>
        </w:rPr>
        <w:t xml:space="preserve"> other </w:t>
      </w:r>
      <w:r w:rsidR="006D6E5B" w:rsidRPr="007D089C">
        <w:rPr>
          <w:rFonts w:ascii="Times-Roman" w:hAnsi="Times-Roman" w:cs="Times-Roman"/>
          <w:lang w:val="en-US"/>
        </w:rPr>
        <w:t>mode</w:t>
      </w:r>
      <w:r w:rsidR="00EE5C14" w:rsidRPr="007D089C">
        <w:rPr>
          <w:rFonts w:ascii="Times-Roman" w:hAnsi="Times-Roman" w:cs="Times-Roman"/>
          <w:lang w:val="en-US"/>
        </w:rPr>
        <w:t>s of fractionation</w:t>
      </w:r>
      <w:r w:rsidR="006D6E5B" w:rsidRPr="007D089C">
        <w:rPr>
          <w:rFonts w:ascii="Times-Roman" w:hAnsi="Times-Roman" w:cs="Times-Roman"/>
          <w:lang w:val="en-US"/>
        </w:rPr>
        <w:t xml:space="preserve"> followed by labeling</w:t>
      </w:r>
      <w:r w:rsidR="00EE5C14" w:rsidRPr="007D089C">
        <w:rPr>
          <w:rFonts w:ascii="Times-Roman" w:hAnsi="Times-Roman" w:cs="Times-Roman"/>
          <w:lang w:val="en-US"/>
        </w:rPr>
        <w:t xml:space="preserve">. </w:t>
      </w:r>
      <w:r w:rsidR="00D02BBE" w:rsidRPr="007D089C">
        <w:rPr>
          <w:rFonts w:ascii="Times-Roman" w:hAnsi="Times-Roman" w:cs="Times-Roman"/>
          <w:lang w:val="en-US"/>
        </w:rPr>
        <w:t xml:space="preserve">For example, </w:t>
      </w:r>
      <w:r w:rsidR="006D6E5B" w:rsidRPr="007D089C">
        <w:rPr>
          <w:rFonts w:ascii="Times-Roman" w:hAnsi="Times-Roman" w:cs="Times-Roman"/>
          <w:lang w:val="en-US"/>
        </w:rPr>
        <w:t xml:space="preserve">undepleted serum was TMT labelled, followed by </w:t>
      </w:r>
      <w:r w:rsidR="00D02BBE" w:rsidRPr="007D089C">
        <w:rPr>
          <w:rFonts w:ascii="Times-Roman" w:hAnsi="Times-Roman" w:cs="Times-Roman"/>
          <w:lang w:val="en-US"/>
        </w:rPr>
        <w:t xml:space="preserve">on-line fractionation </w:t>
      </w:r>
      <w:r w:rsidR="006D6E5B" w:rsidRPr="007D089C">
        <w:rPr>
          <w:rFonts w:ascii="Times-Roman" w:hAnsi="Times-Roman" w:cs="Times-Roman"/>
          <w:lang w:val="en-US"/>
        </w:rPr>
        <w:t>in a study of</w:t>
      </w:r>
      <w:r w:rsidR="00D02BBE" w:rsidRPr="007D089C">
        <w:rPr>
          <w:rFonts w:ascii="Times-Roman" w:hAnsi="Times-Roman" w:cs="Times-Roman"/>
          <w:lang w:val="en-US"/>
        </w:rPr>
        <w:t xml:space="preserve"> biomarkers of cardiac injury </w:t>
      </w:r>
      <w:r w:rsidR="00D02BBE" w:rsidRPr="007D089C">
        <w:rPr>
          <w:rFonts w:ascii="Times-Roman" w:hAnsi="Times-Roman" w:cs="Times-Roman"/>
          <w:lang w:val="en-US"/>
        </w:rPr>
        <w:fldChar w:fldCharType="begin"/>
      </w:r>
      <w:r w:rsidR="00D02BBE" w:rsidRPr="007D089C">
        <w:rPr>
          <w:rFonts w:ascii="Times-Roman" w:hAnsi="Times-Roman" w:cs="Times-Roman"/>
          <w:lang w:val="en-US"/>
        </w:rPr>
        <w:instrText>ADDIN RW.CITE{{2209 Liu,Y. 2013; 2121 Song,B. 2014}}</w:instrText>
      </w:r>
      <w:r w:rsidR="00D02BBE" w:rsidRPr="007D089C">
        <w:rPr>
          <w:rFonts w:ascii="Times-Roman" w:hAnsi="Times-Roman" w:cs="Times-Roman"/>
          <w:lang w:val="en-US"/>
        </w:rPr>
        <w:fldChar w:fldCharType="separate"/>
      </w:r>
      <w:r w:rsidR="00C77B76">
        <w:rPr>
          <w:rFonts w:ascii="Times-Roman" w:hAnsi="Times-Roman" w:cs="Times-Roman"/>
          <w:lang w:val="en-US"/>
        </w:rPr>
        <w:t>(Y. Liu et al., 2013; B. Song et al., 2014)</w:t>
      </w:r>
      <w:r w:rsidR="00D02BBE" w:rsidRPr="007D089C">
        <w:rPr>
          <w:rFonts w:ascii="Times-Roman" w:hAnsi="Times-Roman" w:cs="Times-Roman"/>
          <w:lang w:val="en-US"/>
        </w:rPr>
        <w:fldChar w:fldCharType="end"/>
      </w:r>
      <w:r w:rsidR="00D02BBE" w:rsidRPr="007D089C">
        <w:rPr>
          <w:rFonts w:ascii="Times-Roman" w:hAnsi="Times-Roman" w:cs="Times-Roman"/>
          <w:lang w:val="en-US"/>
        </w:rPr>
        <w:t xml:space="preserve">. </w:t>
      </w:r>
      <w:r w:rsidRPr="007D089C">
        <w:rPr>
          <w:rFonts w:ascii="Times-Roman" w:hAnsi="Times-Roman" w:cs="Times-Roman"/>
          <w:lang w:val="en-US"/>
        </w:rPr>
        <w:t xml:space="preserve">In </w:t>
      </w:r>
      <w:r w:rsidR="00495A40" w:rsidRPr="007D089C">
        <w:rPr>
          <w:rFonts w:ascii="Times-Roman" w:hAnsi="Times-Roman" w:cs="Times-Roman"/>
          <w:lang w:val="en-US"/>
        </w:rPr>
        <w:t>another</w:t>
      </w:r>
      <w:r w:rsidRPr="007D089C">
        <w:rPr>
          <w:rFonts w:ascii="Times-Roman" w:hAnsi="Times-Roman" w:cs="Times-Roman"/>
          <w:lang w:val="en-US"/>
        </w:rPr>
        <w:t xml:space="preserve"> depletion-free approach, a three</w:t>
      </w:r>
      <w:r w:rsidR="008F419B" w:rsidRPr="007D089C">
        <w:rPr>
          <w:rFonts w:ascii="Times-Roman" w:hAnsi="Times-Roman" w:cs="Times-Roman"/>
          <w:lang w:val="en-US"/>
        </w:rPr>
        <w:t>-</w:t>
      </w:r>
      <w:r w:rsidRPr="007D089C">
        <w:rPr>
          <w:rFonts w:ascii="Times-Roman" w:hAnsi="Times-Roman" w:cs="Times-Roman"/>
          <w:lang w:val="en-US"/>
        </w:rPr>
        <w:t>dimensional fractionation strategy</w:t>
      </w:r>
      <w:r w:rsidR="00946A31" w:rsidRPr="007D089C">
        <w:rPr>
          <w:rFonts w:ascii="Times-Roman" w:hAnsi="Times-Roman" w:cs="Times-Roman"/>
          <w:lang w:val="en-US"/>
        </w:rPr>
        <w:t xml:space="preserve"> was used</w:t>
      </w:r>
      <w:r w:rsidRPr="007D089C">
        <w:rPr>
          <w:rFonts w:ascii="Times-Roman" w:hAnsi="Times-Roman" w:cs="Times-Roman"/>
          <w:lang w:val="en-US"/>
        </w:rPr>
        <w:t xml:space="preserve">. This included protein fractionation by size exclusion chromatography, followed by iTRAQ peptide labelling, then high pH reverse phase fractionation and finally low pH (regular) reverse phase LC-MS/MS </w:t>
      </w:r>
      <w:r w:rsidRPr="007D089C">
        <w:rPr>
          <w:rFonts w:ascii="Times-Roman" w:hAnsi="Times-Roman" w:cs="Times-Roman"/>
          <w:lang w:val="en-US"/>
        </w:rPr>
        <w:fldChar w:fldCharType="begin"/>
      </w:r>
      <w:r w:rsidRPr="007D089C">
        <w:rPr>
          <w:rFonts w:ascii="Times-Roman" w:hAnsi="Times-Roman" w:cs="Times-Roman"/>
          <w:lang w:val="en-US"/>
        </w:rPr>
        <w:instrText>ADDIN RW.CITE{{2037 Al-Daghri,N.M. 2014}}</w:instrText>
      </w:r>
      <w:r w:rsidRPr="007D089C">
        <w:rPr>
          <w:rFonts w:ascii="Times-Roman" w:hAnsi="Times-Roman" w:cs="Times-Roman"/>
          <w:lang w:val="en-US"/>
        </w:rPr>
        <w:fldChar w:fldCharType="separate"/>
      </w:r>
      <w:r w:rsidR="00C77B76">
        <w:rPr>
          <w:rFonts w:ascii="Times-Roman" w:hAnsi="Times-Roman" w:cs="Times-Roman"/>
          <w:lang w:val="en-US"/>
        </w:rPr>
        <w:t>(Al-Daghri et al., 2014)</w:t>
      </w:r>
      <w:r w:rsidRPr="007D089C">
        <w:rPr>
          <w:rFonts w:ascii="Times-Roman" w:hAnsi="Times-Roman" w:cs="Times-Roman"/>
          <w:lang w:val="en-US"/>
        </w:rPr>
        <w:fldChar w:fldCharType="end"/>
      </w:r>
      <w:r w:rsidR="00EE5C14" w:rsidRPr="007D089C">
        <w:rPr>
          <w:rFonts w:ascii="Times-Roman" w:hAnsi="Times-Roman" w:cs="Times-Roman"/>
          <w:lang w:val="en-US"/>
        </w:rPr>
        <w:t xml:space="preserve">. </w:t>
      </w:r>
      <w:r w:rsidR="00946A31" w:rsidRPr="007D089C">
        <w:rPr>
          <w:rFonts w:ascii="Times-Roman" w:hAnsi="Times-Roman" w:cs="Times-Roman"/>
          <w:lang w:val="en-US"/>
        </w:rPr>
        <w:t>T</w:t>
      </w:r>
      <w:r w:rsidR="00EE5C14" w:rsidRPr="007D089C">
        <w:rPr>
          <w:rFonts w:ascii="Times-Roman" w:hAnsi="Times-Roman" w:cs="Times-Roman"/>
          <w:lang w:val="en-US"/>
        </w:rPr>
        <w:t>hey</w:t>
      </w:r>
      <w:r w:rsidRPr="007D089C">
        <w:rPr>
          <w:rFonts w:ascii="Times-Roman" w:hAnsi="Times-Roman" w:cs="Times-Roman"/>
          <w:lang w:val="en-US"/>
        </w:rPr>
        <w:t xml:space="preserve"> indicat</w:t>
      </w:r>
      <w:r w:rsidR="00EE5C14" w:rsidRPr="007D089C">
        <w:rPr>
          <w:rFonts w:ascii="Times-Roman" w:hAnsi="Times-Roman" w:cs="Times-Roman"/>
          <w:lang w:val="en-US"/>
        </w:rPr>
        <w:t>ed</w:t>
      </w:r>
      <w:r w:rsidRPr="007D089C">
        <w:rPr>
          <w:rFonts w:ascii="Times-Roman" w:hAnsi="Times-Roman" w:cs="Times-Roman"/>
          <w:lang w:val="en-US"/>
        </w:rPr>
        <w:t xml:space="preserve"> </w:t>
      </w:r>
      <w:r w:rsidRPr="007D089C">
        <w:rPr>
          <w:rFonts w:ascii="timesroman" w:hAnsi="timesroman"/>
          <w:lang w:val="en-US"/>
        </w:rPr>
        <w:t xml:space="preserve">reproducible analysis of 2472 proteins, although </w:t>
      </w:r>
      <w:r w:rsidR="00EE5C14" w:rsidRPr="007D089C">
        <w:rPr>
          <w:rFonts w:ascii="timesroman" w:hAnsi="timesroman"/>
          <w:lang w:val="en-US"/>
        </w:rPr>
        <w:t xml:space="preserve">did </w:t>
      </w:r>
      <w:r w:rsidR="00670428" w:rsidRPr="007D089C">
        <w:rPr>
          <w:rFonts w:ascii="timesroman" w:hAnsi="timesroman"/>
          <w:lang w:val="en-US"/>
        </w:rPr>
        <w:t>not distinguish</w:t>
      </w:r>
      <w:r w:rsidRPr="007D089C">
        <w:rPr>
          <w:rFonts w:ascii="timesroman" w:hAnsi="timesroman"/>
          <w:lang w:val="en-US"/>
        </w:rPr>
        <w:t xml:space="preserve"> single peptide hits. </w:t>
      </w:r>
      <w:r w:rsidRPr="007D089C">
        <w:rPr>
          <w:rFonts w:ascii="Times-Roman" w:hAnsi="Times-Roman" w:cs="Times-Roman"/>
          <w:lang w:val="en-US"/>
        </w:rPr>
        <w:t xml:space="preserve">Lukzac and co-workers, evaluated the optimal methods plasma </w:t>
      </w:r>
      <w:r w:rsidR="00670428" w:rsidRPr="007D089C">
        <w:rPr>
          <w:rFonts w:ascii="Times-Roman" w:hAnsi="Times-Roman" w:cs="Times-Roman"/>
          <w:lang w:val="en-US"/>
        </w:rPr>
        <w:t xml:space="preserve">for </w:t>
      </w:r>
      <w:r w:rsidRPr="007D089C">
        <w:rPr>
          <w:rFonts w:ascii="Times-Roman" w:hAnsi="Times-Roman" w:cs="Times-Roman"/>
          <w:lang w:val="en-US"/>
        </w:rPr>
        <w:t xml:space="preserve">sample pre-treatment </w:t>
      </w:r>
      <w:r w:rsidR="00670428" w:rsidRPr="007D089C">
        <w:rPr>
          <w:rFonts w:ascii="Times-Roman" w:hAnsi="Times-Roman" w:cs="Times-Roman"/>
          <w:lang w:val="en-US"/>
        </w:rPr>
        <w:t>prior to</w:t>
      </w:r>
      <w:r w:rsidRPr="007D089C">
        <w:rPr>
          <w:rFonts w:ascii="Times-Roman" w:hAnsi="Times-Roman" w:cs="Times-Roman"/>
          <w:lang w:val="en-US"/>
        </w:rPr>
        <w:t xml:space="preserve"> quantitative analysis using iTRAQ label</w:t>
      </w:r>
      <w:r w:rsidR="00563401" w:rsidRPr="007D089C">
        <w:rPr>
          <w:rFonts w:ascii="Times-Roman" w:hAnsi="Times-Roman" w:cs="Times-Roman"/>
          <w:lang w:val="en-US"/>
        </w:rPr>
        <w:t>l</w:t>
      </w:r>
      <w:r w:rsidRPr="007D089C">
        <w:rPr>
          <w:rFonts w:ascii="Times-Roman" w:hAnsi="Times-Roman" w:cs="Times-Roman"/>
          <w:lang w:val="en-US"/>
        </w:rPr>
        <w:t xml:space="preserve">ing and LC-MALDI-TOF/TOF. They concluded that SCX chromatography without affinity depletion was the best plasma sample preparation pre-treatment method reporting high reproducibility of the analysis of 1427 proteins </w:t>
      </w:r>
      <w:r w:rsidRPr="007D089C">
        <w:rPr>
          <w:rFonts w:ascii="Times-Roman" w:hAnsi="Times-Roman" w:cs="Times-Roman"/>
          <w:lang w:val="en-US"/>
        </w:rPr>
        <w:fldChar w:fldCharType="begin"/>
      </w:r>
      <w:r w:rsidRPr="007D089C">
        <w:rPr>
          <w:rFonts w:ascii="Times-Roman" w:hAnsi="Times-Roman" w:cs="Times-Roman"/>
          <w:lang w:val="en-US"/>
        </w:rPr>
        <w:instrText>ADDIN RW.CITE{{1912 Luczak,M. 2014}}</w:instrText>
      </w:r>
      <w:r w:rsidRPr="007D089C">
        <w:rPr>
          <w:rFonts w:ascii="Times-Roman" w:hAnsi="Times-Roman" w:cs="Times-Roman"/>
          <w:lang w:val="en-US"/>
        </w:rPr>
        <w:fldChar w:fldCharType="separate"/>
      </w:r>
      <w:r w:rsidR="00C77B76">
        <w:rPr>
          <w:rFonts w:ascii="Times-Roman" w:hAnsi="Times-Roman" w:cs="Times-Roman"/>
          <w:lang w:val="en-US"/>
        </w:rPr>
        <w:t>(Luczak, Marczak, &amp; Stobiecki, 2014)</w:t>
      </w:r>
      <w:r w:rsidRPr="007D089C">
        <w:rPr>
          <w:rFonts w:ascii="Times-Roman" w:hAnsi="Times-Roman" w:cs="Times-Roman"/>
          <w:lang w:val="en-US"/>
        </w:rPr>
        <w:fldChar w:fldCharType="end"/>
      </w:r>
      <w:r w:rsidRPr="007D089C">
        <w:rPr>
          <w:rFonts w:ascii="Times-Roman" w:hAnsi="Times-Roman" w:cs="Times-Roman"/>
          <w:lang w:val="en-US"/>
        </w:rPr>
        <w:t xml:space="preserve">. </w:t>
      </w:r>
      <w:r w:rsidR="00980C45" w:rsidRPr="007D089C">
        <w:rPr>
          <w:rFonts w:ascii="Times-Roman" w:hAnsi="Times-Roman" w:cs="Times-Roman"/>
          <w:lang w:val="en-US"/>
        </w:rPr>
        <w:t xml:space="preserve"> SDS-PAGE has also been used as a pre-fractionation method</w:t>
      </w:r>
      <w:r w:rsidR="0028337C" w:rsidRPr="007D089C">
        <w:rPr>
          <w:rFonts w:ascii="Times-Roman" w:hAnsi="Times-Roman" w:cs="Times-Roman"/>
          <w:lang w:val="en-US"/>
        </w:rPr>
        <w:t xml:space="preserve"> prior to labelling</w:t>
      </w:r>
      <w:r w:rsidR="00980C45" w:rsidRPr="007D089C">
        <w:rPr>
          <w:rFonts w:ascii="Times-Roman" w:hAnsi="Times-Roman" w:cs="Times-Roman"/>
          <w:lang w:val="en-US"/>
        </w:rPr>
        <w:t xml:space="preserve"> </w:t>
      </w:r>
      <w:r w:rsidR="00980C45" w:rsidRPr="007D089C">
        <w:rPr>
          <w:rFonts w:ascii="Times-Roman" w:hAnsi="Times-Roman" w:cs="Times-Roman"/>
          <w:lang w:val="en-US"/>
        </w:rPr>
        <w:fldChar w:fldCharType="begin"/>
      </w:r>
      <w:r w:rsidR="00980C45" w:rsidRPr="007D089C">
        <w:rPr>
          <w:rFonts w:ascii="Times-Roman" w:hAnsi="Times-Roman" w:cs="Times-Roman"/>
          <w:lang w:val="en-US"/>
        </w:rPr>
        <w:instrText>ADDIN RW.CITE{{1547 Zhang,L. 2008}}</w:instrText>
      </w:r>
      <w:r w:rsidR="00980C45" w:rsidRPr="007D089C">
        <w:rPr>
          <w:rFonts w:ascii="Times-Roman" w:hAnsi="Times-Roman" w:cs="Times-Roman"/>
          <w:lang w:val="en-US"/>
        </w:rPr>
        <w:fldChar w:fldCharType="separate"/>
      </w:r>
      <w:r w:rsidR="00C77B76">
        <w:rPr>
          <w:rFonts w:ascii="Times-Roman" w:hAnsi="Times-Roman" w:cs="Times-Roman"/>
          <w:lang w:val="en-US"/>
        </w:rPr>
        <w:t>(L. Zhang et al., 2008)</w:t>
      </w:r>
      <w:r w:rsidR="00980C45" w:rsidRPr="007D089C">
        <w:rPr>
          <w:rFonts w:ascii="Times-Roman" w:hAnsi="Times-Roman" w:cs="Times-Roman"/>
          <w:lang w:val="en-US"/>
        </w:rPr>
        <w:fldChar w:fldCharType="end"/>
      </w:r>
      <w:r w:rsidR="00980C45" w:rsidRPr="007D089C">
        <w:rPr>
          <w:rFonts w:ascii="Times-Roman" w:hAnsi="Times-Roman" w:cs="Times-Roman"/>
          <w:lang w:val="en-US"/>
        </w:rPr>
        <w:t>.</w:t>
      </w:r>
      <w:r w:rsidR="0028337C" w:rsidRPr="007D089C">
        <w:rPr>
          <w:rFonts w:ascii="Times-Roman" w:hAnsi="Times-Roman" w:cs="Times-Roman"/>
          <w:lang w:val="en-US"/>
        </w:rPr>
        <w:t xml:space="preserve"> </w:t>
      </w:r>
      <w:r w:rsidR="00495A40" w:rsidRPr="007D089C">
        <w:rPr>
          <w:rFonts w:ascii="Times-Roman" w:hAnsi="Times-Roman" w:cs="Times-Roman"/>
          <w:lang w:val="en-US"/>
        </w:rPr>
        <w:t>As another alternative to change the range of protein abundance, s</w:t>
      </w:r>
      <w:r w:rsidR="004E6DFE" w:rsidRPr="007D089C">
        <w:rPr>
          <w:rFonts w:ascii="Times-Roman" w:hAnsi="Times-Roman" w:cs="Times-Roman"/>
          <w:lang w:val="en-US"/>
        </w:rPr>
        <w:t xml:space="preserve">olvent-based precipitation methods </w:t>
      </w:r>
      <w:r w:rsidRPr="007D089C">
        <w:rPr>
          <w:rFonts w:ascii="Times-Roman" w:hAnsi="Times-Roman" w:cs="Times-Roman"/>
          <w:lang w:val="en-US"/>
        </w:rPr>
        <w:t>ha</w:t>
      </w:r>
      <w:r w:rsidR="004E6DFE" w:rsidRPr="007D089C">
        <w:rPr>
          <w:rFonts w:ascii="Times-Roman" w:hAnsi="Times-Roman" w:cs="Times-Roman"/>
          <w:lang w:val="en-US"/>
        </w:rPr>
        <w:t xml:space="preserve">ve </w:t>
      </w:r>
      <w:r w:rsidRPr="007D089C">
        <w:rPr>
          <w:rFonts w:ascii="Times-Roman" w:hAnsi="Times-Roman" w:cs="Times-Roman"/>
          <w:lang w:val="en-US"/>
        </w:rPr>
        <w:t xml:space="preserve">been used </w:t>
      </w:r>
      <w:r w:rsidRPr="007D089C">
        <w:rPr>
          <w:rFonts w:ascii="Times-Roman" w:hAnsi="Times-Roman" w:cs="Times-Roman"/>
          <w:lang w:val="en-US"/>
        </w:rPr>
        <w:fldChar w:fldCharType="begin"/>
      </w:r>
      <w:r w:rsidRPr="007D089C">
        <w:rPr>
          <w:rFonts w:ascii="Times-Roman" w:hAnsi="Times-Roman" w:cs="Times-Roman"/>
          <w:lang w:val="en-US"/>
        </w:rPr>
        <w:instrText>ADDIN RW.CITE{{2124 Crawford,F. 2012; 1459 Seth,M. 2009}}</w:instrText>
      </w:r>
      <w:r w:rsidRPr="007D089C">
        <w:rPr>
          <w:rFonts w:ascii="Times-Roman" w:hAnsi="Times-Roman" w:cs="Times-Roman"/>
          <w:lang w:val="en-US"/>
        </w:rPr>
        <w:fldChar w:fldCharType="separate"/>
      </w:r>
      <w:r w:rsidR="00C77B76">
        <w:rPr>
          <w:rFonts w:ascii="Times-Roman" w:hAnsi="Times-Roman" w:cs="Times-Roman"/>
          <w:lang w:val="en-US"/>
        </w:rPr>
        <w:t>(Crawford et al., 2012; Seth et al., 2009)</w:t>
      </w:r>
      <w:r w:rsidRPr="007D089C">
        <w:rPr>
          <w:rFonts w:ascii="Times-Roman" w:hAnsi="Times-Roman" w:cs="Times-Roman"/>
          <w:lang w:val="en-US"/>
        </w:rPr>
        <w:fldChar w:fldCharType="end"/>
      </w:r>
      <w:r w:rsidRPr="007D089C">
        <w:rPr>
          <w:rFonts w:ascii="Times-Roman" w:hAnsi="Times-Roman" w:cs="Times-Roman"/>
          <w:lang w:val="en-US"/>
        </w:rPr>
        <w:t>.</w:t>
      </w:r>
      <w:r w:rsidR="00BB24B2" w:rsidRPr="007D089C">
        <w:rPr>
          <w:rFonts w:ascii="Times-Roman" w:hAnsi="Times-Roman" w:cs="Times-Roman"/>
          <w:lang w:val="en-US"/>
        </w:rPr>
        <w:t xml:space="preserve"> </w:t>
      </w:r>
      <w:r w:rsidR="00563401" w:rsidRPr="007D089C">
        <w:rPr>
          <w:rFonts w:ascii="Times-Roman" w:hAnsi="Times-Roman" w:cs="Times-Roman"/>
          <w:lang w:val="en-US"/>
        </w:rPr>
        <w:t xml:space="preserve">In an alternative variant of </w:t>
      </w:r>
      <w:r w:rsidR="00BB24B2" w:rsidRPr="007D089C">
        <w:rPr>
          <w:rFonts w:ascii="Times-Roman" w:hAnsi="Times-Roman" w:cs="Times-Roman"/>
          <w:lang w:val="en-US"/>
        </w:rPr>
        <w:t>solvent precipitation</w:t>
      </w:r>
      <w:r w:rsidR="00563401" w:rsidRPr="007D089C">
        <w:rPr>
          <w:rFonts w:ascii="Times-Roman" w:hAnsi="Times-Roman" w:cs="Times-Roman"/>
          <w:lang w:val="en-US"/>
        </w:rPr>
        <w:t xml:space="preserve">, </w:t>
      </w:r>
      <w:r w:rsidR="00BB24B2" w:rsidRPr="007D089C">
        <w:rPr>
          <w:rFonts w:ascii="Times-Roman" w:hAnsi="Times-Roman" w:cs="Times-Roman"/>
          <w:lang w:val="en-US"/>
        </w:rPr>
        <w:t xml:space="preserve">Kodera and coworkers used differential solubility to isolate native peptides from plasma. This was applied with 6-plex TMT reagents to compare pooled </w:t>
      </w:r>
      <w:r w:rsidR="00670428" w:rsidRPr="007D089C">
        <w:rPr>
          <w:lang w:val="en-US"/>
        </w:rPr>
        <w:t>pre-surgery to post-surgery</w:t>
      </w:r>
      <w:r w:rsidR="00670428" w:rsidRPr="007D089C">
        <w:rPr>
          <w:rFonts w:ascii="Times-Roman" w:hAnsi="Times-Roman" w:cs="Times-Roman"/>
          <w:lang w:val="en-US"/>
        </w:rPr>
        <w:t xml:space="preserve"> </w:t>
      </w:r>
      <w:r w:rsidR="00BB24B2" w:rsidRPr="007D089C">
        <w:rPr>
          <w:rFonts w:ascii="Times-Roman" w:hAnsi="Times-Roman" w:cs="Times-Roman"/>
          <w:lang w:val="en-US"/>
        </w:rPr>
        <w:t xml:space="preserve">samples from </w:t>
      </w:r>
      <w:r w:rsidR="00BB24B2" w:rsidRPr="007D089C">
        <w:rPr>
          <w:lang w:val="en-US"/>
        </w:rPr>
        <w:t>renal cell carcinoma</w:t>
      </w:r>
      <w:r w:rsidR="00BB24B2" w:rsidRPr="007D089C">
        <w:rPr>
          <w:rFonts w:ascii="Times-Roman" w:hAnsi="Times-Roman" w:cs="Times-Roman"/>
          <w:lang w:val="en-US"/>
        </w:rPr>
        <w:t xml:space="preserve"> patients </w:t>
      </w:r>
      <w:r w:rsidR="00BB24B2" w:rsidRPr="007D089C">
        <w:rPr>
          <w:lang w:val="en-US"/>
        </w:rPr>
        <w:fldChar w:fldCharType="begin"/>
      </w:r>
      <w:r w:rsidR="00BB24B2" w:rsidRPr="007D089C">
        <w:rPr>
          <w:lang w:val="en-US"/>
        </w:rPr>
        <w:instrText>ADDIN RW.CITE{{3110 Kodera,Y. 2014}}</w:instrText>
      </w:r>
      <w:r w:rsidR="00BB24B2" w:rsidRPr="007D089C">
        <w:rPr>
          <w:lang w:val="en-US"/>
        </w:rPr>
        <w:fldChar w:fldCharType="separate"/>
      </w:r>
      <w:r w:rsidR="00C77B76">
        <w:rPr>
          <w:lang w:val="en-US"/>
        </w:rPr>
        <w:t>(Kodera et al., 2014)</w:t>
      </w:r>
      <w:r w:rsidR="00BB24B2" w:rsidRPr="007D089C">
        <w:rPr>
          <w:lang w:val="en-US"/>
        </w:rPr>
        <w:fldChar w:fldCharType="end"/>
      </w:r>
      <w:r w:rsidR="00BB24B2" w:rsidRPr="007D089C">
        <w:rPr>
          <w:lang w:val="en-US"/>
        </w:rPr>
        <w:t>.</w:t>
      </w:r>
      <w:r w:rsidRPr="007D089C">
        <w:rPr>
          <w:rFonts w:ascii="Times-Roman" w:hAnsi="Times-Roman" w:cs="Times-Roman"/>
          <w:lang w:val="en-US"/>
        </w:rPr>
        <w:t xml:space="preserve"> </w:t>
      </w:r>
    </w:p>
    <w:p w14:paraId="1B21722F" w14:textId="77777777" w:rsidR="000074EB" w:rsidRPr="007D089C" w:rsidRDefault="000074EB" w:rsidP="00C141DD">
      <w:pPr>
        <w:autoSpaceDE w:val="0"/>
        <w:autoSpaceDN w:val="0"/>
        <w:adjustRightInd w:val="0"/>
        <w:rPr>
          <w:rFonts w:ascii="Times-Roman" w:hAnsi="Times-Roman" w:cs="Times-Roman"/>
          <w:color w:val="76923C" w:themeColor="accent3" w:themeShade="BF"/>
          <w:lang w:val="en-US"/>
        </w:rPr>
      </w:pPr>
    </w:p>
    <w:p w14:paraId="6D2633DD" w14:textId="4091BCBD" w:rsidR="000074EB" w:rsidRPr="007D089C" w:rsidRDefault="00670428" w:rsidP="00C141DD">
      <w:pPr>
        <w:pStyle w:val="Heading2"/>
        <w:spacing w:line="240" w:lineRule="auto"/>
      </w:pPr>
      <w:bookmarkStart w:id="7" w:name="_Toc483395817"/>
      <w:r w:rsidRPr="007D089C">
        <w:t>Fractionation of Labeled P</w:t>
      </w:r>
      <w:r w:rsidR="000074EB" w:rsidRPr="007D089C">
        <w:t>eptides:</w:t>
      </w:r>
      <w:bookmarkEnd w:id="7"/>
    </w:p>
    <w:p w14:paraId="6DA0875D" w14:textId="06319807" w:rsidR="000074EB" w:rsidRPr="007D089C" w:rsidRDefault="00495A40" w:rsidP="00B43F04">
      <w:pPr>
        <w:autoSpaceDE w:val="0"/>
        <w:autoSpaceDN w:val="0"/>
        <w:adjustRightInd w:val="0"/>
        <w:spacing w:line="480" w:lineRule="auto"/>
        <w:jc w:val="both"/>
        <w:rPr>
          <w:rFonts w:ascii="Times-Roman" w:hAnsi="Times-Roman" w:cs="Times-Roman"/>
          <w:lang w:val="en-US"/>
        </w:rPr>
      </w:pPr>
      <w:r w:rsidRPr="007D089C">
        <w:rPr>
          <w:rFonts w:ascii="Times-Roman" w:hAnsi="Times-Roman" w:cs="Times-Roman"/>
          <w:lang w:val="en-US"/>
        </w:rPr>
        <w:t xml:space="preserve">Following chemical </w:t>
      </w:r>
      <w:r w:rsidR="000074EB" w:rsidRPr="007D089C">
        <w:rPr>
          <w:rFonts w:ascii="Times-Roman" w:hAnsi="Times-Roman" w:cs="Times-Roman"/>
          <w:lang w:val="en-US"/>
        </w:rPr>
        <w:t>labeling</w:t>
      </w:r>
      <w:r w:rsidRPr="007D089C">
        <w:rPr>
          <w:rFonts w:ascii="Times-Roman" w:hAnsi="Times-Roman" w:cs="Times-Roman"/>
          <w:lang w:val="en-US"/>
        </w:rPr>
        <w:t>, sample fractionation is necessary to achieve</w:t>
      </w:r>
      <w:r w:rsidR="000074EB" w:rsidRPr="007D089C">
        <w:rPr>
          <w:rFonts w:ascii="Times-Roman" w:hAnsi="Times-Roman" w:cs="Times-Roman"/>
          <w:lang w:val="en-US"/>
        </w:rPr>
        <w:t xml:space="preserve"> accurate quantitative representation of the plasma proteome. This step increases the scope for identification and importantly can improve the accuracy of relative quantification by reducing the co-isolation of the parent ions for tandem mass spectrometry and the influence of chimeric spectra and mixed reporter ion signals </w:t>
      </w:r>
      <w:r w:rsidR="000074EB" w:rsidRPr="007D089C">
        <w:rPr>
          <w:rFonts w:ascii="Times-Roman" w:hAnsi="Times-Roman" w:cs="Times-Roman"/>
          <w:lang w:val="en-US"/>
        </w:rPr>
        <w:fldChar w:fldCharType="begin"/>
      </w:r>
      <w:r w:rsidR="000074EB" w:rsidRPr="007D089C">
        <w:rPr>
          <w:rFonts w:ascii="Times-Roman" w:hAnsi="Times-Roman" w:cs="Times-Roman"/>
          <w:lang w:val="en-US"/>
        </w:rPr>
        <w:instrText>ADDIN RW.CITE{{1619 Evans,C. 2012}}</w:instrText>
      </w:r>
      <w:r w:rsidR="000074EB" w:rsidRPr="007D089C">
        <w:rPr>
          <w:rFonts w:ascii="Times-Roman" w:hAnsi="Times-Roman" w:cs="Times-Roman"/>
          <w:lang w:val="en-US"/>
        </w:rPr>
        <w:fldChar w:fldCharType="separate"/>
      </w:r>
      <w:r w:rsidR="00C77B76">
        <w:rPr>
          <w:rFonts w:ascii="Times-Roman" w:hAnsi="Times-Roman" w:cs="Times-Roman"/>
          <w:lang w:val="en-US"/>
        </w:rPr>
        <w:t>(Evans et al., 2012)</w:t>
      </w:r>
      <w:r w:rsidR="000074EB" w:rsidRPr="007D089C">
        <w:rPr>
          <w:rFonts w:ascii="Times-Roman" w:hAnsi="Times-Roman" w:cs="Times-Roman"/>
          <w:lang w:val="en-US"/>
        </w:rPr>
        <w:fldChar w:fldCharType="end"/>
      </w:r>
      <w:r w:rsidR="000074EB" w:rsidRPr="007D089C">
        <w:rPr>
          <w:rFonts w:ascii="Times-Roman" w:hAnsi="Times-Roman" w:cs="Times-Roman"/>
          <w:lang w:val="en-US"/>
        </w:rPr>
        <w:t xml:space="preserve">.  </w:t>
      </w:r>
      <w:r w:rsidR="00946A31" w:rsidRPr="007D089C">
        <w:rPr>
          <w:rFonts w:ascii="Times-Roman" w:hAnsi="Times-Roman" w:cs="Times-Roman"/>
          <w:lang w:val="en-US"/>
        </w:rPr>
        <w:t>The issue of ratio compression due to co-isolation of multiple precursors is amongst the key limitations of the use of isobaric labeling in quantification</w:t>
      </w:r>
      <w:r w:rsidR="004E6DFE" w:rsidRPr="007D089C">
        <w:rPr>
          <w:rFonts w:ascii="Times-Roman" w:hAnsi="Times-Roman" w:cs="Times-Roman"/>
          <w:lang w:val="en-US"/>
        </w:rPr>
        <w:t xml:space="preserve"> </w:t>
      </w:r>
      <w:r w:rsidR="004E6DFE" w:rsidRPr="007D089C">
        <w:rPr>
          <w:rFonts w:ascii="Times-Roman" w:hAnsi="Times-Roman" w:cs="Times-Roman"/>
          <w:lang w:val="en-US"/>
        </w:rPr>
        <w:fldChar w:fldCharType="begin"/>
      </w:r>
      <w:r w:rsidR="004E6DFE" w:rsidRPr="007D089C">
        <w:rPr>
          <w:rFonts w:ascii="Times-Roman" w:hAnsi="Times-Roman" w:cs="Times-Roman"/>
          <w:lang w:val="en-US"/>
        </w:rPr>
        <w:instrText>ADDIN RW.CITE{{1397 Ow,S.Y. 2009}}</w:instrText>
      </w:r>
      <w:r w:rsidR="004E6DFE" w:rsidRPr="007D089C">
        <w:rPr>
          <w:rFonts w:ascii="Times-Roman" w:hAnsi="Times-Roman" w:cs="Times-Roman"/>
          <w:lang w:val="en-US"/>
        </w:rPr>
        <w:fldChar w:fldCharType="separate"/>
      </w:r>
      <w:r w:rsidR="00C77B76">
        <w:rPr>
          <w:rFonts w:ascii="Times-Roman" w:hAnsi="Times-Roman" w:cs="Times-Roman"/>
          <w:lang w:val="en-US"/>
        </w:rPr>
        <w:t>(Ow et al., 2009)</w:t>
      </w:r>
      <w:r w:rsidR="004E6DFE" w:rsidRPr="007D089C">
        <w:rPr>
          <w:rFonts w:ascii="Times-Roman" w:hAnsi="Times-Roman" w:cs="Times-Roman"/>
          <w:lang w:val="en-US"/>
        </w:rPr>
        <w:fldChar w:fldCharType="end"/>
      </w:r>
      <w:r w:rsidR="00946A31" w:rsidRPr="007D089C">
        <w:rPr>
          <w:rFonts w:ascii="Times-Roman" w:hAnsi="Times-Roman" w:cs="Times-Roman"/>
          <w:lang w:val="en-US"/>
        </w:rPr>
        <w:t xml:space="preserve">. </w:t>
      </w:r>
      <w:r w:rsidR="000074EB" w:rsidRPr="007D089C">
        <w:rPr>
          <w:rFonts w:ascii="Times-Roman" w:hAnsi="Times-Roman" w:cs="Times-Roman"/>
          <w:lang w:val="en-US"/>
        </w:rPr>
        <w:t xml:space="preserve">A number of solutions have been introduced to tackle </w:t>
      </w:r>
      <w:r w:rsidR="00946A31" w:rsidRPr="007D089C">
        <w:rPr>
          <w:rFonts w:ascii="Times-Roman" w:hAnsi="Times-Roman" w:cs="Times-Roman"/>
          <w:lang w:val="en-US"/>
        </w:rPr>
        <w:t>this</w:t>
      </w:r>
      <w:r w:rsidR="000074EB" w:rsidRPr="007D089C">
        <w:rPr>
          <w:rFonts w:ascii="Times-Roman" w:hAnsi="Times-Roman" w:cs="Times-Roman"/>
          <w:lang w:val="en-US"/>
        </w:rPr>
        <w:t xml:space="preserve">, including improved chromatographic fractionation </w:t>
      </w:r>
      <w:r w:rsidR="000074EB" w:rsidRPr="007D089C">
        <w:rPr>
          <w:rFonts w:ascii="Times-Roman" w:hAnsi="Times-Roman" w:cs="Times-Roman"/>
          <w:lang w:val="en-US"/>
        </w:rPr>
        <w:fldChar w:fldCharType="begin"/>
      </w:r>
      <w:r w:rsidR="000074EB" w:rsidRPr="007D089C">
        <w:rPr>
          <w:rFonts w:ascii="Times-Roman" w:hAnsi="Times-Roman" w:cs="Times-Roman"/>
          <w:lang w:val="en-US"/>
        </w:rPr>
        <w:instrText>ADDIN RW.CITE{{3108 Ow,S.Y. 2011}}</w:instrText>
      </w:r>
      <w:r w:rsidR="000074EB" w:rsidRPr="007D089C">
        <w:rPr>
          <w:rFonts w:ascii="Times-Roman" w:hAnsi="Times-Roman" w:cs="Times-Roman"/>
          <w:lang w:val="en-US"/>
        </w:rPr>
        <w:fldChar w:fldCharType="separate"/>
      </w:r>
      <w:r w:rsidR="00C77B76">
        <w:rPr>
          <w:rFonts w:ascii="Times-Roman" w:hAnsi="Times-Roman" w:cs="Times-Roman"/>
          <w:lang w:val="en-US"/>
        </w:rPr>
        <w:t>(Ow, Salim, Noirel, Evans, &amp; Wright, 2011)</w:t>
      </w:r>
      <w:r w:rsidR="000074EB" w:rsidRPr="007D089C">
        <w:rPr>
          <w:rFonts w:ascii="Times-Roman" w:hAnsi="Times-Roman" w:cs="Times-Roman"/>
          <w:lang w:val="en-US"/>
        </w:rPr>
        <w:fldChar w:fldCharType="end"/>
      </w:r>
      <w:r w:rsidR="000074EB" w:rsidRPr="007D089C">
        <w:rPr>
          <w:rFonts w:ascii="Times-Roman" w:hAnsi="Times-Roman" w:cs="Times-Roman"/>
          <w:lang w:val="en-US"/>
        </w:rPr>
        <w:t xml:space="preserve">, real-time precursor filtering </w:t>
      </w:r>
      <w:r w:rsidR="000074EB" w:rsidRPr="007D089C">
        <w:rPr>
          <w:rFonts w:ascii="Times-Roman" w:hAnsi="Times-Roman" w:cs="Times-Roman"/>
          <w:lang w:val="en-US"/>
        </w:rPr>
        <w:fldChar w:fldCharType="begin"/>
      </w:r>
      <w:r w:rsidR="000074EB" w:rsidRPr="007D089C">
        <w:rPr>
          <w:rFonts w:ascii="Times-Roman" w:hAnsi="Times-Roman" w:cs="Times-Roman"/>
          <w:lang w:val="en-US"/>
        </w:rPr>
        <w:instrText>ADDIN RW.CITE{{2200 Wenger,C.D. 2011}}</w:instrText>
      </w:r>
      <w:r w:rsidR="000074EB" w:rsidRPr="007D089C">
        <w:rPr>
          <w:rFonts w:ascii="Times-Roman" w:hAnsi="Times-Roman" w:cs="Times-Roman"/>
          <w:lang w:val="en-US"/>
        </w:rPr>
        <w:fldChar w:fldCharType="separate"/>
      </w:r>
      <w:r w:rsidR="00C77B76">
        <w:rPr>
          <w:rFonts w:ascii="Times-Roman" w:hAnsi="Times-Roman" w:cs="Times-Roman"/>
          <w:lang w:val="en-US"/>
        </w:rPr>
        <w:t>(Wenger et al., 2011)</w:t>
      </w:r>
      <w:r w:rsidR="000074EB" w:rsidRPr="007D089C">
        <w:rPr>
          <w:rFonts w:ascii="Times-Roman" w:hAnsi="Times-Roman" w:cs="Times-Roman"/>
          <w:lang w:val="en-US"/>
        </w:rPr>
        <w:fldChar w:fldCharType="end"/>
      </w:r>
      <w:r w:rsidR="000074EB" w:rsidRPr="007D089C">
        <w:rPr>
          <w:rFonts w:ascii="Times-Roman" w:hAnsi="Times-Roman" w:cs="Times-Roman"/>
          <w:lang w:val="en-US"/>
        </w:rPr>
        <w:t xml:space="preserve">, precursor charge manipulation </w:t>
      </w:r>
      <w:r w:rsidR="000074EB" w:rsidRPr="007D089C">
        <w:rPr>
          <w:rFonts w:ascii="Times-Roman" w:hAnsi="Times-Roman" w:cs="Times-Roman"/>
          <w:lang w:val="en-US"/>
        </w:rPr>
        <w:fldChar w:fldCharType="begin"/>
      </w:r>
      <w:r w:rsidR="000074EB" w:rsidRPr="007D089C">
        <w:rPr>
          <w:rFonts w:ascii="Times-Roman" w:hAnsi="Times-Roman" w:cs="Times-Roman"/>
          <w:lang w:val="en-US"/>
        </w:rPr>
        <w:instrText>ADDIN RW.CITE{{3109 Thingholm,T.E. 2010; 2200 Wenger,C.D. 2011}}</w:instrText>
      </w:r>
      <w:r w:rsidR="000074EB" w:rsidRPr="007D089C">
        <w:rPr>
          <w:rFonts w:ascii="Times-Roman" w:hAnsi="Times-Roman" w:cs="Times-Roman"/>
          <w:lang w:val="en-US"/>
        </w:rPr>
        <w:fldChar w:fldCharType="separate"/>
      </w:r>
      <w:r w:rsidR="00C77B76">
        <w:rPr>
          <w:rFonts w:ascii="Times-Roman" w:hAnsi="Times-Roman" w:cs="Times-Roman"/>
          <w:lang w:val="en-US"/>
        </w:rPr>
        <w:t>(Thingholm, Palmisano, Kjeldsen, &amp; Larsen, 2010; Wenger et al., 2011)</w:t>
      </w:r>
      <w:r w:rsidR="000074EB" w:rsidRPr="007D089C">
        <w:rPr>
          <w:rFonts w:ascii="Times-Roman" w:hAnsi="Times-Roman" w:cs="Times-Roman"/>
          <w:lang w:val="en-US"/>
        </w:rPr>
        <w:fldChar w:fldCharType="end"/>
      </w:r>
      <w:r w:rsidR="000074EB" w:rsidRPr="007D089C">
        <w:rPr>
          <w:rFonts w:ascii="Times-Roman" w:hAnsi="Times-Roman" w:cs="Times-Roman"/>
          <w:lang w:val="en-US"/>
        </w:rPr>
        <w:t xml:space="preserve">, and MS3 of the most intense precursor </w:t>
      </w:r>
      <w:r w:rsidR="000074EB" w:rsidRPr="007D089C">
        <w:rPr>
          <w:rFonts w:ascii="Times-Roman" w:hAnsi="Times-Roman" w:cs="Times-Roman"/>
          <w:lang w:val="en-US"/>
        </w:rPr>
        <w:fldChar w:fldCharType="begin"/>
      </w:r>
      <w:r w:rsidR="000074EB" w:rsidRPr="007D089C">
        <w:rPr>
          <w:rFonts w:ascii="Times-Roman" w:hAnsi="Times-Roman" w:cs="Times-Roman"/>
          <w:lang w:val="en-US"/>
        </w:rPr>
        <w:instrText>ADDIN RW.CITE{{2199 Ting,L. 2011}}</w:instrText>
      </w:r>
      <w:r w:rsidR="000074EB" w:rsidRPr="007D089C">
        <w:rPr>
          <w:rFonts w:ascii="Times-Roman" w:hAnsi="Times-Roman" w:cs="Times-Roman"/>
          <w:lang w:val="en-US"/>
        </w:rPr>
        <w:fldChar w:fldCharType="separate"/>
      </w:r>
      <w:r w:rsidR="00C77B76">
        <w:rPr>
          <w:rFonts w:ascii="Times-Roman" w:hAnsi="Times-Roman" w:cs="Times-Roman"/>
          <w:lang w:val="en-US"/>
        </w:rPr>
        <w:t>(Ting, Rad, Gygi, &amp; Haas, 2011)</w:t>
      </w:r>
      <w:r w:rsidR="000074EB" w:rsidRPr="007D089C">
        <w:rPr>
          <w:rFonts w:ascii="Times-Roman" w:hAnsi="Times-Roman" w:cs="Times-Roman"/>
          <w:lang w:val="en-US"/>
        </w:rPr>
        <w:fldChar w:fldCharType="end"/>
      </w:r>
      <w:r w:rsidR="000074EB" w:rsidRPr="007D089C">
        <w:rPr>
          <w:rFonts w:ascii="Times-Roman" w:hAnsi="Times-Roman" w:cs="Times-Roman"/>
          <w:lang w:val="en-US"/>
        </w:rPr>
        <w:t>.</w:t>
      </w:r>
    </w:p>
    <w:p w14:paraId="4275F225" w14:textId="77777777" w:rsidR="007F6946" w:rsidRPr="007D089C" w:rsidRDefault="007F6946" w:rsidP="00B43F04">
      <w:pPr>
        <w:autoSpaceDE w:val="0"/>
        <w:autoSpaceDN w:val="0"/>
        <w:adjustRightInd w:val="0"/>
        <w:spacing w:line="480" w:lineRule="auto"/>
        <w:jc w:val="both"/>
        <w:rPr>
          <w:rFonts w:ascii="Times-Roman" w:hAnsi="Times-Roman" w:cs="Times-Roman"/>
          <w:lang w:val="en-US"/>
        </w:rPr>
      </w:pPr>
    </w:p>
    <w:p w14:paraId="41D75CEB" w14:textId="125B045E" w:rsidR="000074EB" w:rsidRPr="007D089C" w:rsidRDefault="00FD48BD" w:rsidP="00B43F04">
      <w:pPr>
        <w:autoSpaceDE w:val="0"/>
        <w:autoSpaceDN w:val="0"/>
        <w:adjustRightInd w:val="0"/>
        <w:spacing w:line="480" w:lineRule="auto"/>
        <w:jc w:val="both"/>
        <w:rPr>
          <w:rFonts w:ascii="Times-Roman" w:hAnsi="Times-Roman" w:cs="Times-Roman"/>
          <w:lang w:val="en-US"/>
        </w:rPr>
      </w:pPr>
      <w:r w:rsidRPr="007D089C">
        <w:rPr>
          <w:rFonts w:ascii="Times-Roman" w:hAnsi="Times-Roman" w:cs="Times-Roman"/>
          <w:lang w:val="en-US"/>
        </w:rPr>
        <w:t>Both off</w:t>
      </w:r>
      <w:r w:rsidR="00670428" w:rsidRPr="007D089C">
        <w:rPr>
          <w:rFonts w:ascii="Times-Roman" w:hAnsi="Times-Roman" w:cs="Times-Roman"/>
          <w:lang w:val="en-US"/>
        </w:rPr>
        <w:t>-</w:t>
      </w:r>
      <w:r w:rsidRPr="007D089C">
        <w:rPr>
          <w:rFonts w:ascii="Times-Roman" w:hAnsi="Times-Roman" w:cs="Times-Roman"/>
          <w:lang w:val="en-US"/>
        </w:rPr>
        <w:t xml:space="preserve"> and on-line fractionation with orthogonal separation methods have been employed to simplify labeled mixtures. </w:t>
      </w:r>
      <w:r w:rsidR="00B2713B" w:rsidRPr="007D089C">
        <w:rPr>
          <w:rFonts w:ascii="Times-Roman" w:hAnsi="Times-Roman" w:cs="Times-Roman"/>
          <w:b/>
          <w:lang w:val="en-US"/>
        </w:rPr>
        <w:t>Figure 1c</w:t>
      </w:r>
      <w:r w:rsidR="00B2713B" w:rsidRPr="007D089C">
        <w:rPr>
          <w:rFonts w:ascii="Times-Roman" w:hAnsi="Times-Roman" w:cs="Times-Roman"/>
          <w:lang w:val="en-US"/>
        </w:rPr>
        <w:t xml:space="preserve"> indicates the relative </w:t>
      </w:r>
      <w:r w:rsidR="00B2713B" w:rsidRPr="007D089C">
        <w:rPr>
          <w:lang w:val="en-US"/>
        </w:rPr>
        <w:t>frequency that the more common approaches have been used in the literature presented in this review.</w:t>
      </w:r>
      <w:r w:rsidR="00B2713B" w:rsidRPr="007D089C">
        <w:rPr>
          <w:rFonts w:ascii="Times-Roman" w:hAnsi="Times-Roman" w:cs="Times-Roman"/>
          <w:lang w:val="en-US"/>
        </w:rPr>
        <w:t xml:space="preserve"> </w:t>
      </w:r>
      <w:r w:rsidRPr="007D089C">
        <w:rPr>
          <w:rFonts w:ascii="Times-Roman" w:hAnsi="Times-Roman" w:cs="Times-Roman"/>
          <w:lang w:val="en-US"/>
        </w:rPr>
        <w:t>Off-line strong cation exchange (SCX) fractionation has been used in the majority of studies</w:t>
      </w:r>
      <w:r w:rsidR="00670428" w:rsidRPr="007D089C">
        <w:rPr>
          <w:rFonts w:ascii="Times-Roman" w:hAnsi="Times-Roman" w:cs="Times-Roman"/>
          <w:lang w:val="en-US"/>
        </w:rPr>
        <w:t>,</w:t>
      </w:r>
      <w:r w:rsidRPr="007D089C">
        <w:rPr>
          <w:rFonts w:ascii="Times-Roman" w:hAnsi="Times-Roman" w:cs="Times-Roman"/>
          <w:lang w:val="en-US"/>
        </w:rPr>
        <w:t xml:space="preserve"> although this is increasingly be</w:t>
      </w:r>
      <w:r w:rsidR="00670428" w:rsidRPr="007D089C">
        <w:rPr>
          <w:rFonts w:ascii="Times-Roman" w:hAnsi="Times-Roman" w:cs="Times-Roman"/>
          <w:lang w:val="en-US"/>
        </w:rPr>
        <w:t>ing</w:t>
      </w:r>
      <w:r w:rsidRPr="007D089C">
        <w:rPr>
          <w:rFonts w:ascii="Times-Roman" w:hAnsi="Times-Roman" w:cs="Times-Roman"/>
          <w:lang w:val="en-US"/>
        </w:rPr>
        <w:t xml:space="preserve"> replaced by other appr</w:t>
      </w:r>
      <w:r w:rsidR="00EE5C14" w:rsidRPr="007D089C">
        <w:rPr>
          <w:rFonts w:ascii="Times-Roman" w:hAnsi="Times-Roman" w:cs="Times-Roman"/>
          <w:lang w:val="en-US"/>
        </w:rPr>
        <w:t>oa</w:t>
      </w:r>
      <w:r w:rsidRPr="007D089C">
        <w:rPr>
          <w:rFonts w:ascii="Times-Roman" w:hAnsi="Times-Roman" w:cs="Times-Roman"/>
          <w:lang w:val="en-US"/>
        </w:rPr>
        <w:t>ches</w:t>
      </w:r>
      <w:r w:rsidR="000074EB" w:rsidRPr="007D089C">
        <w:rPr>
          <w:rFonts w:ascii="Times-Roman" w:hAnsi="Times-Roman" w:cs="Times-Roman"/>
          <w:lang w:val="en-US"/>
        </w:rPr>
        <w:t xml:space="preserve">. </w:t>
      </w:r>
      <w:r w:rsidR="00D358A7">
        <w:rPr>
          <w:rFonts w:ascii="Times-Roman" w:hAnsi="Times-Roman" w:cs="Times-Roman"/>
          <w:lang w:val="en-US"/>
        </w:rPr>
        <w:t xml:space="preserve">For SCX, </w:t>
      </w:r>
      <w:r w:rsidR="000074EB" w:rsidRPr="007D089C">
        <w:rPr>
          <w:rFonts w:ascii="Times-Roman" w:hAnsi="Times-Roman" w:cs="Times-Roman"/>
          <w:lang w:val="en-US"/>
        </w:rPr>
        <w:t xml:space="preserve">the labeled fractions are pooled, dried, acidified, either diluted or desalted, </w:t>
      </w:r>
      <w:r w:rsidR="00670428" w:rsidRPr="007D089C">
        <w:rPr>
          <w:rFonts w:ascii="Times-Roman" w:hAnsi="Times-Roman" w:cs="Times-Roman"/>
          <w:lang w:val="en-US"/>
        </w:rPr>
        <w:t>then</w:t>
      </w:r>
      <w:r w:rsidR="000074EB" w:rsidRPr="007D089C">
        <w:rPr>
          <w:rFonts w:ascii="Times-Roman" w:hAnsi="Times-Roman" w:cs="Times-Roman"/>
          <w:lang w:val="en-US"/>
        </w:rPr>
        <w:t xml:space="preserve"> </w:t>
      </w:r>
      <w:r w:rsidR="00D358A7">
        <w:rPr>
          <w:rFonts w:ascii="Times-Roman" w:hAnsi="Times-Roman" w:cs="Times-Roman"/>
          <w:lang w:val="en-US"/>
        </w:rPr>
        <w:t xml:space="preserve">eluted </w:t>
      </w:r>
      <w:r w:rsidR="00D358A7" w:rsidRPr="007D089C">
        <w:rPr>
          <w:rFonts w:ascii="Times-Roman" w:hAnsi="Times-Roman" w:cs="Times-Roman"/>
          <w:lang w:val="en-US"/>
        </w:rPr>
        <w:t xml:space="preserve">using a salt gradient </w:t>
      </w:r>
      <w:r w:rsidR="00D358A7">
        <w:rPr>
          <w:rFonts w:ascii="Times-Roman" w:hAnsi="Times-Roman" w:cs="Times-Roman"/>
          <w:lang w:val="en-US"/>
        </w:rPr>
        <w:t xml:space="preserve">and </w:t>
      </w:r>
      <w:r w:rsidR="000074EB" w:rsidRPr="007D089C">
        <w:rPr>
          <w:rFonts w:ascii="Times-Roman" w:hAnsi="Times-Roman" w:cs="Times-Roman"/>
          <w:lang w:val="en-US"/>
        </w:rPr>
        <w:t xml:space="preserve">fractionated </w:t>
      </w:r>
      <w:r w:rsidR="00670428" w:rsidRPr="007D089C">
        <w:rPr>
          <w:rFonts w:ascii="Times-Roman" w:hAnsi="Times-Roman" w:cs="Times-Roman"/>
          <w:lang w:val="en-US"/>
        </w:rPr>
        <w:t>on the basis of size and charge</w:t>
      </w:r>
      <w:r w:rsidR="000074EB" w:rsidRPr="007D089C">
        <w:rPr>
          <w:rFonts w:ascii="Times-Roman" w:hAnsi="Times-Roman" w:cs="Times-Roman"/>
          <w:lang w:val="en-US"/>
        </w:rPr>
        <w:t xml:space="preserve">. Non-volatile salts have been used for off-line fractionation (e.g. KCl) and volatile salts are necessary for on-line systems (e.g. ammonium formate). Removal of the labeling buffer (usually TEAB) prior to loading is important due to its cationic nature, as is the removal of the hydrolyzed reagents. Avoidance of salt concentrations greater than 10 mM is important to ensure recovery of the labeled peptides. The Polysulfoethyl columns from Poly-LC (Neste group) have been by far the most widely used column type. Notable examples where SCX fractionation has been used include the study by Juhasz </w:t>
      </w:r>
      <w:r w:rsidR="000074EB" w:rsidRPr="007D089C">
        <w:rPr>
          <w:rFonts w:ascii="Times-Roman" w:hAnsi="Times-Roman" w:cs="Times-Roman"/>
          <w:i/>
          <w:lang w:val="en-US"/>
        </w:rPr>
        <w:t>et al.</w:t>
      </w:r>
      <w:r w:rsidR="000074EB" w:rsidRPr="007D089C">
        <w:rPr>
          <w:rFonts w:ascii="Times-Roman" w:hAnsi="Times-Roman" w:cs="Times-Roman"/>
          <w:lang w:val="en-US"/>
        </w:rPr>
        <w:t xml:space="preserve">, where it was used in combination with tandem depletion and LC-MALDI </w:t>
      </w:r>
      <w:r w:rsidR="000074EB" w:rsidRPr="007D089C">
        <w:rPr>
          <w:rFonts w:ascii="Times-Roman" w:hAnsi="Times-Roman" w:cs="Times-Roman"/>
          <w:lang w:val="en-US"/>
        </w:rPr>
        <w:fldChar w:fldCharType="begin"/>
      </w:r>
      <w:r w:rsidR="000074EB" w:rsidRPr="007D089C">
        <w:rPr>
          <w:rFonts w:ascii="Times-Roman" w:hAnsi="Times-Roman" w:cs="Times-Roman"/>
          <w:lang w:val="en-US"/>
        </w:rPr>
        <w:instrText>ADDIN RW.CITE{{2019 Juhasz,P. 2011}}</w:instrText>
      </w:r>
      <w:r w:rsidR="000074EB" w:rsidRPr="007D089C">
        <w:rPr>
          <w:rFonts w:ascii="Times-Roman" w:hAnsi="Times-Roman" w:cs="Times-Roman"/>
          <w:lang w:val="en-US"/>
        </w:rPr>
        <w:fldChar w:fldCharType="separate"/>
      </w:r>
      <w:r w:rsidR="00C77B76">
        <w:rPr>
          <w:rFonts w:ascii="Times-Roman" w:hAnsi="Times-Roman" w:cs="Times-Roman"/>
          <w:lang w:val="en-US"/>
        </w:rPr>
        <w:t>(Juhasz et al., 2011)</w:t>
      </w:r>
      <w:r w:rsidR="000074EB" w:rsidRPr="007D089C">
        <w:rPr>
          <w:rFonts w:ascii="Times-Roman" w:hAnsi="Times-Roman" w:cs="Times-Roman"/>
          <w:lang w:val="en-US"/>
        </w:rPr>
        <w:fldChar w:fldCharType="end"/>
      </w:r>
      <w:r w:rsidR="000074EB" w:rsidRPr="007D089C">
        <w:rPr>
          <w:rFonts w:ascii="Times-Roman" w:hAnsi="Times-Roman" w:cs="Times-Roman"/>
          <w:lang w:val="en-US"/>
        </w:rPr>
        <w:t xml:space="preserve">, reporting 470 proteins detected in nine iTRAQ experiments, the ESI study of gastric adenocarcinoma by Subbannayya </w:t>
      </w:r>
      <w:r w:rsidR="000074EB" w:rsidRPr="007D089C">
        <w:rPr>
          <w:rFonts w:ascii="Times-Roman" w:hAnsi="Times-Roman" w:cs="Times-Roman"/>
          <w:i/>
          <w:lang w:val="en-US"/>
        </w:rPr>
        <w:t>et al.</w:t>
      </w:r>
      <w:r w:rsidR="000074EB" w:rsidRPr="007D089C">
        <w:rPr>
          <w:rFonts w:ascii="Times-Roman" w:hAnsi="Times-Roman" w:cs="Times-Roman"/>
          <w:lang w:val="en-US"/>
        </w:rPr>
        <w:t>, where they reported identification 643 proteins</w:t>
      </w:r>
      <w:r w:rsidR="000074EB" w:rsidRPr="007D089C">
        <w:rPr>
          <w:rFonts w:ascii="Times-Roman" w:hAnsi="Times-Roman" w:cs="Times-Roman"/>
          <w:i/>
          <w:lang w:val="en-US"/>
        </w:rPr>
        <w:t xml:space="preserve"> </w:t>
      </w:r>
      <w:r w:rsidR="000074EB" w:rsidRPr="007D089C">
        <w:rPr>
          <w:rFonts w:ascii="Times-Roman" w:hAnsi="Times-Roman" w:cs="Times-Roman"/>
          <w:lang w:val="en-US"/>
        </w:rPr>
        <w:fldChar w:fldCharType="begin"/>
      </w:r>
      <w:r w:rsidR="000074EB" w:rsidRPr="007D089C">
        <w:rPr>
          <w:rFonts w:ascii="Times-Roman" w:hAnsi="Times-Roman" w:cs="Times-Roman"/>
          <w:lang w:val="en-US"/>
        </w:rPr>
        <w:instrText>ADDIN RW.CITE{{1977 Subbannayya,Y. 2015}}</w:instrText>
      </w:r>
      <w:r w:rsidR="000074EB" w:rsidRPr="007D089C">
        <w:rPr>
          <w:rFonts w:ascii="Times-Roman" w:hAnsi="Times-Roman" w:cs="Times-Roman"/>
          <w:lang w:val="en-US"/>
        </w:rPr>
        <w:fldChar w:fldCharType="separate"/>
      </w:r>
      <w:r w:rsidR="00C77B76">
        <w:rPr>
          <w:rFonts w:ascii="Times-Roman" w:hAnsi="Times-Roman" w:cs="Times-Roman"/>
          <w:lang w:val="en-US"/>
        </w:rPr>
        <w:t>(Subbannayya et al., 2015)</w:t>
      </w:r>
      <w:r w:rsidR="000074EB" w:rsidRPr="007D089C">
        <w:rPr>
          <w:rFonts w:ascii="Times-Roman" w:hAnsi="Times-Roman" w:cs="Times-Roman"/>
          <w:lang w:val="en-US"/>
        </w:rPr>
        <w:fldChar w:fldCharType="end"/>
      </w:r>
      <w:r w:rsidR="000074EB" w:rsidRPr="007D089C">
        <w:rPr>
          <w:rFonts w:ascii="Times-Roman" w:hAnsi="Times-Roman" w:cs="Times-Roman"/>
          <w:lang w:val="en-US"/>
        </w:rPr>
        <w:t xml:space="preserve"> and the ESI &amp; MALDI study of Zhang, X and co-workers where they reported 1044 proteins </w:t>
      </w:r>
      <w:r w:rsidR="000074EB" w:rsidRPr="007D089C">
        <w:rPr>
          <w:rFonts w:ascii="Times-Roman" w:hAnsi="Times-Roman" w:cs="Times-Roman"/>
          <w:lang w:val="en-US"/>
        </w:rPr>
        <w:fldChar w:fldCharType="begin"/>
      </w:r>
      <w:r w:rsidR="000074EB" w:rsidRPr="007D089C">
        <w:rPr>
          <w:rFonts w:ascii="Times-Roman" w:hAnsi="Times-Roman" w:cs="Times-Roman"/>
          <w:lang w:val="en-US"/>
        </w:rPr>
        <w:instrText>ADDIN RW.CITE{{3102 Zhang,X. 2016}}</w:instrText>
      </w:r>
      <w:r w:rsidR="000074EB" w:rsidRPr="007D089C">
        <w:rPr>
          <w:rFonts w:ascii="Times-Roman" w:hAnsi="Times-Roman" w:cs="Times-Roman"/>
          <w:lang w:val="en-US"/>
        </w:rPr>
        <w:fldChar w:fldCharType="separate"/>
      </w:r>
      <w:r w:rsidR="00C77B76">
        <w:rPr>
          <w:rFonts w:ascii="Times-Roman" w:hAnsi="Times-Roman" w:cs="Times-Roman"/>
          <w:lang w:val="en-US"/>
        </w:rPr>
        <w:t>(X. Zhang et al., 2016)</w:t>
      </w:r>
      <w:r w:rsidR="000074EB" w:rsidRPr="007D089C">
        <w:rPr>
          <w:rFonts w:ascii="Times-Roman" w:hAnsi="Times-Roman" w:cs="Times-Roman"/>
          <w:lang w:val="en-US"/>
        </w:rPr>
        <w:fldChar w:fldCharType="end"/>
      </w:r>
      <w:r w:rsidR="000074EB" w:rsidRPr="007D089C">
        <w:rPr>
          <w:rFonts w:ascii="Times-Roman" w:hAnsi="Times-Roman" w:cs="Times-Roman"/>
          <w:lang w:val="en-US"/>
        </w:rPr>
        <w:t xml:space="preserve">. SCX fractionation has mostly been performed off-line, necessitating additional concentration and desalting steps. Surprisingly, the on-line </w:t>
      </w:r>
      <w:r w:rsidR="00670428" w:rsidRPr="007D089C">
        <w:rPr>
          <w:rStyle w:val="st"/>
          <w:lang w:val="en-US"/>
        </w:rPr>
        <w:t>Multidimensional Protein Identification Technology (</w:t>
      </w:r>
      <w:r w:rsidR="000074EB" w:rsidRPr="007D089C">
        <w:rPr>
          <w:rFonts w:ascii="Times-Roman" w:hAnsi="Times-Roman" w:cs="Times-Roman"/>
          <w:lang w:val="en-US"/>
        </w:rPr>
        <w:t>MudPIT</w:t>
      </w:r>
      <w:r w:rsidR="00670428" w:rsidRPr="007D089C">
        <w:rPr>
          <w:rFonts w:ascii="Times-Roman" w:hAnsi="Times-Roman" w:cs="Times-Roman"/>
          <w:lang w:val="en-US"/>
        </w:rPr>
        <w:t>)</w:t>
      </w:r>
      <w:r w:rsidR="000074EB" w:rsidRPr="007D089C">
        <w:rPr>
          <w:rFonts w:ascii="Times-Roman" w:hAnsi="Times-Roman" w:cs="Times-Roman"/>
          <w:lang w:val="en-US"/>
        </w:rPr>
        <w:t xml:space="preserve"> approach </w:t>
      </w:r>
      <w:r w:rsidR="000074EB" w:rsidRPr="007D089C">
        <w:rPr>
          <w:rFonts w:ascii="Times-Roman" w:hAnsi="Times-Roman" w:cs="Times-Roman"/>
          <w:lang w:val="en-US"/>
        </w:rPr>
        <w:fldChar w:fldCharType="begin"/>
      </w:r>
      <w:r w:rsidR="000074EB" w:rsidRPr="007D089C">
        <w:rPr>
          <w:rFonts w:ascii="Times-Roman" w:hAnsi="Times-Roman" w:cs="Times-Roman"/>
          <w:lang w:val="en-US"/>
        </w:rPr>
        <w:instrText>ADDIN RW.CITE{{2239 Link,Andrew J. 1999}}</w:instrText>
      </w:r>
      <w:r w:rsidR="000074EB" w:rsidRPr="007D089C">
        <w:rPr>
          <w:rFonts w:ascii="Times-Roman" w:hAnsi="Times-Roman" w:cs="Times-Roman"/>
          <w:lang w:val="en-US"/>
        </w:rPr>
        <w:fldChar w:fldCharType="separate"/>
      </w:r>
      <w:r w:rsidR="00C77B76">
        <w:rPr>
          <w:rFonts w:ascii="Times-Roman" w:hAnsi="Times-Roman" w:cs="Times-Roman"/>
          <w:lang w:val="en-US"/>
        </w:rPr>
        <w:t>(Link et al., 1999)</w:t>
      </w:r>
      <w:r w:rsidR="000074EB" w:rsidRPr="007D089C">
        <w:rPr>
          <w:rFonts w:ascii="Times-Roman" w:hAnsi="Times-Roman" w:cs="Times-Roman"/>
          <w:lang w:val="en-US"/>
        </w:rPr>
        <w:fldChar w:fldCharType="end"/>
      </w:r>
      <w:r w:rsidR="000074EB" w:rsidRPr="007D089C">
        <w:rPr>
          <w:rFonts w:ascii="Times-Roman" w:hAnsi="Times-Roman" w:cs="Times-Roman"/>
          <w:lang w:val="en-US"/>
        </w:rPr>
        <w:t>, which is advantageous in terms of reduced sample handling and losses, has been less frequently employed.</w:t>
      </w:r>
      <w:r w:rsidR="000074EB" w:rsidRPr="007D089C">
        <w:rPr>
          <w:rFonts w:ascii="AdvP49811" w:hAnsi="AdvP49811" w:cs="AdvP49811"/>
          <w:lang w:val="en-US"/>
        </w:rPr>
        <w:t xml:space="preserve"> </w:t>
      </w:r>
      <w:r w:rsidR="000074EB" w:rsidRPr="007D089C">
        <w:rPr>
          <w:lang w:val="en-US"/>
        </w:rPr>
        <w:t xml:space="preserve">In the related studies of Song, B </w:t>
      </w:r>
      <w:r w:rsidR="000074EB" w:rsidRPr="007D089C">
        <w:rPr>
          <w:i/>
          <w:lang w:val="en-US"/>
        </w:rPr>
        <w:t>et al.</w:t>
      </w:r>
      <w:r w:rsidR="000074EB" w:rsidRPr="007D089C">
        <w:rPr>
          <w:lang w:val="en-US"/>
        </w:rPr>
        <w:t xml:space="preserve"> and Liu, Y </w:t>
      </w:r>
      <w:r w:rsidR="000074EB" w:rsidRPr="007D089C">
        <w:rPr>
          <w:i/>
          <w:lang w:val="en-US"/>
        </w:rPr>
        <w:t>et al.</w:t>
      </w:r>
      <w:r w:rsidR="000074EB" w:rsidRPr="007D089C">
        <w:rPr>
          <w:rFonts w:ascii="Times-Roman" w:hAnsi="Times-Roman" w:cs="Times-Roman"/>
          <w:lang w:val="en-US"/>
        </w:rPr>
        <w:t xml:space="preserve"> </w:t>
      </w:r>
      <w:r w:rsidR="00563401" w:rsidRPr="007D089C">
        <w:rPr>
          <w:rFonts w:ascii="Times-Roman" w:hAnsi="Times-Roman" w:cs="Times-Roman"/>
          <w:lang w:val="en-US"/>
        </w:rPr>
        <w:t xml:space="preserve">they </w:t>
      </w:r>
      <w:r w:rsidR="000074EB" w:rsidRPr="007D089C">
        <w:rPr>
          <w:rFonts w:ascii="Times-Roman" w:hAnsi="Times-Roman" w:cs="Times-Roman"/>
          <w:lang w:val="en-US"/>
        </w:rPr>
        <w:t xml:space="preserve">used MudPIT in the analysis of TMT labelled undepleted serum </w:t>
      </w:r>
      <w:r w:rsidR="000074EB" w:rsidRPr="007D089C">
        <w:rPr>
          <w:rFonts w:ascii="Times-Roman" w:hAnsi="Times-Roman" w:cs="Times-Roman"/>
          <w:lang w:val="en-US"/>
        </w:rPr>
        <w:fldChar w:fldCharType="begin"/>
      </w:r>
      <w:r w:rsidR="000074EB" w:rsidRPr="007D089C">
        <w:rPr>
          <w:rFonts w:ascii="Times-Roman" w:hAnsi="Times-Roman" w:cs="Times-Roman"/>
          <w:lang w:val="en-US"/>
        </w:rPr>
        <w:instrText>ADDIN RW.CITE{{2209 Liu,Y. 2013; 2121 Song,B. 2014}}</w:instrText>
      </w:r>
      <w:r w:rsidR="000074EB" w:rsidRPr="007D089C">
        <w:rPr>
          <w:rFonts w:ascii="Times-Roman" w:hAnsi="Times-Roman" w:cs="Times-Roman"/>
          <w:lang w:val="en-US"/>
        </w:rPr>
        <w:fldChar w:fldCharType="separate"/>
      </w:r>
      <w:r w:rsidR="00C77B76">
        <w:rPr>
          <w:rFonts w:ascii="Times-Roman" w:hAnsi="Times-Roman" w:cs="Times-Roman"/>
          <w:lang w:val="en-US"/>
        </w:rPr>
        <w:t>(Y. Liu et al., 2013; B. Song et al., 2014)</w:t>
      </w:r>
      <w:r w:rsidR="000074EB" w:rsidRPr="007D089C">
        <w:rPr>
          <w:rFonts w:ascii="Times-Roman" w:hAnsi="Times-Roman" w:cs="Times-Roman"/>
          <w:lang w:val="en-US"/>
        </w:rPr>
        <w:fldChar w:fldCharType="end"/>
      </w:r>
      <w:r w:rsidR="00563401" w:rsidRPr="007D089C">
        <w:rPr>
          <w:rFonts w:ascii="Times-Roman" w:hAnsi="Times-Roman" w:cs="Times-Roman"/>
          <w:lang w:val="en-US"/>
        </w:rPr>
        <w:t xml:space="preserve"> </w:t>
      </w:r>
      <w:r w:rsidR="00563401" w:rsidRPr="007D089C">
        <w:rPr>
          <w:lang w:val="en-US"/>
        </w:rPr>
        <w:t>with which</w:t>
      </w:r>
      <w:r w:rsidR="000074EB" w:rsidRPr="007D089C">
        <w:rPr>
          <w:lang w:val="en-US"/>
        </w:rPr>
        <w:t xml:space="preserve"> they reported identification of in the order of 380 proteins in both studies. </w:t>
      </w:r>
    </w:p>
    <w:p w14:paraId="7E14774A" w14:textId="77777777" w:rsidR="000074EB" w:rsidRPr="007D089C" w:rsidRDefault="000074EB" w:rsidP="00B43F04">
      <w:pPr>
        <w:autoSpaceDE w:val="0"/>
        <w:autoSpaceDN w:val="0"/>
        <w:adjustRightInd w:val="0"/>
        <w:spacing w:line="480" w:lineRule="auto"/>
        <w:jc w:val="both"/>
        <w:rPr>
          <w:rFonts w:ascii="AdvP49811" w:hAnsi="AdvP49811" w:cs="AdvP49811"/>
          <w:lang w:val="en-US"/>
        </w:rPr>
      </w:pPr>
    </w:p>
    <w:p w14:paraId="72313C81" w14:textId="74171872" w:rsidR="000074EB" w:rsidRPr="007D089C" w:rsidRDefault="000074EB" w:rsidP="00B43F04">
      <w:pPr>
        <w:autoSpaceDE w:val="0"/>
        <w:autoSpaceDN w:val="0"/>
        <w:adjustRightInd w:val="0"/>
        <w:spacing w:line="480" w:lineRule="auto"/>
        <w:jc w:val="both"/>
        <w:rPr>
          <w:rFonts w:ascii="AdvP49811" w:hAnsi="AdvP49811" w:cs="AdvP49811"/>
          <w:lang w:val="en-US"/>
        </w:rPr>
      </w:pPr>
      <w:r w:rsidRPr="007D089C">
        <w:rPr>
          <w:rFonts w:ascii="Times-Roman" w:hAnsi="Times-Roman" w:cs="Times-Roman"/>
          <w:lang w:val="en-US"/>
        </w:rPr>
        <w:t xml:space="preserve">From a similar area of separation technology as SCX, anion exchange columns have been used to fractionate iTRAQ samples, including separation based on hydrophilic interaction chromatography (HILIC). Jing </w:t>
      </w:r>
      <w:r w:rsidRPr="007D089C">
        <w:rPr>
          <w:rFonts w:ascii="Times-Roman" w:hAnsi="Times-Roman" w:cs="Times-Roman"/>
          <w:i/>
          <w:lang w:val="en-US"/>
        </w:rPr>
        <w:t>et al.</w:t>
      </w:r>
      <w:r w:rsidRPr="007D089C">
        <w:rPr>
          <w:rFonts w:ascii="Times-Roman" w:hAnsi="Times-Roman" w:cs="Times-Roman"/>
          <w:lang w:val="en-US"/>
        </w:rPr>
        <w:t xml:space="preserve"> used both SCX and HILIC for pre-fractionation with analysis with ESI and LC-MALDI for an iTRAQ study of a mouse model of coronary heart disease </w:t>
      </w:r>
      <w:r w:rsidRPr="007D089C">
        <w:rPr>
          <w:rFonts w:ascii="Times-Roman" w:hAnsi="Times-Roman" w:cs="Times-Roman"/>
          <w:lang w:val="en-US"/>
        </w:rPr>
        <w:fldChar w:fldCharType="begin"/>
      </w:r>
      <w:r w:rsidRPr="007D089C">
        <w:rPr>
          <w:rFonts w:ascii="Times-Roman" w:hAnsi="Times-Roman" w:cs="Times-Roman"/>
          <w:lang w:val="en-US"/>
        </w:rPr>
        <w:instrText>ADDIN RW.CITE{{2007 Jing,L. 2011}}</w:instrText>
      </w:r>
      <w:r w:rsidRPr="007D089C">
        <w:rPr>
          <w:rFonts w:ascii="Times-Roman" w:hAnsi="Times-Roman" w:cs="Times-Roman"/>
          <w:lang w:val="en-US"/>
        </w:rPr>
        <w:fldChar w:fldCharType="separate"/>
      </w:r>
      <w:r w:rsidR="00C77B76">
        <w:rPr>
          <w:rFonts w:ascii="Times-Roman" w:hAnsi="Times-Roman" w:cs="Times-Roman"/>
          <w:lang w:val="en-US"/>
        </w:rPr>
        <w:t>(Jing et al., 2011)</w:t>
      </w:r>
      <w:r w:rsidRPr="007D089C">
        <w:rPr>
          <w:rFonts w:ascii="Times-Roman" w:hAnsi="Times-Roman" w:cs="Times-Roman"/>
          <w:lang w:val="en-US"/>
        </w:rPr>
        <w:fldChar w:fldCharType="end"/>
      </w:r>
      <w:r w:rsidRPr="007D089C">
        <w:rPr>
          <w:rFonts w:ascii="Times-Roman" w:hAnsi="Times-Roman" w:cs="Times-Roman"/>
          <w:lang w:val="en-US"/>
        </w:rPr>
        <w:t xml:space="preserve">. Whilst their data indicated that the two MS platforms gave complementary information, they combined the data from both fractionation methods and did not provide any comparison. Larkin </w:t>
      </w:r>
      <w:r w:rsidRPr="007D089C">
        <w:rPr>
          <w:rFonts w:ascii="Times-Roman" w:hAnsi="Times-Roman" w:cs="Times-Roman"/>
          <w:i/>
          <w:lang w:val="en-US"/>
        </w:rPr>
        <w:t>et al.</w:t>
      </w:r>
      <w:r w:rsidRPr="007D089C">
        <w:rPr>
          <w:rFonts w:ascii="Times-Roman" w:hAnsi="Times-Roman" w:cs="Times-Roman"/>
          <w:lang w:val="en-US"/>
        </w:rPr>
        <w:t xml:space="preserve"> implemented HILIC in a variation of the three dimensional depletion-free strategy initially described by Al-Daghri </w:t>
      </w:r>
      <w:r w:rsidRPr="007D089C">
        <w:rPr>
          <w:rFonts w:ascii="Times-Roman" w:hAnsi="Times-Roman" w:cs="Times-Roman"/>
          <w:lang w:val="en-US"/>
        </w:rPr>
        <w:fldChar w:fldCharType="begin"/>
      </w:r>
      <w:r w:rsidRPr="007D089C">
        <w:rPr>
          <w:rFonts w:ascii="Times-Roman" w:hAnsi="Times-Roman" w:cs="Times-Roman"/>
          <w:lang w:val="en-US"/>
        </w:rPr>
        <w:instrText>ADDIN RW.CITE{{2037 Al-Daghri,N.M. 2014}}</w:instrText>
      </w:r>
      <w:r w:rsidRPr="007D089C">
        <w:rPr>
          <w:rFonts w:ascii="Times-Roman" w:hAnsi="Times-Roman" w:cs="Times-Roman"/>
          <w:lang w:val="en-US"/>
        </w:rPr>
        <w:fldChar w:fldCharType="separate"/>
      </w:r>
      <w:r w:rsidR="00C77B76">
        <w:rPr>
          <w:rFonts w:ascii="Times-Roman" w:hAnsi="Times-Roman" w:cs="Times-Roman"/>
          <w:lang w:val="en-US"/>
        </w:rPr>
        <w:t>(Al-Daghri et al., 2014)</w:t>
      </w:r>
      <w:r w:rsidRPr="007D089C">
        <w:rPr>
          <w:rFonts w:ascii="Times-Roman" w:hAnsi="Times-Roman" w:cs="Times-Roman"/>
          <w:lang w:val="en-US"/>
        </w:rPr>
        <w:fldChar w:fldCharType="end"/>
      </w:r>
      <w:r w:rsidRPr="007D089C">
        <w:rPr>
          <w:rFonts w:ascii="Times-Roman" w:hAnsi="Times-Roman" w:cs="Times-Roman"/>
          <w:lang w:val="en-US"/>
        </w:rPr>
        <w:t>, notably identifying in the order of a thousand proteins</w:t>
      </w:r>
      <w:r w:rsidR="005B2773" w:rsidRPr="007D089C">
        <w:rPr>
          <w:rFonts w:ascii="Times-Roman" w:hAnsi="Times-Roman" w:cs="Times-Roman"/>
          <w:lang w:val="en-US"/>
        </w:rPr>
        <w:t xml:space="preserve"> </w:t>
      </w:r>
      <w:r w:rsidR="005B2773" w:rsidRPr="007D089C">
        <w:rPr>
          <w:rFonts w:ascii="Times-Roman" w:hAnsi="Times-Roman" w:cs="Times-Roman"/>
          <w:lang w:val="en-US"/>
        </w:rPr>
        <w:fldChar w:fldCharType="begin"/>
      </w:r>
      <w:r w:rsidR="005B2773" w:rsidRPr="007D089C">
        <w:rPr>
          <w:rFonts w:ascii="Times-Roman" w:hAnsi="Times-Roman" w:cs="Times-Roman"/>
          <w:lang w:val="en-US"/>
        </w:rPr>
        <w:instrText>ADDIN RW.CITE{{3077 Larkin,S.E. 2016}}</w:instrText>
      </w:r>
      <w:r w:rsidR="005B2773" w:rsidRPr="007D089C">
        <w:rPr>
          <w:rFonts w:ascii="Times-Roman" w:hAnsi="Times-Roman" w:cs="Times-Roman"/>
          <w:lang w:val="en-US"/>
        </w:rPr>
        <w:fldChar w:fldCharType="separate"/>
      </w:r>
      <w:r w:rsidR="00C77B76">
        <w:rPr>
          <w:rFonts w:ascii="Times-Roman" w:hAnsi="Times-Roman" w:cs="Times-Roman"/>
          <w:lang w:val="en-US"/>
        </w:rPr>
        <w:t>(Larkin et al., 2016)</w:t>
      </w:r>
      <w:r w:rsidR="005B2773" w:rsidRPr="007D089C">
        <w:rPr>
          <w:rFonts w:ascii="Times-Roman" w:hAnsi="Times-Roman" w:cs="Times-Roman"/>
          <w:lang w:val="en-US"/>
        </w:rPr>
        <w:fldChar w:fldCharType="end"/>
      </w:r>
      <w:r w:rsidRPr="007D089C">
        <w:rPr>
          <w:rFonts w:ascii="Times-Roman" w:hAnsi="Times-Roman" w:cs="Times-Roman"/>
          <w:lang w:val="en-US"/>
        </w:rPr>
        <w:t xml:space="preserve">. Another alternative using anion exchange columns for fractionation is Electrostatic Repulsion-Hydrophilic Interaction Chromatography (ERLIC), which was used by Datta </w:t>
      </w:r>
      <w:r w:rsidRPr="007D089C">
        <w:rPr>
          <w:rFonts w:ascii="Times-Roman" w:hAnsi="Times-Roman" w:cs="Times-Roman"/>
          <w:i/>
          <w:lang w:val="en-US"/>
        </w:rPr>
        <w:t>et al.</w:t>
      </w:r>
      <w:r w:rsidRPr="007D089C">
        <w:rPr>
          <w:rFonts w:ascii="Times-Roman" w:hAnsi="Times-Roman" w:cs="Times-Roman"/>
          <w:lang w:val="en-US"/>
        </w:rPr>
        <w:t xml:space="preserve"> in a study </w:t>
      </w:r>
      <w:r w:rsidR="00670428" w:rsidRPr="007D089C">
        <w:rPr>
          <w:rFonts w:ascii="Times-Roman" w:hAnsi="Times-Roman" w:cs="Times-Roman"/>
          <w:lang w:val="en-US"/>
        </w:rPr>
        <w:t>where</w:t>
      </w:r>
      <w:r w:rsidRPr="007D089C">
        <w:rPr>
          <w:rFonts w:ascii="Times-Roman" w:hAnsi="Times-Roman" w:cs="Times-Roman"/>
          <w:lang w:val="en-US"/>
        </w:rPr>
        <w:t xml:space="preserve"> they enriched plasma mircovesicles in a study of lacunar infraction </w:t>
      </w:r>
      <w:r w:rsidRPr="007D089C">
        <w:rPr>
          <w:rFonts w:ascii="Times-Roman" w:hAnsi="Times-Roman" w:cs="Times-Roman"/>
          <w:lang w:val="en-US"/>
        </w:rPr>
        <w:fldChar w:fldCharType="begin"/>
      </w:r>
      <w:r w:rsidRPr="007D089C">
        <w:rPr>
          <w:rFonts w:ascii="Times-Roman" w:hAnsi="Times-Roman" w:cs="Times-Roman"/>
          <w:lang w:val="en-US"/>
        </w:rPr>
        <w:instrText>ADDIN RW.CITE{{2035 Datta,A. 2014}}</w:instrText>
      </w:r>
      <w:r w:rsidRPr="007D089C">
        <w:rPr>
          <w:rFonts w:ascii="Times-Roman" w:hAnsi="Times-Roman" w:cs="Times-Roman"/>
          <w:lang w:val="en-US"/>
        </w:rPr>
        <w:fldChar w:fldCharType="separate"/>
      </w:r>
      <w:r w:rsidR="00C77B76">
        <w:rPr>
          <w:rFonts w:ascii="Times-Roman" w:hAnsi="Times-Roman" w:cs="Times-Roman"/>
          <w:lang w:val="en-US"/>
        </w:rPr>
        <w:t>(A. Datta, Chen, &amp; Sze, 2014)</w:t>
      </w:r>
      <w:r w:rsidRPr="007D089C">
        <w:rPr>
          <w:rFonts w:ascii="Times-Roman" w:hAnsi="Times-Roman" w:cs="Times-Roman"/>
          <w:lang w:val="en-US"/>
        </w:rPr>
        <w:fldChar w:fldCharType="end"/>
      </w:r>
      <w:r w:rsidRPr="007D089C">
        <w:rPr>
          <w:lang w:val="en-US"/>
        </w:rPr>
        <w:t>.</w:t>
      </w:r>
    </w:p>
    <w:p w14:paraId="65EB0CFC" w14:textId="77777777" w:rsidR="000074EB" w:rsidRPr="007D089C" w:rsidRDefault="000074EB" w:rsidP="00B43F04">
      <w:pPr>
        <w:autoSpaceDE w:val="0"/>
        <w:autoSpaceDN w:val="0"/>
        <w:adjustRightInd w:val="0"/>
        <w:spacing w:line="480" w:lineRule="auto"/>
        <w:jc w:val="both"/>
        <w:rPr>
          <w:rFonts w:ascii="Times-Roman" w:hAnsi="Times-Roman" w:cs="Times-Roman"/>
          <w:lang w:val="en-US"/>
        </w:rPr>
      </w:pPr>
    </w:p>
    <w:p w14:paraId="055DFD96" w14:textId="04D9714B" w:rsidR="000074EB" w:rsidRPr="007D089C" w:rsidRDefault="000074EB" w:rsidP="00B43F04">
      <w:pPr>
        <w:autoSpaceDE w:val="0"/>
        <w:autoSpaceDN w:val="0"/>
        <w:adjustRightInd w:val="0"/>
        <w:spacing w:line="480" w:lineRule="auto"/>
        <w:jc w:val="both"/>
        <w:rPr>
          <w:rFonts w:ascii="Times-Roman" w:hAnsi="Times-Roman" w:cs="Times-Roman"/>
          <w:color w:val="FF0000"/>
          <w:lang w:val="en-US"/>
        </w:rPr>
      </w:pPr>
      <w:r w:rsidRPr="007D089C">
        <w:rPr>
          <w:rFonts w:ascii="Times-Roman" w:hAnsi="Times-Roman" w:cs="Times-Roman"/>
          <w:lang w:val="en-US"/>
        </w:rPr>
        <w:t xml:space="preserve">Reversed-phase fractionation at a basic pH (10-11) has emerged as popular alternative to SCX and was used in the work by Keshishian </w:t>
      </w:r>
      <w:r w:rsidRPr="007D089C">
        <w:rPr>
          <w:rFonts w:ascii="Times-Roman" w:hAnsi="Times-Roman" w:cs="Times-Roman"/>
          <w:i/>
          <w:lang w:val="en-US"/>
        </w:rPr>
        <w:t>et al.</w:t>
      </w:r>
      <w:r w:rsidRPr="007D089C">
        <w:rPr>
          <w:rFonts w:ascii="Times-Roman" w:hAnsi="Times-Roman" w:cs="Times-Roman"/>
          <w:lang w:val="en-US"/>
        </w:rPr>
        <w:t xml:space="preserve"> in which in the order of 5000 proteins were reported </w:t>
      </w:r>
      <w:r w:rsidRPr="007D089C">
        <w:rPr>
          <w:rFonts w:ascii="Times-Roman" w:hAnsi="Times-Roman" w:cs="Times-Roman"/>
          <w:lang w:val="en-US"/>
        </w:rPr>
        <w:fldChar w:fldCharType="begin"/>
      </w:r>
      <w:r w:rsidRPr="007D089C">
        <w:rPr>
          <w:rFonts w:ascii="Times-Roman" w:hAnsi="Times-Roman" w:cs="Times-Roman"/>
          <w:lang w:val="en-US"/>
        </w:rPr>
        <w:instrText>ADDIN RW.CITE{{2138 Keshishian,H. 2015}}</w:instrText>
      </w:r>
      <w:r w:rsidRPr="007D089C">
        <w:rPr>
          <w:rFonts w:ascii="Times-Roman" w:hAnsi="Times-Roman" w:cs="Times-Roman"/>
          <w:lang w:val="en-US"/>
        </w:rPr>
        <w:fldChar w:fldCharType="separate"/>
      </w:r>
      <w:r w:rsidR="00C77B76">
        <w:rPr>
          <w:rFonts w:ascii="Times-Roman" w:hAnsi="Times-Roman" w:cs="Times-Roman"/>
          <w:lang w:val="en-US"/>
        </w:rPr>
        <w:t>(Keshishian et al., 2015)</w:t>
      </w:r>
      <w:r w:rsidRPr="007D089C">
        <w:rPr>
          <w:rFonts w:ascii="Times-Roman" w:hAnsi="Times-Roman" w:cs="Times-Roman"/>
          <w:lang w:val="en-US"/>
        </w:rPr>
        <w:fldChar w:fldCharType="end"/>
      </w:r>
      <w:r w:rsidRPr="007D089C">
        <w:rPr>
          <w:rFonts w:ascii="Times-Roman" w:hAnsi="Times-Roman" w:cs="Times-Roman"/>
          <w:lang w:val="en-US"/>
        </w:rPr>
        <w:t xml:space="preserve">. </w:t>
      </w:r>
      <w:r w:rsidR="00B2713B" w:rsidRPr="007D089C">
        <w:rPr>
          <w:rFonts w:ascii="Times-Roman" w:hAnsi="Times-Roman" w:cs="Times-Roman"/>
          <w:lang w:val="en-US"/>
        </w:rPr>
        <w:t>The reversed phase separation and fractionation of peptides at a basic pH is orthogonal to the separation of ionic species at normal (acidic) pH. Typically a gradient of a basic aqueous solution of ammonium formate is run against an increasing percentage of acetonitrile. When performe</w:t>
      </w:r>
      <w:r w:rsidR="00E16D54" w:rsidRPr="007D089C">
        <w:rPr>
          <w:rFonts w:ascii="Times-Roman" w:hAnsi="Times-Roman" w:cs="Times-Roman"/>
          <w:lang w:val="en-US"/>
        </w:rPr>
        <w:t>d with volatile elution buffers</w:t>
      </w:r>
      <w:r w:rsidR="00B2713B" w:rsidRPr="007D089C">
        <w:rPr>
          <w:rFonts w:ascii="Times-Roman" w:hAnsi="Times-Roman" w:cs="Times-Roman"/>
          <w:lang w:val="en-US"/>
        </w:rPr>
        <w:t xml:space="preserve"> additional desalting can be omitted. </w:t>
      </w:r>
      <w:r w:rsidRPr="007D089C">
        <w:rPr>
          <w:rFonts w:ascii="Times-Roman" w:hAnsi="Times-Roman" w:cs="Times-Roman"/>
          <w:lang w:val="en-US"/>
        </w:rPr>
        <w:t>Liu, CW and co-workers used high pH reverse</w:t>
      </w:r>
      <w:r w:rsidR="00B2713B" w:rsidRPr="007D089C">
        <w:rPr>
          <w:rFonts w:ascii="Times-Roman" w:hAnsi="Times-Roman" w:cs="Times-Roman"/>
          <w:lang w:val="en-US"/>
        </w:rPr>
        <w:t>d-phase fractionation for nine</w:t>
      </w:r>
      <w:r w:rsidRPr="007D089C">
        <w:rPr>
          <w:rFonts w:ascii="Times-Roman" w:hAnsi="Times-Roman" w:cs="Times-Roman"/>
          <w:lang w:val="en-US"/>
        </w:rPr>
        <w:t xml:space="preserve"> 10-plex TMT labelled plasma samples from ten subjects (10 TMT experiments), reporting identification of 1828 proteins with </w:t>
      </w:r>
      <w:r w:rsidR="00B2713B" w:rsidRPr="007D089C">
        <w:rPr>
          <w:rFonts w:ascii="Times-Roman" w:hAnsi="Times-Roman" w:cs="Times-Roman"/>
          <w:lang w:val="en-US"/>
        </w:rPr>
        <w:t xml:space="preserve">an impressive figure of </w:t>
      </w:r>
      <w:r w:rsidRPr="007D089C">
        <w:rPr>
          <w:rFonts w:ascii="Times-Roman" w:hAnsi="Times-Roman" w:cs="Times-Roman"/>
          <w:lang w:val="en-US"/>
        </w:rPr>
        <w:t xml:space="preserve">1009 </w:t>
      </w:r>
      <w:r w:rsidR="00B2713B" w:rsidRPr="007D089C">
        <w:rPr>
          <w:rFonts w:ascii="Times-Roman" w:hAnsi="Times-Roman" w:cs="Times-Roman"/>
          <w:lang w:val="en-US"/>
        </w:rPr>
        <w:t xml:space="preserve">proteins </w:t>
      </w:r>
      <w:r w:rsidRPr="007D089C">
        <w:rPr>
          <w:rFonts w:ascii="Times-Roman" w:hAnsi="Times-Roman" w:cs="Times-Roman"/>
          <w:lang w:val="en-US"/>
        </w:rPr>
        <w:t xml:space="preserve">detected in all </w:t>
      </w:r>
      <w:r w:rsidR="00B2713B" w:rsidRPr="007D089C">
        <w:rPr>
          <w:rFonts w:ascii="Times-Roman" w:hAnsi="Times-Roman" w:cs="Times-Roman"/>
          <w:lang w:val="en-US"/>
        </w:rPr>
        <w:t xml:space="preserve">90 </w:t>
      </w:r>
      <w:r w:rsidRPr="007D089C">
        <w:rPr>
          <w:rFonts w:ascii="Times-Roman" w:hAnsi="Times-Roman" w:cs="Times-Roman"/>
          <w:lang w:val="en-US"/>
        </w:rPr>
        <w:t>samples.</w:t>
      </w:r>
      <w:r w:rsidR="00946A31" w:rsidRPr="007D089C">
        <w:rPr>
          <w:rFonts w:ascii="Times-Roman" w:hAnsi="Times-Roman" w:cs="Times-Roman"/>
          <w:lang w:val="en-US"/>
        </w:rPr>
        <w:t xml:space="preserve"> </w:t>
      </w:r>
    </w:p>
    <w:p w14:paraId="01D61566" w14:textId="77777777" w:rsidR="000074EB" w:rsidRPr="007D089C" w:rsidRDefault="000074EB" w:rsidP="00B43F04">
      <w:pPr>
        <w:autoSpaceDE w:val="0"/>
        <w:autoSpaceDN w:val="0"/>
        <w:adjustRightInd w:val="0"/>
        <w:spacing w:line="480" w:lineRule="auto"/>
        <w:jc w:val="both"/>
        <w:rPr>
          <w:rFonts w:ascii="Times-Roman" w:hAnsi="Times-Roman" w:cs="Times-Roman"/>
          <w:lang w:val="en-US"/>
        </w:rPr>
      </w:pPr>
    </w:p>
    <w:p w14:paraId="0CFF9C7C" w14:textId="13C2CA1F" w:rsidR="000074EB" w:rsidRPr="007D089C" w:rsidRDefault="000074EB" w:rsidP="00B43F04">
      <w:pPr>
        <w:autoSpaceDE w:val="0"/>
        <w:autoSpaceDN w:val="0"/>
        <w:adjustRightInd w:val="0"/>
        <w:spacing w:line="480" w:lineRule="auto"/>
        <w:jc w:val="both"/>
        <w:rPr>
          <w:rFonts w:ascii="Times-Roman" w:hAnsi="Times-Roman" w:cs="Times-Roman"/>
          <w:lang w:val="en-US"/>
        </w:rPr>
      </w:pPr>
      <w:r w:rsidRPr="007D089C">
        <w:rPr>
          <w:rFonts w:ascii="Times-Roman" w:hAnsi="Times-Roman" w:cs="Times-Roman"/>
          <w:lang w:val="en-US"/>
        </w:rPr>
        <w:t xml:space="preserve">As a non-chromatographic option, peptide isoelectric focusing has been used with both </w:t>
      </w:r>
      <w:r w:rsidRPr="007D089C">
        <w:rPr>
          <w:rStyle w:val="st"/>
          <w:lang w:val="en-US"/>
        </w:rPr>
        <w:t>immobilized pH gradient</w:t>
      </w:r>
      <w:r w:rsidR="00B2713B" w:rsidRPr="007D089C">
        <w:rPr>
          <w:rStyle w:val="st"/>
          <w:lang w:val="en-US"/>
        </w:rPr>
        <w:t>s</w:t>
      </w:r>
      <w:r w:rsidRPr="007D089C">
        <w:rPr>
          <w:rStyle w:val="st"/>
          <w:lang w:val="en-US"/>
        </w:rPr>
        <w:t xml:space="preserve"> (IPG)</w:t>
      </w:r>
      <w:r w:rsidRPr="007D089C">
        <w:rPr>
          <w:rStyle w:val="st"/>
          <w:color w:val="E36C0A" w:themeColor="accent6" w:themeShade="BF"/>
          <w:lang w:val="en-US"/>
        </w:rPr>
        <w:t xml:space="preserve"> </w:t>
      </w:r>
      <w:r w:rsidRPr="007D089C">
        <w:rPr>
          <w:rFonts w:ascii="Times-Roman" w:hAnsi="Times-Roman" w:cs="Times-Roman"/>
          <w:lang w:val="en-US"/>
        </w:rPr>
        <w:fldChar w:fldCharType="begin"/>
      </w:r>
      <w:r w:rsidRPr="007D089C">
        <w:rPr>
          <w:rFonts w:ascii="Times-Roman" w:hAnsi="Times-Roman" w:cs="Times-Roman"/>
          <w:lang w:val="en-US"/>
        </w:rPr>
        <w:instrText>ADDIN RW.CITE{{1434 Pernemalm,M. 2009; 1913 Liu,Y. 2014; 1991 Chen,X. 2013; 2017 Pernemalm,M. 2013}}</w:instrText>
      </w:r>
      <w:r w:rsidRPr="007D089C">
        <w:rPr>
          <w:rFonts w:ascii="Times-Roman" w:hAnsi="Times-Roman" w:cs="Times-Roman"/>
          <w:lang w:val="en-US"/>
        </w:rPr>
        <w:fldChar w:fldCharType="separate"/>
      </w:r>
      <w:r w:rsidR="00C77B76">
        <w:rPr>
          <w:rFonts w:ascii="Times-Roman" w:hAnsi="Times-Roman" w:cs="Times-Roman"/>
          <w:lang w:val="en-US"/>
        </w:rPr>
        <w:t>(X. Chen, Shan, Jiang, Zhu, &amp; Xi, 2013; Y. Liu et al., 2014; Pernemalm et al., 2009; Pernemalm &amp; Lehtio, 2013)</w:t>
      </w:r>
      <w:r w:rsidRPr="007D089C">
        <w:rPr>
          <w:rFonts w:ascii="Times-Roman" w:hAnsi="Times-Roman" w:cs="Times-Roman"/>
          <w:lang w:val="en-US"/>
        </w:rPr>
        <w:fldChar w:fldCharType="end"/>
      </w:r>
      <w:r w:rsidRPr="007D089C">
        <w:rPr>
          <w:rFonts w:ascii="Times-Roman" w:hAnsi="Times-Roman" w:cs="Times-Roman"/>
          <w:lang w:val="en-US"/>
        </w:rPr>
        <w:t xml:space="preserve"> and off-gel approaches </w:t>
      </w:r>
      <w:r w:rsidRPr="007D089C">
        <w:rPr>
          <w:rFonts w:ascii="Times-Roman" w:hAnsi="Times-Roman" w:cs="Times-Roman"/>
          <w:lang w:val="en-US"/>
        </w:rPr>
        <w:fldChar w:fldCharType="begin"/>
      </w:r>
      <w:r w:rsidRPr="007D089C">
        <w:rPr>
          <w:rFonts w:ascii="Times-Roman" w:hAnsi="Times-Roman" w:cs="Times-Roman"/>
          <w:lang w:val="en-US"/>
        </w:rPr>
        <w:instrText>ADDIN RW.CITE{{1437 Chenau,J. 2008; 1433 Ernoult,E. 2010; 2031 Pottiez,G. 2012; 2111 Kumar,Y. 2012; 1898 Jones,K.A. 2013}}</w:instrText>
      </w:r>
      <w:r w:rsidRPr="007D089C">
        <w:rPr>
          <w:rFonts w:ascii="Times-Roman" w:hAnsi="Times-Roman" w:cs="Times-Roman"/>
          <w:lang w:val="en-US"/>
        </w:rPr>
        <w:fldChar w:fldCharType="separate"/>
      </w:r>
      <w:r w:rsidR="00C77B76">
        <w:rPr>
          <w:rFonts w:ascii="Times-Roman" w:hAnsi="Times-Roman" w:cs="Times-Roman"/>
          <w:lang w:val="en-US"/>
        </w:rPr>
        <w:t>(Chenau, Michelland, Sidibe, &amp; Seve, 2008; Ernoult et al., 2010; Jones et al., 2013; Kumar et al., 2012; Pottiez et al., 2012)</w:t>
      </w:r>
      <w:r w:rsidRPr="007D089C">
        <w:rPr>
          <w:rFonts w:ascii="Times-Roman" w:hAnsi="Times-Roman" w:cs="Times-Roman"/>
          <w:lang w:val="en-US"/>
        </w:rPr>
        <w:fldChar w:fldCharType="end"/>
      </w:r>
      <w:r w:rsidRPr="007D089C">
        <w:rPr>
          <w:rFonts w:ascii="Times-Roman" w:hAnsi="Times-Roman" w:cs="Times-Roman"/>
          <w:lang w:val="en-US"/>
        </w:rPr>
        <w:t xml:space="preserve">. Using IPG strips Pernemalm </w:t>
      </w:r>
      <w:r w:rsidRPr="007D089C">
        <w:rPr>
          <w:rFonts w:ascii="Times-Roman" w:hAnsi="Times-Roman" w:cs="Times-Roman"/>
          <w:i/>
          <w:lang w:val="en-US"/>
        </w:rPr>
        <w:t>et al.</w:t>
      </w:r>
      <w:r w:rsidRPr="007D089C">
        <w:rPr>
          <w:rFonts w:ascii="Times-Roman" w:hAnsi="Times-Roman" w:cs="Times-Roman"/>
          <w:lang w:val="en-US"/>
        </w:rPr>
        <w:t xml:space="preserve"> have demonstrated the potential of </w:t>
      </w:r>
      <w:r w:rsidRPr="007D089C">
        <w:rPr>
          <w:rFonts w:ascii="timesroman" w:hAnsi="timesroman"/>
          <w:lang w:val="en-US"/>
        </w:rPr>
        <w:t xml:space="preserve">narrow-range peptide IEF for plasma analysis </w:t>
      </w:r>
      <w:r w:rsidRPr="007D089C">
        <w:rPr>
          <w:rFonts w:ascii="timesroman" w:hAnsi="timesroman"/>
          <w:lang w:val="en-US"/>
        </w:rPr>
        <w:fldChar w:fldCharType="begin"/>
      </w:r>
      <w:r w:rsidRPr="007D089C">
        <w:rPr>
          <w:rFonts w:ascii="timesroman" w:hAnsi="timesroman"/>
          <w:lang w:val="en-US"/>
        </w:rPr>
        <w:instrText>ADDIN RW.CITE{{1434 Pernemalm,M. 2009}}</w:instrText>
      </w:r>
      <w:r w:rsidRPr="007D089C">
        <w:rPr>
          <w:rFonts w:ascii="timesroman" w:hAnsi="timesroman"/>
          <w:lang w:val="en-US"/>
        </w:rPr>
        <w:fldChar w:fldCharType="separate"/>
      </w:r>
      <w:r w:rsidR="00C77B76">
        <w:rPr>
          <w:rFonts w:ascii="timesroman" w:hAnsi="timesroman"/>
          <w:lang w:val="en-US"/>
        </w:rPr>
        <w:t>(Pernemalm et al., 2009)</w:t>
      </w:r>
      <w:r w:rsidRPr="007D089C">
        <w:rPr>
          <w:rFonts w:ascii="timesroman" w:hAnsi="timesroman"/>
          <w:lang w:val="en-US"/>
        </w:rPr>
        <w:fldChar w:fldCharType="end"/>
      </w:r>
      <w:r w:rsidRPr="007D089C">
        <w:rPr>
          <w:rFonts w:ascii="timesroman" w:hAnsi="timesroman"/>
          <w:lang w:val="en-US"/>
        </w:rPr>
        <w:t xml:space="preserve">. </w:t>
      </w:r>
      <w:r w:rsidR="006D6AD7" w:rsidRPr="007D089C">
        <w:rPr>
          <w:rFonts w:ascii="Times-Roman" w:hAnsi="Times-Roman" w:cs="Times-Roman"/>
          <w:lang w:val="en-US"/>
        </w:rPr>
        <w:t>Amongst</w:t>
      </w:r>
      <w:r w:rsidRPr="007D089C">
        <w:rPr>
          <w:rFonts w:ascii="Times-Roman" w:hAnsi="Times-Roman" w:cs="Times-Roman"/>
          <w:lang w:val="en-US"/>
        </w:rPr>
        <w:t xml:space="preserve"> the example</w:t>
      </w:r>
      <w:r w:rsidR="006D6AD7" w:rsidRPr="007D089C">
        <w:rPr>
          <w:rFonts w:ascii="Times-Roman" w:hAnsi="Times-Roman" w:cs="Times-Roman"/>
          <w:lang w:val="en-US"/>
        </w:rPr>
        <w:t>s of</w:t>
      </w:r>
      <w:r w:rsidRPr="007D089C">
        <w:rPr>
          <w:rFonts w:ascii="Times-Roman" w:hAnsi="Times-Roman" w:cs="Times-Roman"/>
          <w:lang w:val="en-US"/>
        </w:rPr>
        <w:t xml:space="preserve"> </w:t>
      </w:r>
      <w:r w:rsidR="00563401" w:rsidRPr="007D089C">
        <w:rPr>
          <w:rFonts w:ascii="Times-Roman" w:hAnsi="Times-Roman" w:cs="Times-Roman"/>
          <w:lang w:val="en-US"/>
        </w:rPr>
        <w:t xml:space="preserve">applications of </w:t>
      </w:r>
      <w:r w:rsidRPr="007D089C">
        <w:rPr>
          <w:rFonts w:ascii="Times-Roman" w:hAnsi="Times-Roman" w:cs="Times-Roman"/>
          <w:lang w:val="en-US"/>
        </w:rPr>
        <w:t xml:space="preserve">off-gel IEF is the laboratory and instrument performance comparison by Jones </w:t>
      </w:r>
      <w:r w:rsidRPr="007D089C">
        <w:rPr>
          <w:rFonts w:ascii="Times-Roman" w:hAnsi="Times-Roman" w:cs="Times-Roman"/>
          <w:i/>
          <w:lang w:val="en-US"/>
        </w:rPr>
        <w:t>et al</w:t>
      </w:r>
      <w:r w:rsidRPr="007D089C">
        <w:rPr>
          <w:rFonts w:ascii="Times-Roman" w:hAnsi="Times-Roman" w:cs="Times-Roman"/>
          <w:lang w:val="en-US"/>
        </w:rPr>
        <w:t xml:space="preserve">., in which plasma was first fractionated with tandem immuno-affinity columns then the labeled peptides fractionated by IEF to create 30 fractions </w:t>
      </w:r>
      <w:r w:rsidRPr="007D089C">
        <w:rPr>
          <w:rFonts w:ascii="Times-Roman" w:hAnsi="Times-Roman" w:cs="Times-Roman"/>
          <w:lang w:val="en-US"/>
        </w:rPr>
        <w:fldChar w:fldCharType="begin"/>
      </w:r>
      <w:r w:rsidRPr="007D089C">
        <w:rPr>
          <w:rFonts w:ascii="Times-Roman" w:hAnsi="Times-Roman" w:cs="Times-Roman"/>
          <w:lang w:val="en-US"/>
        </w:rPr>
        <w:instrText>ADDIN RW.CITE{{1898 Jones,K.A. 2013}}</w:instrText>
      </w:r>
      <w:r w:rsidRPr="007D089C">
        <w:rPr>
          <w:rFonts w:ascii="Times-Roman" w:hAnsi="Times-Roman" w:cs="Times-Roman"/>
          <w:lang w:val="en-US"/>
        </w:rPr>
        <w:fldChar w:fldCharType="separate"/>
      </w:r>
      <w:r w:rsidR="00C77B76">
        <w:rPr>
          <w:rFonts w:ascii="Times-Roman" w:hAnsi="Times-Roman" w:cs="Times-Roman"/>
          <w:lang w:val="en-US"/>
        </w:rPr>
        <w:t>(Jones et al., 2013)</w:t>
      </w:r>
      <w:r w:rsidRPr="007D089C">
        <w:rPr>
          <w:rFonts w:ascii="Times-Roman" w:hAnsi="Times-Roman" w:cs="Times-Roman"/>
          <w:lang w:val="en-US"/>
        </w:rPr>
        <w:fldChar w:fldCharType="end"/>
      </w:r>
      <w:r w:rsidRPr="007D089C">
        <w:rPr>
          <w:rFonts w:ascii="Times-Roman" w:hAnsi="Times-Roman" w:cs="Times-Roman"/>
          <w:lang w:val="en-US"/>
        </w:rPr>
        <w:t>; between 900 and 1300 pro</w:t>
      </w:r>
      <w:r w:rsidR="004E6DFE" w:rsidRPr="007D089C">
        <w:rPr>
          <w:rFonts w:ascii="Times-Roman" w:hAnsi="Times-Roman" w:cs="Times-Roman"/>
          <w:lang w:val="en-US"/>
        </w:rPr>
        <w:t xml:space="preserve">teins were quantified with the </w:t>
      </w:r>
      <w:r w:rsidRPr="007D089C">
        <w:rPr>
          <w:rFonts w:ascii="Times-Roman" w:hAnsi="Times-Roman" w:cs="Times-Roman"/>
          <w:lang w:val="en-US"/>
        </w:rPr>
        <w:t>different ESI platforms.</w:t>
      </w:r>
    </w:p>
    <w:p w14:paraId="4522FDE4" w14:textId="77777777" w:rsidR="000074EB" w:rsidRPr="007D089C" w:rsidRDefault="000074EB" w:rsidP="00B43F04">
      <w:pPr>
        <w:autoSpaceDE w:val="0"/>
        <w:autoSpaceDN w:val="0"/>
        <w:adjustRightInd w:val="0"/>
        <w:spacing w:line="480" w:lineRule="auto"/>
        <w:jc w:val="both"/>
        <w:rPr>
          <w:rFonts w:ascii="Times-Roman" w:hAnsi="Times-Roman" w:cs="Times-Roman"/>
          <w:lang w:val="en-US"/>
        </w:rPr>
      </w:pPr>
    </w:p>
    <w:p w14:paraId="6A72F12D" w14:textId="0F8CB453" w:rsidR="000074EB" w:rsidRPr="007D089C" w:rsidRDefault="000074EB" w:rsidP="00B43F04">
      <w:pPr>
        <w:autoSpaceDE w:val="0"/>
        <w:autoSpaceDN w:val="0"/>
        <w:adjustRightInd w:val="0"/>
        <w:spacing w:line="480" w:lineRule="auto"/>
        <w:jc w:val="both"/>
        <w:rPr>
          <w:rFonts w:ascii="Times-Roman" w:hAnsi="Times-Roman" w:cs="Times-Roman"/>
          <w:lang w:val="en-US"/>
        </w:rPr>
      </w:pPr>
      <w:r w:rsidRPr="007D089C">
        <w:rPr>
          <w:rFonts w:ascii="Times-Roman" w:hAnsi="Times-Roman" w:cs="Times-Roman"/>
          <w:lang w:val="en-US"/>
        </w:rPr>
        <w:t xml:space="preserve">Rather than fractionate on the basis of chromatographic or electrophoretic properties, Acosta-Martin </w:t>
      </w:r>
      <w:r w:rsidRPr="007D089C">
        <w:rPr>
          <w:rFonts w:ascii="Times-Roman" w:hAnsi="Times-Roman" w:cs="Times-Roman"/>
          <w:i/>
          <w:lang w:val="en-US"/>
        </w:rPr>
        <w:t>et al.</w:t>
      </w:r>
      <w:r w:rsidRPr="007D089C">
        <w:rPr>
          <w:rFonts w:ascii="Times-Roman" w:hAnsi="Times-Roman" w:cs="Times-Roman"/>
          <w:lang w:val="en-US"/>
        </w:rPr>
        <w:t xml:space="preserve"> used the data independent </w:t>
      </w:r>
      <w:r w:rsidRPr="007D089C">
        <w:rPr>
          <w:lang w:val="en-US"/>
        </w:rPr>
        <w:t>Precursor Acquisition Independent From Ion Count (</w:t>
      </w:r>
      <w:r w:rsidRPr="007D089C">
        <w:rPr>
          <w:rFonts w:ascii="Times-Roman" w:hAnsi="Times-Roman" w:cs="Times-Roman"/>
          <w:lang w:val="en-US"/>
        </w:rPr>
        <w:t xml:space="preserve">PAcIFIC) approach, scanning selected mass ranges with a series of injections in the ESI analysis of plasma from abdominal aortic aneurysm (AAA) patients (n =17) and controls (n = 17) </w:t>
      </w:r>
      <w:r w:rsidRPr="007D089C">
        <w:rPr>
          <w:rFonts w:ascii="Times-Roman" w:hAnsi="Times-Roman" w:cs="Times-Roman"/>
          <w:lang w:val="en-US"/>
        </w:rPr>
        <w:fldChar w:fldCharType="begin"/>
      </w:r>
      <w:r w:rsidRPr="007D089C">
        <w:rPr>
          <w:rFonts w:ascii="Times-Roman" w:hAnsi="Times-Roman" w:cs="Times-Roman"/>
          <w:lang w:val="en-US"/>
        </w:rPr>
        <w:instrText>ADDIN RW.CITE{{1537 Acosta-Martin,A.E. 2011}}</w:instrText>
      </w:r>
      <w:r w:rsidRPr="007D089C">
        <w:rPr>
          <w:rFonts w:ascii="Times-Roman" w:hAnsi="Times-Roman" w:cs="Times-Roman"/>
          <w:lang w:val="en-US"/>
        </w:rPr>
        <w:fldChar w:fldCharType="separate"/>
      </w:r>
      <w:r w:rsidR="00C77B76">
        <w:rPr>
          <w:rFonts w:ascii="Times-Roman" w:hAnsi="Times-Roman" w:cs="Times-Roman"/>
          <w:lang w:val="en-US"/>
        </w:rPr>
        <w:t>(Acosta-Martin et al., 2011)</w:t>
      </w:r>
      <w:r w:rsidRPr="007D089C">
        <w:rPr>
          <w:rFonts w:ascii="Times-Roman" w:hAnsi="Times-Roman" w:cs="Times-Roman"/>
          <w:lang w:val="en-US"/>
        </w:rPr>
        <w:fldChar w:fldCharType="end"/>
      </w:r>
      <w:r w:rsidRPr="007D089C">
        <w:rPr>
          <w:rFonts w:ascii="Times-Roman" w:hAnsi="Times-Roman" w:cs="Times-Roman"/>
          <w:lang w:val="en-US"/>
        </w:rPr>
        <w:t xml:space="preserve">. They use a combination of spectral counting and labelling with TMT reagents. A potential weakness in using DIA with labelled unfractionated samples is from the co-isolation of multiple precursors and hence mixed reporter ion signatures.  </w:t>
      </w:r>
    </w:p>
    <w:p w14:paraId="569B48B4" w14:textId="77777777" w:rsidR="000074EB" w:rsidRPr="007D089C" w:rsidRDefault="000074EB" w:rsidP="00C141DD">
      <w:pPr>
        <w:autoSpaceDE w:val="0"/>
        <w:autoSpaceDN w:val="0"/>
        <w:adjustRightInd w:val="0"/>
        <w:rPr>
          <w:color w:val="FF0000"/>
          <w:lang w:val="en-US"/>
        </w:rPr>
      </w:pPr>
    </w:p>
    <w:p w14:paraId="1E40F6D0" w14:textId="0F86223C" w:rsidR="000074EB" w:rsidRPr="007D089C" w:rsidRDefault="00946A31" w:rsidP="00C141DD">
      <w:pPr>
        <w:pStyle w:val="Heading2"/>
        <w:spacing w:line="240" w:lineRule="auto"/>
      </w:pPr>
      <w:bookmarkStart w:id="8" w:name="_Toc483395818"/>
      <w:r w:rsidRPr="007D089C">
        <w:t>Targeting</w:t>
      </w:r>
      <w:r w:rsidR="000074EB" w:rsidRPr="007D089C">
        <w:t xml:space="preserve"> </w:t>
      </w:r>
      <w:r w:rsidR="00670428" w:rsidRPr="007D089C">
        <w:t>Post Translational M</w:t>
      </w:r>
      <w:r w:rsidR="000074EB" w:rsidRPr="007D089C">
        <w:t>odifications</w:t>
      </w:r>
      <w:bookmarkEnd w:id="8"/>
      <w:r w:rsidR="00BD7945" w:rsidRPr="007D089C">
        <w:t xml:space="preserve"> </w:t>
      </w:r>
    </w:p>
    <w:p w14:paraId="3D493FBC" w14:textId="6C97CBFE" w:rsidR="006D6AD7" w:rsidRPr="007D089C" w:rsidRDefault="000074EB" w:rsidP="00B43F04">
      <w:pPr>
        <w:autoSpaceDE w:val="0"/>
        <w:autoSpaceDN w:val="0"/>
        <w:adjustRightInd w:val="0"/>
        <w:spacing w:line="480" w:lineRule="auto"/>
        <w:jc w:val="both"/>
        <w:rPr>
          <w:rFonts w:ascii="Times-Roman" w:hAnsi="Times-Roman" w:cs="Times-Roman"/>
          <w:lang w:val="en-US"/>
        </w:rPr>
      </w:pPr>
      <w:r w:rsidRPr="007D089C">
        <w:rPr>
          <w:lang w:val="en-US"/>
        </w:rPr>
        <w:t xml:space="preserve">Most plasma proteins are glycoproteins and </w:t>
      </w:r>
      <w:r w:rsidRPr="007D089C">
        <w:rPr>
          <w:rStyle w:val="Emphasis"/>
          <w:i w:val="0"/>
          <w:lang w:val="en-US"/>
        </w:rPr>
        <w:t>a</w:t>
      </w:r>
      <w:r w:rsidRPr="007D089C">
        <w:rPr>
          <w:lang w:val="en-US"/>
        </w:rPr>
        <w:t xml:space="preserve">berrant patterns of protein glycosylation have been implicated in many diseased states </w:t>
      </w:r>
      <w:r w:rsidRPr="007D089C">
        <w:rPr>
          <w:lang w:val="en-US"/>
        </w:rPr>
        <w:fldChar w:fldCharType="begin"/>
      </w:r>
      <w:r w:rsidRPr="007D089C">
        <w:rPr>
          <w:lang w:val="en-US"/>
        </w:rPr>
        <w:instrText>ADDIN RW.CITE{{2240 Matei,L. 1997}}</w:instrText>
      </w:r>
      <w:r w:rsidRPr="007D089C">
        <w:rPr>
          <w:lang w:val="en-US"/>
        </w:rPr>
        <w:fldChar w:fldCharType="separate"/>
      </w:r>
      <w:r w:rsidR="00C77B76">
        <w:rPr>
          <w:lang w:val="en-US"/>
        </w:rPr>
        <w:t>(Matei, 1997)</w:t>
      </w:r>
      <w:r w:rsidRPr="007D089C">
        <w:rPr>
          <w:lang w:val="en-US"/>
        </w:rPr>
        <w:fldChar w:fldCharType="end"/>
      </w:r>
      <w:r w:rsidRPr="007D089C">
        <w:rPr>
          <w:i/>
          <w:lang w:val="en-US"/>
        </w:rPr>
        <w:t xml:space="preserve">. </w:t>
      </w:r>
      <w:r w:rsidRPr="007D089C">
        <w:rPr>
          <w:lang w:val="en-US"/>
        </w:rPr>
        <w:t>A</w:t>
      </w:r>
      <w:r w:rsidRPr="007D089C">
        <w:rPr>
          <w:rStyle w:val="Emphasis"/>
          <w:lang w:val="en-US"/>
        </w:rPr>
        <w:t xml:space="preserve"> </w:t>
      </w:r>
      <w:r w:rsidRPr="007D089C">
        <w:rPr>
          <w:rStyle w:val="Emphasis"/>
          <w:i w:val="0"/>
          <w:lang w:val="en-US"/>
        </w:rPr>
        <w:t>number of research groups have used isobaric labelling to study these in cancer patients</w:t>
      </w:r>
      <w:r w:rsidRPr="007D089C">
        <w:rPr>
          <w:lang w:val="en-US"/>
        </w:rPr>
        <w:t xml:space="preserve"> </w:t>
      </w:r>
      <w:r w:rsidR="005F69BF" w:rsidRPr="007D089C">
        <w:rPr>
          <w:lang w:val="en-US"/>
        </w:rPr>
        <w:t>(</w:t>
      </w:r>
      <w:r w:rsidR="005F69BF" w:rsidRPr="007D089C">
        <w:rPr>
          <w:i/>
          <w:lang w:val="en-US"/>
        </w:rPr>
        <w:t>vide infra</w:t>
      </w:r>
      <w:r w:rsidR="005F69BF" w:rsidRPr="007D089C">
        <w:rPr>
          <w:lang w:val="en-US"/>
        </w:rPr>
        <w:t>)</w:t>
      </w:r>
      <w:r w:rsidRPr="007D089C">
        <w:rPr>
          <w:rFonts w:ascii="Times-Roman" w:hAnsi="Times-Roman" w:cs="Times-Roman"/>
          <w:lang w:val="en-US"/>
        </w:rPr>
        <w:t xml:space="preserve">. </w:t>
      </w:r>
      <w:r w:rsidRPr="007D089C">
        <w:rPr>
          <w:rStyle w:val="hlite1"/>
          <w:rFonts w:ascii="timesroman" w:hAnsi="timesroman"/>
          <w:shd w:val="clear" w:color="auto" w:fill="FFFFFF" w:themeFill="background1"/>
          <w:lang w:val="en-US"/>
        </w:rPr>
        <w:t>In these measurements the work flows have included immuno-depletion, digestion and labeling followed by affinity enrichment to capture the glycosylated peptides. Up to 350 glycosylated proteins have been identified</w:t>
      </w:r>
      <w:r w:rsidRPr="007D089C">
        <w:rPr>
          <w:rFonts w:ascii="Times-Roman" w:hAnsi="Times-Roman" w:cs="Times-Roman"/>
          <w:lang w:val="en-US"/>
        </w:rPr>
        <w:t xml:space="preserve"> including putative biomarkers, for example, of ovarian and pancreatic cancer </w:t>
      </w:r>
      <w:r w:rsidRPr="007D089C">
        <w:rPr>
          <w:rFonts w:ascii="Times-Roman" w:hAnsi="Times-Roman" w:cs="Times-Roman"/>
          <w:lang w:val="en-US"/>
        </w:rPr>
        <w:fldChar w:fldCharType="begin"/>
      </w:r>
      <w:r w:rsidRPr="007D089C">
        <w:rPr>
          <w:rFonts w:ascii="Times-Roman" w:hAnsi="Times-Roman" w:cs="Times-Roman"/>
          <w:lang w:val="en-US"/>
        </w:rPr>
        <w:instrText>ADDIN RW.CITE{{2091 Wu,J. 2012; 2097 Nie,S. 2014}}</w:instrText>
      </w:r>
      <w:r w:rsidRPr="007D089C">
        <w:rPr>
          <w:rFonts w:ascii="Times-Roman" w:hAnsi="Times-Roman" w:cs="Times-Roman"/>
          <w:lang w:val="en-US"/>
        </w:rPr>
        <w:fldChar w:fldCharType="separate"/>
      </w:r>
      <w:r w:rsidR="00C77B76">
        <w:rPr>
          <w:rFonts w:ascii="Times-Roman" w:hAnsi="Times-Roman" w:cs="Times-Roman"/>
          <w:lang w:val="en-US"/>
        </w:rPr>
        <w:t>(Nie et al., 2014; J. Wu et al., 2012)</w:t>
      </w:r>
      <w:r w:rsidRPr="007D089C">
        <w:rPr>
          <w:rFonts w:ascii="Times-Roman" w:hAnsi="Times-Roman" w:cs="Times-Roman"/>
          <w:lang w:val="en-US"/>
        </w:rPr>
        <w:fldChar w:fldCharType="end"/>
      </w:r>
      <w:r w:rsidRPr="007D089C">
        <w:rPr>
          <w:rFonts w:ascii="Times-Roman" w:hAnsi="Times-Roman" w:cs="Times-Roman"/>
          <w:lang w:val="en-US"/>
        </w:rPr>
        <w:t xml:space="preserve">. Notably in the 2014 study by Nie </w:t>
      </w:r>
      <w:r w:rsidRPr="007D089C">
        <w:rPr>
          <w:rFonts w:ascii="Times-Roman" w:hAnsi="Times-Roman" w:cs="Times-Roman"/>
          <w:i/>
          <w:lang w:val="en-US"/>
        </w:rPr>
        <w:t>et al.</w:t>
      </w:r>
      <w:r w:rsidRPr="007D089C">
        <w:rPr>
          <w:rFonts w:ascii="Times-Roman" w:hAnsi="Times-Roman" w:cs="Times-Roman"/>
          <w:lang w:val="en-US"/>
        </w:rPr>
        <w:t xml:space="preserve">, TMT labeling was performed before digestion </w:t>
      </w:r>
      <w:r w:rsidRPr="007D089C">
        <w:rPr>
          <w:rFonts w:ascii="Times-Roman" w:hAnsi="Times-Roman" w:cs="Times-Roman"/>
          <w:lang w:val="en-US"/>
        </w:rPr>
        <w:fldChar w:fldCharType="begin"/>
      </w:r>
      <w:r w:rsidRPr="007D089C">
        <w:rPr>
          <w:rFonts w:ascii="Times-Roman" w:hAnsi="Times-Roman" w:cs="Times-Roman"/>
          <w:lang w:val="en-US"/>
        </w:rPr>
        <w:instrText>ADDIN RW.CITE{{2097 Nie,S. 2014}}</w:instrText>
      </w:r>
      <w:r w:rsidRPr="007D089C">
        <w:rPr>
          <w:rFonts w:ascii="Times-Roman" w:hAnsi="Times-Roman" w:cs="Times-Roman"/>
          <w:lang w:val="en-US"/>
        </w:rPr>
        <w:fldChar w:fldCharType="separate"/>
      </w:r>
      <w:r w:rsidR="00C77B76">
        <w:rPr>
          <w:rFonts w:ascii="Times-Roman" w:hAnsi="Times-Roman" w:cs="Times-Roman"/>
          <w:lang w:val="en-US"/>
        </w:rPr>
        <w:t>(Nie et al., 2014)</w:t>
      </w:r>
      <w:r w:rsidRPr="007D089C">
        <w:rPr>
          <w:rFonts w:ascii="Times-Roman" w:hAnsi="Times-Roman" w:cs="Times-Roman"/>
          <w:lang w:val="en-US"/>
        </w:rPr>
        <w:fldChar w:fldCharType="end"/>
      </w:r>
      <w:r w:rsidRPr="007D089C">
        <w:rPr>
          <w:rFonts w:ascii="Times-Roman" w:hAnsi="Times-Roman" w:cs="Times-Roman"/>
          <w:lang w:val="en-US"/>
        </w:rPr>
        <w:t xml:space="preserve">. Also amongst these glycosylation targeting applications was the use </w:t>
      </w:r>
      <w:r w:rsidR="00782D48" w:rsidRPr="007D089C">
        <w:rPr>
          <w:rFonts w:ascii="Times-Roman" w:hAnsi="Times-Roman" w:cs="Times-Roman"/>
          <w:lang w:val="en-US"/>
        </w:rPr>
        <w:t xml:space="preserve">of </w:t>
      </w:r>
      <w:r w:rsidRPr="007D089C">
        <w:rPr>
          <w:rFonts w:ascii="Times-Roman" w:hAnsi="Times-Roman" w:cs="Times-Roman"/>
          <w:lang w:val="en-US"/>
        </w:rPr>
        <w:t xml:space="preserve">the Perkin-Elmer Exact-Tag 10-plex isobaric reagents in which fucosylated glycoproteins were identified in the serum of ovarian cancer patients </w:t>
      </w:r>
      <w:r w:rsidRPr="007D089C">
        <w:rPr>
          <w:rFonts w:ascii="Times-Roman" w:hAnsi="Times-Roman" w:cs="Times-Roman"/>
          <w:lang w:val="en-US"/>
        </w:rPr>
        <w:fldChar w:fldCharType="begin"/>
      </w:r>
      <w:r w:rsidRPr="007D089C">
        <w:rPr>
          <w:rFonts w:ascii="Times-Roman" w:hAnsi="Times-Roman" w:cs="Times-Roman"/>
          <w:lang w:val="en-US"/>
        </w:rPr>
        <w:instrText>ADDIN RW.CITE{{2091 Wu,J. 2012}}</w:instrText>
      </w:r>
      <w:r w:rsidRPr="007D089C">
        <w:rPr>
          <w:rFonts w:ascii="Times-Roman" w:hAnsi="Times-Roman" w:cs="Times-Roman"/>
          <w:lang w:val="en-US"/>
        </w:rPr>
        <w:fldChar w:fldCharType="separate"/>
      </w:r>
      <w:r w:rsidR="00C77B76">
        <w:rPr>
          <w:rFonts w:ascii="Times-Roman" w:hAnsi="Times-Roman" w:cs="Times-Roman"/>
          <w:lang w:val="en-US"/>
        </w:rPr>
        <w:t>(J. Wu et al., 2012)</w:t>
      </w:r>
      <w:r w:rsidRPr="007D089C">
        <w:rPr>
          <w:rFonts w:ascii="Times-Roman" w:hAnsi="Times-Roman" w:cs="Times-Roman"/>
          <w:lang w:val="en-US"/>
        </w:rPr>
        <w:fldChar w:fldCharType="end"/>
      </w:r>
      <w:r w:rsidRPr="007D089C">
        <w:rPr>
          <w:rFonts w:ascii="Times-Roman" w:hAnsi="Times-Roman" w:cs="Times-Roman"/>
          <w:lang w:val="en-US"/>
        </w:rPr>
        <w:t xml:space="preserve">. </w:t>
      </w:r>
    </w:p>
    <w:p w14:paraId="3E1EF5A6" w14:textId="50D2A73D" w:rsidR="006D6AD7" w:rsidRPr="007D089C" w:rsidRDefault="000074EB" w:rsidP="00B43F04">
      <w:pPr>
        <w:autoSpaceDE w:val="0"/>
        <w:autoSpaceDN w:val="0"/>
        <w:adjustRightInd w:val="0"/>
        <w:spacing w:line="480" w:lineRule="auto"/>
        <w:jc w:val="both"/>
        <w:rPr>
          <w:lang w:val="en-US"/>
        </w:rPr>
      </w:pPr>
      <w:r w:rsidRPr="007D089C">
        <w:rPr>
          <w:rFonts w:ascii="Times-Roman" w:hAnsi="Times-Roman" w:cs="Times-Roman"/>
          <w:lang w:val="en-US"/>
        </w:rPr>
        <w:t xml:space="preserve">Kristensen </w:t>
      </w:r>
      <w:r w:rsidRPr="007D089C">
        <w:rPr>
          <w:rFonts w:ascii="Times-Roman" w:hAnsi="Times-Roman" w:cs="Times-Roman"/>
          <w:i/>
          <w:lang w:val="en-US"/>
        </w:rPr>
        <w:t>et al.</w:t>
      </w:r>
      <w:r w:rsidRPr="007D089C">
        <w:rPr>
          <w:rFonts w:ascii="Times-Roman" w:hAnsi="Times-Roman" w:cs="Times-Roman"/>
          <w:lang w:val="en-US"/>
        </w:rPr>
        <w:t xml:space="preserve"> used </w:t>
      </w:r>
      <w:r w:rsidR="006D6AD7" w:rsidRPr="007D089C">
        <w:rPr>
          <w:rFonts w:ascii="Times-Roman" w:hAnsi="Times-Roman" w:cs="Times-Roman"/>
          <w:lang w:val="en-US"/>
        </w:rPr>
        <w:t>HILIC fractionation of iTRAQ labeled plasma followed by a</w:t>
      </w:r>
      <w:r w:rsidRPr="007D089C">
        <w:rPr>
          <w:rFonts w:ascii="Times-Roman" w:hAnsi="Times-Roman" w:cs="Times-Roman"/>
          <w:lang w:val="en-US"/>
        </w:rPr>
        <w:t xml:space="preserve"> titanium dioxide enrichment step that isolated both phosphopeptides and </w:t>
      </w:r>
      <w:r w:rsidRPr="007D089C">
        <w:rPr>
          <w:lang w:val="en-US"/>
        </w:rPr>
        <w:t>sialic acid-containing glycopeptides</w:t>
      </w:r>
      <w:r w:rsidR="006D6AD7" w:rsidRPr="007D089C">
        <w:rPr>
          <w:lang w:val="en-US"/>
        </w:rPr>
        <w:t xml:space="preserve">. With the combination of the identifications from </w:t>
      </w:r>
      <w:r w:rsidR="0040212A" w:rsidRPr="007D089C">
        <w:rPr>
          <w:lang w:val="en-US"/>
        </w:rPr>
        <w:t xml:space="preserve">flow through and </w:t>
      </w:r>
      <w:r w:rsidR="006D6AD7" w:rsidRPr="007D089C">
        <w:rPr>
          <w:lang w:val="en-US"/>
        </w:rPr>
        <w:t>the enrichment a total of 720 proteins were detected, including 220 represented by two or more peptides.</w:t>
      </w:r>
    </w:p>
    <w:p w14:paraId="44C2BFCA" w14:textId="77A5AEC9" w:rsidR="000074EB" w:rsidRPr="007D089C" w:rsidRDefault="000074EB" w:rsidP="00B43F04">
      <w:pPr>
        <w:autoSpaceDE w:val="0"/>
        <w:autoSpaceDN w:val="0"/>
        <w:adjustRightInd w:val="0"/>
        <w:spacing w:line="480" w:lineRule="auto"/>
        <w:jc w:val="both"/>
        <w:rPr>
          <w:color w:val="E36C0A" w:themeColor="accent6" w:themeShade="BF"/>
          <w:sz w:val="30"/>
          <w:szCs w:val="30"/>
          <w:lang w:val="en-US"/>
        </w:rPr>
      </w:pPr>
      <w:r w:rsidRPr="007D089C">
        <w:rPr>
          <w:rFonts w:ascii="Times-Roman" w:hAnsi="Times-Roman" w:cs="Times-Roman"/>
          <w:lang w:val="en-US"/>
        </w:rPr>
        <w:t xml:space="preserve">Protein carbonylation is another post-translational modification that has been investigated with isobaric labeling. This </w:t>
      </w:r>
      <w:r w:rsidR="006D6AD7" w:rsidRPr="007D089C">
        <w:rPr>
          <w:rFonts w:ascii="Times-Roman" w:hAnsi="Times-Roman" w:cs="Times-Roman"/>
          <w:lang w:val="en-US"/>
        </w:rPr>
        <w:t>has been</w:t>
      </w:r>
      <w:r w:rsidRPr="007D089C">
        <w:rPr>
          <w:rFonts w:ascii="Times-Roman" w:hAnsi="Times-Roman" w:cs="Times-Roman"/>
          <w:lang w:val="en-US"/>
        </w:rPr>
        <w:t xml:space="preserve"> studied in plasma samples from breast cancer patients and in a study of T2D in a rat model </w:t>
      </w:r>
      <w:r w:rsidRPr="007D089C">
        <w:rPr>
          <w:rFonts w:ascii="Times-Roman" w:hAnsi="Times-Roman" w:cs="Times-Roman"/>
          <w:lang w:val="en-US"/>
        </w:rPr>
        <w:fldChar w:fldCharType="begin"/>
      </w:r>
      <w:r w:rsidRPr="007D089C">
        <w:rPr>
          <w:rFonts w:ascii="Times-Roman" w:hAnsi="Times-Roman" w:cs="Times-Roman"/>
          <w:lang w:val="en-US"/>
        </w:rPr>
        <w:instrText>ADDIN RW.CITE{{2125 Madian,A.G. 2011; 2136 Madian,A.G. 2011}}</w:instrText>
      </w:r>
      <w:r w:rsidRPr="007D089C">
        <w:rPr>
          <w:rFonts w:ascii="Times-Roman" w:hAnsi="Times-Roman" w:cs="Times-Roman"/>
          <w:lang w:val="en-US"/>
        </w:rPr>
        <w:fldChar w:fldCharType="separate"/>
      </w:r>
      <w:r w:rsidR="00C77B76">
        <w:rPr>
          <w:rFonts w:ascii="Times-Roman" w:hAnsi="Times-Roman" w:cs="Times-Roman"/>
          <w:lang w:val="en-US"/>
        </w:rPr>
        <w:t>(Madian et al., 2011; Madian, Diaz-Maldonado, Gao, &amp; Regnier, 2011)</w:t>
      </w:r>
      <w:r w:rsidRPr="007D089C">
        <w:rPr>
          <w:rFonts w:ascii="Times-Roman" w:hAnsi="Times-Roman" w:cs="Times-Roman"/>
          <w:lang w:val="en-US"/>
        </w:rPr>
        <w:fldChar w:fldCharType="end"/>
      </w:r>
      <w:r w:rsidRPr="007D089C">
        <w:rPr>
          <w:rFonts w:ascii="Times-Roman" w:hAnsi="Times-Roman" w:cs="Times-Roman"/>
          <w:lang w:val="en-US"/>
        </w:rPr>
        <w:t xml:space="preserve">.  To isolate proteins displaying this modification, biotin hydrazide was used to derivatize carbonyl groups and the biotinylated proteins subsequently enriched by avidin affinity, digested and labeled with iTRAQ reagents. In the study of carbonylation in breast cancer the authors chose not to use immuno-depletion, in order to avoid unspecific binding, and reported identification and quantification of 160 carbonylated proteins </w:t>
      </w:r>
      <w:r w:rsidRPr="007D089C">
        <w:rPr>
          <w:rFonts w:ascii="Times-Roman" w:hAnsi="Times-Roman" w:cs="Times-Roman"/>
          <w:lang w:val="en-US"/>
        </w:rPr>
        <w:fldChar w:fldCharType="begin"/>
      </w:r>
      <w:r w:rsidRPr="007D089C">
        <w:rPr>
          <w:rFonts w:ascii="Times-Roman" w:hAnsi="Times-Roman" w:cs="Times-Roman"/>
          <w:lang w:val="en-US"/>
        </w:rPr>
        <w:instrText>ADDIN RW.CITE{{2125 Madian,A.G. 2011}}</w:instrText>
      </w:r>
      <w:r w:rsidRPr="007D089C">
        <w:rPr>
          <w:rFonts w:ascii="Times-Roman" w:hAnsi="Times-Roman" w:cs="Times-Roman"/>
          <w:lang w:val="en-US"/>
        </w:rPr>
        <w:fldChar w:fldCharType="separate"/>
      </w:r>
      <w:r w:rsidR="00C77B76">
        <w:rPr>
          <w:rFonts w:ascii="Times-Roman" w:hAnsi="Times-Roman" w:cs="Times-Roman"/>
          <w:lang w:val="en-US"/>
        </w:rPr>
        <w:t>(Madian et al., 2011)</w:t>
      </w:r>
      <w:r w:rsidRPr="007D089C">
        <w:rPr>
          <w:rFonts w:ascii="Times-Roman" w:hAnsi="Times-Roman" w:cs="Times-Roman"/>
          <w:lang w:val="en-US"/>
        </w:rPr>
        <w:fldChar w:fldCharType="end"/>
      </w:r>
      <w:r w:rsidRPr="007D089C">
        <w:rPr>
          <w:rFonts w:ascii="Times-Roman" w:hAnsi="Times-Roman" w:cs="Times-Roman"/>
          <w:lang w:val="en-US"/>
        </w:rPr>
        <w:t xml:space="preserve">. </w:t>
      </w:r>
    </w:p>
    <w:p w14:paraId="7E448417" w14:textId="77777777" w:rsidR="000074EB" w:rsidRPr="007D089C" w:rsidRDefault="000074EB" w:rsidP="00C141DD">
      <w:pPr>
        <w:autoSpaceDE w:val="0"/>
        <w:autoSpaceDN w:val="0"/>
        <w:adjustRightInd w:val="0"/>
        <w:rPr>
          <w:color w:val="FF0000"/>
          <w:lang w:val="en-US"/>
        </w:rPr>
      </w:pPr>
    </w:p>
    <w:p w14:paraId="258C7326" w14:textId="77777777" w:rsidR="000074EB" w:rsidRPr="007D089C" w:rsidRDefault="000074EB" w:rsidP="00C141DD">
      <w:pPr>
        <w:autoSpaceDE w:val="0"/>
        <w:autoSpaceDN w:val="0"/>
        <w:adjustRightInd w:val="0"/>
        <w:rPr>
          <w:color w:val="FF0000"/>
          <w:lang w:val="en-US"/>
        </w:rPr>
      </w:pPr>
      <w:r w:rsidRPr="007D089C">
        <w:rPr>
          <w:color w:val="FF0000"/>
          <w:lang w:val="en-US"/>
        </w:rPr>
        <w:t xml:space="preserve"> </w:t>
      </w:r>
    </w:p>
    <w:p w14:paraId="182A37F9" w14:textId="77777777" w:rsidR="000074EB" w:rsidRPr="007D089C" w:rsidRDefault="000074EB" w:rsidP="00C141DD">
      <w:pPr>
        <w:pStyle w:val="Heading2"/>
        <w:spacing w:line="240" w:lineRule="auto"/>
      </w:pPr>
      <w:bookmarkStart w:id="9" w:name="_Toc483395819"/>
      <w:r w:rsidRPr="007D089C">
        <w:t xml:space="preserve">Mass Spectrometry </w:t>
      </w:r>
      <w:r w:rsidR="00946A31" w:rsidRPr="007D089C">
        <w:t>and</w:t>
      </w:r>
      <w:r w:rsidRPr="007D089C">
        <w:t xml:space="preserve"> Chromatography</w:t>
      </w:r>
      <w:bookmarkEnd w:id="9"/>
    </w:p>
    <w:p w14:paraId="26B203A8" w14:textId="4965970F" w:rsidR="000074EB" w:rsidRPr="007D089C" w:rsidRDefault="000074EB" w:rsidP="00B43F04">
      <w:pPr>
        <w:autoSpaceDE w:val="0"/>
        <w:autoSpaceDN w:val="0"/>
        <w:adjustRightInd w:val="0"/>
        <w:spacing w:line="480" w:lineRule="auto"/>
        <w:jc w:val="both"/>
        <w:rPr>
          <w:rFonts w:ascii="Times-Roman" w:hAnsi="Times-Roman" w:cs="Times-Roman"/>
          <w:lang w:val="en-US"/>
        </w:rPr>
      </w:pPr>
      <w:r w:rsidRPr="007D089C">
        <w:rPr>
          <w:rFonts w:ascii="Times-Roman" w:hAnsi="Times-Roman" w:cs="Times-Roman"/>
          <w:lang w:val="en-US"/>
        </w:rPr>
        <w:t>The analyses of iTRAQ &amp; TMT labeled samples have been conducted with both MALDI and ESI tandem mass spectrometry.</w:t>
      </w:r>
      <w:r w:rsidR="00B83A8C" w:rsidRPr="007D089C">
        <w:rPr>
          <w:rFonts w:ascii="Times-Roman" w:hAnsi="Times-Roman" w:cs="Times-Roman"/>
          <w:lang w:val="en-US"/>
        </w:rPr>
        <w:t xml:space="preserve"> Overall ESI has been used four times more </w:t>
      </w:r>
      <w:r w:rsidR="001B1BD1" w:rsidRPr="007D089C">
        <w:rPr>
          <w:rFonts w:ascii="Times-Roman" w:hAnsi="Times-Roman" w:cs="Times-Roman"/>
          <w:lang w:val="en-US"/>
        </w:rPr>
        <w:t>frequently</w:t>
      </w:r>
      <w:r w:rsidR="00B83A8C" w:rsidRPr="007D089C">
        <w:rPr>
          <w:rFonts w:ascii="Times-Roman" w:hAnsi="Times-Roman" w:cs="Times-Roman"/>
          <w:lang w:val="en-US"/>
        </w:rPr>
        <w:t xml:space="preserve"> than MALDI</w:t>
      </w:r>
      <w:r w:rsidR="001B1BD1" w:rsidRPr="007D089C">
        <w:rPr>
          <w:rFonts w:ascii="Times-Roman" w:hAnsi="Times-Roman" w:cs="Times-Roman"/>
          <w:lang w:val="en-US"/>
        </w:rPr>
        <w:t xml:space="preserve"> (as indicated in </w:t>
      </w:r>
      <w:r w:rsidR="001B1BD1" w:rsidRPr="007D089C">
        <w:rPr>
          <w:rFonts w:ascii="Times-Roman" w:hAnsi="Times-Roman" w:cs="Times-Roman"/>
          <w:b/>
          <w:lang w:val="en-US"/>
        </w:rPr>
        <w:t>Figure 1d</w:t>
      </w:r>
      <w:r w:rsidR="001B1BD1" w:rsidRPr="007D089C">
        <w:rPr>
          <w:rFonts w:ascii="Times-Roman" w:hAnsi="Times-Roman" w:cs="Times-Roman"/>
          <w:lang w:val="en-US"/>
        </w:rPr>
        <w:t>).</w:t>
      </w:r>
      <w:r w:rsidR="00B83A8C" w:rsidRPr="007D089C">
        <w:rPr>
          <w:rFonts w:ascii="Times-Roman" w:hAnsi="Times-Roman" w:cs="Times-Roman"/>
          <w:lang w:val="en-US"/>
        </w:rPr>
        <w:t xml:space="preserve"> </w:t>
      </w:r>
      <w:r w:rsidRPr="007D089C">
        <w:rPr>
          <w:rFonts w:ascii="Times-Roman" w:hAnsi="Times-Roman" w:cs="Times-Roman"/>
          <w:lang w:val="en-US"/>
        </w:rPr>
        <w:t xml:space="preserve"> Initially, the analysis of iTRAQ labelled samples were made using instruments with time of flight mass analyzers (the Applied Biosystems instruments in particular), today, however, Orbitrap mass analyzers are clearly amongst the most common.  For chromatographic separation mostly all the studies have used 75 μm i.d. packed capillary columns with nano-spray for ESI and spotting robots for MALDI. Earlier applications used 10 and 15 cm columns packed with 5 µm particles, although increasingly smaller (</w:t>
      </w:r>
      <w:r w:rsidRPr="007D089C">
        <w:rPr>
          <w:rFonts w:ascii="Times-Roman" w:hAnsi="Times-Roman" w:cs="Times-Roman"/>
          <w:u w:val="single"/>
          <w:lang w:val="en-US"/>
        </w:rPr>
        <w:t>&lt;</w:t>
      </w:r>
      <w:r w:rsidRPr="007D089C">
        <w:rPr>
          <w:rFonts w:ascii="Times-Roman" w:hAnsi="Times-Roman" w:cs="Times-Roman"/>
          <w:lang w:val="en-US"/>
        </w:rPr>
        <w:t xml:space="preserve"> 2 µ</w:t>
      </w:r>
      <w:r w:rsidR="00BD7945" w:rsidRPr="007D089C">
        <w:rPr>
          <w:rFonts w:ascii="Times-Roman" w:hAnsi="Times-Roman" w:cs="Times-Roman"/>
          <w:lang w:val="en-US"/>
        </w:rPr>
        <w:t>m</w:t>
      </w:r>
      <w:r w:rsidRPr="007D089C">
        <w:rPr>
          <w:rFonts w:ascii="Times-Roman" w:hAnsi="Times-Roman" w:cs="Times-Roman"/>
          <w:lang w:val="en-US"/>
        </w:rPr>
        <w:t>) UHPLC particles and longer columns (20-4</w:t>
      </w:r>
      <w:r w:rsidR="004E6DFE" w:rsidRPr="007D089C">
        <w:rPr>
          <w:rFonts w:ascii="Times-Roman" w:hAnsi="Times-Roman" w:cs="Times-Roman"/>
          <w:lang w:val="en-US"/>
        </w:rPr>
        <w:t>5</w:t>
      </w:r>
      <w:r w:rsidRPr="007D089C">
        <w:rPr>
          <w:rFonts w:ascii="Times-Roman" w:hAnsi="Times-Roman" w:cs="Times-Roman"/>
          <w:lang w:val="en-US"/>
        </w:rPr>
        <w:t xml:space="preserve"> cm) are being used. </w:t>
      </w:r>
    </w:p>
    <w:p w14:paraId="1643005A" w14:textId="3519A0E0" w:rsidR="000074EB" w:rsidRPr="007D089C" w:rsidRDefault="000074EB" w:rsidP="00B43F04">
      <w:pPr>
        <w:autoSpaceDE w:val="0"/>
        <w:autoSpaceDN w:val="0"/>
        <w:adjustRightInd w:val="0"/>
        <w:spacing w:line="480" w:lineRule="auto"/>
        <w:jc w:val="both"/>
        <w:rPr>
          <w:rStyle w:val="Emphasis"/>
          <w:rFonts w:ascii="Times-Roman" w:hAnsi="Times-Roman" w:cs="Times-Roman"/>
          <w:i w:val="0"/>
          <w:iCs w:val="0"/>
          <w:lang w:val="en-US"/>
        </w:rPr>
      </w:pPr>
      <w:r w:rsidRPr="007D089C">
        <w:rPr>
          <w:rFonts w:ascii="Times-Roman" w:hAnsi="Times-Roman" w:cs="Times-Roman"/>
          <w:lang w:val="en-US"/>
        </w:rPr>
        <w:t>As</w:t>
      </w:r>
      <w:r w:rsidRPr="007D089C">
        <w:rPr>
          <w:lang w:val="en-US"/>
        </w:rPr>
        <w:t xml:space="preserve"> a general indication of the capabilities of </w:t>
      </w:r>
      <w:r w:rsidR="00974904" w:rsidRPr="007D089C">
        <w:rPr>
          <w:lang w:val="en-US"/>
        </w:rPr>
        <w:t>the recent generation of</w:t>
      </w:r>
      <w:r w:rsidRPr="007D089C">
        <w:rPr>
          <w:lang w:val="en-US"/>
        </w:rPr>
        <w:t xml:space="preserve"> mass spectrometers for the ESI analysis of depleted and fractionated plasma samples, Jones </w:t>
      </w:r>
      <w:r w:rsidRPr="007D089C">
        <w:rPr>
          <w:i/>
          <w:lang w:val="en-US"/>
        </w:rPr>
        <w:t>et al.</w:t>
      </w:r>
      <w:r w:rsidRPr="007D089C">
        <w:rPr>
          <w:lang w:val="en-US"/>
        </w:rPr>
        <w:t xml:space="preserve"> compared the results of several </w:t>
      </w:r>
      <w:r w:rsidR="00563401" w:rsidRPr="007D089C">
        <w:rPr>
          <w:lang w:val="en-US"/>
        </w:rPr>
        <w:t>typically</w:t>
      </w:r>
      <w:r w:rsidR="00946A31" w:rsidRPr="007D089C">
        <w:rPr>
          <w:lang w:val="en-US"/>
        </w:rPr>
        <w:t xml:space="preserve"> equipped </w:t>
      </w:r>
      <w:r w:rsidRPr="007D089C">
        <w:rPr>
          <w:lang w:val="en-US"/>
        </w:rPr>
        <w:t xml:space="preserve">labs, including </w:t>
      </w:r>
      <w:r w:rsidR="00974904" w:rsidRPr="007D089C">
        <w:rPr>
          <w:lang w:val="en-US"/>
        </w:rPr>
        <w:t xml:space="preserve">analyses using </w:t>
      </w:r>
      <w:r w:rsidRPr="007D089C">
        <w:rPr>
          <w:lang w:val="en-US"/>
        </w:rPr>
        <w:t xml:space="preserve">the Thermo Scientific Orbitrap-Velos and Q-Exactive and the AB Sciex TripleTOF 5600 </w:t>
      </w:r>
      <w:r w:rsidRPr="007D089C">
        <w:rPr>
          <w:lang w:val="en-US"/>
        </w:rPr>
        <w:fldChar w:fldCharType="begin"/>
      </w:r>
      <w:r w:rsidRPr="007D089C">
        <w:rPr>
          <w:lang w:val="en-US"/>
        </w:rPr>
        <w:instrText>ADDIN RW.CITE{{1898 Jones,K.A. 2013}}</w:instrText>
      </w:r>
      <w:r w:rsidRPr="007D089C">
        <w:rPr>
          <w:lang w:val="en-US"/>
        </w:rPr>
        <w:fldChar w:fldCharType="separate"/>
      </w:r>
      <w:r w:rsidR="00C77B76">
        <w:rPr>
          <w:lang w:val="en-US"/>
        </w:rPr>
        <w:t>(Jones et al., 2013)</w:t>
      </w:r>
      <w:r w:rsidRPr="007D089C">
        <w:rPr>
          <w:lang w:val="en-US"/>
        </w:rPr>
        <w:fldChar w:fldCharType="end"/>
      </w:r>
      <w:r w:rsidRPr="007D089C">
        <w:rPr>
          <w:lang w:val="en-US"/>
        </w:rPr>
        <w:t xml:space="preserve">. Based on the analysis of serum depleted of an estimated 155 proteins and fractionated by IEF (30 pooled fractions derived from 60 fractions), 1584 proteins were quantifiable from the combined data, of which 706 were common to the different platforms </w:t>
      </w:r>
      <w:r w:rsidRPr="007D089C">
        <w:rPr>
          <w:lang w:val="en-US"/>
        </w:rPr>
        <w:fldChar w:fldCharType="begin"/>
      </w:r>
      <w:r w:rsidRPr="007D089C">
        <w:rPr>
          <w:lang w:val="en-US"/>
        </w:rPr>
        <w:instrText>ADDIN RW.CITE{{1898 Jones,K.A. 2013}}</w:instrText>
      </w:r>
      <w:r w:rsidRPr="007D089C">
        <w:rPr>
          <w:lang w:val="en-US"/>
        </w:rPr>
        <w:fldChar w:fldCharType="separate"/>
      </w:r>
      <w:r w:rsidR="00C77B76">
        <w:rPr>
          <w:lang w:val="en-US"/>
        </w:rPr>
        <w:t>(Jones et al., 2013)</w:t>
      </w:r>
      <w:r w:rsidRPr="007D089C">
        <w:rPr>
          <w:lang w:val="en-US"/>
        </w:rPr>
        <w:fldChar w:fldCharType="end"/>
      </w:r>
      <w:r w:rsidRPr="007D089C">
        <w:rPr>
          <w:lang w:val="en-US"/>
        </w:rPr>
        <w:t xml:space="preserve">. </w:t>
      </w:r>
      <w:r w:rsidRPr="007D089C">
        <w:rPr>
          <w:rFonts w:ascii="Times-Roman" w:hAnsi="Times-Roman" w:cs="Times-Roman"/>
          <w:lang w:val="en-US"/>
        </w:rPr>
        <w:t xml:space="preserve">Keshishian </w:t>
      </w:r>
      <w:r w:rsidRPr="007D089C">
        <w:rPr>
          <w:rFonts w:ascii="Times-Roman" w:hAnsi="Times-Roman" w:cs="Times-Roman"/>
          <w:i/>
          <w:lang w:val="en-US"/>
        </w:rPr>
        <w:t>et al.</w:t>
      </w:r>
      <w:r w:rsidRPr="007D089C">
        <w:rPr>
          <w:lang w:val="en-US"/>
        </w:rPr>
        <w:t xml:space="preserve"> exceeded this level of detail</w:t>
      </w:r>
      <w:r w:rsidRPr="007D089C">
        <w:rPr>
          <w:rFonts w:ascii="Times-Roman" w:hAnsi="Times-Roman" w:cs="Times-Roman"/>
          <w:lang w:val="en-US"/>
        </w:rPr>
        <w:t>, reporting confident identification of over 5,300 proteins, with 3</w:t>
      </w:r>
      <w:r w:rsidR="00500D12" w:rsidRPr="007D089C">
        <w:rPr>
          <w:rFonts w:ascii="Times-Roman" w:hAnsi="Times-Roman" w:cs="Times-Roman"/>
          <w:lang w:val="en-US"/>
        </w:rPr>
        <w:t>,</w:t>
      </w:r>
      <w:r w:rsidRPr="007D089C">
        <w:rPr>
          <w:rFonts w:ascii="Times-Roman" w:hAnsi="Times-Roman" w:cs="Times-Roman"/>
          <w:lang w:val="en-US"/>
        </w:rPr>
        <w:t xml:space="preserve">390 quantified in multiple experiments </w:t>
      </w:r>
      <w:r w:rsidRPr="007D089C">
        <w:rPr>
          <w:rFonts w:ascii="Times-Roman" w:hAnsi="Times-Roman" w:cs="Times-Roman"/>
          <w:lang w:val="en-US"/>
        </w:rPr>
        <w:fldChar w:fldCharType="begin"/>
      </w:r>
      <w:r w:rsidRPr="007D089C">
        <w:rPr>
          <w:rFonts w:ascii="Times-Roman" w:hAnsi="Times-Roman" w:cs="Times-Roman"/>
          <w:lang w:val="en-US"/>
        </w:rPr>
        <w:instrText>ADDIN RW.CITE{{2138 Keshishian,H. 2015}}</w:instrText>
      </w:r>
      <w:r w:rsidRPr="007D089C">
        <w:rPr>
          <w:rFonts w:ascii="Times-Roman" w:hAnsi="Times-Roman" w:cs="Times-Roman"/>
          <w:lang w:val="en-US"/>
        </w:rPr>
        <w:fldChar w:fldCharType="separate"/>
      </w:r>
      <w:r w:rsidR="00C77B76">
        <w:rPr>
          <w:rFonts w:ascii="Times-Roman" w:hAnsi="Times-Roman" w:cs="Times-Roman"/>
          <w:lang w:val="en-US"/>
        </w:rPr>
        <w:t>(Keshishian et al., 2015)</w:t>
      </w:r>
      <w:r w:rsidRPr="007D089C">
        <w:rPr>
          <w:rFonts w:ascii="Times-Roman" w:hAnsi="Times-Roman" w:cs="Times-Roman"/>
          <w:lang w:val="en-US"/>
        </w:rPr>
        <w:fldChar w:fldCharType="end"/>
      </w:r>
      <w:r w:rsidRPr="007D089C">
        <w:rPr>
          <w:rFonts w:ascii="Times-Roman" w:hAnsi="Times-Roman" w:cs="Times-Roman"/>
          <w:lang w:val="en-US"/>
        </w:rPr>
        <w:t xml:space="preserve">. </w:t>
      </w:r>
      <w:r w:rsidR="00974904" w:rsidRPr="007D089C">
        <w:rPr>
          <w:rFonts w:ascii="Times-Roman" w:hAnsi="Times-Roman" w:cs="Times-Roman"/>
          <w:lang w:val="en-US"/>
        </w:rPr>
        <w:t>In this study of microcardial infarction (in 16 subjects), t</w:t>
      </w:r>
      <w:r w:rsidRPr="007D089C">
        <w:rPr>
          <w:rFonts w:ascii="Times-Roman" w:hAnsi="Times-Roman" w:cs="Times-Roman"/>
          <w:lang w:val="en-US"/>
        </w:rPr>
        <w:t xml:space="preserve">andem depletion of plasma samples (here they estimated </w:t>
      </w:r>
      <w:r w:rsidR="00563401" w:rsidRPr="007D089C">
        <w:rPr>
          <w:rFonts w:ascii="Times-Roman" w:hAnsi="Times-Roman" w:cs="Times-Roman"/>
          <w:lang w:val="en-US"/>
        </w:rPr>
        <w:t xml:space="preserve">removal of </w:t>
      </w:r>
      <w:r w:rsidRPr="007D089C">
        <w:rPr>
          <w:rFonts w:ascii="Times-Roman" w:hAnsi="Times-Roman" w:cs="Times-Roman"/>
          <w:lang w:val="en-US"/>
        </w:rPr>
        <w:t>in the order of 60 proteins) together with high pH reverse phase fractionation of the labelled peptides were used. Furthermore, they reported that the coverage of the plasma proteome was 5</w:t>
      </w:r>
      <w:r w:rsidR="00500D12" w:rsidRPr="007D089C">
        <w:rPr>
          <w:rFonts w:ascii="Times-Roman" w:hAnsi="Times-Roman" w:cs="Times-Roman"/>
          <w:lang w:val="en-US"/>
        </w:rPr>
        <w:t>-</w:t>
      </w:r>
      <w:r w:rsidRPr="007D089C">
        <w:rPr>
          <w:rFonts w:ascii="Times-Roman" w:hAnsi="Times-Roman" w:cs="Times-Roman"/>
          <w:lang w:val="en-US"/>
        </w:rPr>
        <w:t xml:space="preserve">fold better than their earlier label free approach </w:t>
      </w:r>
      <w:r w:rsidRPr="007D089C">
        <w:rPr>
          <w:rFonts w:ascii="Times-Roman" w:hAnsi="Times-Roman" w:cs="Times-Roman"/>
          <w:lang w:val="en-US"/>
        </w:rPr>
        <w:fldChar w:fldCharType="begin"/>
      </w:r>
      <w:r w:rsidRPr="007D089C">
        <w:rPr>
          <w:rFonts w:ascii="Times-Roman" w:hAnsi="Times-Roman" w:cs="Times-Roman"/>
          <w:lang w:val="en-US"/>
        </w:rPr>
        <w:instrText>ADDIN RW.CITE{{2201 Addona,T.A. 2011}}</w:instrText>
      </w:r>
      <w:r w:rsidRPr="007D089C">
        <w:rPr>
          <w:rFonts w:ascii="Times-Roman" w:hAnsi="Times-Roman" w:cs="Times-Roman"/>
          <w:lang w:val="en-US"/>
        </w:rPr>
        <w:fldChar w:fldCharType="separate"/>
      </w:r>
      <w:r w:rsidR="00C77B76">
        <w:rPr>
          <w:rFonts w:ascii="Times-Roman" w:hAnsi="Times-Roman" w:cs="Times-Roman"/>
          <w:lang w:val="en-US"/>
        </w:rPr>
        <w:t>(Addona et al., 2011)</w:t>
      </w:r>
      <w:r w:rsidRPr="007D089C">
        <w:rPr>
          <w:rFonts w:ascii="Times-Roman" w:hAnsi="Times-Roman" w:cs="Times-Roman"/>
          <w:lang w:val="en-US"/>
        </w:rPr>
        <w:fldChar w:fldCharType="end"/>
      </w:r>
      <w:r w:rsidRPr="007D089C">
        <w:rPr>
          <w:rFonts w:ascii="Times-Roman" w:hAnsi="Times-Roman" w:cs="Times-Roman"/>
          <w:lang w:val="en-US"/>
        </w:rPr>
        <w:t>.</w:t>
      </w:r>
    </w:p>
    <w:p w14:paraId="237138A4" w14:textId="77777777" w:rsidR="000074EB" w:rsidRPr="007D089C" w:rsidRDefault="000074EB" w:rsidP="00B43F04">
      <w:pPr>
        <w:autoSpaceDE w:val="0"/>
        <w:autoSpaceDN w:val="0"/>
        <w:adjustRightInd w:val="0"/>
        <w:spacing w:line="480" w:lineRule="auto"/>
        <w:jc w:val="both"/>
        <w:rPr>
          <w:rFonts w:ascii="Times-Roman" w:hAnsi="Times-Roman" w:cs="Times-Roman"/>
          <w:lang w:val="en-US"/>
        </w:rPr>
      </w:pPr>
    </w:p>
    <w:p w14:paraId="4996AB0B" w14:textId="5C1B02C1" w:rsidR="000074EB" w:rsidRPr="007D089C" w:rsidRDefault="000074EB" w:rsidP="00B43F04">
      <w:pPr>
        <w:autoSpaceDE w:val="0"/>
        <w:autoSpaceDN w:val="0"/>
        <w:adjustRightInd w:val="0"/>
        <w:spacing w:line="480" w:lineRule="auto"/>
        <w:jc w:val="both"/>
        <w:rPr>
          <w:rFonts w:ascii="Times-Roman" w:hAnsi="Times-Roman" w:cs="Times-Roman"/>
          <w:lang w:val="en-US"/>
        </w:rPr>
      </w:pPr>
      <w:r w:rsidRPr="007D089C">
        <w:rPr>
          <w:rFonts w:ascii="Times-Roman" w:hAnsi="Times-Roman" w:cs="Times-Roman"/>
          <w:lang w:val="en-US"/>
        </w:rPr>
        <w:t xml:space="preserve">The number of proteins detected, quantified and reported is nevertheless dependent on the entire work flow from preparation and separation, the MS instrument and parameters used plus the choices made in data analysis (for example the database and filtering criteria). Without re-analyzing all these data with </w:t>
      </w:r>
      <w:r w:rsidR="0040212A" w:rsidRPr="007D089C">
        <w:rPr>
          <w:rFonts w:ascii="Times-Roman" w:hAnsi="Times-Roman" w:cs="Times-Roman"/>
          <w:lang w:val="en-US"/>
        </w:rPr>
        <w:t>unified metrics</w:t>
      </w:r>
      <w:r w:rsidRPr="007D089C">
        <w:rPr>
          <w:rFonts w:ascii="Times-Roman" w:hAnsi="Times-Roman" w:cs="Times-Roman"/>
          <w:lang w:val="en-US"/>
        </w:rPr>
        <w:t xml:space="preserve"> an accurate estimation of the relative success of these experiments is difficult. Notably, </w:t>
      </w:r>
      <w:r w:rsidR="009C26DC" w:rsidRPr="007D089C">
        <w:rPr>
          <w:rFonts w:ascii="Times-Roman" w:hAnsi="Times-Roman" w:cs="Times-Roman"/>
          <w:lang w:val="en-US"/>
        </w:rPr>
        <w:t>for example</w:t>
      </w:r>
      <w:r w:rsidRPr="007D089C">
        <w:rPr>
          <w:rFonts w:ascii="Times-Roman" w:hAnsi="Times-Roman" w:cs="Times-Roman"/>
          <w:lang w:val="en-US"/>
        </w:rPr>
        <w:t>, in accompaniment to their recent TMT study of the maturing proteome, Liu, C.W. and co-workers, re-analysed Keshishian’s data and stated that the breadth of the proteomic coverage was somewhat less, indicating that using their own parameters the extent of high confidence quantitative data was in the order of 1,500-2</w:t>
      </w:r>
      <w:r w:rsidR="00500D12" w:rsidRPr="007D089C">
        <w:rPr>
          <w:rFonts w:ascii="Times-Roman" w:hAnsi="Times-Roman" w:cs="Times-Roman"/>
          <w:lang w:val="en-US"/>
        </w:rPr>
        <w:t>,</w:t>
      </w:r>
      <w:r w:rsidRPr="007D089C">
        <w:rPr>
          <w:rFonts w:ascii="Times-Roman" w:hAnsi="Times-Roman" w:cs="Times-Roman"/>
          <w:lang w:val="en-US"/>
        </w:rPr>
        <w:t xml:space="preserve">500 proteins </w:t>
      </w:r>
      <w:r w:rsidRPr="007D089C">
        <w:rPr>
          <w:rFonts w:ascii="Times-Roman" w:hAnsi="Times-Roman" w:cs="Times-Roman"/>
          <w:lang w:val="en-US"/>
        </w:rPr>
        <w:fldChar w:fldCharType="begin"/>
      </w:r>
      <w:r w:rsidRPr="007D089C">
        <w:rPr>
          <w:rFonts w:ascii="Times-Roman" w:hAnsi="Times-Roman" w:cs="Times-Roman"/>
          <w:lang w:val="en-US"/>
        </w:rPr>
        <w:instrText>ADDIN RW.CITE{{3087 Liu,C.W. 2016}}</w:instrText>
      </w:r>
      <w:r w:rsidRPr="007D089C">
        <w:rPr>
          <w:rFonts w:ascii="Times-Roman" w:hAnsi="Times-Roman" w:cs="Times-Roman"/>
          <w:lang w:val="en-US"/>
        </w:rPr>
        <w:fldChar w:fldCharType="separate"/>
      </w:r>
      <w:r w:rsidR="00C77B76">
        <w:rPr>
          <w:rFonts w:ascii="Times-Roman" w:hAnsi="Times-Roman" w:cs="Times-Roman"/>
          <w:lang w:val="en-US"/>
        </w:rPr>
        <w:t>(C. W. Liu et al., 2016)</w:t>
      </w:r>
      <w:r w:rsidRPr="007D089C">
        <w:rPr>
          <w:rFonts w:ascii="Times-Roman" w:hAnsi="Times-Roman" w:cs="Times-Roman"/>
          <w:lang w:val="en-US"/>
        </w:rPr>
        <w:fldChar w:fldCharType="end"/>
      </w:r>
      <w:r w:rsidRPr="007D089C">
        <w:rPr>
          <w:rFonts w:ascii="Times-Roman" w:hAnsi="Times-Roman" w:cs="Times-Roman"/>
          <w:lang w:val="en-US"/>
        </w:rPr>
        <w:t xml:space="preserve">. From their own 10-plex TMT data they reported 1,800 proteins, with in the order of 1,000 proteins detected in all reporter channels of their ten 10-plex TMT experiments. </w:t>
      </w:r>
    </w:p>
    <w:p w14:paraId="342C9911" w14:textId="77777777" w:rsidR="000074EB" w:rsidRPr="007D089C" w:rsidRDefault="000074EB" w:rsidP="00B43F04">
      <w:pPr>
        <w:autoSpaceDE w:val="0"/>
        <w:autoSpaceDN w:val="0"/>
        <w:adjustRightInd w:val="0"/>
        <w:spacing w:line="480" w:lineRule="auto"/>
        <w:jc w:val="both"/>
        <w:rPr>
          <w:lang w:val="en-US"/>
        </w:rPr>
      </w:pPr>
    </w:p>
    <w:p w14:paraId="2DF8F360" w14:textId="073C5C7D" w:rsidR="00C70947" w:rsidRPr="007D089C" w:rsidRDefault="000074EB" w:rsidP="00B43F04">
      <w:pPr>
        <w:autoSpaceDE w:val="0"/>
        <w:autoSpaceDN w:val="0"/>
        <w:adjustRightInd w:val="0"/>
        <w:spacing w:line="480" w:lineRule="auto"/>
        <w:jc w:val="both"/>
        <w:rPr>
          <w:rFonts w:ascii="timesroman" w:hAnsi="timesroman"/>
          <w:lang w:val="en-US"/>
        </w:rPr>
      </w:pPr>
      <w:r w:rsidRPr="007D089C">
        <w:rPr>
          <w:lang w:val="en-US"/>
        </w:rPr>
        <w:t>The application of LC-MALDI for the analysis of isobarically labeled samples does not rely upon on-the-fly analysis, and thus pre- and post-defined acquisition methods can be used to avoid oversampling. Also</w:t>
      </w:r>
      <w:r w:rsidR="00946A31" w:rsidRPr="007D089C">
        <w:rPr>
          <w:lang w:val="en-US"/>
        </w:rPr>
        <w:t xml:space="preserve"> </w:t>
      </w:r>
      <w:r w:rsidRPr="007D089C">
        <w:rPr>
          <w:lang w:val="en-US"/>
        </w:rPr>
        <w:t>as the peptide ions generated are mostly singly charged, contrasting with the predomin</w:t>
      </w:r>
      <w:r w:rsidR="00500D12" w:rsidRPr="007D089C">
        <w:rPr>
          <w:lang w:val="en-US"/>
        </w:rPr>
        <w:t>ance</w:t>
      </w:r>
      <w:r w:rsidRPr="007D089C">
        <w:rPr>
          <w:lang w:val="en-US"/>
        </w:rPr>
        <w:t xml:space="preserve"> of double and triple charged ions with ESI, crowding of m/z space and precursor overlap is reduced. Van der Greef </w:t>
      </w:r>
      <w:r w:rsidRPr="007D089C">
        <w:rPr>
          <w:i/>
          <w:lang w:val="en-US"/>
        </w:rPr>
        <w:t>et al.</w:t>
      </w:r>
      <w:r w:rsidRPr="007D089C">
        <w:rPr>
          <w:lang w:val="en-US"/>
        </w:rPr>
        <w:t xml:space="preserve"> reported clearly on the experimental design for iTRAQ experiments, alluding to datasets of 86 and 64 iTRAQ 4-plex experiments </w:t>
      </w:r>
      <w:r w:rsidRPr="007D089C">
        <w:rPr>
          <w:lang w:val="en-US"/>
        </w:rPr>
        <w:fldChar w:fldCharType="begin"/>
      </w:r>
      <w:r w:rsidRPr="007D089C">
        <w:rPr>
          <w:lang w:val="en-US"/>
        </w:rPr>
        <w:instrText>ADDIN RW.CITE{{1506 van der Greef,J. 2007}}</w:instrText>
      </w:r>
      <w:r w:rsidRPr="007D089C">
        <w:rPr>
          <w:lang w:val="en-US"/>
        </w:rPr>
        <w:fldChar w:fldCharType="separate"/>
      </w:r>
      <w:r w:rsidR="00C77B76">
        <w:rPr>
          <w:lang w:val="en-US"/>
        </w:rPr>
        <w:t>(van der Greef et al., 2007)</w:t>
      </w:r>
      <w:r w:rsidRPr="007D089C">
        <w:rPr>
          <w:lang w:val="en-US"/>
        </w:rPr>
        <w:fldChar w:fldCharType="end"/>
      </w:r>
      <w:r w:rsidRPr="007D089C">
        <w:rPr>
          <w:lang w:val="en-US"/>
        </w:rPr>
        <w:t xml:space="preserve">, from which approximately 230 proteins were detected in more than half the samples. A notable example in terms of protein identification is the LC-MALDI work of Miike </w:t>
      </w:r>
      <w:r w:rsidRPr="007D089C">
        <w:rPr>
          <w:i/>
          <w:lang w:val="en-US"/>
        </w:rPr>
        <w:t>et al.</w:t>
      </w:r>
      <w:r w:rsidRPr="007D089C">
        <w:rPr>
          <w:lang w:val="en-US"/>
        </w:rPr>
        <w:t xml:space="preserve"> </w:t>
      </w:r>
      <w:r w:rsidRPr="007D089C">
        <w:rPr>
          <w:lang w:val="en-US"/>
        </w:rPr>
        <w:fldChar w:fldCharType="begin"/>
      </w:r>
      <w:r w:rsidRPr="007D089C">
        <w:rPr>
          <w:lang w:val="en-US"/>
        </w:rPr>
        <w:instrText>ADDIN RW.CITE{{1415 Miike,K. 2010}}</w:instrText>
      </w:r>
      <w:r w:rsidRPr="007D089C">
        <w:rPr>
          <w:lang w:val="en-US"/>
        </w:rPr>
        <w:fldChar w:fldCharType="separate"/>
      </w:r>
      <w:r w:rsidR="00C77B76">
        <w:rPr>
          <w:lang w:val="en-US"/>
        </w:rPr>
        <w:t>(Miike et al., 2010)</w:t>
      </w:r>
      <w:r w:rsidRPr="007D089C">
        <w:rPr>
          <w:lang w:val="en-US"/>
        </w:rPr>
        <w:fldChar w:fldCharType="end"/>
      </w:r>
      <w:r w:rsidRPr="007D089C">
        <w:rPr>
          <w:lang w:val="en-US"/>
        </w:rPr>
        <w:t>.</w:t>
      </w:r>
      <w:r w:rsidRPr="007D089C">
        <w:rPr>
          <w:rFonts w:ascii="Times-Roman" w:hAnsi="Times-Roman" w:cs="Times-Roman"/>
          <w:lang w:val="en-US"/>
        </w:rPr>
        <w:t xml:space="preserve"> </w:t>
      </w:r>
      <w:r w:rsidRPr="007D089C">
        <w:rPr>
          <w:lang w:val="en-US"/>
        </w:rPr>
        <w:t>Using the combination of depletion of the six most abundant proteins, reversed phase protein fractionation, labeling and then strong cation exchange chromatography (SCX) of the labeled samples, they reported the identification of 4</w:t>
      </w:r>
      <w:r w:rsidR="00500D12" w:rsidRPr="007D089C">
        <w:rPr>
          <w:lang w:val="en-US"/>
        </w:rPr>
        <w:t>,</w:t>
      </w:r>
      <w:r w:rsidRPr="007D089C">
        <w:rPr>
          <w:lang w:val="en-US"/>
        </w:rPr>
        <w:t xml:space="preserve">000 proteins and demonstrated gender differences </w:t>
      </w:r>
      <w:r w:rsidR="00C70947" w:rsidRPr="007D089C">
        <w:rPr>
          <w:rFonts w:ascii="timesroman" w:hAnsi="timesroman"/>
          <w:lang w:val="en-US"/>
        </w:rPr>
        <w:t xml:space="preserve">(n = 12 vs. 12) </w:t>
      </w:r>
      <w:r w:rsidRPr="007D089C">
        <w:rPr>
          <w:lang w:val="en-US"/>
        </w:rPr>
        <w:t>were detectable in this way</w:t>
      </w:r>
      <w:r w:rsidR="00C70947" w:rsidRPr="007D089C">
        <w:rPr>
          <w:lang w:val="en-US"/>
        </w:rPr>
        <w:t xml:space="preserve">. Whilst this was far ahead of the field in terms of the number of proteins detected at the time of publishing, notably there were two preparative steps before labeling and the </w:t>
      </w:r>
      <w:r w:rsidR="00D358A7" w:rsidRPr="007D089C">
        <w:rPr>
          <w:lang w:val="en-US"/>
        </w:rPr>
        <w:t>labor</w:t>
      </w:r>
      <w:r w:rsidR="00C70947" w:rsidRPr="007D089C">
        <w:rPr>
          <w:lang w:val="en-US"/>
        </w:rPr>
        <w:t xml:space="preserve"> intensive nature of the work could limit its applicability to multiple samples.</w:t>
      </w:r>
    </w:p>
    <w:p w14:paraId="429D6751" w14:textId="77777777" w:rsidR="000074EB" w:rsidRPr="007D089C" w:rsidRDefault="000074EB" w:rsidP="00C141DD">
      <w:pPr>
        <w:pStyle w:val="Heading2"/>
        <w:spacing w:line="240" w:lineRule="auto"/>
      </w:pPr>
      <w:bookmarkStart w:id="10" w:name="_Toc483395820"/>
      <w:r w:rsidRPr="007D089C">
        <w:t>Study size, Discovery and Validation Cohorts</w:t>
      </w:r>
      <w:bookmarkEnd w:id="10"/>
    </w:p>
    <w:p w14:paraId="2B91662B" w14:textId="778F90D1" w:rsidR="00946A31" w:rsidRPr="007D089C" w:rsidRDefault="000074EB" w:rsidP="00B43F04">
      <w:pPr>
        <w:autoSpaceDE w:val="0"/>
        <w:autoSpaceDN w:val="0"/>
        <w:adjustRightInd w:val="0"/>
        <w:spacing w:line="480" w:lineRule="auto"/>
        <w:jc w:val="both"/>
        <w:rPr>
          <w:lang w:val="en-US"/>
        </w:rPr>
      </w:pPr>
      <w:r w:rsidRPr="007D089C">
        <w:rPr>
          <w:lang w:val="en-US"/>
        </w:rPr>
        <w:t>The studies using isobaric labelling of plasma have tested the availability of detectable plasma biomarkers with the sample sizes ranging from a few individuals up to hundreds. Often the larger studies have involved the pooling of tens of samples, comparing the diseased or treated with pooled controls.  Although the labeling necessitates fractionation, it is in this respect that when</w:t>
      </w:r>
      <w:r w:rsidRPr="007D089C">
        <w:rPr>
          <w:rFonts w:ascii="Times-Roman" w:hAnsi="Times-Roman" w:cs="Times-Roman"/>
          <w:lang w:val="en-US"/>
        </w:rPr>
        <w:t xml:space="preserve"> compared with label free methods isobaric labeling empowers biomarker discovery by permitting parallel processing and sub-fractionation of labeled samples</w:t>
      </w:r>
      <w:r w:rsidR="008B55EC" w:rsidRPr="007D089C">
        <w:rPr>
          <w:rFonts w:ascii="Times-Roman" w:hAnsi="Times-Roman" w:cs="Times-Roman"/>
          <w:lang w:val="en-US"/>
        </w:rPr>
        <w:t>. Here,</w:t>
      </w:r>
      <w:r w:rsidRPr="007D089C">
        <w:rPr>
          <w:rFonts w:ascii="Times-Roman" w:hAnsi="Times-Roman" w:cs="Times-Roman"/>
          <w:lang w:val="en-US"/>
        </w:rPr>
        <w:t xml:space="preserve"> the </w:t>
      </w:r>
      <w:r w:rsidR="008B55EC" w:rsidRPr="007D089C">
        <w:rPr>
          <w:rFonts w:ascii="Times-Roman" w:hAnsi="Times-Roman" w:cs="Times-Roman"/>
          <w:lang w:val="en-US"/>
        </w:rPr>
        <w:t>use of one of the reported ions as</w:t>
      </w:r>
      <w:r w:rsidRPr="007D089C">
        <w:rPr>
          <w:rFonts w:ascii="Times-Roman" w:hAnsi="Times-Roman" w:cs="Times-Roman"/>
          <w:lang w:val="en-US"/>
        </w:rPr>
        <w:t xml:space="preserve"> a reference channel overcom</w:t>
      </w:r>
      <w:r w:rsidR="008B55EC" w:rsidRPr="007D089C">
        <w:rPr>
          <w:rFonts w:ascii="Times-Roman" w:hAnsi="Times-Roman" w:cs="Times-Roman"/>
          <w:lang w:val="en-US"/>
        </w:rPr>
        <w:t xml:space="preserve">es </w:t>
      </w:r>
      <w:r w:rsidRPr="007D089C">
        <w:rPr>
          <w:rFonts w:ascii="Times-Roman" w:hAnsi="Times-Roman" w:cs="Times-Roman"/>
          <w:lang w:val="en-US"/>
        </w:rPr>
        <w:t xml:space="preserve">issues associated </w:t>
      </w:r>
      <w:r w:rsidR="008B55EC" w:rsidRPr="007D089C">
        <w:rPr>
          <w:rFonts w:ascii="Times-Roman" w:hAnsi="Times-Roman" w:cs="Times-Roman"/>
          <w:lang w:val="en-US"/>
        </w:rPr>
        <w:t xml:space="preserve">with </w:t>
      </w:r>
      <w:r w:rsidRPr="007D089C">
        <w:rPr>
          <w:rFonts w:ascii="Times-Roman" w:hAnsi="Times-Roman" w:cs="Times-Roman"/>
          <w:lang w:val="en-US"/>
        </w:rPr>
        <w:t>sample</w:t>
      </w:r>
      <w:r w:rsidR="00974904" w:rsidRPr="007D089C">
        <w:rPr>
          <w:rFonts w:ascii="Times-Roman" w:hAnsi="Times-Roman" w:cs="Times-Roman"/>
          <w:lang w:val="en-US"/>
        </w:rPr>
        <w:t xml:space="preserve"> recovery and</w:t>
      </w:r>
      <w:r w:rsidRPr="007D089C">
        <w:rPr>
          <w:rFonts w:ascii="Times-Roman" w:hAnsi="Times-Roman" w:cs="Times-Roman"/>
          <w:lang w:val="en-US"/>
        </w:rPr>
        <w:t xml:space="preserve"> loading</w:t>
      </w:r>
      <w:r w:rsidR="00974904" w:rsidRPr="007D089C">
        <w:rPr>
          <w:rFonts w:ascii="Times-Roman" w:hAnsi="Times-Roman" w:cs="Times-Roman"/>
          <w:lang w:val="en-US"/>
        </w:rPr>
        <w:t>,</w:t>
      </w:r>
      <w:r w:rsidRPr="007D089C">
        <w:rPr>
          <w:rFonts w:ascii="Times-Roman" w:hAnsi="Times-Roman" w:cs="Times-Roman"/>
          <w:lang w:val="en-US"/>
        </w:rPr>
        <w:t xml:space="preserve"> and </w:t>
      </w:r>
      <w:r w:rsidR="008B55EC" w:rsidRPr="007D089C">
        <w:rPr>
          <w:rFonts w:ascii="Times-Roman" w:hAnsi="Times-Roman" w:cs="Times-Roman"/>
          <w:lang w:val="en-US"/>
        </w:rPr>
        <w:t>can accommodate changes in signal intensity</w:t>
      </w:r>
      <w:r w:rsidRPr="007D089C">
        <w:rPr>
          <w:rFonts w:ascii="Times-Roman" w:hAnsi="Times-Roman" w:cs="Times-Roman"/>
          <w:lang w:val="en-US"/>
        </w:rPr>
        <w:t xml:space="preserve">. </w:t>
      </w:r>
      <w:r w:rsidRPr="007D089C">
        <w:rPr>
          <w:lang w:val="en-US"/>
        </w:rPr>
        <w:t xml:space="preserve">The analysis of suitably pooled samples can potentially deliver important information of lower abundance markers that necessitate follow up and validation. In view of the latter it is clear that the size of the discovery and validation cohorts is important. </w:t>
      </w:r>
    </w:p>
    <w:p w14:paraId="04094E00" w14:textId="010D55D9" w:rsidR="00946A31" w:rsidRPr="007D089C" w:rsidRDefault="00946A31" w:rsidP="00B43F04">
      <w:pPr>
        <w:autoSpaceDE w:val="0"/>
        <w:autoSpaceDN w:val="0"/>
        <w:adjustRightInd w:val="0"/>
        <w:spacing w:line="480" w:lineRule="auto"/>
        <w:jc w:val="both"/>
        <w:rPr>
          <w:lang w:val="en-US"/>
        </w:rPr>
      </w:pPr>
      <w:r w:rsidRPr="007D089C">
        <w:rPr>
          <w:lang w:val="en-US"/>
        </w:rPr>
        <w:t xml:space="preserve">Boichenko </w:t>
      </w:r>
      <w:r w:rsidRPr="007D089C">
        <w:rPr>
          <w:i/>
          <w:lang w:val="en-US"/>
        </w:rPr>
        <w:t>et al.</w:t>
      </w:r>
      <w:r w:rsidRPr="007D089C">
        <w:rPr>
          <w:lang w:val="en-US"/>
        </w:rPr>
        <w:t xml:space="preserve"> presented a discovery to validation pipeline for the identification of biomarkers from the serum of patients with cervical intraepithelial neoplasia (CIN) and squamous cell cervical cancer using iTRAQ </w:t>
      </w:r>
      <w:r w:rsidRPr="007D089C">
        <w:rPr>
          <w:lang w:val="en-US"/>
        </w:rPr>
        <w:fldChar w:fldCharType="begin"/>
      </w:r>
      <w:r w:rsidRPr="007D089C">
        <w:rPr>
          <w:lang w:val="en-US"/>
        </w:rPr>
        <w:instrText>ADDIN RW.CITE{{2086 Boichenko,A.P. 2014}}</w:instrText>
      </w:r>
      <w:r w:rsidRPr="007D089C">
        <w:rPr>
          <w:lang w:val="en-US"/>
        </w:rPr>
        <w:fldChar w:fldCharType="separate"/>
      </w:r>
      <w:r w:rsidR="00C77B76">
        <w:rPr>
          <w:lang w:val="en-US"/>
        </w:rPr>
        <w:t>(Boichenko et al., 2014)</w:t>
      </w:r>
      <w:r w:rsidRPr="007D089C">
        <w:rPr>
          <w:lang w:val="en-US"/>
        </w:rPr>
        <w:fldChar w:fldCharType="end"/>
      </w:r>
      <w:r w:rsidRPr="007D089C">
        <w:rPr>
          <w:lang w:val="en-US"/>
        </w:rPr>
        <w:t xml:space="preserve">. In this they began with an iTRAQ-based discovery phase, followed by confirmation and verification with a label free approach, and finally validation with MRM. They equated this pipeline with the expectations of decreasing numbers of protein targets and increasing sample/subject numbers. </w:t>
      </w:r>
      <w:r w:rsidR="006B7CEB" w:rsidRPr="007D089C">
        <w:rPr>
          <w:lang w:val="en-US"/>
        </w:rPr>
        <w:t xml:space="preserve">Here, they identified six protein targets in the discovery phase (nine cervical cancer patients and 17 controls), then </w:t>
      </w:r>
      <w:r w:rsidR="00D358A7" w:rsidRPr="007D089C">
        <w:rPr>
          <w:lang w:val="en-US"/>
        </w:rPr>
        <w:t>analyzed</w:t>
      </w:r>
      <w:r w:rsidR="006B7CEB" w:rsidRPr="007D089C">
        <w:rPr>
          <w:lang w:val="en-US"/>
        </w:rPr>
        <w:t xml:space="preserve"> samples from 59 mixed cancer patients and 84 controls in verification measurements, and 180 mixed cancer patients and 50 controls in validation.</w:t>
      </w:r>
    </w:p>
    <w:p w14:paraId="74020953" w14:textId="30F490A5" w:rsidR="000074EB" w:rsidRPr="007D089C" w:rsidRDefault="00946A31" w:rsidP="00B43F04">
      <w:pPr>
        <w:autoSpaceDE w:val="0"/>
        <w:autoSpaceDN w:val="0"/>
        <w:adjustRightInd w:val="0"/>
        <w:spacing w:line="480" w:lineRule="auto"/>
        <w:jc w:val="both"/>
        <w:rPr>
          <w:lang w:val="en-US"/>
        </w:rPr>
      </w:pPr>
      <w:r w:rsidRPr="007D089C">
        <w:rPr>
          <w:lang w:val="en-US"/>
        </w:rPr>
        <w:t xml:space="preserve">As another practical </w:t>
      </w:r>
      <w:r w:rsidR="000074EB" w:rsidRPr="007D089C">
        <w:rPr>
          <w:lang w:val="en-US"/>
        </w:rPr>
        <w:t xml:space="preserve">example, Gu </w:t>
      </w:r>
      <w:r w:rsidR="000074EB" w:rsidRPr="007D089C">
        <w:rPr>
          <w:i/>
          <w:lang w:val="en-US"/>
        </w:rPr>
        <w:t>et al.</w:t>
      </w:r>
      <w:r w:rsidR="000074EB" w:rsidRPr="007D089C">
        <w:rPr>
          <w:lang w:val="en-US"/>
        </w:rPr>
        <w:t xml:space="preserve"> investigated the availability of serum biomarkers of acute aortic dissection (AAD), comparing sera from 60 AAD patients with sera from 30 patients with acute myocardial infarction and 30 healthy volunteers </w:t>
      </w:r>
      <w:r w:rsidR="000074EB" w:rsidRPr="007D089C">
        <w:rPr>
          <w:lang w:val="en-US"/>
        </w:rPr>
        <w:fldChar w:fldCharType="begin"/>
      </w:r>
      <w:r w:rsidR="000074EB" w:rsidRPr="007D089C">
        <w:rPr>
          <w:lang w:val="en-US"/>
        </w:rPr>
        <w:instrText>ADDIN RW.CITE{{2092 Gu,G. 2011}}</w:instrText>
      </w:r>
      <w:r w:rsidR="000074EB" w:rsidRPr="007D089C">
        <w:rPr>
          <w:lang w:val="en-US"/>
        </w:rPr>
        <w:fldChar w:fldCharType="separate"/>
      </w:r>
      <w:r w:rsidR="00C77B76">
        <w:rPr>
          <w:lang w:val="en-US"/>
        </w:rPr>
        <w:t>(Gu et al., 2011)</w:t>
      </w:r>
      <w:r w:rsidR="000074EB" w:rsidRPr="007D089C">
        <w:rPr>
          <w:lang w:val="en-US"/>
        </w:rPr>
        <w:fldChar w:fldCharType="end"/>
      </w:r>
      <w:r w:rsidR="000074EB" w:rsidRPr="007D089C">
        <w:rPr>
          <w:lang w:val="en-US"/>
        </w:rPr>
        <w:t xml:space="preserve">. On the basis of this data they identified lumican as a biomarker of vascular injury, which was supported by ELISA validation in the 120 subjects, although no independent cohort was tested. Similarly, Song, F. </w:t>
      </w:r>
      <w:r w:rsidR="000074EB" w:rsidRPr="007D089C">
        <w:rPr>
          <w:i/>
          <w:lang w:val="en-US"/>
        </w:rPr>
        <w:t>et al</w:t>
      </w:r>
      <w:r w:rsidR="000074EB" w:rsidRPr="007D089C">
        <w:rPr>
          <w:lang w:val="en-US"/>
        </w:rPr>
        <w:t xml:space="preserve">. used iTRAQ to compare plasma pools from patients with mild cognitive impairment (MCI, n = 261), Alzheimer’s disease patients (n = 19) and cognitively normal subjects (n = 411). Western blotting was used to confirm that afamin was decreased and IGHM increased in the sample pools from the same subjects </w:t>
      </w:r>
      <w:r w:rsidR="000074EB" w:rsidRPr="007D089C">
        <w:rPr>
          <w:lang w:val="en-US"/>
        </w:rPr>
        <w:fldChar w:fldCharType="begin"/>
      </w:r>
      <w:r w:rsidR="000074EB" w:rsidRPr="007D089C">
        <w:rPr>
          <w:lang w:val="en-US"/>
        </w:rPr>
        <w:instrText>ADDIN RW.CITE{{2083 Song,F. 2014}}</w:instrText>
      </w:r>
      <w:r w:rsidR="000074EB" w:rsidRPr="007D089C">
        <w:rPr>
          <w:lang w:val="en-US"/>
        </w:rPr>
        <w:fldChar w:fldCharType="separate"/>
      </w:r>
      <w:r w:rsidR="00C77B76">
        <w:rPr>
          <w:lang w:val="en-US"/>
        </w:rPr>
        <w:t>(F. Song et al., 2014)</w:t>
      </w:r>
      <w:r w:rsidR="000074EB" w:rsidRPr="007D089C">
        <w:rPr>
          <w:lang w:val="en-US"/>
        </w:rPr>
        <w:fldChar w:fldCharType="end"/>
      </w:r>
      <w:r w:rsidR="000074EB" w:rsidRPr="007D089C">
        <w:rPr>
          <w:lang w:val="en-US"/>
        </w:rPr>
        <w:t xml:space="preserve">. In a later study they compared these data from an additional cohort of MCI subjects (n = 180) and controls (n = 153). </w:t>
      </w:r>
    </w:p>
    <w:p w14:paraId="0D2C9F41" w14:textId="77C7BA8B" w:rsidR="000074EB" w:rsidRPr="007D089C" w:rsidRDefault="000074EB" w:rsidP="00B43F04">
      <w:pPr>
        <w:autoSpaceDE w:val="0"/>
        <w:autoSpaceDN w:val="0"/>
        <w:adjustRightInd w:val="0"/>
        <w:spacing w:line="480" w:lineRule="auto"/>
        <w:jc w:val="both"/>
        <w:rPr>
          <w:lang w:val="en-US"/>
        </w:rPr>
      </w:pPr>
      <w:r w:rsidRPr="007D089C">
        <w:rPr>
          <w:lang w:val="en-US"/>
        </w:rPr>
        <w:t xml:space="preserve">In their study of type 2 diabetes (T2D) Kaur </w:t>
      </w:r>
      <w:r w:rsidRPr="007D089C">
        <w:rPr>
          <w:i/>
          <w:lang w:val="en-US"/>
        </w:rPr>
        <w:t>et al</w:t>
      </w:r>
      <w:r w:rsidRPr="007D089C">
        <w:rPr>
          <w:lang w:val="en-US"/>
        </w:rPr>
        <w:t>. used a randomized pooling strategy to compare T2D patients (n = 106) with controls (n = 76). They subsequently used Western blotting, SRM and qPCR to validate several differentially abundant proteins. Apolipoprotein A1, afamin, transthyretin (TTR), fibronectin, and vitamin D-binding protein (GC) were verified with MRM-based targeted proteomics in an independent cohort (</w:t>
      </w:r>
      <w:r w:rsidRPr="007D089C">
        <w:rPr>
          <w:iCs/>
          <w:lang w:val="en-US"/>
        </w:rPr>
        <w:t>n</w:t>
      </w:r>
      <w:r w:rsidRPr="007D089C">
        <w:rPr>
          <w:lang w:val="en-US"/>
        </w:rPr>
        <w:t xml:space="preserve"> = 72</w:t>
      </w:r>
      <w:r w:rsidR="00946A31" w:rsidRPr="007D089C">
        <w:rPr>
          <w:lang w:val="en-US"/>
        </w:rPr>
        <w:t>)</w:t>
      </w:r>
      <w:r w:rsidRPr="007D089C">
        <w:rPr>
          <w:lang w:val="en-US"/>
        </w:rPr>
        <w:t xml:space="preserve"> </w:t>
      </w:r>
      <w:r w:rsidRPr="007D089C">
        <w:rPr>
          <w:lang w:val="en-US"/>
        </w:rPr>
        <w:fldChar w:fldCharType="begin"/>
      </w:r>
      <w:r w:rsidRPr="007D089C">
        <w:rPr>
          <w:lang w:val="en-US"/>
        </w:rPr>
        <w:instrText>ADDIN RW.CITE{{1590 Kaur,P. 2012}}</w:instrText>
      </w:r>
      <w:r w:rsidRPr="007D089C">
        <w:rPr>
          <w:lang w:val="en-US"/>
        </w:rPr>
        <w:fldChar w:fldCharType="separate"/>
      </w:r>
      <w:r w:rsidR="00C77B76">
        <w:rPr>
          <w:lang w:val="en-US"/>
        </w:rPr>
        <w:t>(Kaur et al., 2012)</w:t>
      </w:r>
      <w:r w:rsidRPr="007D089C">
        <w:rPr>
          <w:lang w:val="en-US"/>
        </w:rPr>
        <w:fldChar w:fldCharType="end"/>
      </w:r>
      <w:r w:rsidRPr="007D089C">
        <w:rPr>
          <w:lang w:val="en-US"/>
        </w:rPr>
        <w:t xml:space="preserve">. </w:t>
      </w:r>
    </w:p>
    <w:p w14:paraId="32941A94" w14:textId="41ADD71E" w:rsidR="000074EB" w:rsidRPr="007D089C" w:rsidRDefault="004E6DFE" w:rsidP="00B43F04">
      <w:pPr>
        <w:autoSpaceDE w:val="0"/>
        <w:autoSpaceDN w:val="0"/>
        <w:adjustRightInd w:val="0"/>
        <w:spacing w:line="480" w:lineRule="auto"/>
        <w:jc w:val="both"/>
        <w:rPr>
          <w:lang w:val="en-US"/>
        </w:rPr>
      </w:pPr>
      <w:r w:rsidRPr="007D089C">
        <w:rPr>
          <w:lang w:val="en-US"/>
        </w:rPr>
        <w:t xml:space="preserve">In a small scale study, </w:t>
      </w:r>
      <w:r w:rsidR="000074EB" w:rsidRPr="007D089C">
        <w:rPr>
          <w:lang w:val="en-US"/>
        </w:rPr>
        <w:t xml:space="preserve">Zhou, C. </w:t>
      </w:r>
      <w:r w:rsidR="000074EB" w:rsidRPr="007D089C">
        <w:rPr>
          <w:i/>
          <w:lang w:val="en-US"/>
        </w:rPr>
        <w:t xml:space="preserve"> et al</w:t>
      </w:r>
      <w:r w:rsidR="000074EB" w:rsidRPr="007D089C">
        <w:rPr>
          <w:lang w:val="en-US"/>
        </w:rPr>
        <w:t xml:space="preserve">. considered the statistics and study design </w:t>
      </w:r>
      <w:r w:rsidR="00FC7692" w:rsidRPr="007D089C">
        <w:rPr>
          <w:lang w:val="en-US"/>
        </w:rPr>
        <w:t>for biomarker</w:t>
      </w:r>
      <w:r w:rsidR="000074EB" w:rsidRPr="007D089C">
        <w:rPr>
          <w:lang w:val="en-US"/>
        </w:rPr>
        <w:t xml:space="preserve"> </w:t>
      </w:r>
      <w:r w:rsidR="00FC7692" w:rsidRPr="007D089C">
        <w:rPr>
          <w:lang w:val="en-US"/>
        </w:rPr>
        <w:t>discovery by</w:t>
      </w:r>
      <w:r w:rsidR="000074EB" w:rsidRPr="007D089C">
        <w:rPr>
          <w:lang w:val="en-US"/>
        </w:rPr>
        <w:t xml:space="preserve"> plasma proteomics </w:t>
      </w:r>
      <w:r w:rsidR="000074EB" w:rsidRPr="007D089C">
        <w:rPr>
          <w:lang w:val="en-US"/>
        </w:rPr>
        <w:fldChar w:fldCharType="begin"/>
      </w:r>
      <w:r w:rsidR="000074EB" w:rsidRPr="007D089C">
        <w:rPr>
          <w:lang w:val="en-US"/>
        </w:rPr>
        <w:instrText>ADDIN RW.CITE{{1615 Zhou,C. 2012}}</w:instrText>
      </w:r>
      <w:r w:rsidR="000074EB" w:rsidRPr="007D089C">
        <w:rPr>
          <w:lang w:val="en-US"/>
        </w:rPr>
        <w:fldChar w:fldCharType="separate"/>
      </w:r>
      <w:r w:rsidR="00C77B76">
        <w:rPr>
          <w:lang w:val="en-US"/>
        </w:rPr>
        <w:t>(Zhou et al., 2012)</w:t>
      </w:r>
      <w:r w:rsidR="000074EB" w:rsidRPr="007D089C">
        <w:rPr>
          <w:lang w:val="en-US"/>
        </w:rPr>
        <w:fldChar w:fldCharType="end"/>
      </w:r>
      <w:r w:rsidR="000074EB" w:rsidRPr="007D089C">
        <w:rPr>
          <w:lang w:val="en-US"/>
        </w:rPr>
        <w:t xml:space="preserve">. </w:t>
      </w:r>
      <w:r w:rsidR="00946A31" w:rsidRPr="007D089C">
        <w:rPr>
          <w:lang w:val="en-US"/>
        </w:rPr>
        <w:t>On the basis of their power calculations from</w:t>
      </w:r>
      <w:r w:rsidR="000074EB" w:rsidRPr="007D089C">
        <w:rPr>
          <w:lang w:val="en-US"/>
        </w:rPr>
        <w:t xml:space="preserve"> </w:t>
      </w:r>
      <w:r w:rsidR="00946A31" w:rsidRPr="007D089C">
        <w:rPr>
          <w:lang w:val="en-US"/>
        </w:rPr>
        <w:t xml:space="preserve">the </w:t>
      </w:r>
      <w:r w:rsidR="000074EB" w:rsidRPr="007D089C">
        <w:rPr>
          <w:lang w:val="en-US"/>
        </w:rPr>
        <w:t xml:space="preserve">technical and biological variance of data from healthy volunteers and patients with pancreatic cancer, they suggested that six samples per group </w:t>
      </w:r>
      <w:r w:rsidR="00946A31" w:rsidRPr="007D089C">
        <w:rPr>
          <w:lang w:val="en-US"/>
        </w:rPr>
        <w:t>could</w:t>
      </w:r>
      <w:r w:rsidR="000074EB" w:rsidRPr="007D089C">
        <w:rPr>
          <w:lang w:val="en-US"/>
        </w:rPr>
        <w:t xml:space="preserve"> provide sufficient statistical power for most</w:t>
      </w:r>
      <w:r w:rsidR="00563401" w:rsidRPr="007D089C">
        <w:rPr>
          <w:lang w:val="en-US"/>
        </w:rPr>
        <w:t xml:space="preserve"> of the</w:t>
      </w:r>
      <w:r w:rsidR="000074EB" w:rsidRPr="007D089C">
        <w:rPr>
          <w:lang w:val="en-US"/>
        </w:rPr>
        <w:t xml:space="preserve"> proteins </w:t>
      </w:r>
      <w:r w:rsidR="00563401" w:rsidRPr="007D089C">
        <w:rPr>
          <w:lang w:val="en-US"/>
        </w:rPr>
        <w:t>detected in their data with</w:t>
      </w:r>
      <w:r w:rsidR="000074EB" w:rsidRPr="007D089C">
        <w:rPr>
          <w:lang w:val="en-US"/>
        </w:rPr>
        <w:t xml:space="preserve"> changes greater than two-fold. </w:t>
      </w:r>
    </w:p>
    <w:p w14:paraId="76CC728F" w14:textId="77777777" w:rsidR="000074EB" w:rsidRPr="007D089C" w:rsidRDefault="000074EB" w:rsidP="00C141DD">
      <w:pPr>
        <w:autoSpaceDE w:val="0"/>
        <w:autoSpaceDN w:val="0"/>
        <w:adjustRightInd w:val="0"/>
        <w:rPr>
          <w:color w:val="FF0000"/>
          <w:lang w:val="en-US"/>
        </w:rPr>
      </w:pPr>
    </w:p>
    <w:p w14:paraId="1C53CD24" w14:textId="77777777" w:rsidR="000074EB" w:rsidRPr="007D089C" w:rsidRDefault="000074EB" w:rsidP="00C141DD">
      <w:pPr>
        <w:pStyle w:val="Heading2"/>
        <w:spacing w:line="240" w:lineRule="auto"/>
      </w:pPr>
      <w:bookmarkStart w:id="11" w:name="_Toc483395821"/>
      <w:r w:rsidRPr="007D089C">
        <w:t>Differentially Abundant Proteins</w:t>
      </w:r>
      <w:bookmarkEnd w:id="11"/>
    </w:p>
    <w:p w14:paraId="55F194DA" w14:textId="5526922F" w:rsidR="000074EB" w:rsidRPr="007D089C" w:rsidRDefault="00563401" w:rsidP="00B43F04">
      <w:pPr>
        <w:autoSpaceDE w:val="0"/>
        <w:autoSpaceDN w:val="0"/>
        <w:adjustRightInd w:val="0"/>
        <w:spacing w:line="480" w:lineRule="auto"/>
        <w:jc w:val="both"/>
        <w:rPr>
          <w:rFonts w:ascii="Times-Roman" w:hAnsi="Times-Roman" w:cs="Times-Roman"/>
          <w:lang w:val="en-US"/>
        </w:rPr>
      </w:pPr>
      <w:r w:rsidRPr="007D089C">
        <w:rPr>
          <w:rFonts w:ascii="Times-Roman" w:hAnsi="Times-Roman" w:cs="Times-Roman"/>
          <w:lang w:val="en-US"/>
        </w:rPr>
        <w:t>A key</w:t>
      </w:r>
      <w:r w:rsidR="00986B89" w:rsidRPr="007D089C">
        <w:rPr>
          <w:rFonts w:ascii="Times-Roman" w:hAnsi="Times-Roman" w:cs="Times-Roman"/>
          <w:lang w:val="en-US"/>
        </w:rPr>
        <w:t xml:space="preserve"> aim of </w:t>
      </w:r>
      <w:r w:rsidR="001B1BD1" w:rsidRPr="007D089C">
        <w:rPr>
          <w:rFonts w:ascii="Times-Roman" w:hAnsi="Times-Roman" w:cs="Times-Roman"/>
          <w:lang w:val="en-US"/>
        </w:rPr>
        <w:t xml:space="preserve">many of </w:t>
      </w:r>
      <w:r w:rsidRPr="007D089C">
        <w:rPr>
          <w:rFonts w:ascii="Times-Roman" w:hAnsi="Times-Roman" w:cs="Times-Roman"/>
          <w:lang w:val="en-US"/>
        </w:rPr>
        <w:t xml:space="preserve">these studies has often been </w:t>
      </w:r>
      <w:r w:rsidR="00986B89" w:rsidRPr="007D089C">
        <w:rPr>
          <w:rFonts w:ascii="Times-Roman" w:hAnsi="Times-Roman" w:cs="Times-Roman"/>
          <w:lang w:val="en-US"/>
        </w:rPr>
        <w:t>biomarker identification</w:t>
      </w:r>
      <w:r w:rsidR="001B1BD1" w:rsidRPr="007D089C">
        <w:rPr>
          <w:rFonts w:ascii="Times-Roman" w:hAnsi="Times-Roman" w:cs="Times-Roman"/>
          <w:lang w:val="en-US"/>
        </w:rPr>
        <w:t>,</w:t>
      </w:r>
      <w:r w:rsidR="00986B89" w:rsidRPr="007D089C">
        <w:rPr>
          <w:rFonts w:ascii="Times-Roman" w:hAnsi="Times-Roman" w:cs="Times-Roman"/>
          <w:lang w:val="en-US"/>
        </w:rPr>
        <w:t xml:space="preserve"> </w:t>
      </w:r>
      <w:r w:rsidR="001B1BD1" w:rsidRPr="007D089C">
        <w:rPr>
          <w:rFonts w:ascii="Times-Roman" w:hAnsi="Times-Roman" w:cs="Times-Roman"/>
          <w:lang w:val="en-US"/>
        </w:rPr>
        <w:t>for which</w:t>
      </w:r>
      <w:r w:rsidR="000074EB" w:rsidRPr="007D089C">
        <w:rPr>
          <w:rFonts w:ascii="Times-Roman" w:hAnsi="Times-Roman" w:cs="Times-Roman"/>
          <w:lang w:val="en-US"/>
        </w:rPr>
        <w:t xml:space="preserve"> lists of differentially abundant proteins</w:t>
      </w:r>
      <w:r w:rsidR="00670428" w:rsidRPr="007D089C">
        <w:rPr>
          <w:rFonts w:ascii="Times-Roman" w:hAnsi="Times-Roman" w:cs="Times-Roman"/>
          <w:lang w:val="en-US"/>
        </w:rPr>
        <w:t xml:space="preserve"> have been reported that are</w:t>
      </w:r>
      <w:r w:rsidR="000074EB" w:rsidRPr="007D089C">
        <w:rPr>
          <w:rFonts w:ascii="Times-Roman" w:hAnsi="Times-Roman" w:cs="Times-Roman"/>
          <w:lang w:val="en-US"/>
        </w:rPr>
        <w:t xml:space="preserve"> </w:t>
      </w:r>
      <w:r w:rsidR="001B1BD1" w:rsidRPr="007D089C">
        <w:rPr>
          <w:rFonts w:ascii="Times-Roman" w:hAnsi="Times-Roman" w:cs="Times-Roman"/>
          <w:lang w:val="en-US"/>
        </w:rPr>
        <w:t xml:space="preserve">typically </w:t>
      </w:r>
      <w:r w:rsidR="000074EB" w:rsidRPr="007D089C">
        <w:rPr>
          <w:rFonts w:ascii="Times-Roman" w:hAnsi="Times-Roman" w:cs="Times-Roman"/>
          <w:lang w:val="en-US"/>
        </w:rPr>
        <w:t xml:space="preserve">in the order of </w:t>
      </w:r>
      <w:r w:rsidRPr="007D089C">
        <w:rPr>
          <w:rFonts w:ascii="Times-Roman" w:hAnsi="Times-Roman" w:cs="Times-Roman"/>
          <w:lang w:val="en-US"/>
        </w:rPr>
        <w:t>~</w:t>
      </w:r>
      <w:r w:rsidR="000074EB" w:rsidRPr="007D089C">
        <w:rPr>
          <w:rFonts w:ascii="Times-Roman" w:hAnsi="Times-Roman" w:cs="Times-Roman"/>
          <w:lang w:val="en-US"/>
        </w:rPr>
        <w:t xml:space="preserve">15-20% of the detected proteome. For example, in many </w:t>
      </w:r>
      <w:r w:rsidR="008B55EC" w:rsidRPr="007D089C">
        <w:rPr>
          <w:rFonts w:ascii="Times-Roman" w:hAnsi="Times-Roman" w:cs="Times-Roman"/>
          <w:lang w:val="en-US"/>
        </w:rPr>
        <w:t>of the latter</w:t>
      </w:r>
      <w:r w:rsidR="00287904" w:rsidRPr="007D089C">
        <w:rPr>
          <w:rFonts w:ascii="Times-Roman" w:hAnsi="Times-Roman" w:cs="Times-Roman"/>
          <w:lang w:val="en-US"/>
        </w:rPr>
        <w:t xml:space="preserve"> day</w:t>
      </w:r>
      <w:r w:rsidR="008B55EC" w:rsidRPr="007D089C">
        <w:rPr>
          <w:rFonts w:ascii="Times-Roman" w:hAnsi="Times-Roman" w:cs="Times-Roman"/>
          <w:lang w:val="en-US"/>
        </w:rPr>
        <w:t xml:space="preserve"> </w:t>
      </w:r>
      <w:r w:rsidR="00287904" w:rsidRPr="007D089C">
        <w:rPr>
          <w:rFonts w:ascii="Times-Roman" w:hAnsi="Times-Roman" w:cs="Times-Roman"/>
          <w:lang w:val="en-US"/>
        </w:rPr>
        <w:t>applications</w:t>
      </w:r>
      <w:r w:rsidR="00946A31" w:rsidRPr="007D089C">
        <w:rPr>
          <w:rFonts w:ascii="Times-Roman" w:hAnsi="Times-Roman" w:cs="Times-Roman"/>
          <w:lang w:val="en-US"/>
        </w:rPr>
        <w:t>,</w:t>
      </w:r>
      <w:r w:rsidR="00287904" w:rsidRPr="007D089C">
        <w:rPr>
          <w:rFonts w:ascii="Times-Roman" w:hAnsi="Times-Roman" w:cs="Times-Roman"/>
          <w:lang w:val="en-US"/>
        </w:rPr>
        <w:t xml:space="preserve"> </w:t>
      </w:r>
      <w:r w:rsidR="000074EB" w:rsidRPr="007D089C">
        <w:rPr>
          <w:rFonts w:ascii="Times-Roman" w:hAnsi="Times-Roman" w:cs="Times-Roman"/>
          <w:lang w:val="en-US"/>
        </w:rPr>
        <w:t>amounting to 35 out of 210 proteins</w:t>
      </w:r>
      <w:r w:rsidR="006B54E7" w:rsidRPr="007D089C">
        <w:rPr>
          <w:rFonts w:ascii="Times-Roman" w:hAnsi="Times-Roman" w:cs="Times-Roman"/>
          <w:lang w:val="en-US"/>
        </w:rPr>
        <w:t xml:space="preserve"> (</w:t>
      </w:r>
      <w:r w:rsidR="006B54E7" w:rsidRPr="007D089C">
        <w:rPr>
          <w:rFonts w:ascii="Times-Roman" w:hAnsi="Times-Roman" w:cs="Times-Roman"/>
          <w:u w:val="single"/>
          <w:lang w:val="en-US"/>
        </w:rPr>
        <w:t>&gt;</w:t>
      </w:r>
      <w:r w:rsidR="006B54E7" w:rsidRPr="007D089C">
        <w:rPr>
          <w:rFonts w:ascii="Times-Roman" w:hAnsi="Times-Roman" w:cs="Times-Roman"/>
          <w:lang w:val="en-US"/>
        </w:rPr>
        <w:t>2 unique peptides)</w:t>
      </w:r>
      <w:r w:rsidR="000074EB" w:rsidRPr="007D089C">
        <w:rPr>
          <w:rFonts w:ascii="Times-Roman" w:hAnsi="Times-Roman" w:cs="Times-Roman"/>
          <w:lang w:val="en-US"/>
        </w:rPr>
        <w:t xml:space="preserve">, </w:t>
      </w:r>
      <w:r w:rsidR="001B1BD1" w:rsidRPr="007D089C">
        <w:rPr>
          <w:rFonts w:ascii="Times-Roman" w:hAnsi="Times-Roman" w:cs="Times-Roman"/>
          <w:lang w:val="en-US"/>
        </w:rPr>
        <w:t>or</w:t>
      </w:r>
      <w:r w:rsidR="005679BF" w:rsidRPr="007D089C">
        <w:rPr>
          <w:rFonts w:ascii="Times-Roman" w:hAnsi="Times-Roman" w:cs="Times-Roman"/>
          <w:lang w:val="en-US"/>
        </w:rPr>
        <w:t xml:space="preserve"> presently</w:t>
      </w:r>
      <w:r w:rsidR="00986B89" w:rsidRPr="007D089C">
        <w:rPr>
          <w:rFonts w:ascii="Times-Roman" w:hAnsi="Times-Roman" w:cs="Times-Roman"/>
          <w:lang w:val="en-US"/>
        </w:rPr>
        <w:t xml:space="preserve"> </w:t>
      </w:r>
      <w:r w:rsidR="000074EB" w:rsidRPr="007D089C">
        <w:rPr>
          <w:rFonts w:ascii="Times-Roman" w:hAnsi="Times-Roman" w:cs="Times-Roman"/>
          <w:lang w:val="en-US"/>
        </w:rPr>
        <w:t>in the order of hundreds of proteins</w:t>
      </w:r>
      <w:r w:rsidR="00986B89" w:rsidRPr="007D089C">
        <w:rPr>
          <w:rFonts w:ascii="Times-Roman" w:hAnsi="Times-Roman" w:cs="Times-Roman"/>
          <w:lang w:val="en-US"/>
        </w:rPr>
        <w:t xml:space="preserve"> and in instances with larger identification lists</w:t>
      </w:r>
      <w:r w:rsidR="000074EB" w:rsidRPr="007D089C">
        <w:rPr>
          <w:rFonts w:ascii="Times-Roman" w:hAnsi="Times-Roman" w:cs="Times-Roman"/>
          <w:lang w:val="en-US"/>
        </w:rPr>
        <w:t xml:space="preserve">. </w:t>
      </w:r>
      <w:r w:rsidR="00630708" w:rsidRPr="007D089C">
        <w:rPr>
          <w:rFonts w:ascii="Times-Roman" w:hAnsi="Times-Roman" w:cs="Times-Roman"/>
          <w:lang w:val="en-US"/>
        </w:rPr>
        <w:t xml:space="preserve">As most frequently these have been </w:t>
      </w:r>
      <w:r w:rsidR="000074EB" w:rsidRPr="007D089C">
        <w:rPr>
          <w:rFonts w:ascii="Times-Roman" w:hAnsi="Times-Roman" w:cs="Times-Roman"/>
          <w:lang w:val="en-US"/>
        </w:rPr>
        <w:t>cross sectional comparisons</w:t>
      </w:r>
      <w:r w:rsidR="00630708" w:rsidRPr="007D089C">
        <w:rPr>
          <w:rFonts w:ascii="Times-Roman" w:hAnsi="Times-Roman" w:cs="Times-Roman"/>
          <w:lang w:val="en-US"/>
        </w:rPr>
        <w:t xml:space="preserve">, i.e. of a specific disease state vs. control, </w:t>
      </w:r>
      <w:r w:rsidR="000074EB" w:rsidRPr="007D089C">
        <w:rPr>
          <w:rFonts w:ascii="Times-Roman" w:hAnsi="Times-Roman" w:cs="Times-Roman"/>
          <w:lang w:val="en-US"/>
        </w:rPr>
        <w:t>it is not</w:t>
      </w:r>
      <w:r w:rsidR="00946A31" w:rsidRPr="007D089C">
        <w:rPr>
          <w:rFonts w:ascii="Times-Roman" w:hAnsi="Times-Roman" w:cs="Times-Roman"/>
          <w:lang w:val="en-US"/>
        </w:rPr>
        <w:t>eworthy</w:t>
      </w:r>
      <w:r w:rsidR="000074EB" w:rsidRPr="007D089C">
        <w:rPr>
          <w:rFonts w:ascii="Times-Roman" w:hAnsi="Times-Roman" w:cs="Times-Roman"/>
          <w:lang w:val="en-US"/>
        </w:rPr>
        <w:t xml:space="preserve"> that </w:t>
      </w:r>
      <w:r w:rsidR="00946A31" w:rsidRPr="007D089C">
        <w:rPr>
          <w:rFonts w:ascii="Times-Roman" w:hAnsi="Times-Roman" w:cs="Times-Roman"/>
          <w:lang w:val="en-US"/>
        </w:rPr>
        <w:t>in</w:t>
      </w:r>
      <w:r w:rsidR="00287904" w:rsidRPr="007D089C">
        <w:rPr>
          <w:rFonts w:ascii="Times-Roman" w:hAnsi="Times-Roman" w:cs="Times-Roman"/>
          <w:lang w:val="en-US"/>
        </w:rPr>
        <w:t xml:space="preserve"> the</w:t>
      </w:r>
      <w:r w:rsidR="000074EB" w:rsidRPr="007D089C">
        <w:rPr>
          <w:rFonts w:ascii="Times-Roman" w:hAnsi="Times-Roman" w:cs="Times-Roman"/>
          <w:lang w:val="en-US"/>
        </w:rPr>
        <w:t xml:space="preserve"> </w:t>
      </w:r>
      <w:r w:rsidR="00EC504A" w:rsidRPr="007D089C">
        <w:rPr>
          <w:rFonts w:ascii="Times-Roman" w:hAnsi="Times-Roman" w:cs="Times-Roman"/>
          <w:lang w:val="en-US"/>
        </w:rPr>
        <w:t>analyses</w:t>
      </w:r>
      <w:r w:rsidR="000074EB" w:rsidRPr="007D089C">
        <w:rPr>
          <w:rFonts w:ascii="Times-Roman" w:hAnsi="Times-Roman" w:cs="Times-Roman"/>
          <w:lang w:val="en-US"/>
        </w:rPr>
        <w:t xml:space="preserve"> </w:t>
      </w:r>
      <w:r w:rsidR="00287904" w:rsidRPr="007D089C">
        <w:rPr>
          <w:rFonts w:ascii="Times-Roman" w:hAnsi="Times-Roman" w:cs="Times-Roman"/>
          <w:lang w:val="en-US"/>
        </w:rPr>
        <w:t xml:space="preserve">of </w:t>
      </w:r>
      <w:r w:rsidR="00EC504A" w:rsidRPr="007D089C">
        <w:rPr>
          <w:rFonts w:ascii="Times-Roman" w:hAnsi="Times-Roman" w:cs="Times-Roman"/>
          <w:lang w:val="en-US"/>
        </w:rPr>
        <w:t xml:space="preserve">the </w:t>
      </w:r>
      <w:r w:rsidR="00287904" w:rsidRPr="007D089C">
        <w:rPr>
          <w:rFonts w:ascii="Times-Roman" w:hAnsi="Times-Roman" w:cs="Times-Roman"/>
          <w:lang w:val="en-US"/>
        </w:rPr>
        <w:t>serum proteome in maturing children (~1 to 15 years of age)</w:t>
      </w:r>
      <w:r w:rsidR="00974904" w:rsidRPr="007D089C">
        <w:rPr>
          <w:rFonts w:ascii="Times-Roman" w:hAnsi="Times-Roman" w:cs="Times-Roman"/>
          <w:lang w:val="en-US"/>
        </w:rPr>
        <w:t>,</w:t>
      </w:r>
      <w:r w:rsidR="00287904" w:rsidRPr="007D089C">
        <w:rPr>
          <w:rFonts w:ascii="Times-Roman" w:hAnsi="Times-Roman" w:cs="Times-Roman"/>
          <w:lang w:val="en-US"/>
        </w:rPr>
        <w:t xml:space="preserve"> </w:t>
      </w:r>
      <w:r w:rsidR="00EC504A" w:rsidRPr="007D089C">
        <w:rPr>
          <w:rFonts w:ascii="Times-Roman" w:hAnsi="Times-Roman" w:cs="Times-Roman"/>
          <w:lang w:val="en-US"/>
        </w:rPr>
        <w:t xml:space="preserve">Liu CW </w:t>
      </w:r>
      <w:r w:rsidR="00EC504A" w:rsidRPr="007D089C">
        <w:rPr>
          <w:rFonts w:ascii="Times-Roman" w:hAnsi="Times-Roman" w:cs="Times-Roman"/>
          <w:i/>
          <w:lang w:val="en-US"/>
        </w:rPr>
        <w:t>et al.</w:t>
      </w:r>
      <w:r w:rsidR="00EC504A" w:rsidRPr="007D089C">
        <w:rPr>
          <w:rFonts w:ascii="Times-Roman" w:hAnsi="Times-Roman" w:cs="Times-Roman"/>
          <w:lang w:val="en-US"/>
        </w:rPr>
        <w:t xml:space="preserve"> </w:t>
      </w:r>
      <w:r w:rsidR="000074EB" w:rsidRPr="007D089C">
        <w:rPr>
          <w:rFonts w:ascii="Times-Roman" w:hAnsi="Times-Roman" w:cs="Times-Roman"/>
          <w:lang w:val="en-US"/>
        </w:rPr>
        <w:t xml:space="preserve">observed </w:t>
      </w:r>
      <w:r w:rsidR="00EC504A" w:rsidRPr="007D089C">
        <w:rPr>
          <w:rFonts w:ascii="Times-Roman" w:hAnsi="Times-Roman" w:cs="Times-Roman"/>
          <w:lang w:val="en-US"/>
        </w:rPr>
        <w:t xml:space="preserve">temporal profiles </w:t>
      </w:r>
      <w:r w:rsidR="000074EB" w:rsidRPr="007D089C">
        <w:rPr>
          <w:rFonts w:ascii="Times-Roman" w:hAnsi="Times-Roman" w:cs="Times-Roman"/>
          <w:lang w:val="en-US"/>
        </w:rPr>
        <w:t xml:space="preserve">for 900 hundred proteins </w:t>
      </w:r>
      <w:r w:rsidR="000074EB" w:rsidRPr="007D089C">
        <w:rPr>
          <w:rFonts w:ascii="Times-Roman" w:hAnsi="Times-Roman" w:cs="Times-Roman"/>
          <w:lang w:val="en-US"/>
        </w:rPr>
        <w:fldChar w:fldCharType="begin"/>
      </w:r>
      <w:r w:rsidR="000074EB" w:rsidRPr="007D089C">
        <w:rPr>
          <w:rFonts w:ascii="Times-Roman" w:hAnsi="Times-Roman" w:cs="Times-Roman"/>
          <w:lang w:val="en-US"/>
        </w:rPr>
        <w:instrText>ADDIN RW.CITE{{3087 Liu,C.W. 2016}}</w:instrText>
      </w:r>
      <w:r w:rsidR="000074EB" w:rsidRPr="007D089C">
        <w:rPr>
          <w:rFonts w:ascii="Times-Roman" w:hAnsi="Times-Roman" w:cs="Times-Roman"/>
          <w:lang w:val="en-US"/>
        </w:rPr>
        <w:fldChar w:fldCharType="separate"/>
      </w:r>
      <w:r w:rsidR="00C77B76">
        <w:rPr>
          <w:rFonts w:ascii="Times-Roman" w:hAnsi="Times-Roman" w:cs="Times-Roman"/>
          <w:lang w:val="en-US"/>
        </w:rPr>
        <w:t>(C. W. Liu et al., 2016)</w:t>
      </w:r>
      <w:r w:rsidR="000074EB" w:rsidRPr="007D089C">
        <w:rPr>
          <w:rFonts w:ascii="Times-Roman" w:hAnsi="Times-Roman" w:cs="Times-Roman"/>
          <w:lang w:val="en-US"/>
        </w:rPr>
        <w:fldChar w:fldCharType="end"/>
      </w:r>
      <w:r w:rsidR="00287904" w:rsidRPr="007D089C">
        <w:rPr>
          <w:rFonts w:ascii="Times-Roman" w:hAnsi="Times-Roman" w:cs="Times-Roman"/>
          <w:lang w:val="en-US"/>
        </w:rPr>
        <w:t xml:space="preserve">, underlining the importance of </w:t>
      </w:r>
      <w:r w:rsidR="00974904" w:rsidRPr="007D089C">
        <w:rPr>
          <w:rFonts w:ascii="Times-Roman" w:hAnsi="Times-Roman" w:cs="Times-Roman"/>
          <w:lang w:val="en-US"/>
        </w:rPr>
        <w:t>selecting suitable matched controls</w:t>
      </w:r>
      <w:r w:rsidR="00287904" w:rsidRPr="007D089C">
        <w:rPr>
          <w:rFonts w:ascii="Times-Roman" w:hAnsi="Times-Roman" w:cs="Times-Roman"/>
          <w:lang w:val="en-US"/>
        </w:rPr>
        <w:t xml:space="preserve"> when comparing subjects</w:t>
      </w:r>
      <w:r w:rsidR="000074EB" w:rsidRPr="007D089C">
        <w:rPr>
          <w:rFonts w:ascii="Times-Roman" w:hAnsi="Times-Roman" w:cs="Times-Roman"/>
          <w:lang w:val="en-US"/>
        </w:rPr>
        <w:t xml:space="preserve">. </w:t>
      </w:r>
    </w:p>
    <w:p w14:paraId="2FE84092" w14:textId="77777777" w:rsidR="00986B89" w:rsidRPr="007D089C" w:rsidRDefault="00986B89" w:rsidP="00B43F04">
      <w:pPr>
        <w:autoSpaceDE w:val="0"/>
        <w:autoSpaceDN w:val="0"/>
        <w:adjustRightInd w:val="0"/>
        <w:spacing w:line="480" w:lineRule="auto"/>
        <w:jc w:val="both"/>
        <w:rPr>
          <w:lang w:val="en-US"/>
        </w:rPr>
      </w:pPr>
    </w:p>
    <w:p w14:paraId="7C01DE8D" w14:textId="4C7A986D" w:rsidR="000074EB" w:rsidRPr="007D089C" w:rsidRDefault="00986B89" w:rsidP="00B43F04">
      <w:pPr>
        <w:autoSpaceDE w:val="0"/>
        <w:autoSpaceDN w:val="0"/>
        <w:adjustRightInd w:val="0"/>
        <w:spacing w:line="480" w:lineRule="auto"/>
        <w:jc w:val="both"/>
        <w:rPr>
          <w:rStyle w:val="Emphasis"/>
          <w:i w:val="0"/>
          <w:lang w:val="en-US"/>
        </w:rPr>
      </w:pPr>
      <w:r w:rsidRPr="007D089C">
        <w:rPr>
          <w:lang w:val="en-US"/>
        </w:rPr>
        <w:t>While</w:t>
      </w:r>
      <w:r w:rsidR="000074EB" w:rsidRPr="007D089C">
        <w:rPr>
          <w:lang w:val="en-US"/>
        </w:rPr>
        <w:t xml:space="preserve"> many plasma</w:t>
      </w:r>
      <w:r w:rsidR="00670428" w:rsidRPr="007D089C">
        <w:rPr>
          <w:lang w:val="en-US"/>
        </w:rPr>
        <w:t xml:space="preserve"> biomarker</w:t>
      </w:r>
      <w:r w:rsidR="000074EB" w:rsidRPr="007D089C">
        <w:rPr>
          <w:lang w:val="en-US"/>
        </w:rPr>
        <w:t xml:space="preserve"> studies have strived to identify the lower abundance proteome, disease related patterns and differences in the moderately abundant proteome and depletion targets have frequently been </w:t>
      </w:r>
      <w:r w:rsidR="00113FC6" w:rsidRPr="007D089C">
        <w:rPr>
          <w:lang w:val="en-US"/>
        </w:rPr>
        <w:t>reported</w:t>
      </w:r>
      <w:r w:rsidR="000074EB" w:rsidRPr="007D089C">
        <w:rPr>
          <w:lang w:val="en-US"/>
        </w:rPr>
        <w:t xml:space="preserve">. </w:t>
      </w:r>
      <w:r w:rsidR="00113FC6" w:rsidRPr="007D089C">
        <w:rPr>
          <w:lang w:val="en-US"/>
        </w:rPr>
        <w:t>Moreover, s</w:t>
      </w:r>
      <w:r w:rsidR="00946A31" w:rsidRPr="007D089C">
        <w:rPr>
          <w:lang w:val="en-US"/>
        </w:rPr>
        <w:t xml:space="preserve">ince </w:t>
      </w:r>
      <w:r w:rsidR="000074EB" w:rsidRPr="007D089C">
        <w:rPr>
          <w:lang w:val="en-US"/>
        </w:rPr>
        <w:t>the fundamental processes moderated by the plasma proteome, such as inflammation and coagulation</w:t>
      </w:r>
      <w:r w:rsidR="00113FC6" w:rsidRPr="007D089C">
        <w:rPr>
          <w:lang w:val="en-US"/>
        </w:rPr>
        <w:t>,</w:t>
      </w:r>
      <w:r w:rsidR="000074EB" w:rsidRPr="007D089C">
        <w:rPr>
          <w:lang w:val="en-US"/>
        </w:rPr>
        <w:t xml:space="preserve"> are concomitant w</w:t>
      </w:r>
      <w:r w:rsidR="00946A31" w:rsidRPr="007D089C">
        <w:rPr>
          <w:lang w:val="en-US"/>
        </w:rPr>
        <w:t>ith a range of health disorders, c</w:t>
      </w:r>
      <w:r w:rsidR="000074EB" w:rsidRPr="007D089C">
        <w:rPr>
          <w:lang w:val="en-US"/>
        </w:rPr>
        <w:t>ommon markers might be expected between similar or related diseases</w:t>
      </w:r>
      <w:r w:rsidR="00946A31" w:rsidRPr="007D089C">
        <w:rPr>
          <w:lang w:val="en-US"/>
        </w:rPr>
        <w:t>. Accordingly, t</w:t>
      </w:r>
      <w:r w:rsidR="000074EB" w:rsidRPr="007D089C">
        <w:rPr>
          <w:lang w:val="en-US"/>
        </w:rPr>
        <w:t xml:space="preserve">he </w:t>
      </w:r>
      <w:r w:rsidR="000074EB" w:rsidRPr="007D089C">
        <w:rPr>
          <w:rStyle w:val="Emphasis"/>
          <w:i w:val="0"/>
          <w:lang w:val="en-US"/>
        </w:rPr>
        <w:t xml:space="preserve">observation of </w:t>
      </w:r>
      <w:r w:rsidR="00974904" w:rsidRPr="007D089C">
        <w:rPr>
          <w:rStyle w:val="Emphasis"/>
          <w:i w:val="0"/>
          <w:lang w:val="en-US"/>
        </w:rPr>
        <w:t xml:space="preserve">the </w:t>
      </w:r>
      <w:r w:rsidR="00946A31" w:rsidRPr="007D089C">
        <w:rPr>
          <w:rStyle w:val="Emphasis"/>
          <w:i w:val="0"/>
          <w:lang w:val="en-US"/>
        </w:rPr>
        <w:t xml:space="preserve">common </w:t>
      </w:r>
      <w:r w:rsidR="000074EB" w:rsidRPr="007D089C">
        <w:rPr>
          <w:rStyle w:val="Emphasis"/>
          <w:i w:val="0"/>
          <w:lang w:val="en-US"/>
        </w:rPr>
        <w:t xml:space="preserve">proteins </w:t>
      </w:r>
      <w:r w:rsidR="00946A31" w:rsidRPr="007D089C">
        <w:rPr>
          <w:rStyle w:val="Emphasis"/>
          <w:i w:val="0"/>
          <w:lang w:val="en-US"/>
        </w:rPr>
        <w:t>markers in</w:t>
      </w:r>
      <w:r w:rsidR="000074EB" w:rsidRPr="007D089C">
        <w:rPr>
          <w:rStyle w:val="Emphasis"/>
          <w:i w:val="0"/>
          <w:lang w:val="en-US"/>
        </w:rPr>
        <w:t xml:space="preserve"> different cancers </w:t>
      </w:r>
      <w:r w:rsidR="00946A31" w:rsidRPr="007D089C">
        <w:rPr>
          <w:rStyle w:val="Emphasis"/>
          <w:i w:val="0"/>
          <w:lang w:val="en-US"/>
        </w:rPr>
        <w:t>and</w:t>
      </w:r>
      <w:r w:rsidR="00EE3FFB" w:rsidRPr="007D089C">
        <w:rPr>
          <w:rStyle w:val="Emphasis"/>
          <w:i w:val="0"/>
          <w:lang w:val="en-US"/>
        </w:rPr>
        <w:t xml:space="preserve"> viral infections </w:t>
      </w:r>
      <w:r w:rsidR="000074EB" w:rsidRPr="007D089C">
        <w:rPr>
          <w:rStyle w:val="Emphasis"/>
          <w:i w:val="0"/>
          <w:lang w:val="en-US"/>
        </w:rPr>
        <w:t>has been reported</w:t>
      </w:r>
      <w:r w:rsidR="000074EB" w:rsidRPr="007D089C">
        <w:rPr>
          <w:rStyle w:val="Emphasis"/>
          <w:lang w:val="en-US"/>
        </w:rPr>
        <w:t xml:space="preserve"> </w:t>
      </w:r>
      <w:r w:rsidR="000074EB" w:rsidRPr="007D089C">
        <w:rPr>
          <w:rStyle w:val="Emphasis"/>
          <w:i w:val="0"/>
          <w:lang w:val="en-US"/>
        </w:rPr>
        <w:fldChar w:fldCharType="begin"/>
      </w:r>
      <w:r w:rsidR="000074EB" w:rsidRPr="007D089C">
        <w:rPr>
          <w:rStyle w:val="Emphasis"/>
          <w:lang w:val="en-US"/>
        </w:rPr>
        <w:instrText>ADDIN RW.CITE{{2210 Polanski,M. 2007; 2223 Percy,A.J. 2013}}</w:instrText>
      </w:r>
      <w:r w:rsidR="000074EB" w:rsidRPr="007D089C">
        <w:rPr>
          <w:rStyle w:val="Emphasis"/>
          <w:i w:val="0"/>
          <w:lang w:val="en-US"/>
        </w:rPr>
        <w:fldChar w:fldCharType="separate"/>
      </w:r>
      <w:r w:rsidR="00C77B76">
        <w:rPr>
          <w:rStyle w:val="Emphasis"/>
          <w:i w:val="0"/>
          <w:lang w:val="en-US"/>
        </w:rPr>
        <w:t>(Percy, Chambers, Yang, &amp; Borchers, 2013; Polanski &amp; Anderson, 2007)</w:t>
      </w:r>
      <w:r w:rsidR="000074EB" w:rsidRPr="007D089C">
        <w:rPr>
          <w:rStyle w:val="Emphasis"/>
          <w:i w:val="0"/>
          <w:lang w:val="en-US"/>
        </w:rPr>
        <w:fldChar w:fldCharType="end"/>
      </w:r>
      <w:r w:rsidR="00EE3FFB" w:rsidRPr="007D089C">
        <w:rPr>
          <w:rStyle w:val="Emphasis"/>
          <w:i w:val="0"/>
          <w:lang w:val="en-US"/>
        </w:rPr>
        <w:fldChar w:fldCharType="begin"/>
      </w:r>
      <w:r w:rsidR="00EE3FFB" w:rsidRPr="007D089C">
        <w:rPr>
          <w:rStyle w:val="Emphasis"/>
          <w:i w:val="0"/>
          <w:lang w:val="en-US"/>
        </w:rPr>
        <w:instrText>ADDIN RW.CITE{{3113 Ray,S. 2014}}</w:instrText>
      </w:r>
      <w:r w:rsidR="00EE3FFB" w:rsidRPr="007D089C">
        <w:rPr>
          <w:rStyle w:val="Emphasis"/>
          <w:i w:val="0"/>
          <w:lang w:val="en-US"/>
        </w:rPr>
        <w:fldChar w:fldCharType="separate"/>
      </w:r>
      <w:r w:rsidR="00C77B76">
        <w:rPr>
          <w:rStyle w:val="Emphasis"/>
          <w:i w:val="0"/>
          <w:lang w:val="en-US"/>
        </w:rPr>
        <w:t>(Ray, Patel, Kumar, Damahe, &amp; Srivastava, 2014)</w:t>
      </w:r>
      <w:r w:rsidR="00EE3FFB" w:rsidRPr="007D089C">
        <w:rPr>
          <w:rStyle w:val="Emphasis"/>
          <w:i w:val="0"/>
          <w:lang w:val="en-US"/>
        </w:rPr>
        <w:fldChar w:fldCharType="end"/>
      </w:r>
      <w:r w:rsidR="000074EB" w:rsidRPr="007D089C">
        <w:rPr>
          <w:rStyle w:val="Emphasis"/>
          <w:lang w:val="en-US"/>
        </w:rPr>
        <w:t xml:space="preserve">. </w:t>
      </w:r>
      <w:r w:rsidR="00630708" w:rsidRPr="007D089C">
        <w:rPr>
          <w:lang w:val="en-US"/>
        </w:rPr>
        <w:t xml:space="preserve">For example, </w:t>
      </w:r>
      <w:r w:rsidR="000074EB" w:rsidRPr="007D089C">
        <w:rPr>
          <w:lang w:val="en-US"/>
        </w:rPr>
        <w:t xml:space="preserve">alpha-1-acid glycoprotein 1 (ORM1) has been detected in </w:t>
      </w:r>
      <w:r w:rsidR="000074EB" w:rsidRPr="007D089C">
        <w:rPr>
          <w:rStyle w:val="Emphasis"/>
          <w:i w:val="0"/>
          <w:lang w:val="en-US"/>
        </w:rPr>
        <w:t>non-small cell lung cancer</w:t>
      </w:r>
      <w:r w:rsidR="000074EB" w:rsidRPr="007D089C">
        <w:rPr>
          <w:rStyle w:val="Emphasis"/>
          <w:lang w:val="en-US"/>
        </w:rPr>
        <w:t xml:space="preserve"> </w:t>
      </w:r>
      <w:r w:rsidR="000074EB" w:rsidRPr="007D089C">
        <w:rPr>
          <w:rStyle w:val="Emphasis"/>
          <w:i w:val="0"/>
          <w:lang w:val="en-US"/>
        </w:rPr>
        <w:fldChar w:fldCharType="begin"/>
      </w:r>
      <w:r w:rsidR="000074EB" w:rsidRPr="007D089C">
        <w:rPr>
          <w:rStyle w:val="Emphasis"/>
          <w:lang w:val="en-US"/>
        </w:rPr>
        <w:instrText>ADDIN RW.CITE{{2073 Zhang,F. 2014}}</w:instrText>
      </w:r>
      <w:r w:rsidR="000074EB" w:rsidRPr="007D089C">
        <w:rPr>
          <w:rStyle w:val="Emphasis"/>
          <w:i w:val="0"/>
          <w:lang w:val="en-US"/>
        </w:rPr>
        <w:fldChar w:fldCharType="separate"/>
      </w:r>
      <w:r w:rsidR="00C77B76">
        <w:rPr>
          <w:rStyle w:val="Emphasis"/>
          <w:i w:val="0"/>
          <w:lang w:val="en-US"/>
        </w:rPr>
        <w:t>(F. Zhang et al., 2014)</w:t>
      </w:r>
      <w:r w:rsidR="000074EB" w:rsidRPr="007D089C">
        <w:rPr>
          <w:rStyle w:val="Emphasis"/>
          <w:i w:val="0"/>
          <w:lang w:val="en-US"/>
        </w:rPr>
        <w:fldChar w:fldCharType="end"/>
      </w:r>
      <w:r w:rsidR="000074EB" w:rsidRPr="007D089C">
        <w:rPr>
          <w:rStyle w:val="Emphasis"/>
          <w:lang w:val="en-US"/>
        </w:rPr>
        <w:t xml:space="preserve"> </w:t>
      </w:r>
      <w:r w:rsidR="000074EB" w:rsidRPr="007D089C">
        <w:rPr>
          <w:rStyle w:val="Emphasis"/>
          <w:i w:val="0"/>
          <w:lang w:val="en-US"/>
        </w:rPr>
        <w:t>and gastric adenocarcinoma</w:t>
      </w:r>
      <w:r w:rsidR="000074EB" w:rsidRPr="007D089C">
        <w:rPr>
          <w:rStyle w:val="Emphasis"/>
          <w:lang w:val="en-US"/>
        </w:rPr>
        <w:t xml:space="preserve"> </w:t>
      </w:r>
      <w:r w:rsidR="000074EB" w:rsidRPr="007D089C">
        <w:rPr>
          <w:rStyle w:val="Emphasis"/>
          <w:i w:val="0"/>
          <w:lang w:val="en-US"/>
        </w:rPr>
        <w:fldChar w:fldCharType="begin"/>
      </w:r>
      <w:r w:rsidR="000074EB" w:rsidRPr="007D089C">
        <w:rPr>
          <w:rStyle w:val="Emphasis"/>
          <w:lang w:val="en-US"/>
        </w:rPr>
        <w:instrText>ADDIN RW.CITE{{1977 Subbannayya,Y. 2015}}</w:instrText>
      </w:r>
      <w:r w:rsidR="000074EB" w:rsidRPr="007D089C">
        <w:rPr>
          <w:rStyle w:val="Emphasis"/>
          <w:i w:val="0"/>
          <w:lang w:val="en-US"/>
        </w:rPr>
        <w:fldChar w:fldCharType="separate"/>
      </w:r>
      <w:r w:rsidR="00C77B76">
        <w:rPr>
          <w:rStyle w:val="Emphasis"/>
          <w:i w:val="0"/>
          <w:lang w:val="en-US"/>
        </w:rPr>
        <w:t>(Subbannayya et al., 2015)</w:t>
      </w:r>
      <w:r w:rsidR="000074EB" w:rsidRPr="007D089C">
        <w:rPr>
          <w:rStyle w:val="Emphasis"/>
          <w:i w:val="0"/>
          <w:lang w:val="en-US"/>
        </w:rPr>
        <w:fldChar w:fldCharType="end"/>
      </w:r>
      <w:r w:rsidR="000074EB" w:rsidRPr="007D089C">
        <w:rPr>
          <w:rStyle w:val="Emphasis"/>
          <w:lang w:val="en-US"/>
        </w:rPr>
        <w:t xml:space="preserve">, </w:t>
      </w:r>
      <w:r w:rsidR="000074EB" w:rsidRPr="007D089C">
        <w:rPr>
          <w:rStyle w:val="Emphasis"/>
          <w:i w:val="0"/>
          <w:lang w:val="en-US"/>
        </w:rPr>
        <w:t xml:space="preserve">and apolipoprotein A-IV (APOA4) in ovarian </w:t>
      </w:r>
      <w:r w:rsidR="000074EB" w:rsidRPr="007D089C">
        <w:rPr>
          <w:rStyle w:val="Emphasis"/>
          <w:i w:val="0"/>
          <w:lang w:val="en-US"/>
        </w:rPr>
        <w:fldChar w:fldCharType="begin"/>
      </w:r>
      <w:r w:rsidR="000074EB" w:rsidRPr="007D089C">
        <w:rPr>
          <w:rStyle w:val="Emphasis"/>
          <w:i w:val="0"/>
          <w:lang w:val="en-US"/>
        </w:rPr>
        <w:instrText>ADDIN RW.CITE{{2119 Li,L. 2012}}</w:instrText>
      </w:r>
      <w:r w:rsidR="000074EB" w:rsidRPr="007D089C">
        <w:rPr>
          <w:rStyle w:val="Emphasis"/>
          <w:i w:val="0"/>
          <w:lang w:val="en-US"/>
        </w:rPr>
        <w:fldChar w:fldCharType="separate"/>
      </w:r>
      <w:r w:rsidR="00C77B76">
        <w:rPr>
          <w:rStyle w:val="Emphasis"/>
          <w:i w:val="0"/>
          <w:lang w:val="en-US"/>
        </w:rPr>
        <w:t>(L. Li, Xu, &amp; Yu, 2012)</w:t>
      </w:r>
      <w:r w:rsidR="000074EB" w:rsidRPr="007D089C">
        <w:rPr>
          <w:rStyle w:val="Emphasis"/>
          <w:i w:val="0"/>
          <w:lang w:val="en-US"/>
        </w:rPr>
        <w:fldChar w:fldCharType="end"/>
      </w:r>
      <w:r w:rsidR="000074EB" w:rsidRPr="007D089C">
        <w:rPr>
          <w:rStyle w:val="Emphasis"/>
          <w:i w:val="0"/>
          <w:lang w:val="en-US"/>
        </w:rPr>
        <w:t xml:space="preserve"> and pancreatic cancers </w:t>
      </w:r>
      <w:r w:rsidR="000074EB" w:rsidRPr="007D089C">
        <w:rPr>
          <w:rStyle w:val="Emphasis"/>
          <w:i w:val="0"/>
          <w:lang w:val="en-US"/>
        </w:rPr>
        <w:fldChar w:fldCharType="begin"/>
      </w:r>
      <w:r w:rsidR="000074EB" w:rsidRPr="007D089C">
        <w:rPr>
          <w:rStyle w:val="Emphasis"/>
          <w:i w:val="0"/>
          <w:lang w:val="en-US"/>
        </w:rPr>
        <w:instrText>ADDIN RW.CITE{{2097 Nie,S. 2014}}</w:instrText>
      </w:r>
      <w:r w:rsidR="000074EB" w:rsidRPr="007D089C">
        <w:rPr>
          <w:rStyle w:val="Emphasis"/>
          <w:i w:val="0"/>
          <w:lang w:val="en-US"/>
        </w:rPr>
        <w:fldChar w:fldCharType="separate"/>
      </w:r>
      <w:r w:rsidR="00C77B76">
        <w:rPr>
          <w:rStyle w:val="Emphasis"/>
          <w:i w:val="0"/>
          <w:lang w:val="en-US"/>
        </w:rPr>
        <w:t>(Nie et al., 2014)</w:t>
      </w:r>
      <w:r w:rsidR="000074EB" w:rsidRPr="007D089C">
        <w:rPr>
          <w:rStyle w:val="Emphasis"/>
          <w:i w:val="0"/>
          <w:lang w:val="en-US"/>
        </w:rPr>
        <w:fldChar w:fldCharType="end"/>
      </w:r>
      <w:r w:rsidR="000074EB" w:rsidRPr="007D089C">
        <w:rPr>
          <w:rStyle w:val="Emphasis"/>
          <w:i w:val="0"/>
          <w:lang w:val="en-US"/>
        </w:rPr>
        <w:t xml:space="preserve">. Likewise, </w:t>
      </w:r>
      <w:r w:rsidR="00C21757" w:rsidRPr="007D089C">
        <w:rPr>
          <w:rStyle w:val="Emphasis"/>
          <w:i w:val="0"/>
          <w:lang w:val="en-US"/>
        </w:rPr>
        <w:t xml:space="preserve">many </w:t>
      </w:r>
      <w:r w:rsidR="000074EB" w:rsidRPr="007D089C">
        <w:rPr>
          <w:rStyle w:val="Emphasis"/>
          <w:i w:val="0"/>
          <w:lang w:val="en-US"/>
        </w:rPr>
        <w:t>studies have reported elevated inflammatory markers</w:t>
      </w:r>
      <w:r w:rsidR="00C21757" w:rsidRPr="007D089C">
        <w:rPr>
          <w:rStyle w:val="Emphasis"/>
          <w:i w:val="0"/>
          <w:lang w:val="en-US"/>
        </w:rPr>
        <w:t>,</w:t>
      </w:r>
      <w:r w:rsidR="000074EB" w:rsidRPr="007D089C">
        <w:rPr>
          <w:rStyle w:val="Emphasis"/>
          <w:i w:val="0"/>
          <w:lang w:val="en-US"/>
        </w:rPr>
        <w:t xml:space="preserve"> such as C reactive protein (CRP) and/or Serum amyloid A-1 protein (SAA1)</w:t>
      </w:r>
      <w:r w:rsidR="000074EB" w:rsidRPr="007D089C">
        <w:rPr>
          <w:rStyle w:val="Emphasis"/>
          <w:lang w:val="en-US"/>
        </w:rPr>
        <w:t xml:space="preserve"> </w:t>
      </w:r>
      <w:r w:rsidR="000074EB" w:rsidRPr="007D089C">
        <w:rPr>
          <w:rStyle w:val="Emphasis"/>
          <w:i w:val="0"/>
          <w:lang w:val="en-US"/>
        </w:rPr>
        <w:fldChar w:fldCharType="begin"/>
      </w:r>
      <w:r w:rsidR="000074EB" w:rsidRPr="007D089C">
        <w:rPr>
          <w:rStyle w:val="Emphasis"/>
          <w:lang w:val="en-US"/>
        </w:rPr>
        <w:instrText>ADDIN RW.CITE{{2077 Rice,S.J. 2015; 2094 He,X. 2014; 2073 Zhang,F. 2014; 2184 Walker,M.J. 2015}}</w:instrText>
      </w:r>
      <w:r w:rsidR="000074EB" w:rsidRPr="007D089C">
        <w:rPr>
          <w:rStyle w:val="Emphasis"/>
          <w:i w:val="0"/>
          <w:lang w:val="en-US"/>
        </w:rPr>
        <w:fldChar w:fldCharType="separate"/>
      </w:r>
      <w:r w:rsidR="00C77B76">
        <w:rPr>
          <w:rStyle w:val="Emphasis"/>
          <w:i w:val="0"/>
          <w:lang w:val="en-US"/>
        </w:rPr>
        <w:t>(He et al., 2014; Rice et al., 2015; Walker et al., 2015; F. Zhang et al., 2014)</w:t>
      </w:r>
      <w:r w:rsidR="000074EB" w:rsidRPr="007D089C">
        <w:rPr>
          <w:rStyle w:val="Emphasis"/>
          <w:i w:val="0"/>
          <w:lang w:val="en-US"/>
        </w:rPr>
        <w:fldChar w:fldCharType="end"/>
      </w:r>
      <w:r w:rsidR="00C21757" w:rsidRPr="007D089C">
        <w:rPr>
          <w:rStyle w:val="Emphasis"/>
          <w:i w:val="0"/>
          <w:lang w:val="en-US"/>
        </w:rPr>
        <w:t>,</w:t>
      </w:r>
      <w:r w:rsidR="000074EB" w:rsidRPr="007D089C">
        <w:rPr>
          <w:lang w:val="en-US"/>
        </w:rPr>
        <w:t xml:space="preserve"> </w:t>
      </w:r>
      <w:r w:rsidR="00C21757" w:rsidRPr="007D089C">
        <w:rPr>
          <w:lang w:val="en-US"/>
        </w:rPr>
        <w:t>for example,</w:t>
      </w:r>
      <w:r w:rsidR="000074EB" w:rsidRPr="007D089C">
        <w:rPr>
          <w:lang w:val="en-US"/>
        </w:rPr>
        <w:t xml:space="preserve"> in plasma of patients with lung and liver cancer,</w:t>
      </w:r>
      <w:r w:rsidR="000074EB" w:rsidRPr="007D089C">
        <w:rPr>
          <w:rStyle w:val="Emphasis"/>
          <w:lang w:val="en-US"/>
        </w:rPr>
        <w:t xml:space="preserve"> </w:t>
      </w:r>
      <w:r w:rsidR="000074EB" w:rsidRPr="007D089C">
        <w:rPr>
          <w:rStyle w:val="Emphasis"/>
          <w:i w:val="0"/>
          <w:lang w:val="en-US"/>
        </w:rPr>
        <w:t xml:space="preserve">and elsewhere in relation to circulation and cardiovascular risk </w:t>
      </w:r>
      <w:r w:rsidR="000074EB" w:rsidRPr="007D089C">
        <w:rPr>
          <w:rStyle w:val="Emphasis"/>
          <w:i w:val="0"/>
          <w:lang w:val="en-US"/>
        </w:rPr>
        <w:fldChar w:fldCharType="begin"/>
      </w:r>
      <w:r w:rsidR="000074EB" w:rsidRPr="007D089C">
        <w:rPr>
          <w:rStyle w:val="Emphasis"/>
          <w:i w:val="0"/>
          <w:lang w:val="en-US"/>
        </w:rPr>
        <w:instrText>ADDIN RW.CITE{{3074 Kristensen,L.P. 2014; 1992 Satoh,K. 2013; 2121 Song,B. 2014}}</w:instrText>
      </w:r>
      <w:r w:rsidR="000074EB" w:rsidRPr="007D089C">
        <w:rPr>
          <w:rStyle w:val="Emphasis"/>
          <w:i w:val="0"/>
          <w:lang w:val="en-US"/>
        </w:rPr>
        <w:fldChar w:fldCharType="separate"/>
      </w:r>
      <w:r w:rsidR="00C77B76">
        <w:rPr>
          <w:rStyle w:val="Emphasis"/>
          <w:i w:val="0"/>
          <w:lang w:val="en-US"/>
        </w:rPr>
        <w:t>(Kristensen et al., 2014; Satoh, Maniwa, Oda, &amp; Matsumoto, 2013; B. Song et al., 2014)</w:t>
      </w:r>
      <w:r w:rsidR="000074EB" w:rsidRPr="007D089C">
        <w:rPr>
          <w:rStyle w:val="Emphasis"/>
          <w:i w:val="0"/>
          <w:lang w:val="en-US"/>
        </w:rPr>
        <w:fldChar w:fldCharType="end"/>
      </w:r>
      <w:r w:rsidR="00670428" w:rsidRPr="007D089C">
        <w:rPr>
          <w:rStyle w:val="Emphasis"/>
          <w:i w:val="0"/>
          <w:lang w:val="en-US"/>
        </w:rPr>
        <w:t xml:space="preserve">, including atherosclerosis and </w:t>
      </w:r>
      <w:r w:rsidR="000074EB" w:rsidRPr="007D089C">
        <w:rPr>
          <w:rFonts w:ascii="timesroman" w:hAnsi="timesroman"/>
          <w:lang w:val="en-US"/>
        </w:rPr>
        <w:t>aortic aneurysms</w:t>
      </w:r>
      <w:r w:rsidR="000074EB" w:rsidRPr="007D089C">
        <w:rPr>
          <w:rStyle w:val="Emphasis"/>
          <w:lang w:val="en-US"/>
        </w:rPr>
        <w:t>.</w:t>
      </w:r>
      <w:r w:rsidR="000074EB" w:rsidRPr="007D089C">
        <w:rPr>
          <w:rStyle w:val="Emphasis"/>
          <w:i w:val="0"/>
          <w:lang w:val="en-US"/>
        </w:rPr>
        <w:t xml:space="preserve"> </w:t>
      </w:r>
    </w:p>
    <w:p w14:paraId="6EC3CC4B" w14:textId="77777777" w:rsidR="00986B89" w:rsidRPr="007D089C" w:rsidRDefault="00986B89" w:rsidP="00B43F04">
      <w:pPr>
        <w:autoSpaceDE w:val="0"/>
        <w:autoSpaceDN w:val="0"/>
        <w:adjustRightInd w:val="0"/>
        <w:spacing w:line="480" w:lineRule="auto"/>
        <w:jc w:val="both"/>
        <w:rPr>
          <w:rStyle w:val="Emphasis"/>
          <w:i w:val="0"/>
          <w:lang w:val="en-US"/>
        </w:rPr>
      </w:pPr>
    </w:p>
    <w:p w14:paraId="688149DC" w14:textId="4936A48B" w:rsidR="000074EB" w:rsidRPr="007D089C" w:rsidRDefault="000074EB" w:rsidP="00B43F04">
      <w:pPr>
        <w:autoSpaceDE w:val="0"/>
        <w:autoSpaceDN w:val="0"/>
        <w:adjustRightInd w:val="0"/>
        <w:spacing w:line="480" w:lineRule="auto"/>
        <w:jc w:val="both"/>
        <w:rPr>
          <w:rStyle w:val="Emphasis"/>
          <w:lang w:val="en-US"/>
        </w:rPr>
      </w:pPr>
      <w:r w:rsidRPr="007D089C">
        <w:rPr>
          <w:rStyle w:val="Emphasis"/>
          <w:i w:val="0"/>
          <w:lang w:val="en-US"/>
        </w:rPr>
        <w:t xml:space="preserve">In </w:t>
      </w:r>
      <w:r w:rsidR="0076727D" w:rsidRPr="007D089C">
        <w:rPr>
          <w:rStyle w:val="Emphasis"/>
          <w:b/>
          <w:i w:val="0"/>
          <w:lang w:val="en-US"/>
        </w:rPr>
        <w:t>Figure</w:t>
      </w:r>
      <w:r w:rsidRPr="007D089C">
        <w:rPr>
          <w:rStyle w:val="Emphasis"/>
          <w:b/>
          <w:i w:val="0"/>
          <w:lang w:val="en-US"/>
        </w:rPr>
        <w:t xml:space="preserve"> 2 </w:t>
      </w:r>
      <w:r w:rsidRPr="007D089C">
        <w:rPr>
          <w:rStyle w:val="Emphasis"/>
          <w:i w:val="0"/>
          <w:lang w:val="en-US"/>
        </w:rPr>
        <w:t xml:space="preserve">we have summarized the top </w:t>
      </w:r>
      <w:r w:rsidR="0076727D" w:rsidRPr="007D089C">
        <w:rPr>
          <w:rStyle w:val="Emphasis"/>
          <w:i w:val="0"/>
          <w:lang w:val="en-US"/>
        </w:rPr>
        <w:t>2</w:t>
      </w:r>
      <w:r w:rsidRPr="007D089C">
        <w:rPr>
          <w:rStyle w:val="Emphasis"/>
          <w:i w:val="0"/>
          <w:lang w:val="en-US"/>
        </w:rPr>
        <w:t xml:space="preserve">0 most frequent markers on the basis of the available tabulated data </w:t>
      </w:r>
      <w:r w:rsidR="00227F1F" w:rsidRPr="007D089C">
        <w:rPr>
          <w:rStyle w:val="Emphasis"/>
          <w:i w:val="0"/>
          <w:lang w:val="en-US"/>
        </w:rPr>
        <w:t>from the articles included in this</w:t>
      </w:r>
      <w:r w:rsidR="00974904" w:rsidRPr="007D089C">
        <w:rPr>
          <w:rStyle w:val="Emphasis"/>
          <w:i w:val="0"/>
          <w:lang w:val="en-US"/>
        </w:rPr>
        <w:t xml:space="preserve"> review</w:t>
      </w:r>
      <w:r w:rsidRPr="007D089C">
        <w:rPr>
          <w:rStyle w:val="Emphasis"/>
          <w:i w:val="0"/>
          <w:lang w:val="en-US"/>
        </w:rPr>
        <w:t xml:space="preserve">. Examples amongst these include the differential abundance of plasma fibronectin, which has been reported in relation to hepatocellular carcinoma, abdominal aortic aneurysms, pulmonary tuberculosis and conotruncal heart defect to name but a few. Similarly, differences in plasma gelsolin have been reported in comparisons of sepsis, aneurysmal subarachnoid </w:t>
      </w:r>
      <w:r w:rsidR="00D358A7" w:rsidRPr="007D089C">
        <w:rPr>
          <w:rStyle w:val="Emphasis"/>
          <w:i w:val="0"/>
          <w:lang w:val="en-US"/>
        </w:rPr>
        <w:t>hemorrhage</w:t>
      </w:r>
      <w:r w:rsidRPr="007D089C">
        <w:rPr>
          <w:rStyle w:val="Emphasis"/>
          <w:i w:val="0"/>
          <w:lang w:val="en-US"/>
        </w:rPr>
        <w:t xml:space="preserve">, and post-stroke depression. </w:t>
      </w:r>
      <w:r w:rsidR="00670428" w:rsidRPr="007D089C">
        <w:rPr>
          <w:rStyle w:val="Emphasis"/>
          <w:i w:val="0"/>
          <w:lang w:val="en-US"/>
        </w:rPr>
        <w:t>T</w:t>
      </w:r>
      <w:r w:rsidRPr="007D089C">
        <w:rPr>
          <w:rStyle w:val="Emphasis"/>
          <w:i w:val="0"/>
          <w:lang w:val="en-US"/>
        </w:rPr>
        <w:t>he reoccurrence of the same markers in different diseases could be seen as a limitation to t</w:t>
      </w:r>
      <w:r w:rsidR="00670428" w:rsidRPr="007D089C">
        <w:rPr>
          <w:rStyle w:val="Emphasis"/>
          <w:i w:val="0"/>
          <w:lang w:val="en-US"/>
        </w:rPr>
        <w:t>he utility of plasma proteomics.</w:t>
      </w:r>
      <w:r w:rsidRPr="007D089C">
        <w:rPr>
          <w:rStyle w:val="Emphasis"/>
          <w:i w:val="0"/>
          <w:lang w:val="en-US"/>
        </w:rPr>
        <w:t xml:space="preserve"> </w:t>
      </w:r>
      <w:r w:rsidR="00670428" w:rsidRPr="007D089C">
        <w:rPr>
          <w:rStyle w:val="Emphasis"/>
          <w:i w:val="0"/>
          <w:lang w:val="en-US"/>
        </w:rPr>
        <w:t>I</w:t>
      </w:r>
      <w:r w:rsidR="00986B89" w:rsidRPr="007D089C">
        <w:rPr>
          <w:rStyle w:val="Emphasis"/>
          <w:i w:val="0"/>
          <w:lang w:val="en-US"/>
        </w:rPr>
        <w:t xml:space="preserve">t should </w:t>
      </w:r>
      <w:r w:rsidR="005679BF" w:rsidRPr="007D089C">
        <w:rPr>
          <w:rStyle w:val="Emphasis"/>
          <w:i w:val="0"/>
          <w:lang w:val="en-US"/>
        </w:rPr>
        <w:t xml:space="preserve">also </w:t>
      </w:r>
      <w:r w:rsidR="00986B89" w:rsidRPr="007D089C">
        <w:rPr>
          <w:rStyle w:val="Emphasis"/>
          <w:i w:val="0"/>
          <w:lang w:val="en-US"/>
        </w:rPr>
        <w:t xml:space="preserve">be noted that </w:t>
      </w:r>
      <w:r w:rsidR="00113FC6" w:rsidRPr="007D089C">
        <w:rPr>
          <w:rStyle w:val="Emphasis"/>
          <w:i w:val="0"/>
          <w:lang w:val="en-US"/>
        </w:rPr>
        <w:t>since</w:t>
      </w:r>
      <w:r w:rsidR="00986B89" w:rsidRPr="007D089C">
        <w:rPr>
          <w:rStyle w:val="Emphasis"/>
          <w:i w:val="0"/>
          <w:lang w:val="en-US"/>
        </w:rPr>
        <w:t xml:space="preserve"> the representative peptides of each protein are often considered to represent a single entity that the details of potentially important proteoform</w:t>
      </w:r>
      <w:r w:rsidR="00670428" w:rsidRPr="007D089C">
        <w:rPr>
          <w:rStyle w:val="Emphasis"/>
          <w:i w:val="0"/>
          <w:lang w:val="en-US"/>
        </w:rPr>
        <w:t>s</w:t>
      </w:r>
      <w:r w:rsidR="00986B89" w:rsidRPr="007D089C">
        <w:rPr>
          <w:rStyle w:val="Emphasis"/>
          <w:i w:val="0"/>
          <w:lang w:val="en-US"/>
        </w:rPr>
        <w:t xml:space="preserve"> </w:t>
      </w:r>
      <w:r w:rsidR="00227F1F" w:rsidRPr="007D089C">
        <w:rPr>
          <w:rStyle w:val="Emphasis"/>
          <w:i w:val="0"/>
          <w:lang w:val="en-US"/>
        </w:rPr>
        <w:t>should not</w:t>
      </w:r>
      <w:r w:rsidR="00986B89" w:rsidRPr="007D089C">
        <w:rPr>
          <w:rStyle w:val="Emphasis"/>
          <w:i w:val="0"/>
          <w:lang w:val="en-US"/>
        </w:rPr>
        <w:t xml:space="preserve"> be overlooked</w:t>
      </w:r>
      <w:r w:rsidR="00863341" w:rsidRPr="007D089C">
        <w:rPr>
          <w:rStyle w:val="Emphasis"/>
          <w:i w:val="0"/>
          <w:lang w:val="en-US"/>
        </w:rPr>
        <w:t xml:space="preserve"> </w:t>
      </w:r>
      <w:r w:rsidR="00863341" w:rsidRPr="007D089C">
        <w:rPr>
          <w:rStyle w:val="Emphasis"/>
          <w:i w:val="0"/>
          <w:lang w:val="en-US"/>
        </w:rPr>
        <w:fldChar w:fldCharType="begin"/>
      </w:r>
      <w:r w:rsidR="00863341" w:rsidRPr="007D089C">
        <w:rPr>
          <w:rStyle w:val="Emphasis"/>
          <w:i w:val="0"/>
          <w:lang w:val="en-US"/>
        </w:rPr>
        <w:instrText>ADDIN RW.CITE{{3135 Smith,L.M. 2013}}</w:instrText>
      </w:r>
      <w:r w:rsidR="00863341" w:rsidRPr="007D089C">
        <w:rPr>
          <w:rStyle w:val="Emphasis"/>
          <w:i w:val="0"/>
          <w:lang w:val="en-US"/>
        </w:rPr>
        <w:fldChar w:fldCharType="separate"/>
      </w:r>
      <w:r w:rsidR="00C77B76">
        <w:rPr>
          <w:rStyle w:val="Emphasis"/>
          <w:i w:val="0"/>
          <w:lang w:val="en-US"/>
        </w:rPr>
        <w:t>(Smith, Kelleher, &amp; Consortium for Top Down Proteomics, 2013)</w:t>
      </w:r>
      <w:r w:rsidR="00863341" w:rsidRPr="007D089C">
        <w:rPr>
          <w:rStyle w:val="Emphasis"/>
          <w:i w:val="0"/>
          <w:lang w:val="en-US"/>
        </w:rPr>
        <w:fldChar w:fldCharType="end"/>
      </w:r>
      <w:r w:rsidR="00986B89" w:rsidRPr="007D089C">
        <w:rPr>
          <w:rStyle w:val="Emphasis"/>
          <w:i w:val="0"/>
          <w:lang w:val="en-US"/>
        </w:rPr>
        <w:t xml:space="preserve">. </w:t>
      </w:r>
      <w:r w:rsidR="005679BF" w:rsidRPr="007D089C">
        <w:rPr>
          <w:rStyle w:val="Emphasis"/>
          <w:i w:val="0"/>
          <w:lang w:val="en-US"/>
        </w:rPr>
        <w:t>Furthermore</w:t>
      </w:r>
      <w:r w:rsidR="00113FC6" w:rsidRPr="007D089C">
        <w:rPr>
          <w:rStyle w:val="Emphasis"/>
          <w:i w:val="0"/>
          <w:lang w:val="en-US"/>
        </w:rPr>
        <w:t>, t</w:t>
      </w:r>
      <w:r w:rsidR="00986B89" w:rsidRPr="007D089C">
        <w:rPr>
          <w:rStyle w:val="Emphasis"/>
          <w:i w:val="0"/>
          <w:lang w:val="en-US"/>
        </w:rPr>
        <w:t xml:space="preserve">he importance of lower abundant proteins may become more apparent as </w:t>
      </w:r>
      <w:r w:rsidR="00113FC6" w:rsidRPr="007D089C">
        <w:rPr>
          <w:rStyle w:val="Emphasis"/>
          <w:i w:val="0"/>
          <w:lang w:val="en-US"/>
        </w:rPr>
        <w:t>increasingly plasma protein lists grow f</w:t>
      </w:r>
      <w:r w:rsidR="004E6DFE" w:rsidRPr="007D089C">
        <w:rPr>
          <w:rStyle w:val="Emphasis"/>
          <w:i w:val="0"/>
          <w:lang w:val="en-US"/>
        </w:rPr>
        <w:t>ro</w:t>
      </w:r>
      <w:r w:rsidR="00113FC6" w:rsidRPr="007D089C">
        <w:rPr>
          <w:rStyle w:val="Emphasis"/>
          <w:i w:val="0"/>
          <w:lang w:val="en-US"/>
        </w:rPr>
        <w:t>m hundreds to thousands</w:t>
      </w:r>
      <w:r w:rsidR="00986B89" w:rsidRPr="007D089C">
        <w:rPr>
          <w:rFonts w:ascii="Times-Roman" w:hAnsi="Times-Roman" w:cs="Times-Roman"/>
          <w:lang w:val="en-US"/>
        </w:rPr>
        <w:t xml:space="preserve"> </w:t>
      </w:r>
      <w:r w:rsidRPr="007D089C">
        <w:rPr>
          <w:rFonts w:ascii="Times-Roman" w:hAnsi="Times-Roman" w:cs="Times-Roman"/>
          <w:lang w:val="en-US"/>
        </w:rPr>
        <w:fldChar w:fldCharType="begin"/>
      </w:r>
      <w:r w:rsidRPr="007D089C">
        <w:rPr>
          <w:rFonts w:ascii="Times-Roman" w:hAnsi="Times-Roman" w:cs="Times-Roman"/>
          <w:lang w:val="en-US"/>
        </w:rPr>
        <w:instrText>ADDIN RW.CITE{{2138 Keshishian,H. 2015}}</w:instrText>
      </w:r>
      <w:r w:rsidRPr="007D089C">
        <w:rPr>
          <w:rFonts w:ascii="Times-Roman" w:hAnsi="Times-Roman" w:cs="Times-Roman"/>
          <w:lang w:val="en-US"/>
        </w:rPr>
        <w:fldChar w:fldCharType="separate"/>
      </w:r>
      <w:r w:rsidR="00C77B76">
        <w:rPr>
          <w:rFonts w:ascii="Times-Roman" w:hAnsi="Times-Roman" w:cs="Times-Roman"/>
          <w:lang w:val="en-US"/>
        </w:rPr>
        <w:t>(Keshishian et al., 2015)</w:t>
      </w:r>
      <w:r w:rsidRPr="007D089C">
        <w:rPr>
          <w:rFonts w:ascii="Times-Roman" w:hAnsi="Times-Roman" w:cs="Times-Roman"/>
          <w:lang w:val="en-US"/>
        </w:rPr>
        <w:fldChar w:fldCharType="end"/>
      </w:r>
      <w:r w:rsidRPr="007D089C">
        <w:rPr>
          <w:rFonts w:ascii="Times-Roman" w:hAnsi="Times-Roman" w:cs="Times-Roman"/>
          <w:lang w:val="en-US"/>
        </w:rPr>
        <w:fldChar w:fldCharType="begin"/>
      </w:r>
      <w:r w:rsidRPr="007D089C">
        <w:rPr>
          <w:rFonts w:ascii="Times-Roman" w:hAnsi="Times-Roman" w:cs="Times-Roman"/>
          <w:lang w:val="en-US"/>
        </w:rPr>
        <w:instrText>ADDIN RW.CITE{{3087 Liu,C.W. 2016}}</w:instrText>
      </w:r>
      <w:r w:rsidRPr="007D089C">
        <w:rPr>
          <w:rFonts w:ascii="Times-Roman" w:hAnsi="Times-Roman" w:cs="Times-Roman"/>
          <w:lang w:val="en-US"/>
        </w:rPr>
        <w:fldChar w:fldCharType="separate"/>
      </w:r>
      <w:r w:rsidR="00C77B76">
        <w:rPr>
          <w:rFonts w:ascii="Times-Roman" w:hAnsi="Times-Roman" w:cs="Times-Roman"/>
          <w:lang w:val="en-US"/>
        </w:rPr>
        <w:t>(C. W. Liu et al., 2016)</w:t>
      </w:r>
      <w:r w:rsidRPr="007D089C">
        <w:rPr>
          <w:rFonts w:ascii="Times-Roman" w:hAnsi="Times-Roman" w:cs="Times-Roman"/>
          <w:lang w:val="en-US"/>
        </w:rPr>
        <w:fldChar w:fldCharType="end"/>
      </w:r>
      <w:r w:rsidRPr="007D089C">
        <w:rPr>
          <w:rFonts w:ascii="Times-Roman" w:hAnsi="Times-Roman" w:cs="Times-Roman"/>
          <w:lang w:val="en-US"/>
        </w:rPr>
        <w:t>.</w:t>
      </w:r>
      <w:r w:rsidR="00986B89" w:rsidRPr="007D089C">
        <w:rPr>
          <w:rFonts w:ascii="Times-Roman" w:hAnsi="Times-Roman" w:cs="Times-Roman"/>
          <w:lang w:val="en-US"/>
        </w:rPr>
        <w:t xml:space="preserve"> </w:t>
      </w:r>
    </w:p>
    <w:p w14:paraId="42FB7D6D" w14:textId="77777777" w:rsidR="000074EB" w:rsidRPr="007D089C" w:rsidRDefault="000074EB" w:rsidP="00C141DD">
      <w:pPr>
        <w:autoSpaceDE w:val="0"/>
        <w:autoSpaceDN w:val="0"/>
        <w:adjustRightInd w:val="0"/>
        <w:rPr>
          <w:rFonts w:ascii="Times-Roman" w:hAnsi="Times-Roman" w:cs="Times-Roman"/>
          <w:color w:val="FF0000"/>
          <w:lang w:val="en-US"/>
        </w:rPr>
      </w:pPr>
    </w:p>
    <w:p w14:paraId="450785C8" w14:textId="77777777" w:rsidR="000074EB" w:rsidRPr="007D089C" w:rsidRDefault="000074EB" w:rsidP="00C141DD">
      <w:pPr>
        <w:pStyle w:val="Heading1"/>
        <w:spacing w:line="240" w:lineRule="auto"/>
      </w:pPr>
      <w:bookmarkStart w:id="12" w:name="_Toc483395822"/>
      <w:r w:rsidRPr="007D089C">
        <w:t>Applications of Isobaric Labeling for Serum and Plasma Proteomics</w:t>
      </w:r>
      <w:bookmarkEnd w:id="12"/>
      <w:r w:rsidRPr="007D089C">
        <w:t xml:space="preserve"> </w:t>
      </w:r>
    </w:p>
    <w:p w14:paraId="4CA41290" w14:textId="1EF0FAB8" w:rsidR="000074EB" w:rsidRPr="007D089C" w:rsidRDefault="000074EB" w:rsidP="00B43F04">
      <w:pPr>
        <w:autoSpaceDE w:val="0"/>
        <w:autoSpaceDN w:val="0"/>
        <w:adjustRightInd w:val="0"/>
        <w:spacing w:line="480" w:lineRule="auto"/>
        <w:jc w:val="both"/>
        <w:rPr>
          <w:rFonts w:ascii="Times-Roman" w:hAnsi="Times-Roman" w:cs="Times-Roman"/>
          <w:lang w:val="en-US"/>
        </w:rPr>
      </w:pPr>
      <w:r w:rsidRPr="007D089C">
        <w:rPr>
          <w:rFonts w:ascii="Times-Roman" w:hAnsi="Times-Roman" w:cs="Times-Roman"/>
          <w:lang w:val="en-US"/>
        </w:rPr>
        <w:t xml:space="preserve">It may be that having been the first commercially available variant of these isobaric labeling reagents that iTRAQ currently accounts for by far the largest proportion of the publications using this quantitative approach </w:t>
      </w:r>
      <w:r w:rsidRPr="007D089C">
        <w:rPr>
          <w:rFonts w:ascii="Times-Roman" w:hAnsi="Times-Roman" w:cs="Times-Roman"/>
          <w:lang w:val="en-US"/>
        </w:rPr>
        <w:fldChar w:fldCharType="begin"/>
      </w:r>
      <w:r w:rsidRPr="007D089C">
        <w:rPr>
          <w:rFonts w:ascii="Times-Roman" w:hAnsi="Times-Roman" w:cs="Times-Roman"/>
          <w:lang w:val="en-US"/>
        </w:rPr>
        <w:instrText>ADDIN RW.CITE{{1902 Westbrook,J.A. 2015}}</w:instrText>
      </w:r>
      <w:r w:rsidRPr="007D089C">
        <w:rPr>
          <w:rFonts w:ascii="Times-Roman" w:hAnsi="Times-Roman" w:cs="Times-Roman"/>
          <w:lang w:val="en-US"/>
        </w:rPr>
        <w:fldChar w:fldCharType="separate"/>
      </w:r>
      <w:r w:rsidR="00C77B76">
        <w:rPr>
          <w:rFonts w:ascii="Times-Roman" w:hAnsi="Times-Roman" w:cs="Times-Roman"/>
          <w:lang w:val="en-US"/>
        </w:rPr>
        <w:t>(Westbrook et al., 2015)</w:t>
      </w:r>
      <w:r w:rsidRPr="007D089C">
        <w:rPr>
          <w:rFonts w:ascii="Times-Roman" w:hAnsi="Times-Roman" w:cs="Times-Roman"/>
          <w:lang w:val="en-US"/>
        </w:rPr>
        <w:fldChar w:fldCharType="end"/>
      </w:r>
      <w:r w:rsidRPr="007D089C">
        <w:rPr>
          <w:rFonts w:ascii="Times-Roman" w:hAnsi="Times-Roman" w:cs="Times-Roman"/>
          <w:lang w:val="en-US"/>
        </w:rPr>
        <w:t xml:space="preserve">. Collectively the applications of isobaric labeling of the plasma proteome have ranged from cancer to autoimmune diseases, as well as the influence of life style (smoking and nutrition) and environmentally influenced afflictions (occupational exposure). The references included in this review have not been restricted to human plasma, as for example ape models have been used to study the effect of viral infections </w:t>
      </w:r>
      <w:r w:rsidRPr="007D089C">
        <w:rPr>
          <w:rFonts w:ascii="Times-Roman" w:hAnsi="Times-Roman" w:cs="Times-Roman"/>
          <w:lang w:val="en-US"/>
        </w:rPr>
        <w:fldChar w:fldCharType="begin"/>
      </w:r>
      <w:r w:rsidRPr="007D089C">
        <w:rPr>
          <w:rFonts w:ascii="Times-Roman" w:hAnsi="Times-Roman" w:cs="Times-Roman"/>
          <w:lang w:val="en-US"/>
        </w:rPr>
        <w:instrText>ADDIN RW.CITE{{1426 Wiederin,J.L. 2010; 2006 Wiederin,J.L. 2012}}</w:instrText>
      </w:r>
      <w:r w:rsidRPr="007D089C">
        <w:rPr>
          <w:rFonts w:ascii="Times-Roman" w:hAnsi="Times-Roman" w:cs="Times-Roman"/>
          <w:lang w:val="en-US"/>
        </w:rPr>
        <w:fldChar w:fldCharType="separate"/>
      </w:r>
      <w:r w:rsidR="00C77B76">
        <w:rPr>
          <w:rFonts w:ascii="Times-Roman" w:hAnsi="Times-Roman" w:cs="Times-Roman"/>
          <w:lang w:val="en-US"/>
        </w:rPr>
        <w:t>(Wiederin et al., 2010; Wiederin et al., 2012)</w:t>
      </w:r>
      <w:r w:rsidRPr="007D089C">
        <w:rPr>
          <w:rFonts w:ascii="Times-Roman" w:hAnsi="Times-Roman" w:cs="Times-Roman"/>
          <w:lang w:val="en-US"/>
        </w:rPr>
        <w:fldChar w:fldCharType="end"/>
      </w:r>
      <w:r w:rsidRPr="007D089C">
        <w:rPr>
          <w:rFonts w:ascii="Times-Roman" w:hAnsi="Times-Roman" w:cs="Times-Roman"/>
          <w:lang w:val="en-US"/>
        </w:rPr>
        <w:t xml:space="preserve">, xenographs have been made for tumor models </w:t>
      </w:r>
      <w:r w:rsidRPr="007D089C">
        <w:rPr>
          <w:rFonts w:ascii="Times-Roman" w:hAnsi="Times-Roman" w:cs="Times-Roman"/>
          <w:lang w:val="en-US"/>
        </w:rPr>
        <w:fldChar w:fldCharType="begin"/>
      </w:r>
      <w:r w:rsidRPr="007D089C">
        <w:rPr>
          <w:rFonts w:ascii="Times-Roman" w:hAnsi="Times-Roman" w:cs="Times-Roman"/>
          <w:lang w:val="en-US"/>
        </w:rPr>
        <w:instrText>ADDIN RW.CITE{{1430 Chong,P.K. 2010}}</w:instrText>
      </w:r>
      <w:r w:rsidRPr="007D089C">
        <w:rPr>
          <w:rFonts w:ascii="Times-Roman" w:hAnsi="Times-Roman" w:cs="Times-Roman"/>
          <w:lang w:val="en-US"/>
        </w:rPr>
        <w:fldChar w:fldCharType="separate"/>
      </w:r>
      <w:r w:rsidR="00C77B76">
        <w:rPr>
          <w:rFonts w:ascii="Times-Roman" w:hAnsi="Times-Roman" w:cs="Times-Roman"/>
          <w:lang w:val="en-US"/>
        </w:rPr>
        <w:t>(Chong, Lee, Zhou, Liu, Loh, So et al., 2010)</w:t>
      </w:r>
      <w:r w:rsidRPr="007D089C">
        <w:rPr>
          <w:rFonts w:ascii="Times-Roman" w:hAnsi="Times-Roman" w:cs="Times-Roman"/>
          <w:lang w:val="en-US"/>
        </w:rPr>
        <w:fldChar w:fldCharType="end"/>
      </w:r>
      <w:r w:rsidRPr="007D089C">
        <w:rPr>
          <w:rFonts w:ascii="Times-Roman" w:hAnsi="Times-Roman" w:cs="Times-Roman"/>
          <w:lang w:val="en-US"/>
        </w:rPr>
        <w:t>, and</w:t>
      </w:r>
      <w:r w:rsidRPr="007D089C">
        <w:rPr>
          <w:rFonts w:ascii="Times-Roman" w:hAnsi="Times-Roman" w:cs="Times-Roman"/>
          <w:color w:val="E36C0A" w:themeColor="accent6" w:themeShade="BF"/>
          <w:lang w:val="en-US"/>
        </w:rPr>
        <w:t xml:space="preserve"> </w:t>
      </w:r>
      <w:r w:rsidRPr="007D089C">
        <w:rPr>
          <w:rFonts w:ascii="Times-Roman" w:hAnsi="Times-Roman" w:cs="Times-Roman"/>
          <w:lang w:val="en-US"/>
        </w:rPr>
        <w:t xml:space="preserve">other animal-based disease models (rat or mouse).  In addition to regular profiling of the </w:t>
      </w:r>
      <w:r w:rsidR="00986B89" w:rsidRPr="007D089C">
        <w:rPr>
          <w:rFonts w:ascii="Times-Roman" w:hAnsi="Times-Roman" w:cs="Times-Roman"/>
          <w:lang w:val="en-US"/>
        </w:rPr>
        <w:t>plasma proteome</w:t>
      </w:r>
      <w:r w:rsidRPr="007D089C">
        <w:rPr>
          <w:rFonts w:ascii="Times-Roman" w:hAnsi="Times-Roman" w:cs="Times-Roman"/>
          <w:lang w:val="en-US"/>
        </w:rPr>
        <w:t xml:space="preserve">, some studies have targeted glycosylation </w:t>
      </w:r>
      <w:r w:rsidRPr="007D089C">
        <w:rPr>
          <w:rFonts w:ascii="Times-Roman" w:hAnsi="Times-Roman" w:cs="Times-Roman"/>
          <w:lang w:val="en-US"/>
        </w:rPr>
        <w:fldChar w:fldCharType="begin"/>
      </w:r>
      <w:r w:rsidRPr="007D089C">
        <w:rPr>
          <w:rFonts w:ascii="Times-Roman" w:hAnsi="Times-Roman" w:cs="Times-Roman"/>
          <w:lang w:val="en-US"/>
        </w:rPr>
        <w:instrText>ADDIN RW.CITE{{2192 Ueda,K. 2010}}</w:instrText>
      </w:r>
      <w:r w:rsidRPr="007D089C">
        <w:rPr>
          <w:rFonts w:ascii="Times-Roman" w:hAnsi="Times-Roman" w:cs="Times-Roman"/>
          <w:lang w:val="en-US"/>
        </w:rPr>
        <w:fldChar w:fldCharType="separate"/>
      </w:r>
      <w:r w:rsidR="00C77B76">
        <w:rPr>
          <w:rFonts w:ascii="Times-Roman" w:hAnsi="Times-Roman" w:cs="Times-Roman"/>
          <w:lang w:val="en-US"/>
        </w:rPr>
        <w:t>(Ueda et al., 2010)</w:t>
      </w:r>
      <w:r w:rsidRPr="007D089C">
        <w:rPr>
          <w:rFonts w:ascii="Times-Roman" w:hAnsi="Times-Roman" w:cs="Times-Roman"/>
          <w:lang w:val="en-US"/>
        </w:rPr>
        <w:fldChar w:fldCharType="end"/>
      </w:r>
      <w:r w:rsidRPr="007D089C">
        <w:rPr>
          <w:rFonts w:ascii="Times-Roman" w:hAnsi="Times-Roman" w:cs="Times-Roman"/>
          <w:lang w:val="en-US"/>
        </w:rPr>
        <w:t xml:space="preserve"> and carbonylation </w:t>
      </w:r>
      <w:r w:rsidRPr="007D089C">
        <w:rPr>
          <w:rFonts w:ascii="Times-Roman" w:hAnsi="Times-Roman" w:cs="Times-Roman"/>
          <w:lang w:val="en-US"/>
        </w:rPr>
        <w:fldChar w:fldCharType="begin"/>
      </w:r>
      <w:r w:rsidRPr="007D089C">
        <w:rPr>
          <w:rFonts w:ascii="Times-Roman" w:hAnsi="Times-Roman" w:cs="Times-Roman"/>
          <w:lang w:val="en-US"/>
        </w:rPr>
        <w:instrText>ADDIN RW.CITE{{2125 Madian,A.G. 2011}}</w:instrText>
      </w:r>
      <w:r w:rsidRPr="007D089C">
        <w:rPr>
          <w:rFonts w:ascii="Times-Roman" w:hAnsi="Times-Roman" w:cs="Times-Roman"/>
          <w:lang w:val="en-US"/>
        </w:rPr>
        <w:fldChar w:fldCharType="separate"/>
      </w:r>
      <w:r w:rsidR="00C77B76">
        <w:rPr>
          <w:rFonts w:ascii="Times-Roman" w:hAnsi="Times-Roman" w:cs="Times-Roman"/>
          <w:lang w:val="en-US"/>
        </w:rPr>
        <w:t>(Madian et al., 2011)</w:t>
      </w:r>
      <w:r w:rsidRPr="007D089C">
        <w:rPr>
          <w:rFonts w:ascii="Times-Roman" w:hAnsi="Times-Roman" w:cs="Times-Roman"/>
          <w:lang w:val="en-US"/>
        </w:rPr>
        <w:fldChar w:fldCharType="end"/>
      </w:r>
      <w:r w:rsidRPr="007D089C">
        <w:rPr>
          <w:rFonts w:ascii="Times-Roman" w:hAnsi="Times-Roman" w:cs="Times-Roman"/>
          <w:lang w:val="en-US"/>
        </w:rPr>
        <w:t xml:space="preserve">. These different fields of applications are summarized as follows and in </w:t>
      </w:r>
      <w:r w:rsidRPr="007D089C">
        <w:rPr>
          <w:rFonts w:ascii="Times-Roman" w:hAnsi="Times-Roman" w:cs="Times-Roman"/>
          <w:b/>
          <w:lang w:val="en-US"/>
        </w:rPr>
        <w:t xml:space="preserve">Tables 2, </w:t>
      </w:r>
      <w:r w:rsidR="008056FD">
        <w:rPr>
          <w:rFonts w:ascii="Times-Roman" w:hAnsi="Times-Roman" w:cs="Times-Roman"/>
          <w:b/>
          <w:lang w:val="en-US"/>
        </w:rPr>
        <w:t xml:space="preserve">3, </w:t>
      </w:r>
      <w:r w:rsidRPr="007D089C">
        <w:rPr>
          <w:rFonts w:ascii="Times-Roman" w:hAnsi="Times-Roman" w:cs="Times-Roman"/>
          <w:b/>
          <w:lang w:val="en-US"/>
        </w:rPr>
        <w:t>4 &amp; 5</w:t>
      </w:r>
      <w:r w:rsidRPr="007D089C">
        <w:rPr>
          <w:rFonts w:ascii="Times-Roman" w:hAnsi="Times-Roman" w:cs="Times-Roman"/>
          <w:lang w:val="en-US"/>
        </w:rPr>
        <w:t xml:space="preserve"> and </w:t>
      </w:r>
      <w:r w:rsidR="000F5132" w:rsidRPr="007D089C">
        <w:rPr>
          <w:rFonts w:ascii="Times-Roman" w:hAnsi="Times-Roman" w:cs="Times-Roman"/>
          <w:b/>
          <w:lang w:val="en-US"/>
        </w:rPr>
        <w:t xml:space="preserve">Figure </w:t>
      </w:r>
      <w:r w:rsidR="0076727D" w:rsidRPr="007D089C">
        <w:rPr>
          <w:rFonts w:ascii="Times-Roman" w:hAnsi="Times-Roman" w:cs="Times-Roman"/>
          <w:b/>
          <w:lang w:val="en-US"/>
        </w:rPr>
        <w:t>3</w:t>
      </w:r>
      <w:r w:rsidRPr="007D089C">
        <w:rPr>
          <w:rFonts w:ascii="Times-Roman" w:hAnsi="Times-Roman" w:cs="Times-Roman"/>
          <w:color w:val="FF0000"/>
          <w:lang w:val="en-US"/>
        </w:rPr>
        <w:t>.</w:t>
      </w:r>
    </w:p>
    <w:p w14:paraId="4D68EE09" w14:textId="77777777" w:rsidR="000074EB" w:rsidRPr="007D089C" w:rsidRDefault="000074EB" w:rsidP="00C141DD">
      <w:pPr>
        <w:pStyle w:val="Heading2"/>
        <w:spacing w:line="240" w:lineRule="auto"/>
      </w:pPr>
      <w:bookmarkStart w:id="13" w:name="_Toc483395823"/>
      <w:r w:rsidRPr="007D089C">
        <w:t>Cancer</w:t>
      </w:r>
      <w:bookmarkEnd w:id="13"/>
    </w:p>
    <w:p w14:paraId="4D80B34C" w14:textId="4181622D" w:rsidR="00502C7C" w:rsidRPr="007D089C" w:rsidRDefault="00642663" w:rsidP="00B43F04">
      <w:pPr>
        <w:spacing w:line="480" w:lineRule="auto"/>
        <w:jc w:val="both"/>
        <w:rPr>
          <w:b/>
          <w:lang w:val="en-US"/>
        </w:rPr>
      </w:pPr>
      <w:r w:rsidRPr="007D089C">
        <w:rPr>
          <w:lang w:val="en-US"/>
        </w:rPr>
        <w:t>T</w:t>
      </w:r>
      <w:r w:rsidR="00502C7C" w:rsidRPr="007D089C">
        <w:rPr>
          <w:lang w:val="en-US"/>
        </w:rPr>
        <w:t>here are more than 100 different types of cancer</w:t>
      </w:r>
      <w:r w:rsidRPr="007D089C">
        <w:rPr>
          <w:lang w:val="en-US"/>
        </w:rPr>
        <w:t xml:space="preserve"> (</w:t>
      </w:r>
      <w:r w:rsidR="00502C7C" w:rsidRPr="007D089C">
        <w:rPr>
          <w:lang w:val="en-US"/>
        </w:rPr>
        <w:t>named on the basis of the type of cell, organs or tissues where they occur</w:t>
      </w:r>
      <w:r w:rsidRPr="007D089C">
        <w:rPr>
          <w:lang w:val="en-US"/>
        </w:rPr>
        <w:t xml:space="preserve">), which </w:t>
      </w:r>
      <w:r w:rsidR="00502C7C" w:rsidRPr="007D089C">
        <w:rPr>
          <w:lang w:val="en-US"/>
        </w:rPr>
        <w:t xml:space="preserve">account for in the order of 8 million deaths annually and have thus </w:t>
      </w:r>
      <w:r w:rsidR="00986B89" w:rsidRPr="007D089C">
        <w:rPr>
          <w:lang w:val="en-US"/>
        </w:rPr>
        <w:t xml:space="preserve">driven </w:t>
      </w:r>
      <w:r w:rsidR="00502C7C" w:rsidRPr="007D089C">
        <w:rPr>
          <w:lang w:val="en-US"/>
        </w:rPr>
        <w:t xml:space="preserve">a large body of international research towards their prevention, diagnosis and treatment. Accordingly there have been many cancer orientated proteomic studies that, on the basis of our literature review, cover one of the biggest subgroups of plasma proteomic isobaric labelling studies. The nature of these investigations </w:t>
      </w:r>
      <w:r w:rsidR="00DD2EEF" w:rsidRPr="007D089C">
        <w:rPr>
          <w:lang w:val="en-US"/>
        </w:rPr>
        <w:t>is</w:t>
      </w:r>
      <w:r w:rsidR="00502C7C" w:rsidRPr="007D089C">
        <w:rPr>
          <w:lang w:val="en-US"/>
        </w:rPr>
        <w:t xml:space="preserve"> summarized in </w:t>
      </w:r>
      <w:r w:rsidR="00502C7C" w:rsidRPr="007D089C">
        <w:rPr>
          <w:b/>
          <w:lang w:val="en-US"/>
        </w:rPr>
        <w:t>Table 3</w:t>
      </w:r>
      <w:r w:rsidR="00502C7C" w:rsidRPr="007D089C">
        <w:rPr>
          <w:lang w:val="en-US"/>
        </w:rPr>
        <w:t xml:space="preserve"> and </w:t>
      </w:r>
      <w:r w:rsidR="00502C7C" w:rsidRPr="007D089C">
        <w:rPr>
          <w:b/>
          <w:lang w:val="en-US"/>
        </w:rPr>
        <w:t xml:space="preserve">Figure </w:t>
      </w:r>
      <w:r w:rsidR="0076727D" w:rsidRPr="007D089C">
        <w:rPr>
          <w:b/>
          <w:lang w:val="en-US"/>
        </w:rPr>
        <w:t>3</w:t>
      </w:r>
      <w:r w:rsidR="00502C7C" w:rsidRPr="007D089C">
        <w:rPr>
          <w:lang w:val="en-US"/>
        </w:rPr>
        <w:t>.</w:t>
      </w:r>
    </w:p>
    <w:p w14:paraId="5D6B5741" w14:textId="77777777" w:rsidR="000074EB" w:rsidRPr="007D089C" w:rsidRDefault="000074EB" w:rsidP="00B43F04">
      <w:pPr>
        <w:spacing w:line="480" w:lineRule="auto"/>
        <w:jc w:val="both"/>
        <w:rPr>
          <w:rStyle w:val="Emphasis"/>
          <w:i w:val="0"/>
          <w:lang w:val="en-US"/>
        </w:rPr>
      </w:pPr>
    </w:p>
    <w:p w14:paraId="79FF40FC" w14:textId="3A4533E8" w:rsidR="000074EB" w:rsidRPr="007D089C" w:rsidRDefault="000074EB" w:rsidP="00B43F04">
      <w:pPr>
        <w:spacing w:line="480" w:lineRule="auto"/>
        <w:jc w:val="both"/>
        <w:rPr>
          <w:color w:val="000000" w:themeColor="text1"/>
          <w:lang w:val="en-US"/>
        </w:rPr>
      </w:pPr>
      <w:r w:rsidRPr="007D089C">
        <w:rPr>
          <w:rStyle w:val="Emphasis"/>
          <w:i w:val="0"/>
          <w:lang w:val="en-US"/>
        </w:rPr>
        <w:t xml:space="preserve">The analytical strategies that have been used have included most of the variants of sample preparation and analysis previously discussed, examples of these are indicated in </w:t>
      </w:r>
      <w:r w:rsidRPr="007D089C">
        <w:rPr>
          <w:rStyle w:val="Emphasis"/>
          <w:b/>
          <w:i w:val="0"/>
          <w:lang w:val="en-US"/>
        </w:rPr>
        <w:t xml:space="preserve">Table </w:t>
      </w:r>
      <w:r w:rsidR="00EF5283" w:rsidRPr="007D089C">
        <w:rPr>
          <w:rStyle w:val="Emphasis"/>
          <w:b/>
          <w:i w:val="0"/>
          <w:lang w:val="en-US"/>
        </w:rPr>
        <w:t>1</w:t>
      </w:r>
      <w:r w:rsidRPr="007D089C">
        <w:rPr>
          <w:rStyle w:val="Emphasis"/>
          <w:i w:val="0"/>
          <w:lang w:val="en-US"/>
        </w:rPr>
        <w:t>. These have often been performed as pooled subject comparisons ranging from a few subjects to over 100, with validations in similar sized cohorts using ELISA, Western blot and SRM methods. Many of the validations have been healthy vs. control, although some have included additional subgroups for cross validation</w:t>
      </w:r>
      <w:r w:rsidRPr="007D089C">
        <w:rPr>
          <w:rStyle w:val="Emphasis"/>
          <w:i w:val="0"/>
          <w:color w:val="FF0000"/>
          <w:lang w:val="en-US"/>
        </w:rPr>
        <w:t xml:space="preserve">. </w:t>
      </w:r>
      <w:r w:rsidR="00EA5204" w:rsidRPr="007D089C">
        <w:rPr>
          <w:rStyle w:val="Emphasis"/>
          <w:i w:val="0"/>
          <w:color w:val="000000" w:themeColor="text1"/>
          <w:lang w:val="en-US"/>
        </w:rPr>
        <w:t>In such an</w:t>
      </w:r>
      <w:r w:rsidRPr="007D089C">
        <w:rPr>
          <w:rStyle w:val="Emphasis"/>
          <w:i w:val="0"/>
          <w:color w:val="000000" w:themeColor="text1"/>
          <w:lang w:val="en-US"/>
        </w:rPr>
        <w:t xml:space="preserve"> example</w:t>
      </w:r>
      <w:r w:rsidRPr="007D089C">
        <w:rPr>
          <w:color w:val="000000" w:themeColor="text1"/>
          <w:lang w:val="en-US"/>
        </w:rPr>
        <w:t xml:space="preserve">, Jenkinson </w:t>
      </w:r>
      <w:r w:rsidRPr="007D089C">
        <w:rPr>
          <w:i/>
          <w:color w:val="000000" w:themeColor="text1"/>
          <w:lang w:val="en-US"/>
        </w:rPr>
        <w:t>et al.</w:t>
      </w:r>
      <w:r w:rsidRPr="007D089C">
        <w:rPr>
          <w:color w:val="000000" w:themeColor="text1"/>
          <w:lang w:val="en-US"/>
        </w:rPr>
        <w:t xml:space="preserve"> used ESI and iTRAQ to search for serum biomarkers that might provide earlier diagnosis of pancreatic ductal adenocarcinoma (PDAC). Using a pooling strategy, iTRAQ enabled the comparisons of serum </w:t>
      </w:r>
      <w:r w:rsidR="00986B89" w:rsidRPr="007D089C">
        <w:rPr>
          <w:color w:val="000000" w:themeColor="text1"/>
          <w:lang w:val="en-US"/>
        </w:rPr>
        <w:t xml:space="preserve">profiles </w:t>
      </w:r>
      <w:r w:rsidRPr="007D089C">
        <w:rPr>
          <w:color w:val="000000" w:themeColor="text1"/>
          <w:lang w:val="en-US"/>
        </w:rPr>
        <w:t xml:space="preserve">from samples prior to and after PDAC diagnosis, chronic pancreatitis and healthy controls (n=150).  MRM and/or western blotting were used in validation using these and 322 additional human samples, including serum from patients with benign biliary disease, type 2 diabetes (T2D) and healthy controls. Lower levels of thrombospondin-1 (TSP-1) were identified prior to diagnosis of PDAC that together with a known cancer marker, CA19-9, provided improved risk classification </w:t>
      </w:r>
      <w:r w:rsidRPr="007D089C">
        <w:rPr>
          <w:color w:val="000000" w:themeColor="text1"/>
          <w:lang w:val="en-US"/>
        </w:rPr>
        <w:fldChar w:fldCharType="begin"/>
      </w:r>
      <w:r w:rsidRPr="007D089C">
        <w:rPr>
          <w:color w:val="000000" w:themeColor="text1"/>
          <w:lang w:val="en-US"/>
        </w:rPr>
        <w:instrText>ADDIN RW.CITE{{2235 Jenkinson,C. 2015}}</w:instrText>
      </w:r>
      <w:r w:rsidRPr="007D089C">
        <w:rPr>
          <w:color w:val="000000" w:themeColor="text1"/>
          <w:lang w:val="en-US"/>
        </w:rPr>
        <w:fldChar w:fldCharType="separate"/>
      </w:r>
      <w:r w:rsidR="00C77B76">
        <w:rPr>
          <w:color w:val="000000" w:themeColor="text1"/>
          <w:lang w:val="en-US"/>
        </w:rPr>
        <w:t>(Jenkinson et al., 2015)</w:t>
      </w:r>
      <w:r w:rsidRPr="007D089C">
        <w:rPr>
          <w:color w:val="000000" w:themeColor="text1"/>
          <w:lang w:val="en-US"/>
        </w:rPr>
        <w:fldChar w:fldCharType="end"/>
      </w:r>
      <w:r w:rsidRPr="007D089C">
        <w:rPr>
          <w:color w:val="000000" w:themeColor="text1"/>
          <w:lang w:val="en-US"/>
        </w:rPr>
        <w:t xml:space="preserve">. </w:t>
      </w:r>
    </w:p>
    <w:p w14:paraId="506D04B9" w14:textId="77777777" w:rsidR="000074EB" w:rsidRPr="007D089C" w:rsidRDefault="000074EB" w:rsidP="00B43F04">
      <w:pPr>
        <w:spacing w:line="480" w:lineRule="auto"/>
        <w:jc w:val="both"/>
        <w:rPr>
          <w:iCs/>
          <w:color w:val="FF0000"/>
          <w:lang w:val="en-US"/>
        </w:rPr>
      </w:pPr>
    </w:p>
    <w:p w14:paraId="015B0CBF" w14:textId="1602EC79" w:rsidR="00EE3FFB" w:rsidRPr="007D089C" w:rsidRDefault="000074EB" w:rsidP="00B43F04">
      <w:pPr>
        <w:spacing w:line="480" w:lineRule="auto"/>
        <w:jc w:val="both"/>
        <w:rPr>
          <w:rFonts w:ascii="timesroman" w:hAnsi="timesroman"/>
          <w:lang w:val="en-US"/>
        </w:rPr>
      </w:pPr>
      <w:r w:rsidRPr="007D089C">
        <w:rPr>
          <w:rFonts w:ascii="timesroman" w:hAnsi="timesroman"/>
          <w:lang w:val="en-US"/>
        </w:rPr>
        <w:t xml:space="preserve">Evaluation of the conditions predisposing subjects or enhancing the risk of cancer have included the iTRAQ comparison of plasma from subjects with chronic hepatitis B virus infection -associated hepatocellular carcinoma, non-malignant cirrhosis, chronic hepatitis B, and healthy individuals </w:t>
      </w:r>
      <w:r w:rsidRPr="007D089C">
        <w:rPr>
          <w:rFonts w:ascii="timesroman" w:hAnsi="timesroman"/>
          <w:lang w:val="en-US"/>
        </w:rPr>
        <w:fldChar w:fldCharType="begin"/>
      </w:r>
      <w:r w:rsidRPr="007D089C">
        <w:rPr>
          <w:rFonts w:ascii="timesroman" w:hAnsi="timesroman"/>
          <w:lang w:val="en-US"/>
        </w:rPr>
        <w:instrText>ADDIN RW.CITE{{1913 Liu,Y. 2014}}1</w:instrText>
      </w:r>
      <w:r w:rsidRPr="007D089C">
        <w:rPr>
          <w:rFonts w:ascii="timesroman" w:hAnsi="timesroman"/>
          <w:lang w:val="en-US"/>
        </w:rPr>
        <w:fldChar w:fldCharType="separate"/>
      </w:r>
      <w:r w:rsidR="00C77B76">
        <w:rPr>
          <w:rFonts w:ascii="timesroman" w:hAnsi="timesroman"/>
          <w:lang w:val="en-US"/>
        </w:rPr>
        <w:t>(Y. Liu et al., 2014)</w:t>
      </w:r>
      <w:r w:rsidRPr="007D089C">
        <w:rPr>
          <w:rFonts w:ascii="timesroman" w:hAnsi="timesroman"/>
          <w:lang w:val="en-US"/>
        </w:rPr>
        <w:fldChar w:fldCharType="end"/>
      </w:r>
      <w:r w:rsidRPr="007D089C">
        <w:rPr>
          <w:rFonts w:ascii="timesroman" w:hAnsi="timesroman"/>
          <w:lang w:val="en-US"/>
        </w:rPr>
        <w:t>. In th</w:t>
      </w:r>
      <w:r w:rsidR="00986B89" w:rsidRPr="007D089C">
        <w:rPr>
          <w:rFonts w:ascii="timesroman" w:hAnsi="timesroman"/>
          <w:lang w:val="en-US"/>
        </w:rPr>
        <w:t>e latter</w:t>
      </w:r>
      <w:r w:rsidRPr="007D089C">
        <w:rPr>
          <w:rFonts w:ascii="timesroman" w:hAnsi="timesroman"/>
          <w:lang w:val="en-US"/>
        </w:rPr>
        <w:t xml:space="preserve"> study ESI analysis was used to compare labelled pools from 15 subjects of each category, with validations extending to a cohort of 310 subjects. </w:t>
      </w:r>
      <w:r w:rsidR="00EE3FFB" w:rsidRPr="007D089C">
        <w:rPr>
          <w:rFonts w:ascii="timesroman" w:hAnsi="timesroman"/>
          <w:lang w:val="en-US"/>
        </w:rPr>
        <w:t>Also studying chronic Hepatitis B Virus-related hepatocellular carcinoma (HBV-related HCC), Liu, T. and co-workers used a glycoproteomic approach</w:t>
      </w:r>
      <w:r w:rsidR="00986B89" w:rsidRPr="007D089C">
        <w:rPr>
          <w:rFonts w:ascii="timesroman" w:hAnsi="timesroman"/>
          <w:lang w:val="en-US"/>
        </w:rPr>
        <w:t>, indicating that</w:t>
      </w:r>
      <w:r w:rsidR="00EE3FFB" w:rsidRPr="007D089C">
        <w:rPr>
          <w:rFonts w:ascii="timesroman" w:hAnsi="timesroman"/>
          <w:lang w:val="en-US"/>
        </w:rPr>
        <w:t xml:space="preserve"> Galectin 3 binding protein was a promising </w:t>
      </w:r>
      <w:r w:rsidR="00986B89" w:rsidRPr="007D089C">
        <w:rPr>
          <w:rFonts w:ascii="timesroman" w:hAnsi="timesroman"/>
          <w:lang w:val="en-US"/>
        </w:rPr>
        <w:t xml:space="preserve">serum </w:t>
      </w:r>
      <w:r w:rsidR="00EE3FFB" w:rsidRPr="007D089C">
        <w:rPr>
          <w:rFonts w:ascii="timesroman" w:hAnsi="timesroman"/>
          <w:lang w:val="en-US"/>
        </w:rPr>
        <w:t xml:space="preserve">biomarker to identify HBV-related HCC </w:t>
      </w:r>
      <w:r w:rsidR="00EE3FFB" w:rsidRPr="007D089C">
        <w:rPr>
          <w:rFonts w:ascii="timesroman" w:hAnsi="timesroman"/>
          <w:lang w:val="en-US"/>
        </w:rPr>
        <w:fldChar w:fldCharType="begin"/>
      </w:r>
      <w:r w:rsidR="00EE3FFB" w:rsidRPr="007D089C">
        <w:rPr>
          <w:rFonts w:ascii="timesroman" w:hAnsi="timesroman"/>
          <w:lang w:val="en-US"/>
        </w:rPr>
        <w:instrText>ADDIN RW.CITE{{3112 Liu,T. 2017}}</w:instrText>
      </w:r>
      <w:r w:rsidR="00EE3FFB" w:rsidRPr="007D089C">
        <w:rPr>
          <w:rFonts w:ascii="timesroman" w:hAnsi="timesroman"/>
          <w:lang w:val="en-US"/>
        </w:rPr>
        <w:fldChar w:fldCharType="separate"/>
      </w:r>
      <w:r w:rsidR="00C77B76">
        <w:rPr>
          <w:rFonts w:ascii="timesroman" w:hAnsi="timesroman"/>
          <w:lang w:val="en-US"/>
        </w:rPr>
        <w:t>(T. Liu et al., 2017)</w:t>
      </w:r>
      <w:r w:rsidR="00EE3FFB" w:rsidRPr="007D089C">
        <w:rPr>
          <w:rFonts w:ascii="timesroman" w:hAnsi="timesroman"/>
          <w:lang w:val="en-US"/>
        </w:rPr>
        <w:fldChar w:fldCharType="end"/>
      </w:r>
      <w:r w:rsidR="00EE3FFB" w:rsidRPr="007D089C">
        <w:rPr>
          <w:rFonts w:ascii="timesroman" w:hAnsi="timesroman"/>
          <w:lang w:val="en-US"/>
        </w:rPr>
        <w:t>.</w:t>
      </w:r>
    </w:p>
    <w:p w14:paraId="1D049F34" w14:textId="6E5F3DD3" w:rsidR="000074EB" w:rsidRPr="007D089C" w:rsidRDefault="00EA5204" w:rsidP="00B43F04">
      <w:pPr>
        <w:spacing w:line="480" w:lineRule="auto"/>
        <w:jc w:val="both"/>
        <w:rPr>
          <w:rStyle w:val="Emphasis"/>
          <w:i w:val="0"/>
          <w:color w:val="FF0000"/>
          <w:lang w:val="en-US"/>
        </w:rPr>
      </w:pPr>
      <w:r w:rsidRPr="007D089C">
        <w:rPr>
          <w:rFonts w:ascii="timesroman" w:hAnsi="timesroman"/>
          <w:lang w:val="en-US"/>
        </w:rPr>
        <w:t xml:space="preserve">Studying the changes associated with response to </w:t>
      </w:r>
      <w:r w:rsidR="000074EB" w:rsidRPr="007D089C">
        <w:rPr>
          <w:rFonts w:ascii="Times-Roman" w:hAnsi="Times-Roman" w:cs="Times-Roman"/>
          <w:lang w:val="en-US"/>
        </w:rPr>
        <w:t xml:space="preserve">treatment, Wu, W </w:t>
      </w:r>
      <w:r w:rsidR="000074EB" w:rsidRPr="007D089C">
        <w:rPr>
          <w:rFonts w:ascii="Times-Roman" w:hAnsi="Times-Roman" w:cs="Times-Roman"/>
          <w:i/>
          <w:lang w:val="en-US"/>
        </w:rPr>
        <w:t>et al</w:t>
      </w:r>
      <w:r w:rsidR="000074EB" w:rsidRPr="007D089C">
        <w:rPr>
          <w:rFonts w:ascii="Times-Roman" w:hAnsi="Times-Roman" w:cs="Times-Roman"/>
          <w:lang w:val="en-US"/>
        </w:rPr>
        <w:t xml:space="preserve"> investigated proteomic and metabolic signatures of chemoresistance in epithelial ovarian cancer, validating the differential abundance of </w:t>
      </w:r>
      <w:r w:rsidR="000074EB" w:rsidRPr="007D089C">
        <w:rPr>
          <w:lang w:val="en-US"/>
        </w:rPr>
        <w:t xml:space="preserve">FN1, SERPINA1 and ORM1 </w:t>
      </w:r>
      <w:r w:rsidR="000074EB" w:rsidRPr="007D089C">
        <w:rPr>
          <w:lang w:val="en-US"/>
        </w:rPr>
        <w:fldChar w:fldCharType="begin"/>
      </w:r>
      <w:r w:rsidR="000074EB" w:rsidRPr="007D089C">
        <w:rPr>
          <w:lang w:val="en-US"/>
        </w:rPr>
        <w:instrText>ADDIN RW.CITE{{3081 Wu,W. 2016}}</w:instrText>
      </w:r>
      <w:r w:rsidR="000074EB" w:rsidRPr="007D089C">
        <w:rPr>
          <w:lang w:val="en-US"/>
        </w:rPr>
        <w:fldChar w:fldCharType="separate"/>
      </w:r>
      <w:r w:rsidR="00C77B76">
        <w:rPr>
          <w:lang w:val="en-US"/>
        </w:rPr>
        <w:t>(W. Wu et al., 2016)</w:t>
      </w:r>
      <w:r w:rsidR="000074EB" w:rsidRPr="007D089C">
        <w:rPr>
          <w:lang w:val="en-US"/>
        </w:rPr>
        <w:fldChar w:fldCharType="end"/>
      </w:r>
      <w:r w:rsidR="000074EB" w:rsidRPr="007D089C">
        <w:rPr>
          <w:lang w:val="en-US"/>
        </w:rPr>
        <w:t>.</w:t>
      </w:r>
      <w:r w:rsidR="007F35EC" w:rsidRPr="007D089C">
        <w:rPr>
          <w:lang w:val="en-US"/>
        </w:rPr>
        <w:t xml:space="preserve"> Taking a somewhat more selective approach to study the </w:t>
      </w:r>
      <w:r w:rsidR="00FC7692" w:rsidRPr="007D089C">
        <w:rPr>
          <w:lang w:val="en-US"/>
        </w:rPr>
        <w:t>effects</w:t>
      </w:r>
      <w:r w:rsidR="007F35EC" w:rsidRPr="007D089C">
        <w:rPr>
          <w:lang w:val="en-US"/>
        </w:rPr>
        <w:t xml:space="preserve"> of chemotherapy on pancreatic cancer, An and co-workers isolated serum exosomes from patients and healthy controls. Using serum volumes of 4 ml per sample and ultracentrifugation the</w:t>
      </w:r>
      <w:r w:rsidR="007050DD" w:rsidRPr="007D089C">
        <w:rPr>
          <w:lang w:val="en-US"/>
        </w:rPr>
        <w:t>y were able to isolate yields of exosomal proteins in the</w:t>
      </w:r>
      <w:r w:rsidR="007F35EC" w:rsidRPr="007D089C">
        <w:rPr>
          <w:lang w:val="en-US"/>
        </w:rPr>
        <w:t xml:space="preserve"> </w:t>
      </w:r>
      <w:r w:rsidR="007050DD" w:rsidRPr="007D089C">
        <w:rPr>
          <w:lang w:val="en-US"/>
        </w:rPr>
        <w:t>order of 0.2 to 0.6 µg</w:t>
      </w:r>
      <w:r w:rsidR="004E775A" w:rsidRPr="007D089C">
        <w:rPr>
          <w:lang w:val="en-US"/>
        </w:rPr>
        <w:t xml:space="preserve"> </w:t>
      </w:r>
      <w:r w:rsidR="004E775A" w:rsidRPr="007D089C">
        <w:rPr>
          <w:lang w:val="en-US"/>
        </w:rPr>
        <w:fldChar w:fldCharType="begin"/>
      </w:r>
      <w:r w:rsidR="004E775A" w:rsidRPr="007D089C">
        <w:rPr>
          <w:lang w:val="en-US"/>
        </w:rPr>
        <w:instrText>ADDIN RW.CITE{{3133 An,M. 2017}}</w:instrText>
      </w:r>
      <w:r w:rsidR="004E775A" w:rsidRPr="007D089C">
        <w:rPr>
          <w:lang w:val="en-US"/>
        </w:rPr>
        <w:fldChar w:fldCharType="separate"/>
      </w:r>
      <w:r w:rsidR="00C77B76">
        <w:rPr>
          <w:lang w:val="en-US"/>
        </w:rPr>
        <w:t>(An et al., 2017)</w:t>
      </w:r>
      <w:r w:rsidR="004E775A" w:rsidRPr="007D089C">
        <w:rPr>
          <w:lang w:val="en-US"/>
        </w:rPr>
        <w:fldChar w:fldCharType="end"/>
      </w:r>
      <w:r w:rsidR="007050DD" w:rsidRPr="007D089C">
        <w:rPr>
          <w:lang w:val="en-US"/>
        </w:rPr>
        <w:t>. After 4-plex iTRAQ labelling and LC-MS/MS with an Orbitrap Fusion they reported in the order of 700-800 proteins per sample (</w:t>
      </w:r>
      <w:r w:rsidR="004E775A" w:rsidRPr="007D089C">
        <w:rPr>
          <w:lang w:val="en-US"/>
        </w:rPr>
        <w:t xml:space="preserve">in total 1559 proteins were quantified), although it is notable that there was not </w:t>
      </w:r>
      <w:r w:rsidR="00FC7692" w:rsidRPr="007D089C">
        <w:rPr>
          <w:lang w:val="en-US"/>
        </w:rPr>
        <w:t xml:space="preserve">any </w:t>
      </w:r>
      <w:r w:rsidR="004E775A" w:rsidRPr="007D089C">
        <w:rPr>
          <w:lang w:val="en-US"/>
        </w:rPr>
        <w:t xml:space="preserve">additional fractionation of </w:t>
      </w:r>
      <w:r w:rsidR="00FC7692" w:rsidRPr="007D089C">
        <w:rPr>
          <w:lang w:val="en-US"/>
        </w:rPr>
        <w:t xml:space="preserve">the </w:t>
      </w:r>
      <w:r w:rsidR="004E775A" w:rsidRPr="007D089C">
        <w:rPr>
          <w:lang w:val="en-US"/>
        </w:rPr>
        <w:t>labelled mixtures.</w:t>
      </w:r>
    </w:p>
    <w:p w14:paraId="555C60FC" w14:textId="77777777" w:rsidR="000074EB" w:rsidRPr="007D089C" w:rsidRDefault="000074EB" w:rsidP="00B43F04">
      <w:pPr>
        <w:spacing w:line="480" w:lineRule="auto"/>
        <w:jc w:val="both"/>
        <w:rPr>
          <w:lang w:val="en-US"/>
        </w:rPr>
      </w:pPr>
    </w:p>
    <w:p w14:paraId="540199BF" w14:textId="15ACAE0D" w:rsidR="000074EB" w:rsidRPr="007D089C" w:rsidRDefault="000074EB" w:rsidP="00B43F04">
      <w:pPr>
        <w:spacing w:line="480" w:lineRule="auto"/>
        <w:jc w:val="both"/>
        <w:rPr>
          <w:rFonts w:ascii="Times-Roman" w:hAnsi="Times-Roman" w:cs="Times-Roman"/>
          <w:lang w:val="en-US"/>
        </w:rPr>
      </w:pPr>
      <w:r w:rsidRPr="007D089C">
        <w:rPr>
          <w:lang w:val="en-US"/>
        </w:rPr>
        <w:t xml:space="preserve">As an example of a rare cancer subtype, in the multilab ESI instrument benchmarking study of Jones </w:t>
      </w:r>
      <w:r w:rsidRPr="007D089C">
        <w:rPr>
          <w:i/>
          <w:lang w:val="en-US"/>
        </w:rPr>
        <w:t>et al.</w:t>
      </w:r>
      <w:r w:rsidRPr="007D089C">
        <w:rPr>
          <w:lang w:val="en-US"/>
        </w:rPr>
        <w:t>, hereditary familial colorectal cancer</w:t>
      </w:r>
      <w:r w:rsidR="004E6DFE" w:rsidRPr="007D089C">
        <w:rPr>
          <w:lang w:val="en-US"/>
        </w:rPr>
        <w:t xml:space="preserve"> has been studied</w:t>
      </w:r>
      <w:r w:rsidRPr="007D089C">
        <w:rPr>
          <w:lang w:val="en-US"/>
        </w:rPr>
        <w:t xml:space="preserve">, with samples from Familial </w:t>
      </w:r>
      <w:r w:rsidRPr="007D089C">
        <w:rPr>
          <w:rFonts w:ascii="Times-Roman" w:hAnsi="Times-Roman" w:cs="Times-Roman"/>
          <w:lang w:val="en-US"/>
        </w:rPr>
        <w:t xml:space="preserve">Polyposis Coli syndrome patients (n = 6) and their controls (n = 6), and samples from Lynch syndrome and controls (n = 5) </w:t>
      </w:r>
      <w:r w:rsidRPr="007D089C">
        <w:rPr>
          <w:rFonts w:ascii="Times-Roman" w:hAnsi="Times-Roman" w:cs="Times-Roman"/>
          <w:lang w:val="en-US"/>
        </w:rPr>
        <w:fldChar w:fldCharType="begin"/>
      </w:r>
      <w:r w:rsidRPr="007D089C">
        <w:rPr>
          <w:rFonts w:ascii="Times-Roman" w:hAnsi="Times-Roman" w:cs="Times-Roman"/>
          <w:lang w:val="en-US"/>
        </w:rPr>
        <w:instrText>ADDIN RW.CITE{{1898 Jones,K.A. 2013}}</w:instrText>
      </w:r>
      <w:r w:rsidRPr="007D089C">
        <w:rPr>
          <w:rFonts w:ascii="Times-Roman" w:hAnsi="Times-Roman" w:cs="Times-Roman"/>
          <w:lang w:val="en-US"/>
        </w:rPr>
        <w:fldChar w:fldCharType="separate"/>
      </w:r>
      <w:r w:rsidR="00C77B76">
        <w:rPr>
          <w:rFonts w:ascii="Times-Roman" w:hAnsi="Times-Roman" w:cs="Times-Roman"/>
          <w:lang w:val="en-US"/>
        </w:rPr>
        <w:t>(Jones et al., 2013)</w:t>
      </w:r>
      <w:r w:rsidRPr="007D089C">
        <w:rPr>
          <w:rFonts w:ascii="Times-Roman" w:hAnsi="Times-Roman" w:cs="Times-Roman"/>
          <w:lang w:val="en-US"/>
        </w:rPr>
        <w:fldChar w:fldCharType="end"/>
      </w:r>
      <w:r w:rsidRPr="007D089C">
        <w:rPr>
          <w:rFonts w:ascii="Times-Roman" w:hAnsi="Times-Roman" w:cs="Times-Roman"/>
          <w:lang w:val="en-US"/>
        </w:rPr>
        <w:t>.</w:t>
      </w:r>
    </w:p>
    <w:p w14:paraId="5C740FA6" w14:textId="77777777" w:rsidR="000074EB" w:rsidRPr="007D089C" w:rsidRDefault="000074EB" w:rsidP="00B43F04">
      <w:pPr>
        <w:spacing w:line="480" w:lineRule="auto"/>
        <w:jc w:val="both"/>
        <w:rPr>
          <w:rFonts w:ascii="Times-Roman" w:hAnsi="Times-Roman" w:cs="Times-Roman"/>
          <w:lang w:val="en-US"/>
        </w:rPr>
      </w:pPr>
    </w:p>
    <w:p w14:paraId="6B893648" w14:textId="423D1527" w:rsidR="000074EB" w:rsidRPr="007D089C" w:rsidRDefault="000074EB" w:rsidP="00B43F04">
      <w:pPr>
        <w:spacing w:line="480" w:lineRule="auto"/>
        <w:jc w:val="both"/>
        <w:rPr>
          <w:sz w:val="30"/>
          <w:szCs w:val="30"/>
          <w:lang w:val="en-US"/>
        </w:rPr>
      </w:pPr>
      <w:r w:rsidRPr="007D089C">
        <w:rPr>
          <w:rStyle w:val="Emphasis"/>
          <w:i w:val="0"/>
          <w:lang w:val="en-US"/>
        </w:rPr>
        <w:t>As indicated previously, not all these plasma orientated studies have been direct profiling measurements.</w:t>
      </w:r>
      <w:r w:rsidRPr="007D089C">
        <w:rPr>
          <w:rStyle w:val="Emphasis"/>
          <w:lang w:val="en-US"/>
        </w:rPr>
        <w:t xml:space="preserve"> </w:t>
      </w:r>
      <w:r w:rsidRPr="007D089C">
        <w:rPr>
          <w:rStyle w:val="Emphasis"/>
          <w:i w:val="0"/>
          <w:lang w:val="en-US"/>
        </w:rPr>
        <w:t>A</w:t>
      </w:r>
      <w:r w:rsidRPr="007D089C">
        <w:rPr>
          <w:lang w:val="en-US"/>
        </w:rPr>
        <w:t>berrant patterns of protein glycosylation have been implicated in carcinogenesis</w:t>
      </w:r>
      <w:r w:rsidRPr="007D089C">
        <w:rPr>
          <w:sz w:val="30"/>
          <w:szCs w:val="30"/>
          <w:lang w:val="en-US"/>
        </w:rPr>
        <w:t xml:space="preserve"> </w:t>
      </w:r>
      <w:r w:rsidRPr="007D089C">
        <w:rPr>
          <w:lang w:val="en-US"/>
        </w:rPr>
        <w:t>and</w:t>
      </w:r>
      <w:r w:rsidRPr="007D089C">
        <w:rPr>
          <w:rStyle w:val="Emphasis"/>
          <w:lang w:val="en-US"/>
        </w:rPr>
        <w:t xml:space="preserve"> </w:t>
      </w:r>
      <w:r w:rsidRPr="007D089C">
        <w:rPr>
          <w:rStyle w:val="Emphasis"/>
          <w:i w:val="0"/>
          <w:lang w:val="en-US"/>
        </w:rPr>
        <w:t>a number of research groups have used isobaric labelling to study these in cancer patients</w:t>
      </w:r>
      <w:r w:rsidRPr="007D089C">
        <w:rPr>
          <w:i/>
          <w:lang w:val="en-US"/>
        </w:rPr>
        <w:t xml:space="preserve"> </w:t>
      </w:r>
      <w:r w:rsidRPr="007D089C">
        <w:rPr>
          <w:rFonts w:ascii="Times-Roman" w:hAnsi="Times-Roman" w:cs="Times-Roman"/>
          <w:lang w:val="en-US"/>
        </w:rPr>
        <w:fldChar w:fldCharType="begin"/>
      </w:r>
      <w:r w:rsidRPr="007D089C">
        <w:rPr>
          <w:rFonts w:ascii="Times-Roman" w:hAnsi="Times-Roman" w:cs="Times-Roman"/>
          <w:lang w:val="en-US"/>
        </w:rPr>
        <w:instrText>ADDIN RW.CITE{{2192 Ueda,K. 2010; 2022 Shetty,V. 2012; 2091 Wu,J. 2012; 2127 Qin,X. 2013; 2142 Nie,S. 2013; 2097 Nie,S. 2014; 2099 Tan,Z. 2015; 2081 Hu,H. 2015}}</w:instrText>
      </w:r>
      <w:r w:rsidRPr="007D089C">
        <w:rPr>
          <w:rFonts w:ascii="Times-Roman" w:hAnsi="Times-Roman" w:cs="Times-Roman"/>
          <w:lang w:val="en-US"/>
        </w:rPr>
        <w:fldChar w:fldCharType="separate"/>
      </w:r>
      <w:r w:rsidR="00C77B76">
        <w:rPr>
          <w:rFonts w:ascii="Times-Roman" w:hAnsi="Times-Roman" w:cs="Times-Roman"/>
          <w:lang w:val="en-US"/>
        </w:rPr>
        <w:t>(Hu et al., 2015; Nie et al., 2013; Nie et al., 2014; Qin et al., 2013; Shetty, Hafner, Shah, Nickens, &amp; Philip, 2012; Z. Tan et al., 2015; Ueda et al., 2010; J. Wu et al., 2012)</w:t>
      </w:r>
      <w:r w:rsidRPr="007D089C">
        <w:rPr>
          <w:rFonts w:ascii="Times-Roman" w:hAnsi="Times-Roman" w:cs="Times-Roman"/>
          <w:lang w:val="en-US"/>
        </w:rPr>
        <w:fldChar w:fldCharType="end"/>
      </w:r>
      <w:r w:rsidRPr="007D089C">
        <w:rPr>
          <w:rFonts w:ascii="Times-Roman" w:hAnsi="Times-Roman" w:cs="Times-Roman"/>
          <w:lang w:val="en-US"/>
        </w:rPr>
        <w:fldChar w:fldCharType="begin"/>
      </w:r>
      <w:r w:rsidRPr="007D089C">
        <w:rPr>
          <w:rFonts w:ascii="Times-Roman" w:hAnsi="Times-Roman" w:cs="Times-Roman"/>
          <w:lang w:val="en-US"/>
        </w:rPr>
        <w:instrText>ADDIN RW.CITE{{2197 Yin,H. 2015}}</w:instrText>
      </w:r>
      <w:r w:rsidRPr="007D089C">
        <w:rPr>
          <w:rFonts w:ascii="Times-Roman" w:hAnsi="Times-Roman" w:cs="Times-Roman"/>
          <w:lang w:val="en-US"/>
        </w:rPr>
        <w:fldChar w:fldCharType="separate"/>
      </w:r>
      <w:r w:rsidR="00C77B76">
        <w:rPr>
          <w:rFonts w:ascii="Times-Roman" w:hAnsi="Times-Roman" w:cs="Times-Roman"/>
          <w:lang w:val="en-US"/>
        </w:rPr>
        <w:t>(Yin et al., 2015)</w:t>
      </w:r>
      <w:r w:rsidRPr="007D089C">
        <w:rPr>
          <w:rFonts w:ascii="Times-Roman" w:hAnsi="Times-Roman" w:cs="Times-Roman"/>
          <w:lang w:val="en-US"/>
        </w:rPr>
        <w:fldChar w:fldCharType="end"/>
      </w:r>
      <w:r w:rsidRPr="007D089C">
        <w:rPr>
          <w:rFonts w:ascii="Times-Roman" w:hAnsi="Times-Roman" w:cs="Times-Roman"/>
          <w:lang w:val="en-US"/>
        </w:rPr>
        <w:t>. These applications have targeted ovarian cancer,</w:t>
      </w:r>
      <w:r w:rsidRPr="007D089C">
        <w:rPr>
          <w:rStyle w:val="Hyperlink"/>
          <w:rFonts w:ascii="timesroman" w:hAnsi="timesroman"/>
          <w:u w:val="none"/>
          <w:lang w:val="en-US"/>
        </w:rPr>
        <w:t xml:space="preserve"> </w:t>
      </w:r>
      <w:r w:rsidRPr="007D089C">
        <w:rPr>
          <w:rStyle w:val="hlite1"/>
          <w:rFonts w:ascii="timesroman" w:hAnsi="timesroman"/>
          <w:shd w:val="clear" w:color="auto" w:fill="FFFFFF" w:themeFill="background1"/>
          <w:lang w:val="en-US"/>
        </w:rPr>
        <w:t>hepatocellular</w:t>
      </w:r>
      <w:r w:rsidRPr="007D089C">
        <w:rPr>
          <w:rFonts w:ascii="timesroman" w:hAnsi="timesroman"/>
          <w:shd w:val="clear" w:color="auto" w:fill="FFFFFF" w:themeFill="background1"/>
          <w:lang w:val="en-US"/>
        </w:rPr>
        <w:t xml:space="preserve"> </w:t>
      </w:r>
      <w:r w:rsidRPr="007D089C">
        <w:rPr>
          <w:rStyle w:val="hlite1"/>
          <w:rFonts w:ascii="timesroman" w:hAnsi="timesroman"/>
          <w:shd w:val="clear" w:color="auto" w:fill="FFFFFF" w:themeFill="background1"/>
          <w:lang w:val="en-US"/>
        </w:rPr>
        <w:t xml:space="preserve">carcinoma and pancreatic cancer. </w:t>
      </w:r>
      <w:r w:rsidRPr="007D089C">
        <w:rPr>
          <w:rFonts w:ascii="Times-Roman" w:hAnsi="Times-Roman" w:cs="Times-Roman"/>
          <w:lang w:val="en-US"/>
        </w:rPr>
        <w:t>Another post</w:t>
      </w:r>
      <w:r w:rsidR="00DD2EEF" w:rsidRPr="007D089C">
        <w:rPr>
          <w:rFonts w:ascii="Times-Roman" w:hAnsi="Times-Roman" w:cs="Times-Roman"/>
          <w:lang w:val="en-US"/>
        </w:rPr>
        <w:t>-</w:t>
      </w:r>
      <w:r w:rsidRPr="007D089C">
        <w:rPr>
          <w:rFonts w:ascii="Times-Roman" w:hAnsi="Times-Roman" w:cs="Times-Roman"/>
          <w:lang w:val="en-US"/>
        </w:rPr>
        <w:t xml:space="preserve">translational modification considered has been carbonylation </w:t>
      </w:r>
      <w:r w:rsidRPr="007D089C">
        <w:rPr>
          <w:rFonts w:ascii="Times-Roman" w:hAnsi="Times-Roman" w:cs="Times-Roman"/>
          <w:lang w:val="en-US"/>
        </w:rPr>
        <w:fldChar w:fldCharType="begin"/>
      </w:r>
      <w:r w:rsidRPr="007D089C">
        <w:rPr>
          <w:rFonts w:ascii="Times-Roman" w:hAnsi="Times-Roman" w:cs="Times-Roman"/>
          <w:lang w:val="en-US"/>
        </w:rPr>
        <w:instrText xml:space="preserve">ADDIN RW.CITE{{2125 Madian,A.G. </w:instrText>
      </w:r>
      <w:r w:rsidRPr="007D089C">
        <w:rPr>
          <w:rFonts w:ascii="Times-Roman" w:hAnsi="Times-Roman" w:cs="Times-Roman"/>
          <w:highlight w:val="yellow"/>
          <w:lang w:val="en-US"/>
        </w:rPr>
        <w:instrText>2011</w:instrText>
      </w:r>
      <w:r w:rsidRPr="007D089C">
        <w:rPr>
          <w:rFonts w:ascii="Times-Roman" w:hAnsi="Times-Roman" w:cs="Times-Roman"/>
          <w:lang w:val="en-US"/>
        </w:rPr>
        <w:instrText>}}</w:instrText>
      </w:r>
      <w:r w:rsidRPr="007D089C">
        <w:rPr>
          <w:rFonts w:ascii="Times-Roman" w:hAnsi="Times-Roman" w:cs="Times-Roman"/>
          <w:lang w:val="en-US"/>
        </w:rPr>
        <w:fldChar w:fldCharType="separate"/>
      </w:r>
      <w:r w:rsidR="00C77B76">
        <w:rPr>
          <w:rFonts w:ascii="Times-Roman" w:hAnsi="Times-Roman" w:cs="Times-Roman"/>
          <w:lang w:val="en-US"/>
        </w:rPr>
        <w:t>(Madian et al., 2011)</w:t>
      </w:r>
      <w:r w:rsidRPr="007D089C">
        <w:rPr>
          <w:rFonts w:ascii="Times-Roman" w:hAnsi="Times-Roman" w:cs="Times-Roman"/>
          <w:lang w:val="en-US"/>
        </w:rPr>
        <w:fldChar w:fldCharType="end"/>
      </w:r>
      <w:r w:rsidRPr="007D089C">
        <w:rPr>
          <w:rFonts w:ascii="Times-Roman" w:hAnsi="Times-Roman" w:cs="Times-Roman"/>
          <w:lang w:val="en-US"/>
        </w:rPr>
        <w:t xml:space="preserve">, which was demonstrated in samples from breast cancer patients. </w:t>
      </w:r>
    </w:p>
    <w:p w14:paraId="09F46657" w14:textId="77777777" w:rsidR="000074EB" w:rsidRPr="007D089C" w:rsidRDefault="000074EB" w:rsidP="00B43F04">
      <w:pPr>
        <w:spacing w:line="480" w:lineRule="auto"/>
        <w:jc w:val="both"/>
        <w:rPr>
          <w:rStyle w:val="Emphasis"/>
          <w:i w:val="0"/>
          <w:lang w:val="en-US"/>
        </w:rPr>
      </w:pPr>
    </w:p>
    <w:p w14:paraId="0006C697" w14:textId="16CC431B" w:rsidR="000074EB" w:rsidRPr="007D089C" w:rsidRDefault="000074EB" w:rsidP="00B43F04">
      <w:pPr>
        <w:spacing w:line="480" w:lineRule="auto"/>
        <w:jc w:val="both"/>
        <w:rPr>
          <w:rStyle w:val="Emphasis"/>
          <w:i w:val="0"/>
          <w:lang w:val="en-US"/>
        </w:rPr>
      </w:pPr>
      <w:r w:rsidRPr="007D089C">
        <w:rPr>
          <w:rStyle w:val="Emphasis"/>
          <w:i w:val="0"/>
          <w:lang w:val="en-US"/>
        </w:rPr>
        <w:t xml:space="preserve">In addition to studies with samples from human subjects, </w:t>
      </w:r>
      <w:r w:rsidR="005F69BF" w:rsidRPr="007D089C">
        <w:rPr>
          <w:rStyle w:val="Emphasis"/>
          <w:i w:val="0"/>
          <w:lang w:val="en-US"/>
        </w:rPr>
        <w:t>animal models and other approaches have been employed</w:t>
      </w:r>
      <w:r w:rsidRPr="007D089C">
        <w:rPr>
          <w:rStyle w:val="Emphasis"/>
          <w:i w:val="0"/>
          <w:lang w:val="en-US"/>
        </w:rPr>
        <w:t>. For example</w:t>
      </w:r>
      <w:r w:rsidR="005F69BF" w:rsidRPr="007D089C">
        <w:rPr>
          <w:rStyle w:val="Emphasis"/>
          <w:i w:val="0"/>
          <w:lang w:val="en-US"/>
        </w:rPr>
        <w:t>,</w:t>
      </w:r>
      <w:r w:rsidRPr="007D089C">
        <w:rPr>
          <w:rStyle w:val="Emphasis"/>
          <w:i w:val="0"/>
          <w:lang w:val="en-US"/>
        </w:rPr>
        <w:t xml:space="preserve"> Kristiansson et al. used the immunodeficient SJL mouse to study B cell lymphomas</w:t>
      </w:r>
      <w:r w:rsidRPr="007D089C">
        <w:rPr>
          <w:rStyle w:val="Emphasis"/>
          <w:lang w:val="en-US"/>
        </w:rPr>
        <w:t xml:space="preserve"> </w:t>
      </w:r>
      <w:r w:rsidRPr="007D089C">
        <w:rPr>
          <w:rStyle w:val="Emphasis"/>
          <w:i w:val="0"/>
          <w:lang w:val="en-US"/>
        </w:rPr>
        <w:fldChar w:fldCharType="begin"/>
      </w:r>
      <w:r w:rsidRPr="007D089C">
        <w:rPr>
          <w:rStyle w:val="Emphasis"/>
          <w:lang w:val="en-US"/>
        </w:rPr>
        <w:instrText xml:space="preserve">ADDIN RW.CITE{{1465 Kristiansson,M.H. </w:instrText>
      </w:r>
      <w:r w:rsidRPr="007D089C">
        <w:rPr>
          <w:rStyle w:val="Emphasis"/>
          <w:highlight w:val="yellow"/>
          <w:lang w:val="en-US"/>
        </w:rPr>
        <w:instrText>2007</w:instrText>
      </w:r>
      <w:r w:rsidRPr="007D089C">
        <w:rPr>
          <w:rStyle w:val="Emphasis"/>
          <w:lang w:val="en-US"/>
        </w:rPr>
        <w:instrText>}}</w:instrText>
      </w:r>
      <w:r w:rsidRPr="007D089C">
        <w:rPr>
          <w:rStyle w:val="Emphasis"/>
          <w:i w:val="0"/>
          <w:lang w:val="en-US"/>
        </w:rPr>
        <w:fldChar w:fldCharType="separate"/>
      </w:r>
      <w:r w:rsidR="00C77B76">
        <w:rPr>
          <w:rStyle w:val="Emphasis"/>
          <w:i w:val="0"/>
          <w:lang w:val="en-US"/>
        </w:rPr>
        <w:t>(Kristiansson, Bhat, Babu, Wishnok, &amp; Tannenbaum, 2007)</w:t>
      </w:r>
      <w:r w:rsidRPr="007D089C">
        <w:rPr>
          <w:rStyle w:val="Emphasis"/>
          <w:i w:val="0"/>
          <w:lang w:val="en-US"/>
        </w:rPr>
        <w:fldChar w:fldCharType="end"/>
      </w:r>
      <w:r w:rsidRPr="007D089C">
        <w:rPr>
          <w:rStyle w:val="Emphasis"/>
          <w:lang w:val="en-US"/>
        </w:rPr>
        <w:t xml:space="preserve"> </w:t>
      </w:r>
      <w:r w:rsidRPr="007D089C">
        <w:rPr>
          <w:rStyle w:val="Emphasis"/>
          <w:i w:val="0"/>
          <w:lang w:val="en-US"/>
        </w:rPr>
        <w:t>and rodent xenographs have been used</w:t>
      </w:r>
      <w:r w:rsidR="005F69BF" w:rsidRPr="007D089C">
        <w:rPr>
          <w:rStyle w:val="Emphasis"/>
          <w:i w:val="0"/>
          <w:lang w:val="en-US"/>
        </w:rPr>
        <w:t xml:space="preserve"> is several instances</w:t>
      </w:r>
      <w:r w:rsidRPr="007D089C">
        <w:rPr>
          <w:rStyle w:val="Emphasis"/>
          <w:lang w:val="en-US"/>
        </w:rPr>
        <w:t xml:space="preserve"> </w:t>
      </w:r>
      <w:r w:rsidRPr="007D089C">
        <w:rPr>
          <w:rStyle w:val="Emphasis"/>
          <w:i w:val="0"/>
          <w:lang w:val="en-US"/>
        </w:rPr>
        <w:fldChar w:fldCharType="begin"/>
      </w:r>
      <w:r w:rsidRPr="007D089C">
        <w:rPr>
          <w:rStyle w:val="Emphasis"/>
          <w:lang w:val="en-US"/>
        </w:rPr>
        <w:instrText xml:space="preserve">ADDIN RW.CITE{{2004 Wang,C. </w:instrText>
      </w:r>
      <w:r w:rsidRPr="007D089C">
        <w:rPr>
          <w:rStyle w:val="Emphasis"/>
          <w:highlight w:val="yellow"/>
          <w:lang w:val="en-US"/>
        </w:rPr>
        <w:instrText>2011;</w:instrText>
      </w:r>
      <w:r w:rsidRPr="007D089C">
        <w:rPr>
          <w:rStyle w:val="Emphasis"/>
          <w:lang w:val="en-US"/>
        </w:rPr>
        <w:instrText xml:space="preserve"> 1430 Chong,P.K. </w:instrText>
      </w:r>
      <w:r w:rsidRPr="007D089C">
        <w:rPr>
          <w:rStyle w:val="Emphasis"/>
          <w:highlight w:val="yellow"/>
          <w:lang w:val="en-US"/>
        </w:rPr>
        <w:instrText>2010</w:instrText>
      </w:r>
      <w:r w:rsidRPr="007D089C">
        <w:rPr>
          <w:rStyle w:val="Emphasis"/>
          <w:lang w:val="en-US"/>
        </w:rPr>
        <w:instrText xml:space="preserve">; 1428 Chong,P.K. </w:instrText>
      </w:r>
      <w:r w:rsidRPr="007D089C">
        <w:rPr>
          <w:rStyle w:val="Emphasis"/>
          <w:highlight w:val="yellow"/>
          <w:lang w:val="en-US"/>
        </w:rPr>
        <w:instrText>2010</w:instrText>
      </w:r>
      <w:r w:rsidRPr="007D089C">
        <w:rPr>
          <w:rStyle w:val="Emphasis"/>
          <w:lang w:val="en-US"/>
        </w:rPr>
        <w:instrText xml:space="preserve">; 1461 Bijian,K. </w:instrText>
      </w:r>
      <w:r w:rsidRPr="007D089C">
        <w:rPr>
          <w:rStyle w:val="Emphasis"/>
          <w:highlight w:val="yellow"/>
          <w:lang w:val="en-US"/>
        </w:rPr>
        <w:instrText>2009</w:instrText>
      </w:r>
      <w:r w:rsidRPr="007D089C">
        <w:rPr>
          <w:rStyle w:val="Emphasis"/>
          <w:lang w:val="en-US"/>
        </w:rPr>
        <w:instrText>}}</w:instrText>
      </w:r>
      <w:r w:rsidRPr="007D089C">
        <w:rPr>
          <w:rStyle w:val="Emphasis"/>
          <w:i w:val="0"/>
          <w:lang w:val="en-US"/>
        </w:rPr>
        <w:fldChar w:fldCharType="separate"/>
      </w:r>
      <w:r w:rsidR="00C77B76">
        <w:rPr>
          <w:rStyle w:val="Emphasis"/>
          <w:i w:val="0"/>
          <w:lang w:val="en-US"/>
        </w:rPr>
        <w:t>(Bijian et al., 2009; Chong, Lee, Zhou, Liu, Loh, So et al., 2010; Chong, Lee, Zhou, Liu, Loh, Wang et al., 2010; C. Wang et al., 2011)</w:t>
      </w:r>
      <w:r w:rsidRPr="007D089C">
        <w:rPr>
          <w:rStyle w:val="Emphasis"/>
          <w:i w:val="0"/>
          <w:lang w:val="en-US"/>
        </w:rPr>
        <w:fldChar w:fldCharType="end"/>
      </w:r>
      <w:r w:rsidRPr="007D089C">
        <w:rPr>
          <w:rStyle w:val="Emphasis"/>
          <w:i w:val="0"/>
          <w:lang w:val="en-US"/>
        </w:rPr>
        <w:t>,</w:t>
      </w:r>
      <w:r w:rsidRPr="007D089C">
        <w:rPr>
          <w:rStyle w:val="Emphasis"/>
          <w:lang w:val="en-US"/>
        </w:rPr>
        <w:t xml:space="preserve"> </w:t>
      </w:r>
      <w:r w:rsidRPr="007D089C">
        <w:rPr>
          <w:rStyle w:val="Emphasis"/>
          <w:i w:val="0"/>
          <w:lang w:val="en-US"/>
        </w:rPr>
        <w:t xml:space="preserve">including studies of gastric cancer and oral squamous cell carcinoma. </w:t>
      </w:r>
    </w:p>
    <w:p w14:paraId="1EFD3E10" w14:textId="77777777" w:rsidR="000074EB" w:rsidRPr="007D089C" w:rsidRDefault="000074EB" w:rsidP="00C141DD">
      <w:pPr>
        <w:autoSpaceDE w:val="0"/>
        <w:autoSpaceDN w:val="0"/>
        <w:adjustRightInd w:val="0"/>
        <w:jc w:val="both"/>
        <w:rPr>
          <w:rFonts w:ascii="Times-Roman" w:hAnsi="Times-Roman" w:cs="Times-Roman"/>
          <w:lang w:val="en-US"/>
        </w:rPr>
      </w:pPr>
    </w:p>
    <w:p w14:paraId="7442AFEC" w14:textId="77777777" w:rsidR="000074EB" w:rsidRPr="007D089C" w:rsidRDefault="000074EB" w:rsidP="00C141DD">
      <w:pPr>
        <w:pStyle w:val="Heading2"/>
        <w:spacing w:line="240" w:lineRule="auto"/>
      </w:pPr>
      <w:bookmarkStart w:id="14" w:name="_Toc483395824"/>
      <w:r w:rsidRPr="007D089C">
        <w:t>Circulation and Cardiovascular Risk</w:t>
      </w:r>
      <w:bookmarkEnd w:id="14"/>
    </w:p>
    <w:p w14:paraId="0C5981F9" w14:textId="253CD5E6" w:rsidR="007C32B9" w:rsidRPr="007D089C" w:rsidRDefault="000074EB" w:rsidP="00B43F04">
      <w:pPr>
        <w:spacing w:line="480" w:lineRule="auto"/>
        <w:jc w:val="both"/>
        <w:rPr>
          <w:iCs/>
          <w:lang w:val="en-US"/>
        </w:rPr>
      </w:pPr>
      <w:r w:rsidRPr="007D089C">
        <w:rPr>
          <w:rFonts w:ascii="Times-Roman" w:hAnsi="Times-Roman" w:cs="Times-Roman"/>
          <w:lang w:val="en-US"/>
        </w:rPr>
        <w:t>Circulatory problems and the risk of stroke are a fundamental concern of the elderly, obese a</w:t>
      </w:r>
      <w:r w:rsidR="00670428" w:rsidRPr="007D089C">
        <w:rPr>
          <w:rFonts w:ascii="Times-Roman" w:hAnsi="Times-Roman" w:cs="Times-Roman"/>
          <w:lang w:val="en-US"/>
        </w:rPr>
        <w:t>nd increasingly with the young</w:t>
      </w:r>
      <w:r w:rsidRPr="007D089C">
        <w:rPr>
          <w:rFonts w:ascii="Times-Roman" w:hAnsi="Times-Roman" w:cs="Times-Roman"/>
          <w:lang w:val="en-US"/>
        </w:rPr>
        <w:t>. Many aspects of circulation system</w:t>
      </w:r>
      <w:r w:rsidR="00EF5283" w:rsidRPr="007D089C">
        <w:rPr>
          <w:rFonts w:ascii="Times-Roman" w:hAnsi="Times-Roman" w:cs="Times-Roman"/>
          <w:lang w:val="en-US"/>
        </w:rPr>
        <w:t xml:space="preserve"> and cardiovascular risk</w:t>
      </w:r>
      <w:r w:rsidRPr="007D089C">
        <w:rPr>
          <w:rFonts w:ascii="Times-Roman" w:hAnsi="Times-Roman" w:cs="Times-Roman"/>
          <w:color w:val="FF0000"/>
          <w:lang w:val="en-US"/>
        </w:rPr>
        <w:t xml:space="preserve"> </w:t>
      </w:r>
      <w:r w:rsidRPr="007D089C">
        <w:rPr>
          <w:rFonts w:ascii="Times-Roman" w:hAnsi="Times-Roman" w:cs="Times-Roman"/>
          <w:lang w:val="en-US"/>
        </w:rPr>
        <w:t>have been considered in terms of plasma proteomics</w:t>
      </w:r>
      <w:r w:rsidRPr="007D089C" w:rsidDel="00F753C7">
        <w:rPr>
          <w:rFonts w:ascii="Times-Roman" w:hAnsi="Times-Roman" w:cs="Times-Roman"/>
          <w:lang w:val="en-US"/>
        </w:rPr>
        <w:t xml:space="preserve"> </w:t>
      </w:r>
      <w:r w:rsidRPr="007D089C">
        <w:rPr>
          <w:rFonts w:ascii="Times-Roman" w:hAnsi="Times-Roman" w:cs="Times-Roman"/>
          <w:lang w:val="en-US"/>
        </w:rPr>
        <w:t>with isobaric labelling (</w:t>
      </w:r>
      <w:r w:rsidRPr="007D089C">
        <w:rPr>
          <w:rFonts w:ascii="Times-Roman" w:hAnsi="Times-Roman" w:cs="Times-Roman"/>
          <w:b/>
          <w:lang w:val="en-US"/>
        </w:rPr>
        <w:t>Table 5</w:t>
      </w:r>
      <w:r w:rsidRPr="007D089C">
        <w:rPr>
          <w:rFonts w:ascii="Times-Roman" w:hAnsi="Times-Roman" w:cs="Times-Roman"/>
          <w:lang w:val="en-US"/>
        </w:rPr>
        <w:t xml:space="preserve">). These have included </w:t>
      </w:r>
      <w:r w:rsidRPr="007D089C">
        <w:rPr>
          <w:rFonts w:ascii="timesroman" w:hAnsi="timesroman"/>
          <w:lang w:val="en-US"/>
        </w:rPr>
        <w:t xml:space="preserve">atherosclerotic disease </w:t>
      </w:r>
      <w:r w:rsidRPr="007D089C">
        <w:rPr>
          <w:rFonts w:ascii="timesroman" w:hAnsi="timesroman"/>
          <w:lang w:val="en-US"/>
        </w:rPr>
        <w:fldChar w:fldCharType="begin"/>
      </w:r>
      <w:r w:rsidRPr="007D089C">
        <w:rPr>
          <w:rFonts w:ascii="timesroman" w:hAnsi="timesroman"/>
          <w:lang w:val="en-US"/>
        </w:rPr>
        <w:instrText>ADDIN RW.CITE{{3074 Kristensen,L.P. 2014}}</w:instrText>
      </w:r>
      <w:r w:rsidRPr="007D089C">
        <w:rPr>
          <w:rFonts w:ascii="timesroman" w:hAnsi="timesroman"/>
          <w:lang w:val="en-US"/>
        </w:rPr>
        <w:fldChar w:fldCharType="separate"/>
      </w:r>
      <w:r w:rsidR="00C77B76">
        <w:rPr>
          <w:rFonts w:ascii="timesroman" w:hAnsi="timesroman"/>
          <w:lang w:val="en-US"/>
        </w:rPr>
        <w:t>(Kristensen et al., 2014)</w:t>
      </w:r>
      <w:r w:rsidRPr="007D089C">
        <w:rPr>
          <w:rFonts w:ascii="timesroman" w:hAnsi="timesroman"/>
          <w:lang w:val="en-US"/>
        </w:rPr>
        <w:fldChar w:fldCharType="end"/>
      </w:r>
      <w:r w:rsidRPr="007D089C">
        <w:rPr>
          <w:rFonts w:ascii="timesroman" w:hAnsi="timesroman"/>
          <w:lang w:val="en-US"/>
        </w:rPr>
        <w:t xml:space="preserve">, </w:t>
      </w:r>
      <w:r w:rsidRPr="007D089C">
        <w:rPr>
          <w:rFonts w:ascii="Times-Roman" w:hAnsi="Times-Roman" w:cs="Times-Roman"/>
          <w:lang w:val="en-US"/>
        </w:rPr>
        <w:t xml:space="preserve">abdominal and thoracic aneurysms </w:t>
      </w:r>
      <w:r w:rsidRPr="007D089C">
        <w:rPr>
          <w:rFonts w:ascii="Times-Roman" w:hAnsi="Times-Roman" w:cs="Times-Roman"/>
          <w:lang w:val="en-US"/>
        </w:rPr>
        <w:fldChar w:fldCharType="begin"/>
      </w:r>
      <w:r w:rsidRPr="007D089C">
        <w:rPr>
          <w:rFonts w:ascii="Times-Roman" w:hAnsi="Times-Roman" w:cs="Times-Roman"/>
          <w:lang w:val="en-US"/>
        </w:rPr>
        <w:instrText>ADDIN RW.CITE{{2096 Calvo,E. 2013; 1992 Satoh,K. 2013; 1537 Acosta-Martin,A.E. 2011; 2128 Burillo,E. 2015}}</w:instrText>
      </w:r>
      <w:r w:rsidRPr="007D089C">
        <w:rPr>
          <w:rFonts w:ascii="Times-Roman" w:hAnsi="Times-Roman" w:cs="Times-Roman"/>
          <w:lang w:val="en-US"/>
        </w:rPr>
        <w:fldChar w:fldCharType="separate"/>
      </w:r>
      <w:r w:rsidR="00C77B76">
        <w:rPr>
          <w:rFonts w:ascii="Times-Roman" w:hAnsi="Times-Roman" w:cs="Times-Roman"/>
          <w:lang w:val="en-US"/>
        </w:rPr>
        <w:t>(Acosta-Martin et al., 2011; Burillo et al., 2015; Calvo et al., 2013; Satoh et al., 2013)</w:t>
      </w:r>
      <w:r w:rsidRPr="007D089C">
        <w:rPr>
          <w:rFonts w:ascii="Times-Roman" w:hAnsi="Times-Roman" w:cs="Times-Roman"/>
          <w:lang w:val="en-US"/>
        </w:rPr>
        <w:fldChar w:fldCharType="end"/>
      </w:r>
      <w:r w:rsidRPr="007D089C">
        <w:rPr>
          <w:rFonts w:ascii="Times-Roman" w:hAnsi="Times-Roman" w:cs="Times-Roman"/>
          <w:lang w:val="en-US"/>
        </w:rPr>
        <w:t xml:space="preserve">, arterial and pulmonary embolisms </w:t>
      </w:r>
      <w:r w:rsidRPr="007D089C">
        <w:rPr>
          <w:rFonts w:ascii="Times-Roman" w:hAnsi="Times-Roman" w:cs="Times-Roman"/>
          <w:lang w:val="en-US"/>
        </w:rPr>
        <w:fldChar w:fldCharType="begin"/>
      </w:r>
      <w:r w:rsidRPr="007D089C">
        <w:rPr>
          <w:rFonts w:ascii="Times-Roman" w:hAnsi="Times-Roman" w:cs="Times-Roman"/>
          <w:lang w:val="en-US"/>
        </w:rPr>
        <w:instrText xml:space="preserve">ADDIN RW.CITE{{2014 Howes,J.M. </w:instrText>
      </w:r>
      <w:r w:rsidRPr="007D089C">
        <w:rPr>
          <w:rFonts w:ascii="Times-Roman" w:hAnsi="Times-Roman" w:cs="Times-Roman"/>
          <w:highlight w:val="yellow"/>
          <w:lang w:val="en-US"/>
        </w:rPr>
        <w:instrText>2010</w:instrText>
      </w:r>
      <w:r w:rsidRPr="007D089C">
        <w:rPr>
          <w:rFonts w:ascii="Times-Roman" w:hAnsi="Times-Roman" w:cs="Times-Roman"/>
          <w:lang w:val="en-US"/>
        </w:rPr>
        <w:instrText>}}</w:instrText>
      </w:r>
      <w:r w:rsidRPr="007D089C">
        <w:rPr>
          <w:rFonts w:ascii="Times-Roman" w:hAnsi="Times-Roman" w:cs="Times-Roman"/>
          <w:lang w:val="en-US"/>
        </w:rPr>
        <w:fldChar w:fldCharType="separate"/>
      </w:r>
      <w:r w:rsidR="00C77B76">
        <w:rPr>
          <w:rFonts w:ascii="Times-Roman" w:hAnsi="Times-Roman" w:cs="Times-Roman"/>
          <w:lang w:val="en-US"/>
        </w:rPr>
        <w:t>(Howes, 2010)</w:t>
      </w:r>
      <w:r w:rsidRPr="007D089C">
        <w:rPr>
          <w:rFonts w:ascii="Times-Roman" w:hAnsi="Times-Roman" w:cs="Times-Roman"/>
          <w:lang w:val="en-US"/>
        </w:rPr>
        <w:fldChar w:fldCharType="end"/>
      </w:r>
      <w:r w:rsidRPr="007D089C">
        <w:rPr>
          <w:rFonts w:ascii="Times-Roman" w:hAnsi="Times-Roman" w:cs="Times-Roman"/>
          <w:lang w:val="en-US"/>
        </w:rPr>
        <w:t xml:space="preserve">, aortic dissection </w:t>
      </w:r>
      <w:r w:rsidRPr="007D089C">
        <w:rPr>
          <w:rFonts w:ascii="Times-Roman" w:hAnsi="Times-Roman" w:cs="Times-Roman"/>
          <w:lang w:val="en-US"/>
        </w:rPr>
        <w:fldChar w:fldCharType="begin"/>
      </w:r>
      <w:r w:rsidRPr="007D089C">
        <w:rPr>
          <w:rFonts w:ascii="Times-Roman" w:hAnsi="Times-Roman" w:cs="Times-Roman"/>
          <w:lang w:val="en-US"/>
        </w:rPr>
        <w:instrText xml:space="preserve">ADDIN RW.CITE{{2092 Gu,G. </w:instrText>
      </w:r>
      <w:r w:rsidRPr="007D089C">
        <w:rPr>
          <w:rFonts w:ascii="Times-Roman" w:hAnsi="Times-Roman" w:cs="Times-Roman"/>
          <w:highlight w:val="yellow"/>
          <w:lang w:val="en-US"/>
        </w:rPr>
        <w:instrText>2011</w:instrText>
      </w:r>
      <w:r w:rsidRPr="007D089C">
        <w:rPr>
          <w:rFonts w:ascii="Times-Roman" w:hAnsi="Times-Roman" w:cs="Times-Roman"/>
          <w:lang w:val="en-US"/>
        </w:rPr>
        <w:instrText>}}</w:instrText>
      </w:r>
      <w:r w:rsidRPr="007D089C">
        <w:rPr>
          <w:rFonts w:ascii="Times-Roman" w:hAnsi="Times-Roman" w:cs="Times-Roman"/>
          <w:lang w:val="en-US"/>
        </w:rPr>
        <w:fldChar w:fldCharType="separate"/>
      </w:r>
      <w:r w:rsidR="00C77B76">
        <w:rPr>
          <w:rFonts w:ascii="Times-Roman" w:hAnsi="Times-Roman" w:cs="Times-Roman"/>
          <w:lang w:val="en-US"/>
        </w:rPr>
        <w:t>(Gu et al., 2011)</w:t>
      </w:r>
      <w:r w:rsidRPr="007D089C">
        <w:rPr>
          <w:rFonts w:ascii="Times-Roman" w:hAnsi="Times-Roman" w:cs="Times-Roman"/>
          <w:lang w:val="en-US"/>
        </w:rPr>
        <w:fldChar w:fldCharType="end"/>
      </w:r>
      <w:r w:rsidRPr="007D089C">
        <w:rPr>
          <w:rFonts w:ascii="Times-Roman" w:hAnsi="Times-Roman" w:cs="Times-Roman"/>
          <w:lang w:val="en-US"/>
        </w:rPr>
        <w:t xml:space="preserve"> haemorrhagic shock </w:t>
      </w:r>
      <w:r w:rsidRPr="007D089C">
        <w:rPr>
          <w:rFonts w:ascii="Times-Roman" w:hAnsi="Times-Roman" w:cs="Times-Roman"/>
          <w:lang w:val="en-US"/>
        </w:rPr>
        <w:fldChar w:fldCharType="begin"/>
      </w:r>
      <w:r w:rsidRPr="007D089C">
        <w:rPr>
          <w:rFonts w:ascii="Times-Roman" w:hAnsi="Times-Roman" w:cs="Times-Roman"/>
          <w:lang w:val="en-US"/>
        </w:rPr>
        <w:instrText>ADDIN RW.CITE{{1420 Li,Y. 2010}}</w:instrText>
      </w:r>
      <w:r w:rsidRPr="007D089C">
        <w:rPr>
          <w:rFonts w:ascii="Times-Roman" w:hAnsi="Times-Roman" w:cs="Times-Roman"/>
          <w:lang w:val="en-US"/>
        </w:rPr>
        <w:fldChar w:fldCharType="separate"/>
      </w:r>
      <w:r w:rsidR="00C77B76">
        <w:rPr>
          <w:rFonts w:ascii="Times-Roman" w:hAnsi="Times-Roman" w:cs="Times-Roman"/>
          <w:lang w:val="en-US"/>
        </w:rPr>
        <w:t>(Y. Li et al., 2010)</w:t>
      </w:r>
      <w:r w:rsidRPr="007D089C">
        <w:rPr>
          <w:rFonts w:ascii="Times-Roman" w:hAnsi="Times-Roman" w:cs="Times-Roman"/>
          <w:lang w:val="en-US"/>
        </w:rPr>
        <w:fldChar w:fldCharType="end"/>
      </w:r>
      <w:r w:rsidRPr="007D089C">
        <w:rPr>
          <w:rFonts w:ascii="Times-Roman" w:hAnsi="Times-Roman" w:cs="Times-Roman"/>
          <w:lang w:val="en-US"/>
        </w:rPr>
        <w:t xml:space="preserve"> and hypertrophic cardiomyopathy</w:t>
      </w:r>
      <w:r w:rsidRPr="007D089C">
        <w:rPr>
          <w:rFonts w:ascii="Times-Roman" w:hAnsi="Times-Roman" w:cs="Times-Roman"/>
          <w:color w:val="FF0000"/>
          <w:lang w:val="en-US"/>
        </w:rPr>
        <w:t xml:space="preserve"> </w:t>
      </w:r>
      <w:r w:rsidRPr="007D089C">
        <w:rPr>
          <w:rFonts w:ascii="Times-Roman" w:hAnsi="Times-Roman" w:cs="Times-Roman"/>
          <w:lang w:val="en-US"/>
        </w:rPr>
        <w:fldChar w:fldCharType="begin"/>
      </w:r>
      <w:r w:rsidRPr="007D089C">
        <w:rPr>
          <w:rFonts w:ascii="Times-Roman" w:hAnsi="Times-Roman" w:cs="Times-Roman"/>
          <w:lang w:val="en-US"/>
        </w:rPr>
        <w:instrText>ADDIN RW.CITE{{3075 Fucikova,A. 2016}}</w:instrText>
      </w:r>
      <w:r w:rsidRPr="007D089C">
        <w:rPr>
          <w:rFonts w:ascii="Times-Roman" w:hAnsi="Times-Roman" w:cs="Times-Roman"/>
          <w:lang w:val="en-US"/>
        </w:rPr>
        <w:fldChar w:fldCharType="separate"/>
      </w:r>
      <w:r w:rsidR="00C77B76">
        <w:rPr>
          <w:rFonts w:ascii="Times-Roman" w:hAnsi="Times-Roman" w:cs="Times-Roman"/>
          <w:lang w:val="en-US"/>
        </w:rPr>
        <w:t>(Fucikova et al., 2016)</w:t>
      </w:r>
      <w:r w:rsidRPr="007D089C">
        <w:rPr>
          <w:rFonts w:ascii="Times-Roman" w:hAnsi="Times-Roman" w:cs="Times-Roman"/>
          <w:lang w:val="en-US"/>
        </w:rPr>
        <w:fldChar w:fldCharType="end"/>
      </w:r>
      <w:r w:rsidRPr="007D089C">
        <w:rPr>
          <w:rFonts w:ascii="Times-Roman" w:hAnsi="Times-Roman" w:cs="Times-Roman"/>
          <w:lang w:val="en-US"/>
        </w:rPr>
        <w:t xml:space="preserve">. </w:t>
      </w:r>
      <w:r w:rsidR="009E59C7" w:rsidRPr="007D089C">
        <w:rPr>
          <w:rFonts w:ascii="Times-Roman" w:hAnsi="Times-Roman" w:cs="Times-Roman"/>
          <w:lang w:val="en-US"/>
        </w:rPr>
        <w:t>Investigating markers of cardiac injury</w:t>
      </w:r>
      <w:r w:rsidR="007C32B9" w:rsidRPr="007D089C">
        <w:rPr>
          <w:rFonts w:ascii="Times-Roman" w:hAnsi="Times-Roman" w:cs="Times-Roman"/>
          <w:lang w:val="en-US"/>
        </w:rPr>
        <w:t>,</w:t>
      </w:r>
      <w:r w:rsidR="009E59C7" w:rsidRPr="007D089C">
        <w:rPr>
          <w:rFonts w:ascii="Times-Roman" w:hAnsi="Times-Roman" w:cs="Times-Roman"/>
          <w:lang w:val="en-US"/>
        </w:rPr>
        <w:t xml:space="preserve"> Liu and Song used an ape model together with i</w:t>
      </w:r>
      <w:r w:rsidR="009E59C7" w:rsidRPr="007D089C">
        <w:rPr>
          <w:iCs/>
          <w:lang w:val="en-US"/>
        </w:rPr>
        <w:t xml:space="preserve">soproterenol treatment </w:t>
      </w:r>
      <w:r w:rsidR="009E59C7" w:rsidRPr="007D089C">
        <w:rPr>
          <w:iCs/>
          <w:lang w:val="en-US"/>
        </w:rPr>
        <w:fldChar w:fldCharType="begin"/>
      </w:r>
      <w:r w:rsidR="009E59C7" w:rsidRPr="007D089C">
        <w:rPr>
          <w:iCs/>
          <w:lang w:val="en-US"/>
        </w:rPr>
        <w:instrText>ADDIN RW.CITE{{2209 Liu,Y. 2013; 2121 Song,B. 2014}}</w:instrText>
      </w:r>
      <w:r w:rsidR="009E59C7" w:rsidRPr="007D089C">
        <w:rPr>
          <w:iCs/>
          <w:lang w:val="en-US"/>
        </w:rPr>
        <w:fldChar w:fldCharType="separate"/>
      </w:r>
      <w:r w:rsidR="00C77B76">
        <w:rPr>
          <w:iCs/>
          <w:lang w:val="en-US"/>
        </w:rPr>
        <w:t>(Y. Liu et al., 2013; B. Song et al., 2014)</w:t>
      </w:r>
      <w:r w:rsidR="009E59C7" w:rsidRPr="007D089C">
        <w:rPr>
          <w:iCs/>
          <w:lang w:val="en-US"/>
        </w:rPr>
        <w:fldChar w:fldCharType="end"/>
      </w:r>
      <w:r w:rsidR="009E59C7" w:rsidRPr="007D089C">
        <w:rPr>
          <w:iCs/>
          <w:lang w:val="en-US"/>
        </w:rPr>
        <w:t xml:space="preserve">. </w:t>
      </w:r>
    </w:p>
    <w:p w14:paraId="3D63DC7B" w14:textId="3FB94252" w:rsidR="00113FC6" w:rsidRPr="007D089C" w:rsidRDefault="009E59C7" w:rsidP="00B43F04">
      <w:pPr>
        <w:spacing w:line="480" w:lineRule="auto"/>
        <w:jc w:val="both"/>
        <w:rPr>
          <w:rFonts w:ascii="timesroman" w:hAnsi="timesroman"/>
          <w:lang w:val="en-US"/>
        </w:rPr>
      </w:pPr>
      <w:r w:rsidRPr="007D089C">
        <w:rPr>
          <w:rFonts w:ascii="timesroman" w:hAnsi="timesroman"/>
          <w:lang w:val="en-US"/>
        </w:rPr>
        <w:t xml:space="preserve">Anderson-Fabry disease (AFD) is a rare genetic disease that is characterized by the lysosomal storage and is often manifested with heart related effects. </w:t>
      </w:r>
      <w:r w:rsidRPr="007D089C">
        <w:rPr>
          <w:rFonts w:ascii="Times-Roman" w:hAnsi="Times-Roman" w:cs="Times-Roman"/>
          <w:lang w:val="en-US"/>
        </w:rPr>
        <w:t xml:space="preserve">Hollander </w:t>
      </w:r>
      <w:r w:rsidRPr="007D089C">
        <w:rPr>
          <w:rFonts w:ascii="Times-Roman" w:hAnsi="Times-Roman" w:cs="Times-Roman"/>
          <w:i/>
          <w:lang w:val="en-US"/>
        </w:rPr>
        <w:t>et al.</w:t>
      </w:r>
      <w:r w:rsidRPr="007D089C">
        <w:rPr>
          <w:rFonts w:ascii="Times-Roman" w:hAnsi="Times-Roman" w:cs="Times-Roman"/>
          <w:lang w:val="en-US"/>
        </w:rPr>
        <w:t xml:space="preserve"> compared</w:t>
      </w:r>
      <w:r w:rsidRPr="007D089C">
        <w:rPr>
          <w:rFonts w:ascii="timesroman" w:hAnsi="timesroman"/>
          <w:lang w:val="en-US"/>
        </w:rPr>
        <w:t xml:space="preserve"> AFD patients (n = 32) with healthy controls (n =14) and reported gender-specific plasma protein biomarker panels that were specific and sensitive for the AFD phenotype </w:t>
      </w:r>
      <w:r w:rsidRPr="007D089C">
        <w:rPr>
          <w:rFonts w:ascii="Times-Roman" w:hAnsi="Times-Roman" w:cs="Times-Roman"/>
          <w:lang w:val="en-US"/>
        </w:rPr>
        <w:fldChar w:fldCharType="begin"/>
      </w:r>
      <w:r w:rsidRPr="007D089C">
        <w:rPr>
          <w:rFonts w:ascii="Times-Roman" w:hAnsi="Times-Roman" w:cs="Times-Roman"/>
          <w:lang w:val="en-US"/>
        </w:rPr>
        <w:instrText>ADDIN RW.CITE{{2100 Hollander,Z. 2015}}</w:instrText>
      </w:r>
      <w:r w:rsidRPr="007D089C">
        <w:rPr>
          <w:rFonts w:ascii="Times-Roman" w:hAnsi="Times-Roman" w:cs="Times-Roman"/>
          <w:lang w:val="en-US"/>
        </w:rPr>
        <w:fldChar w:fldCharType="separate"/>
      </w:r>
      <w:r w:rsidR="00C77B76">
        <w:rPr>
          <w:rFonts w:ascii="Times-Roman" w:hAnsi="Times-Roman" w:cs="Times-Roman"/>
          <w:lang w:val="en-US"/>
        </w:rPr>
        <w:t>(Hollander et al., 2015)</w:t>
      </w:r>
      <w:r w:rsidRPr="007D089C">
        <w:rPr>
          <w:rFonts w:ascii="Times-Roman" w:hAnsi="Times-Roman" w:cs="Times-Roman"/>
          <w:lang w:val="en-US"/>
        </w:rPr>
        <w:fldChar w:fldCharType="end"/>
      </w:r>
      <w:r w:rsidRPr="007D089C">
        <w:rPr>
          <w:rFonts w:ascii="timesroman" w:hAnsi="timesroman"/>
          <w:lang w:val="en-US"/>
        </w:rPr>
        <w:t>. Also, a</w:t>
      </w:r>
      <w:r w:rsidRPr="007D089C">
        <w:rPr>
          <w:rStyle w:val="Emphasis"/>
          <w:i w:val="0"/>
          <w:lang w:val="en-US"/>
        </w:rPr>
        <w:t>ddressing a rare circulatory condition</w:t>
      </w:r>
      <w:r w:rsidRPr="007D089C">
        <w:rPr>
          <w:rStyle w:val="Emphasis"/>
          <w:lang w:val="en-US"/>
        </w:rPr>
        <w:t xml:space="preserve">, </w:t>
      </w:r>
      <w:r w:rsidRPr="007D089C">
        <w:rPr>
          <w:rFonts w:ascii="timesroman" w:hAnsi="timesroman"/>
          <w:lang w:val="en-US"/>
        </w:rPr>
        <w:t xml:space="preserve">Liu, R. </w:t>
      </w:r>
      <w:r w:rsidRPr="007D089C">
        <w:rPr>
          <w:rFonts w:ascii="timesroman" w:hAnsi="timesroman"/>
          <w:i/>
          <w:lang w:val="en-US"/>
        </w:rPr>
        <w:t>et al.</w:t>
      </w:r>
      <w:r w:rsidRPr="007D089C">
        <w:rPr>
          <w:rFonts w:ascii="timesroman" w:hAnsi="timesroman"/>
          <w:lang w:val="en-US"/>
        </w:rPr>
        <w:t xml:space="preserve"> used iTRAQ to investigate the serum proteome of Legg-Calve-Perthes disease </w:t>
      </w:r>
      <w:r w:rsidRPr="007D089C">
        <w:rPr>
          <w:rFonts w:ascii="timesroman" w:hAnsi="timesroman"/>
          <w:lang w:val="en-US"/>
        </w:rPr>
        <w:fldChar w:fldCharType="begin"/>
      </w:r>
      <w:r w:rsidRPr="007D089C">
        <w:rPr>
          <w:rFonts w:ascii="timesroman" w:hAnsi="timesroman"/>
          <w:lang w:val="en-US"/>
        </w:rPr>
        <w:instrText>ADDIN RW.CITE{{2193 Liu,R. 2015}}</w:instrText>
      </w:r>
      <w:r w:rsidRPr="007D089C">
        <w:rPr>
          <w:rFonts w:ascii="timesroman" w:hAnsi="timesroman"/>
          <w:lang w:val="en-US"/>
        </w:rPr>
        <w:fldChar w:fldCharType="separate"/>
      </w:r>
      <w:r w:rsidR="00C77B76">
        <w:rPr>
          <w:rFonts w:ascii="timesroman" w:hAnsi="timesroman"/>
          <w:lang w:val="en-US"/>
        </w:rPr>
        <w:t>(R. Liu et al., 2015)</w:t>
      </w:r>
      <w:r w:rsidRPr="007D089C">
        <w:rPr>
          <w:rFonts w:ascii="timesroman" w:hAnsi="timesroman"/>
          <w:lang w:val="en-US"/>
        </w:rPr>
        <w:fldChar w:fldCharType="end"/>
      </w:r>
      <w:r w:rsidRPr="007D089C">
        <w:rPr>
          <w:rFonts w:ascii="timesroman" w:hAnsi="timesroman"/>
          <w:lang w:val="en-US"/>
        </w:rPr>
        <w:t xml:space="preserve">. The panel of 26 differentially abundant proteins indicated that complement and coagulation cascades, and abnormal lipid metabolism might be involved in the pathogenesis of the disease. Western-blot was used to confirm the large differences in expression of S100-A8, apolipoprotein E (APOE) and two depletion targets ORM1 and HPT. </w:t>
      </w:r>
    </w:p>
    <w:p w14:paraId="3B0E3C51" w14:textId="77777777" w:rsidR="00113FC6" w:rsidRPr="007D089C" w:rsidRDefault="00113FC6" w:rsidP="00B43F04">
      <w:pPr>
        <w:spacing w:line="480" w:lineRule="auto"/>
        <w:jc w:val="both"/>
        <w:rPr>
          <w:rFonts w:ascii="timesroman" w:hAnsi="timesroman"/>
          <w:lang w:val="en-US"/>
        </w:rPr>
      </w:pPr>
    </w:p>
    <w:p w14:paraId="2C2CBCE7" w14:textId="0C2AE843" w:rsidR="000074EB" w:rsidRPr="007D089C" w:rsidRDefault="009E59C7" w:rsidP="00B43F04">
      <w:pPr>
        <w:spacing w:line="480" w:lineRule="auto"/>
        <w:jc w:val="both"/>
        <w:rPr>
          <w:lang w:val="en-US"/>
        </w:rPr>
      </w:pPr>
      <w:r w:rsidRPr="007D089C">
        <w:rPr>
          <w:rFonts w:ascii="timesroman" w:hAnsi="timesroman"/>
          <w:lang w:val="en-US"/>
        </w:rPr>
        <w:t>S</w:t>
      </w:r>
      <w:r w:rsidR="000074EB" w:rsidRPr="007D089C">
        <w:rPr>
          <w:rFonts w:ascii="Times-Roman" w:hAnsi="Times-Roman" w:cs="Times-Roman"/>
          <w:lang w:val="en-US"/>
        </w:rPr>
        <w:t xml:space="preserve">everal examples </w:t>
      </w:r>
      <w:r w:rsidRPr="007D089C">
        <w:rPr>
          <w:rFonts w:ascii="Times-Roman" w:hAnsi="Times-Roman" w:cs="Times-Roman"/>
          <w:lang w:val="en-US"/>
        </w:rPr>
        <w:t xml:space="preserve">of studies </w:t>
      </w:r>
      <w:r w:rsidR="00670428" w:rsidRPr="007D089C">
        <w:rPr>
          <w:rFonts w:ascii="Times-Roman" w:hAnsi="Times-Roman" w:cs="Times-Roman"/>
          <w:lang w:val="en-US"/>
        </w:rPr>
        <w:t>of</w:t>
      </w:r>
      <w:r w:rsidR="00EF5283" w:rsidRPr="007D089C">
        <w:rPr>
          <w:rFonts w:ascii="Times-Roman" w:hAnsi="Times-Roman" w:cs="Times-Roman"/>
          <w:color w:val="FF0000"/>
          <w:lang w:val="en-US"/>
        </w:rPr>
        <w:t xml:space="preserve"> </w:t>
      </w:r>
      <w:r w:rsidRPr="007D089C">
        <w:rPr>
          <w:rFonts w:ascii="Times-Roman" w:hAnsi="Times-Roman" w:cs="Times-Roman"/>
          <w:lang w:val="en-US"/>
        </w:rPr>
        <w:t xml:space="preserve">circulation </w:t>
      </w:r>
      <w:r w:rsidR="007C32B9" w:rsidRPr="007D089C">
        <w:rPr>
          <w:rFonts w:ascii="Times-Roman" w:hAnsi="Times-Roman" w:cs="Times-Roman"/>
          <w:lang w:val="en-US"/>
        </w:rPr>
        <w:t>were</w:t>
      </w:r>
      <w:r w:rsidRPr="007D089C">
        <w:rPr>
          <w:rFonts w:ascii="Times-Roman" w:hAnsi="Times-Roman" w:cs="Times-Roman"/>
          <w:lang w:val="en-US"/>
        </w:rPr>
        <w:t xml:space="preserve"> </w:t>
      </w:r>
      <w:r w:rsidR="000074EB" w:rsidRPr="007D089C">
        <w:rPr>
          <w:rFonts w:ascii="Times-Roman" w:hAnsi="Times-Roman" w:cs="Times-Roman"/>
          <w:lang w:val="en-US"/>
        </w:rPr>
        <w:t xml:space="preserve">cited in </w:t>
      </w:r>
      <w:r w:rsidRPr="007D089C">
        <w:rPr>
          <w:rFonts w:ascii="Times-Roman" w:hAnsi="Times-Roman" w:cs="Times-Roman"/>
          <w:lang w:val="en-US"/>
        </w:rPr>
        <w:t xml:space="preserve">the </w:t>
      </w:r>
      <w:r w:rsidR="000074EB" w:rsidRPr="007D089C">
        <w:rPr>
          <w:rFonts w:ascii="Times-Roman" w:hAnsi="Times-Roman" w:cs="Times-Roman"/>
          <w:lang w:val="en-US"/>
        </w:rPr>
        <w:t>previous sections, such as the data independent PAcIFIC method in the TMT analysis of plasma from abdominal aortic aneurysm (AAA)</w:t>
      </w:r>
      <w:r w:rsidRPr="007D089C">
        <w:rPr>
          <w:rFonts w:ascii="Times-Roman" w:hAnsi="Times-Roman" w:cs="Times-Roman"/>
          <w:lang w:val="en-US"/>
        </w:rPr>
        <w:t xml:space="preserve"> </w:t>
      </w:r>
      <w:r w:rsidRPr="007D089C">
        <w:rPr>
          <w:rFonts w:ascii="Times-Roman" w:hAnsi="Times-Roman" w:cs="Times-Roman"/>
          <w:lang w:val="en-US"/>
        </w:rPr>
        <w:fldChar w:fldCharType="begin"/>
      </w:r>
      <w:r w:rsidRPr="007D089C">
        <w:rPr>
          <w:rFonts w:ascii="Times-Roman" w:hAnsi="Times-Roman" w:cs="Times-Roman"/>
          <w:lang w:val="en-US"/>
        </w:rPr>
        <w:instrText>ADDIN RW.CITE{{1537 Acosta-Martin,A.E. 2011}}</w:instrText>
      </w:r>
      <w:r w:rsidRPr="007D089C">
        <w:rPr>
          <w:rFonts w:ascii="Times-Roman" w:hAnsi="Times-Roman" w:cs="Times-Roman"/>
          <w:lang w:val="en-US"/>
        </w:rPr>
        <w:fldChar w:fldCharType="separate"/>
      </w:r>
      <w:r w:rsidR="00C77B76">
        <w:rPr>
          <w:rFonts w:ascii="Times-Roman" w:hAnsi="Times-Roman" w:cs="Times-Roman"/>
          <w:lang w:val="en-US"/>
        </w:rPr>
        <w:t>(Acosta-Martin et al., 2011)</w:t>
      </w:r>
      <w:r w:rsidRPr="007D089C">
        <w:rPr>
          <w:rFonts w:ascii="Times-Roman" w:hAnsi="Times-Roman" w:cs="Times-Roman"/>
          <w:lang w:val="en-US"/>
        </w:rPr>
        <w:fldChar w:fldCharType="end"/>
      </w:r>
      <w:r w:rsidR="000074EB" w:rsidRPr="007D089C">
        <w:rPr>
          <w:rFonts w:ascii="Times-Roman" w:hAnsi="Times-Roman" w:cs="Times-Roman"/>
          <w:lang w:val="en-US"/>
        </w:rPr>
        <w:t xml:space="preserve">, and the iTRAQ comparison of plasma proteins, </w:t>
      </w:r>
      <w:r w:rsidR="000074EB" w:rsidRPr="007D089C">
        <w:rPr>
          <w:lang w:val="en-US"/>
        </w:rPr>
        <w:t xml:space="preserve">sialic acid-containing glycopeptides and phosphopeptides in relation to </w:t>
      </w:r>
      <w:r w:rsidR="000074EB" w:rsidRPr="007D089C">
        <w:rPr>
          <w:rFonts w:ascii="timesroman" w:hAnsi="timesroman"/>
          <w:lang w:val="en-US"/>
        </w:rPr>
        <w:t xml:space="preserve">atherosclerotic </w:t>
      </w:r>
      <w:r w:rsidR="000074EB" w:rsidRPr="007D089C">
        <w:rPr>
          <w:lang w:val="en-US"/>
        </w:rPr>
        <w:t>disease</w:t>
      </w:r>
      <w:r w:rsidRPr="007D089C">
        <w:rPr>
          <w:lang w:val="en-US"/>
        </w:rPr>
        <w:t xml:space="preserve"> </w:t>
      </w:r>
      <w:r w:rsidRPr="007D089C">
        <w:rPr>
          <w:lang w:val="en-US"/>
        </w:rPr>
        <w:fldChar w:fldCharType="begin"/>
      </w:r>
      <w:r w:rsidRPr="007D089C">
        <w:rPr>
          <w:lang w:val="en-US"/>
        </w:rPr>
        <w:instrText>ADDIN RW.CITE{{3074 Kristensen,L.P. 2014}}</w:instrText>
      </w:r>
      <w:r w:rsidRPr="007D089C">
        <w:rPr>
          <w:lang w:val="en-US"/>
        </w:rPr>
        <w:fldChar w:fldCharType="separate"/>
      </w:r>
      <w:r w:rsidR="00C77B76">
        <w:rPr>
          <w:lang w:val="en-US"/>
        </w:rPr>
        <w:t>(Kristensen et al., 2014)</w:t>
      </w:r>
      <w:r w:rsidRPr="007D089C">
        <w:rPr>
          <w:lang w:val="en-US"/>
        </w:rPr>
        <w:fldChar w:fldCharType="end"/>
      </w:r>
      <w:r w:rsidR="000074EB" w:rsidRPr="007D089C">
        <w:rPr>
          <w:rFonts w:ascii="Times-Roman" w:hAnsi="Times-Roman" w:cs="Times-Roman"/>
          <w:i/>
          <w:lang w:val="en-US"/>
        </w:rPr>
        <w:t>.</w:t>
      </w:r>
      <w:r w:rsidR="000074EB" w:rsidRPr="007D089C">
        <w:rPr>
          <w:rFonts w:ascii="Times-Roman" w:hAnsi="Times-Roman" w:cs="Times-Roman"/>
          <w:lang w:val="en-US"/>
        </w:rPr>
        <w:t xml:space="preserve">  </w:t>
      </w:r>
    </w:p>
    <w:p w14:paraId="4B57BCB7" w14:textId="77777777" w:rsidR="009E59C7" w:rsidRPr="007D089C" w:rsidRDefault="009E59C7" w:rsidP="00B43F04">
      <w:pPr>
        <w:spacing w:line="480" w:lineRule="auto"/>
        <w:jc w:val="both"/>
        <w:rPr>
          <w:rFonts w:ascii="timesroman" w:hAnsi="timesroman"/>
          <w:lang w:val="en-US"/>
        </w:rPr>
      </w:pPr>
    </w:p>
    <w:p w14:paraId="7FEF874D" w14:textId="23364529" w:rsidR="000074EB" w:rsidRPr="007D089C" w:rsidRDefault="000074EB" w:rsidP="00B43F04">
      <w:pPr>
        <w:spacing w:line="480" w:lineRule="auto"/>
        <w:jc w:val="both"/>
        <w:rPr>
          <w:lang w:val="en-US"/>
        </w:rPr>
      </w:pPr>
      <w:r w:rsidRPr="007D089C">
        <w:rPr>
          <w:shd w:val="clear" w:color="auto" w:fill="FFFFFF"/>
          <w:lang w:val="en-US"/>
        </w:rPr>
        <w:t>Patients with chronic kidney disease (CKD) have a considerably higher risk of death due to cardiovascular causes.</w:t>
      </w:r>
      <w:r w:rsidRPr="007D089C">
        <w:rPr>
          <w:rStyle w:val="apple-converted-space"/>
          <w:shd w:val="clear" w:color="auto" w:fill="FFFFFF"/>
          <w:lang w:val="en-US"/>
        </w:rPr>
        <w:t xml:space="preserve">  Luczak and co-workers used iTRAQ to investigate differences in the plasma of patients with CKD finding </w:t>
      </w:r>
      <w:r w:rsidRPr="007D089C">
        <w:rPr>
          <w:shd w:val="clear" w:color="auto" w:fill="FFFFFF"/>
          <w:lang w:val="en-US"/>
        </w:rPr>
        <w:t xml:space="preserve">differences with proteins involved in lipid metabolism and atherosclerosis, including constituents of high-density lipoprotein (HDL) and low-density lipoprotein (LDL) </w:t>
      </w:r>
      <w:r w:rsidRPr="007D089C">
        <w:rPr>
          <w:shd w:val="clear" w:color="auto" w:fill="FFFFFF"/>
          <w:lang w:val="en-US"/>
        </w:rPr>
        <w:fldChar w:fldCharType="begin"/>
      </w:r>
      <w:r w:rsidRPr="007D089C">
        <w:rPr>
          <w:shd w:val="clear" w:color="auto" w:fill="FFFFFF"/>
          <w:lang w:val="en-US"/>
        </w:rPr>
        <w:instrText>ADDIN RW.CITE{{3080 Luczak,M. 2016}}</w:instrText>
      </w:r>
      <w:r w:rsidRPr="007D089C">
        <w:rPr>
          <w:shd w:val="clear" w:color="auto" w:fill="FFFFFF"/>
          <w:lang w:val="en-US"/>
        </w:rPr>
        <w:fldChar w:fldCharType="separate"/>
      </w:r>
      <w:r w:rsidR="00C77B76">
        <w:rPr>
          <w:shd w:val="clear" w:color="auto" w:fill="FFFFFF"/>
          <w:lang w:val="en-US"/>
        </w:rPr>
        <w:t>(Luczak et al., 2016)</w:t>
      </w:r>
      <w:r w:rsidRPr="007D089C">
        <w:rPr>
          <w:shd w:val="clear" w:color="auto" w:fill="FFFFFF"/>
          <w:lang w:val="en-US"/>
        </w:rPr>
        <w:fldChar w:fldCharType="end"/>
      </w:r>
      <w:r w:rsidRPr="007D089C">
        <w:rPr>
          <w:shd w:val="clear" w:color="auto" w:fill="FFFFFF"/>
          <w:lang w:val="en-US"/>
        </w:rPr>
        <w:t xml:space="preserve">. Notably they used a combination of analytical platforms (ESI &amp; MALDI) and software, reporting 1,038 proteins detected with two or more peptides from 10 iTRAQ experiments </w:t>
      </w:r>
      <w:r w:rsidR="00D358A7" w:rsidRPr="007D089C">
        <w:rPr>
          <w:shd w:val="clear" w:color="auto" w:fill="FFFFFF"/>
          <w:lang w:val="en-US"/>
        </w:rPr>
        <w:t>analyzing</w:t>
      </w:r>
      <w:r w:rsidRPr="007D089C">
        <w:rPr>
          <w:shd w:val="clear" w:color="auto" w:fill="FFFFFF"/>
          <w:lang w:val="en-US"/>
        </w:rPr>
        <w:t xml:space="preserve"> 180 samples with pooling.</w:t>
      </w:r>
    </w:p>
    <w:p w14:paraId="23269879" w14:textId="77777777" w:rsidR="004E6DFE" w:rsidRPr="007D089C" w:rsidRDefault="004E6DFE" w:rsidP="00B43F04">
      <w:pPr>
        <w:spacing w:line="480" w:lineRule="auto"/>
        <w:jc w:val="both"/>
        <w:rPr>
          <w:lang w:val="en-US"/>
        </w:rPr>
      </w:pPr>
    </w:p>
    <w:p w14:paraId="1AB42B68" w14:textId="63C95CB3" w:rsidR="000074EB" w:rsidRPr="007D089C" w:rsidRDefault="000074EB" w:rsidP="00B43F04">
      <w:pPr>
        <w:spacing w:line="480" w:lineRule="auto"/>
        <w:jc w:val="both"/>
        <w:rPr>
          <w:rFonts w:ascii="Times-Roman" w:hAnsi="Times-Roman" w:cs="Times-Roman"/>
          <w:color w:val="FF0000"/>
          <w:lang w:val="en-US"/>
        </w:rPr>
      </w:pPr>
      <w:r w:rsidRPr="007D089C">
        <w:rPr>
          <w:lang w:val="en-US"/>
        </w:rPr>
        <w:t xml:space="preserve">Zhang , X, et al. investigated </w:t>
      </w:r>
      <w:r w:rsidRPr="007D089C">
        <w:rPr>
          <w:shd w:val="clear" w:color="auto" w:fill="FFFFFF"/>
          <w:lang w:val="en-US"/>
        </w:rPr>
        <w:t xml:space="preserve">pulmonary arterial hypertension </w:t>
      </w:r>
      <w:r w:rsidRPr="007D089C">
        <w:rPr>
          <w:lang w:val="en-US"/>
        </w:rPr>
        <w:t xml:space="preserve">in relation to congenital heart diseases in a group of 140 children (3-11 years) with heart defects </w:t>
      </w:r>
      <w:r w:rsidRPr="007D089C">
        <w:rPr>
          <w:lang w:val="en-US"/>
        </w:rPr>
        <w:fldChar w:fldCharType="begin"/>
      </w:r>
      <w:r w:rsidRPr="007D089C">
        <w:rPr>
          <w:lang w:val="en-US"/>
        </w:rPr>
        <w:instrText>ADDIN RW.CITE{{3102 Zhang,X. 2016}}</w:instrText>
      </w:r>
      <w:r w:rsidRPr="007D089C">
        <w:rPr>
          <w:lang w:val="en-US"/>
        </w:rPr>
        <w:fldChar w:fldCharType="separate"/>
      </w:r>
      <w:r w:rsidR="00C77B76">
        <w:rPr>
          <w:lang w:val="en-US"/>
        </w:rPr>
        <w:t>(X. Zhang et al., 2016)</w:t>
      </w:r>
      <w:r w:rsidRPr="007D089C">
        <w:rPr>
          <w:lang w:val="en-US"/>
        </w:rPr>
        <w:fldChar w:fldCharType="end"/>
      </w:r>
      <w:r w:rsidRPr="007D089C">
        <w:rPr>
          <w:lang w:val="en-US"/>
        </w:rPr>
        <w:t xml:space="preserve">. Detection and quantification of in the order of 1000 proteins were reported, 338 of which were detected with two or more unique peptides. One fifth of the proteins (~200) were differentially abundant amongst the six patient groups studied. ELISA was </w:t>
      </w:r>
      <w:r w:rsidR="007C32B9" w:rsidRPr="007D089C">
        <w:rPr>
          <w:lang w:val="en-US"/>
        </w:rPr>
        <w:t xml:space="preserve">subsequently </w:t>
      </w:r>
      <w:r w:rsidRPr="007D089C">
        <w:rPr>
          <w:lang w:val="en-US"/>
        </w:rPr>
        <w:t>used to validate differences in carbamoyl-phosphate synthetase I (CPSI) and complement factor H-related protein 2 (CFHR2) in a cohort of 152 patients.</w:t>
      </w:r>
    </w:p>
    <w:p w14:paraId="0CF1F945" w14:textId="77777777" w:rsidR="004E6DFE" w:rsidRPr="007D089C" w:rsidRDefault="004E6DFE" w:rsidP="00B43F04">
      <w:pPr>
        <w:spacing w:line="480" w:lineRule="auto"/>
        <w:jc w:val="both"/>
        <w:rPr>
          <w:rFonts w:ascii="timesroman" w:hAnsi="timesroman"/>
          <w:lang w:val="en-US"/>
        </w:rPr>
      </w:pPr>
    </w:p>
    <w:p w14:paraId="39F4804B" w14:textId="04CB2FCE" w:rsidR="005F69BF" w:rsidRPr="007D089C" w:rsidRDefault="000074EB" w:rsidP="00B43F04">
      <w:pPr>
        <w:spacing w:line="480" w:lineRule="auto"/>
        <w:jc w:val="both"/>
        <w:rPr>
          <w:lang w:val="en-US"/>
        </w:rPr>
      </w:pPr>
      <w:r w:rsidRPr="007D089C">
        <w:rPr>
          <w:rFonts w:ascii="timesroman" w:hAnsi="timesroman"/>
          <w:lang w:val="en-US"/>
        </w:rPr>
        <w:t xml:space="preserve">In the pursuit of pro-atherogenic HDL profiles in coronary heart disease patients, Yan, L </w:t>
      </w:r>
      <w:r w:rsidRPr="007D089C">
        <w:rPr>
          <w:rFonts w:ascii="timesroman" w:hAnsi="timesroman"/>
          <w:i/>
          <w:lang w:val="en-US"/>
        </w:rPr>
        <w:t>et al.</w:t>
      </w:r>
      <w:r w:rsidRPr="007D089C">
        <w:rPr>
          <w:rFonts w:ascii="timesroman" w:hAnsi="timesroman"/>
          <w:lang w:val="en-US"/>
        </w:rPr>
        <w:t xml:space="preserve"> progressed beyond direct plasma profiling and isolated the HDL fraction from plasma and depleted this of </w:t>
      </w:r>
      <w:r w:rsidRPr="007D089C">
        <w:rPr>
          <w:lang w:val="en-US"/>
        </w:rPr>
        <w:t xml:space="preserve">albumin and IgG prior to iTRAQ labelling </w:t>
      </w:r>
      <w:r w:rsidRPr="007D089C">
        <w:rPr>
          <w:lang w:val="en-US"/>
        </w:rPr>
        <w:fldChar w:fldCharType="begin"/>
      </w:r>
      <w:r w:rsidRPr="007D089C">
        <w:rPr>
          <w:lang w:val="en-US"/>
        </w:rPr>
        <w:instrText>ADDIN RW.CITE{{2137 Yan,L.R. 2014}}</w:instrText>
      </w:r>
      <w:r w:rsidRPr="007D089C">
        <w:rPr>
          <w:lang w:val="en-US"/>
        </w:rPr>
        <w:fldChar w:fldCharType="separate"/>
      </w:r>
      <w:r w:rsidR="00C77B76">
        <w:rPr>
          <w:lang w:val="en-US"/>
        </w:rPr>
        <w:t>(Yan et al., 2014)</w:t>
      </w:r>
      <w:r w:rsidRPr="007D089C">
        <w:rPr>
          <w:lang w:val="en-US"/>
        </w:rPr>
        <w:fldChar w:fldCharType="end"/>
      </w:r>
      <w:r w:rsidRPr="007D089C">
        <w:rPr>
          <w:lang w:val="en-US"/>
        </w:rPr>
        <w:t xml:space="preserve">. With this targeted strategy they identified in the order of 200 proteins associated with the HDL fraction. </w:t>
      </w:r>
    </w:p>
    <w:p w14:paraId="73EA87DF" w14:textId="45BD17CA" w:rsidR="000074EB" w:rsidRPr="007D089C" w:rsidRDefault="000074EB" w:rsidP="00B43F04">
      <w:pPr>
        <w:spacing w:line="480" w:lineRule="auto"/>
        <w:jc w:val="both"/>
        <w:rPr>
          <w:lang w:val="en-US"/>
        </w:rPr>
      </w:pPr>
      <w:r w:rsidRPr="007D089C">
        <w:rPr>
          <w:lang w:val="en-US"/>
        </w:rPr>
        <w:t xml:space="preserve">In relation to </w:t>
      </w:r>
      <w:r w:rsidRPr="007D089C">
        <w:rPr>
          <w:rFonts w:ascii="timesroman" w:hAnsi="timesroman"/>
          <w:lang w:val="en-US"/>
        </w:rPr>
        <w:t xml:space="preserve">coronary artery disease (CAD), </w:t>
      </w:r>
      <w:r w:rsidRPr="007D089C">
        <w:rPr>
          <w:lang w:val="en-US"/>
        </w:rPr>
        <w:t xml:space="preserve">Jing </w:t>
      </w:r>
      <w:r w:rsidRPr="007D089C">
        <w:rPr>
          <w:i/>
          <w:lang w:val="en-US"/>
        </w:rPr>
        <w:t>et al.</w:t>
      </w:r>
      <w:r w:rsidRPr="007D089C">
        <w:rPr>
          <w:lang w:val="en-US"/>
        </w:rPr>
        <w:t xml:space="preserve"> used </w:t>
      </w:r>
      <w:r w:rsidRPr="007D089C">
        <w:rPr>
          <w:rFonts w:ascii="timesroman" w:hAnsi="timesroman"/>
          <w:lang w:val="en-US"/>
        </w:rPr>
        <w:t xml:space="preserve">MALDI and ESI methods to compare the effects of dietary fat on the plasma proteome in </w:t>
      </w:r>
      <w:r w:rsidRPr="007D089C">
        <w:rPr>
          <w:lang w:val="en-US"/>
        </w:rPr>
        <w:t xml:space="preserve">an APOE knock out mouse model </w:t>
      </w:r>
      <w:r w:rsidRPr="007D089C">
        <w:rPr>
          <w:rFonts w:ascii="timesroman" w:hAnsi="timesroman"/>
          <w:lang w:val="en-US"/>
        </w:rPr>
        <w:fldChar w:fldCharType="begin"/>
      </w:r>
      <w:r w:rsidRPr="007D089C">
        <w:rPr>
          <w:rFonts w:ascii="timesroman" w:hAnsi="timesroman"/>
          <w:lang w:val="en-US"/>
        </w:rPr>
        <w:instrText xml:space="preserve">ADDIN RW.CITE{{2007 Jing,L. </w:instrText>
      </w:r>
      <w:r w:rsidRPr="007D089C">
        <w:rPr>
          <w:rFonts w:ascii="timesroman" w:hAnsi="timesroman"/>
          <w:highlight w:val="yellow"/>
          <w:lang w:val="en-US"/>
        </w:rPr>
        <w:instrText>2011</w:instrText>
      </w:r>
      <w:r w:rsidRPr="007D089C">
        <w:rPr>
          <w:rFonts w:ascii="timesroman" w:hAnsi="timesroman"/>
          <w:lang w:val="en-US"/>
        </w:rPr>
        <w:instrText>}}</w:instrText>
      </w:r>
      <w:r w:rsidRPr="007D089C">
        <w:rPr>
          <w:rFonts w:ascii="timesroman" w:hAnsi="timesroman"/>
          <w:lang w:val="en-US"/>
        </w:rPr>
        <w:fldChar w:fldCharType="separate"/>
      </w:r>
      <w:r w:rsidR="00C77B76">
        <w:rPr>
          <w:rFonts w:ascii="timesroman" w:hAnsi="timesroman"/>
          <w:lang w:val="en-US"/>
        </w:rPr>
        <w:t>(Jing et al., 2011)</w:t>
      </w:r>
      <w:r w:rsidRPr="007D089C">
        <w:rPr>
          <w:rFonts w:ascii="timesroman" w:hAnsi="timesroman"/>
          <w:lang w:val="en-US"/>
        </w:rPr>
        <w:fldChar w:fldCharType="end"/>
      </w:r>
      <w:r w:rsidRPr="007D089C">
        <w:rPr>
          <w:rFonts w:ascii="timesroman" w:hAnsi="timesroman"/>
          <w:lang w:val="en-US"/>
        </w:rPr>
        <w:t xml:space="preserve">. They were able to quantify more proteins with ESI (~400), and with the combined data from the platforms quantified in the order of 600 proteins, detecting differential abundance of several known </w:t>
      </w:r>
      <w:r w:rsidRPr="007D089C">
        <w:rPr>
          <w:lang w:val="en-US"/>
        </w:rPr>
        <w:t>CAD markers.</w:t>
      </w:r>
    </w:p>
    <w:p w14:paraId="076B72EC" w14:textId="77777777" w:rsidR="009E59C7" w:rsidRPr="007D089C" w:rsidRDefault="009E59C7" w:rsidP="00B43F04">
      <w:pPr>
        <w:spacing w:line="480" w:lineRule="auto"/>
        <w:jc w:val="both"/>
        <w:rPr>
          <w:rFonts w:ascii="Times-Roman" w:hAnsi="Times-Roman" w:cs="Times-Roman"/>
          <w:lang w:val="en-US"/>
        </w:rPr>
      </w:pPr>
    </w:p>
    <w:p w14:paraId="4024736B" w14:textId="13F5C268" w:rsidR="000074EB" w:rsidRPr="007D089C" w:rsidRDefault="000074EB" w:rsidP="00B43F04">
      <w:pPr>
        <w:spacing w:line="480" w:lineRule="auto"/>
        <w:jc w:val="both"/>
        <w:rPr>
          <w:rFonts w:ascii="Times-Roman" w:hAnsi="Times-Roman" w:cs="Times-Roman"/>
          <w:lang w:val="en-US"/>
        </w:rPr>
      </w:pPr>
      <w:r w:rsidRPr="007D089C">
        <w:rPr>
          <w:rFonts w:ascii="Times-Roman" w:hAnsi="Times-Roman" w:cs="Times-Roman"/>
          <w:lang w:val="en-US"/>
        </w:rPr>
        <w:t>In studies on the effects of trauma upon the heart, researchers have probed for markers of m</w:t>
      </w:r>
      <w:r w:rsidR="00EF5283" w:rsidRPr="007D089C">
        <w:rPr>
          <w:rFonts w:ascii="Times-Roman" w:hAnsi="Times-Roman" w:cs="Times-Roman"/>
          <w:lang w:val="en-US"/>
        </w:rPr>
        <w:t>yo</w:t>
      </w:r>
      <w:r w:rsidRPr="007D089C">
        <w:rPr>
          <w:rFonts w:ascii="Times-Roman" w:hAnsi="Times-Roman" w:cs="Times-Roman"/>
          <w:lang w:val="en-US"/>
        </w:rPr>
        <w:t xml:space="preserve">cardial infarction </w:t>
      </w:r>
      <w:r w:rsidRPr="007D089C">
        <w:rPr>
          <w:rFonts w:ascii="Times-Roman" w:hAnsi="Times-Roman" w:cs="Times-Roman"/>
          <w:lang w:val="en-US"/>
        </w:rPr>
        <w:fldChar w:fldCharType="begin"/>
      </w:r>
      <w:r w:rsidRPr="007D089C">
        <w:rPr>
          <w:rFonts w:ascii="Times-Roman" w:hAnsi="Times-Roman" w:cs="Times-Roman"/>
          <w:lang w:val="en-US"/>
        </w:rPr>
        <w:instrText xml:space="preserve">ADDIN RW.CITE{{2019 Juhasz,P. </w:instrText>
      </w:r>
      <w:r w:rsidRPr="007D089C">
        <w:rPr>
          <w:rFonts w:ascii="Times-Roman" w:hAnsi="Times-Roman" w:cs="Times-Roman"/>
          <w:highlight w:val="yellow"/>
          <w:lang w:val="en-US"/>
        </w:rPr>
        <w:instrText>2011; 2104 Lin,D. 201</w:instrText>
      </w:r>
      <w:r w:rsidRPr="007D089C">
        <w:rPr>
          <w:rFonts w:ascii="Times-Roman" w:hAnsi="Times-Roman" w:cs="Times-Roman"/>
          <w:lang w:val="en-US"/>
        </w:rPr>
        <w:instrText>1; 2138 Keshishian,H. 2015}}</w:instrText>
      </w:r>
      <w:r w:rsidRPr="007D089C">
        <w:rPr>
          <w:rFonts w:ascii="Times-Roman" w:hAnsi="Times-Roman" w:cs="Times-Roman"/>
          <w:lang w:val="en-US"/>
        </w:rPr>
        <w:fldChar w:fldCharType="separate"/>
      </w:r>
      <w:r w:rsidR="00C77B76">
        <w:rPr>
          <w:rFonts w:ascii="Times-Roman" w:hAnsi="Times-Roman" w:cs="Times-Roman"/>
          <w:lang w:val="en-US"/>
        </w:rPr>
        <w:t>(Juhasz et al., 2011; Keshishian et al., 2015; Lin et al., 2011)</w:t>
      </w:r>
      <w:r w:rsidRPr="007D089C">
        <w:rPr>
          <w:rFonts w:ascii="Times-Roman" w:hAnsi="Times-Roman" w:cs="Times-Roman"/>
          <w:lang w:val="en-US"/>
        </w:rPr>
        <w:fldChar w:fldCharType="end"/>
      </w:r>
      <w:r w:rsidRPr="007D089C">
        <w:rPr>
          <w:rFonts w:ascii="Times-Roman" w:hAnsi="Times-Roman" w:cs="Times-Roman"/>
          <w:lang w:val="en-US"/>
        </w:rPr>
        <w:t>. Included in these is the previously mentioned work of Juhasz and co-workers</w:t>
      </w:r>
      <w:r w:rsidR="005F69BF" w:rsidRPr="007D089C">
        <w:rPr>
          <w:rFonts w:ascii="Times-Roman" w:hAnsi="Times-Roman" w:cs="Times-Roman"/>
          <w:lang w:val="en-US"/>
        </w:rPr>
        <w:t>,</w:t>
      </w:r>
      <w:r w:rsidRPr="007D089C">
        <w:rPr>
          <w:rFonts w:ascii="Times-Roman" w:hAnsi="Times-Roman" w:cs="Times-Roman"/>
          <w:lang w:val="en-US"/>
        </w:rPr>
        <w:t xml:space="preserve"> in wh</w:t>
      </w:r>
      <w:r w:rsidR="00B900CD">
        <w:rPr>
          <w:rFonts w:ascii="Times-Roman" w:hAnsi="Times-Roman" w:cs="Times-Roman"/>
          <w:lang w:val="en-US"/>
        </w:rPr>
        <w:t>ich they used the IgY and SuperM</w:t>
      </w:r>
      <w:r w:rsidRPr="007D089C">
        <w:rPr>
          <w:rFonts w:ascii="Times-Roman" w:hAnsi="Times-Roman" w:cs="Times-Roman"/>
          <w:lang w:val="en-US"/>
        </w:rPr>
        <w:t xml:space="preserve">ix depletion columns in series followed by off-line two-dimensional chromatography with fractions directly </w:t>
      </w:r>
      <w:r w:rsidR="00EF5283" w:rsidRPr="007D089C">
        <w:rPr>
          <w:rFonts w:ascii="Times-Roman" w:hAnsi="Times-Roman" w:cs="Times-Roman"/>
          <w:lang w:val="en-US"/>
        </w:rPr>
        <w:t>spotted</w:t>
      </w:r>
      <w:r w:rsidR="00EF5283" w:rsidRPr="007D089C">
        <w:rPr>
          <w:rFonts w:ascii="Times-Roman" w:hAnsi="Times-Roman" w:cs="Times-Roman"/>
          <w:color w:val="FF0000"/>
          <w:lang w:val="en-US"/>
        </w:rPr>
        <w:t xml:space="preserve"> </w:t>
      </w:r>
      <w:r w:rsidRPr="007D089C">
        <w:rPr>
          <w:rFonts w:ascii="Times-Roman" w:hAnsi="Times-Roman" w:cs="Times-Roman"/>
          <w:lang w:val="en-US"/>
        </w:rPr>
        <w:t xml:space="preserve">on MALDI-TOF/TOF plates </w:t>
      </w:r>
      <w:r w:rsidRPr="007D089C">
        <w:rPr>
          <w:rFonts w:ascii="Times-Roman" w:hAnsi="Times-Roman" w:cs="Times-Roman"/>
          <w:lang w:val="en-US"/>
        </w:rPr>
        <w:fldChar w:fldCharType="begin"/>
      </w:r>
      <w:r w:rsidRPr="007D089C">
        <w:rPr>
          <w:rFonts w:ascii="Times-Roman" w:hAnsi="Times-Roman" w:cs="Times-Roman"/>
          <w:lang w:val="en-US"/>
        </w:rPr>
        <w:instrText xml:space="preserve">ADDIN RW.CITE{{2019 Juhasz,P. </w:instrText>
      </w:r>
      <w:r w:rsidRPr="007D089C">
        <w:rPr>
          <w:rFonts w:ascii="Times-Roman" w:hAnsi="Times-Roman" w:cs="Times-Roman"/>
          <w:highlight w:val="yellow"/>
          <w:lang w:val="en-US"/>
        </w:rPr>
        <w:instrText>2011</w:instrText>
      </w:r>
      <w:r w:rsidRPr="007D089C">
        <w:rPr>
          <w:rFonts w:ascii="Times-Roman" w:hAnsi="Times-Roman" w:cs="Times-Roman"/>
          <w:lang w:val="en-US"/>
        </w:rPr>
        <w:instrText>}}</w:instrText>
      </w:r>
      <w:r w:rsidRPr="007D089C">
        <w:rPr>
          <w:rFonts w:ascii="Times-Roman" w:hAnsi="Times-Roman" w:cs="Times-Roman"/>
          <w:lang w:val="en-US"/>
        </w:rPr>
        <w:fldChar w:fldCharType="separate"/>
      </w:r>
      <w:r w:rsidR="00C77B76">
        <w:rPr>
          <w:rFonts w:ascii="Times-Roman" w:hAnsi="Times-Roman" w:cs="Times-Roman"/>
          <w:lang w:val="en-US"/>
        </w:rPr>
        <w:t>(Juhasz et al., 2011)</w:t>
      </w:r>
      <w:r w:rsidRPr="007D089C">
        <w:rPr>
          <w:rFonts w:ascii="Times-Roman" w:hAnsi="Times-Roman" w:cs="Times-Roman"/>
          <w:lang w:val="en-US"/>
        </w:rPr>
        <w:fldChar w:fldCharType="end"/>
      </w:r>
      <w:r w:rsidRPr="007D089C">
        <w:rPr>
          <w:rFonts w:ascii="Times-Roman" w:hAnsi="Times-Roman" w:cs="Times-Roman"/>
          <w:lang w:val="en-US"/>
        </w:rPr>
        <w:t xml:space="preserve">. With this approach they used nine 8-plex iTRAQ experiments to compare pools (25 in each) from 252 subjects that </w:t>
      </w:r>
      <w:r w:rsidRPr="007D089C">
        <w:rPr>
          <w:lang w:val="en-US"/>
        </w:rPr>
        <w:t xml:space="preserve">experienced a myocardial infarction in the </w:t>
      </w:r>
      <w:r w:rsidR="005F69BF" w:rsidRPr="007D089C">
        <w:rPr>
          <w:lang w:val="en-US"/>
        </w:rPr>
        <w:t>four</w:t>
      </w:r>
      <w:r w:rsidRPr="007D089C">
        <w:rPr>
          <w:lang w:val="en-US"/>
        </w:rPr>
        <w:t xml:space="preserve"> subsequent years </w:t>
      </w:r>
      <w:r w:rsidRPr="007D089C">
        <w:rPr>
          <w:rFonts w:ascii="Times-Roman" w:hAnsi="Times-Roman" w:cs="Times-Roman"/>
          <w:lang w:val="en-US"/>
        </w:rPr>
        <w:t xml:space="preserve">and 499 controls who suffered no event in the follow-up. In the order of 30 differential abundant proteins were detected, seven with known associations with CVD risk. </w:t>
      </w:r>
    </w:p>
    <w:p w14:paraId="516CA5BD" w14:textId="77777777" w:rsidR="009E59C7" w:rsidRPr="007D089C" w:rsidRDefault="009E59C7" w:rsidP="00B43F04">
      <w:pPr>
        <w:spacing w:line="480" w:lineRule="auto"/>
        <w:jc w:val="both"/>
        <w:rPr>
          <w:rFonts w:ascii="Times-Roman" w:hAnsi="Times-Roman" w:cs="Times-Roman"/>
          <w:lang w:val="en-US"/>
        </w:rPr>
      </w:pPr>
    </w:p>
    <w:p w14:paraId="501F23A5" w14:textId="5AC1EEB0" w:rsidR="000074EB" w:rsidRPr="007D089C" w:rsidRDefault="000074EB" w:rsidP="00B43F04">
      <w:pPr>
        <w:spacing w:line="480" w:lineRule="auto"/>
        <w:jc w:val="both"/>
        <w:rPr>
          <w:rFonts w:ascii="Times-Roman" w:hAnsi="Times-Roman" w:cs="Times-Roman"/>
          <w:strike/>
          <w:color w:val="FF0000"/>
          <w:lang w:val="en-US"/>
        </w:rPr>
      </w:pPr>
      <w:r w:rsidRPr="007D089C">
        <w:rPr>
          <w:rFonts w:ascii="Times-Roman" w:hAnsi="Times-Roman" w:cs="Times-Roman"/>
          <w:lang w:val="en-US"/>
        </w:rPr>
        <w:t xml:space="preserve">In relation to treatment and restoring the function of the heart, plasma profiles have been determined to compare different methods in aortic surgery </w:t>
      </w:r>
      <w:r w:rsidRPr="007D089C">
        <w:rPr>
          <w:rFonts w:ascii="Times-Roman" w:hAnsi="Times-Roman" w:cs="Times-Roman"/>
          <w:lang w:val="en-US"/>
        </w:rPr>
        <w:fldChar w:fldCharType="begin"/>
      </w:r>
      <w:r w:rsidRPr="007D089C">
        <w:rPr>
          <w:rFonts w:ascii="Times-Roman" w:hAnsi="Times-Roman" w:cs="Times-Roman"/>
          <w:lang w:val="en-US"/>
        </w:rPr>
        <w:instrText>ADDIN RW.CITE{{2112 Oda,T. 2014}}</w:instrText>
      </w:r>
      <w:r w:rsidRPr="007D089C">
        <w:rPr>
          <w:rFonts w:ascii="Times-Roman" w:hAnsi="Times-Roman" w:cs="Times-Roman"/>
          <w:lang w:val="en-US"/>
        </w:rPr>
        <w:fldChar w:fldCharType="separate"/>
      </w:r>
      <w:r w:rsidR="00C77B76">
        <w:rPr>
          <w:rFonts w:ascii="Times-Roman" w:hAnsi="Times-Roman" w:cs="Times-Roman"/>
          <w:lang w:val="en-US"/>
        </w:rPr>
        <w:t>(Oda et al., 2014)</w:t>
      </w:r>
      <w:r w:rsidRPr="007D089C">
        <w:rPr>
          <w:rFonts w:ascii="Times-Roman" w:hAnsi="Times-Roman" w:cs="Times-Roman"/>
          <w:lang w:val="en-US"/>
        </w:rPr>
        <w:fldChar w:fldCharType="end"/>
      </w:r>
      <w:r w:rsidRPr="007D089C">
        <w:rPr>
          <w:rFonts w:ascii="Times-Roman" w:hAnsi="Times-Roman" w:cs="Times-Roman"/>
          <w:lang w:val="en-US"/>
        </w:rPr>
        <w:t xml:space="preserve">, to find markers of calcific aortic stenosis in patients after aortic valve replacement </w:t>
      </w:r>
      <w:r w:rsidRPr="007D089C">
        <w:rPr>
          <w:rFonts w:ascii="Times-Roman" w:hAnsi="Times-Roman" w:cs="Times-Roman"/>
          <w:lang w:val="en-US"/>
        </w:rPr>
        <w:fldChar w:fldCharType="begin"/>
      </w:r>
      <w:r w:rsidRPr="007D089C">
        <w:rPr>
          <w:rFonts w:ascii="Times-Roman" w:hAnsi="Times-Roman" w:cs="Times-Roman"/>
          <w:lang w:val="en-US"/>
        </w:rPr>
        <w:instrText>ADDIN RW.CITE{{2141 Satoh,K. 2015}}</w:instrText>
      </w:r>
      <w:r w:rsidRPr="007D089C">
        <w:rPr>
          <w:rFonts w:ascii="Times-Roman" w:hAnsi="Times-Roman" w:cs="Times-Roman"/>
          <w:lang w:val="en-US"/>
        </w:rPr>
        <w:fldChar w:fldCharType="separate"/>
      </w:r>
      <w:r w:rsidR="00C77B76">
        <w:rPr>
          <w:rFonts w:ascii="Times-Roman" w:hAnsi="Times-Roman" w:cs="Times-Roman"/>
          <w:lang w:val="en-US"/>
        </w:rPr>
        <w:t>(Satoh, Yamada, Maniwa, Oda, &amp; Matsumoto, 2015)</w:t>
      </w:r>
      <w:r w:rsidRPr="007D089C">
        <w:rPr>
          <w:rFonts w:ascii="Times-Roman" w:hAnsi="Times-Roman" w:cs="Times-Roman"/>
          <w:lang w:val="en-US"/>
        </w:rPr>
        <w:fldChar w:fldCharType="end"/>
      </w:r>
      <w:r w:rsidRPr="007D089C">
        <w:rPr>
          <w:rFonts w:ascii="Times-Roman" w:hAnsi="Times-Roman" w:cs="Times-Roman"/>
          <w:lang w:val="en-US"/>
        </w:rPr>
        <w:t xml:space="preserve">, and find signatures of both </w:t>
      </w:r>
      <w:r w:rsidRPr="007D089C">
        <w:rPr>
          <w:rFonts w:ascii="timesroman" w:hAnsi="timesroman"/>
          <w:lang w:val="en-US"/>
        </w:rPr>
        <w:t xml:space="preserve">cardiac allograft vasculopathy </w:t>
      </w:r>
      <w:r w:rsidRPr="007D089C">
        <w:rPr>
          <w:rFonts w:ascii="timesroman" w:hAnsi="timesroman"/>
          <w:lang w:val="en-US"/>
        </w:rPr>
        <w:fldChar w:fldCharType="begin"/>
      </w:r>
      <w:r w:rsidRPr="007D089C">
        <w:rPr>
          <w:rFonts w:ascii="timesroman" w:hAnsi="timesroman"/>
          <w:lang w:val="en-US"/>
        </w:rPr>
        <w:instrText>ADDIN RW.CITE{{2103 Lin,D. 2013}}</w:instrText>
      </w:r>
      <w:r w:rsidRPr="007D089C">
        <w:rPr>
          <w:rFonts w:ascii="timesroman" w:hAnsi="timesroman"/>
          <w:lang w:val="en-US"/>
        </w:rPr>
        <w:fldChar w:fldCharType="separate"/>
      </w:r>
      <w:r w:rsidR="00C77B76">
        <w:rPr>
          <w:rFonts w:ascii="timesroman" w:hAnsi="timesroman"/>
          <w:lang w:val="en-US"/>
        </w:rPr>
        <w:t>(Lin et al., 2013)</w:t>
      </w:r>
      <w:r w:rsidRPr="007D089C">
        <w:rPr>
          <w:rFonts w:ascii="timesroman" w:hAnsi="timesroman"/>
          <w:lang w:val="en-US"/>
        </w:rPr>
        <w:fldChar w:fldCharType="end"/>
      </w:r>
      <w:r w:rsidRPr="007D089C">
        <w:rPr>
          <w:rFonts w:ascii="timesroman" w:hAnsi="timesroman"/>
          <w:lang w:val="en-US"/>
        </w:rPr>
        <w:t xml:space="preserve"> and recovered heart function </w:t>
      </w:r>
      <w:r w:rsidRPr="007D089C">
        <w:rPr>
          <w:rFonts w:ascii="timesroman" w:hAnsi="timesroman"/>
          <w:lang w:val="en-US"/>
        </w:rPr>
        <w:fldChar w:fldCharType="begin"/>
      </w:r>
      <w:r w:rsidRPr="007D089C">
        <w:rPr>
          <w:rFonts w:ascii="timesroman" w:hAnsi="timesroman"/>
          <w:lang w:val="en-US"/>
        </w:rPr>
        <w:instrText>ADDIN RW.CITE{{2101 Hollander,Z. 2014}}</w:instrText>
      </w:r>
      <w:r w:rsidRPr="007D089C">
        <w:rPr>
          <w:rFonts w:ascii="timesroman" w:hAnsi="timesroman"/>
          <w:lang w:val="en-US"/>
        </w:rPr>
        <w:fldChar w:fldCharType="separate"/>
      </w:r>
      <w:r w:rsidR="00C77B76">
        <w:rPr>
          <w:rFonts w:ascii="timesroman" w:hAnsi="timesroman"/>
          <w:lang w:val="en-US"/>
        </w:rPr>
        <w:t>(Hollander et al., 2014)</w:t>
      </w:r>
      <w:r w:rsidRPr="007D089C">
        <w:rPr>
          <w:rFonts w:ascii="timesroman" w:hAnsi="timesroman"/>
          <w:lang w:val="en-US"/>
        </w:rPr>
        <w:fldChar w:fldCharType="end"/>
      </w:r>
      <w:r w:rsidRPr="007D089C">
        <w:rPr>
          <w:rFonts w:ascii="timesroman" w:hAnsi="timesroman"/>
          <w:lang w:val="en-US"/>
        </w:rPr>
        <w:t xml:space="preserve">. Other investigations of the heart include a study of mitral valve prolapse, where Tan </w:t>
      </w:r>
      <w:r w:rsidRPr="007D089C">
        <w:rPr>
          <w:rFonts w:ascii="timesroman" w:hAnsi="timesroman"/>
          <w:i/>
          <w:lang w:val="en-US"/>
        </w:rPr>
        <w:t>et al.</w:t>
      </w:r>
      <w:r w:rsidRPr="007D089C">
        <w:rPr>
          <w:rFonts w:ascii="timesroman" w:hAnsi="timesroman"/>
          <w:lang w:val="en-US"/>
        </w:rPr>
        <w:t xml:space="preserve"> </w:t>
      </w:r>
      <w:r w:rsidRPr="007D089C">
        <w:rPr>
          <w:rFonts w:ascii="timesroman" w:hAnsi="timesroman"/>
          <w:lang w:val="en-US"/>
        </w:rPr>
        <w:fldChar w:fldCharType="begin"/>
      </w:r>
      <w:r w:rsidRPr="007D089C">
        <w:rPr>
          <w:rFonts w:ascii="timesroman" w:hAnsi="timesroman"/>
          <w:lang w:val="en-US"/>
        </w:rPr>
        <w:instrText>ADDIN RW.CITE{{1989 Tan,H.T. 2013}}</w:instrText>
      </w:r>
      <w:r w:rsidRPr="007D089C">
        <w:rPr>
          <w:rFonts w:ascii="timesroman" w:hAnsi="timesroman"/>
          <w:lang w:val="en-US"/>
        </w:rPr>
        <w:fldChar w:fldCharType="separate"/>
      </w:r>
      <w:r w:rsidR="00C77B76">
        <w:rPr>
          <w:rFonts w:ascii="timesroman" w:hAnsi="timesroman"/>
          <w:lang w:val="en-US"/>
        </w:rPr>
        <w:t>(H. T. Tan et al., 2013)</w:t>
      </w:r>
      <w:r w:rsidRPr="007D089C">
        <w:rPr>
          <w:rFonts w:ascii="timesroman" w:hAnsi="timesroman"/>
          <w:lang w:val="en-US"/>
        </w:rPr>
        <w:fldChar w:fldCharType="end"/>
      </w:r>
      <w:r w:rsidRPr="007D089C">
        <w:rPr>
          <w:rFonts w:ascii="timesroman" w:hAnsi="timesroman"/>
          <w:lang w:val="en-US"/>
        </w:rPr>
        <w:t xml:space="preserve"> evaluated whether plasma biomarkers could be used in the evaluation of mitral regurgitation in patients. </w:t>
      </w:r>
    </w:p>
    <w:p w14:paraId="55A73E91" w14:textId="77777777" w:rsidR="009E59C7" w:rsidRPr="007D089C" w:rsidRDefault="009E59C7" w:rsidP="00B43F04">
      <w:pPr>
        <w:spacing w:line="480" w:lineRule="auto"/>
        <w:jc w:val="both"/>
        <w:rPr>
          <w:rFonts w:ascii="Times-Roman" w:hAnsi="Times-Roman" w:cs="Times-Roman"/>
          <w:lang w:val="en-US"/>
        </w:rPr>
      </w:pPr>
    </w:p>
    <w:p w14:paraId="0C182169" w14:textId="13FE01DB" w:rsidR="000074EB" w:rsidRPr="007D089C" w:rsidRDefault="000074EB" w:rsidP="00B43F04">
      <w:pPr>
        <w:spacing w:line="480" w:lineRule="auto"/>
        <w:jc w:val="both"/>
        <w:rPr>
          <w:rFonts w:ascii="Times-Roman" w:hAnsi="Times-Roman" w:cs="Times-Roman"/>
          <w:strike/>
          <w:lang w:val="en-US"/>
        </w:rPr>
      </w:pPr>
      <w:r w:rsidRPr="007D089C">
        <w:rPr>
          <w:rFonts w:ascii="Times-Roman" w:hAnsi="Times-Roman" w:cs="Times-Roman"/>
          <w:lang w:val="en-US"/>
        </w:rPr>
        <w:t xml:space="preserve">Considering the influence of cerebrovascular irregularities, </w:t>
      </w:r>
      <w:r w:rsidR="004E775A" w:rsidRPr="007D089C">
        <w:rPr>
          <w:rFonts w:ascii="Times-Roman" w:hAnsi="Times-Roman" w:cs="Times-Roman"/>
          <w:lang w:val="en-US"/>
        </w:rPr>
        <w:t xml:space="preserve">the plasma proteomics of </w:t>
      </w:r>
      <w:r w:rsidRPr="007D089C">
        <w:rPr>
          <w:rFonts w:ascii="Times-Roman" w:hAnsi="Times-Roman" w:cs="Times-Roman"/>
          <w:lang w:val="en-US"/>
        </w:rPr>
        <w:t xml:space="preserve">acute ischemic stroke </w:t>
      </w:r>
      <w:r w:rsidRPr="007D089C">
        <w:rPr>
          <w:rFonts w:ascii="Times-Roman" w:hAnsi="Times-Roman" w:cs="Times-Roman"/>
          <w:lang w:val="en-US"/>
        </w:rPr>
        <w:fldChar w:fldCharType="begin"/>
      </w:r>
      <w:r w:rsidRPr="007D089C">
        <w:rPr>
          <w:rFonts w:ascii="Times-Roman" w:hAnsi="Times-Roman" w:cs="Times-Roman"/>
          <w:lang w:val="en-US"/>
        </w:rPr>
        <w:instrText>ADDIN RW.CITE{{2095 Sharma,R. 2015}}</w:instrText>
      </w:r>
      <w:r w:rsidRPr="007D089C">
        <w:rPr>
          <w:rFonts w:ascii="Times-Roman" w:hAnsi="Times-Roman" w:cs="Times-Roman"/>
          <w:lang w:val="en-US"/>
        </w:rPr>
        <w:fldChar w:fldCharType="separate"/>
      </w:r>
      <w:r w:rsidR="00C77B76">
        <w:rPr>
          <w:rFonts w:ascii="Times-Roman" w:hAnsi="Times-Roman" w:cs="Times-Roman"/>
          <w:lang w:val="en-US"/>
        </w:rPr>
        <w:t>(Sharma et al., 2015)</w:t>
      </w:r>
      <w:r w:rsidRPr="007D089C">
        <w:rPr>
          <w:rFonts w:ascii="Times-Roman" w:hAnsi="Times-Roman" w:cs="Times-Roman"/>
          <w:lang w:val="en-US"/>
        </w:rPr>
        <w:fldChar w:fldCharType="end"/>
      </w:r>
      <w:r w:rsidRPr="007D089C">
        <w:rPr>
          <w:rFonts w:ascii="Times-Roman" w:hAnsi="Times-Roman" w:cs="Times-Roman"/>
          <w:lang w:val="en-US"/>
        </w:rPr>
        <w:t xml:space="preserve"> ha</w:t>
      </w:r>
      <w:r w:rsidR="004E775A" w:rsidRPr="007D089C">
        <w:rPr>
          <w:rFonts w:ascii="Times-Roman" w:hAnsi="Times-Roman" w:cs="Times-Roman"/>
          <w:lang w:val="en-US"/>
        </w:rPr>
        <w:t>ve</w:t>
      </w:r>
      <w:r w:rsidRPr="007D089C">
        <w:rPr>
          <w:rFonts w:ascii="Times-Roman" w:hAnsi="Times-Roman" w:cs="Times-Roman"/>
          <w:lang w:val="en-US"/>
        </w:rPr>
        <w:t xml:space="preserve"> been studied. Also regarding a subtype of the latter, </w:t>
      </w:r>
      <w:r w:rsidR="004E775A" w:rsidRPr="007D089C">
        <w:rPr>
          <w:rFonts w:ascii="Times-Roman" w:hAnsi="Times-Roman" w:cs="Times-Roman"/>
          <w:lang w:val="en-US"/>
        </w:rPr>
        <w:t xml:space="preserve">i.e. </w:t>
      </w:r>
      <w:r w:rsidRPr="007D089C">
        <w:rPr>
          <w:rFonts w:ascii="Times-Roman" w:hAnsi="Times-Roman" w:cs="Times-Roman"/>
          <w:lang w:val="en-US"/>
        </w:rPr>
        <w:t xml:space="preserve">lacunar infraction, Datta </w:t>
      </w:r>
      <w:r w:rsidRPr="007D089C">
        <w:rPr>
          <w:rFonts w:ascii="Times-Roman" w:hAnsi="Times-Roman" w:cs="Times-Roman"/>
          <w:i/>
          <w:lang w:val="en-US"/>
        </w:rPr>
        <w:t>et al.</w:t>
      </w:r>
      <w:r w:rsidRPr="007D089C">
        <w:rPr>
          <w:rFonts w:ascii="Times-Roman" w:hAnsi="Times-Roman" w:cs="Times-Roman"/>
          <w:lang w:val="en-US"/>
        </w:rPr>
        <w:t xml:space="preserve"> enriched mircovesicles from plasma to determine whether differences in their proteomic profiles could be used to </w:t>
      </w:r>
      <w:r w:rsidRPr="007D089C">
        <w:rPr>
          <w:lang w:val="en-US"/>
        </w:rPr>
        <w:t xml:space="preserve">predict adverse outcome in the surviving patients </w:t>
      </w:r>
      <w:r w:rsidRPr="007D089C">
        <w:rPr>
          <w:rFonts w:ascii="Times-Roman" w:hAnsi="Times-Roman" w:cs="Times-Roman"/>
          <w:lang w:val="en-US"/>
        </w:rPr>
        <w:fldChar w:fldCharType="begin"/>
      </w:r>
      <w:r w:rsidRPr="007D089C">
        <w:rPr>
          <w:rFonts w:ascii="Times-Roman" w:hAnsi="Times-Roman" w:cs="Times-Roman"/>
          <w:lang w:val="en-US"/>
        </w:rPr>
        <w:instrText>ADDIN RW.CITE{{2035 Datta,A. 2014}}</w:instrText>
      </w:r>
      <w:r w:rsidRPr="007D089C">
        <w:rPr>
          <w:rFonts w:ascii="Times-Roman" w:hAnsi="Times-Roman" w:cs="Times-Roman"/>
          <w:lang w:val="en-US"/>
        </w:rPr>
        <w:fldChar w:fldCharType="separate"/>
      </w:r>
      <w:r w:rsidR="00C77B76">
        <w:rPr>
          <w:rFonts w:ascii="Times-Roman" w:hAnsi="Times-Roman" w:cs="Times-Roman"/>
          <w:lang w:val="en-US"/>
        </w:rPr>
        <w:t>(A. Datta et al., 2014)</w:t>
      </w:r>
      <w:r w:rsidRPr="007D089C">
        <w:rPr>
          <w:rFonts w:ascii="Times-Roman" w:hAnsi="Times-Roman" w:cs="Times-Roman"/>
          <w:lang w:val="en-US"/>
        </w:rPr>
        <w:fldChar w:fldCharType="end"/>
      </w:r>
      <w:r w:rsidRPr="007D089C">
        <w:rPr>
          <w:lang w:val="en-US"/>
        </w:rPr>
        <w:t>.</w:t>
      </w:r>
      <w:r w:rsidRPr="007D089C">
        <w:rPr>
          <w:rFonts w:ascii="Times-Roman" w:hAnsi="Times-Roman" w:cs="Times-Roman"/>
          <w:lang w:val="en-US"/>
        </w:rPr>
        <w:t xml:space="preserve"> The microvesicle fraction represents fragments of the plasma membrane that are shed from mostly all types of cell</w:t>
      </w:r>
      <w:r w:rsidR="00670428" w:rsidRPr="007D089C">
        <w:rPr>
          <w:rFonts w:ascii="Times-Roman" w:hAnsi="Times-Roman" w:cs="Times-Roman"/>
          <w:lang w:val="en-US"/>
        </w:rPr>
        <w:t>s</w:t>
      </w:r>
      <w:r w:rsidRPr="007D089C">
        <w:rPr>
          <w:rFonts w:ascii="Times-Roman" w:hAnsi="Times-Roman" w:cs="Times-Roman"/>
          <w:lang w:val="en-US"/>
        </w:rPr>
        <w:t xml:space="preserve"> and </w:t>
      </w:r>
      <w:r w:rsidRPr="007D089C">
        <w:rPr>
          <w:lang w:val="en-US"/>
        </w:rPr>
        <w:t xml:space="preserve">include misfolded proteins, cytotoxic agents and metabolic waste. To enable the study </w:t>
      </w:r>
      <w:r w:rsidR="00670428" w:rsidRPr="007D089C">
        <w:rPr>
          <w:lang w:val="en-US"/>
        </w:rPr>
        <w:t xml:space="preserve">of </w:t>
      </w:r>
      <w:r w:rsidRPr="007D089C">
        <w:rPr>
          <w:lang w:val="en-US"/>
        </w:rPr>
        <w:t>this informative sub-fraction, 5 ml of serum was processed. They used ERLIC to fractionate the labelled peptides</w:t>
      </w:r>
      <w:r w:rsidR="00670428" w:rsidRPr="007D089C">
        <w:rPr>
          <w:lang w:val="en-US"/>
        </w:rPr>
        <w:t>. W</w:t>
      </w:r>
      <w:r w:rsidRPr="007D089C">
        <w:rPr>
          <w:lang w:val="en-US"/>
        </w:rPr>
        <w:t xml:space="preserve">hilst larger numbers of protein identifications might be expected from this sub-fraction </w:t>
      </w:r>
      <w:r w:rsidRPr="007D089C">
        <w:rPr>
          <w:lang w:val="en-US"/>
        </w:rPr>
        <w:fldChar w:fldCharType="begin"/>
      </w:r>
      <w:r w:rsidRPr="007D089C">
        <w:rPr>
          <w:lang w:val="en-US"/>
        </w:rPr>
        <w:instrText>ADDIN RW.CITE{{2242 Harel,M. 2015}}</w:instrText>
      </w:r>
      <w:r w:rsidRPr="007D089C">
        <w:rPr>
          <w:lang w:val="en-US"/>
        </w:rPr>
        <w:fldChar w:fldCharType="separate"/>
      </w:r>
      <w:r w:rsidR="00C77B76">
        <w:rPr>
          <w:lang w:val="en-US"/>
        </w:rPr>
        <w:t>(Harel, Oren-Giladi, Kaidar-Person, Shaked, &amp; Geiger, 2015)</w:t>
      </w:r>
      <w:r w:rsidRPr="007D089C">
        <w:rPr>
          <w:lang w:val="en-US"/>
        </w:rPr>
        <w:fldChar w:fldCharType="end"/>
      </w:r>
      <w:r w:rsidRPr="007D089C">
        <w:rPr>
          <w:lang w:val="en-US"/>
        </w:rPr>
        <w:t xml:space="preserve">, the detail of their analysis was limited to several hundred proteins, although likely challenged by their use of an early Applied Biosystems QSTAR TOF instrument </w:t>
      </w:r>
      <w:r w:rsidRPr="007D089C">
        <w:rPr>
          <w:lang w:val="en-US"/>
        </w:rPr>
        <w:fldChar w:fldCharType="begin"/>
      </w:r>
      <w:r w:rsidRPr="007D089C">
        <w:rPr>
          <w:lang w:val="en-US"/>
        </w:rPr>
        <w:instrText>ADDIN RW.CITE{{2035 Datta,A. 2014; 2258 Datta,Arnab 2015}}</w:instrText>
      </w:r>
      <w:r w:rsidRPr="007D089C">
        <w:rPr>
          <w:lang w:val="en-US"/>
        </w:rPr>
        <w:fldChar w:fldCharType="separate"/>
      </w:r>
      <w:r w:rsidR="00C77B76">
        <w:rPr>
          <w:lang w:val="en-US"/>
        </w:rPr>
        <w:t>(A. Datta et al., 2014; A. Datta &amp; Sze, 2015)</w:t>
      </w:r>
      <w:r w:rsidRPr="007D089C">
        <w:rPr>
          <w:lang w:val="en-US"/>
        </w:rPr>
        <w:fldChar w:fldCharType="end"/>
      </w:r>
      <w:r w:rsidRPr="007D089C">
        <w:rPr>
          <w:lang w:val="en-US"/>
        </w:rPr>
        <w:t xml:space="preserve">. In relation to stroke prognosis, </w:t>
      </w:r>
      <w:r w:rsidRPr="007D089C">
        <w:rPr>
          <w:rFonts w:ascii="Times-Roman" w:hAnsi="Times-Roman" w:cs="Times-Roman"/>
          <w:lang w:val="en-US"/>
        </w:rPr>
        <w:t xml:space="preserve">Azurmendi and co-workers investigated biomarkers for survival from </w:t>
      </w:r>
      <w:r w:rsidRPr="007D089C">
        <w:rPr>
          <w:lang w:val="en-US"/>
        </w:rPr>
        <w:t xml:space="preserve">aneurysmal subarachnoid </w:t>
      </w:r>
      <w:r w:rsidR="00D358A7" w:rsidRPr="007D089C">
        <w:rPr>
          <w:lang w:val="en-US"/>
        </w:rPr>
        <w:t>hemorrhage</w:t>
      </w:r>
      <w:r w:rsidRPr="007D089C">
        <w:rPr>
          <w:lang w:val="en-US"/>
        </w:rPr>
        <w:t xml:space="preserve">, comparing plasma from nosocomially infected (i.e. pneumonia and urinary-tract) and non-infected patients </w:t>
      </w:r>
      <w:r w:rsidRPr="007D089C">
        <w:rPr>
          <w:lang w:val="en-US"/>
        </w:rPr>
        <w:fldChar w:fldCharType="begin"/>
      </w:r>
      <w:r w:rsidRPr="007D089C">
        <w:rPr>
          <w:lang w:val="en-US"/>
        </w:rPr>
        <w:instrText>ADDIN RW.CITE{{2202 Azurmendi,L. 2015}}</w:instrText>
      </w:r>
      <w:r w:rsidRPr="007D089C">
        <w:rPr>
          <w:lang w:val="en-US"/>
        </w:rPr>
        <w:fldChar w:fldCharType="separate"/>
      </w:r>
      <w:r w:rsidR="00C77B76">
        <w:rPr>
          <w:lang w:val="en-US"/>
        </w:rPr>
        <w:t>(Azurmendi et al., 2015)</w:t>
      </w:r>
      <w:r w:rsidRPr="007D089C">
        <w:rPr>
          <w:lang w:val="en-US"/>
        </w:rPr>
        <w:fldChar w:fldCharType="end"/>
      </w:r>
      <w:r w:rsidRPr="007D089C">
        <w:rPr>
          <w:lang w:val="en-US"/>
        </w:rPr>
        <w:t>.</w:t>
      </w:r>
    </w:p>
    <w:p w14:paraId="14C67FBB" w14:textId="77777777" w:rsidR="009E59C7" w:rsidRPr="007D089C" w:rsidRDefault="009E59C7" w:rsidP="00B43F04">
      <w:pPr>
        <w:spacing w:line="480" w:lineRule="auto"/>
        <w:jc w:val="both"/>
        <w:rPr>
          <w:rFonts w:ascii="Times-Roman" w:hAnsi="Times-Roman" w:cs="Times-Roman"/>
          <w:lang w:val="en-US"/>
        </w:rPr>
      </w:pPr>
    </w:p>
    <w:p w14:paraId="1E1EE075" w14:textId="6C5B9FE3" w:rsidR="000074EB" w:rsidRPr="007D089C" w:rsidRDefault="000074EB" w:rsidP="00B43F04">
      <w:pPr>
        <w:spacing w:line="480" w:lineRule="auto"/>
        <w:jc w:val="both"/>
        <w:rPr>
          <w:rFonts w:ascii="Times-Roman" w:hAnsi="Times-Roman" w:cs="Times-Roman"/>
          <w:lang w:val="en-US"/>
        </w:rPr>
      </w:pPr>
      <w:r w:rsidRPr="007D089C">
        <w:rPr>
          <w:rFonts w:ascii="Times-Roman" w:hAnsi="Times-Roman" w:cs="Times-Roman"/>
          <w:lang w:val="en-US"/>
        </w:rPr>
        <w:t xml:space="preserve">Beyond the effects more pertinent to circulation, Zhan </w:t>
      </w:r>
      <w:r w:rsidRPr="007D089C">
        <w:rPr>
          <w:rFonts w:ascii="Times-Roman" w:hAnsi="Times-Roman" w:cs="Times-Roman"/>
          <w:i/>
          <w:lang w:val="en-US"/>
        </w:rPr>
        <w:t xml:space="preserve">et al. </w:t>
      </w:r>
      <w:r w:rsidRPr="007D089C">
        <w:rPr>
          <w:rFonts w:ascii="Times-Roman" w:hAnsi="Times-Roman" w:cs="Times-Roman"/>
          <w:lang w:val="en-US"/>
        </w:rPr>
        <w:t xml:space="preserve">considered post stroke depression </w:t>
      </w:r>
      <w:r w:rsidRPr="007D089C">
        <w:rPr>
          <w:rFonts w:ascii="Times-Roman" w:hAnsi="Times-Roman" w:cs="Times-Roman"/>
          <w:lang w:val="en-US"/>
        </w:rPr>
        <w:fldChar w:fldCharType="begin"/>
      </w:r>
      <w:r w:rsidRPr="007D089C">
        <w:rPr>
          <w:rFonts w:ascii="Times-Roman" w:hAnsi="Times-Roman" w:cs="Times-Roman"/>
          <w:lang w:val="en-US"/>
        </w:rPr>
        <w:instrText>ADDIN RW.CITE{{2123 Zhan,Y. 2014}}</w:instrText>
      </w:r>
      <w:r w:rsidRPr="007D089C">
        <w:rPr>
          <w:rFonts w:ascii="Times-Roman" w:hAnsi="Times-Roman" w:cs="Times-Roman"/>
          <w:lang w:val="en-US"/>
        </w:rPr>
        <w:fldChar w:fldCharType="separate"/>
      </w:r>
      <w:r w:rsidR="00C77B76">
        <w:rPr>
          <w:rFonts w:ascii="Times-Roman" w:hAnsi="Times-Roman" w:cs="Times-Roman"/>
          <w:lang w:val="en-US"/>
        </w:rPr>
        <w:t>(Zhan et al., 2014)</w:t>
      </w:r>
      <w:r w:rsidRPr="007D089C">
        <w:rPr>
          <w:rFonts w:ascii="Times-Roman" w:hAnsi="Times-Roman" w:cs="Times-Roman"/>
          <w:lang w:val="en-US"/>
        </w:rPr>
        <w:fldChar w:fldCharType="end"/>
      </w:r>
      <w:r w:rsidRPr="007D089C">
        <w:rPr>
          <w:rFonts w:ascii="Times-Roman" w:hAnsi="Times-Roman" w:cs="Times-Roman"/>
          <w:lang w:val="en-US"/>
        </w:rPr>
        <w:t>. Using a quite typical work flo</w:t>
      </w:r>
      <w:r w:rsidR="004E775A" w:rsidRPr="007D089C">
        <w:rPr>
          <w:rFonts w:ascii="Times-Roman" w:hAnsi="Times-Roman" w:cs="Times-Roman"/>
          <w:lang w:val="en-US"/>
        </w:rPr>
        <w:t xml:space="preserve">w, pooled sera was depleted of </w:t>
      </w:r>
      <w:r w:rsidRPr="007D089C">
        <w:rPr>
          <w:rFonts w:ascii="Times-Roman" w:hAnsi="Times-Roman" w:cs="Times-Roman"/>
          <w:lang w:val="en-US"/>
        </w:rPr>
        <w:t>the top 14 proteins, labelled with 4-plex iTRAQ reagents</w:t>
      </w:r>
      <w:r w:rsidR="004E775A" w:rsidRPr="007D089C">
        <w:rPr>
          <w:rFonts w:ascii="Times-Roman" w:hAnsi="Times-Roman" w:cs="Times-Roman"/>
          <w:lang w:val="en-US"/>
        </w:rPr>
        <w:t xml:space="preserve"> and</w:t>
      </w:r>
      <w:r w:rsidRPr="007D089C">
        <w:rPr>
          <w:rFonts w:ascii="Times-Roman" w:hAnsi="Times-Roman" w:cs="Times-Roman"/>
          <w:lang w:val="en-US"/>
        </w:rPr>
        <w:t xml:space="preserve"> SCX fractionated prior to LC-MS/MS</w:t>
      </w:r>
      <w:r w:rsidR="004E775A" w:rsidRPr="007D089C">
        <w:rPr>
          <w:rFonts w:ascii="Times-Roman" w:hAnsi="Times-Roman" w:cs="Times-Roman"/>
          <w:lang w:val="en-US"/>
        </w:rPr>
        <w:t xml:space="preserve"> with an</w:t>
      </w:r>
      <w:r w:rsidRPr="007D089C">
        <w:rPr>
          <w:rFonts w:ascii="Times-Roman" w:hAnsi="Times-Roman" w:cs="Times-Roman"/>
          <w:lang w:val="en-US"/>
        </w:rPr>
        <w:t xml:space="preserve"> AB SCIEX TripleTOF 5600</w:t>
      </w:r>
      <w:r w:rsidR="004E775A" w:rsidRPr="007D089C">
        <w:rPr>
          <w:rFonts w:ascii="Times-Roman" w:hAnsi="Times-Roman" w:cs="Times-Roman"/>
          <w:lang w:val="en-US"/>
        </w:rPr>
        <w:t>,</w:t>
      </w:r>
      <w:r w:rsidRPr="007D089C">
        <w:rPr>
          <w:rFonts w:ascii="Times-Roman" w:hAnsi="Times-Roman" w:cs="Times-Roman"/>
          <w:lang w:val="en-US"/>
        </w:rPr>
        <w:t xml:space="preserve"> in the order of 300 proteins were quantified</w:t>
      </w:r>
      <w:r w:rsidRPr="007D089C">
        <w:rPr>
          <w:rFonts w:ascii="Times-Roman" w:hAnsi="Times-Roman" w:cs="Times-Roman"/>
          <w:color w:val="FF0000"/>
          <w:lang w:val="en-US"/>
        </w:rPr>
        <w:t xml:space="preserve">. </w:t>
      </w:r>
      <w:r w:rsidRPr="007D089C">
        <w:rPr>
          <w:rFonts w:ascii="Times-Roman" w:hAnsi="Times-Roman" w:cs="Times-Roman"/>
          <w:lang w:val="en-US"/>
        </w:rPr>
        <w:t>They observed that proteins involved in lipid metabolism and immunoregulation were differentially abundant</w:t>
      </w:r>
      <w:r w:rsidR="00670428" w:rsidRPr="007D089C">
        <w:rPr>
          <w:rFonts w:ascii="Times-Roman" w:hAnsi="Times-Roman" w:cs="Times-Roman"/>
          <w:lang w:val="en-US"/>
        </w:rPr>
        <w:t>.</w:t>
      </w:r>
      <w:r w:rsidRPr="007D089C">
        <w:rPr>
          <w:rFonts w:ascii="Times-Roman" w:hAnsi="Times-Roman" w:cs="Times-Roman"/>
          <w:lang w:val="en-US"/>
        </w:rPr>
        <w:t xml:space="preserve"> </w:t>
      </w:r>
      <w:r w:rsidR="00670428" w:rsidRPr="007D089C">
        <w:rPr>
          <w:rFonts w:ascii="Times-Roman" w:hAnsi="Times-Roman" w:cs="Times-Roman"/>
          <w:lang w:val="en-US"/>
        </w:rPr>
        <w:t>A</w:t>
      </w:r>
      <w:r w:rsidRPr="007D089C">
        <w:rPr>
          <w:rFonts w:ascii="Times-Roman" w:hAnsi="Times-Roman" w:cs="Times-Roman"/>
          <w:lang w:val="en-US"/>
        </w:rPr>
        <w:t xml:space="preserve">fter validation by Western blotting concluded that the combination of increased levels of </w:t>
      </w:r>
      <w:r w:rsidR="00EF5283" w:rsidRPr="007D089C">
        <w:rPr>
          <w:rFonts w:ascii="Times-Roman" w:hAnsi="Times-Roman" w:cs="Times-Roman"/>
          <w:lang w:val="en-US"/>
        </w:rPr>
        <w:t>GSN</w:t>
      </w:r>
      <w:r w:rsidRPr="007D089C">
        <w:rPr>
          <w:rFonts w:ascii="Times-Roman" w:hAnsi="Times-Roman" w:cs="Times-Roman"/>
          <w:lang w:val="en-US"/>
        </w:rPr>
        <w:t xml:space="preserve"> accompanied by decreased HPT could be a promising as a plasma-based diagnostic biomarker panel post stroke depression.</w:t>
      </w:r>
    </w:p>
    <w:p w14:paraId="2195B2D6" w14:textId="77777777" w:rsidR="000074EB" w:rsidRPr="007D089C" w:rsidRDefault="000074EB" w:rsidP="00B43F04">
      <w:pPr>
        <w:spacing w:line="480" w:lineRule="auto"/>
        <w:jc w:val="both"/>
        <w:rPr>
          <w:rFonts w:ascii="Times-Roman" w:hAnsi="Times-Roman" w:cs="Times-Roman"/>
          <w:lang w:val="en-US"/>
        </w:rPr>
      </w:pPr>
    </w:p>
    <w:p w14:paraId="06FA766A" w14:textId="0B94C95A" w:rsidR="000074EB" w:rsidRPr="007D089C" w:rsidRDefault="000074EB" w:rsidP="00B43F04">
      <w:pPr>
        <w:spacing w:line="480" w:lineRule="auto"/>
        <w:jc w:val="both"/>
        <w:rPr>
          <w:rStyle w:val="Emphasis"/>
          <w:i w:val="0"/>
          <w:strike/>
          <w:color w:val="FF0000"/>
          <w:lang w:val="en-US"/>
        </w:rPr>
      </w:pPr>
      <w:r w:rsidRPr="007D089C">
        <w:rPr>
          <w:rStyle w:val="Emphasis"/>
          <w:i w:val="0"/>
          <w:lang w:val="en-US"/>
        </w:rPr>
        <w:t>Turning towards pharmaceutical toxicology</w:t>
      </w:r>
      <w:r w:rsidR="004E6DFE" w:rsidRPr="007D089C">
        <w:rPr>
          <w:rStyle w:val="Emphasis"/>
          <w:i w:val="0"/>
          <w:lang w:val="en-US"/>
        </w:rPr>
        <w:t>,</w:t>
      </w:r>
      <w:r w:rsidRPr="007D089C">
        <w:rPr>
          <w:rStyle w:val="Emphasis"/>
          <w:i w:val="0"/>
          <w:lang w:val="en-US"/>
        </w:rPr>
        <w:t xml:space="preserve"> iTRAQ measurements of plasma </w:t>
      </w:r>
      <w:r w:rsidR="004E6DFE" w:rsidRPr="007D089C">
        <w:rPr>
          <w:rStyle w:val="Emphasis"/>
          <w:i w:val="0"/>
          <w:lang w:val="en-US"/>
        </w:rPr>
        <w:t xml:space="preserve">were included </w:t>
      </w:r>
      <w:r w:rsidRPr="007D089C">
        <w:rPr>
          <w:rStyle w:val="Emphasis"/>
          <w:i w:val="0"/>
          <w:lang w:val="en-US"/>
        </w:rPr>
        <w:t>with metabolomics methodologies in the study of drug toxicity in relation to the prevention and treatment of thromboembolic conditions</w:t>
      </w:r>
      <w:r w:rsidR="004E6DFE" w:rsidRPr="007D089C">
        <w:rPr>
          <w:rStyle w:val="Emphasis"/>
          <w:i w:val="0"/>
          <w:lang w:val="en-US"/>
        </w:rPr>
        <w:t xml:space="preserve"> </w:t>
      </w:r>
      <w:r w:rsidR="004E6DFE" w:rsidRPr="007D089C">
        <w:rPr>
          <w:rStyle w:val="Emphasis"/>
          <w:i w:val="0"/>
          <w:lang w:val="en-US"/>
        </w:rPr>
        <w:fldChar w:fldCharType="begin"/>
      </w:r>
      <w:r w:rsidR="004E6DFE" w:rsidRPr="007D089C">
        <w:rPr>
          <w:rStyle w:val="Emphasis"/>
          <w:i w:val="0"/>
          <w:lang w:val="en-US"/>
        </w:rPr>
        <w:instrText xml:space="preserve">ADDIN RW.CITE{{2208 Andersson,U. </w:instrText>
      </w:r>
      <w:r w:rsidR="004E6DFE" w:rsidRPr="007D089C">
        <w:rPr>
          <w:rStyle w:val="Emphasis"/>
          <w:i w:val="0"/>
          <w:highlight w:val="yellow"/>
          <w:lang w:val="en-US"/>
        </w:rPr>
        <w:instrText>2009</w:instrText>
      </w:r>
      <w:r w:rsidR="004E6DFE" w:rsidRPr="007D089C">
        <w:rPr>
          <w:rStyle w:val="Emphasis"/>
          <w:i w:val="0"/>
          <w:lang w:val="en-US"/>
        </w:rPr>
        <w:instrText>}}</w:instrText>
      </w:r>
      <w:r w:rsidR="004E6DFE" w:rsidRPr="007D089C">
        <w:rPr>
          <w:rStyle w:val="Emphasis"/>
          <w:i w:val="0"/>
          <w:lang w:val="en-US"/>
        </w:rPr>
        <w:fldChar w:fldCharType="separate"/>
      </w:r>
      <w:r w:rsidR="00C77B76">
        <w:rPr>
          <w:rStyle w:val="Emphasis"/>
          <w:i w:val="0"/>
          <w:lang w:val="en-US"/>
        </w:rPr>
        <w:t>(Andersson et al., 2009)</w:t>
      </w:r>
      <w:r w:rsidR="004E6DFE" w:rsidRPr="007D089C">
        <w:rPr>
          <w:rStyle w:val="Emphasis"/>
          <w:i w:val="0"/>
          <w:lang w:val="en-US"/>
        </w:rPr>
        <w:fldChar w:fldCharType="end"/>
      </w:r>
      <w:r w:rsidRPr="007D089C">
        <w:rPr>
          <w:rStyle w:val="Emphasis"/>
          <w:lang w:val="en-US"/>
        </w:rPr>
        <w:t xml:space="preserve">. </w:t>
      </w:r>
      <w:r w:rsidR="004E6DFE" w:rsidRPr="007D089C">
        <w:rPr>
          <w:rStyle w:val="Emphasis"/>
          <w:i w:val="0"/>
          <w:lang w:val="en-US"/>
        </w:rPr>
        <w:t>A</w:t>
      </w:r>
      <w:r w:rsidRPr="007D089C">
        <w:rPr>
          <w:lang w:val="en-US"/>
        </w:rPr>
        <w:t xml:space="preserve">n iTRAQ based LC-MS/MS pharmacoproteomics approach </w:t>
      </w:r>
      <w:r w:rsidR="004E6DFE" w:rsidRPr="007D089C">
        <w:rPr>
          <w:lang w:val="en-US"/>
        </w:rPr>
        <w:t xml:space="preserve">has also been used </w:t>
      </w:r>
      <w:r w:rsidRPr="007D089C">
        <w:rPr>
          <w:lang w:val="en-US"/>
        </w:rPr>
        <w:t xml:space="preserve">to </w:t>
      </w:r>
      <w:r w:rsidR="00D358A7" w:rsidRPr="007D089C">
        <w:rPr>
          <w:lang w:val="en-US"/>
        </w:rPr>
        <w:t>analyses</w:t>
      </w:r>
      <w:r w:rsidRPr="007D089C">
        <w:rPr>
          <w:lang w:val="en-US"/>
        </w:rPr>
        <w:t xml:space="preserve"> plasma protein profiles of 53 patients with a high (n = 28) and low dose of warfarin therapy (n = 25) </w:t>
      </w:r>
      <w:r w:rsidRPr="007D089C">
        <w:rPr>
          <w:lang w:val="en-US"/>
        </w:rPr>
        <w:fldChar w:fldCharType="begin"/>
      </w:r>
      <w:r w:rsidRPr="007D089C">
        <w:rPr>
          <w:lang w:val="en-US"/>
        </w:rPr>
        <w:instrText xml:space="preserve">ADDIN RW.CITE{{2120 Saminathan,R. </w:instrText>
      </w:r>
      <w:r w:rsidRPr="007D089C">
        <w:rPr>
          <w:highlight w:val="yellow"/>
          <w:lang w:val="en-US"/>
        </w:rPr>
        <w:instrText>2010}</w:instrText>
      </w:r>
      <w:r w:rsidRPr="007D089C">
        <w:rPr>
          <w:lang w:val="en-US"/>
        </w:rPr>
        <w:instrText>}</w:instrText>
      </w:r>
      <w:r w:rsidRPr="007D089C">
        <w:rPr>
          <w:lang w:val="en-US"/>
        </w:rPr>
        <w:fldChar w:fldCharType="separate"/>
      </w:r>
      <w:r w:rsidR="00C77B76">
        <w:rPr>
          <w:lang w:val="en-US"/>
        </w:rPr>
        <w:t>(Saminathan et al., 2010)</w:t>
      </w:r>
      <w:r w:rsidRPr="007D089C">
        <w:rPr>
          <w:lang w:val="en-US"/>
        </w:rPr>
        <w:fldChar w:fldCharType="end"/>
      </w:r>
      <w:r w:rsidRPr="007D089C">
        <w:rPr>
          <w:lang w:val="en-US"/>
        </w:rPr>
        <w:t xml:space="preserve">. </w:t>
      </w:r>
    </w:p>
    <w:p w14:paraId="519D7C99" w14:textId="77777777" w:rsidR="000074EB" w:rsidRPr="007D089C" w:rsidRDefault="000074EB" w:rsidP="00C141DD">
      <w:pPr>
        <w:autoSpaceDE w:val="0"/>
        <w:autoSpaceDN w:val="0"/>
        <w:adjustRightInd w:val="0"/>
        <w:jc w:val="both"/>
        <w:rPr>
          <w:rFonts w:ascii="Times-Roman" w:hAnsi="Times-Roman" w:cs="Times-Roman"/>
          <w:color w:val="FF0000"/>
          <w:lang w:val="en-US"/>
        </w:rPr>
      </w:pPr>
    </w:p>
    <w:p w14:paraId="21C1ED59" w14:textId="77777777" w:rsidR="000074EB" w:rsidRPr="007D089C" w:rsidRDefault="000074EB" w:rsidP="00C141DD">
      <w:pPr>
        <w:pStyle w:val="Heading2"/>
        <w:spacing w:line="240" w:lineRule="auto"/>
      </w:pPr>
      <w:bookmarkStart w:id="15" w:name="_Toc483395825"/>
      <w:r w:rsidRPr="007D089C">
        <w:t>Respiratory illnesses</w:t>
      </w:r>
      <w:bookmarkEnd w:id="15"/>
    </w:p>
    <w:p w14:paraId="27BB3B29" w14:textId="0796CB57" w:rsidR="000074EB" w:rsidRPr="007D089C" w:rsidRDefault="004E6DFE" w:rsidP="00B43F04">
      <w:pPr>
        <w:spacing w:line="480" w:lineRule="auto"/>
        <w:jc w:val="both"/>
        <w:rPr>
          <w:lang w:val="en-US"/>
        </w:rPr>
      </w:pPr>
      <w:r w:rsidRPr="007D089C">
        <w:rPr>
          <w:rFonts w:ascii="Times-Roman" w:hAnsi="Times-Roman" w:cs="Times-Roman"/>
          <w:lang w:val="en-US"/>
        </w:rPr>
        <w:t xml:space="preserve">Amongst the studies of respiratory afflictions, researchers have considered </w:t>
      </w:r>
      <w:r w:rsidR="000074EB" w:rsidRPr="007D089C">
        <w:rPr>
          <w:rFonts w:ascii="Times-Roman" w:hAnsi="Times-Roman" w:cs="Times-Roman"/>
          <w:lang w:val="en-US"/>
        </w:rPr>
        <w:t xml:space="preserve">asthma </w:t>
      </w:r>
      <w:r w:rsidR="000074EB" w:rsidRPr="007D089C">
        <w:rPr>
          <w:rFonts w:ascii="Times-Roman" w:hAnsi="Times-Roman" w:cs="Times-Roman"/>
          <w:lang w:val="en-US"/>
        </w:rPr>
        <w:fldChar w:fldCharType="begin"/>
      </w:r>
      <w:r w:rsidR="000074EB" w:rsidRPr="007D089C">
        <w:rPr>
          <w:rFonts w:ascii="Times-Roman" w:hAnsi="Times-Roman" w:cs="Times-Roman"/>
          <w:lang w:val="en-US"/>
        </w:rPr>
        <w:instrText>ADDIN RW.CITE{{2129 Singh,A. 2012}}</w:instrText>
      </w:r>
      <w:r w:rsidR="000074EB" w:rsidRPr="007D089C">
        <w:rPr>
          <w:rFonts w:ascii="Times-Roman" w:hAnsi="Times-Roman" w:cs="Times-Roman"/>
          <w:lang w:val="en-US"/>
        </w:rPr>
        <w:fldChar w:fldCharType="separate"/>
      </w:r>
      <w:r w:rsidR="00C77B76">
        <w:rPr>
          <w:rFonts w:ascii="Times-Roman" w:hAnsi="Times-Roman" w:cs="Times-Roman"/>
          <w:lang w:val="en-US"/>
        </w:rPr>
        <w:t>(Singh et al., 2012)</w:t>
      </w:r>
      <w:r w:rsidR="000074EB" w:rsidRPr="007D089C">
        <w:rPr>
          <w:rFonts w:ascii="Times-Roman" w:hAnsi="Times-Roman" w:cs="Times-Roman"/>
          <w:lang w:val="en-US"/>
        </w:rPr>
        <w:fldChar w:fldCharType="end"/>
      </w:r>
      <w:r w:rsidRPr="007D089C">
        <w:rPr>
          <w:rFonts w:ascii="Times-Roman" w:hAnsi="Times-Roman" w:cs="Times-Roman"/>
          <w:lang w:val="en-US"/>
        </w:rPr>
        <w:t>,</w:t>
      </w:r>
      <w:r w:rsidR="000074EB" w:rsidRPr="007D089C">
        <w:rPr>
          <w:rFonts w:ascii="Times-Roman" w:hAnsi="Times-Roman" w:cs="Times-Roman"/>
          <w:lang w:val="en-US"/>
        </w:rPr>
        <w:t xml:space="preserve"> acute respiratory syndrome </w:t>
      </w:r>
      <w:r w:rsidR="000074EB" w:rsidRPr="007D089C">
        <w:rPr>
          <w:rFonts w:ascii="Times-Roman" w:hAnsi="Times-Roman" w:cs="Times-Roman"/>
          <w:lang w:val="en-US"/>
        </w:rPr>
        <w:fldChar w:fldCharType="begin"/>
      </w:r>
      <w:r w:rsidR="000074EB" w:rsidRPr="007D089C">
        <w:rPr>
          <w:rFonts w:ascii="Times-Roman" w:hAnsi="Times-Roman" w:cs="Times-Roman"/>
          <w:lang w:val="en-US"/>
        </w:rPr>
        <w:instrText>ADDIN RW.CITE{{1991 Chen,X. 2013}}</w:instrText>
      </w:r>
      <w:r w:rsidR="000074EB" w:rsidRPr="007D089C">
        <w:rPr>
          <w:rFonts w:ascii="Times-Roman" w:hAnsi="Times-Roman" w:cs="Times-Roman"/>
          <w:lang w:val="en-US"/>
        </w:rPr>
        <w:fldChar w:fldCharType="separate"/>
      </w:r>
      <w:r w:rsidR="00C77B76">
        <w:rPr>
          <w:rFonts w:ascii="Times-Roman" w:hAnsi="Times-Roman" w:cs="Times-Roman"/>
          <w:lang w:val="en-US"/>
        </w:rPr>
        <w:t>(X. Chen et al., 2013)</w:t>
      </w:r>
      <w:r w:rsidR="000074EB" w:rsidRPr="007D089C">
        <w:rPr>
          <w:rFonts w:ascii="Times-Roman" w:hAnsi="Times-Roman" w:cs="Times-Roman"/>
          <w:lang w:val="en-US"/>
        </w:rPr>
        <w:fldChar w:fldCharType="end"/>
      </w:r>
      <w:r w:rsidRPr="007D089C">
        <w:rPr>
          <w:rFonts w:ascii="Times-Roman" w:hAnsi="Times-Roman" w:cs="Times-Roman"/>
          <w:lang w:val="en-US"/>
        </w:rPr>
        <w:t xml:space="preserve"> and</w:t>
      </w:r>
      <w:r w:rsidR="000074EB" w:rsidRPr="007D089C">
        <w:rPr>
          <w:rFonts w:ascii="Times-Roman" w:hAnsi="Times-Roman" w:cs="Times-Roman"/>
          <w:lang w:val="en-US"/>
        </w:rPr>
        <w:t xml:space="preserve"> airway obstruction in relation to </w:t>
      </w:r>
      <w:r w:rsidR="000074EB" w:rsidRPr="007D089C">
        <w:rPr>
          <w:lang w:val="en-US"/>
        </w:rPr>
        <w:t xml:space="preserve">obstructive sleep apnoea </w:t>
      </w:r>
      <w:r w:rsidR="000074EB" w:rsidRPr="007D089C">
        <w:rPr>
          <w:rFonts w:ascii="timesroman" w:hAnsi="timesroman"/>
          <w:lang w:val="en-US"/>
        </w:rPr>
        <w:fldChar w:fldCharType="begin"/>
      </w:r>
      <w:r w:rsidR="000074EB" w:rsidRPr="007D089C">
        <w:rPr>
          <w:rFonts w:ascii="timesroman" w:hAnsi="timesroman"/>
          <w:lang w:val="en-US"/>
        </w:rPr>
        <w:instrText>ADDIN RW.CITE{{2080 Jurado-Gamez,B. 2012}}</w:instrText>
      </w:r>
      <w:r w:rsidR="000074EB" w:rsidRPr="007D089C">
        <w:rPr>
          <w:rFonts w:ascii="timesroman" w:hAnsi="timesroman"/>
          <w:lang w:val="en-US"/>
        </w:rPr>
        <w:fldChar w:fldCharType="separate"/>
      </w:r>
      <w:r w:rsidR="00C77B76">
        <w:rPr>
          <w:rFonts w:ascii="timesroman" w:hAnsi="timesroman"/>
          <w:lang w:val="en-US"/>
        </w:rPr>
        <w:t>(Jurado-Gamez et al., 2012)</w:t>
      </w:r>
      <w:r w:rsidR="000074EB" w:rsidRPr="007D089C">
        <w:rPr>
          <w:rFonts w:ascii="timesroman" w:hAnsi="timesroman"/>
          <w:lang w:val="en-US"/>
        </w:rPr>
        <w:fldChar w:fldCharType="end"/>
      </w:r>
      <w:r w:rsidR="000074EB" w:rsidRPr="007D089C">
        <w:rPr>
          <w:lang w:val="en-US"/>
        </w:rPr>
        <w:t>. In all three of these studies a MALDI/TOF/TOF approach was used with iTRAQ</w:t>
      </w:r>
      <w:r w:rsidRPr="007D089C">
        <w:rPr>
          <w:lang w:val="en-US"/>
        </w:rPr>
        <w:t xml:space="preserve"> labelling</w:t>
      </w:r>
      <w:r w:rsidR="000074EB" w:rsidRPr="007D089C">
        <w:rPr>
          <w:lang w:val="en-US"/>
        </w:rPr>
        <w:t xml:space="preserve">. </w:t>
      </w:r>
      <w:r w:rsidR="000074EB" w:rsidRPr="007D089C">
        <w:rPr>
          <w:rFonts w:ascii="Times-Roman" w:hAnsi="Times-Roman" w:cs="Times-Roman"/>
          <w:lang w:val="en-US"/>
        </w:rPr>
        <w:t xml:space="preserve">Banville </w:t>
      </w:r>
      <w:r w:rsidR="000074EB" w:rsidRPr="007D089C">
        <w:rPr>
          <w:rFonts w:ascii="Times-Roman" w:hAnsi="Times-Roman" w:cs="Times-Roman"/>
          <w:i/>
          <w:lang w:val="en-US"/>
        </w:rPr>
        <w:t>et al.</w:t>
      </w:r>
      <w:r w:rsidR="000074EB" w:rsidRPr="007D089C">
        <w:rPr>
          <w:rFonts w:ascii="Times-Roman" w:hAnsi="Times-Roman" w:cs="Times-Roman"/>
          <w:lang w:val="en-US"/>
        </w:rPr>
        <w:t xml:space="preserve"> </w:t>
      </w:r>
      <w:r w:rsidR="009E59C7" w:rsidRPr="007D089C">
        <w:rPr>
          <w:rFonts w:ascii="Times-Roman" w:hAnsi="Times-Roman" w:cs="Times-Roman"/>
          <w:lang w:val="en-US"/>
        </w:rPr>
        <w:t xml:space="preserve">used </w:t>
      </w:r>
      <w:r w:rsidR="00986B89" w:rsidRPr="007D089C">
        <w:rPr>
          <w:rFonts w:ascii="Times-Roman" w:hAnsi="Times-Roman" w:cs="Times-Roman"/>
          <w:lang w:val="en-US"/>
        </w:rPr>
        <w:t xml:space="preserve">ESI </w:t>
      </w:r>
      <w:r w:rsidRPr="007D089C">
        <w:rPr>
          <w:rFonts w:ascii="Times-Roman" w:hAnsi="Times-Roman" w:cs="Times-Roman"/>
          <w:lang w:val="en-US"/>
        </w:rPr>
        <w:t xml:space="preserve">with iTRAQ </w:t>
      </w:r>
      <w:r w:rsidR="000074EB" w:rsidRPr="007D089C">
        <w:rPr>
          <w:rFonts w:ascii="Times-Roman" w:hAnsi="Times-Roman" w:cs="Times-Roman"/>
          <w:lang w:val="en-US"/>
        </w:rPr>
        <w:t xml:space="preserve">to search for serum biomarkers </w:t>
      </w:r>
      <w:r w:rsidR="000074EB" w:rsidRPr="007D089C">
        <w:rPr>
          <w:lang w:val="en-US"/>
        </w:rPr>
        <w:t xml:space="preserve">that could potentially distinguish lymphangioleiomyomatosis from other respiratory conditions </w:t>
      </w:r>
      <w:r w:rsidR="000074EB" w:rsidRPr="007D089C">
        <w:rPr>
          <w:rFonts w:ascii="Times-Roman" w:hAnsi="Times-Roman" w:cs="Times-Roman"/>
          <w:lang w:val="en-US"/>
        </w:rPr>
        <w:fldChar w:fldCharType="begin"/>
      </w:r>
      <w:r w:rsidR="000074EB" w:rsidRPr="007D089C">
        <w:rPr>
          <w:rFonts w:ascii="Times-Roman" w:hAnsi="Times-Roman" w:cs="Times-Roman"/>
          <w:lang w:val="en-US"/>
        </w:rPr>
        <w:instrText>ADDIN RW.CITE{{1910 Banville,N. 2014}}</w:instrText>
      </w:r>
      <w:r w:rsidR="000074EB" w:rsidRPr="007D089C">
        <w:rPr>
          <w:rFonts w:ascii="Times-Roman" w:hAnsi="Times-Roman" w:cs="Times-Roman"/>
          <w:lang w:val="en-US"/>
        </w:rPr>
        <w:fldChar w:fldCharType="separate"/>
      </w:r>
      <w:r w:rsidR="00C77B76">
        <w:rPr>
          <w:rFonts w:ascii="Times-Roman" w:hAnsi="Times-Roman" w:cs="Times-Roman"/>
          <w:lang w:val="en-US"/>
        </w:rPr>
        <w:t>(Banville et al., 2014)</w:t>
      </w:r>
      <w:r w:rsidR="000074EB" w:rsidRPr="007D089C">
        <w:rPr>
          <w:rFonts w:ascii="Times-Roman" w:hAnsi="Times-Roman" w:cs="Times-Roman"/>
          <w:lang w:val="en-US"/>
        </w:rPr>
        <w:fldChar w:fldCharType="end"/>
      </w:r>
      <w:r w:rsidR="000074EB" w:rsidRPr="007D089C">
        <w:rPr>
          <w:lang w:val="en-US"/>
        </w:rPr>
        <w:t xml:space="preserve">. </w:t>
      </w:r>
    </w:p>
    <w:p w14:paraId="54D966D7" w14:textId="77777777" w:rsidR="004E6DFE" w:rsidRPr="007D089C" w:rsidRDefault="004E6DFE" w:rsidP="00B43F04">
      <w:pPr>
        <w:spacing w:line="480" w:lineRule="auto"/>
        <w:jc w:val="both"/>
        <w:rPr>
          <w:strike/>
          <w:lang w:val="en-US"/>
        </w:rPr>
      </w:pPr>
    </w:p>
    <w:p w14:paraId="6485738A" w14:textId="06C66C61" w:rsidR="000074EB" w:rsidRPr="007D089C" w:rsidRDefault="004E6DFE" w:rsidP="00B43F04">
      <w:pPr>
        <w:spacing w:line="480" w:lineRule="auto"/>
        <w:jc w:val="both"/>
        <w:rPr>
          <w:sz w:val="25"/>
          <w:szCs w:val="25"/>
          <w:lang w:val="en-US"/>
        </w:rPr>
      </w:pPr>
      <w:r w:rsidRPr="007D089C">
        <w:rPr>
          <w:lang w:val="en-US"/>
        </w:rPr>
        <w:t xml:space="preserve">Considering illness from recreational drugs, </w:t>
      </w:r>
      <w:r w:rsidR="000074EB" w:rsidRPr="007D089C">
        <w:rPr>
          <w:lang w:val="en-US"/>
        </w:rPr>
        <w:t xml:space="preserve">Bortner and co-workers compared the plasma proteome of healthy non-smokers with otherwise healthy cigarette smokers. Several of the differentially expressed proteins were already associated with tobacco related diseases, including lung cancer and </w:t>
      </w:r>
      <w:r w:rsidR="000074EB" w:rsidRPr="007D089C">
        <w:rPr>
          <w:rFonts w:ascii="timesroman" w:hAnsi="timesroman"/>
          <w:lang w:val="en-US"/>
        </w:rPr>
        <w:t xml:space="preserve">chronic obstructive pulmonary disease </w:t>
      </w:r>
      <w:r w:rsidR="000074EB" w:rsidRPr="007D089C">
        <w:rPr>
          <w:rFonts w:ascii="timesroman" w:hAnsi="timesroman"/>
          <w:lang w:val="en-US"/>
        </w:rPr>
        <w:fldChar w:fldCharType="begin"/>
      </w:r>
      <w:r w:rsidR="000074EB" w:rsidRPr="007D089C">
        <w:rPr>
          <w:rFonts w:ascii="timesroman" w:hAnsi="timesroman"/>
          <w:lang w:val="en-US"/>
        </w:rPr>
        <w:instrText xml:space="preserve">ADDIN RW.CITE{{1422 Bortner,J.D. </w:instrText>
      </w:r>
      <w:r w:rsidR="000074EB" w:rsidRPr="007D089C">
        <w:rPr>
          <w:rFonts w:ascii="timesroman" w:hAnsi="timesroman"/>
          <w:highlight w:val="yellow"/>
          <w:lang w:val="en-US"/>
        </w:rPr>
        <w:instrText>2011</w:instrText>
      </w:r>
      <w:r w:rsidR="000074EB" w:rsidRPr="007D089C">
        <w:rPr>
          <w:rFonts w:ascii="timesroman" w:hAnsi="timesroman"/>
          <w:lang w:val="en-US"/>
        </w:rPr>
        <w:instrText>}}</w:instrText>
      </w:r>
      <w:r w:rsidR="000074EB" w:rsidRPr="007D089C">
        <w:rPr>
          <w:rFonts w:ascii="timesroman" w:hAnsi="timesroman"/>
          <w:lang w:val="en-US"/>
        </w:rPr>
        <w:fldChar w:fldCharType="separate"/>
      </w:r>
      <w:r w:rsidR="00C77B76">
        <w:rPr>
          <w:rFonts w:ascii="timesroman" w:hAnsi="timesroman"/>
          <w:lang w:val="en-US"/>
        </w:rPr>
        <w:t>(Bortner et al., 2011)</w:t>
      </w:r>
      <w:r w:rsidR="000074EB" w:rsidRPr="007D089C">
        <w:rPr>
          <w:rFonts w:ascii="timesroman" w:hAnsi="timesroman"/>
          <w:lang w:val="en-US"/>
        </w:rPr>
        <w:fldChar w:fldCharType="end"/>
      </w:r>
      <w:r w:rsidR="000074EB" w:rsidRPr="007D089C">
        <w:rPr>
          <w:rFonts w:ascii="timesroman" w:hAnsi="timesroman"/>
          <w:color w:val="FF0000"/>
          <w:lang w:val="en-US"/>
        </w:rPr>
        <w:t xml:space="preserve">. </w:t>
      </w:r>
      <w:r w:rsidR="000074EB" w:rsidRPr="007D089C">
        <w:rPr>
          <w:rFonts w:ascii="Times-Roman" w:hAnsi="Times-Roman" w:cs="Times-Roman"/>
          <w:lang w:val="en-US"/>
        </w:rPr>
        <w:t xml:space="preserve">Colquhoun </w:t>
      </w:r>
      <w:r w:rsidR="000074EB" w:rsidRPr="007D089C">
        <w:rPr>
          <w:rFonts w:ascii="Times-Roman" w:hAnsi="Times-Roman" w:cs="Times-Roman"/>
          <w:i/>
          <w:lang w:val="en-US"/>
        </w:rPr>
        <w:t>et al.</w:t>
      </w:r>
      <w:r w:rsidR="000074EB" w:rsidRPr="007D089C">
        <w:rPr>
          <w:rFonts w:ascii="Times-Roman" w:hAnsi="Times-Roman" w:cs="Times-Roman"/>
          <w:lang w:val="en-US"/>
        </w:rPr>
        <w:t xml:space="preserve"> investigated the effect of smoking on maternal serum from cord blood </w:t>
      </w:r>
      <w:r w:rsidR="000074EB" w:rsidRPr="007D089C">
        <w:rPr>
          <w:rFonts w:ascii="Times-Roman" w:hAnsi="Times-Roman" w:cs="Times-Roman"/>
          <w:lang w:val="en-US"/>
        </w:rPr>
        <w:fldChar w:fldCharType="begin"/>
      </w:r>
      <w:r w:rsidR="000074EB" w:rsidRPr="007D089C">
        <w:rPr>
          <w:rFonts w:ascii="Times-Roman" w:hAnsi="Times-Roman" w:cs="Times-Roman"/>
          <w:lang w:val="en-US"/>
        </w:rPr>
        <w:instrText xml:space="preserve">ADDIN RW.CITE{{1458 Colquhoun,D.R. </w:instrText>
      </w:r>
      <w:r w:rsidR="000074EB" w:rsidRPr="007D089C">
        <w:rPr>
          <w:rFonts w:ascii="Times-Roman" w:hAnsi="Times-Roman" w:cs="Times-Roman"/>
          <w:highlight w:val="yellow"/>
          <w:lang w:val="en-US"/>
        </w:rPr>
        <w:instrText>2009</w:instrText>
      </w:r>
      <w:r w:rsidR="000074EB" w:rsidRPr="007D089C">
        <w:rPr>
          <w:rFonts w:ascii="Times-Roman" w:hAnsi="Times-Roman" w:cs="Times-Roman"/>
          <w:lang w:val="en-US"/>
        </w:rPr>
        <w:instrText>}}</w:instrText>
      </w:r>
      <w:r w:rsidR="000074EB" w:rsidRPr="007D089C">
        <w:rPr>
          <w:rFonts w:ascii="Times-Roman" w:hAnsi="Times-Roman" w:cs="Times-Roman"/>
          <w:lang w:val="en-US"/>
        </w:rPr>
        <w:fldChar w:fldCharType="separate"/>
      </w:r>
      <w:r w:rsidR="00C77B76">
        <w:rPr>
          <w:rFonts w:ascii="Times-Roman" w:hAnsi="Times-Roman" w:cs="Times-Roman"/>
          <w:lang w:val="en-US"/>
        </w:rPr>
        <w:t>(Colquhoun et al., 2009)</w:t>
      </w:r>
      <w:r w:rsidR="000074EB" w:rsidRPr="007D089C">
        <w:rPr>
          <w:rFonts w:ascii="Times-Roman" w:hAnsi="Times-Roman" w:cs="Times-Roman"/>
          <w:lang w:val="en-US"/>
        </w:rPr>
        <w:fldChar w:fldCharType="end"/>
      </w:r>
      <w:r w:rsidR="000074EB" w:rsidRPr="007D089C">
        <w:rPr>
          <w:rFonts w:ascii="Times-Roman" w:hAnsi="Times-Roman" w:cs="Times-Roman"/>
          <w:lang w:val="en-US"/>
        </w:rPr>
        <w:t xml:space="preserve">.  Although cord blood serum can be richer in intracellular proteins and more varied than matured serum, the study was conducted with older MS instrumentation (Applied Biosystems, QSTAR-Pulsar) and they reported quantification of in the order of 200 proteins. Other studies of respiratory afflictions have included tuberculosis </w:t>
      </w:r>
      <w:r w:rsidR="000074EB" w:rsidRPr="007D089C">
        <w:rPr>
          <w:rFonts w:ascii="Times-Roman" w:hAnsi="Times-Roman" w:cs="Times-Roman"/>
          <w:lang w:val="en-US"/>
        </w:rPr>
        <w:fldChar w:fldCharType="begin"/>
      </w:r>
      <w:r w:rsidR="000074EB" w:rsidRPr="007D089C">
        <w:rPr>
          <w:rFonts w:ascii="Times-Roman" w:hAnsi="Times-Roman" w:cs="Times-Roman"/>
          <w:lang w:val="en-US"/>
        </w:rPr>
        <w:instrText>ADDIN RW.CITE{{2093 Xu,D.D. 2014; 1907 Xu,D. 2015; 2198 Li,C. 2015; 2254 Wang,C. 2016}}</w:instrText>
      </w:r>
      <w:r w:rsidR="000074EB" w:rsidRPr="007D089C">
        <w:rPr>
          <w:rFonts w:ascii="Times-Roman" w:hAnsi="Times-Roman" w:cs="Times-Roman"/>
          <w:lang w:val="en-US"/>
        </w:rPr>
        <w:fldChar w:fldCharType="separate"/>
      </w:r>
      <w:r w:rsidR="00C77B76">
        <w:rPr>
          <w:rFonts w:ascii="Times-Roman" w:hAnsi="Times-Roman" w:cs="Times-Roman"/>
          <w:lang w:val="en-US"/>
        </w:rPr>
        <w:t>(C. Li et al., 2015; C. Wang et al., 2016; D. Xu et al., 2015; D. D. Xu et al., 2014)</w:t>
      </w:r>
      <w:r w:rsidR="000074EB" w:rsidRPr="007D089C">
        <w:rPr>
          <w:rFonts w:ascii="Times-Roman" w:hAnsi="Times-Roman" w:cs="Times-Roman"/>
          <w:lang w:val="en-US"/>
        </w:rPr>
        <w:fldChar w:fldCharType="end"/>
      </w:r>
      <w:r w:rsidR="000074EB" w:rsidRPr="007D089C">
        <w:rPr>
          <w:rFonts w:ascii="Times-Roman" w:hAnsi="Times-Roman" w:cs="Times-Roman"/>
          <w:lang w:val="en-US"/>
        </w:rPr>
        <w:t xml:space="preserve"> and </w:t>
      </w:r>
      <w:r w:rsidR="000074EB" w:rsidRPr="007D089C">
        <w:rPr>
          <w:lang w:val="en-US"/>
        </w:rPr>
        <w:t xml:space="preserve">Mycoplasma pneumoniae (MP) infections </w:t>
      </w:r>
      <w:r w:rsidR="000074EB" w:rsidRPr="007D089C">
        <w:rPr>
          <w:lang w:val="en-US"/>
        </w:rPr>
        <w:fldChar w:fldCharType="begin"/>
      </w:r>
      <w:r w:rsidR="000074EB" w:rsidRPr="007D089C">
        <w:rPr>
          <w:lang w:val="en-US"/>
        </w:rPr>
        <w:instrText>ADDIN RW.CITE{{3104 Yu,J.L. 2016}}</w:instrText>
      </w:r>
      <w:r w:rsidR="000074EB" w:rsidRPr="007D089C">
        <w:rPr>
          <w:lang w:val="en-US"/>
        </w:rPr>
        <w:fldChar w:fldCharType="separate"/>
      </w:r>
      <w:r w:rsidR="00C77B76">
        <w:rPr>
          <w:lang w:val="en-US"/>
        </w:rPr>
        <w:t>(Yu et al., 2016)</w:t>
      </w:r>
      <w:r w:rsidR="000074EB" w:rsidRPr="007D089C">
        <w:rPr>
          <w:lang w:val="en-US"/>
        </w:rPr>
        <w:fldChar w:fldCharType="end"/>
      </w:r>
      <w:r w:rsidR="000074EB" w:rsidRPr="007D089C">
        <w:rPr>
          <w:lang w:val="en-US"/>
        </w:rPr>
        <w:t xml:space="preserve"> (see below)</w:t>
      </w:r>
      <w:r w:rsidR="004E775A" w:rsidRPr="007D089C">
        <w:rPr>
          <w:sz w:val="25"/>
          <w:szCs w:val="25"/>
          <w:lang w:val="en-US"/>
        </w:rPr>
        <w:t xml:space="preserve">. </w:t>
      </w:r>
      <w:r w:rsidR="000074EB" w:rsidRPr="007D089C">
        <w:rPr>
          <w:rFonts w:ascii="Times-Roman" w:hAnsi="Times-Roman" w:cs="Times-Roman"/>
          <w:lang w:val="en-US"/>
        </w:rPr>
        <w:t xml:space="preserve">Examples of these applications are indicated in </w:t>
      </w:r>
      <w:r w:rsidR="000074EB" w:rsidRPr="007D089C">
        <w:rPr>
          <w:rFonts w:ascii="Times-Roman" w:hAnsi="Times-Roman" w:cs="Times-Roman"/>
          <w:b/>
          <w:lang w:val="en-US"/>
        </w:rPr>
        <w:t>Table 5</w:t>
      </w:r>
      <w:r w:rsidR="00EF5283" w:rsidRPr="007D089C">
        <w:rPr>
          <w:rFonts w:ascii="Times-Roman" w:hAnsi="Times-Roman" w:cs="Times-Roman"/>
          <w:b/>
          <w:lang w:val="en-US"/>
        </w:rPr>
        <w:t>a</w:t>
      </w:r>
      <w:r w:rsidR="000074EB" w:rsidRPr="007D089C">
        <w:rPr>
          <w:rFonts w:ascii="Times-Roman" w:hAnsi="Times-Roman" w:cs="Times-Roman"/>
          <w:lang w:val="en-US"/>
        </w:rPr>
        <w:t>.</w:t>
      </w:r>
    </w:p>
    <w:p w14:paraId="6EAE6D9D" w14:textId="77777777" w:rsidR="000074EB" w:rsidRPr="007D089C" w:rsidRDefault="000074EB" w:rsidP="00C141DD">
      <w:pPr>
        <w:autoSpaceDE w:val="0"/>
        <w:autoSpaceDN w:val="0"/>
        <w:adjustRightInd w:val="0"/>
        <w:jc w:val="both"/>
        <w:rPr>
          <w:rFonts w:ascii="Times-Roman" w:hAnsi="Times-Roman" w:cs="Times-Roman"/>
          <w:color w:val="FF0000"/>
          <w:lang w:val="en-US"/>
        </w:rPr>
      </w:pPr>
    </w:p>
    <w:p w14:paraId="34B0233C" w14:textId="77777777" w:rsidR="000074EB" w:rsidRPr="007D089C" w:rsidRDefault="000074EB" w:rsidP="00C141DD">
      <w:pPr>
        <w:autoSpaceDE w:val="0"/>
        <w:autoSpaceDN w:val="0"/>
        <w:adjustRightInd w:val="0"/>
        <w:jc w:val="both"/>
        <w:rPr>
          <w:lang w:val="en-US"/>
        </w:rPr>
      </w:pPr>
    </w:p>
    <w:p w14:paraId="644490BB" w14:textId="42C2AA68" w:rsidR="000074EB" w:rsidRPr="007D089C" w:rsidRDefault="00670428" w:rsidP="00C141DD">
      <w:pPr>
        <w:pStyle w:val="Heading2"/>
        <w:spacing w:line="240" w:lineRule="auto"/>
      </w:pPr>
      <w:bookmarkStart w:id="16" w:name="_Toc483395826"/>
      <w:r w:rsidRPr="007D089C">
        <w:t>Autoimmune D</w:t>
      </w:r>
      <w:r w:rsidR="000074EB" w:rsidRPr="007D089C">
        <w:t>iseases</w:t>
      </w:r>
      <w:bookmarkEnd w:id="16"/>
    </w:p>
    <w:p w14:paraId="35715144" w14:textId="76FF14CD" w:rsidR="000074EB" w:rsidRPr="007D089C" w:rsidRDefault="000074EB" w:rsidP="00B43F04">
      <w:pPr>
        <w:autoSpaceDE w:val="0"/>
        <w:autoSpaceDN w:val="0"/>
        <w:adjustRightInd w:val="0"/>
        <w:spacing w:line="480" w:lineRule="auto"/>
        <w:jc w:val="both"/>
        <w:rPr>
          <w:rFonts w:ascii="Times-Roman" w:hAnsi="Times-Roman" w:cs="Times-Roman"/>
          <w:strike/>
          <w:color w:val="FF0000"/>
          <w:lang w:val="en-US"/>
        </w:rPr>
      </w:pPr>
      <w:r w:rsidRPr="007D089C">
        <w:rPr>
          <w:lang w:val="en-US"/>
        </w:rPr>
        <w:t xml:space="preserve">Amongst the autoimmune diseases studied, rheumatoid arthritis (RA) has received some </w:t>
      </w:r>
      <w:r w:rsidR="00986B89" w:rsidRPr="007D089C">
        <w:rPr>
          <w:lang w:val="en-US"/>
        </w:rPr>
        <w:t xml:space="preserve">degree of </w:t>
      </w:r>
      <w:r w:rsidRPr="007D089C">
        <w:rPr>
          <w:lang w:val="en-US"/>
        </w:rPr>
        <w:t xml:space="preserve">attention </w:t>
      </w:r>
      <w:r w:rsidRPr="007D089C">
        <w:rPr>
          <w:rFonts w:ascii="Times-Roman" w:hAnsi="Times-Roman" w:cs="Times-Roman"/>
          <w:lang w:val="en-US"/>
        </w:rPr>
        <w:fldChar w:fldCharType="begin"/>
      </w:r>
      <w:r w:rsidRPr="007D089C">
        <w:rPr>
          <w:rFonts w:ascii="Times-Roman" w:hAnsi="Times-Roman" w:cs="Times-Roman"/>
          <w:lang w:val="en-US"/>
        </w:rPr>
        <w:instrText>ADDIN RW.CITE{{1460 Dwivedi,R.C. 2009; 2132 Serada,S. 2014; 2133 Cheng,Y. 2014; 1990 Yanagida,M. 2013; 1998 Ortea,I. 2012}}</w:instrText>
      </w:r>
      <w:r w:rsidRPr="007D089C">
        <w:rPr>
          <w:rFonts w:ascii="Times-Roman" w:hAnsi="Times-Roman" w:cs="Times-Roman"/>
          <w:lang w:val="en-US"/>
        </w:rPr>
        <w:fldChar w:fldCharType="separate"/>
      </w:r>
      <w:r w:rsidR="00C77B76">
        <w:rPr>
          <w:rFonts w:ascii="Times-Roman" w:hAnsi="Times-Roman" w:cs="Times-Roman"/>
          <w:lang w:val="en-US"/>
        </w:rPr>
        <w:t>(Cheng et al., 2014; Dwivedi et al., 2009; Ortea et al., 2012; Serada &amp; Naka, 2014; Yanagida et al., 2013)</w:t>
      </w:r>
      <w:r w:rsidRPr="007D089C">
        <w:rPr>
          <w:rFonts w:ascii="Times-Roman" w:hAnsi="Times-Roman" w:cs="Times-Roman"/>
          <w:lang w:val="en-US"/>
        </w:rPr>
        <w:fldChar w:fldCharType="end"/>
      </w:r>
      <w:r w:rsidRPr="007D089C">
        <w:rPr>
          <w:rFonts w:ascii="Times-Roman" w:hAnsi="Times-Roman" w:cs="Times-Roman"/>
          <w:lang w:val="en-US"/>
        </w:rPr>
        <w:t xml:space="preserve"> </w:t>
      </w:r>
      <w:r w:rsidRPr="007D089C">
        <w:rPr>
          <w:rFonts w:ascii="Times-Roman" w:hAnsi="Times-Roman" w:cs="Times-Roman"/>
          <w:lang w:val="en-US"/>
        </w:rPr>
        <w:fldChar w:fldCharType="begin"/>
      </w:r>
      <w:r w:rsidRPr="007D089C">
        <w:rPr>
          <w:rFonts w:ascii="Times-Roman" w:hAnsi="Times-Roman" w:cs="Times-Roman"/>
          <w:lang w:val="en-US"/>
        </w:rPr>
        <w:instrText>ADDIN RW.CITE{{1419 Serada,S. 2010}}</w:instrText>
      </w:r>
      <w:r w:rsidRPr="007D089C">
        <w:rPr>
          <w:rFonts w:ascii="Times-Roman" w:hAnsi="Times-Roman" w:cs="Times-Roman"/>
          <w:lang w:val="en-US"/>
        </w:rPr>
        <w:fldChar w:fldCharType="separate"/>
      </w:r>
      <w:r w:rsidR="00C77B76">
        <w:rPr>
          <w:rFonts w:ascii="Times-Roman" w:hAnsi="Times-Roman" w:cs="Times-Roman"/>
          <w:lang w:val="en-US"/>
        </w:rPr>
        <w:t>(Serada et al., 2010)</w:t>
      </w:r>
      <w:r w:rsidRPr="007D089C">
        <w:rPr>
          <w:rFonts w:ascii="Times-Roman" w:hAnsi="Times-Roman" w:cs="Times-Roman"/>
          <w:lang w:val="en-US"/>
        </w:rPr>
        <w:fldChar w:fldCharType="end"/>
      </w:r>
      <w:r w:rsidRPr="007D089C">
        <w:rPr>
          <w:lang w:val="en-US"/>
        </w:rPr>
        <w:t xml:space="preserve">. Several of these RA studies have considered the effects of anti-TNF therapy using the drug infliximab. In comparison to healthy controls (n= 50), Serada </w:t>
      </w:r>
      <w:r w:rsidRPr="007D089C">
        <w:rPr>
          <w:i/>
          <w:lang w:val="en-US"/>
        </w:rPr>
        <w:t>et al.</w:t>
      </w:r>
      <w:r w:rsidRPr="007D089C">
        <w:rPr>
          <w:lang w:val="en-US"/>
        </w:rPr>
        <w:t xml:space="preserve"> observed elevated levels of Leucine-rich alpha-2-glycoprotein in RA (n = 33) and Crohn</w:t>
      </w:r>
      <w:r w:rsidR="00670428" w:rsidRPr="007D089C">
        <w:rPr>
          <w:lang w:val="en-US"/>
        </w:rPr>
        <w:t>’</w:t>
      </w:r>
      <w:r w:rsidRPr="007D089C">
        <w:rPr>
          <w:lang w:val="en-US"/>
        </w:rPr>
        <w:t xml:space="preserve">s disease patients (n = 22), and found these to decrease with infliximab therapy </w:t>
      </w:r>
      <w:r w:rsidRPr="007D089C">
        <w:rPr>
          <w:lang w:val="en-US"/>
        </w:rPr>
        <w:fldChar w:fldCharType="begin"/>
      </w:r>
      <w:r w:rsidRPr="007D089C">
        <w:rPr>
          <w:lang w:val="en-US"/>
        </w:rPr>
        <w:instrText>ADDIN RW.CITE{{1419 Serada,S. 2010; 2132 Serada,S. 2014}}</w:instrText>
      </w:r>
      <w:r w:rsidRPr="007D089C">
        <w:rPr>
          <w:lang w:val="en-US"/>
        </w:rPr>
        <w:fldChar w:fldCharType="separate"/>
      </w:r>
      <w:r w:rsidR="00C77B76">
        <w:rPr>
          <w:lang w:val="en-US"/>
        </w:rPr>
        <w:t>(Serada et al., 2010; Serada &amp; Naka, 2014)</w:t>
      </w:r>
      <w:r w:rsidRPr="007D089C">
        <w:rPr>
          <w:lang w:val="en-US"/>
        </w:rPr>
        <w:fldChar w:fldCharType="end"/>
      </w:r>
      <w:r w:rsidRPr="007D089C">
        <w:rPr>
          <w:lang w:val="en-US"/>
        </w:rPr>
        <w:t>. Fischer and co</w:t>
      </w:r>
      <w:r w:rsidR="00113FC6" w:rsidRPr="007D089C">
        <w:rPr>
          <w:lang w:val="en-US"/>
        </w:rPr>
        <w:t>-</w:t>
      </w:r>
      <w:r w:rsidRPr="007D089C">
        <w:rPr>
          <w:lang w:val="en-US"/>
        </w:rPr>
        <w:t>workers used iTRAQ and metabolomics to identify biomarkers of a</w:t>
      </w:r>
      <w:r w:rsidRPr="007D089C">
        <w:rPr>
          <w:rFonts w:ascii="timesroman" w:hAnsi="timesroman"/>
          <w:lang w:val="en-US"/>
        </w:rPr>
        <w:t xml:space="preserve">nkylosing spondylitis </w:t>
      </w:r>
      <w:r w:rsidRPr="007D089C">
        <w:rPr>
          <w:rFonts w:ascii="timesroman" w:hAnsi="timesroman"/>
          <w:lang w:val="en-US"/>
        </w:rPr>
        <w:fldChar w:fldCharType="begin"/>
      </w:r>
      <w:r w:rsidRPr="007D089C">
        <w:rPr>
          <w:rFonts w:ascii="timesroman" w:hAnsi="timesroman"/>
          <w:lang w:val="en-US"/>
        </w:rPr>
        <w:instrText>ADDIN RW.CITE{{1783 Fischer,R. 2012}}</w:instrText>
      </w:r>
      <w:r w:rsidRPr="007D089C">
        <w:rPr>
          <w:rFonts w:ascii="timesroman" w:hAnsi="timesroman"/>
          <w:lang w:val="en-US"/>
        </w:rPr>
        <w:fldChar w:fldCharType="separate"/>
      </w:r>
      <w:r w:rsidR="00C77B76">
        <w:rPr>
          <w:rFonts w:ascii="timesroman" w:hAnsi="timesroman"/>
          <w:lang w:val="en-US"/>
        </w:rPr>
        <w:t>(Fischer et al., 2012)</w:t>
      </w:r>
      <w:r w:rsidRPr="007D089C">
        <w:rPr>
          <w:rFonts w:ascii="timesroman" w:hAnsi="timesroman"/>
          <w:lang w:val="en-US"/>
        </w:rPr>
        <w:fldChar w:fldCharType="end"/>
      </w:r>
      <w:r w:rsidRPr="007D089C">
        <w:rPr>
          <w:rFonts w:ascii="timesroman" w:hAnsi="timesroman"/>
          <w:lang w:val="en-US"/>
        </w:rPr>
        <w:t>.</w:t>
      </w:r>
    </w:p>
    <w:p w14:paraId="574776CB" w14:textId="21FEDAA2" w:rsidR="000074EB" w:rsidRPr="007D089C" w:rsidRDefault="000074EB" w:rsidP="00B43F04">
      <w:pPr>
        <w:autoSpaceDE w:val="0"/>
        <w:autoSpaceDN w:val="0"/>
        <w:adjustRightInd w:val="0"/>
        <w:spacing w:line="480" w:lineRule="auto"/>
        <w:jc w:val="both"/>
        <w:rPr>
          <w:lang w:val="en-US"/>
        </w:rPr>
      </w:pPr>
      <w:r w:rsidRPr="007D089C">
        <w:rPr>
          <w:lang w:val="en-US"/>
        </w:rPr>
        <w:t xml:space="preserve">In a study of multiple sclerosis, Tremlett </w:t>
      </w:r>
      <w:r w:rsidRPr="007D089C">
        <w:rPr>
          <w:i/>
          <w:lang w:val="en-US"/>
        </w:rPr>
        <w:t>et al.</w:t>
      </w:r>
      <w:r w:rsidRPr="007D089C">
        <w:rPr>
          <w:lang w:val="en-US"/>
        </w:rPr>
        <w:t xml:space="preserve"> used a LC-MALDI approach to compare the serum of subjects with aggressive and benign multiple sclerosis, finding elevated leucine-rich alpha-2-glycoprotein in the aggressive state </w:t>
      </w:r>
      <w:r w:rsidRPr="007D089C">
        <w:rPr>
          <w:lang w:val="en-US"/>
        </w:rPr>
        <w:fldChar w:fldCharType="begin"/>
      </w:r>
      <w:r w:rsidRPr="007D089C">
        <w:rPr>
          <w:lang w:val="en-US"/>
        </w:rPr>
        <w:instrText>ADDIN RW.CITE{{2032 Tremlett,H. 2015}}</w:instrText>
      </w:r>
      <w:r w:rsidRPr="007D089C">
        <w:rPr>
          <w:lang w:val="en-US"/>
        </w:rPr>
        <w:fldChar w:fldCharType="separate"/>
      </w:r>
      <w:r w:rsidR="00C77B76">
        <w:rPr>
          <w:lang w:val="en-US"/>
        </w:rPr>
        <w:t>(Tremlett et al., 2015)</w:t>
      </w:r>
      <w:r w:rsidRPr="007D089C">
        <w:rPr>
          <w:lang w:val="en-US"/>
        </w:rPr>
        <w:fldChar w:fldCharType="end"/>
      </w:r>
      <w:r w:rsidRPr="007D089C">
        <w:rPr>
          <w:lang w:val="en-US"/>
        </w:rPr>
        <w:t xml:space="preserve">. </w:t>
      </w:r>
    </w:p>
    <w:p w14:paraId="6BA52275" w14:textId="53C797ED" w:rsidR="000074EB" w:rsidRPr="007D089C" w:rsidRDefault="000074EB" w:rsidP="00B43F04">
      <w:pPr>
        <w:autoSpaceDE w:val="0"/>
        <w:autoSpaceDN w:val="0"/>
        <w:adjustRightInd w:val="0"/>
        <w:spacing w:line="480" w:lineRule="auto"/>
        <w:jc w:val="both"/>
        <w:rPr>
          <w:lang w:val="en-US"/>
        </w:rPr>
      </w:pPr>
      <w:r w:rsidRPr="007D089C">
        <w:rPr>
          <w:lang w:val="en-US"/>
        </w:rPr>
        <w:t xml:space="preserve">Type 1 diabetes </w:t>
      </w:r>
      <w:r w:rsidR="009A2A8A" w:rsidRPr="007D089C">
        <w:rPr>
          <w:lang w:val="en-US"/>
        </w:rPr>
        <w:t xml:space="preserve">(T1D) </w:t>
      </w:r>
      <w:r w:rsidRPr="007D089C">
        <w:rPr>
          <w:lang w:val="en-US"/>
        </w:rPr>
        <w:t xml:space="preserve">is caused by the autoimmune destruction of the insulin producing cells in the pancreas, and is associated with genetic risk together with the factors from the environment. Research towards understanding the risk and causes of T1D has included several prospective sample collections from at-risk children </w:t>
      </w:r>
      <w:r w:rsidRPr="007D089C">
        <w:rPr>
          <w:lang w:val="en-US"/>
        </w:rPr>
        <w:fldChar w:fldCharType="begin"/>
      </w:r>
      <w:r w:rsidRPr="007D089C">
        <w:rPr>
          <w:lang w:val="en-US"/>
        </w:rPr>
        <w:instrText>ADDIN RW.CITE{{3107 Moulder,R. 2017}}</w:instrText>
      </w:r>
      <w:r w:rsidRPr="007D089C">
        <w:rPr>
          <w:lang w:val="en-US"/>
        </w:rPr>
        <w:fldChar w:fldCharType="separate"/>
      </w:r>
      <w:r w:rsidR="00C77B76">
        <w:rPr>
          <w:lang w:val="en-US"/>
        </w:rPr>
        <w:t>(Moulder, Bhosale, Lahesmaa, &amp; Goodlett, 2017)</w:t>
      </w:r>
      <w:r w:rsidRPr="007D089C">
        <w:rPr>
          <w:lang w:val="en-US"/>
        </w:rPr>
        <w:fldChar w:fldCharType="end"/>
      </w:r>
      <w:r w:rsidRPr="007D089C">
        <w:rPr>
          <w:lang w:val="en-US"/>
        </w:rPr>
        <w:t xml:space="preserve">. In our own research we have used iTRAQ to compare the longitudinal serum proteome of T1D developing children (n= 13) with healthy controls (n = 13) matched by age, gender and risk, collected in the Finnish Diabetes Prediction and Prevention Study. The serum samples used (n =180) spanned the period of early infancy through to seroconversion and on to diagnosis </w:t>
      </w:r>
      <w:r w:rsidRPr="007D089C">
        <w:rPr>
          <w:lang w:val="en-US"/>
        </w:rPr>
        <w:fldChar w:fldCharType="begin"/>
      </w:r>
      <w:r w:rsidRPr="007D089C">
        <w:rPr>
          <w:lang w:val="en-US"/>
        </w:rPr>
        <w:instrText>ADDIN RW.CITE{{2135 Moulder,R. 2015}}</w:instrText>
      </w:r>
      <w:r w:rsidRPr="007D089C">
        <w:rPr>
          <w:lang w:val="en-US"/>
        </w:rPr>
        <w:fldChar w:fldCharType="separate"/>
      </w:r>
      <w:r w:rsidR="00C77B76">
        <w:rPr>
          <w:lang w:val="en-US"/>
        </w:rPr>
        <w:t>(Moulder et al., 2015)</w:t>
      </w:r>
      <w:r w:rsidRPr="007D089C">
        <w:rPr>
          <w:lang w:val="en-US"/>
        </w:rPr>
        <w:fldChar w:fldCharType="end"/>
      </w:r>
      <w:r w:rsidRPr="007D089C">
        <w:rPr>
          <w:lang w:val="en-US"/>
        </w:rPr>
        <w:t xml:space="preserve">. Based on 27 labelling experiments, together with label free measurements from additional subjects (n = </w:t>
      </w:r>
      <w:r w:rsidR="005C7057" w:rsidRPr="007D089C">
        <w:rPr>
          <w:lang w:val="en-US"/>
        </w:rPr>
        <w:t>6 vs 6</w:t>
      </w:r>
      <w:r w:rsidR="004E775A" w:rsidRPr="007D089C">
        <w:rPr>
          <w:lang w:val="en-US"/>
        </w:rPr>
        <w:t>, 86 samples</w:t>
      </w:r>
      <w:r w:rsidRPr="007D089C">
        <w:rPr>
          <w:lang w:val="en-US"/>
        </w:rPr>
        <w:t xml:space="preserve">), the data indicated that the moderately abundant serum proteome could be used to distinguish the subjects </w:t>
      </w:r>
      <w:r w:rsidRPr="007D089C">
        <w:rPr>
          <w:i/>
          <w:lang w:val="en-US"/>
        </w:rPr>
        <w:t>en route</w:t>
      </w:r>
      <w:r w:rsidRPr="007D089C">
        <w:rPr>
          <w:lang w:val="en-US"/>
        </w:rPr>
        <w:t xml:space="preserve"> to developing T1D.  Recently, Liu, C.W. </w:t>
      </w:r>
      <w:r w:rsidRPr="007D089C">
        <w:rPr>
          <w:i/>
          <w:lang w:val="en-US"/>
        </w:rPr>
        <w:t>et al</w:t>
      </w:r>
      <w:r w:rsidRPr="007D089C">
        <w:rPr>
          <w:lang w:val="en-US"/>
        </w:rPr>
        <w:t xml:space="preserve">. reported TMT analysis of plasma prospectively collected from at risk children enrolled with a T1D study in the USA, observing age related profiles for in the order of 900 proteins </w:t>
      </w:r>
      <w:r w:rsidRPr="007D089C">
        <w:rPr>
          <w:lang w:val="en-US"/>
        </w:rPr>
        <w:fldChar w:fldCharType="begin"/>
      </w:r>
      <w:r w:rsidRPr="007D089C">
        <w:rPr>
          <w:lang w:val="en-US"/>
        </w:rPr>
        <w:instrText>ADDIN RW.CITE{{3087 Liu,C.W. 2016}}</w:instrText>
      </w:r>
      <w:r w:rsidRPr="007D089C">
        <w:rPr>
          <w:lang w:val="en-US"/>
        </w:rPr>
        <w:fldChar w:fldCharType="separate"/>
      </w:r>
      <w:r w:rsidR="00C77B76">
        <w:rPr>
          <w:lang w:val="en-US"/>
        </w:rPr>
        <w:t>(C. W. Liu et al., 2016)</w:t>
      </w:r>
      <w:r w:rsidRPr="007D089C">
        <w:rPr>
          <w:lang w:val="en-US"/>
        </w:rPr>
        <w:fldChar w:fldCharType="end"/>
      </w:r>
      <w:r w:rsidRPr="007D089C">
        <w:rPr>
          <w:lang w:val="en-US"/>
        </w:rPr>
        <w:t xml:space="preserve">. The latter analyses detailed the serum profiles of 10 healthy children from ~nine months of age to 15 years using 10 separate 10-plex TMT analyses of plasma depleted of the 14 most abundant proteins. Notably with their combination of high pH fractionation (off-line) and UHPLC analysis with a Q Exactive HF they detected 1800 proteins with quantitative information for ~1000 in all of the 90 samples measured. Other isobaric labelling studies related to T1D have considered complications associated with the disease state addressing diabetic </w:t>
      </w:r>
      <w:r w:rsidRPr="007D089C">
        <w:rPr>
          <w:rFonts w:ascii="timesroman" w:hAnsi="timesroman"/>
          <w:lang w:val="en-US"/>
        </w:rPr>
        <w:t>nephropathy</w:t>
      </w:r>
      <w:r w:rsidRPr="007D089C">
        <w:rPr>
          <w:lang w:val="en-US"/>
        </w:rPr>
        <w:t xml:space="preserve">, in which samples from 123 subjects were used in the analysis of pooled samples </w:t>
      </w:r>
      <w:r w:rsidRPr="007D089C">
        <w:rPr>
          <w:lang w:val="en-US"/>
        </w:rPr>
        <w:fldChar w:fldCharType="begin"/>
      </w:r>
      <w:r w:rsidRPr="007D089C">
        <w:rPr>
          <w:lang w:val="en-US"/>
        </w:rPr>
        <w:instrText xml:space="preserve">ADDIN RW.CITE{{1602 Overgaard,A.J. </w:instrText>
      </w:r>
      <w:r w:rsidRPr="007D089C">
        <w:rPr>
          <w:highlight w:val="yellow"/>
          <w:lang w:val="en-US"/>
        </w:rPr>
        <w:instrText>2010; 1423 Overgaard,A.J. 2010</w:instrText>
      </w:r>
      <w:r w:rsidRPr="007D089C">
        <w:rPr>
          <w:lang w:val="en-US"/>
        </w:rPr>
        <w:instrText>}}</w:instrText>
      </w:r>
      <w:r w:rsidRPr="007D089C">
        <w:rPr>
          <w:lang w:val="en-US"/>
        </w:rPr>
        <w:fldChar w:fldCharType="separate"/>
      </w:r>
      <w:r w:rsidR="00C77B76">
        <w:rPr>
          <w:lang w:val="en-US"/>
        </w:rPr>
        <w:t>(Overgaard et al., 2010; Overgaard, Thingholm et al., 2010)</w:t>
      </w:r>
      <w:r w:rsidRPr="007D089C">
        <w:rPr>
          <w:lang w:val="en-US"/>
        </w:rPr>
        <w:fldChar w:fldCharType="end"/>
      </w:r>
      <w:r w:rsidRPr="007D089C">
        <w:rPr>
          <w:lang w:val="en-US"/>
        </w:rPr>
        <w:t xml:space="preserve">. This range of autoimmune diseases studied and others </w:t>
      </w:r>
      <w:r w:rsidRPr="007D089C">
        <w:rPr>
          <w:lang w:val="en-US"/>
        </w:rPr>
        <w:fldChar w:fldCharType="begin"/>
      </w:r>
      <w:r w:rsidRPr="007D089C">
        <w:rPr>
          <w:lang w:val="en-US"/>
        </w:rPr>
        <w:instrText>ADDIN RW.CITE{{2075 Li,H. 2013}}</w:instrText>
      </w:r>
      <w:r w:rsidRPr="007D089C">
        <w:rPr>
          <w:lang w:val="en-US"/>
        </w:rPr>
        <w:fldChar w:fldCharType="separate"/>
      </w:r>
      <w:r w:rsidR="00C77B76">
        <w:rPr>
          <w:lang w:val="en-US"/>
        </w:rPr>
        <w:t>(H. Li et al., 2013)</w:t>
      </w:r>
      <w:r w:rsidRPr="007D089C">
        <w:rPr>
          <w:lang w:val="en-US"/>
        </w:rPr>
        <w:fldChar w:fldCharType="end"/>
      </w:r>
      <w:r w:rsidRPr="007D089C">
        <w:rPr>
          <w:lang w:val="en-US"/>
        </w:rPr>
        <w:t xml:space="preserve">  are indicated in </w:t>
      </w:r>
      <w:r w:rsidRPr="007D089C">
        <w:rPr>
          <w:b/>
          <w:lang w:val="en-US"/>
        </w:rPr>
        <w:t>Table 5</w:t>
      </w:r>
      <w:r w:rsidR="005C7057" w:rsidRPr="007D089C">
        <w:rPr>
          <w:b/>
          <w:lang w:val="en-US"/>
        </w:rPr>
        <w:t>a</w:t>
      </w:r>
      <w:r w:rsidRPr="007D089C">
        <w:rPr>
          <w:lang w:val="en-US"/>
        </w:rPr>
        <w:t>.</w:t>
      </w:r>
    </w:p>
    <w:p w14:paraId="3927E51B" w14:textId="77777777" w:rsidR="000074EB" w:rsidRPr="007D089C" w:rsidRDefault="000074EB" w:rsidP="00C141DD">
      <w:pPr>
        <w:autoSpaceDE w:val="0"/>
        <w:autoSpaceDN w:val="0"/>
        <w:adjustRightInd w:val="0"/>
        <w:jc w:val="both"/>
        <w:rPr>
          <w:rFonts w:ascii="Times-Roman" w:hAnsi="Times-Roman" w:cs="Times-Roman"/>
          <w:lang w:val="en-US"/>
        </w:rPr>
      </w:pPr>
    </w:p>
    <w:p w14:paraId="4A8D075D" w14:textId="77777777" w:rsidR="000074EB" w:rsidRPr="007D089C" w:rsidRDefault="000074EB" w:rsidP="00C141DD">
      <w:pPr>
        <w:pStyle w:val="Heading2"/>
        <w:spacing w:line="240" w:lineRule="auto"/>
      </w:pPr>
      <w:bookmarkStart w:id="17" w:name="_Toc483395827"/>
      <w:r w:rsidRPr="007D089C">
        <w:t>Type 2 Diabetes, Obesity and Diet</w:t>
      </w:r>
      <w:bookmarkEnd w:id="17"/>
    </w:p>
    <w:p w14:paraId="1F604A5C" w14:textId="74E95F0C" w:rsidR="000074EB" w:rsidRPr="007D089C" w:rsidRDefault="000074EB" w:rsidP="00B43F04">
      <w:pPr>
        <w:autoSpaceDE w:val="0"/>
        <w:autoSpaceDN w:val="0"/>
        <w:adjustRightInd w:val="0"/>
        <w:spacing w:line="480" w:lineRule="auto"/>
        <w:jc w:val="both"/>
        <w:rPr>
          <w:rFonts w:ascii="Times-Roman" w:hAnsi="Times-Roman" w:cs="Times-Roman"/>
          <w:lang w:val="en-US"/>
        </w:rPr>
      </w:pPr>
      <w:r w:rsidRPr="007D089C">
        <w:rPr>
          <w:rFonts w:ascii="Times-Roman" w:hAnsi="Times-Roman" w:cs="Times-Roman"/>
          <w:lang w:val="en-US"/>
        </w:rPr>
        <w:t xml:space="preserve">In contrast to </w:t>
      </w:r>
      <w:r w:rsidR="009A2A8A" w:rsidRPr="007D089C">
        <w:rPr>
          <w:rFonts w:ascii="Times-Roman" w:hAnsi="Times-Roman" w:cs="Times-Roman"/>
          <w:lang w:val="en-US"/>
        </w:rPr>
        <w:t>T1D (</w:t>
      </w:r>
      <w:r w:rsidR="009A2A8A" w:rsidRPr="007D089C">
        <w:rPr>
          <w:rFonts w:ascii="Times-Roman" w:hAnsi="Times-Roman" w:cs="Times-Roman"/>
          <w:i/>
          <w:lang w:val="en-US"/>
        </w:rPr>
        <w:t>vide supra</w:t>
      </w:r>
      <w:r w:rsidR="009A2A8A" w:rsidRPr="007D089C">
        <w:rPr>
          <w:rFonts w:ascii="Times-Roman" w:hAnsi="Times-Roman" w:cs="Times-Roman"/>
          <w:lang w:val="en-US"/>
        </w:rPr>
        <w:t>)</w:t>
      </w:r>
      <w:r w:rsidRPr="007D089C">
        <w:rPr>
          <w:rFonts w:ascii="Times-Roman" w:hAnsi="Times-Roman" w:cs="Times-Roman"/>
          <w:lang w:val="en-US"/>
        </w:rPr>
        <w:t xml:space="preserve">, type 2 diabetes (T2D) is related to insulin resistance rather than the loss of the insulin producing cells. Although it is generally attributed to lifestyle, in particular diet and obesity, it is influenced by genetics, age and gender. Kaur </w:t>
      </w:r>
      <w:r w:rsidRPr="007D089C">
        <w:rPr>
          <w:rFonts w:ascii="Times-Roman" w:hAnsi="Times-Roman" w:cs="Times-Roman"/>
          <w:i/>
          <w:lang w:val="en-US"/>
        </w:rPr>
        <w:t>et al.</w:t>
      </w:r>
      <w:r w:rsidRPr="007D089C">
        <w:rPr>
          <w:rFonts w:ascii="Times-Roman" w:hAnsi="Times-Roman" w:cs="Times-Roman"/>
          <w:lang w:val="en-US"/>
        </w:rPr>
        <w:t xml:space="preserve"> (as cited earlier) used ESI analysis of iTRAQ labelled albumin and IgG depleted serum to compare pooled samples derived from T2D patients (n = 70) and controls (n =40) </w:t>
      </w:r>
      <w:r w:rsidRPr="007D089C">
        <w:rPr>
          <w:rFonts w:ascii="Times-Roman" w:hAnsi="Times-Roman" w:cs="Times-Roman"/>
          <w:lang w:val="en-US"/>
        </w:rPr>
        <w:fldChar w:fldCharType="begin"/>
      </w:r>
      <w:r w:rsidRPr="007D089C">
        <w:rPr>
          <w:rFonts w:ascii="Times-Roman" w:hAnsi="Times-Roman" w:cs="Times-Roman"/>
          <w:lang w:val="en-US"/>
        </w:rPr>
        <w:instrText>ADDIN RW.CITE{{1590 Kaur,P. 2012}}</w:instrText>
      </w:r>
      <w:r w:rsidRPr="007D089C">
        <w:rPr>
          <w:rFonts w:ascii="Times-Roman" w:hAnsi="Times-Roman" w:cs="Times-Roman"/>
          <w:lang w:val="en-US"/>
        </w:rPr>
        <w:fldChar w:fldCharType="separate"/>
      </w:r>
      <w:r w:rsidR="00C77B76">
        <w:rPr>
          <w:rFonts w:ascii="Times-Roman" w:hAnsi="Times-Roman" w:cs="Times-Roman"/>
          <w:lang w:val="en-US"/>
        </w:rPr>
        <w:t>(Kaur et al., 2012)</w:t>
      </w:r>
      <w:r w:rsidRPr="007D089C">
        <w:rPr>
          <w:rFonts w:ascii="Times-Roman" w:hAnsi="Times-Roman" w:cs="Times-Roman"/>
          <w:lang w:val="en-US"/>
        </w:rPr>
        <w:fldChar w:fldCharType="end"/>
      </w:r>
      <w:r w:rsidRPr="007D089C">
        <w:rPr>
          <w:rFonts w:ascii="Times-Roman" w:hAnsi="Times-Roman" w:cs="Times-Roman"/>
          <w:lang w:val="en-US"/>
        </w:rPr>
        <w:t>. They used selected reaction monitoring (SRM) mass spectrometry to validate their finding in an independent cohort (36 vs 36). From their panel of validated markers both afamin and transthyretin provided area under the curve classification of 0.75, based on received operator characteristic curves.</w:t>
      </w:r>
    </w:p>
    <w:p w14:paraId="53C6F305" w14:textId="224F3563" w:rsidR="004E775A" w:rsidRPr="007D089C" w:rsidRDefault="000074EB" w:rsidP="00B43F04">
      <w:pPr>
        <w:autoSpaceDE w:val="0"/>
        <w:autoSpaceDN w:val="0"/>
        <w:adjustRightInd w:val="0"/>
        <w:spacing w:line="480" w:lineRule="auto"/>
        <w:jc w:val="both"/>
        <w:rPr>
          <w:rFonts w:ascii="Times-Roman" w:hAnsi="Times-Roman" w:cs="Times-Roman"/>
          <w:lang w:val="en-US"/>
        </w:rPr>
      </w:pPr>
      <w:r w:rsidRPr="007D089C">
        <w:rPr>
          <w:rFonts w:ascii="Times-Roman" w:hAnsi="Times-Roman" w:cs="Times-Roman"/>
          <w:lang w:val="en-US"/>
        </w:rPr>
        <w:t xml:space="preserve">Sleddering </w:t>
      </w:r>
      <w:r w:rsidRPr="007D089C">
        <w:rPr>
          <w:rFonts w:ascii="Times-Roman" w:hAnsi="Times-Roman" w:cs="Times-Roman"/>
          <w:i/>
          <w:lang w:val="en-US"/>
        </w:rPr>
        <w:t>et al.</w:t>
      </w:r>
      <w:r w:rsidRPr="007D089C">
        <w:rPr>
          <w:rFonts w:ascii="Times-Roman" w:hAnsi="Times-Roman" w:cs="Times-Roman"/>
          <w:lang w:val="en-US"/>
        </w:rPr>
        <w:t xml:space="preserve"> compared the influence of a very low calorie diet (VLCD) on obese T2D diabetes patients (n =27) with some following an exercise program (n =13) relative to lean and obese controls (n= 2 x 27) </w:t>
      </w:r>
      <w:r w:rsidRPr="007D089C">
        <w:rPr>
          <w:rFonts w:ascii="Times-Roman" w:hAnsi="Times-Roman" w:cs="Times-Roman"/>
          <w:lang w:val="en-US"/>
        </w:rPr>
        <w:fldChar w:fldCharType="begin"/>
      </w:r>
      <w:r w:rsidRPr="007D089C">
        <w:rPr>
          <w:rFonts w:ascii="Times-Roman" w:hAnsi="Times-Roman" w:cs="Times-Roman"/>
          <w:lang w:val="en-US"/>
        </w:rPr>
        <w:instrText>ADDIN RW.CITE{{2113 Sleddering,M.A. 2014}}</w:instrText>
      </w:r>
      <w:r w:rsidRPr="007D089C">
        <w:rPr>
          <w:rFonts w:ascii="Times-Roman" w:hAnsi="Times-Roman" w:cs="Times-Roman"/>
          <w:lang w:val="en-US"/>
        </w:rPr>
        <w:fldChar w:fldCharType="separate"/>
      </w:r>
      <w:r w:rsidR="00C77B76">
        <w:rPr>
          <w:rFonts w:ascii="Times-Roman" w:hAnsi="Times-Roman" w:cs="Times-Roman"/>
          <w:lang w:val="en-US"/>
        </w:rPr>
        <w:t>(Sleddering et al., 2014)</w:t>
      </w:r>
      <w:r w:rsidRPr="007D089C">
        <w:rPr>
          <w:rFonts w:ascii="Times-Roman" w:hAnsi="Times-Roman" w:cs="Times-Roman"/>
          <w:lang w:val="en-US"/>
        </w:rPr>
        <w:fldChar w:fldCharType="end"/>
      </w:r>
      <w:r w:rsidRPr="007D089C">
        <w:rPr>
          <w:rFonts w:ascii="Times-Roman" w:hAnsi="Times-Roman" w:cs="Times-Roman"/>
          <w:lang w:val="en-US"/>
        </w:rPr>
        <w:t xml:space="preserve">. From eight 8-plex iTRAQ experiments the data indicated that 38% of the proteome was influenced by VLCD, for which they selected several of these to validate using SRM. They grouped and described the validated markers as a diet associated panel of apolipoproteins (i.e. APOE, APO B-100, APOA-IV and APOC-III), T2D associated proteins (Fibrinogen alpha, beta and gamma chain and transthyretin) and obesity associated (complement 3). Other studies of T2D include the use of a mouse model </w:t>
      </w:r>
      <w:r w:rsidRPr="007D089C">
        <w:rPr>
          <w:rFonts w:ascii="Times-Roman" w:hAnsi="Times-Roman" w:cs="Times-Roman"/>
          <w:lang w:val="en-US"/>
        </w:rPr>
        <w:fldChar w:fldCharType="begin"/>
      </w:r>
      <w:r w:rsidRPr="007D089C">
        <w:rPr>
          <w:rFonts w:ascii="Times-Roman" w:hAnsi="Times-Roman" w:cs="Times-Roman"/>
          <w:lang w:val="en-US"/>
        </w:rPr>
        <w:instrText>ADDIN RW.CITE{{2033 Takahashi,E. 2013}}</w:instrText>
      </w:r>
      <w:r w:rsidRPr="007D089C">
        <w:rPr>
          <w:rFonts w:ascii="Times-Roman" w:hAnsi="Times-Roman" w:cs="Times-Roman"/>
          <w:lang w:val="en-US"/>
        </w:rPr>
        <w:fldChar w:fldCharType="separate"/>
      </w:r>
      <w:r w:rsidR="00C77B76">
        <w:rPr>
          <w:rFonts w:ascii="Times-Roman" w:hAnsi="Times-Roman" w:cs="Times-Roman"/>
          <w:lang w:val="en-US"/>
        </w:rPr>
        <w:t>(Takahashi et al., 2013)</w:t>
      </w:r>
      <w:r w:rsidRPr="007D089C">
        <w:rPr>
          <w:rFonts w:ascii="Times-Roman" w:hAnsi="Times-Roman" w:cs="Times-Roman"/>
          <w:lang w:val="en-US"/>
        </w:rPr>
        <w:fldChar w:fldCharType="end"/>
      </w:r>
      <w:r w:rsidRPr="007D089C">
        <w:rPr>
          <w:rFonts w:ascii="Times-Roman" w:hAnsi="Times-Roman" w:cs="Times-Roman"/>
          <w:lang w:val="en-US"/>
        </w:rPr>
        <w:t xml:space="preserve"> and plasma protein carbonylation in rats </w:t>
      </w:r>
      <w:r w:rsidRPr="007D089C">
        <w:rPr>
          <w:rFonts w:ascii="Times-Roman" w:hAnsi="Times-Roman" w:cs="Times-Roman"/>
          <w:lang w:val="en-US"/>
        </w:rPr>
        <w:fldChar w:fldCharType="begin"/>
      </w:r>
      <w:r w:rsidRPr="007D089C">
        <w:rPr>
          <w:rFonts w:ascii="Times-Roman" w:hAnsi="Times-Roman" w:cs="Times-Roman"/>
          <w:lang w:val="en-US"/>
        </w:rPr>
        <w:instrText>ADDIN RW.CITE{{2136 Madian,A.G. 2011}}</w:instrText>
      </w:r>
      <w:r w:rsidRPr="007D089C">
        <w:rPr>
          <w:rFonts w:ascii="Times-Roman" w:hAnsi="Times-Roman" w:cs="Times-Roman"/>
          <w:lang w:val="en-US"/>
        </w:rPr>
        <w:fldChar w:fldCharType="separate"/>
      </w:r>
      <w:r w:rsidR="00C77B76">
        <w:rPr>
          <w:rFonts w:ascii="Times-Roman" w:hAnsi="Times-Roman" w:cs="Times-Roman"/>
          <w:lang w:val="en-US"/>
        </w:rPr>
        <w:t>(Madian et al., 2011)</w:t>
      </w:r>
      <w:r w:rsidRPr="007D089C">
        <w:rPr>
          <w:rFonts w:ascii="Times-Roman" w:hAnsi="Times-Roman" w:cs="Times-Roman"/>
          <w:lang w:val="en-US"/>
        </w:rPr>
        <w:fldChar w:fldCharType="end"/>
      </w:r>
      <w:r w:rsidRPr="007D089C">
        <w:rPr>
          <w:rFonts w:ascii="Times-Roman" w:hAnsi="Times-Roman" w:cs="Times-Roman"/>
          <w:lang w:val="en-US"/>
        </w:rPr>
        <w:t>.</w:t>
      </w:r>
    </w:p>
    <w:p w14:paraId="216686E7" w14:textId="573CA9ED" w:rsidR="004E775A" w:rsidRPr="007D089C" w:rsidRDefault="004E775A" w:rsidP="004E775A">
      <w:pPr>
        <w:autoSpaceDE w:val="0"/>
        <w:autoSpaceDN w:val="0"/>
        <w:adjustRightInd w:val="0"/>
        <w:spacing w:line="480" w:lineRule="auto"/>
        <w:jc w:val="both"/>
        <w:rPr>
          <w:rFonts w:ascii="Times-Roman" w:hAnsi="Times-Roman" w:cs="Times-Roman"/>
          <w:lang w:val="en-US"/>
        </w:rPr>
      </w:pPr>
      <w:r w:rsidRPr="007D089C">
        <w:rPr>
          <w:rFonts w:ascii="Times-Roman" w:hAnsi="Times-Roman" w:cs="Times-Roman"/>
          <w:lang w:val="en-US"/>
        </w:rPr>
        <w:t xml:space="preserve">Using samples collected from a large study cohort, Cominetti </w:t>
      </w:r>
      <w:r w:rsidRPr="007D089C">
        <w:rPr>
          <w:rFonts w:ascii="Times-Roman" w:hAnsi="Times-Roman" w:cs="Times-Roman"/>
          <w:i/>
          <w:lang w:val="en-US"/>
        </w:rPr>
        <w:t>et al.</w:t>
      </w:r>
      <w:r w:rsidRPr="007D089C">
        <w:rPr>
          <w:rFonts w:ascii="Times-Roman" w:hAnsi="Times-Roman" w:cs="Times-Roman"/>
          <w:lang w:val="en-US"/>
        </w:rPr>
        <w:t xml:space="preserve"> </w:t>
      </w:r>
      <w:r w:rsidR="00D358A7" w:rsidRPr="007D089C">
        <w:rPr>
          <w:rFonts w:ascii="Times-Roman" w:hAnsi="Times-Roman" w:cs="Times-Roman"/>
          <w:lang w:val="en-US"/>
        </w:rPr>
        <w:t>analyzed</w:t>
      </w:r>
      <w:r w:rsidRPr="007D089C">
        <w:rPr>
          <w:rFonts w:ascii="Times-Roman" w:hAnsi="Times-Roman" w:cs="Times-Roman"/>
          <w:lang w:val="en-US"/>
        </w:rPr>
        <w:t xml:space="preserve"> in the order of 1,000 plasma samples from 525 individuals enrolled in a study related to diet, obesity and genetics (DiOGenes project) </w:t>
      </w:r>
      <w:r w:rsidRPr="007D089C">
        <w:rPr>
          <w:rFonts w:ascii="Times-Roman" w:hAnsi="Times-Roman" w:cs="Times-Roman"/>
          <w:lang w:val="en-US"/>
        </w:rPr>
        <w:fldChar w:fldCharType="begin"/>
      </w:r>
      <w:r w:rsidRPr="007D089C">
        <w:rPr>
          <w:rFonts w:ascii="Times-Roman" w:hAnsi="Times-Roman" w:cs="Times-Roman"/>
          <w:lang w:val="en-US"/>
        </w:rPr>
        <w:instrText>ADDIN RW.CITE{{2234 Cominetti,Ornella 2015}}</w:instrText>
      </w:r>
      <w:r w:rsidRPr="007D089C">
        <w:rPr>
          <w:rFonts w:ascii="Times-Roman" w:hAnsi="Times-Roman" w:cs="Times-Roman"/>
          <w:lang w:val="en-US"/>
        </w:rPr>
        <w:fldChar w:fldCharType="separate"/>
      </w:r>
      <w:r w:rsidR="00C77B76">
        <w:rPr>
          <w:rFonts w:ascii="Times-Roman" w:hAnsi="Times-Roman" w:cs="Times-Roman"/>
          <w:lang w:val="en-US"/>
        </w:rPr>
        <w:t>(Cominetti et al., 2015)</w:t>
      </w:r>
      <w:r w:rsidRPr="007D089C">
        <w:rPr>
          <w:rFonts w:ascii="Times-Roman" w:hAnsi="Times-Roman" w:cs="Times-Roman"/>
          <w:lang w:val="en-US"/>
        </w:rPr>
        <w:fldChar w:fldCharType="end"/>
      </w:r>
      <w:r w:rsidRPr="007D089C">
        <w:rPr>
          <w:rFonts w:ascii="Times-Roman" w:hAnsi="Times-Roman" w:cs="Times-Roman"/>
          <w:lang w:val="en-US"/>
        </w:rPr>
        <w:t xml:space="preserve">.  Using a semi-automated platform and work flow (presented in an earlier publication by Dayon </w:t>
      </w:r>
      <w:r w:rsidRPr="007D089C">
        <w:rPr>
          <w:rFonts w:ascii="Times-Roman" w:hAnsi="Times-Roman" w:cs="Times-Roman"/>
          <w:i/>
          <w:lang w:val="en-US"/>
        </w:rPr>
        <w:t>et al.</w:t>
      </w:r>
      <w:r w:rsidRPr="007D089C">
        <w:rPr>
          <w:rFonts w:ascii="Times-Roman" w:hAnsi="Times-Roman" w:cs="Times-Roman"/>
          <w:lang w:val="en-US"/>
        </w:rPr>
        <w:t xml:space="preserve"> (</w:t>
      </w:r>
      <w:r w:rsidRPr="007D089C">
        <w:rPr>
          <w:rFonts w:ascii="Times-Roman" w:hAnsi="Times-Roman" w:cs="Times-Roman"/>
          <w:i/>
          <w:lang w:val="en-US"/>
        </w:rPr>
        <w:t>vide supra</w:t>
      </w:r>
      <w:r w:rsidRPr="007D089C">
        <w:rPr>
          <w:rFonts w:ascii="Times-Roman" w:hAnsi="Times-Roman" w:cs="Times-Roman"/>
          <w:lang w:val="en-US"/>
        </w:rPr>
        <w:t xml:space="preserve">) </w:t>
      </w:r>
      <w:r w:rsidRPr="007D089C">
        <w:rPr>
          <w:rFonts w:ascii="Times-Roman" w:hAnsi="Times-Roman" w:cs="Times-Roman"/>
          <w:lang w:val="en-US"/>
        </w:rPr>
        <w:fldChar w:fldCharType="begin"/>
      </w:r>
      <w:r w:rsidRPr="007D089C">
        <w:rPr>
          <w:rFonts w:ascii="Times-Roman" w:hAnsi="Times-Roman" w:cs="Times-Roman"/>
          <w:lang w:val="en-US"/>
        </w:rPr>
        <w:instrText>ADDIN RW.CITE{{2114 Dayon,L. 2014}}</w:instrText>
      </w:r>
      <w:r w:rsidRPr="007D089C">
        <w:rPr>
          <w:rFonts w:ascii="Times-Roman" w:hAnsi="Times-Roman" w:cs="Times-Roman"/>
          <w:lang w:val="en-US"/>
        </w:rPr>
        <w:fldChar w:fldCharType="separate"/>
      </w:r>
      <w:r w:rsidR="00C77B76">
        <w:rPr>
          <w:rFonts w:ascii="Times-Roman" w:hAnsi="Times-Roman" w:cs="Times-Roman"/>
          <w:lang w:val="en-US"/>
        </w:rPr>
        <w:t>(L. Dayon et al., 2014)</w:t>
      </w:r>
      <w:r w:rsidRPr="007D089C">
        <w:rPr>
          <w:rFonts w:ascii="Times-Roman" w:hAnsi="Times-Roman" w:cs="Times-Roman"/>
          <w:lang w:val="en-US"/>
        </w:rPr>
        <w:fldChar w:fldCharType="end"/>
      </w:r>
      <w:r w:rsidRPr="007D089C">
        <w:rPr>
          <w:rFonts w:ascii="Times-Roman" w:hAnsi="Times-Roman" w:cs="Times-Roman"/>
          <w:lang w:val="en-US"/>
        </w:rPr>
        <w:t xml:space="preserve">), a total of 1005 samples were </w:t>
      </w:r>
      <w:r w:rsidR="00D358A7" w:rsidRPr="007D089C">
        <w:rPr>
          <w:rFonts w:ascii="Times-Roman" w:hAnsi="Times-Roman" w:cs="Times-Roman"/>
          <w:lang w:val="en-US"/>
        </w:rPr>
        <w:t>analyzed</w:t>
      </w:r>
      <w:r w:rsidRPr="007D089C">
        <w:rPr>
          <w:rFonts w:ascii="Times-Roman" w:hAnsi="Times-Roman" w:cs="Times-Roman"/>
          <w:lang w:val="en-US"/>
        </w:rPr>
        <w:t>.  They observed that CRP and S100A9 were correlated with BMI and that pregnancy zone protein (PZP), SHBG and APOC-II provided potential gender discrimination.</w:t>
      </w:r>
      <w:r w:rsidR="000074EB" w:rsidRPr="007D089C">
        <w:rPr>
          <w:rFonts w:ascii="Times-Roman" w:hAnsi="Times-Roman" w:cs="Times-Roman"/>
          <w:lang w:val="en-US"/>
        </w:rPr>
        <w:t xml:space="preserve">  </w:t>
      </w:r>
      <w:r w:rsidRPr="007D089C">
        <w:rPr>
          <w:rFonts w:ascii="Times-Roman" w:hAnsi="Times-Roman" w:cs="Times-Roman"/>
          <w:lang w:val="en-US"/>
        </w:rPr>
        <w:t xml:space="preserve">Using a mouse model to address </w:t>
      </w:r>
      <w:r w:rsidR="00C77B76">
        <w:rPr>
          <w:rFonts w:ascii="Times-Roman" w:hAnsi="Times-Roman" w:cs="Times-Roman"/>
          <w:lang w:val="en-US"/>
        </w:rPr>
        <w:t>β cell dys</w:t>
      </w:r>
      <w:r w:rsidRPr="007D089C">
        <w:rPr>
          <w:rFonts w:ascii="Times-Roman" w:hAnsi="Times-Roman" w:cs="Times-Roman"/>
          <w:lang w:val="en-US"/>
        </w:rPr>
        <w:t xml:space="preserve">function and T2D, Kuo </w:t>
      </w:r>
      <w:r w:rsidRPr="007D089C">
        <w:rPr>
          <w:rFonts w:ascii="Times-Roman" w:hAnsi="Times-Roman" w:cs="Times-Roman"/>
          <w:i/>
          <w:lang w:val="en-US"/>
        </w:rPr>
        <w:t>et al</w:t>
      </w:r>
      <w:r w:rsidRPr="007D089C">
        <w:rPr>
          <w:rFonts w:ascii="Times-Roman" w:hAnsi="Times-Roman" w:cs="Times-Roman"/>
          <w:lang w:val="en-US"/>
        </w:rPr>
        <w:t>. used iTRAQ to determine changes in the plasma proteome of mice with a genetic β-cell defect when subjected to a</w:t>
      </w:r>
      <w:r w:rsidR="00FC7692" w:rsidRPr="007D089C">
        <w:rPr>
          <w:rFonts w:ascii="Times-Roman" w:hAnsi="Times-Roman" w:cs="Times-Roman"/>
          <w:lang w:val="en-US"/>
        </w:rPr>
        <w:t>n</w:t>
      </w:r>
      <w:r w:rsidRPr="007D089C">
        <w:rPr>
          <w:rFonts w:ascii="Times-Roman" w:hAnsi="Times-Roman" w:cs="Times-Roman"/>
          <w:lang w:val="en-US"/>
        </w:rPr>
        <w:t xml:space="preserve"> intravenous glucose/arginine challenge </w:t>
      </w:r>
      <w:r w:rsidRPr="007D089C">
        <w:rPr>
          <w:rFonts w:ascii="Times-Roman" w:hAnsi="Times-Roman" w:cs="Times-Roman"/>
          <w:lang w:val="en-US"/>
        </w:rPr>
        <w:fldChar w:fldCharType="begin"/>
      </w:r>
      <w:r w:rsidRPr="007D089C">
        <w:rPr>
          <w:rFonts w:ascii="Times-Roman" w:hAnsi="Times-Roman" w:cs="Times-Roman"/>
          <w:lang w:val="en-US"/>
        </w:rPr>
        <w:instrText>ADDIN RW.CITE{{2259 Kuo,T. 2016}}</w:instrText>
      </w:r>
      <w:r w:rsidRPr="007D089C">
        <w:rPr>
          <w:rFonts w:ascii="Times-Roman" w:hAnsi="Times-Roman" w:cs="Times-Roman"/>
          <w:lang w:val="en-US"/>
        </w:rPr>
        <w:fldChar w:fldCharType="separate"/>
      </w:r>
      <w:r w:rsidR="00C77B76">
        <w:rPr>
          <w:rFonts w:ascii="Times-Roman" w:hAnsi="Times-Roman" w:cs="Times-Roman"/>
          <w:lang w:val="en-US"/>
        </w:rPr>
        <w:t>(Kuo, Kim-Muller, McGraw, &amp; Accili, 2016)</w:t>
      </w:r>
      <w:r w:rsidRPr="007D089C">
        <w:rPr>
          <w:rFonts w:ascii="Times-Roman" w:hAnsi="Times-Roman" w:cs="Times-Roman"/>
          <w:lang w:val="en-US"/>
        </w:rPr>
        <w:fldChar w:fldCharType="end"/>
      </w:r>
      <w:r w:rsidRPr="007D089C">
        <w:rPr>
          <w:rFonts w:ascii="Times-Roman" w:hAnsi="Times-Roman" w:cs="Times-Roman"/>
          <w:lang w:val="en-US"/>
        </w:rPr>
        <w:t>.</w:t>
      </w:r>
    </w:p>
    <w:p w14:paraId="03FB7EA3" w14:textId="0A775469" w:rsidR="004E775A" w:rsidRPr="007D089C" w:rsidRDefault="000074EB" w:rsidP="004E775A">
      <w:pPr>
        <w:autoSpaceDE w:val="0"/>
        <w:autoSpaceDN w:val="0"/>
        <w:adjustRightInd w:val="0"/>
        <w:spacing w:line="480" w:lineRule="auto"/>
        <w:jc w:val="both"/>
        <w:rPr>
          <w:rFonts w:ascii="Times-Roman" w:hAnsi="Times-Roman" w:cs="Times-Roman"/>
          <w:lang w:val="en-US"/>
        </w:rPr>
      </w:pPr>
      <w:r w:rsidRPr="007D089C">
        <w:rPr>
          <w:rFonts w:ascii="timesroman" w:hAnsi="timesroman"/>
          <w:lang w:val="en-US"/>
        </w:rPr>
        <w:t xml:space="preserve">In research related to T2D, Jullig </w:t>
      </w:r>
      <w:r w:rsidRPr="007D089C">
        <w:rPr>
          <w:rFonts w:ascii="timesroman" w:hAnsi="timesroman"/>
          <w:i/>
          <w:lang w:val="en-US"/>
        </w:rPr>
        <w:t>et al.</w:t>
      </w:r>
      <w:r w:rsidRPr="007D089C">
        <w:rPr>
          <w:rFonts w:ascii="timesroman" w:hAnsi="timesroman"/>
          <w:lang w:val="en-US"/>
        </w:rPr>
        <w:t xml:space="preserve"> used iTRAQ labelling of  plasma to identify  factors  that </w:t>
      </w:r>
      <w:r w:rsidR="00D358A7" w:rsidRPr="007D089C">
        <w:rPr>
          <w:rFonts w:ascii="timesroman" w:hAnsi="timesroman"/>
          <w:lang w:val="en-US"/>
        </w:rPr>
        <w:t>favor</w:t>
      </w:r>
      <w:r w:rsidRPr="007D089C">
        <w:rPr>
          <w:rFonts w:ascii="timesroman" w:hAnsi="timesroman"/>
          <w:lang w:val="en-US"/>
        </w:rPr>
        <w:t xml:space="preserve"> resolution of T2D in subjects undergoing </w:t>
      </w:r>
      <w:r w:rsidRPr="007D089C">
        <w:rPr>
          <w:rFonts w:ascii="timesroman" w:hAnsi="timesroman"/>
          <w:i/>
          <w:lang w:val="en-US"/>
        </w:rPr>
        <w:t>roux-en-y</w:t>
      </w:r>
      <w:r w:rsidRPr="007D089C">
        <w:rPr>
          <w:rFonts w:ascii="timesroman" w:hAnsi="timesroman"/>
          <w:lang w:val="en-US"/>
        </w:rPr>
        <w:t xml:space="preserve"> gastric bypass (GBP) surgery when compared with sleeve gastrectomy (n= 15) </w:t>
      </w:r>
      <w:r w:rsidRPr="007D089C">
        <w:rPr>
          <w:rFonts w:ascii="timesroman" w:hAnsi="timesroman"/>
          <w:lang w:val="en-US"/>
        </w:rPr>
        <w:fldChar w:fldCharType="begin"/>
      </w:r>
      <w:r w:rsidRPr="007D089C">
        <w:rPr>
          <w:rFonts w:ascii="timesroman" w:hAnsi="timesroman"/>
          <w:lang w:val="en-US"/>
        </w:rPr>
        <w:instrText>ADDIN RW.CITE{{2034 Jullig,M. 2014}}</w:instrText>
      </w:r>
      <w:r w:rsidRPr="007D089C">
        <w:rPr>
          <w:rFonts w:ascii="timesroman" w:hAnsi="timesroman"/>
          <w:lang w:val="en-US"/>
        </w:rPr>
        <w:fldChar w:fldCharType="separate"/>
      </w:r>
      <w:r w:rsidR="00C77B76">
        <w:rPr>
          <w:rFonts w:ascii="timesroman" w:hAnsi="timesroman"/>
          <w:lang w:val="en-US"/>
        </w:rPr>
        <w:t>(Jullig et al., 2014)</w:t>
      </w:r>
      <w:r w:rsidRPr="007D089C">
        <w:rPr>
          <w:rFonts w:ascii="timesroman" w:hAnsi="timesroman"/>
          <w:lang w:val="en-US"/>
        </w:rPr>
        <w:fldChar w:fldCharType="end"/>
      </w:r>
      <w:r w:rsidRPr="007D089C">
        <w:rPr>
          <w:rFonts w:ascii="timesroman" w:hAnsi="timesroman"/>
          <w:lang w:val="en-US"/>
        </w:rPr>
        <w:t xml:space="preserve">.  Culnan and co-workers also considered </w:t>
      </w:r>
      <w:r w:rsidRPr="007D089C">
        <w:rPr>
          <w:rFonts w:ascii="Times-Roman" w:hAnsi="Times-Roman" w:cs="Times-Roman"/>
          <w:lang w:val="en-US"/>
        </w:rPr>
        <w:t xml:space="preserve">changes in the plasma proteome associated with gastric by-pass surgery </w:t>
      </w:r>
      <w:r w:rsidRPr="007D089C">
        <w:rPr>
          <w:rFonts w:ascii="Times-Roman" w:hAnsi="Times-Roman" w:cs="Times-Roman"/>
          <w:lang w:val="en-US"/>
        </w:rPr>
        <w:fldChar w:fldCharType="begin"/>
      </w:r>
      <w:r w:rsidRPr="007D089C">
        <w:rPr>
          <w:rFonts w:ascii="Times-Roman" w:hAnsi="Times-Roman" w:cs="Times-Roman"/>
          <w:lang w:val="en-US"/>
        </w:rPr>
        <w:instrText>ADDIN RW.CITE{{1435 Culnan,D.M. 2009}}</w:instrText>
      </w:r>
      <w:r w:rsidRPr="007D089C">
        <w:rPr>
          <w:rFonts w:ascii="Times-Roman" w:hAnsi="Times-Roman" w:cs="Times-Roman"/>
          <w:lang w:val="en-US"/>
        </w:rPr>
        <w:fldChar w:fldCharType="separate"/>
      </w:r>
      <w:r w:rsidR="00C77B76">
        <w:rPr>
          <w:rFonts w:ascii="Times-Roman" w:hAnsi="Times-Roman" w:cs="Times-Roman"/>
          <w:lang w:val="en-US"/>
        </w:rPr>
        <w:t>(Culnan, Cooney, Stanley, &amp; Lynch, 2009)</w:t>
      </w:r>
      <w:r w:rsidRPr="007D089C">
        <w:rPr>
          <w:rFonts w:ascii="Times-Roman" w:hAnsi="Times-Roman" w:cs="Times-Roman"/>
          <w:lang w:val="en-US"/>
        </w:rPr>
        <w:fldChar w:fldCharType="end"/>
      </w:r>
      <w:r w:rsidRPr="007D089C">
        <w:rPr>
          <w:rFonts w:ascii="Times-Roman" w:hAnsi="Times-Roman" w:cs="Times-Roman"/>
          <w:lang w:val="en-US"/>
        </w:rPr>
        <w:t xml:space="preserve">. Al-Daghri </w:t>
      </w:r>
      <w:r w:rsidRPr="007D089C">
        <w:rPr>
          <w:rFonts w:ascii="Times-Roman" w:hAnsi="Times-Roman" w:cs="Times-Roman"/>
          <w:i/>
          <w:lang w:val="en-US"/>
        </w:rPr>
        <w:t>et al.</w:t>
      </w:r>
      <w:r w:rsidRPr="007D089C">
        <w:rPr>
          <w:rFonts w:ascii="Times-Roman" w:hAnsi="Times-Roman" w:cs="Times-Roman"/>
          <w:lang w:val="en-US"/>
        </w:rPr>
        <w:t xml:space="preserve">, in their 3D depletion free iTRAQ study (cited previously), demonstrated sexual dimorphism in obese subjects, comparing serum proteomes of nondiabetic overweight females (n =28) and males (n = 31) </w:t>
      </w:r>
      <w:r w:rsidRPr="007D089C">
        <w:rPr>
          <w:rFonts w:ascii="Times-Roman" w:hAnsi="Times-Roman" w:cs="Times-Roman"/>
          <w:lang w:val="en-US"/>
        </w:rPr>
        <w:fldChar w:fldCharType="begin"/>
      </w:r>
      <w:r w:rsidRPr="007D089C">
        <w:rPr>
          <w:rFonts w:ascii="Times-Roman" w:hAnsi="Times-Roman" w:cs="Times-Roman"/>
          <w:lang w:val="en-US"/>
        </w:rPr>
        <w:instrText>ADDIN RW.CITE{{2037 Al-Daghri,N.M. 2014}}</w:instrText>
      </w:r>
      <w:r w:rsidRPr="007D089C">
        <w:rPr>
          <w:rFonts w:ascii="Times-Roman" w:hAnsi="Times-Roman" w:cs="Times-Roman"/>
          <w:lang w:val="en-US"/>
        </w:rPr>
        <w:fldChar w:fldCharType="separate"/>
      </w:r>
      <w:r w:rsidR="00C77B76">
        <w:rPr>
          <w:rFonts w:ascii="Times-Roman" w:hAnsi="Times-Roman" w:cs="Times-Roman"/>
          <w:lang w:val="en-US"/>
        </w:rPr>
        <w:t>(Al-Daghri et al., 2014)</w:t>
      </w:r>
      <w:r w:rsidRPr="007D089C">
        <w:rPr>
          <w:rFonts w:ascii="Times-Roman" w:hAnsi="Times-Roman" w:cs="Times-Roman"/>
          <w:lang w:val="en-US"/>
        </w:rPr>
        <w:fldChar w:fldCharType="end"/>
      </w:r>
      <w:r w:rsidRPr="007D089C">
        <w:rPr>
          <w:rFonts w:ascii="Times-Roman" w:hAnsi="Times-Roman" w:cs="Times-Roman"/>
          <w:lang w:val="en-US"/>
        </w:rPr>
        <w:t xml:space="preserve">. </w:t>
      </w:r>
      <w:r w:rsidR="004E775A" w:rsidRPr="007D089C">
        <w:rPr>
          <w:rFonts w:ascii="Times-Roman" w:hAnsi="Times-Roman" w:cs="Times-Roman"/>
          <w:lang w:val="en-US"/>
        </w:rPr>
        <w:t xml:space="preserve"> </w:t>
      </w:r>
    </w:p>
    <w:p w14:paraId="57F283C5" w14:textId="2F979ABF" w:rsidR="000074EB" w:rsidRPr="007D089C" w:rsidRDefault="000074EB" w:rsidP="00B43F04">
      <w:pPr>
        <w:autoSpaceDE w:val="0"/>
        <w:autoSpaceDN w:val="0"/>
        <w:adjustRightInd w:val="0"/>
        <w:spacing w:line="480" w:lineRule="auto"/>
        <w:jc w:val="both"/>
        <w:rPr>
          <w:lang w:val="en-US"/>
        </w:rPr>
      </w:pPr>
      <w:r w:rsidRPr="007D089C">
        <w:rPr>
          <w:rFonts w:ascii="Times-Roman" w:hAnsi="Times-Roman" w:cs="Times-Roman"/>
          <w:lang w:val="en-US"/>
        </w:rPr>
        <w:t>Considering the socioeconomic limitations of nutrition, in their</w:t>
      </w:r>
      <w:r w:rsidRPr="007D089C">
        <w:rPr>
          <w:lang w:val="en-US"/>
        </w:rPr>
        <w:t xml:space="preserve"> large scale isobaric labelling study, Cole </w:t>
      </w:r>
      <w:r w:rsidRPr="007D089C">
        <w:rPr>
          <w:i/>
          <w:lang w:val="en-US"/>
        </w:rPr>
        <w:t>et al.</w:t>
      </w:r>
      <w:r w:rsidRPr="007D089C">
        <w:rPr>
          <w:lang w:val="en-US"/>
        </w:rPr>
        <w:t xml:space="preserve"> used iTRAQ to </w:t>
      </w:r>
      <w:r w:rsidRPr="007D089C">
        <w:rPr>
          <w:rFonts w:ascii="timesroman" w:hAnsi="timesroman"/>
          <w:lang w:val="en-US"/>
        </w:rPr>
        <w:t>identify plasma proteins correlated</w:t>
      </w:r>
      <w:r w:rsidRPr="007D089C">
        <w:rPr>
          <w:lang w:val="en-US"/>
        </w:rPr>
        <w:t xml:space="preserve"> to the </w:t>
      </w:r>
      <w:r w:rsidRPr="007D089C">
        <w:rPr>
          <w:rFonts w:ascii="timesroman" w:hAnsi="timesroman"/>
          <w:lang w:val="en-US"/>
        </w:rPr>
        <w:t xml:space="preserve">micronutrient status in undernourished Nepalese children </w:t>
      </w:r>
      <w:r w:rsidRPr="007D089C">
        <w:rPr>
          <w:rFonts w:ascii="timesroman" w:hAnsi="timesroman"/>
          <w:lang w:val="en-US"/>
        </w:rPr>
        <w:fldChar w:fldCharType="begin"/>
      </w:r>
      <w:r w:rsidRPr="007D089C">
        <w:rPr>
          <w:rFonts w:ascii="timesroman" w:hAnsi="timesroman"/>
          <w:lang w:val="en-US"/>
        </w:rPr>
        <w:instrText>ADDIN RW.CITE{{1670 Cole,R.N. 2013}}</w:instrText>
      </w:r>
      <w:r w:rsidRPr="007D089C">
        <w:rPr>
          <w:rFonts w:ascii="timesroman" w:hAnsi="timesroman"/>
          <w:lang w:val="en-US"/>
        </w:rPr>
        <w:fldChar w:fldCharType="separate"/>
      </w:r>
      <w:r w:rsidR="00C77B76">
        <w:rPr>
          <w:rFonts w:ascii="timesroman" w:hAnsi="timesroman"/>
          <w:lang w:val="en-US"/>
        </w:rPr>
        <w:t>(Cole et al., 2013)</w:t>
      </w:r>
      <w:r w:rsidRPr="007D089C">
        <w:rPr>
          <w:rFonts w:ascii="timesroman" w:hAnsi="timesroman"/>
          <w:lang w:val="en-US"/>
        </w:rPr>
        <w:fldChar w:fldCharType="end"/>
      </w:r>
      <w:r w:rsidRPr="007D089C">
        <w:rPr>
          <w:rFonts w:ascii="timesroman" w:hAnsi="timesroman"/>
          <w:lang w:val="en-US"/>
        </w:rPr>
        <w:t xml:space="preserve">. From a cohort of 1000, plasma from 500 children was used in iTRAQ analyses. Overall, seventy-three 8-plex iTRAQ labelling experiments were made. Of the 4705 proteins detected, 146 were quantified in all 500 children. From correlation analysis a number of nutrient-protein relationship associations were revealed. The established interrelationships observed could be useful in the interpretation of changes observed in other disease models, and in a follow up publication they reported on the correlation between biomarkers of inflammation, on the basis of correlations with </w:t>
      </w:r>
      <w:r w:rsidRPr="007D089C">
        <w:rPr>
          <w:lang w:val="en-US"/>
        </w:rPr>
        <w:t xml:space="preserve">α-1-acid glycoprotein </w:t>
      </w:r>
      <w:r w:rsidRPr="007D089C">
        <w:rPr>
          <w:lang w:val="en-US"/>
        </w:rPr>
        <w:fldChar w:fldCharType="begin"/>
      </w:r>
      <w:r w:rsidRPr="007D089C">
        <w:rPr>
          <w:lang w:val="en-US"/>
        </w:rPr>
        <w:instrText>ADDIN RW.CITE{{2241 Lee,S.E. 2015}}</w:instrText>
      </w:r>
      <w:r w:rsidRPr="007D089C">
        <w:rPr>
          <w:lang w:val="en-US"/>
        </w:rPr>
        <w:fldChar w:fldCharType="separate"/>
      </w:r>
      <w:r w:rsidR="00C77B76">
        <w:rPr>
          <w:lang w:val="en-US"/>
        </w:rPr>
        <w:t>(S. E. Lee et al., 2015)</w:t>
      </w:r>
      <w:r w:rsidRPr="007D089C">
        <w:rPr>
          <w:lang w:val="en-US"/>
        </w:rPr>
        <w:fldChar w:fldCharType="end"/>
      </w:r>
      <w:r w:rsidRPr="007D089C">
        <w:rPr>
          <w:lang w:val="en-US"/>
        </w:rPr>
        <w:t xml:space="preserve">. The range </w:t>
      </w:r>
      <w:r w:rsidR="009E59C7" w:rsidRPr="007D089C">
        <w:rPr>
          <w:lang w:val="en-US"/>
        </w:rPr>
        <w:t xml:space="preserve">of these </w:t>
      </w:r>
      <w:r w:rsidRPr="007D089C">
        <w:rPr>
          <w:lang w:val="en-US"/>
        </w:rPr>
        <w:t xml:space="preserve">studies related </w:t>
      </w:r>
      <w:r w:rsidR="009E59C7" w:rsidRPr="007D089C">
        <w:rPr>
          <w:lang w:val="en-US"/>
        </w:rPr>
        <w:t xml:space="preserve">to </w:t>
      </w:r>
      <w:r w:rsidRPr="007D089C">
        <w:rPr>
          <w:lang w:val="en-US"/>
        </w:rPr>
        <w:t xml:space="preserve">T2D, obesity and diet are indicated in </w:t>
      </w:r>
      <w:r w:rsidRPr="007D089C">
        <w:rPr>
          <w:b/>
          <w:lang w:val="en-US"/>
        </w:rPr>
        <w:t>Table</w:t>
      </w:r>
      <w:r w:rsidR="005C7057" w:rsidRPr="007D089C">
        <w:rPr>
          <w:b/>
          <w:lang w:val="en-US"/>
        </w:rPr>
        <w:t xml:space="preserve"> 5b</w:t>
      </w:r>
      <w:r w:rsidRPr="007D089C">
        <w:rPr>
          <w:lang w:val="en-US"/>
        </w:rPr>
        <w:t>.</w:t>
      </w:r>
    </w:p>
    <w:p w14:paraId="0DB5FEF3" w14:textId="77777777" w:rsidR="000074EB" w:rsidRPr="007D089C" w:rsidRDefault="000074EB" w:rsidP="00C141DD">
      <w:pPr>
        <w:autoSpaceDE w:val="0"/>
        <w:autoSpaceDN w:val="0"/>
        <w:adjustRightInd w:val="0"/>
        <w:jc w:val="both"/>
        <w:rPr>
          <w:lang w:val="en-US"/>
        </w:rPr>
      </w:pPr>
    </w:p>
    <w:p w14:paraId="1A0276B6" w14:textId="6E12CADB" w:rsidR="000074EB" w:rsidRPr="007D089C" w:rsidRDefault="000074EB" w:rsidP="00C141DD">
      <w:pPr>
        <w:pStyle w:val="Heading2"/>
        <w:spacing w:line="240" w:lineRule="auto"/>
      </w:pPr>
      <w:bookmarkStart w:id="18" w:name="_Toc483395828"/>
      <w:r w:rsidRPr="007D089C">
        <w:t xml:space="preserve">Pregnancy and </w:t>
      </w:r>
      <w:r w:rsidR="00FC7692" w:rsidRPr="007D089C">
        <w:t>Gynecology</w:t>
      </w:r>
      <w:bookmarkEnd w:id="18"/>
      <w:r w:rsidRPr="007D089C">
        <w:t xml:space="preserve"> </w:t>
      </w:r>
    </w:p>
    <w:p w14:paraId="30D44717" w14:textId="68DDDA8B" w:rsidR="00CE382D" w:rsidRPr="007D089C" w:rsidRDefault="000074EB" w:rsidP="00B43F04">
      <w:pPr>
        <w:autoSpaceDE w:val="0"/>
        <w:autoSpaceDN w:val="0"/>
        <w:adjustRightInd w:val="0"/>
        <w:spacing w:line="480" w:lineRule="auto"/>
        <w:jc w:val="both"/>
        <w:rPr>
          <w:rFonts w:ascii="timesroman" w:hAnsi="timesroman"/>
          <w:lang w:val="en-US"/>
        </w:rPr>
      </w:pPr>
      <w:r w:rsidRPr="007D089C">
        <w:rPr>
          <w:rFonts w:ascii="Times-Roman" w:hAnsi="Times-Roman" w:cs="Times-Roman"/>
          <w:lang w:val="en-US"/>
        </w:rPr>
        <w:t xml:space="preserve">Isobaric labelling has been used to study the plasma proteome in the context of </w:t>
      </w:r>
      <w:r w:rsidR="00D358A7" w:rsidRPr="007D089C">
        <w:rPr>
          <w:rFonts w:ascii="Times-Roman" w:hAnsi="Times-Roman" w:cs="Times-Roman"/>
          <w:lang w:val="en-US"/>
        </w:rPr>
        <w:t>gynecological</w:t>
      </w:r>
      <w:r w:rsidRPr="007D089C">
        <w:rPr>
          <w:rFonts w:ascii="Times-Roman" w:hAnsi="Times-Roman" w:cs="Times-Roman"/>
          <w:lang w:val="en-US"/>
        </w:rPr>
        <w:t xml:space="preserve"> health, including the study of endometriosis, </w:t>
      </w:r>
      <w:r w:rsidRPr="007D089C">
        <w:rPr>
          <w:rFonts w:ascii="timesroman" w:hAnsi="timesroman"/>
          <w:lang w:val="en-US"/>
        </w:rPr>
        <w:t>adenomyosis</w:t>
      </w:r>
      <w:r w:rsidR="00CE382D" w:rsidRPr="007D089C">
        <w:rPr>
          <w:rFonts w:ascii="Times-Roman" w:hAnsi="Times-Roman" w:cs="Times-Roman"/>
          <w:lang w:val="en-US"/>
        </w:rPr>
        <w:t xml:space="preserve">, </w:t>
      </w:r>
      <w:r w:rsidRPr="007D089C">
        <w:rPr>
          <w:rFonts w:ascii="timesroman" w:hAnsi="timesroman"/>
          <w:lang w:val="en-US"/>
        </w:rPr>
        <w:t>endometrial hyperplasia</w:t>
      </w:r>
      <w:r w:rsidR="00CE382D" w:rsidRPr="007D089C">
        <w:rPr>
          <w:rFonts w:ascii="timesroman" w:hAnsi="timesroman"/>
          <w:lang w:val="en-US"/>
        </w:rPr>
        <w:t xml:space="preserve"> and gestational diabetes</w:t>
      </w:r>
      <w:r w:rsidRPr="007D089C">
        <w:rPr>
          <w:rFonts w:ascii="timesroman" w:hAnsi="timesroman"/>
          <w:lang w:val="en-US"/>
        </w:rPr>
        <w:t xml:space="preserve"> </w:t>
      </w:r>
      <w:r w:rsidRPr="007D089C">
        <w:rPr>
          <w:rFonts w:ascii="Times-Roman" w:hAnsi="Times-Roman" w:cs="Times-Roman"/>
          <w:lang w:val="en-US"/>
        </w:rPr>
        <w:t>(</w:t>
      </w:r>
      <w:r w:rsidRPr="007D089C">
        <w:rPr>
          <w:rFonts w:ascii="Times-Roman" w:hAnsi="Times-Roman" w:cs="Times-Roman"/>
          <w:b/>
          <w:lang w:val="en-US"/>
        </w:rPr>
        <w:t>Table</w:t>
      </w:r>
      <w:r w:rsidR="005C7057" w:rsidRPr="007D089C">
        <w:rPr>
          <w:rFonts w:ascii="Times-Roman" w:hAnsi="Times-Roman" w:cs="Times-Roman"/>
          <w:b/>
          <w:lang w:val="en-US"/>
        </w:rPr>
        <w:t xml:space="preserve"> 5b</w:t>
      </w:r>
      <w:r w:rsidRPr="007D089C">
        <w:rPr>
          <w:rFonts w:ascii="Times-Roman" w:hAnsi="Times-Roman" w:cs="Times-Roman"/>
          <w:lang w:val="en-US"/>
        </w:rPr>
        <w:t xml:space="preserve">). Wang, Y. </w:t>
      </w:r>
      <w:r w:rsidRPr="007D089C">
        <w:rPr>
          <w:rFonts w:ascii="Times-Roman" w:hAnsi="Times-Roman" w:cs="Times-Roman"/>
          <w:i/>
          <w:lang w:val="en-US"/>
        </w:rPr>
        <w:t>et al.</w:t>
      </w:r>
      <w:r w:rsidRPr="007D089C">
        <w:rPr>
          <w:rFonts w:ascii="Times-Roman" w:hAnsi="Times-Roman" w:cs="Times-Roman"/>
          <w:lang w:val="en-US"/>
        </w:rPr>
        <w:t xml:space="preserve"> compared serum from patients with different grades of </w:t>
      </w:r>
      <w:r w:rsidRPr="007D089C">
        <w:rPr>
          <w:rFonts w:ascii="timesroman" w:hAnsi="timesroman"/>
          <w:lang w:val="en-US"/>
        </w:rPr>
        <w:t>endometrial hyperplasia</w:t>
      </w:r>
      <w:r w:rsidRPr="007D089C">
        <w:rPr>
          <w:rFonts w:ascii="Times-Roman" w:hAnsi="Times-Roman" w:cs="Times-Roman"/>
          <w:lang w:val="en-US"/>
        </w:rPr>
        <w:t xml:space="preserve"> and </w:t>
      </w:r>
      <w:r w:rsidRPr="007D089C">
        <w:rPr>
          <w:rFonts w:ascii="timesroman" w:hAnsi="timesroman"/>
          <w:lang w:val="en-US"/>
        </w:rPr>
        <w:t>endometrial carcinoma in addition to healthy</w:t>
      </w:r>
      <w:r w:rsidRPr="007D089C">
        <w:rPr>
          <w:rFonts w:ascii="Times-Roman" w:hAnsi="Times-Roman" w:cs="Times-Roman"/>
          <w:lang w:val="en-US"/>
        </w:rPr>
        <w:t xml:space="preserve"> controls </w:t>
      </w:r>
      <w:r w:rsidRPr="007D089C">
        <w:rPr>
          <w:rFonts w:ascii="Times-Roman" w:hAnsi="Times-Roman" w:cs="Times-Roman"/>
          <w:lang w:val="en-US"/>
        </w:rPr>
        <w:fldChar w:fldCharType="begin"/>
      </w:r>
      <w:r w:rsidRPr="007D089C">
        <w:rPr>
          <w:rFonts w:ascii="Times-Roman" w:hAnsi="Times-Roman" w:cs="Times-Roman"/>
          <w:lang w:val="en-US"/>
        </w:rPr>
        <w:instrText xml:space="preserve">ADDIN </w:instrText>
      </w:r>
      <w:r w:rsidRPr="007D089C">
        <w:rPr>
          <w:rFonts w:ascii="Times-Roman" w:hAnsi="Times-Roman" w:cs="Times-Roman"/>
          <w:highlight w:val="yellow"/>
          <w:lang w:val="en-US"/>
        </w:rPr>
        <w:instrText>RW.CITE{{2074 Wang,Y.S. 2011}</w:instrText>
      </w:r>
      <w:r w:rsidRPr="007D089C">
        <w:rPr>
          <w:rFonts w:ascii="Times-Roman" w:hAnsi="Times-Roman" w:cs="Times-Roman"/>
          <w:lang w:val="en-US"/>
        </w:rPr>
        <w:instrText>}</w:instrText>
      </w:r>
      <w:r w:rsidRPr="007D089C">
        <w:rPr>
          <w:rFonts w:ascii="Times-Roman" w:hAnsi="Times-Roman" w:cs="Times-Roman"/>
          <w:lang w:val="en-US"/>
        </w:rPr>
        <w:fldChar w:fldCharType="separate"/>
      </w:r>
      <w:r w:rsidR="00C77B76">
        <w:rPr>
          <w:rFonts w:ascii="Times-Roman" w:hAnsi="Times-Roman" w:cs="Times-Roman"/>
          <w:lang w:val="en-US"/>
        </w:rPr>
        <w:t>(Y. S. Wang et al., 2011)</w:t>
      </w:r>
      <w:r w:rsidRPr="007D089C">
        <w:rPr>
          <w:rFonts w:ascii="Times-Roman" w:hAnsi="Times-Roman" w:cs="Times-Roman"/>
          <w:lang w:val="en-US"/>
        </w:rPr>
        <w:fldChar w:fldCharType="end"/>
      </w:r>
      <w:r w:rsidRPr="007D089C">
        <w:rPr>
          <w:rFonts w:ascii="Times-Roman" w:hAnsi="Times-Roman" w:cs="Times-Roman"/>
          <w:lang w:val="en-US"/>
        </w:rPr>
        <w:t xml:space="preserve">. </w:t>
      </w:r>
      <w:r w:rsidRPr="007D089C">
        <w:rPr>
          <w:rFonts w:ascii="timesroman" w:hAnsi="timesroman"/>
          <w:lang w:val="en-US"/>
        </w:rPr>
        <w:t xml:space="preserve">Xiaoyu </w:t>
      </w:r>
      <w:r w:rsidRPr="007D089C">
        <w:rPr>
          <w:rFonts w:ascii="timesroman" w:hAnsi="timesroman"/>
          <w:i/>
          <w:lang w:val="en-US"/>
        </w:rPr>
        <w:t>et al.</w:t>
      </w:r>
      <w:r w:rsidRPr="007D089C">
        <w:rPr>
          <w:rFonts w:ascii="timesroman" w:hAnsi="timesroman"/>
          <w:lang w:val="en-US"/>
        </w:rPr>
        <w:t xml:space="preserve"> used iTRAQ and ESI with a</w:t>
      </w:r>
      <w:r w:rsidR="00D358A7">
        <w:rPr>
          <w:rFonts w:ascii="timesroman" w:hAnsi="timesroman"/>
          <w:lang w:val="en-US"/>
        </w:rPr>
        <w:t>n</w:t>
      </w:r>
      <w:r w:rsidRPr="007D089C">
        <w:rPr>
          <w:rFonts w:ascii="timesroman" w:hAnsi="timesroman"/>
          <w:lang w:val="en-US"/>
        </w:rPr>
        <w:t xml:space="preserve"> </w:t>
      </w:r>
      <w:r w:rsidRPr="007D089C">
        <w:rPr>
          <w:rFonts w:ascii="Times-Roman" w:hAnsi="Times-Roman" w:cs="Times-Roman"/>
          <w:lang w:val="en-US"/>
        </w:rPr>
        <w:t>AB SCIEX TripleTOF 5600</w:t>
      </w:r>
      <w:r w:rsidRPr="007D089C">
        <w:rPr>
          <w:rFonts w:ascii="timesroman" w:hAnsi="timesroman"/>
          <w:lang w:val="en-US"/>
        </w:rPr>
        <w:t xml:space="preserve"> to </w:t>
      </w:r>
      <w:r w:rsidR="00D358A7" w:rsidRPr="007D089C">
        <w:rPr>
          <w:rFonts w:ascii="timesroman" w:hAnsi="timesroman"/>
          <w:lang w:val="en-US"/>
        </w:rPr>
        <w:t>analyses</w:t>
      </w:r>
      <w:r w:rsidRPr="007D089C">
        <w:rPr>
          <w:rFonts w:ascii="timesroman" w:hAnsi="timesroman"/>
          <w:lang w:val="en-US"/>
        </w:rPr>
        <w:t xml:space="preserve"> the pooled serum depleted of albumin and IgG from women with adenomyosis (n = 20) and healthy controls (n =20). Amongst the ~150 proteins quantified 25 </w:t>
      </w:r>
      <w:r w:rsidR="009E59C7" w:rsidRPr="007D089C">
        <w:rPr>
          <w:rFonts w:ascii="timesroman" w:hAnsi="timesroman"/>
          <w:lang w:val="en-US"/>
        </w:rPr>
        <w:t xml:space="preserve">were </w:t>
      </w:r>
      <w:r w:rsidRPr="007D089C">
        <w:rPr>
          <w:rFonts w:ascii="timesroman" w:hAnsi="timesroman"/>
          <w:lang w:val="en-US"/>
        </w:rPr>
        <w:t>differentially abundant proteins</w:t>
      </w:r>
      <w:r w:rsidR="00630708" w:rsidRPr="007D089C">
        <w:rPr>
          <w:rFonts w:ascii="timesroman" w:hAnsi="timesroman"/>
          <w:lang w:val="en-US"/>
        </w:rPr>
        <w:t xml:space="preserve"> </w:t>
      </w:r>
      <w:r w:rsidR="009E59C7" w:rsidRPr="007D089C">
        <w:rPr>
          <w:rFonts w:ascii="Times-Roman" w:hAnsi="Times-Roman" w:cs="Times-Roman"/>
          <w:strike/>
          <w:lang w:val="en-US"/>
        </w:rPr>
        <w:fldChar w:fldCharType="begin"/>
      </w:r>
      <w:r w:rsidR="009E59C7" w:rsidRPr="007D089C">
        <w:rPr>
          <w:rFonts w:ascii="Times-Roman" w:hAnsi="Times-Roman" w:cs="Times-Roman"/>
          <w:strike/>
          <w:lang w:val="en-US"/>
        </w:rPr>
        <w:instrText>ADDIN RW.CITE{{ 2036 Xiaoyu,L. 2013}}</w:instrText>
      </w:r>
      <w:r w:rsidR="009E59C7" w:rsidRPr="007D089C">
        <w:rPr>
          <w:rFonts w:ascii="Times-Roman" w:hAnsi="Times-Roman" w:cs="Times-Roman"/>
          <w:strike/>
          <w:lang w:val="en-US"/>
        </w:rPr>
        <w:fldChar w:fldCharType="separate"/>
      </w:r>
      <w:r w:rsidR="00C77B76">
        <w:rPr>
          <w:rFonts w:ascii="Times-Roman" w:hAnsi="Times-Roman" w:cs="Times-Roman"/>
          <w:lang w:val="en-US"/>
        </w:rPr>
        <w:t>(Xiaoyu, Weiyuan, Ping, Anxia, &amp; Liane, 2013)</w:t>
      </w:r>
      <w:r w:rsidR="009E59C7" w:rsidRPr="007D089C">
        <w:rPr>
          <w:rFonts w:ascii="Times-Roman" w:hAnsi="Times-Roman" w:cs="Times-Roman"/>
          <w:strike/>
          <w:lang w:val="en-US"/>
        </w:rPr>
        <w:fldChar w:fldCharType="end"/>
      </w:r>
      <w:r w:rsidRPr="007D089C">
        <w:rPr>
          <w:rFonts w:ascii="timesroman" w:hAnsi="timesroman"/>
          <w:lang w:val="en-US"/>
        </w:rPr>
        <w:t xml:space="preserve">. </w:t>
      </w:r>
      <w:r w:rsidRPr="007D089C">
        <w:rPr>
          <w:lang w:val="en-US"/>
        </w:rPr>
        <w:t xml:space="preserve">Later, Xiaoyu </w:t>
      </w:r>
      <w:r w:rsidRPr="007D089C">
        <w:rPr>
          <w:i/>
          <w:lang w:val="en-US"/>
        </w:rPr>
        <w:t>et al.</w:t>
      </w:r>
      <w:r w:rsidRPr="007D089C">
        <w:rPr>
          <w:lang w:val="en-US"/>
        </w:rPr>
        <w:t xml:space="preserve"> used the same iTRAQ approach to</w:t>
      </w:r>
      <w:r w:rsidRPr="007D089C">
        <w:rPr>
          <w:color w:val="FF0000"/>
          <w:lang w:val="en-US"/>
        </w:rPr>
        <w:t xml:space="preserve"> </w:t>
      </w:r>
      <w:r w:rsidRPr="007D089C">
        <w:rPr>
          <w:lang w:val="en-US"/>
        </w:rPr>
        <w:t xml:space="preserve">compare sera from </w:t>
      </w:r>
      <w:r w:rsidRPr="007D089C">
        <w:rPr>
          <w:rFonts w:ascii="timesroman" w:hAnsi="timesroman"/>
          <w:lang w:val="en-US"/>
        </w:rPr>
        <w:t xml:space="preserve">adenomyosis and endometriosis patients (n =20 vs. 20) </w:t>
      </w:r>
      <w:r w:rsidRPr="007D089C">
        <w:rPr>
          <w:rFonts w:ascii="timesroman" w:hAnsi="timesroman"/>
          <w:lang w:val="en-US"/>
        </w:rPr>
        <w:fldChar w:fldCharType="begin"/>
      </w:r>
      <w:r w:rsidRPr="007D089C">
        <w:rPr>
          <w:rFonts w:ascii="timesroman" w:hAnsi="timesroman"/>
          <w:lang w:val="en-US"/>
        </w:rPr>
        <w:instrText>ADDIN RW.CITE{{2116 Xiaoyu,L. 2014}}</w:instrText>
      </w:r>
      <w:r w:rsidRPr="007D089C">
        <w:rPr>
          <w:rFonts w:ascii="timesroman" w:hAnsi="timesroman"/>
          <w:lang w:val="en-US"/>
        </w:rPr>
        <w:fldChar w:fldCharType="separate"/>
      </w:r>
      <w:r w:rsidR="00C77B76">
        <w:rPr>
          <w:rFonts w:ascii="timesroman" w:hAnsi="timesroman"/>
          <w:lang w:val="en-US"/>
        </w:rPr>
        <w:t>(Xiaoyu, Weiyuan, Ping, Anxia, &amp; Liane, 2014)</w:t>
      </w:r>
      <w:r w:rsidRPr="007D089C">
        <w:rPr>
          <w:rFonts w:ascii="timesroman" w:hAnsi="timesroman"/>
          <w:lang w:val="en-US"/>
        </w:rPr>
        <w:fldChar w:fldCharType="end"/>
      </w:r>
      <w:r w:rsidRPr="007D089C">
        <w:rPr>
          <w:rFonts w:ascii="timesroman" w:hAnsi="timesroman"/>
          <w:lang w:val="en-US"/>
        </w:rPr>
        <w:t xml:space="preserve">. They reported that proteins related to blood coagulation and complement activation were more abundant in adenomyosis, and those related to inflammatory response and the regulation of apoptosis were more abundant in endometriosis. The differential abundance of </w:t>
      </w:r>
      <w:r w:rsidRPr="007D089C">
        <w:rPr>
          <w:lang w:val="en-US"/>
        </w:rPr>
        <w:t>FN1, CD44, CFB, albumin (ALB) and fibrinogen alpha chain (FGA)</w:t>
      </w:r>
      <w:r w:rsidRPr="007D089C">
        <w:rPr>
          <w:rFonts w:ascii="timesroman" w:hAnsi="timesroman"/>
          <w:lang w:val="en-US"/>
        </w:rPr>
        <w:t xml:space="preserve"> were confirmed by Western-blotting.</w:t>
      </w:r>
    </w:p>
    <w:p w14:paraId="6B90F410" w14:textId="0D9F3CB4" w:rsidR="000074EB" w:rsidRPr="007D089C" w:rsidRDefault="003E46CF" w:rsidP="00CE382D">
      <w:pPr>
        <w:autoSpaceDE w:val="0"/>
        <w:autoSpaceDN w:val="0"/>
        <w:adjustRightInd w:val="0"/>
        <w:spacing w:line="480" w:lineRule="auto"/>
        <w:jc w:val="both"/>
        <w:rPr>
          <w:rFonts w:ascii="Times-Roman" w:hAnsi="Times-Roman" w:cs="Times-Roman"/>
          <w:lang w:val="en-US"/>
        </w:rPr>
      </w:pPr>
      <w:r w:rsidRPr="007D089C">
        <w:rPr>
          <w:rFonts w:ascii="timesroman" w:hAnsi="timesroman"/>
          <w:lang w:val="en-US"/>
        </w:rPr>
        <w:t xml:space="preserve"> </w:t>
      </w:r>
      <w:r w:rsidR="00CE382D" w:rsidRPr="007D089C">
        <w:rPr>
          <w:rFonts w:ascii="timesroman" w:hAnsi="timesroman"/>
          <w:lang w:val="en-US"/>
        </w:rPr>
        <w:t xml:space="preserve">Zhao and co-workers </w:t>
      </w:r>
      <w:r w:rsidR="00820A00" w:rsidRPr="007D089C">
        <w:rPr>
          <w:rFonts w:ascii="timesroman" w:hAnsi="timesroman"/>
          <w:lang w:val="en-US"/>
        </w:rPr>
        <w:t xml:space="preserve">have </w:t>
      </w:r>
      <w:r w:rsidR="00CE382D" w:rsidRPr="007D089C">
        <w:rPr>
          <w:rFonts w:ascii="timesroman" w:hAnsi="timesroman"/>
          <w:lang w:val="en-US"/>
        </w:rPr>
        <w:t>investigated biomarkers of gestational diabetes mellitus (GDM) using Proteominer depletion, iTRAQ and ESI (</w:t>
      </w:r>
      <w:r w:rsidR="00CE382D" w:rsidRPr="007D089C">
        <w:rPr>
          <w:rFonts w:ascii="Times-Roman" w:hAnsi="Times-Roman" w:cs="Times-Roman"/>
          <w:lang w:val="en-US"/>
        </w:rPr>
        <w:t xml:space="preserve">TripleTOF 5600). Samples from mothers with GDM were compared with normoglycemic </w:t>
      </w:r>
      <w:r w:rsidR="00FC7692" w:rsidRPr="007D089C">
        <w:rPr>
          <w:rFonts w:ascii="Times-Roman" w:hAnsi="Times-Roman" w:cs="Times-Roman"/>
          <w:lang w:val="en-US"/>
        </w:rPr>
        <w:t>pregnant</w:t>
      </w:r>
      <w:r w:rsidR="00CE382D" w:rsidRPr="007D089C">
        <w:rPr>
          <w:rFonts w:ascii="Times-Roman" w:hAnsi="Times-Roman" w:cs="Times-Roman"/>
          <w:lang w:val="en-US"/>
        </w:rPr>
        <w:t xml:space="preserve"> controls (10 vs. 10), and ELISA used for the validation of the observed differences (20 vs. 20). The validated markers, APOE, F9, FGA and IGFBP5, classified the subjects with high sensitivity and specificity </w:t>
      </w:r>
      <w:r w:rsidR="00CE382D" w:rsidRPr="007D089C">
        <w:rPr>
          <w:rFonts w:ascii="Times-Roman" w:hAnsi="Times-Roman" w:cs="Times-Roman"/>
          <w:lang w:val="en-US"/>
        </w:rPr>
        <w:fldChar w:fldCharType="begin"/>
      </w:r>
      <w:r w:rsidR="00CE382D" w:rsidRPr="007D089C">
        <w:rPr>
          <w:rFonts w:ascii="Times-Roman" w:hAnsi="Times-Roman" w:cs="Times-Roman"/>
          <w:lang w:val="en-US"/>
        </w:rPr>
        <w:instrText>ADDIN RW.CITE{{3134 Zhao,D. 2017}}</w:instrText>
      </w:r>
      <w:r w:rsidR="00CE382D" w:rsidRPr="007D089C">
        <w:rPr>
          <w:rFonts w:ascii="Times-Roman" w:hAnsi="Times-Roman" w:cs="Times-Roman"/>
          <w:lang w:val="en-US"/>
        </w:rPr>
        <w:fldChar w:fldCharType="separate"/>
      </w:r>
      <w:r w:rsidR="00C77B76">
        <w:rPr>
          <w:rFonts w:ascii="Times-Roman" w:hAnsi="Times-Roman" w:cs="Times-Roman"/>
          <w:lang w:val="en-US"/>
        </w:rPr>
        <w:t>(Zhao et al., 2017)</w:t>
      </w:r>
      <w:r w:rsidR="00CE382D" w:rsidRPr="007D089C">
        <w:rPr>
          <w:rFonts w:ascii="Times-Roman" w:hAnsi="Times-Roman" w:cs="Times-Roman"/>
          <w:lang w:val="en-US"/>
        </w:rPr>
        <w:fldChar w:fldCharType="end"/>
      </w:r>
      <w:r w:rsidR="00CE382D" w:rsidRPr="007D089C">
        <w:rPr>
          <w:rFonts w:ascii="Times-Roman" w:hAnsi="Times-Roman" w:cs="Times-Roman"/>
          <w:lang w:val="en-US"/>
        </w:rPr>
        <w:t xml:space="preserve">. </w:t>
      </w:r>
    </w:p>
    <w:p w14:paraId="32F002BF" w14:textId="6BDAFE29" w:rsidR="000074EB" w:rsidRPr="007D089C" w:rsidRDefault="000074EB" w:rsidP="00B43F04">
      <w:pPr>
        <w:autoSpaceDE w:val="0"/>
        <w:autoSpaceDN w:val="0"/>
        <w:adjustRightInd w:val="0"/>
        <w:spacing w:line="480" w:lineRule="auto"/>
        <w:jc w:val="both"/>
        <w:rPr>
          <w:rFonts w:ascii="Times-Roman" w:hAnsi="Times-Roman" w:cs="Times-Roman"/>
          <w:lang w:val="en-US"/>
        </w:rPr>
      </w:pPr>
      <w:r w:rsidRPr="007D089C">
        <w:rPr>
          <w:rFonts w:ascii="Times-Roman" w:hAnsi="Times-Roman" w:cs="Times-Roman"/>
          <w:lang w:val="en-US"/>
        </w:rPr>
        <w:t xml:space="preserve">As well as mapping the changes in maternal serum during pregnancy </w:t>
      </w:r>
      <w:r w:rsidRPr="007D089C">
        <w:rPr>
          <w:rFonts w:ascii="Times-Roman" w:hAnsi="Times-Roman" w:cs="Times-Roman"/>
          <w:lang w:val="en-US"/>
        </w:rPr>
        <w:fldChar w:fldCharType="begin"/>
      </w:r>
      <w:r w:rsidRPr="007D089C">
        <w:rPr>
          <w:rFonts w:ascii="Times-Roman" w:hAnsi="Times-Roman" w:cs="Times-Roman"/>
          <w:lang w:val="en-US"/>
        </w:rPr>
        <w:instrText>ADDIN RW.CITE{{2000 Scholl,P.F. 2012}}</w:instrText>
      </w:r>
      <w:r w:rsidRPr="007D089C">
        <w:rPr>
          <w:rFonts w:ascii="Times-Roman" w:hAnsi="Times-Roman" w:cs="Times-Roman"/>
          <w:lang w:val="en-US"/>
        </w:rPr>
        <w:fldChar w:fldCharType="separate"/>
      </w:r>
      <w:r w:rsidR="00C77B76">
        <w:rPr>
          <w:rFonts w:ascii="Times-Roman" w:hAnsi="Times-Roman" w:cs="Times-Roman"/>
          <w:lang w:val="en-US"/>
        </w:rPr>
        <w:t>(Scholl et al., 2012)</w:t>
      </w:r>
      <w:r w:rsidRPr="007D089C">
        <w:rPr>
          <w:rFonts w:ascii="Times-Roman" w:hAnsi="Times-Roman" w:cs="Times-Roman"/>
          <w:lang w:val="en-US"/>
        </w:rPr>
        <w:fldChar w:fldCharType="end"/>
      </w:r>
      <w:r w:rsidRPr="007D089C">
        <w:rPr>
          <w:rFonts w:ascii="Times-Roman" w:hAnsi="Times-Roman" w:cs="Times-Roman"/>
          <w:lang w:val="en-US"/>
        </w:rPr>
        <w:t xml:space="preserve">, the iTRAQ method has also been used to study complications during pregnancy, such as preeclampsia and intra-uterine growth restriction </w:t>
      </w:r>
      <w:r w:rsidRPr="007D089C">
        <w:rPr>
          <w:rFonts w:ascii="Times-Roman" w:hAnsi="Times-Roman" w:cs="Times-Roman"/>
          <w:lang w:val="en-US"/>
        </w:rPr>
        <w:fldChar w:fldCharType="begin"/>
      </w:r>
      <w:r w:rsidRPr="007D089C">
        <w:rPr>
          <w:rFonts w:ascii="Times-Roman" w:hAnsi="Times-Roman" w:cs="Times-Roman"/>
          <w:lang w:val="en-US"/>
        </w:rPr>
        <w:instrText>ADDIN RW.CITE{{2206 Kolla,V. 2012; 2087 Auer,J. 2010; 2205 Blankley,R.T. 2013}}</w:instrText>
      </w:r>
      <w:r w:rsidRPr="007D089C">
        <w:rPr>
          <w:rFonts w:ascii="Times-Roman" w:hAnsi="Times-Roman" w:cs="Times-Roman"/>
          <w:lang w:val="en-US"/>
        </w:rPr>
        <w:fldChar w:fldCharType="separate"/>
      </w:r>
      <w:r w:rsidR="00C77B76">
        <w:rPr>
          <w:rFonts w:ascii="Times-Roman" w:hAnsi="Times-Roman" w:cs="Times-Roman"/>
          <w:lang w:val="en-US"/>
        </w:rPr>
        <w:t>(Auer et al., 2010; Blankley et al., 2013; Kolla et al., 2012)</w:t>
      </w:r>
      <w:r w:rsidRPr="007D089C">
        <w:rPr>
          <w:rFonts w:ascii="Times-Roman" w:hAnsi="Times-Roman" w:cs="Times-Roman"/>
          <w:lang w:val="en-US"/>
        </w:rPr>
        <w:fldChar w:fldCharType="end"/>
      </w:r>
      <w:r w:rsidRPr="007D089C">
        <w:rPr>
          <w:rFonts w:ascii="Times-Roman" w:hAnsi="Times-Roman" w:cs="Times-Roman"/>
          <w:lang w:val="en-US"/>
        </w:rPr>
        <w:fldChar w:fldCharType="begin"/>
      </w:r>
      <w:r w:rsidRPr="007D089C">
        <w:rPr>
          <w:rFonts w:ascii="Times-Roman" w:hAnsi="Times-Roman" w:cs="Times-Roman"/>
          <w:highlight w:val="yellow"/>
          <w:lang w:val="en-US"/>
        </w:rPr>
        <w:instrText>ADDIN RW.CITE{{1418 Kolla,V. 2010}}</w:instrText>
      </w:r>
      <w:r w:rsidRPr="007D089C">
        <w:rPr>
          <w:rFonts w:ascii="Times-Roman" w:hAnsi="Times-Roman" w:cs="Times-Roman"/>
          <w:lang w:val="en-US"/>
        </w:rPr>
        <w:fldChar w:fldCharType="end"/>
      </w:r>
      <w:r w:rsidR="00C77B76">
        <w:rPr>
          <w:rFonts w:ascii="Times-Roman" w:hAnsi="Times-Roman" w:cs="Times-Roman"/>
          <w:lang w:val="en-US"/>
        </w:rPr>
        <w:t>(Kolla et al., 2010)</w:t>
      </w:r>
      <w:r w:rsidR="009E59C7" w:rsidRPr="007D089C">
        <w:rPr>
          <w:rFonts w:ascii="Times-Roman" w:hAnsi="Times-Roman" w:cs="Times-Roman"/>
          <w:lang w:val="en-US"/>
        </w:rPr>
        <w:t>,</w:t>
      </w:r>
      <w:r w:rsidRPr="007D089C">
        <w:rPr>
          <w:rFonts w:ascii="Times-Roman" w:hAnsi="Times-Roman" w:cs="Times-Roman"/>
          <w:lang w:val="en-US"/>
        </w:rPr>
        <w:t xml:space="preserve"> in addition to evaluating the effects of smoking on the cord blood serum proteome </w:t>
      </w:r>
      <w:r w:rsidRPr="007D089C">
        <w:rPr>
          <w:rFonts w:ascii="Times-Roman" w:hAnsi="Times-Roman" w:cs="Times-Roman"/>
          <w:lang w:val="en-US"/>
        </w:rPr>
        <w:fldChar w:fldCharType="begin"/>
      </w:r>
      <w:r w:rsidRPr="007D089C">
        <w:rPr>
          <w:rFonts w:ascii="Times-Roman" w:hAnsi="Times-Roman" w:cs="Times-Roman"/>
          <w:lang w:val="en-US"/>
        </w:rPr>
        <w:instrText>ADDIN RW.CITE{{1458 Colquhoun,D.R. 2009}}</w:instrText>
      </w:r>
      <w:r w:rsidRPr="007D089C">
        <w:rPr>
          <w:rFonts w:ascii="Times-Roman" w:hAnsi="Times-Roman" w:cs="Times-Roman"/>
          <w:lang w:val="en-US"/>
        </w:rPr>
        <w:fldChar w:fldCharType="separate"/>
      </w:r>
      <w:r w:rsidR="00C77B76">
        <w:rPr>
          <w:rFonts w:ascii="Times-Roman" w:hAnsi="Times-Roman" w:cs="Times-Roman"/>
          <w:lang w:val="en-US"/>
        </w:rPr>
        <w:t>(Colquhoun et al., 2009)</w:t>
      </w:r>
      <w:r w:rsidRPr="007D089C">
        <w:rPr>
          <w:rFonts w:ascii="Times-Roman" w:hAnsi="Times-Roman" w:cs="Times-Roman"/>
          <w:lang w:val="en-US"/>
        </w:rPr>
        <w:fldChar w:fldCharType="end"/>
      </w:r>
      <w:r w:rsidRPr="007D089C">
        <w:rPr>
          <w:rFonts w:ascii="Times-Roman" w:hAnsi="Times-Roman" w:cs="Times-Roman"/>
          <w:lang w:val="en-US"/>
        </w:rPr>
        <w:t xml:space="preserve">.  Auer and co-workers used iTRAQ to compare the plasma of women with </w:t>
      </w:r>
      <w:r w:rsidRPr="007D089C">
        <w:rPr>
          <w:rFonts w:ascii="timesroman" w:hAnsi="timesroman"/>
          <w:lang w:val="en-US"/>
        </w:rPr>
        <w:t xml:space="preserve">preeclampsia and/or intra-uterine growth restriction with healthy controls (~ 40 subjects in total). Among the proteins differentially expressed with intra-uterine growth restriction were those from the complement and coagulation cascades </w:t>
      </w:r>
      <w:r w:rsidRPr="007D089C">
        <w:rPr>
          <w:rFonts w:ascii="timesroman" w:hAnsi="timesroman"/>
          <w:lang w:val="en-US"/>
        </w:rPr>
        <w:fldChar w:fldCharType="begin"/>
      </w:r>
      <w:r w:rsidRPr="007D089C">
        <w:rPr>
          <w:rFonts w:ascii="timesroman" w:hAnsi="timesroman"/>
          <w:lang w:val="en-US"/>
        </w:rPr>
        <w:instrText>ADDIN RW.CITE{{2087 Auer,J. 2010}}</w:instrText>
      </w:r>
      <w:r w:rsidRPr="007D089C">
        <w:rPr>
          <w:rFonts w:ascii="timesroman" w:hAnsi="timesroman"/>
          <w:lang w:val="en-US"/>
        </w:rPr>
        <w:fldChar w:fldCharType="separate"/>
      </w:r>
      <w:r w:rsidR="00C77B76">
        <w:rPr>
          <w:rFonts w:ascii="timesroman" w:hAnsi="timesroman"/>
          <w:lang w:val="en-US"/>
        </w:rPr>
        <w:t>(Auer et al., 2010)</w:t>
      </w:r>
      <w:r w:rsidRPr="007D089C">
        <w:rPr>
          <w:rFonts w:ascii="timesroman" w:hAnsi="timesroman"/>
          <w:lang w:val="en-US"/>
        </w:rPr>
        <w:fldChar w:fldCharType="end"/>
      </w:r>
      <w:r w:rsidRPr="007D089C">
        <w:rPr>
          <w:rFonts w:ascii="timesroman" w:hAnsi="timesroman"/>
          <w:lang w:val="en-US"/>
        </w:rPr>
        <w:t xml:space="preserve">. </w:t>
      </w:r>
    </w:p>
    <w:p w14:paraId="3CA639D2" w14:textId="6426218C" w:rsidR="000074EB" w:rsidRPr="007D089C" w:rsidRDefault="000074EB" w:rsidP="00B43F04">
      <w:pPr>
        <w:autoSpaceDE w:val="0"/>
        <w:autoSpaceDN w:val="0"/>
        <w:adjustRightInd w:val="0"/>
        <w:spacing w:line="480" w:lineRule="auto"/>
        <w:jc w:val="both"/>
        <w:rPr>
          <w:rFonts w:ascii="timesroman" w:hAnsi="timesroman"/>
          <w:lang w:val="en-US"/>
        </w:rPr>
      </w:pPr>
      <w:r w:rsidRPr="007D089C">
        <w:rPr>
          <w:rFonts w:ascii="Times-Roman" w:hAnsi="Times-Roman" w:cs="Times-Roman"/>
          <w:lang w:val="en-US"/>
        </w:rPr>
        <w:t xml:space="preserve">Analysis of the plasma proteome in relation to potential birth and genetic defects have included the iTRAQ-based comparisons of plasma from mothers bearing Down syndrome </w:t>
      </w:r>
      <w:r w:rsidR="00D358A7" w:rsidRPr="007D089C">
        <w:rPr>
          <w:rFonts w:ascii="Times-Roman" w:hAnsi="Times-Roman" w:cs="Times-Roman"/>
          <w:lang w:val="en-US"/>
        </w:rPr>
        <w:t>fetuses</w:t>
      </w:r>
      <w:r w:rsidRPr="007D089C">
        <w:rPr>
          <w:rFonts w:ascii="Times-Roman" w:hAnsi="Times-Roman" w:cs="Times-Roman"/>
          <w:lang w:val="en-US"/>
        </w:rPr>
        <w:t xml:space="preserve"> with plasma from uncomplicated pregnancies </w:t>
      </w:r>
      <w:r w:rsidRPr="007D089C">
        <w:rPr>
          <w:rFonts w:ascii="Times-Roman" w:hAnsi="Times-Roman" w:cs="Times-Roman"/>
          <w:lang w:val="en-US"/>
        </w:rPr>
        <w:fldChar w:fldCharType="begin"/>
      </w:r>
      <w:r w:rsidRPr="007D089C">
        <w:rPr>
          <w:rFonts w:ascii="Times-Roman" w:hAnsi="Times-Roman" w:cs="Times-Roman"/>
          <w:lang w:val="en-US"/>
        </w:rPr>
        <w:instrText>ADDIN RW.CITE{{1418 Kolla,V. 2010}}</w:instrText>
      </w:r>
      <w:r w:rsidRPr="007D089C">
        <w:rPr>
          <w:rFonts w:ascii="Times-Roman" w:hAnsi="Times-Roman" w:cs="Times-Roman"/>
          <w:lang w:val="en-US"/>
        </w:rPr>
        <w:fldChar w:fldCharType="separate"/>
      </w:r>
      <w:r w:rsidR="00C77B76">
        <w:rPr>
          <w:rFonts w:ascii="Times-Roman" w:hAnsi="Times-Roman" w:cs="Times-Roman"/>
          <w:lang w:val="en-US"/>
        </w:rPr>
        <w:t>(Kolla et al., 2010)</w:t>
      </w:r>
      <w:r w:rsidRPr="007D089C">
        <w:rPr>
          <w:rFonts w:ascii="Times-Roman" w:hAnsi="Times-Roman" w:cs="Times-Roman"/>
          <w:lang w:val="en-US"/>
        </w:rPr>
        <w:fldChar w:fldCharType="end"/>
      </w:r>
      <w:r w:rsidRPr="007D089C">
        <w:rPr>
          <w:rFonts w:ascii="Times-Roman" w:hAnsi="Times-Roman" w:cs="Times-Roman"/>
          <w:lang w:val="en-US"/>
        </w:rPr>
        <w:t xml:space="preserve">, and </w:t>
      </w:r>
      <w:r w:rsidRPr="007D089C">
        <w:rPr>
          <w:rFonts w:ascii="timesroman" w:hAnsi="timesroman"/>
          <w:lang w:val="en-US"/>
        </w:rPr>
        <w:t xml:space="preserve">serum of pregnant women carrying a </w:t>
      </w:r>
      <w:r w:rsidR="00D358A7" w:rsidRPr="007D089C">
        <w:rPr>
          <w:rFonts w:ascii="timesroman" w:hAnsi="timesroman"/>
          <w:lang w:val="en-US"/>
        </w:rPr>
        <w:t>fetus</w:t>
      </w:r>
      <w:r w:rsidRPr="007D089C">
        <w:rPr>
          <w:rFonts w:ascii="timesroman" w:hAnsi="timesroman"/>
          <w:lang w:val="en-US"/>
        </w:rPr>
        <w:t xml:space="preserve"> with conotruncal heart defects </w:t>
      </w:r>
      <w:r w:rsidRPr="007D089C">
        <w:rPr>
          <w:rFonts w:ascii="timesroman" w:hAnsi="timesroman"/>
          <w:lang w:val="en-US"/>
        </w:rPr>
        <w:fldChar w:fldCharType="begin"/>
      </w:r>
      <w:r w:rsidRPr="007D089C">
        <w:rPr>
          <w:rFonts w:ascii="timesroman" w:hAnsi="timesroman"/>
          <w:lang w:val="en-US"/>
        </w:rPr>
        <w:instrText>ADDIN RW.CITE{{1903 Zhang,Y. 2014}}</w:instrText>
      </w:r>
      <w:r w:rsidRPr="007D089C">
        <w:rPr>
          <w:rFonts w:ascii="timesroman" w:hAnsi="timesroman"/>
          <w:lang w:val="en-US"/>
        </w:rPr>
        <w:fldChar w:fldCharType="separate"/>
      </w:r>
      <w:r w:rsidR="00C77B76">
        <w:rPr>
          <w:rFonts w:ascii="timesroman" w:hAnsi="timesroman"/>
          <w:lang w:val="en-US"/>
        </w:rPr>
        <w:t>(Y. Zhang et al., 2014)</w:t>
      </w:r>
      <w:r w:rsidRPr="007D089C">
        <w:rPr>
          <w:rFonts w:ascii="timesroman" w:hAnsi="timesroman"/>
          <w:lang w:val="en-US"/>
        </w:rPr>
        <w:fldChar w:fldCharType="end"/>
      </w:r>
      <w:r w:rsidRPr="007D089C">
        <w:rPr>
          <w:rFonts w:ascii="timesroman" w:hAnsi="timesroman"/>
          <w:lang w:val="en-US"/>
        </w:rPr>
        <w:fldChar w:fldCharType="begin"/>
      </w:r>
      <w:r w:rsidRPr="007D089C">
        <w:rPr>
          <w:rFonts w:ascii="timesroman" w:hAnsi="timesroman"/>
          <w:lang w:val="en-US"/>
        </w:rPr>
        <w:instrText>ADDIN RW.CITE{{2265 Chen,L. 2016}}</w:instrText>
      </w:r>
      <w:r w:rsidRPr="007D089C">
        <w:rPr>
          <w:rFonts w:ascii="timesroman" w:hAnsi="timesroman"/>
          <w:lang w:val="en-US"/>
        </w:rPr>
        <w:fldChar w:fldCharType="separate"/>
      </w:r>
      <w:r w:rsidR="00C77B76">
        <w:rPr>
          <w:rFonts w:ascii="timesroman" w:hAnsi="timesroman"/>
          <w:lang w:val="en-US"/>
        </w:rPr>
        <w:t>(L. Chen et al., 2016)</w:t>
      </w:r>
      <w:r w:rsidRPr="007D089C">
        <w:rPr>
          <w:rFonts w:ascii="timesroman" w:hAnsi="timesroman"/>
          <w:lang w:val="en-US"/>
        </w:rPr>
        <w:fldChar w:fldCharType="end"/>
      </w:r>
      <w:r w:rsidRPr="007D089C">
        <w:rPr>
          <w:rFonts w:ascii="timesroman" w:hAnsi="timesroman"/>
          <w:lang w:val="en-US"/>
        </w:rPr>
        <w:t xml:space="preserve">. Sui </w:t>
      </w:r>
      <w:r w:rsidRPr="007D089C">
        <w:rPr>
          <w:rFonts w:ascii="timesroman" w:hAnsi="timesroman"/>
          <w:i/>
          <w:lang w:val="en-US"/>
        </w:rPr>
        <w:t>et al.</w:t>
      </w:r>
      <w:r w:rsidRPr="007D089C">
        <w:rPr>
          <w:rFonts w:ascii="timesroman" w:hAnsi="timesroman"/>
          <w:lang w:val="en-US"/>
        </w:rPr>
        <w:t xml:space="preserve"> compared </w:t>
      </w:r>
      <w:r w:rsidR="00FC7692" w:rsidRPr="007D089C">
        <w:rPr>
          <w:rFonts w:ascii="timesroman" w:hAnsi="timesroman"/>
          <w:lang w:val="en-US"/>
        </w:rPr>
        <w:t>umbilical</w:t>
      </w:r>
      <w:r w:rsidRPr="007D089C">
        <w:rPr>
          <w:rFonts w:ascii="timesroman" w:hAnsi="timesroman"/>
          <w:lang w:val="en-US"/>
        </w:rPr>
        <w:t xml:space="preserve"> cord blood from mothers carrying Down syndrome </w:t>
      </w:r>
      <w:r w:rsidR="00D358A7" w:rsidRPr="007D089C">
        <w:rPr>
          <w:rFonts w:ascii="timesroman" w:hAnsi="timesroman"/>
          <w:lang w:val="en-US"/>
        </w:rPr>
        <w:t>fetuses</w:t>
      </w:r>
      <w:r w:rsidRPr="007D089C">
        <w:rPr>
          <w:rFonts w:ascii="timesroman" w:hAnsi="timesroman"/>
          <w:lang w:val="en-US"/>
        </w:rPr>
        <w:t xml:space="preserve"> (n = 6) and </w:t>
      </w:r>
      <w:r w:rsidR="00FC7692" w:rsidRPr="007D089C">
        <w:rPr>
          <w:rFonts w:ascii="timesroman" w:hAnsi="timesroman"/>
          <w:lang w:val="en-US"/>
        </w:rPr>
        <w:t>healthy</w:t>
      </w:r>
      <w:r w:rsidRPr="007D089C">
        <w:rPr>
          <w:rFonts w:ascii="timesroman" w:hAnsi="timesroman"/>
          <w:lang w:val="en-US"/>
        </w:rPr>
        <w:t xml:space="preserve"> </w:t>
      </w:r>
      <w:r w:rsidR="00D358A7" w:rsidRPr="007D089C">
        <w:rPr>
          <w:rFonts w:ascii="timesroman" w:hAnsi="timesroman"/>
          <w:lang w:val="en-US"/>
        </w:rPr>
        <w:t>fetuses</w:t>
      </w:r>
      <w:r w:rsidRPr="007D089C">
        <w:rPr>
          <w:rFonts w:ascii="timesroman" w:hAnsi="timesroman"/>
          <w:lang w:val="en-US"/>
        </w:rPr>
        <w:t xml:space="preserve"> (n =11). Using iTRAQ labelling, SCX fractionation and LC-MALDI they identified 505 proteins and reported five putative biomarkers </w:t>
      </w:r>
      <w:r w:rsidRPr="007D089C">
        <w:rPr>
          <w:rFonts w:ascii="timesroman" w:hAnsi="timesroman"/>
          <w:lang w:val="en-US"/>
        </w:rPr>
        <w:fldChar w:fldCharType="begin"/>
      </w:r>
      <w:r w:rsidRPr="007D089C">
        <w:rPr>
          <w:rFonts w:ascii="timesroman" w:hAnsi="timesroman"/>
          <w:lang w:val="en-US"/>
        </w:rPr>
        <w:instrText>ADDIN RW.CITE{{1905 Sui,W. 2015}}</w:instrText>
      </w:r>
      <w:r w:rsidRPr="007D089C">
        <w:rPr>
          <w:rFonts w:ascii="timesroman" w:hAnsi="timesroman"/>
          <w:lang w:val="en-US"/>
        </w:rPr>
        <w:fldChar w:fldCharType="separate"/>
      </w:r>
      <w:r w:rsidR="00C77B76">
        <w:rPr>
          <w:rFonts w:ascii="timesroman" w:hAnsi="timesroman"/>
          <w:lang w:val="en-US"/>
        </w:rPr>
        <w:t>(Sui et al., 2015)</w:t>
      </w:r>
      <w:r w:rsidRPr="007D089C">
        <w:rPr>
          <w:rFonts w:ascii="timesroman" w:hAnsi="timesroman"/>
          <w:lang w:val="en-US"/>
        </w:rPr>
        <w:fldChar w:fldCharType="end"/>
      </w:r>
      <w:r w:rsidRPr="007D089C">
        <w:rPr>
          <w:rFonts w:ascii="timesroman" w:hAnsi="timesroman"/>
          <w:lang w:val="en-US"/>
        </w:rPr>
        <w:t>.</w:t>
      </w:r>
    </w:p>
    <w:p w14:paraId="5004FE5C" w14:textId="77777777" w:rsidR="000074EB" w:rsidRPr="007D089C" w:rsidRDefault="000074EB" w:rsidP="00C141DD">
      <w:pPr>
        <w:pStyle w:val="Heading2"/>
        <w:spacing w:line="240" w:lineRule="auto"/>
      </w:pPr>
      <w:bookmarkStart w:id="19" w:name="_Toc483395829"/>
      <w:r w:rsidRPr="007D089C">
        <w:t>Infection</w:t>
      </w:r>
      <w:bookmarkEnd w:id="19"/>
    </w:p>
    <w:p w14:paraId="6A9EFDCA" w14:textId="0D61A8B2" w:rsidR="000074EB" w:rsidRPr="007D089C" w:rsidRDefault="000074EB" w:rsidP="00B43F04">
      <w:pPr>
        <w:spacing w:line="480" w:lineRule="auto"/>
        <w:rPr>
          <w:rFonts w:ascii="Times-Roman" w:hAnsi="Times-Roman" w:cs="Times-Roman"/>
          <w:lang w:val="en-US"/>
        </w:rPr>
      </w:pPr>
      <w:r w:rsidRPr="007D089C">
        <w:rPr>
          <w:rFonts w:ascii="Times-Roman" w:hAnsi="Times-Roman" w:cs="Times-Roman"/>
          <w:lang w:val="en-US"/>
        </w:rPr>
        <w:t xml:space="preserve">Isobaric labelling-based studies of the plasma proteome in response </w:t>
      </w:r>
      <w:r w:rsidR="005C7057" w:rsidRPr="007D089C">
        <w:rPr>
          <w:rFonts w:ascii="Times-Roman" w:hAnsi="Times-Roman" w:cs="Times-Roman"/>
          <w:lang w:val="en-US"/>
        </w:rPr>
        <w:t>to</w:t>
      </w:r>
      <w:r w:rsidR="005C7057" w:rsidRPr="007D089C">
        <w:rPr>
          <w:rFonts w:ascii="Times-Roman" w:hAnsi="Times-Roman" w:cs="Times-Roman"/>
          <w:color w:val="FF0000"/>
          <w:lang w:val="en-US"/>
        </w:rPr>
        <w:t xml:space="preserve"> </w:t>
      </w:r>
      <w:r w:rsidRPr="007D089C">
        <w:rPr>
          <w:rFonts w:ascii="Times-Roman" w:hAnsi="Times-Roman" w:cs="Times-Roman"/>
          <w:lang w:val="en-US"/>
        </w:rPr>
        <w:t xml:space="preserve">infection have ranged from bacterial, parasitic (i.e. Malaria </w:t>
      </w:r>
      <w:r w:rsidRPr="007D089C">
        <w:rPr>
          <w:rFonts w:ascii="Times-Roman" w:hAnsi="Times-Roman" w:cs="Times-Roman"/>
          <w:lang w:val="en-US"/>
        </w:rPr>
        <w:fldChar w:fldCharType="begin"/>
      </w:r>
      <w:r w:rsidRPr="007D089C">
        <w:rPr>
          <w:rFonts w:ascii="Times-Roman" w:hAnsi="Times-Roman" w:cs="Times-Roman"/>
          <w:lang w:val="en-US"/>
        </w:rPr>
        <w:instrText>ADDIN RW.CITE{{1904 Mu,A.K. 2014}}</w:instrText>
      </w:r>
      <w:r w:rsidRPr="007D089C">
        <w:rPr>
          <w:rFonts w:ascii="Times-Roman" w:hAnsi="Times-Roman" w:cs="Times-Roman"/>
          <w:lang w:val="en-US"/>
        </w:rPr>
        <w:fldChar w:fldCharType="separate"/>
      </w:r>
      <w:r w:rsidR="00C77B76">
        <w:rPr>
          <w:rFonts w:ascii="Times-Roman" w:hAnsi="Times-Roman" w:cs="Times-Roman"/>
          <w:lang w:val="en-US"/>
        </w:rPr>
        <w:t>(Mu, Bee, Lau, &amp; Chen, 2014)</w:t>
      </w:r>
      <w:r w:rsidRPr="007D089C">
        <w:rPr>
          <w:rFonts w:ascii="Times-Roman" w:hAnsi="Times-Roman" w:cs="Times-Roman"/>
          <w:lang w:val="en-US"/>
        </w:rPr>
        <w:fldChar w:fldCharType="end"/>
      </w:r>
      <w:r w:rsidRPr="007D089C">
        <w:rPr>
          <w:rFonts w:ascii="Times-Roman" w:hAnsi="Times-Roman" w:cs="Times-Roman"/>
          <w:lang w:val="en-US"/>
        </w:rPr>
        <w:t xml:space="preserve"> ) and viral encounters (see </w:t>
      </w:r>
      <w:r w:rsidRPr="007D089C">
        <w:rPr>
          <w:rFonts w:ascii="Times-Roman" w:hAnsi="Times-Roman" w:cs="Times-Roman"/>
          <w:b/>
          <w:lang w:val="en-US"/>
        </w:rPr>
        <w:t>Table 5</w:t>
      </w:r>
      <w:r w:rsidR="005C7057" w:rsidRPr="007D089C">
        <w:rPr>
          <w:rFonts w:ascii="Times-Roman" w:hAnsi="Times-Roman" w:cs="Times-Roman"/>
          <w:b/>
          <w:lang w:val="en-US"/>
        </w:rPr>
        <w:t>a</w:t>
      </w:r>
      <w:r w:rsidRPr="007D089C">
        <w:rPr>
          <w:rFonts w:ascii="Times-Roman" w:hAnsi="Times-Roman" w:cs="Times-Roman"/>
          <w:lang w:val="en-US"/>
        </w:rPr>
        <w:t xml:space="preserve">). Bacterial studies include iTRAQ studies of pulmonary tuberculosis (PTB) in humans </w:t>
      </w:r>
      <w:r w:rsidRPr="007D089C">
        <w:rPr>
          <w:rFonts w:ascii="Times-Roman" w:hAnsi="Times-Roman" w:cs="Times-Roman"/>
          <w:lang w:val="en-US"/>
        </w:rPr>
        <w:fldChar w:fldCharType="begin"/>
      </w:r>
      <w:r w:rsidRPr="007D089C">
        <w:rPr>
          <w:rFonts w:ascii="Times-Roman" w:hAnsi="Times-Roman" w:cs="Times-Roman"/>
          <w:lang w:val="en-US"/>
        </w:rPr>
        <w:instrText>ADDIN RW.CITE{{2093 Xu,D.D. 2014; 1907 Xu,D. 2015; 2198 Li,C. 2015; 2254 Wang,C. 2016}}</w:instrText>
      </w:r>
      <w:r w:rsidRPr="007D089C">
        <w:rPr>
          <w:rFonts w:ascii="Times-Roman" w:hAnsi="Times-Roman" w:cs="Times-Roman"/>
          <w:lang w:val="en-US"/>
        </w:rPr>
        <w:fldChar w:fldCharType="separate"/>
      </w:r>
      <w:r w:rsidR="00C77B76">
        <w:rPr>
          <w:rFonts w:ascii="Times-Roman" w:hAnsi="Times-Roman" w:cs="Times-Roman"/>
          <w:lang w:val="en-US"/>
        </w:rPr>
        <w:t>(C. Li et al., 2015; C. Wang et al., 2016; D. Xu et al., 2015; D. D. Xu et al., 2014)</w:t>
      </w:r>
      <w:r w:rsidRPr="007D089C">
        <w:rPr>
          <w:rFonts w:ascii="Times-Roman" w:hAnsi="Times-Roman" w:cs="Times-Roman"/>
          <w:lang w:val="en-US"/>
        </w:rPr>
        <w:fldChar w:fldCharType="end"/>
      </w:r>
      <w:r w:rsidRPr="007D089C">
        <w:rPr>
          <w:rFonts w:ascii="Times-Roman" w:hAnsi="Times-Roman" w:cs="Times-Roman"/>
          <w:lang w:val="en-US"/>
        </w:rPr>
        <w:t xml:space="preserve">  and mycobacterial infections in cattle </w:t>
      </w:r>
      <w:r w:rsidRPr="007D089C">
        <w:rPr>
          <w:rFonts w:ascii="Times-Roman" w:hAnsi="Times-Roman" w:cs="Times-Roman"/>
          <w:lang w:val="en-US"/>
        </w:rPr>
        <w:fldChar w:fldCharType="begin"/>
      </w:r>
      <w:r w:rsidRPr="007D089C">
        <w:rPr>
          <w:rFonts w:ascii="Times-Roman" w:hAnsi="Times-Roman" w:cs="Times-Roman"/>
          <w:lang w:val="en-US"/>
        </w:rPr>
        <w:instrText xml:space="preserve">ADDIN </w:instrText>
      </w:r>
      <w:r w:rsidRPr="007D089C">
        <w:rPr>
          <w:rFonts w:ascii="Times-Roman" w:hAnsi="Times-Roman" w:cs="Times-Roman"/>
          <w:highlight w:val="yellow"/>
          <w:lang w:val="en-US"/>
        </w:rPr>
        <w:instrText>RW.CITE{{1459 Seth,M. 2009}}</w:instrText>
      </w:r>
      <w:r w:rsidRPr="007D089C">
        <w:rPr>
          <w:rFonts w:ascii="Times-Roman" w:hAnsi="Times-Roman" w:cs="Times-Roman"/>
          <w:lang w:val="en-US"/>
        </w:rPr>
        <w:fldChar w:fldCharType="separate"/>
      </w:r>
      <w:r w:rsidR="00C77B76">
        <w:rPr>
          <w:rFonts w:ascii="Times-Roman" w:hAnsi="Times-Roman" w:cs="Times-Roman"/>
          <w:lang w:val="en-US"/>
        </w:rPr>
        <w:t>(Seth et al., 2009)</w:t>
      </w:r>
      <w:r w:rsidRPr="007D089C">
        <w:rPr>
          <w:rFonts w:ascii="Times-Roman" w:hAnsi="Times-Roman" w:cs="Times-Roman"/>
          <w:lang w:val="en-US"/>
        </w:rPr>
        <w:fldChar w:fldCharType="end"/>
      </w:r>
      <w:r w:rsidRPr="007D089C">
        <w:rPr>
          <w:rFonts w:ascii="Times-Roman" w:hAnsi="Times-Roman" w:cs="Times-Roman"/>
          <w:lang w:val="en-US"/>
        </w:rPr>
        <w:t xml:space="preserve">. In the works of Xu </w:t>
      </w:r>
      <w:r w:rsidRPr="007D089C">
        <w:rPr>
          <w:rFonts w:ascii="Times-Roman" w:hAnsi="Times-Roman" w:cs="Times-Roman"/>
          <w:i/>
          <w:lang w:val="en-US"/>
        </w:rPr>
        <w:t>et al.</w:t>
      </w:r>
      <w:r w:rsidRPr="007D089C">
        <w:rPr>
          <w:rFonts w:ascii="Times-Roman" w:hAnsi="Times-Roman" w:cs="Times-Roman"/>
          <w:lang w:val="en-US"/>
        </w:rPr>
        <w:t xml:space="preserve"> and Wang and co-workers, differences in serum proteome were studied in association with PTB </w:t>
      </w:r>
      <w:r w:rsidRPr="007D089C">
        <w:rPr>
          <w:rFonts w:ascii="Times-Roman" w:hAnsi="Times-Roman" w:cs="Times-Roman"/>
          <w:lang w:val="en-US"/>
        </w:rPr>
        <w:fldChar w:fldCharType="begin"/>
      </w:r>
      <w:r w:rsidRPr="007D089C">
        <w:rPr>
          <w:rFonts w:ascii="Times-Roman" w:hAnsi="Times-Roman" w:cs="Times-Roman"/>
          <w:lang w:val="en-US"/>
        </w:rPr>
        <w:instrText>ADDIN RW.CITE{{2093 Xu,D.D. 2014; 1907 Xu,D. 2015}}</w:instrText>
      </w:r>
      <w:r w:rsidRPr="007D089C">
        <w:rPr>
          <w:rFonts w:ascii="Times-Roman" w:hAnsi="Times-Roman" w:cs="Times-Roman"/>
          <w:lang w:val="en-US"/>
        </w:rPr>
        <w:fldChar w:fldCharType="separate"/>
      </w:r>
      <w:r w:rsidR="00C77B76">
        <w:rPr>
          <w:rFonts w:ascii="Times-Roman" w:hAnsi="Times-Roman" w:cs="Times-Roman"/>
          <w:lang w:val="en-US"/>
        </w:rPr>
        <w:t>(D. Xu et al., 2015; D. D. Xu et al., 2014)</w:t>
      </w:r>
      <w:r w:rsidRPr="007D089C">
        <w:rPr>
          <w:rFonts w:ascii="Times-Roman" w:hAnsi="Times-Roman" w:cs="Times-Roman"/>
          <w:lang w:val="en-US"/>
        </w:rPr>
        <w:fldChar w:fldCharType="end"/>
      </w:r>
      <w:r w:rsidRPr="007D089C">
        <w:rPr>
          <w:rFonts w:ascii="Times-Roman" w:hAnsi="Times-Roman" w:cs="Times-Roman"/>
          <w:lang w:val="en-US"/>
        </w:rPr>
        <w:fldChar w:fldCharType="begin"/>
      </w:r>
      <w:r w:rsidRPr="007D089C">
        <w:rPr>
          <w:rFonts w:ascii="Times-Roman" w:hAnsi="Times-Roman" w:cs="Times-Roman"/>
          <w:lang w:val="en-US"/>
        </w:rPr>
        <w:instrText>ADDIN RW.CITE{{2236 Wang,C. 2015}}</w:instrText>
      </w:r>
      <w:r w:rsidRPr="007D089C">
        <w:rPr>
          <w:rFonts w:ascii="Times-Roman" w:hAnsi="Times-Roman" w:cs="Times-Roman"/>
          <w:lang w:val="en-US"/>
        </w:rPr>
        <w:fldChar w:fldCharType="separate"/>
      </w:r>
      <w:r w:rsidR="00C77B76">
        <w:rPr>
          <w:rFonts w:ascii="Times-Roman" w:hAnsi="Times-Roman" w:cs="Times-Roman"/>
          <w:lang w:val="en-US"/>
        </w:rPr>
        <w:t>(C. Wang et al., 2015)</w:t>
      </w:r>
      <w:r w:rsidRPr="007D089C">
        <w:rPr>
          <w:rFonts w:ascii="Times-Roman" w:hAnsi="Times-Roman" w:cs="Times-Roman"/>
          <w:lang w:val="en-US"/>
        </w:rPr>
        <w:fldChar w:fldCharType="end"/>
      </w:r>
      <w:r w:rsidRPr="007D089C">
        <w:rPr>
          <w:rFonts w:ascii="Times-Roman" w:hAnsi="Times-Roman" w:cs="Times-Roman"/>
          <w:lang w:val="en-US"/>
        </w:rPr>
        <w:t xml:space="preserve">. Included in these was the use of a pooled iTRAQ strategy to compare treated, untreated and cured PTB patients with healthy controls (250 samples in total), in which markers of cured PTB were identified </w:t>
      </w:r>
      <w:r w:rsidRPr="007D089C">
        <w:rPr>
          <w:rFonts w:ascii="Times-Roman" w:hAnsi="Times-Roman" w:cs="Times-Roman"/>
          <w:lang w:val="en-US"/>
        </w:rPr>
        <w:fldChar w:fldCharType="begin"/>
      </w:r>
      <w:r w:rsidRPr="007D089C">
        <w:rPr>
          <w:rFonts w:ascii="Times-Roman" w:hAnsi="Times-Roman" w:cs="Times-Roman"/>
          <w:lang w:val="en-US"/>
        </w:rPr>
        <w:instrText>ADDIN RW.CITE{{2236 Wang,C. 2015}}</w:instrText>
      </w:r>
      <w:r w:rsidRPr="007D089C">
        <w:rPr>
          <w:rFonts w:ascii="Times-Roman" w:hAnsi="Times-Roman" w:cs="Times-Roman"/>
          <w:lang w:val="en-US"/>
        </w:rPr>
        <w:fldChar w:fldCharType="separate"/>
      </w:r>
      <w:r w:rsidR="00C77B76">
        <w:rPr>
          <w:rFonts w:ascii="Times-Roman" w:hAnsi="Times-Roman" w:cs="Times-Roman"/>
          <w:lang w:val="en-US"/>
        </w:rPr>
        <w:t>(C. Wang et al., 2015)</w:t>
      </w:r>
      <w:r w:rsidRPr="007D089C">
        <w:rPr>
          <w:rFonts w:ascii="Times-Roman" w:hAnsi="Times-Roman" w:cs="Times-Roman"/>
          <w:lang w:val="en-US"/>
        </w:rPr>
        <w:fldChar w:fldCharType="end"/>
      </w:r>
      <w:r w:rsidRPr="007D089C">
        <w:rPr>
          <w:rFonts w:ascii="Times-Roman" w:hAnsi="Times-Roman" w:cs="Times-Roman"/>
          <w:lang w:val="en-US"/>
        </w:rPr>
        <w:t xml:space="preserve">.  Whilst the latter studies were performed using ESI (AB Sciex 5600), </w:t>
      </w:r>
      <w:r w:rsidRPr="007D089C">
        <w:rPr>
          <w:rFonts w:ascii="timesroman" w:hAnsi="timesroman"/>
          <w:lang w:val="en-US"/>
        </w:rPr>
        <w:t xml:space="preserve">Li, C. </w:t>
      </w:r>
      <w:r w:rsidRPr="007D089C">
        <w:rPr>
          <w:rFonts w:ascii="timesroman" w:hAnsi="timesroman"/>
          <w:i/>
          <w:lang w:val="en-US"/>
        </w:rPr>
        <w:t>et al.</w:t>
      </w:r>
      <w:r w:rsidRPr="007D089C">
        <w:rPr>
          <w:rFonts w:ascii="timesroman" w:hAnsi="timesroman"/>
          <w:lang w:val="en-US"/>
        </w:rPr>
        <w:t xml:space="preserve"> used MALDI-TOF/TOF (</w:t>
      </w:r>
      <w:r w:rsidRPr="007D089C">
        <w:rPr>
          <w:rFonts w:ascii="Times-Roman" w:hAnsi="Times-Roman" w:cs="Times-Roman"/>
          <w:lang w:val="en-US"/>
        </w:rPr>
        <w:t xml:space="preserve">AB Sciex </w:t>
      </w:r>
      <w:r w:rsidRPr="007D089C">
        <w:rPr>
          <w:rFonts w:ascii="timesroman" w:hAnsi="timesroman"/>
          <w:lang w:val="en-US"/>
        </w:rPr>
        <w:t xml:space="preserve">5800) </w:t>
      </w:r>
      <w:r w:rsidR="009E59C7" w:rsidRPr="007D089C">
        <w:rPr>
          <w:rFonts w:ascii="timesroman" w:hAnsi="timesroman"/>
          <w:lang w:val="en-US"/>
        </w:rPr>
        <w:t>and</w:t>
      </w:r>
      <w:r w:rsidRPr="007D089C">
        <w:rPr>
          <w:rFonts w:ascii="timesroman" w:hAnsi="timesroman"/>
          <w:lang w:val="en-US"/>
        </w:rPr>
        <w:t xml:space="preserve"> iTRAQ to profile the serum of PTB patients, comparing sera from drug resistant,</w:t>
      </w:r>
      <w:r w:rsidRPr="007D089C">
        <w:rPr>
          <w:lang w:val="en-US"/>
        </w:rPr>
        <w:t xml:space="preserve"> smear-positive and smear-negative pulmonary tuberculosis cases with normal controls and pneumonia patients </w:t>
      </w:r>
      <w:r w:rsidRPr="007D089C">
        <w:rPr>
          <w:rFonts w:ascii="timesroman" w:hAnsi="timesroman"/>
          <w:lang w:val="en-US"/>
        </w:rPr>
        <w:t>(87 samples in iTRAQ discovery and 207 in the ELISA validations) and</w:t>
      </w:r>
      <w:r w:rsidRPr="007D089C">
        <w:rPr>
          <w:rFonts w:ascii="timesroman" w:hAnsi="timesroman"/>
          <w:color w:val="FF0000"/>
          <w:lang w:val="en-US"/>
        </w:rPr>
        <w:t xml:space="preserve"> </w:t>
      </w:r>
      <w:r w:rsidRPr="007D089C">
        <w:rPr>
          <w:rFonts w:ascii="timesroman" w:hAnsi="timesroman"/>
          <w:lang w:val="en-US"/>
        </w:rPr>
        <w:t xml:space="preserve">found that sex hormone binding globulin (SHBG) was significantly elevated in PTB </w:t>
      </w:r>
      <w:r w:rsidRPr="007D089C">
        <w:rPr>
          <w:rFonts w:ascii="timesroman" w:hAnsi="timesroman"/>
          <w:lang w:val="en-US"/>
        </w:rPr>
        <w:fldChar w:fldCharType="begin"/>
      </w:r>
      <w:r w:rsidRPr="007D089C">
        <w:rPr>
          <w:rFonts w:ascii="timesroman" w:hAnsi="timesroman"/>
          <w:lang w:val="en-US"/>
        </w:rPr>
        <w:instrText>ADDIN RW.CITE{{2198 Li,C. 2015}}</w:instrText>
      </w:r>
      <w:r w:rsidRPr="007D089C">
        <w:rPr>
          <w:rFonts w:ascii="timesroman" w:hAnsi="timesroman"/>
          <w:lang w:val="en-US"/>
        </w:rPr>
        <w:fldChar w:fldCharType="separate"/>
      </w:r>
      <w:r w:rsidR="00C77B76">
        <w:rPr>
          <w:rFonts w:ascii="timesroman" w:hAnsi="timesroman"/>
          <w:lang w:val="en-US"/>
        </w:rPr>
        <w:t>(C. Li et al., 2015)</w:t>
      </w:r>
      <w:r w:rsidRPr="007D089C">
        <w:rPr>
          <w:rFonts w:ascii="timesroman" w:hAnsi="timesroman"/>
          <w:lang w:val="en-US"/>
        </w:rPr>
        <w:fldChar w:fldCharType="end"/>
      </w:r>
      <w:r w:rsidRPr="007D089C">
        <w:rPr>
          <w:rFonts w:ascii="timesroman" w:hAnsi="timesroman"/>
          <w:lang w:val="en-US"/>
        </w:rPr>
        <w:t xml:space="preserve">. </w:t>
      </w:r>
      <w:r w:rsidRPr="007D089C">
        <w:rPr>
          <w:rFonts w:ascii="Times-Roman" w:hAnsi="Times-Roman" w:cs="Times-Roman"/>
          <w:lang w:val="en-US"/>
        </w:rPr>
        <w:t xml:space="preserve"> Also considering bacterial infection and respiratory afflictions, Yu and co-workers compared serum from healthy controls and patients with mycoplasma pneumoniae pneumonia </w:t>
      </w:r>
      <w:r w:rsidRPr="007D089C">
        <w:rPr>
          <w:rFonts w:ascii="Times-Roman" w:hAnsi="Times-Roman" w:cs="Times-Roman"/>
          <w:lang w:val="en-US"/>
        </w:rPr>
        <w:fldChar w:fldCharType="begin"/>
      </w:r>
      <w:r w:rsidRPr="007D089C">
        <w:rPr>
          <w:rFonts w:ascii="Times-Roman" w:hAnsi="Times-Roman" w:cs="Times-Roman"/>
          <w:lang w:val="en-US"/>
        </w:rPr>
        <w:instrText>ADDIN RW.CITE{{3104 Yu,J.L. 2016}}</w:instrText>
      </w:r>
      <w:r w:rsidRPr="007D089C">
        <w:rPr>
          <w:rFonts w:ascii="Times-Roman" w:hAnsi="Times-Roman" w:cs="Times-Roman"/>
          <w:lang w:val="en-US"/>
        </w:rPr>
        <w:fldChar w:fldCharType="separate"/>
      </w:r>
      <w:r w:rsidR="00C77B76">
        <w:rPr>
          <w:rFonts w:ascii="Times-Roman" w:hAnsi="Times-Roman" w:cs="Times-Roman"/>
          <w:lang w:val="en-US"/>
        </w:rPr>
        <w:t>(Yu et al., 2016)</w:t>
      </w:r>
      <w:r w:rsidRPr="007D089C">
        <w:rPr>
          <w:rFonts w:ascii="Times-Roman" w:hAnsi="Times-Roman" w:cs="Times-Roman"/>
          <w:lang w:val="en-US"/>
        </w:rPr>
        <w:fldChar w:fldCharType="end"/>
      </w:r>
      <w:r w:rsidRPr="007D089C">
        <w:rPr>
          <w:rFonts w:ascii="Times-Roman" w:hAnsi="Times-Roman" w:cs="Times-Roman"/>
          <w:lang w:val="en-US"/>
        </w:rPr>
        <w:t>.</w:t>
      </w:r>
    </w:p>
    <w:p w14:paraId="707B1D93" w14:textId="77777777" w:rsidR="009E59C7" w:rsidRPr="007D089C" w:rsidRDefault="009E59C7" w:rsidP="00B43F04">
      <w:pPr>
        <w:autoSpaceDE w:val="0"/>
        <w:autoSpaceDN w:val="0"/>
        <w:adjustRightInd w:val="0"/>
        <w:spacing w:line="480" w:lineRule="auto"/>
        <w:jc w:val="both"/>
        <w:rPr>
          <w:rFonts w:ascii="Times-Roman" w:hAnsi="Times-Roman" w:cs="Times-Roman"/>
          <w:lang w:val="en-US"/>
        </w:rPr>
      </w:pPr>
    </w:p>
    <w:p w14:paraId="3E2A7F85" w14:textId="46805823" w:rsidR="000074EB" w:rsidRPr="007D089C" w:rsidRDefault="000074EB" w:rsidP="00B43F04">
      <w:pPr>
        <w:autoSpaceDE w:val="0"/>
        <w:autoSpaceDN w:val="0"/>
        <w:adjustRightInd w:val="0"/>
        <w:spacing w:line="480" w:lineRule="auto"/>
        <w:jc w:val="both"/>
        <w:rPr>
          <w:rFonts w:ascii="timesroman" w:hAnsi="timesroman"/>
          <w:color w:val="FF0000"/>
          <w:lang w:val="en-US"/>
        </w:rPr>
      </w:pPr>
      <w:r w:rsidRPr="007D089C">
        <w:rPr>
          <w:rFonts w:ascii="Times-Roman" w:hAnsi="Times-Roman" w:cs="Times-Roman"/>
          <w:lang w:val="en-US"/>
        </w:rPr>
        <w:t xml:space="preserve">Cao and co-workers used iTRAQ labelling to </w:t>
      </w:r>
      <w:r w:rsidR="00D358A7" w:rsidRPr="007D089C">
        <w:rPr>
          <w:rFonts w:ascii="Times-Roman" w:hAnsi="Times-Roman" w:cs="Times-Roman"/>
          <w:lang w:val="en-US"/>
        </w:rPr>
        <w:t>analyses</w:t>
      </w:r>
      <w:r w:rsidRPr="007D089C">
        <w:rPr>
          <w:rFonts w:ascii="Times-Roman" w:hAnsi="Times-Roman" w:cs="Times-Roman"/>
          <w:lang w:val="en-US"/>
        </w:rPr>
        <w:t xml:space="preserve"> plasma from sepsis patients, including ten 4-plex iTRAQ comparisons of infected and uninfected subjects (n= 39 in total). These ESI data (Orbitrap-Velos) indicated age related differences in the incidence of infection</w:t>
      </w:r>
      <w:r w:rsidRPr="007D089C">
        <w:rPr>
          <w:rFonts w:ascii="Times-Roman" w:hAnsi="Times-Roman" w:cs="Times-Roman"/>
          <w:color w:val="FF0000"/>
          <w:lang w:val="en-US"/>
        </w:rPr>
        <w:t xml:space="preserve"> </w:t>
      </w:r>
      <w:r w:rsidRPr="007D089C">
        <w:rPr>
          <w:rFonts w:ascii="Times-Roman" w:hAnsi="Times-Roman" w:cs="Times-Roman"/>
          <w:lang w:val="en-US"/>
        </w:rPr>
        <w:fldChar w:fldCharType="begin"/>
      </w:r>
      <w:r w:rsidRPr="007D089C">
        <w:rPr>
          <w:rFonts w:ascii="Times-Roman" w:hAnsi="Times-Roman" w:cs="Times-Roman"/>
          <w:lang w:val="en-US"/>
        </w:rPr>
        <w:instrText>ADDIN RW.CITE{{1624 Cao,Z. 2013; 1788 Cao,Z. 2013}}</w:instrText>
      </w:r>
      <w:r w:rsidRPr="007D089C">
        <w:rPr>
          <w:rFonts w:ascii="Times-Roman" w:hAnsi="Times-Roman" w:cs="Times-Roman"/>
          <w:lang w:val="en-US"/>
        </w:rPr>
        <w:fldChar w:fldCharType="separate"/>
      </w:r>
      <w:r w:rsidR="00C77B76">
        <w:rPr>
          <w:rFonts w:ascii="Times-Roman" w:hAnsi="Times-Roman" w:cs="Times-Roman"/>
          <w:lang w:val="en-US"/>
        </w:rPr>
        <w:t>(Cao, Yende, Kellum, &amp; Robinson, 2013; Cao, Yende, Kellum, Angus, &amp; Robinson, 2013)</w:t>
      </w:r>
      <w:r w:rsidRPr="007D089C">
        <w:rPr>
          <w:rFonts w:ascii="Times-Roman" w:hAnsi="Times-Roman" w:cs="Times-Roman"/>
          <w:lang w:val="en-US"/>
        </w:rPr>
        <w:fldChar w:fldCharType="end"/>
      </w:r>
      <w:r w:rsidRPr="007D089C">
        <w:rPr>
          <w:rFonts w:ascii="Times-Roman" w:hAnsi="Times-Roman" w:cs="Times-Roman"/>
          <w:lang w:val="en-US"/>
        </w:rPr>
        <w:t>. In the</w:t>
      </w:r>
      <w:r w:rsidR="00113FC6" w:rsidRPr="007D089C">
        <w:rPr>
          <w:rFonts w:ascii="Times-Roman" w:hAnsi="Times-Roman" w:cs="Times-Roman"/>
          <w:lang w:val="en-US"/>
        </w:rPr>
        <w:t>ir</w:t>
      </w:r>
      <w:r w:rsidRPr="007D089C">
        <w:rPr>
          <w:rFonts w:ascii="Times-Roman" w:hAnsi="Times-Roman" w:cs="Times-Roman"/>
          <w:lang w:val="en-US"/>
        </w:rPr>
        <w:t xml:space="preserve"> study of sepsis in rats, Jiao </w:t>
      </w:r>
      <w:r w:rsidRPr="007D089C">
        <w:rPr>
          <w:rFonts w:ascii="Times-Roman" w:hAnsi="Times-Roman" w:cs="Times-Roman"/>
          <w:i/>
          <w:lang w:val="en-US"/>
        </w:rPr>
        <w:t>et al.</w:t>
      </w:r>
      <w:r w:rsidRPr="007D089C">
        <w:rPr>
          <w:rFonts w:ascii="Times-Roman" w:hAnsi="Times-Roman" w:cs="Times-Roman"/>
          <w:lang w:val="en-US"/>
        </w:rPr>
        <w:t xml:space="preserve"> correlated several biomarkers with diagnosis and others with prognosis </w:t>
      </w:r>
      <w:r w:rsidRPr="007D089C">
        <w:rPr>
          <w:rFonts w:ascii="Times-Roman" w:hAnsi="Times-Roman" w:cs="Times-Roman"/>
          <w:lang w:val="en-US"/>
        </w:rPr>
        <w:fldChar w:fldCharType="begin"/>
      </w:r>
      <w:r w:rsidRPr="007D089C">
        <w:rPr>
          <w:rFonts w:ascii="Times-Roman" w:hAnsi="Times-Roman" w:cs="Times-Roman"/>
          <w:lang w:val="en-US"/>
        </w:rPr>
        <w:instrText>ADDIN RW.CITE{{1914 Jiao,J. 2014}}</w:instrText>
      </w:r>
      <w:r w:rsidRPr="007D089C">
        <w:rPr>
          <w:rFonts w:ascii="Times-Roman" w:hAnsi="Times-Roman" w:cs="Times-Roman"/>
          <w:lang w:val="en-US"/>
        </w:rPr>
        <w:fldChar w:fldCharType="separate"/>
      </w:r>
      <w:r w:rsidR="00C77B76">
        <w:rPr>
          <w:rFonts w:ascii="Times-Roman" w:hAnsi="Times-Roman" w:cs="Times-Roman"/>
          <w:lang w:val="en-US"/>
        </w:rPr>
        <w:t>(Jiao et al., 2014)</w:t>
      </w:r>
      <w:r w:rsidRPr="007D089C">
        <w:rPr>
          <w:rFonts w:ascii="Times-Roman" w:hAnsi="Times-Roman" w:cs="Times-Roman"/>
          <w:lang w:val="en-US"/>
        </w:rPr>
        <w:fldChar w:fldCharType="end"/>
      </w:r>
      <w:r w:rsidRPr="007D089C">
        <w:rPr>
          <w:rFonts w:ascii="Times-Roman" w:hAnsi="Times-Roman" w:cs="Times-Roman"/>
          <w:lang w:val="en-US"/>
        </w:rPr>
        <w:t>.</w:t>
      </w:r>
    </w:p>
    <w:p w14:paraId="7F6AF98A" w14:textId="77777777" w:rsidR="009E59C7" w:rsidRPr="007D089C" w:rsidRDefault="009E59C7" w:rsidP="00B43F04">
      <w:pPr>
        <w:autoSpaceDE w:val="0"/>
        <w:autoSpaceDN w:val="0"/>
        <w:adjustRightInd w:val="0"/>
        <w:spacing w:line="480" w:lineRule="auto"/>
        <w:jc w:val="both"/>
        <w:rPr>
          <w:rFonts w:ascii="Times-Roman" w:hAnsi="Times-Roman" w:cs="Times-Roman"/>
          <w:lang w:val="en-US"/>
        </w:rPr>
      </w:pPr>
    </w:p>
    <w:p w14:paraId="45F4165F" w14:textId="7802C1B0" w:rsidR="000074EB" w:rsidRPr="007D089C" w:rsidRDefault="000074EB" w:rsidP="00B43F04">
      <w:pPr>
        <w:autoSpaceDE w:val="0"/>
        <w:autoSpaceDN w:val="0"/>
        <w:adjustRightInd w:val="0"/>
        <w:spacing w:line="480" w:lineRule="auto"/>
        <w:jc w:val="both"/>
        <w:rPr>
          <w:rFonts w:ascii="Times-Roman" w:hAnsi="Times-Roman" w:cs="Times-Roman"/>
          <w:lang w:val="en-US"/>
        </w:rPr>
      </w:pPr>
      <w:r w:rsidRPr="007D089C">
        <w:rPr>
          <w:rFonts w:ascii="Times-Roman" w:hAnsi="Times-Roman" w:cs="Times-Roman"/>
          <w:lang w:val="en-US"/>
        </w:rPr>
        <w:t xml:space="preserve">In terms of viral infections, Dengue fever </w:t>
      </w:r>
      <w:r w:rsidRPr="007D089C">
        <w:rPr>
          <w:rFonts w:ascii="Times-Roman" w:hAnsi="Times-Roman" w:cs="Times-Roman"/>
          <w:lang w:val="en-US"/>
        </w:rPr>
        <w:fldChar w:fldCharType="begin"/>
      </w:r>
      <w:r w:rsidRPr="007D089C">
        <w:rPr>
          <w:rFonts w:ascii="Times-Roman" w:hAnsi="Times-Roman" w:cs="Times-Roman"/>
          <w:lang w:val="en-US"/>
        </w:rPr>
        <w:instrText>ADDIN RW.CITE{{2111 Kumar,Y. 2012}}</w:instrText>
      </w:r>
      <w:r w:rsidRPr="007D089C">
        <w:rPr>
          <w:rFonts w:ascii="Times-Roman" w:hAnsi="Times-Roman" w:cs="Times-Roman"/>
          <w:lang w:val="en-US"/>
        </w:rPr>
        <w:fldChar w:fldCharType="separate"/>
      </w:r>
      <w:r w:rsidR="00C77B76">
        <w:rPr>
          <w:rFonts w:ascii="Times-Roman" w:hAnsi="Times-Roman" w:cs="Times-Roman"/>
          <w:lang w:val="en-US"/>
        </w:rPr>
        <w:t>(Kumar et al., 2012)</w:t>
      </w:r>
      <w:r w:rsidRPr="007D089C">
        <w:rPr>
          <w:rFonts w:ascii="Times-Roman" w:hAnsi="Times-Roman" w:cs="Times-Roman"/>
          <w:lang w:val="en-US"/>
        </w:rPr>
        <w:fldChar w:fldCharType="end"/>
      </w:r>
      <w:r w:rsidRPr="007D089C">
        <w:rPr>
          <w:rFonts w:ascii="Times-Roman" w:hAnsi="Times-Roman" w:cs="Times-Roman"/>
          <w:lang w:val="en-US"/>
        </w:rPr>
        <w:fldChar w:fldCharType="begin"/>
      </w:r>
      <w:r w:rsidRPr="007D089C">
        <w:rPr>
          <w:rFonts w:ascii="Times-Roman" w:hAnsi="Times-Roman" w:cs="Times-Roman"/>
          <w:lang w:val="en-US"/>
        </w:rPr>
        <w:instrText>ADDIN RW.CITE{{2262 Nhi,D.M. 2016}}</w:instrText>
      </w:r>
      <w:r w:rsidRPr="007D089C">
        <w:rPr>
          <w:rFonts w:ascii="Times-Roman" w:hAnsi="Times-Roman" w:cs="Times-Roman"/>
          <w:lang w:val="en-US"/>
        </w:rPr>
        <w:fldChar w:fldCharType="separate"/>
      </w:r>
      <w:r w:rsidR="00C77B76">
        <w:rPr>
          <w:rFonts w:ascii="Times-Roman" w:hAnsi="Times-Roman" w:cs="Times-Roman"/>
          <w:lang w:val="en-US"/>
        </w:rPr>
        <w:t>(Nhi et al., 2016)</w:t>
      </w:r>
      <w:r w:rsidRPr="007D089C">
        <w:rPr>
          <w:rFonts w:ascii="Times-Roman" w:hAnsi="Times-Roman" w:cs="Times-Roman"/>
          <w:lang w:val="en-US"/>
        </w:rPr>
        <w:fldChar w:fldCharType="end"/>
      </w:r>
      <w:r w:rsidRPr="007D089C">
        <w:rPr>
          <w:rFonts w:ascii="Times-Roman" w:hAnsi="Times-Roman" w:cs="Times-Roman"/>
          <w:lang w:val="en-US"/>
        </w:rPr>
        <w:t xml:space="preserve">, Hepatitis B and C </w:t>
      </w:r>
      <w:r w:rsidRPr="007D089C">
        <w:rPr>
          <w:rFonts w:ascii="Times-Roman" w:hAnsi="Times-Roman" w:cs="Times-Roman"/>
          <w:lang w:val="en-US"/>
        </w:rPr>
        <w:fldChar w:fldCharType="begin"/>
      </w:r>
      <w:r w:rsidRPr="007D089C">
        <w:rPr>
          <w:rFonts w:ascii="Times-Roman" w:hAnsi="Times-Roman" w:cs="Times-Roman"/>
          <w:lang w:val="en-US"/>
        </w:rPr>
        <w:instrText>ADDIN RW.CITE{{1988 Peng,L. 2013; 1913 Liu,Y. 2014; 2008 Yang,L. 2011}}</w:instrText>
      </w:r>
      <w:r w:rsidRPr="007D089C">
        <w:rPr>
          <w:rFonts w:ascii="Times-Roman" w:hAnsi="Times-Roman" w:cs="Times-Roman"/>
          <w:lang w:val="en-US"/>
        </w:rPr>
        <w:fldChar w:fldCharType="separate"/>
      </w:r>
      <w:r w:rsidR="00C77B76">
        <w:rPr>
          <w:rFonts w:ascii="Times-Roman" w:hAnsi="Times-Roman" w:cs="Times-Roman"/>
          <w:lang w:val="en-US"/>
        </w:rPr>
        <w:t>(Y. Liu et al., 2014; Peng et al., 2013; L. Yang et al., 2011)</w:t>
      </w:r>
      <w:r w:rsidRPr="007D089C">
        <w:rPr>
          <w:rFonts w:ascii="Times-Roman" w:hAnsi="Times-Roman" w:cs="Times-Roman"/>
          <w:lang w:val="en-US"/>
        </w:rPr>
        <w:fldChar w:fldCharType="end"/>
      </w:r>
      <w:r w:rsidRPr="007D089C">
        <w:rPr>
          <w:rFonts w:ascii="Times-Roman" w:hAnsi="Times-Roman" w:cs="Times-Roman"/>
          <w:lang w:val="en-US"/>
        </w:rPr>
        <w:fldChar w:fldCharType="begin"/>
      </w:r>
      <w:r w:rsidRPr="007D089C">
        <w:rPr>
          <w:rFonts w:ascii="Times-Roman" w:hAnsi="Times-Roman" w:cs="Times-Roman"/>
          <w:lang w:val="en-US"/>
        </w:rPr>
        <w:instrText>ADDIN RW.CITE{{3106 Yang,J. 2016}}</w:instrText>
      </w:r>
      <w:r w:rsidRPr="007D089C">
        <w:rPr>
          <w:rFonts w:ascii="Times-Roman" w:hAnsi="Times-Roman" w:cs="Times-Roman"/>
          <w:lang w:val="en-US"/>
        </w:rPr>
        <w:fldChar w:fldCharType="separate"/>
      </w:r>
      <w:r w:rsidR="00C77B76">
        <w:rPr>
          <w:rFonts w:ascii="Times-Roman" w:hAnsi="Times-Roman" w:cs="Times-Roman"/>
          <w:lang w:val="en-US"/>
        </w:rPr>
        <w:t>(J. Yang et al., 2016)</w:t>
      </w:r>
      <w:r w:rsidRPr="007D089C">
        <w:rPr>
          <w:rFonts w:ascii="Times-Roman" w:hAnsi="Times-Roman" w:cs="Times-Roman"/>
          <w:lang w:val="en-US"/>
        </w:rPr>
        <w:fldChar w:fldCharType="end"/>
      </w:r>
      <w:r w:rsidRPr="007D089C">
        <w:rPr>
          <w:rFonts w:ascii="Times-Roman" w:hAnsi="Times-Roman" w:cs="Times-Roman"/>
          <w:lang w:val="en-US"/>
        </w:rPr>
        <w:t xml:space="preserve">, HIV </w:t>
      </w:r>
      <w:r w:rsidRPr="007D089C">
        <w:rPr>
          <w:rFonts w:ascii="Times-Roman" w:hAnsi="Times-Roman" w:cs="Times-Roman"/>
          <w:lang w:val="en-US"/>
        </w:rPr>
        <w:fldChar w:fldCharType="begin"/>
      </w:r>
      <w:r w:rsidRPr="007D089C">
        <w:rPr>
          <w:rFonts w:ascii="Times-Roman" w:hAnsi="Times-Roman" w:cs="Times-Roman"/>
          <w:lang w:val="en-US"/>
        </w:rPr>
        <w:instrText>ADDIN RW.CITE{{2005 Shetty,V. 2011}}</w:instrText>
      </w:r>
      <w:r w:rsidRPr="007D089C">
        <w:rPr>
          <w:rFonts w:ascii="Times-Roman" w:hAnsi="Times-Roman" w:cs="Times-Roman"/>
          <w:lang w:val="en-US"/>
        </w:rPr>
        <w:fldChar w:fldCharType="separate"/>
      </w:r>
      <w:r w:rsidR="00C77B76">
        <w:rPr>
          <w:rFonts w:ascii="Times-Roman" w:hAnsi="Times-Roman" w:cs="Times-Roman"/>
          <w:lang w:val="en-US"/>
        </w:rPr>
        <w:t>(Shetty et al., 2011)</w:t>
      </w:r>
      <w:r w:rsidRPr="007D089C">
        <w:rPr>
          <w:rFonts w:ascii="Times-Roman" w:hAnsi="Times-Roman" w:cs="Times-Roman"/>
          <w:lang w:val="en-US"/>
        </w:rPr>
        <w:fldChar w:fldCharType="end"/>
      </w:r>
      <w:r w:rsidRPr="007D089C">
        <w:rPr>
          <w:rFonts w:ascii="Times-Roman" w:hAnsi="Times-Roman" w:cs="Times-Roman"/>
          <w:lang w:val="en-US"/>
        </w:rPr>
        <w:t xml:space="preserve"> and Simian immunodeficiency virus (SIV) </w:t>
      </w:r>
      <w:r w:rsidRPr="007D089C">
        <w:rPr>
          <w:rFonts w:ascii="Times-Roman" w:hAnsi="Times-Roman" w:cs="Times-Roman"/>
          <w:lang w:val="en-US"/>
        </w:rPr>
        <w:fldChar w:fldCharType="begin"/>
      </w:r>
      <w:r w:rsidRPr="007D089C">
        <w:rPr>
          <w:rFonts w:ascii="Times-Roman" w:hAnsi="Times-Roman" w:cs="Times-Roman"/>
          <w:lang w:val="en-US"/>
        </w:rPr>
        <w:instrText>ADDIN RW.CITE{{1426 Wiederin,J.L. 2010; 2006 Wiederin,J.L. 2012; 1417 Pendyala,G. 2010}}</w:instrText>
      </w:r>
      <w:r w:rsidRPr="007D089C">
        <w:rPr>
          <w:rFonts w:ascii="Times-Roman" w:hAnsi="Times-Roman" w:cs="Times-Roman"/>
          <w:lang w:val="en-US"/>
        </w:rPr>
        <w:fldChar w:fldCharType="separate"/>
      </w:r>
      <w:r w:rsidR="00C77B76">
        <w:rPr>
          <w:rFonts w:ascii="Times-Roman" w:hAnsi="Times-Roman" w:cs="Times-Roman"/>
          <w:lang w:val="en-US"/>
        </w:rPr>
        <w:t>(Pendyala, Trauger, Siuzdak, &amp; Fox, 2010; Wiederin et al., 2010; Wiederin et al., 2012)</w:t>
      </w:r>
      <w:r w:rsidRPr="007D089C">
        <w:rPr>
          <w:rFonts w:ascii="Times-Roman" w:hAnsi="Times-Roman" w:cs="Times-Roman"/>
          <w:lang w:val="en-US"/>
        </w:rPr>
        <w:fldChar w:fldCharType="end"/>
      </w:r>
      <w:r w:rsidRPr="007D089C">
        <w:rPr>
          <w:rFonts w:ascii="Times-Roman" w:hAnsi="Times-Roman" w:cs="Times-Roman"/>
          <w:lang w:val="en-US"/>
        </w:rPr>
        <w:t xml:space="preserve"> have been studied using iTRAQ of plasma and serum samples. Liu, Y. </w:t>
      </w:r>
      <w:r w:rsidRPr="007D089C">
        <w:rPr>
          <w:rFonts w:ascii="Times-Roman" w:hAnsi="Times-Roman" w:cs="Times-Roman"/>
          <w:i/>
          <w:lang w:val="en-US"/>
        </w:rPr>
        <w:t>et al.</w:t>
      </w:r>
      <w:r w:rsidRPr="007D089C">
        <w:rPr>
          <w:rFonts w:ascii="Times-Roman" w:hAnsi="Times-Roman" w:cs="Times-Roman"/>
          <w:lang w:val="en-US"/>
        </w:rPr>
        <w:t xml:space="preserve"> </w:t>
      </w:r>
      <w:r w:rsidRPr="007D089C">
        <w:rPr>
          <w:lang w:val="en-US"/>
        </w:rPr>
        <w:t xml:space="preserve">compared plasma from individuals with chronic hepatitis B virus-associated hepatocellular carcinoma (HCC), </w:t>
      </w:r>
      <w:r w:rsidR="00FC7692" w:rsidRPr="007D089C">
        <w:rPr>
          <w:lang w:val="en-US"/>
        </w:rPr>
        <w:t>non-malignant</w:t>
      </w:r>
      <w:r w:rsidRPr="007D089C">
        <w:rPr>
          <w:lang w:val="en-US"/>
        </w:rPr>
        <w:t xml:space="preserve"> cirrhosis, chronic hepatitis B, and healthy individuals. They concluded that von Willebrand factor was a potential marker of HCC progression and viral infection </w:t>
      </w:r>
      <w:r w:rsidRPr="007D089C">
        <w:rPr>
          <w:lang w:val="en-US"/>
        </w:rPr>
        <w:fldChar w:fldCharType="begin"/>
      </w:r>
      <w:r w:rsidRPr="007D089C">
        <w:rPr>
          <w:lang w:val="en-US"/>
        </w:rPr>
        <w:instrText>ADDIN RW.CITE{{1913 Liu,Y. 2014}}</w:instrText>
      </w:r>
      <w:r w:rsidRPr="007D089C">
        <w:rPr>
          <w:lang w:val="en-US"/>
        </w:rPr>
        <w:fldChar w:fldCharType="separate"/>
      </w:r>
      <w:r w:rsidR="00C77B76">
        <w:rPr>
          <w:lang w:val="en-US"/>
        </w:rPr>
        <w:t>(Y. Liu et al., 2014)</w:t>
      </w:r>
      <w:r w:rsidRPr="007D089C">
        <w:rPr>
          <w:lang w:val="en-US"/>
        </w:rPr>
        <w:fldChar w:fldCharType="end"/>
      </w:r>
      <w:r w:rsidRPr="007D089C">
        <w:rPr>
          <w:lang w:val="en-US"/>
        </w:rPr>
        <w:t>.</w:t>
      </w:r>
    </w:p>
    <w:p w14:paraId="400B2270" w14:textId="77777777" w:rsidR="000074EB" w:rsidRPr="007D089C" w:rsidRDefault="000074EB" w:rsidP="00C141DD">
      <w:pPr>
        <w:autoSpaceDE w:val="0"/>
        <w:autoSpaceDN w:val="0"/>
        <w:adjustRightInd w:val="0"/>
        <w:jc w:val="both"/>
        <w:rPr>
          <w:rFonts w:ascii="Times-Roman" w:hAnsi="Times-Roman" w:cs="Times-Roman"/>
          <w:lang w:val="en-US"/>
        </w:rPr>
      </w:pPr>
    </w:p>
    <w:p w14:paraId="0634FA0F" w14:textId="2EFB7F6E" w:rsidR="000074EB" w:rsidRPr="007D089C" w:rsidRDefault="000074EB" w:rsidP="00C141DD">
      <w:pPr>
        <w:pStyle w:val="Heading2"/>
        <w:spacing w:line="240" w:lineRule="auto"/>
      </w:pPr>
      <w:bookmarkStart w:id="20" w:name="_Toc483395830"/>
      <w:r w:rsidRPr="007D089C">
        <w:t>Diseases</w:t>
      </w:r>
      <w:r w:rsidR="00670428" w:rsidRPr="007D089C">
        <w:t>, I</w:t>
      </w:r>
      <w:r w:rsidRPr="007D089C">
        <w:t>njuries</w:t>
      </w:r>
      <w:r w:rsidR="00670428" w:rsidRPr="007D089C">
        <w:t xml:space="preserve"> and A</w:t>
      </w:r>
      <w:r w:rsidRPr="007D089C">
        <w:t>ffliction</w:t>
      </w:r>
      <w:r w:rsidR="00670428" w:rsidRPr="007D089C">
        <w:t>s of the B</w:t>
      </w:r>
      <w:r w:rsidRPr="007D089C">
        <w:t>rain</w:t>
      </w:r>
      <w:bookmarkEnd w:id="20"/>
    </w:p>
    <w:p w14:paraId="3969BCFC" w14:textId="13D34DFB" w:rsidR="000074EB" w:rsidRPr="007D089C" w:rsidRDefault="000074EB" w:rsidP="00B43F04">
      <w:pPr>
        <w:autoSpaceDE w:val="0"/>
        <w:autoSpaceDN w:val="0"/>
        <w:adjustRightInd w:val="0"/>
        <w:spacing w:line="480" w:lineRule="auto"/>
        <w:jc w:val="both"/>
        <w:rPr>
          <w:lang w:val="en-US"/>
        </w:rPr>
      </w:pPr>
      <w:r w:rsidRPr="007D089C">
        <w:rPr>
          <w:lang w:val="en-US"/>
        </w:rPr>
        <w:t xml:space="preserve">The range of studies using isobaric labelling to study differences in the plasma proteome associated with afflictions of the brain </w:t>
      </w:r>
      <w:r w:rsidR="00254358" w:rsidRPr="007D089C">
        <w:rPr>
          <w:lang w:val="en-US"/>
        </w:rPr>
        <w:t>is</w:t>
      </w:r>
      <w:r w:rsidRPr="007D089C">
        <w:rPr>
          <w:lang w:val="en-US"/>
        </w:rPr>
        <w:t xml:space="preserve"> indicated in </w:t>
      </w:r>
      <w:r w:rsidRPr="007D089C">
        <w:rPr>
          <w:b/>
          <w:lang w:val="en-US"/>
        </w:rPr>
        <w:t>Table 5</w:t>
      </w:r>
      <w:r w:rsidR="005C7057" w:rsidRPr="007D089C">
        <w:rPr>
          <w:b/>
          <w:lang w:val="en-US"/>
        </w:rPr>
        <w:t>b</w:t>
      </w:r>
      <w:r w:rsidRPr="007D089C">
        <w:rPr>
          <w:lang w:val="en-US"/>
        </w:rPr>
        <w:t xml:space="preserve">. For example, Song, F. </w:t>
      </w:r>
      <w:r w:rsidRPr="007D089C">
        <w:rPr>
          <w:i/>
          <w:lang w:val="en-US"/>
        </w:rPr>
        <w:t>et al.</w:t>
      </w:r>
      <w:r w:rsidRPr="007D089C">
        <w:rPr>
          <w:lang w:val="en-US"/>
        </w:rPr>
        <w:t xml:space="preserve"> performed iTRAQ based plasma profiling to identify markers that could provide a more specific diagnosis and prognosis of Alzheimer's disease (AD) and mild cognitive impairment (MCI), using plasma from 680 subjects </w:t>
      </w:r>
      <w:r w:rsidRPr="007D089C">
        <w:rPr>
          <w:lang w:val="en-US"/>
        </w:rPr>
        <w:fldChar w:fldCharType="begin"/>
      </w:r>
      <w:r w:rsidRPr="007D089C">
        <w:rPr>
          <w:lang w:val="en-US"/>
        </w:rPr>
        <w:instrText>ADDIN RW.CITE{{2130 Muenchhoff,J. 2015; 2083 Song,F. 2014}}</w:instrText>
      </w:r>
      <w:r w:rsidRPr="007D089C">
        <w:rPr>
          <w:lang w:val="en-US"/>
        </w:rPr>
        <w:fldChar w:fldCharType="separate"/>
      </w:r>
      <w:r w:rsidR="00C77B76">
        <w:rPr>
          <w:lang w:val="en-US"/>
        </w:rPr>
        <w:t>(Muenchhoff et al., 2015; F. Song et al., 2014)</w:t>
      </w:r>
      <w:r w:rsidRPr="007D089C">
        <w:rPr>
          <w:lang w:val="en-US"/>
        </w:rPr>
        <w:fldChar w:fldCharType="end"/>
      </w:r>
      <w:r w:rsidRPr="007D089C">
        <w:rPr>
          <w:lang w:val="en-US"/>
        </w:rPr>
        <w:t xml:space="preserve">. </w:t>
      </w:r>
    </w:p>
    <w:p w14:paraId="2883D77B" w14:textId="2FB827F1" w:rsidR="000074EB" w:rsidRPr="007D089C" w:rsidRDefault="000074EB" w:rsidP="00B43F04">
      <w:pPr>
        <w:autoSpaceDE w:val="0"/>
        <w:autoSpaceDN w:val="0"/>
        <w:adjustRightInd w:val="0"/>
        <w:spacing w:line="480" w:lineRule="auto"/>
        <w:jc w:val="both"/>
        <w:rPr>
          <w:lang w:val="en-US"/>
        </w:rPr>
      </w:pPr>
      <w:r w:rsidRPr="007D089C">
        <w:rPr>
          <w:lang w:val="en-US"/>
        </w:rPr>
        <w:t xml:space="preserve">Turning from dementia to depression, Xu, H. </w:t>
      </w:r>
      <w:r w:rsidRPr="007D089C">
        <w:rPr>
          <w:i/>
          <w:lang w:val="en-US"/>
        </w:rPr>
        <w:t xml:space="preserve">et al. </w:t>
      </w:r>
      <w:r w:rsidRPr="007D089C">
        <w:rPr>
          <w:lang w:val="en-US"/>
        </w:rPr>
        <w:t xml:space="preserve">used iTRAQ of plasma samples to study major depressive disorder comparing a case to control group (n = 21 vs 21).  In their validation experiments significant differences were found in Apo-B100, A2M, </w:t>
      </w:r>
      <w:r w:rsidR="005C7057" w:rsidRPr="007D089C">
        <w:rPr>
          <w:lang w:val="en-US"/>
        </w:rPr>
        <w:t>VTDB</w:t>
      </w:r>
      <w:r w:rsidRPr="007D089C">
        <w:rPr>
          <w:lang w:val="en-US"/>
        </w:rPr>
        <w:t xml:space="preserve"> and Ceroplasmin </w:t>
      </w:r>
      <w:r w:rsidRPr="007D089C">
        <w:rPr>
          <w:lang w:val="en-US"/>
        </w:rPr>
        <w:fldChar w:fldCharType="begin"/>
      </w:r>
      <w:r w:rsidRPr="007D089C">
        <w:rPr>
          <w:lang w:val="en-US"/>
        </w:rPr>
        <w:instrText>ADDIN RW.CITE{{2089 Xu,H.B. 2012}}</w:instrText>
      </w:r>
      <w:r w:rsidRPr="007D089C">
        <w:rPr>
          <w:lang w:val="en-US"/>
        </w:rPr>
        <w:fldChar w:fldCharType="separate"/>
      </w:r>
      <w:r w:rsidR="00C77B76">
        <w:rPr>
          <w:lang w:val="en-US"/>
        </w:rPr>
        <w:t>(H. B. Xu et al., 2012)</w:t>
      </w:r>
      <w:r w:rsidRPr="007D089C">
        <w:rPr>
          <w:lang w:val="en-US"/>
        </w:rPr>
        <w:fldChar w:fldCharType="end"/>
      </w:r>
      <w:r w:rsidRPr="007D089C">
        <w:rPr>
          <w:lang w:val="en-US"/>
        </w:rPr>
        <w:t xml:space="preserve">. Zhan </w:t>
      </w:r>
      <w:r w:rsidRPr="007D089C">
        <w:rPr>
          <w:i/>
          <w:lang w:val="en-US"/>
        </w:rPr>
        <w:t>et al.</w:t>
      </w:r>
      <w:r w:rsidRPr="007D089C">
        <w:rPr>
          <w:lang w:val="en-US"/>
        </w:rPr>
        <w:t xml:space="preserve"> used iTRAQ to study plasma profiles of subjects with post stroke depression, stroke and healthy controls (n = 35 for each group)</w:t>
      </w:r>
      <w:r w:rsidR="003E46CF" w:rsidRPr="007D089C">
        <w:rPr>
          <w:lang w:val="en-US"/>
        </w:rPr>
        <w:t xml:space="preserve"> </w:t>
      </w:r>
      <w:r w:rsidR="003E46CF" w:rsidRPr="007D089C">
        <w:rPr>
          <w:lang w:val="en-US"/>
        </w:rPr>
        <w:fldChar w:fldCharType="begin"/>
      </w:r>
      <w:r w:rsidR="003E46CF" w:rsidRPr="007D089C">
        <w:rPr>
          <w:lang w:val="en-US"/>
        </w:rPr>
        <w:instrText>ADDIN RW.CITE{{2123 Zhan,Y. 2014}}</w:instrText>
      </w:r>
      <w:r w:rsidR="003E46CF" w:rsidRPr="007D089C">
        <w:rPr>
          <w:lang w:val="en-US"/>
        </w:rPr>
        <w:fldChar w:fldCharType="separate"/>
      </w:r>
      <w:r w:rsidR="00C77B76">
        <w:rPr>
          <w:lang w:val="en-US"/>
        </w:rPr>
        <w:t>(Zhan et al., 2014)</w:t>
      </w:r>
      <w:r w:rsidR="003E46CF" w:rsidRPr="007D089C">
        <w:rPr>
          <w:lang w:val="en-US"/>
        </w:rPr>
        <w:fldChar w:fldCharType="end"/>
      </w:r>
      <w:r w:rsidRPr="007D089C">
        <w:rPr>
          <w:lang w:val="en-US"/>
        </w:rPr>
        <w:t xml:space="preserve">. </w:t>
      </w:r>
    </w:p>
    <w:p w14:paraId="64EE4B8B" w14:textId="7DB4ED99" w:rsidR="000074EB" w:rsidRPr="007D089C" w:rsidRDefault="000074EB" w:rsidP="00B43F04">
      <w:pPr>
        <w:autoSpaceDE w:val="0"/>
        <w:autoSpaceDN w:val="0"/>
        <w:adjustRightInd w:val="0"/>
        <w:spacing w:line="480" w:lineRule="auto"/>
        <w:jc w:val="both"/>
        <w:rPr>
          <w:lang w:val="en-US"/>
        </w:rPr>
      </w:pPr>
      <w:r w:rsidRPr="007D089C">
        <w:rPr>
          <w:lang w:val="en-US"/>
        </w:rPr>
        <w:t xml:space="preserve">In an investigation of markers of traumatic brain injury, Hergenroeder </w:t>
      </w:r>
      <w:r w:rsidRPr="007D089C">
        <w:rPr>
          <w:i/>
          <w:lang w:val="en-US"/>
        </w:rPr>
        <w:t>et al.</w:t>
      </w:r>
      <w:r w:rsidRPr="007D089C">
        <w:rPr>
          <w:lang w:val="en-US"/>
        </w:rPr>
        <w:t xml:space="preserve"> compared serum protein profiles from patients with severe brain injury (n =11) to age-, sex- and race-matched volunteers. SAA, CRP and RBP4 levels were identified and found to be robust indicators of injury </w:t>
      </w:r>
      <w:r w:rsidRPr="007D089C">
        <w:rPr>
          <w:lang w:val="en-US"/>
        </w:rPr>
        <w:fldChar w:fldCharType="begin"/>
      </w:r>
      <w:r w:rsidRPr="007D089C">
        <w:rPr>
          <w:lang w:val="en-US"/>
        </w:rPr>
        <w:instrText>ADDIN RW.CITE{{1462 Hergenroeder,G. 2008}}</w:instrText>
      </w:r>
      <w:r w:rsidRPr="007D089C">
        <w:rPr>
          <w:lang w:val="en-US"/>
        </w:rPr>
        <w:fldChar w:fldCharType="separate"/>
      </w:r>
      <w:r w:rsidR="00C77B76">
        <w:rPr>
          <w:lang w:val="en-US"/>
        </w:rPr>
        <w:t>(Hergenroeder et al., 2008)</w:t>
      </w:r>
      <w:r w:rsidRPr="007D089C">
        <w:rPr>
          <w:lang w:val="en-US"/>
        </w:rPr>
        <w:fldChar w:fldCharType="end"/>
      </w:r>
      <w:r w:rsidRPr="007D089C">
        <w:rPr>
          <w:lang w:val="en-US"/>
        </w:rPr>
        <w:t xml:space="preserve">. </w:t>
      </w:r>
      <w:r w:rsidR="003E46CF" w:rsidRPr="007D089C">
        <w:rPr>
          <w:lang w:val="en-US"/>
        </w:rPr>
        <w:t xml:space="preserve">Using instead a transgenic mouse model to identify plasma biomarkers of traumatic brain injury </w:t>
      </w:r>
      <w:r w:rsidRPr="007D089C">
        <w:rPr>
          <w:lang w:val="en-US"/>
        </w:rPr>
        <w:t xml:space="preserve">Crawford </w:t>
      </w:r>
      <w:r w:rsidRPr="007D089C">
        <w:rPr>
          <w:i/>
          <w:lang w:val="en-US"/>
        </w:rPr>
        <w:t>et al.</w:t>
      </w:r>
      <w:r w:rsidRPr="007D089C">
        <w:rPr>
          <w:lang w:val="en-US"/>
        </w:rPr>
        <w:t xml:space="preserve"> used </w:t>
      </w:r>
      <w:r w:rsidR="003E46CF" w:rsidRPr="007D089C">
        <w:rPr>
          <w:lang w:val="en-US"/>
        </w:rPr>
        <w:t xml:space="preserve">solvent based removal of albumin (chilled ethanol) prior to iTRAQ labelling and high pH reversed phase fractionation </w:t>
      </w:r>
      <w:r w:rsidRPr="007D089C">
        <w:rPr>
          <w:lang w:val="en-US"/>
        </w:rPr>
        <w:fldChar w:fldCharType="begin"/>
      </w:r>
      <w:r w:rsidRPr="007D089C">
        <w:rPr>
          <w:lang w:val="en-US"/>
        </w:rPr>
        <w:instrText>ADDIN RW.CITE{{2124 Crawford,F. 2012}}</w:instrText>
      </w:r>
      <w:r w:rsidRPr="007D089C">
        <w:rPr>
          <w:lang w:val="en-US"/>
        </w:rPr>
        <w:fldChar w:fldCharType="separate"/>
      </w:r>
      <w:r w:rsidR="00C77B76">
        <w:rPr>
          <w:lang w:val="en-US"/>
        </w:rPr>
        <w:t>(Crawford et al., 2012)</w:t>
      </w:r>
      <w:r w:rsidRPr="007D089C">
        <w:rPr>
          <w:lang w:val="en-US"/>
        </w:rPr>
        <w:fldChar w:fldCharType="end"/>
      </w:r>
      <w:r w:rsidRPr="007D089C">
        <w:rPr>
          <w:lang w:val="en-US"/>
        </w:rPr>
        <w:t>. As this study was performed with an earlier Orbitrap mass spectrometer (XL-model), pulsed-Q dissociation (PQD) fragmentation was used to facilitate analysis of the iTRAQ reporter ions.</w:t>
      </w:r>
    </w:p>
    <w:p w14:paraId="24D506BD" w14:textId="77777777" w:rsidR="00C70947" w:rsidRPr="007D089C" w:rsidRDefault="00C70947" w:rsidP="00C141DD">
      <w:pPr>
        <w:pStyle w:val="Heading2"/>
        <w:spacing w:line="240" w:lineRule="auto"/>
      </w:pPr>
      <w:bookmarkStart w:id="21" w:name="_Toc483395831"/>
      <w:r w:rsidRPr="007D089C">
        <w:t>Occupational Exposure</w:t>
      </w:r>
      <w:bookmarkEnd w:id="21"/>
      <w:r w:rsidRPr="007D089C">
        <w:t xml:space="preserve"> </w:t>
      </w:r>
    </w:p>
    <w:p w14:paraId="1B704213" w14:textId="187E1A06" w:rsidR="00C70947" w:rsidRPr="007D089C" w:rsidRDefault="00C70947" w:rsidP="00B43F04">
      <w:pPr>
        <w:autoSpaceDE w:val="0"/>
        <w:autoSpaceDN w:val="0"/>
        <w:adjustRightInd w:val="0"/>
        <w:spacing w:line="480" w:lineRule="auto"/>
        <w:jc w:val="both"/>
        <w:rPr>
          <w:lang w:val="en-US"/>
        </w:rPr>
      </w:pPr>
      <w:r w:rsidRPr="007D089C">
        <w:rPr>
          <w:rFonts w:ascii="timesroman" w:hAnsi="timesroman"/>
          <w:lang w:val="en-US"/>
        </w:rPr>
        <w:t xml:space="preserve">A number of isobaric labelling studies have been made to evaluate the effects of occupational exposure on the plasma proteome. Using a rat model, Betancourt and co-workers used TMT reagents to measure changes in the serum proteome when the animals were exposed to Bisphenol A and genistein </w:t>
      </w:r>
      <w:r w:rsidRPr="007D089C">
        <w:rPr>
          <w:rFonts w:ascii="timesroman" w:hAnsi="timesroman"/>
          <w:lang w:val="en-US"/>
        </w:rPr>
        <w:fldChar w:fldCharType="begin"/>
      </w:r>
      <w:r w:rsidRPr="007D089C">
        <w:rPr>
          <w:rFonts w:ascii="timesroman" w:hAnsi="timesroman"/>
          <w:lang w:val="en-US"/>
        </w:rPr>
        <w:instrText>ADDIN RW.CITE{{2126 Betancourt,A. 2014}}</w:instrText>
      </w:r>
      <w:r w:rsidRPr="007D089C">
        <w:rPr>
          <w:rFonts w:ascii="timesroman" w:hAnsi="timesroman"/>
          <w:lang w:val="en-US"/>
        </w:rPr>
        <w:fldChar w:fldCharType="separate"/>
      </w:r>
      <w:r w:rsidR="00C77B76">
        <w:rPr>
          <w:rFonts w:ascii="timesroman" w:hAnsi="timesroman"/>
          <w:lang w:val="en-US"/>
        </w:rPr>
        <w:t>(Betancourt et al., 2014)</w:t>
      </w:r>
      <w:r w:rsidRPr="007D089C">
        <w:rPr>
          <w:rFonts w:ascii="timesroman" w:hAnsi="timesroman"/>
          <w:lang w:val="en-US"/>
        </w:rPr>
        <w:fldChar w:fldCharType="end"/>
      </w:r>
      <w:r w:rsidRPr="007D089C">
        <w:rPr>
          <w:rFonts w:ascii="timesroman" w:hAnsi="timesroman"/>
          <w:lang w:val="en-US"/>
        </w:rPr>
        <w:t xml:space="preserve">. The latter two are suspected to mimic endogenous hormones. </w:t>
      </w:r>
      <w:r w:rsidR="0028337C" w:rsidRPr="007D089C">
        <w:rPr>
          <w:rFonts w:ascii="timesroman" w:hAnsi="timesroman"/>
          <w:lang w:val="en-US"/>
        </w:rPr>
        <w:t xml:space="preserve">A </w:t>
      </w:r>
      <w:r w:rsidRPr="007D089C">
        <w:rPr>
          <w:rFonts w:ascii="timesroman" w:hAnsi="timesroman"/>
          <w:lang w:val="en-US"/>
        </w:rPr>
        <w:t xml:space="preserve">MudPIT approach </w:t>
      </w:r>
      <w:r w:rsidR="0028337C" w:rsidRPr="007D089C">
        <w:rPr>
          <w:rFonts w:ascii="timesroman" w:hAnsi="timesroman"/>
          <w:lang w:val="en-US"/>
        </w:rPr>
        <w:t xml:space="preserve">was used in this study and </w:t>
      </w:r>
      <w:r w:rsidRPr="007D089C">
        <w:rPr>
          <w:rFonts w:ascii="timesroman" w:hAnsi="timesroman"/>
          <w:lang w:val="en-US"/>
        </w:rPr>
        <w:t xml:space="preserve">a number of novel markers were identified and then cross validated by Western blot. Huang </w:t>
      </w:r>
      <w:r w:rsidRPr="007D089C">
        <w:rPr>
          <w:rFonts w:ascii="timesroman" w:hAnsi="timesroman"/>
          <w:i/>
          <w:lang w:val="en-US"/>
        </w:rPr>
        <w:t>et al.</w:t>
      </w:r>
      <w:r w:rsidRPr="007D089C">
        <w:rPr>
          <w:rFonts w:ascii="timesroman" w:hAnsi="timesroman"/>
          <w:lang w:val="en-US"/>
        </w:rPr>
        <w:t xml:space="preserve"> used iTRAQ to determine markers of benzene exposure in humans </w:t>
      </w:r>
      <w:r w:rsidRPr="007D089C">
        <w:rPr>
          <w:rFonts w:ascii="timesroman" w:hAnsi="timesroman"/>
          <w:lang w:val="en-US"/>
        </w:rPr>
        <w:fldChar w:fldCharType="begin"/>
      </w:r>
      <w:r w:rsidRPr="007D089C">
        <w:rPr>
          <w:rFonts w:ascii="timesroman" w:hAnsi="timesroman"/>
          <w:lang w:val="en-US"/>
        </w:rPr>
        <w:instrText>ADDIN RW.CITE{{2003 Huang,Z. 2012}}</w:instrText>
      </w:r>
      <w:r w:rsidRPr="007D089C">
        <w:rPr>
          <w:rFonts w:ascii="timesroman" w:hAnsi="timesroman"/>
          <w:lang w:val="en-US"/>
        </w:rPr>
        <w:fldChar w:fldCharType="separate"/>
      </w:r>
      <w:r w:rsidR="00C77B76">
        <w:rPr>
          <w:rFonts w:ascii="timesroman" w:hAnsi="timesroman"/>
          <w:lang w:val="en-US"/>
        </w:rPr>
        <w:t>(Z. Huang et al., 2012)</w:t>
      </w:r>
      <w:r w:rsidRPr="007D089C">
        <w:rPr>
          <w:rFonts w:ascii="timesroman" w:hAnsi="timesroman"/>
          <w:lang w:val="en-US"/>
        </w:rPr>
        <w:fldChar w:fldCharType="end"/>
      </w:r>
      <w:r w:rsidRPr="007D089C">
        <w:rPr>
          <w:rFonts w:ascii="timesroman" w:hAnsi="timesroman"/>
          <w:lang w:val="en-US"/>
        </w:rPr>
        <w:t xml:space="preserve">.  After ELISA validations they summarized that lowered expression of PBP and APOB served as potential biomarkers of chronic occupational benzene exposure. In an evaluation of occupational exposure of miners to rare earth elements Liu, H. </w:t>
      </w:r>
      <w:r w:rsidRPr="007D089C">
        <w:rPr>
          <w:rFonts w:ascii="timesroman" w:hAnsi="timesroman"/>
          <w:i/>
          <w:lang w:val="en-US"/>
        </w:rPr>
        <w:t>et al.</w:t>
      </w:r>
      <w:r w:rsidRPr="007D089C">
        <w:rPr>
          <w:rFonts w:ascii="timesroman" w:hAnsi="timesroman"/>
          <w:lang w:val="en-US"/>
        </w:rPr>
        <w:t xml:space="preserve"> included iTRAQ analysis of serum </w:t>
      </w:r>
      <w:r w:rsidRPr="007D089C">
        <w:rPr>
          <w:rFonts w:ascii="timesroman" w:hAnsi="timesroman"/>
          <w:lang w:val="en-US"/>
        </w:rPr>
        <w:fldChar w:fldCharType="begin"/>
      </w:r>
      <w:r w:rsidRPr="007D089C">
        <w:rPr>
          <w:rFonts w:ascii="timesroman" w:hAnsi="timesroman"/>
          <w:lang w:val="en-US"/>
        </w:rPr>
        <w:instrText>ADDIN RW.CITE{{2131 Liu,H. 2015}}</w:instrText>
      </w:r>
      <w:r w:rsidRPr="007D089C">
        <w:rPr>
          <w:rFonts w:ascii="timesroman" w:hAnsi="timesroman"/>
          <w:lang w:val="en-US"/>
        </w:rPr>
        <w:fldChar w:fldCharType="separate"/>
      </w:r>
      <w:r w:rsidR="00C77B76">
        <w:rPr>
          <w:rFonts w:ascii="timesroman" w:hAnsi="timesroman"/>
          <w:lang w:val="en-US"/>
        </w:rPr>
        <w:t>(H. Liu, Wang, Yang, &amp; Wang, 2015)</w:t>
      </w:r>
      <w:r w:rsidRPr="007D089C">
        <w:rPr>
          <w:rFonts w:ascii="timesroman" w:hAnsi="timesroman"/>
          <w:lang w:val="en-US"/>
        </w:rPr>
        <w:fldChar w:fldCharType="end"/>
      </w:r>
      <w:r w:rsidRPr="007D089C">
        <w:rPr>
          <w:rFonts w:ascii="timesroman" w:hAnsi="timesroman"/>
          <w:lang w:val="en-US"/>
        </w:rPr>
        <w:t>. They observed differential abundance of 29 proteins that could</w:t>
      </w:r>
      <w:r w:rsidRPr="007D089C">
        <w:rPr>
          <w:lang w:val="en-US"/>
        </w:rPr>
        <w:t xml:space="preserve"> be related to the neurovirulence, hepatotoxicity, pathological fibrosis, osteoporosis, and anticoagulation caused by rare earth exposure.</w:t>
      </w:r>
    </w:p>
    <w:p w14:paraId="3CA39C55" w14:textId="77777777" w:rsidR="000074EB" w:rsidRPr="007D089C" w:rsidRDefault="000074EB" w:rsidP="00C141DD">
      <w:pPr>
        <w:autoSpaceDE w:val="0"/>
        <w:autoSpaceDN w:val="0"/>
        <w:adjustRightInd w:val="0"/>
        <w:jc w:val="both"/>
        <w:rPr>
          <w:rFonts w:ascii="Times-Roman" w:hAnsi="Times-Roman" w:cs="Times-Roman"/>
          <w:b/>
          <w:lang w:val="en-US"/>
        </w:rPr>
      </w:pPr>
    </w:p>
    <w:p w14:paraId="6BB14304" w14:textId="20C500FC" w:rsidR="000074EB" w:rsidRPr="007D089C" w:rsidRDefault="000074EB" w:rsidP="00C141DD">
      <w:pPr>
        <w:pStyle w:val="Heading2"/>
        <w:spacing w:line="240" w:lineRule="auto"/>
      </w:pPr>
      <w:bookmarkStart w:id="22" w:name="_Toc483395832"/>
      <w:r w:rsidRPr="007D089C">
        <w:t xml:space="preserve">Other Diseases and </w:t>
      </w:r>
      <w:r w:rsidR="00670428" w:rsidRPr="007D089C">
        <w:t>Applications</w:t>
      </w:r>
      <w:bookmarkEnd w:id="22"/>
    </w:p>
    <w:p w14:paraId="0A64DE00" w14:textId="2267FD4F" w:rsidR="000074EB" w:rsidRPr="007D089C" w:rsidRDefault="000074EB" w:rsidP="00B43F04">
      <w:pPr>
        <w:autoSpaceDE w:val="0"/>
        <w:autoSpaceDN w:val="0"/>
        <w:adjustRightInd w:val="0"/>
        <w:spacing w:line="480" w:lineRule="auto"/>
        <w:jc w:val="both"/>
        <w:rPr>
          <w:rFonts w:ascii="timesroman" w:hAnsi="timesroman"/>
          <w:lang w:val="en-US"/>
        </w:rPr>
      </w:pPr>
      <w:r w:rsidRPr="007D089C">
        <w:rPr>
          <w:rFonts w:ascii="Times-Roman" w:hAnsi="Times-Roman" w:cs="Times-Roman"/>
          <w:lang w:val="en-US"/>
        </w:rPr>
        <w:t xml:space="preserve">ITRAQ and TMT analysis of plasma has been used to study number of other diseases, as are indicated in </w:t>
      </w:r>
      <w:r w:rsidRPr="007D089C">
        <w:rPr>
          <w:rFonts w:ascii="Times-Roman" w:hAnsi="Times-Roman" w:cs="Times-Roman"/>
          <w:b/>
          <w:lang w:val="en-US"/>
        </w:rPr>
        <w:t xml:space="preserve">Table </w:t>
      </w:r>
      <w:r w:rsidR="0028337C" w:rsidRPr="007D089C">
        <w:rPr>
          <w:rFonts w:ascii="Times-Roman" w:hAnsi="Times-Roman" w:cs="Times-Roman"/>
          <w:b/>
          <w:lang w:val="en-US"/>
        </w:rPr>
        <w:t>5</w:t>
      </w:r>
      <w:r w:rsidR="005C7057" w:rsidRPr="007D089C">
        <w:rPr>
          <w:rFonts w:ascii="Times-Roman" w:hAnsi="Times-Roman" w:cs="Times-Roman"/>
          <w:b/>
          <w:lang w:val="en-US"/>
        </w:rPr>
        <w:t>a</w:t>
      </w:r>
      <w:r w:rsidRPr="007D089C">
        <w:rPr>
          <w:rFonts w:ascii="Times-Roman" w:hAnsi="Times-Roman" w:cs="Times-Roman"/>
          <w:lang w:val="en-US"/>
        </w:rPr>
        <w:t xml:space="preserve"> These include Parkinson’s disease </w:t>
      </w:r>
      <w:r w:rsidRPr="007D089C">
        <w:rPr>
          <w:lang w:val="en-US"/>
        </w:rPr>
        <w:fldChar w:fldCharType="begin"/>
      </w:r>
      <w:r w:rsidRPr="007D089C">
        <w:rPr>
          <w:lang w:val="en-US"/>
        </w:rPr>
        <w:instrText>ADDIN RW.CITE{{2002 Zhang,X. 2012}}</w:instrText>
      </w:r>
      <w:r w:rsidRPr="007D089C">
        <w:rPr>
          <w:lang w:val="en-US"/>
        </w:rPr>
        <w:fldChar w:fldCharType="separate"/>
      </w:r>
      <w:r w:rsidR="00C77B76">
        <w:rPr>
          <w:lang w:val="en-US"/>
        </w:rPr>
        <w:t>(X. Zhang, Yin et al., 2012)</w:t>
      </w:r>
      <w:r w:rsidRPr="007D089C">
        <w:rPr>
          <w:lang w:val="en-US"/>
        </w:rPr>
        <w:fldChar w:fldCharType="end"/>
      </w:r>
      <w:r w:rsidRPr="007D089C">
        <w:rPr>
          <w:rFonts w:ascii="Times-Roman" w:hAnsi="Times-Roman" w:cs="Times-Roman"/>
          <w:lang w:val="en-US"/>
        </w:rPr>
        <w:t xml:space="preserve">, </w:t>
      </w:r>
      <w:r w:rsidRPr="007D089C">
        <w:rPr>
          <w:rFonts w:ascii="timesroman" w:hAnsi="timesroman"/>
          <w:lang w:val="en-US"/>
        </w:rPr>
        <w:t xml:space="preserve">osteoarthritis </w:t>
      </w:r>
      <w:r w:rsidRPr="007D089C">
        <w:rPr>
          <w:rFonts w:ascii="timesroman" w:hAnsi="timesroman"/>
          <w:lang w:val="en-US"/>
        </w:rPr>
        <w:fldChar w:fldCharType="begin"/>
      </w:r>
      <w:r w:rsidRPr="007D089C">
        <w:rPr>
          <w:rFonts w:ascii="timesroman" w:hAnsi="timesroman"/>
          <w:lang w:val="en-US"/>
        </w:rPr>
        <w:instrText>ADDIN RW.CITE{{2108 Fernandez-Puente,P. 2011}}</w:instrText>
      </w:r>
      <w:r w:rsidRPr="007D089C">
        <w:rPr>
          <w:rFonts w:ascii="timesroman" w:hAnsi="timesroman"/>
          <w:lang w:val="en-US"/>
        </w:rPr>
        <w:fldChar w:fldCharType="separate"/>
      </w:r>
      <w:r w:rsidR="00C77B76">
        <w:rPr>
          <w:rFonts w:ascii="timesroman" w:hAnsi="timesroman"/>
          <w:lang w:val="en-US"/>
        </w:rPr>
        <w:t>(Fernandez-Puente et al., 2011)</w:t>
      </w:r>
      <w:r w:rsidRPr="007D089C">
        <w:rPr>
          <w:rFonts w:ascii="timesroman" w:hAnsi="timesroman"/>
          <w:lang w:val="en-US"/>
        </w:rPr>
        <w:fldChar w:fldCharType="end"/>
      </w:r>
      <w:r w:rsidRPr="007D089C">
        <w:rPr>
          <w:rFonts w:ascii="timesroman" w:hAnsi="timesroman"/>
          <w:lang w:val="en-US"/>
        </w:rPr>
        <w:t xml:space="preserve"> and </w:t>
      </w:r>
      <w:r w:rsidRPr="007D089C">
        <w:rPr>
          <w:rFonts w:ascii="Times-Roman" w:hAnsi="Times-Roman" w:cs="Times-Roman"/>
          <w:lang w:val="en-US"/>
        </w:rPr>
        <w:t>non-Alcoholic Fatty Liver Disease (NAFLD)</w:t>
      </w:r>
      <w:r w:rsidR="00C70947" w:rsidRPr="007D089C">
        <w:rPr>
          <w:rFonts w:ascii="Times-Roman" w:hAnsi="Times-Roman" w:cs="Times-Roman"/>
          <w:lang w:val="en-US"/>
        </w:rPr>
        <w:t xml:space="preserve"> </w:t>
      </w:r>
      <w:r w:rsidR="00C70947" w:rsidRPr="007D089C">
        <w:rPr>
          <w:rFonts w:ascii="timesroman" w:hAnsi="timesroman"/>
          <w:lang w:val="en-US"/>
        </w:rPr>
        <w:fldChar w:fldCharType="begin"/>
      </w:r>
      <w:r w:rsidR="00C70947" w:rsidRPr="007D089C">
        <w:rPr>
          <w:rFonts w:ascii="timesroman" w:hAnsi="timesroman"/>
          <w:lang w:val="en-US"/>
        </w:rPr>
        <w:instrText>ADDIN RW.CITE{{2139 Miller,M.H. 2014}}</w:instrText>
      </w:r>
      <w:r w:rsidR="00C70947" w:rsidRPr="007D089C">
        <w:rPr>
          <w:rFonts w:ascii="timesroman" w:hAnsi="timesroman"/>
          <w:lang w:val="en-US"/>
        </w:rPr>
        <w:fldChar w:fldCharType="separate"/>
      </w:r>
      <w:r w:rsidR="00C77B76">
        <w:rPr>
          <w:rFonts w:ascii="timesroman" w:hAnsi="timesroman"/>
          <w:lang w:val="en-US"/>
        </w:rPr>
        <w:t>(Miller et al., 2014)</w:t>
      </w:r>
      <w:r w:rsidR="00C70947" w:rsidRPr="007D089C">
        <w:rPr>
          <w:rFonts w:ascii="timesroman" w:hAnsi="timesroman"/>
          <w:lang w:val="en-US"/>
        </w:rPr>
        <w:fldChar w:fldCharType="end"/>
      </w:r>
      <w:r w:rsidRPr="007D089C">
        <w:rPr>
          <w:rFonts w:ascii="Times-Roman" w:hAnsi="Times-Roman" w:cs="Times-Roman"/>
          <w:lang w:val="en-US"/>
        </w:rPr>
        <w:t xml:space="preserve">. </w:t>
      </w:r>
      <w:r w:rsidR="00B473E0" w:rsidRPr="007D089C">
        <w:rPr>
          <w:rFonts w:ascii="Times-Roman" w:hAnsi="Times-Roman" w:cs="Times-Roman"/>
          <w:lang w:val="en-US"/>
        </w:rPr>
        <w:t xml:space="preserve">For example, </w:t>
      </w:r>
      <w:r w:rsidRPr="007D089C">
        <w:rPr>
          <w:rFonts w:ascii="Times-Roman" w:hAnsi="Times-Roman" w:cs="Times-Roman"/>
          <w:lang w:val="en-US"/>
        </w:rPr>
        <w:t xml:space="preserve">Fernandez-Puente </w:t>
      </w:r>
      <w:r w:rsidRPr="007D089C">
        <w:rPr>
          <w:rFonts w:ascii="Times-Roman" w:hAnsi="Times-Roman" w:cs="Times-Roman"/>
          <w:i/>
          <w:lang w:val="en-US"/>
        </w:rPr>
        <w:t>et al.</w:t>
      </w:r>
      <w:r w:rsidRPr="007D089C">
        <w:rPr>
          <w:rFonts w:ascii="Times-Roman" w:hAnsi="Times-Roman" w:cs="Times-Roman"/>
          <w:lang w:val="en-US"/>
        </w:rPr>
        <w:t xml:space="preserve"> used iTRAQ with MALDI-TOF/TOF </w:t>
      </w:r>
      <w:r w:rsidRPr="007D089C">
        <w:rPr>
          <w:rFonts w:ascii="timesroman" w:hAnsi="timesroman"/>
          <w:lang w:val="en-US"/>
        </w:rPr>
        <w:t xml:space="preserve">to profile sera obtained from 50 moderate osteoarthritis (OA) patients, 50 severe OA patients, and 50 non-symptomatic controls (5 pools of 10). Amongst the differentially abundant proteins detected were a number of complement components, lipoproteins, in addition to von Willebrand factor, tetranectin, and lumican </w:t>
      </w:r>
      <w:r w:rsidRPr="007D089C">
        <w:rPr>
          <w:rFonts w:ascii="timesroman" w:hAnsi="timesroman"/>
          <w:lang w:val="en-US"/>
        </w:rPr>
        <w:fldChar w:fldCharType="begin"/>
      </w:r>
      <w:r w:rsidRPr="007D089C">
        <w:rPr>
          <w:rFonts w:ascii="timesroman" w:hAnsi="timesroman"/>
          <w:lang w:val="en-US"/>
        </w:rPr>
        <w:instrText>ADDIN RW.CITE{{2108 Fernandez-Puente,P. 2011}}</w:instrText>
      </w:r>
      <w:r w:rsidRPr="007D089C">
        <w:rPr>
          <w:rFonts w:ascii="timesroman" w:hAnsi="timesroman"/>
          <w:lang w:val="en-US"/>
        </w:rPr>
        <w:fldChar w:fldCharType="separate"/>
      </w:r>
      <w:r w:rsidR="00C77B76">
        <w:rPr>
          <w:rFonts w:ascii="timesroman" w:hAnsi="timesroman"/>
          <w:lang w:val="en-US"/>
        </w:rPr>
        <w:t>(Fernandez-Puente et al., 2011)</w:t>
      </w:r>
      <w:r w:rsidRPr="007D089C">
        <w:rPr>
          <w:rFonts w:ascii="timesroman" w:hAnsi="timesroman"/>
          <w:lang w:val="en-US"/>
        </w:rPr>
        <w:fldChar w:fldCharType="end"/>
      </w:r>
      <w:r w:rsidRPr="007D089C">
        <w:rPr>
          <w:rFonts w:ascii="timesroman" w:hAnsi="timesroman"/>
          <w:lang w:val="en-US"/>
        </w:rPr>
        <w:t xml:space="preserve">. </w:t>
      </w:r>
      <w:r w:rsidRPr="007D089C">
        <w:rPr>
          <w:rFonts w:ascii="Times-Roman" w:hAnsi="Times-Roman" w:cs="Times-Roman"/>
          <w:lang w:val="en-US"/>
        </w:rPr>
        <w:t>Miller and co-workers used both an iTRAQ and label free approach to study the serum proteome of sub classes of NFALD. Pooled samples made from controls (n =10), simple</w:t>
      </w:r>
      <w:r w:rsidRPr="007D089C">
        <w:rPr>
          <w:rFonts w:ascii="Times-Roman" w:hAnsi="Times-Roman" w:cs="Times-Roman"/>
          <w:i/>
          <w:lang w:val="en-US"/>
        </w:rPr>
        <w:t xml:space="preserve"> </w:t>
      </w:r>
      <w:r w:rsidRPr="007D089C">
        <w:rPr>
          <w:rFonts w:ascii="Times-Roman" w:hAnsi="Times-Roman" w:cs="Times-Roman"/>
          <w:lang w:val="en-US"/>
        </w:rPr>
        <w:t xml:space="preserve">steatosis (n = 7), </w:t>
      </w:r>
      <w:r w:rsidRPr="007D089C">
        <w:rPr>
          <w:lang w:val="en-US"/>
        </w:rPr>
        <w:t>nonalcoholic steatohepatitis (</w:t>
      </w:r>
      <w:r w:rsidRPr="007D089C">
        <w:rPr>
          <w:rFonts w:ascii="Times-Roman" w:hAnsi="Times-Roman" w:cs="Times-Roman"/>
          <w:lang w:val="en-US"/>
        </w:rPr>
        <w:t xml:space="preserve">NASH) (n =7), and NASH with fibrosis (n = 7) </w:t>
      </w:r>
      <w:r w:rsidRPr="007D089C">
        <w:rPr>
          <w:rFonts w:ascii="timesroman" w:hAnsi="timesroman"/>
          <w:lang w:val="en-US"/>
        </w:rPr>
        <w:fldChar w:fldCharType="begin"/>
      </w:r>
      <w:r w:rsidRPr="007D089C">
        <w:rPr>
          <w:rFonts w:ascii="timesroman" w:hAnsi="timesroman"/>
          <w:lang w:val="en-US"/>
        </w:rPr>
        <w:instrText>ADDIN RW.CITE{{2139 Miller,M.H. 2014}}</w:instrText>
      </w:r>
      <w:r w:rsidRPr="007D089C">
        <w:rPr>
          <w:rFonts w:ascii="timesroman" w:hAnsi="timesroman"/>
          <w:lang w:val="en-US"/>
        </w:rPr>
        <w:fldChar w:fldCharType="separate"/>
      </w:r>
      <w:r w:rsidR="00C77B76">
        <w:rPr>
          <w:rFonts w:ascii="timesroman" w:hAnsi="timesroman"/>
          <w:lang w:val="en-US"/>
        </w:rPr>
        <w:t>(Miller et al., 2014)</w:t>
      </w:r>
      <w:r w:rsidRPr="007D089C">
        <w:rPr>
          <w:rFonts w:ascii="timesroman" w:hAnsi="timesroman"/>
          <w:lang w:val="en-US"/>
        </w:rPr>
        <w:fldChar w:fldCharType="end"/>
      </w:r>
      <w:r w:rsidRPr="007D089C">
        <w:rPr>
          <w:rFonts w:ascii="timesroman" w:hAnsi="timesroman"/>
          <w:lang w:val="en-US"/>
        </w:rPr>
        <w:t xml:space="preserve">. Andersen </w:t>
      </w:r>
      <w:r w:rsidRPr="007D089C">
        <w:rPr>
          <w:rFonts w:ascii="timesroman" w:hAnsi="timesroman"/>
          <w:i/>
          <w:lang w:val="en-US"/>
        </w:rPr>
        <w:t xml:space="preserve">et al. </w:t>
      </w:r>
      <w:r w:rsidRPr="007D089C">
        <w:rPr>
          <w:rFonts w:ascii="timesroman" w:hAnsi="timesroman"/>
          <w:lang w:val="en-US"/>
        </w:rPr>
        <w:t xml:space="preserve">studied both plasma and urine to identify biomarkers of </w:t>
      </w:r>
      <w:r w:rsidRPr="007D089C">
        <w:rPr>
          <w:rFonts w:ascii="Times-Roman" w:hAnsi="Times-Roman" w:cs="Times-Roman"/>
          <w:lang w:val="en-US"/>
        </w:rPr>
        <w:t xml:space="preserve">idiopathic nephrotic syndrome </w:t>
      </w:r>
      <w:r w:rsidRPr="007D089C">
        <w:rPr>
          <w:rFonts w:ascii="Times-Roman" w:hAnsi="Times-Roman" w:cs="Times-Roman"/>
          <w:lang w:val="en-US"/>
        </w:rPr>
        <w:fldChar w:fldCharType="begin"/>
      </w:r>
      <w:r w:rsidRPr="007D089C">
        <w:rPr>
          <w:rFonts w:ascii="Times-Roman" w:hAnsi="Times-Roman" w:cs="Times-Roman"/>
          <w:lang w:val="en-US"/>
        </w:rPr>
        <w:instrText>ADDIN RW.CITE{{2140 Andersen,R.F. 2012}}</w:instrText>
      </w:r>
      <w:r w:rsidRPr="007D089C">
        <w:rPr>
          <w:rFonts w:ascii="Times-Roman" w:hAnsi="Times-Roman" w:cs="Times-Roman"/>
          <w:lang w:val="en-US"/>
        </w:rPr>
        <w:fldChar w:fldCharType="separate"/>
      </w:r>
      <w:r w:rsidR="00C77B76">
        <w:rPr>
          <w:rFonts w:ascii="Times-Roman" w:hAnsi="Times-Roman" w:cs="Times-Roman"/>
          <w:lang w:val="en-US"/>
        </w:rPr>
        <w:t>(Andersen, Palmfeldt, Jespersen, Gregersen, &amp; Rittig, 2012)</w:t>
      </w:r>
      <w:r w:rsidRPr="007D089C">
        <w:rPr>
          <w:rFonts w:ascii="Times-Roman" w:hAnsi="Times-Roman" w:cs="Times-Roman"/>
          <w:lang w:val="en-US"/>
        </w:rPr>
        <w:fldChar w:fldCharType="end"/>
      </w:r>
      <w:r w:rsidRPr="007D089C">
        <w:rPr>
          <w:rFonts w:ascii="Times-Roman" w:hAnsi="Times-Roman" w:cs="Times-Roman"/>
          <w:lang w:val="en-US"/>
        </w:rPr>
        <w:t>.</w:t>
      </w:r>
    </w:p>
    <w:p w14:paraId="5AA56F0E" w14:textId="77777777" w:rsidR="00C70947" w:rsidRPr="007D089C" w:rsidRDefault="00C70947" w:rsidP="00B43F04">
      <w:pPr>
        <w:autoSpaceDE w:val="0"/>
        <w:autoSpaceDN w:val="0"/>
        <w:adjustRightInd w:val="0"/>
        <w:spacing w:line="480" w:lineRule="auto"/>
        <w:jc w:val="both"/>
        <w:rPr>
          <w:rFonts w:ascii="timesroman" w:hAnsi="timesroman"/>
          <w:lang w:val="en-US"/>
        </w:rPr>
      </w:pPr>
    </w:p>
    <w:p w14:paraId="17A249C0" w14:textId="6C44FB2A" w:rsidR="000074EB" w:rsidRPr="007D089C" w:rsidRDefault="000074EB" w:rsidP="00B43F04">
      <w:pPr>
        <w:autoSpaceDE w:val="0"/>
        <w:autoSpaceDN w:val="0"/>
        <w:adjustRightInd w:val="0"/>
        <w:spacing w:line="480" w:lineRule="auto"/>
        <w:jc w:val="both"/>
        <w:rPr>
          <w:lang w:val="en-US"/>
        </w:rPr>
      </w:pPr>
      <w:r w:rsidRPr="007D089C">
        <w:rPr>
          <w:rFonts w:ascii="timesroman" w:hAnsi="timesroman"/>
          <w:lang w:val="en-US"/>
        </w:rPr>
        <w:t xml:space="preserve">Some applications in which the analysis of the plasma proteome was made in relation to transplants were mentioned in the section on circulations and cardiovascular risk </w:t>
      </w:r>
      <w:r w:rsidRPr="007D089C">
        <w:rPr>
          <w:rFonts w:ascii="timesroman" w:hAnsi="timesroman"/>
          <w:lang w:val="en-US"/>
        </w:rPr>
        <w:fldChar w:fldCharType="begin"/>
      </w:r>
      <w:r w:rsidRPr="007D089C">
        <w:rPr>
          <w:rFonts w:ascii="timesroman" w:hAnsi="timesroman"/>
          <w:lang w:val="en-US"/>
        </w:rPr>
        <w:instrText>ADDIN RW.CITE{{2103 Lin,D. 2013; 2101 Hollander,Z. 2014}}</w:instrText>
      </w:r>
      <w:r w:rsidRPr="007D089C">
        <w:rPr>
          <w:rFonts w:ascii="timesroman" w:hAnsi="timesroman"/>
          <w:lang w:val="en-US"/>
        </w:rPr>
        <w:fldChar w:fldCharType="separate"/>
      </w:r>
      <w:r w:rsidR="00C77B76">
        <w:rPr>
          <w:rFonts w:ascii="timesroman" w:hAnsi="timesroman"/>
          <w:lang w:val="en-US"/>
        </w:rPr>
        <w:t>(Hollander et al., 2014; Lin et al., 2013)</w:t>
      </w:r>
      <w:r w:rsidRPr="007D089C">
        <w:rPr>
          <w:rFonts w:ascii="timesroman" w:hAnsi="timesroman"/>
          <w:lang w:val="en-US"/>
        </w:rPr>
        <w:fldChar w:fldCharType="end"/>
      </w:r>
      <w:r w:rsidRPr="007D089C">
        <w:rPr>
          <w:rFonts w:ascii="timesroman" w:hAnsi="timesroman"/>
          <w:lang w:val="en-US"/>
        </w:rPr>
        <w:t xml:space="preserve">. Whilst in such specific instances it may be difficult to find sizeable study cohorts, liver, kidney and stem cell transplantation have also been investigated. Freue </w:t>
      </w:r>
      <w:r w:rsidRPr="007D089C">
        <w:rPr>
          <w:rFonts w:ascii="timesroman" w:hAnsi="timesroman"/>
          <w:i/>
          <w:lang w:val="en-US"/>
        </w:rPr>
        <w:t>et al.</w:t>
      </w:r>
      <w:r w:rsidRPr="007D089C">
        <w:rPr>
          <w:rFonts w:ascii="timesroman" w:hAnsi="timesroman"/>
          <w:lang w:val="en-US"/>
        </w:rPr>
        <w:t xml:space="preserve"> used LC-MALDI-TOF/TOF and iTRAQ to identify plasma proteomic signatures of allograft rejection </w:t>
      </w:r>
      <w:r w:rsidRPr="007D089C">
        <w:rPr>
          <w:rFonts w:ascii="timesroman" w:hAnsi="timesroman"/>
          <w:lang w:val="en-US"/>
        </w:rPr>
        <w:fldChar w:fldCharType="begin"/>
      </w:r>
      <w:r w:rsidRPr="007D089C">
        <w:rPr>
          <w:rFonts w:ascii="timesroman" w:hAnsi="timesroman"/>
          <w:lang w:val="en-US"/>
        </w:rPr>
        <w:instrText>ADDIN RW.CITE{{1429 Freue,G.V. 2010}}</w:instrText>
      </w:r>
      <w:r w:rsidRPr="007D089C">
        <w:rPr>
          <w:rFonts w:ascii="timesroman" w:hAnsi="timesroman"/>
          <w:lang w:val="en-US"/>
        </w:rPr>
        <w:fldChar w:fldCharType="separate"/>
      </w:r>
      <w:r w:rsidR="00C77B76">
        <w:rPr>
          <w:rFonts w:ascii="timesroman" w:hAnsi="timesroman"/>
          <w:lang w:val="en-US"/>
        </w:rPr>
        <w:t>(Freue et al., 2010)</w:t>
      </w:r>
      <w:r w:rsidRPr="007D089C">
        <w:rPr>
          <w:rFonts w:ascii="timesroman" w:hAnsi="timesroman"/>
          <w:lang w:val="en-US"/>
        </w:rPr>
        <w:fldChar w:fldCharType="end"/>
      </w:r>
      <w:r w:rsidRPr="007D089C">
        <w:rPr>
          <w:rFonts w:ascii="timesroman" w:hAnsi="timesroman"/>
          <w:lang w:val="en-US"/>
        </w:rPr>
        <w:t>.  In this work they used twenty-six</w:t>
      </w:r>
      <w:r w:rsidRPr="007D089C">
        <w:rPr>
          <w:rFonts w:ascii="timesroman" w:hAnsi="timesroman"/>
          <w:color w:val="FF0000"/>
          <w:lang w:val="en-US"/>
        </w:rPr>
        <w:t xml:space="preserve"> </w:t>
      </w:r>
      <w:r w:rsidRPr="007D089C">
        <w:rPr>
          <w:rFonts w:ascii="timesroman" w:hAnsi="timesroman"/>
          <w:lang w:val="en-US"/>
        </w:rPr>
        <w:t xml:space="preserve">4-plex iTRAQ labelling experiments to </w:t>
      </w:r>
      <w:r w:rsidR="00D358A7" w:rsidRPr="007D089C">
        <w:rPr>
          <w:rFonts w:ascii="timesroman" w:hAnsi="timesroman"/>
          <w:lang w:val="en-US"/>
        </w:rPr>
        <w:t>analyses</w:t>
      </w:r>
      <w:r w:rsidRPr="007D089C">
        <w:rPr>
          <w:rFonts w:ascii="timesroman" w:hAnsi="timesroman"/>
          <w:lang w:val="en-US"/>
        </w:rPr>
        <w:t xml:space="preserve"> case and control samples (n = 11 vs. 21). Of the 855 protein groups detected in the cumulative dataset, 144 were detected in two thirds of the samples</w:t>
      </w:r>
      <w:r w:rsidRPr="007D089C">
        <w:rPr>
          <w:rFonts w:ascii="timesroman" w:hAnsi="timesroman"/>
          <w:color w:val="FF0000"/>
          <w:lang w:val="en-US"/>
        </w:rPr>
        <w:t>.</w:t>
      </w:r>
      <w:r w:rsidRPr="007D089C">
        <w:rPr>
          <w:rFonts w:ascii="timesroman" w:hAnsi="timesroman"/>
          <w:lang w:val="en-US"/>
        </w:rPr>
        <w:t xml:space="preserve"> </w:t>
      </w:r>
      <w:r w:rsidRPr="007D089C">
        <w:rPr>
          <w:lang w:val="en-US"/>
        </w:rPr>
        <w:t xml:space="preserve">On the basis of subsequent ELISA measurements, four proteins, F9, SHBG, complement factor D (CFD), and LCAT, gave good classification of the subjects (tested in 10 patients and 19 controls).  Wu, D. </w:t>
      </w:r>
      <w:r w:rsidRPr="007D089C">
        <w:rPr>
          <w:i/>
          <w:lang w:val="en-US"/>
        </w:rPr>
        <w:t>et al.</w:t>
      </w:r>
      <w:r w:rsidRPr="007D089C">
        <w:rPr>
          <w:lang w:val="en-US"/>
        </w:rPr>
        <w:t xml:space="preserve"> used iTRAQ with ESI to compare depleted plasma from kidney transplant patients with allograft rejection patients (n =5) against graft patients without rejection (n = 8). They reported that in the order of a third of the detected proteins (179 proteins detected) were two-fold different and that the dominant processes and responses were associa</w:t>
      </w:r>
      <w:r w:rsidR="00670428" w:rsidRPr="007D089C">
        <w:rPr>
          <w:lang w:val="en-US"/>
        </w:rPr>
        <w:t>ted with inflammation and comple</w:t>
      </w:r>
      <w:r w:rsidRPr="007D089C">
        <w:rPr>
          <w:lang w:val="en-US"/>
        </w:rPr>
        <w:t xml:space="preserve">ment activation </w:t>
      </w:r>
      <w:r w:rsidRPr="007D089C">
        <w:rPr>
          <w:lang w:val="en-US"/>
        </w:rPr>
        <w:fldChar w:fldCharType="begin"/>
      </w:r>
      <w:r w:rsidRPr="007D089C">
        <w:rPr>
          <w:lang w:val="en-US"/>
        </w:rPr>
        <w:instrText>ADDIN RW.CITE{{1440 Wu,D. 2011}}</w:instrText>
      </w:r>
      <w:r w:rsidRPr="007D089C">
        <w:rPr>
          <w:lang w:val="en-US"/>
        </w:rPr>
        <w:fldChar w:fldCharType="separate"/>
      </w:r>
      <w:r w:rsidR="00C77B76">
        <w:rPr>
          <w:lang w:val="en-US"/>
        </w:rPr>
        <w:t>(D. Wu et al., 2011)</w:t>
      </w:r>
      <w:r w:rsidRPr="007D089C">
        <w:rPr>
          <w:lang w:val="en-US"/>
        </w:rPr>
        <w:fldChar w:fldCharType="end"/>
      </w:r>
      <w:r w:rsidRPr="007D089C">
        <w:rPr>
          <w:lang w:val="en-US"/>
        </w:rPr>
        <w:t xml:space="preserve">. Parviainen and co-workers </w:t>
      </w:r>
      <w:r w:rsidR="002D3729" w:rsidRPr="007D089C">
        <w:rPr>
          <w:lang w:val="en-US"/>
        </w:rPr>
        <w:t xml:space="preserve">have </w:t>
      </w:r>
      <w:r w:rsidRPr="007D089C">
        <w:rPr>
          <w:lang w:val="en-US"/>
        </w:rPr>
        <w:t xml:space="preserve">performed quantitative analysis of plasma from liver transplantation surgery </w:t>
      </w:r>
      <w:r w:rsidRPr="007D089C">
        <w:rPr>
          <w:lang w:val="en-US"/>
        </w:rPr>
        <w:fldChar w:fldCharType="begin"/>
      </w:r>
      <w:r w:rsidRPr="007D089C">
        <w:rPr>
          <w:lang w:val="en-US"/>
        </w:rPr>
        <w:instrText>ADDIN RW.CITE{{2084 Parviainen,V. 2011}}</w:instrText>
      </w:r>
      <w:r w:rsidRPr="007D089C">
        <w:rPr>
          <w:lang w:val="en-US"/>
        </w:rPr>
        <w:fldChar w:fldCharType="separate"/>
      </w:r>
      <w:r w:rsidR="00C77B76">
        <w:rPr>
          <w:lang w:val="en-US"/>
        </w:rPr>
        <w:t>(Parviainen et al., 2011)</w:t>
      </w:r>
      <w:r w:rsidRPr="007D089C">
        <w:rPr>
          <w:lang w:val="en-US"/>
        </w:rPr>
        <w:fldChar w:fldCharType="end"/>
      </w:r>
      <w:r w:rsidRPr="007D089C">
        <w:rPr>
          <w:lang w:val="en-US"/>
        </w:rPr>
        <w:t>.</w:t>
      </w:r>
    </w:p>
    <w:p w14:paraId="47F4002C" w14:textId="17857BEB" w:rsidR="000074EB" w:rsidRPr="007D089C" w:rsidRDefault="000074EB" w:rsidP="00B43F04">
      <w:pPr>
        <w:autoSpaceDE w:val="0"/>
        <w:autoSpaceDN w:val="0"/>
        <w:adjustRightInd w:val="0"/>
        <w:spacing w:line="480" w:lineRule="auto"/>
        <w:jc w:val="both"/>
        <w:rPr>
          <w:rFonts w:ascii="timesroman" w:hAnsi="timesroman"/>
          <w:color w:val="FF0000"/>
          <w:lang w:val="en-US"/>
        </w:rPr>
      </w:pPr>
      <w:r w:rsidRPr="007D089C">
        <w:rPr>
          <w:lang w:val="en-US"/>
        </w:rPr>
        <w:t xml:space="preserve">In their methodologically orientated study, Ye </w:t>
      </w:r>
      <w:r w:rsidRPr="007D089C">
        <w:rPr>
          <w:i/>
          <w:lang w:val="en-US"/>
        </w:rPr>
        <w:t>et al</w:t>
      </w:r>
      <w:r w:rsidRPr="007D089C">
        <w:rPr>
          <w:lang w:val="en-US"/>
        </w:rPr>
        <w:t xml:space="preserve">. used SCX-LC- MALDI/TOF/MS/MS to </w:t>
      </w:r>
      <w:r w:rsidR="00D358A7" w:rsidRPr="007D089C">
        <w:rPr>
          <w:lang w:val="en-US"/>
        </w:rPr>
        <w:t>analyses</w:t>
      </w:r>
      <w:r w:rsidRPr="007D089C">
        <w:rPr>
          <w:lang w:val="en-US"/>
        </w:rPr>
        <w:t xml:space="preserve"> plasma samples from hematopoietic stem cell transplant patients </w:t>
      </w:r>
      <w:r w:rsidRPr="007D089C">
        <w:rPr>
          <w:lang w:val="en-US"/>
        </w:rPr>
        <w:fldChar w:fldCharType="begin"/>
      </w:r>
      <w:r w:rsidRPr="007D089C">
        <w:rPr>
          <w:lang w:val="en-US"/>
        </w:rPr>
        <w:instrText>ADDIN RW.CITE{{1427 Ye,H. 2010}}</w:instrText>
      </w:r>
      <w:r w:rsidRPr="007D089C">
        <w:rPr>
          <w:lang w:val="en-US"/>
        </w:rPr>
        <w:fldChar w:fldCharType="separate"/>
      </w:r>
      <w:r w:rsidR="00C77B76">
        <w:rPr>
          <w:lang w:val="en-US"/>
        </w:rPr>
        <w:t>(Ye et al., 2010)</w:t>
      </w:r>
      <w:r w:rsidRPr="007D089C">
        <w:rPr>
          <w:lang w:val="en-US"/>
        </w:rPr>
        <w:fldChar w:fldCharType="end"/>
      </w:r>
      <w:r w:rsidRPr="007D089C">
        <w:rPr>
          <w:lang w:val="en-US"/>
        </w:rPr>
        <w:t xml:space="preserve">. They compared the plasma of these four patients at the time when they developed acute graft-versus-host disease (aGVHD) and after remission. Amongst the differentially abundant proteins CRP was observed with the largest fold difference. In a follow-up study from the same researchers using a larger study population they observed </w:t>
      </w:r>
      <w:r w:rsidRPr="007D089C">
        <w:rPr>
          <w:rFonts w:ascii="timesroman" w:hAnsi="timesroman"/>
          <w:lang w:val="en-US"/>
        </w:rPr>
        <w:t xml:space="preserve">plasma ceruloplasmin as a potential plasma biomarker of aGVHD </w:t>
      </w:r>
      <w:r w:rsidRPr="007D089C">
        <w:rPr>
          <w:rFonts w:ascii="timesroman" w:hAnsi="timesroman"/>
          <w:lang w:val="en-US"/>
        </w:rPr>
        <w:fldChar w:fldCharType="begin"/>
      </w:r>
      <w:r w:rsidRPr="007D089C">
        <w:rPr>
          <w:rFonts w:ascii="timesroman" w:hAnsi="timesroman"/>
          <w:lang w:val="en-US"/>
        </w:rPr>
        <w:instrText>ADDIN RW.CITE{{1623 Lv,M. 2013}}</w:instrText>
      </w:r>
      <w:r w:rsidRPr="007D089C">
        <w:rPr>
          <w:rFonts w:ascii="timesroman" w:hAnsi="timesroman"/>
          <w:lang w:val="en-US"/>
        </w:rPr>
        <w:fldChar w:fldCharType="separate"/>
      </w:r>
      <w:r w:rsidR="00C77B76">
        <w:rPr>
          <w:rFonts w:ascii="timesroman" w:hAnsi="timesroman"/>
          <w:lang w:val="en-US"/>
        </w:rPr>
        <w:t>(Lv et al., 2013)</w:t>
      </w:r>
      <w:r w:rsidRPr="007D089C">
        <w:rPr>
          <w:rFonts w:ascii="timesroman" w:hAnsi="timesroman"/>
          <w:lang w:val="en-US"/>
        </w:rPr>
        <w:fldChar w:fldCharType="end"/>
      </w:r>
      <w:r w:rsidRPr="007D089C">
        <w:rPr>
          <w:rFonts w:ascii="timesroman" w:hAnsi="timesroman"/>
          <w:lang w:val="en-US"/>
        </w:rPr>
        <w:t xml:space="preserve">. </w:t>
      </w:r>
      <w:r w:rsidR="002D3729" w:rsidRPr="007D089C">
        <w:rPr>
          <w:rFonts w:ascii="timesroman" w:hAnsi="timesroman"/>
          <w:lang w:val="en-US"/>
        </w:rPr>
        <w:t>In</w:t>
      </w:r>
      <w:r w:rsidRPr="007D089C">
        <w:rPr>
          <w:rFonts w:ascii="timesroman" w:hAnsi="timesroman"/>
          <w:lang w:val="en-US"/>
        </w:rPr>
        <w:t xml:space="preserve"> this study they compared the technical performance of immuno-depletion and depletion using hexapeptide beads. Although the approaches produced complimentary data, more proteins were identified with immuno-depleted samples. </w:t>
      </w:r>
    </w:p>
    <w:p w14:paraId="76B78560" w14:textId="77777777" w:rsidR="000074EB" w:rsidRPr="007D089C" w:rsidRDefault="000074EB" w:rsidP="00C141DD">
      <w:pPr>
        <w:autoSpaceDE w:val="0"/>
        <w:autoSpaceDN w:val="0"/>
        <w:adjustRightInd w:val="0"/>
        <w:jc w:val="both"/>
        <w:rPr>
          <w:rFonts w:ascii="timesroman" w:hAnsi="timesroman"/>
          <w:lang w:val="en-US"/>
        </w:rPr>
      </w:pPr>
    </w:p>
    <w:p w14:paraId="7984BB91" w14:textId="77777777" w:rsidR="000074EB" w:rsidRPr="007D089C" w:rsidRDefault="000074EB" w:rsidP="00C141DD">
      <w:pPr>
        <w:autoSpaceDE w:val="0"/>
        <w:autoSpaceDN w:val="0"/>
        <w:adjustRightInd w:val="0"/>
        <w:jc w:val="both"/>
        <w:rPr>
          <w:b/>
          <w:color w:val="131413"/>
          <w:sz w:val="28"/>
          <w:szCs w:val="28"/>
          <w:lang w:val="en-US"/>
        </w:rPr>
      </w:pPr>
    </w:p>
    <w:p w14:paraId="741CA814" w14:textId="446D767C" w:rsidR="000074EB" w:rsidRPr="008056FD" w:rsidRDefault="00D74279" w:rsidP="00C141DD">
      <w:pPr>
        <w:pStyle w:val="Heading1"/>
        <w:spacing w:line="240" w:lineRule="auto"/>
        <w:rPr>
          <w:b w:val="0"/>
        </w:rPr>
      </w:pPr>
      <w:bookmarkStart w:id="23" w:name="_Toc483395833"/>
      <w:r w:rsidRPr="008056FD">
        <w:t xml:space="preserve">Discussion and </w:t>
      </w:r>
      <w:r w:rsidR="000074EB" w:rsidRPr="008056FD">
        <w:t>S</w:t>
      </w:r>
      <w:r w:rsidR="008056FD" w:rsidRPr="008056FD">
        <w:t>ummary</w:t>
      </w:r>
      <w:bookmarkEnd w:id="23"/>
    </w:p>
    <w:p w14:paraId="0A68F198" w14:textId="61138164" w:rsidR="00227B35" w:rsidRPr="007D089C" w:rsidRDefault="0028337C" w:rsidP="00B43F04">
      <w:pPr>
        <w:spacing w:line="480" w:lineRule="auto"/>
        <w:jc w:val="both"/>
        <w:rPr>
          <w:lang w:val="en-US"/>
        </w:rPr>
      </w:pPr>
      <w:r w:rsidRPr="007D089C">
        <w:rPr>
          <w:lang w:val="en-US"/>
        </w:rPr>
        <w:t xml:space="preserve">During the past </w:t>
      </w:r>
      <w:r w:rsidR="00670428" w:rsidRPr="007D089C">
        <w:rPr>
          <w:lang w:val="en-US"/>
        </w:rPr>
        <w:t>15</w:t>
      </w:r>
      <w:r w:rsidRPr="007D089C">
        <w:rPr>
          <w:lang w:val="en-US"/>
        </w:rPr>
        <w:t xml:space="preserve"> years since their conception and commercial launch</w:t>
      </w:r>
      <w:r w:rsidR="00B43F04" w:rsidRPr="007D089C">
        <w:rPr>
          <w:lang w:val="en-US"/>
        </w:rPr>
        <w:t>,</w:t>
      </w:r>
      <w:r w:rsidRPr="007D089C">
        <w:rPr>
          <w:lang w:val="en-US"/>
        </w:rPr>
        <w:t xml:space="preserve"> </w:t>
      </w:r>
      <w:r w:rsidR="000074EB" w:rsidRPr="007D089C">
        <w:rPr>
          <w:lang w:val="en-US"/>
        </w:rPr>
        <w:t xml:space="preserve">isobaric labelling </w:t>
      </w:r>
      <w:r w:rsidRPr="007D089C">
        <w:rPr>
          <w:lang w:val="en-US"/>
        </w:rPr>
        <w:t>reagents have</w:t>
      </w:r>
      <w:r w:rsidR="000074EB" w:rsidRPr="007D089C">
        <w:rPr>
          <w:lang w:val="en-US"/>
        </w:rPr>
        <w:t xml:space="preserve"> been used to analyze the plasma proteome in relation to many different diseases and afflictions. As indicated within this review</w:t>
      </w:r>
      <w:r w:rsidR="00C70947" w:rsidRPr="007D089C">
        <w:rPr>
          <w:lang w:val="en-US"/>
        </w:rPr>
        <w:t>,</w:t>
      </w:r>
      <w:r w:rsidR="000074EB" w:rsidRPr="007D089C">
        <w:rPr>
          <w:lang w:val="en-US"/>
        </w:rPr>
        <w:t xml:space="preserve"> many of these have </w:t>
      </w:r>
      <w:r w:rsidR="00C70947" w:rsidRPr="007D089C">
        <w:rPr>
          <w:lang w:val="en-US"/>
        </w:rPr>
        <w:t xml:space="preserve">provided quantitative information for in the order of only a few hundred proteins </w:t>
      </w:r>
      <w:r w:rsidR="000074EB" w:rsidRPr="007D089C">
        <w:rPr>
          <w:lang w:val="en-US"/>
        </w:rPr>
        <w:t>and the same differentially abundant proteins can be common to several disease manifestations. Nevertheless, the information generated and the panels of markers can be important and beneficial within the specific contexts of these specific applications</w:t>
      </w:r>
      <w:r w:rsidR="00C70947" w:rsidRPr="007D089C">
        <w:rPr>
          <w:lang w:val="en-US"/>
        </w:rPr>
        <w:t xml:space="preserve"> and there have been a growing number of more extensive proteomic characterizations</w:t>
      </w:r>
      <w:r w:rsidR="000074EB" w:rsidRPr="007D089C">
        <w:rPr>
          <w:lang w:val="en-US"/>
        </w:rPr>
        <w:t xml:space="preserve">. </w:t>
      </w:r>
    </w:p>
    <w:p w14:paraId="7708FE1A" w14:textId="7F00F2FD" w:rsidR="00227B35" w:rsidRPr="007D089C" w:rsidRDefault="00D74279" w:rsidP="00B43F04">
      <w:pPr>
        <w:spacing w:line="480" w:lineRule="auto"/>
        <w:jc w:val="both"/>
        <w:rPr>
          <w:lang w:val="en-US"/>
        </w:rPr>
      </w:pPr>
      <w:r w:rsidRPr="007D089C">
        <w:rPr>
          <w:lang w:val="en-US"/>
        </w:rPr>
        <w:t xml:space="preserve">In terms of competing methods, it is notable that </w:t>
      </w:r>
      <w:r w:rsidR="00EA6093" w:rsidRPr="007D089C">
        <w:rPr>
          <w:lang w:val="en-US"/>
        </w:rPr>
        <w:t>in addition to throughput</w:t>
      </w:r>
      <w:r w:rsidR="00757D88" w:rsidRPr="007D089C">
        <w:rPr>
          <w:lang w:val="en-US"/>
        </w:rPr>
        <w:t>,</w:t>
      </w:r>
      <w:r w:rsidR="00EA6093" w:rsidRPr="007D089C">
        <w:rPr>
          <w:lang w:val="en-US"/>
        </w:rPr>
        <w:t xml:space="preserve"> </w:t>
      </w:r>
      <w:r w:rsidRPr="007D089C">
        <w:rPr>
          <w:lang w:val="en-US"/>
        </w:rPr>
        <w:t xml:space="preserve">the clear advantage </w:t>
      </w:r>
      <w:r w:rsidR="00C70947" w:rsidRPr="007D089C">
        <w:rPr>
          <w:lang w:val="en-US"/>
        </w:rPr>
        <w:t xml:space="preserve">of isobaric labeling </w:t>
      </w:r>
      <w:r w:rsidR="00B473E0" w:rsidRPr="007D089C">
        <w:rPr>
          <w:lang w:val="en-US"/>
        </w:rPr>
        <w:t xml:space="preserve">at the time of its introduction </w:t>
      </w:r>
      <w:r w:rsidR="00EA6093" w:rsidRPr="007D089C">
        <w:rPr>
          <w:lang w:val="en-US"/>
        </w:rPr>
        <w:t>was robustness</w:t>
      </w:r>
      <w:r w:rsidR="00C70947" w:rsidRPr="007D089C">
        <w:rPr>
          <w:lang w:val="en-US"/>
        </w:rPr>
        <w:t xml:space="preserve"> to variations in sensitivity and chromatographic reproducibility, which are crucial for label free quantification. However, with the current generation of mass spectrometers and chromatographs</w:t>
      </w:r>
      <w:r w:rsidR="0028337C" w:rsidRPr="007D089C">
        <w:rPr>
          <w:lang w:val="en-US"/>
        </w:rPr>
        <w:t>,</w:t>
      </w:r>
      <w:r w:rsidR="00C70947" w:rsidRPr="007D089C">
        <w:rPr>
          <w:lang w:val="en-US"/>
        </w:rPr>
        <w:t xml:space="preserve"> label free profiling of undepleted plasma has been demonstrated with</w:t>
      </w:r>
      <w:r w:rsidRPr="007D089C">
        <w:rPr>
          <w:lang w:val="en-US"/>
        </w:rPr>
        <w:t xml:space="preserve"> both</w:t>
      </w:r>
      <w:r w:rsidR="00C70947" w:rsidRPr="007D089C">
        <w:rPr>
          <w:lang w:val="en-US"/>
        </w:rPr>
        <w:t xml:space="preserve"> DDA and DIA methods providing reasonable coverage and impressive throughput</w:t>
      </w:r>
      <w:r w:rsidR="00EA6093" w:rsidRPr="007D089C">
        <w:rPr>
          <w:lang w:val="en-US"/>
        </w:rPr>
        <w:t xml:space="preserve"> </w:t>
      </w:r>
      <w:r w:rsidR="00B95A33" w:rsidRPr="007D089C">
        <w:rPr>
          <w:lang w:val="en-US"/>
        </w:rPr>
        <w:fldChar w:fldCharType="begin"/>
      </w:r>
      <w:r w:rsidR="00B95A33" w:rsidRPr="007D089C">
        <w:rPr>
          <w:lang w:val="en-US"/>
        </w:rPr>
        <w:instrText>ADDIN RW.CITE{{3047 Geyer,P.E. 2016; 3115 Geyer,P.E. 2016; 3048 Liu,Y. 2015}}</w:instrText>
      </w:r>
      <w:r w:rsidR="00B95A33" w:rsidRPr="007D089C">
        <w:rPr>
          <w:lang w:val="en-US"/>
        </w:rPr>
        <w:fldChar w:fldCharType="separate"/>
      </w:r>
      <w:r w:rsidR="00C77B76">
        <w:rPr>
          <w:lang w:val="en-US"/>
        </w:rPr>
        <w:t>(Geyer et al., 2016; Geyer, Wewer Albrechtsen et al., 2016; Y. Liu et al., 2015)</w:t>
      </w:r>
      <w:r w:rsidR="00B95A33" w:rsidRPr="007D089C">
        <w:rPr>
          <w:lang w:val="en-US"/>
        </w:rPr>
        <w:fldChar w:fldCharType="end"/>
      </w:r>
      <w:r w:rsidR="00C70947" w:rsidRPr="007D089C">
        <w:rPr>
          <w:lang w:val="en-US"/>
        </w:rPr>
        <w:t>.</w:t>
      </w:r>
      <w:r w:rsidRPr="007D089C">
        <w:rPr>
          <w:lang w:val="en-US"/>
        </w:rPr>
        <w:t xml:space="preserve"> </w:t>
      </w:r>
      <w:r w:rsidR="0028337C" w:rsidRPr="007D089C">
        <w:rPr>
          <w:lang w:val="en-US"/>
        </w:rPr>
        <w:t xml:space="preserve">The </w:t>
      </w:r>
      <w:r w:rsidRPr="007D089C">
        <w:rPr>
          <w:lang w:val="en-US"/>
        </w:rPr>
        <w:t xml:space="preserve">use of labeling strategies </w:t>
      </w:r>
      <w:r w:rsidR="0028337C" w:rsidRPr="007D089C">
        <w:rPr>
          <w:lang w:val="en-US"/>
        </w:rPr>
        <w:t xml:space="preserve">nevertheless </w:t>
      </w:r>
      <w:r w:rsidRPr="007D089C">
        <w:rPr>
          <w:lang w:val="en-US"/>
        </w:rPr>
        <w:t xml:space="preserve">remains </w:t>
      </w:r>
      <w:r w:rsidR="0028337C" w:rsidRPr="007D089C">
        <w:rPr>
          <w:lang w:val="en-US"/>
        </w:rPr>
        <w:t>a powerful approach, facilitating the combined analysis of</w:t>
      </w:r>
      <w:r w:rsidRPr="007D089C">
        <w:rPr>
          <w:lang w:val="en-US"/>
        </w:rPr>
        <w:t xml:space="preserve"> fractionated samples</w:t>
      </w:r>
      <w:r w:rsidR="00757D88" w:rsidRPr="007D089C">
        <w:rPr>
          <w:lang w:val="en-US"/>
        </w:rPr>
        <w:t>,</w:t>
      </w:r>
      <w:r w:rsidRPr="007D089C">
        <w:rPr>
          <w:lang w:val="en-US"/>
        </w:rPr>
        <w:t xml:space="preserve"> </w:t>
      </w:r>
      <w:r w:rsidR="00757D88" w:rsidRPr="007D089C">
        <w:rPr>
          <w:lang w:val="en-US"/>
        </w:rPr>
        <w:t>particularly</w:t>
      </w:r>
      <w:r w:rsidRPr="007D089C">
        <w:rPr>
          <w:lang w:val="en-US"/>
        </w:rPr>
        <w:t xml:space="preserve"> </w:t>
      </w:r>
      <w:r w:rsidR="0028337C" w:rsidRPr="007D089C">
        <w:rPr>
          <w:lang w:val="en-US"/>
        </w:rPr>
        <w:t xml:space="preserve">when </w:t>
      </w:r>
      <w:r w:rsidRPr="007D089C">
        <w:rPr>
          <w:lang w:val="en-US"/>
        </w:rPr>
        <w:t>execut</w:t>
      </w:r>
      <w:r w:rsidR="0028337C" w:rsidRPr="007D089C">
        <w:rPr>
          <w:lang w:val="en-US"/>
        </w:rPr>
        <w:t>ing</w:t>
      </w:r>
      <w:r w:rsidRPr="007D089C">
        <w:rPr>
          <w:lang w:val="en-US"/>
        </w:rPr>
        <w:t xml:space="preserve"> complex </w:t>
      </w:r>
      <w:r w:rsidR="0028337C" w:rsidRPr="007D089C">
        <w:rPr>
          <w:lang w:val="en-US"/>
        </w:rPr>
        <w:t xml:space="preserve">preparative </w:t>
      </w:r>
      <w:r w:rsidR="0076727D" w:rsidRPr="007D089C">
        <w:rPr>
          <w:lang w:val="en-US"/>
        </w:rPr>
        <w:t xml:space="preserve">workflows. </w:t>
      </w:r>
      <w:r w:rsidR="00B43F04" w:rsidRPr="007D089C">
        <w:rPr>
          <w:lang w:val="en-US"/>
        </w:rPr>
        <w:t>Alternatively</w:t>
      </w:r>
      <w:r w:rsidR="000074EB" w:rsidRPr="007D089C">
        <w:rPr>
          <w:lang w:val="en-US"/>
        </w:rPr>
        <w:t>, with the growing capabilities of SRM and PRM methods it is becoming increasingly possible to directly target wide</w:t>
      </w:r>
      <w:r w:rsidR="009E59C7" w:rsidRPr="007D089C">
        <w:rPr>
          <w:lang w:val="en-US"/>
        </w:rPr>
        <w:t>r</w:t>
      </w:r>
      <w:r w:rsidR="000074EB" w:rsidRPr="007D089C">
        <w:rPr>
          <w:lang w:val="en-US"/>
        </w:rPr>
        <w:t xml:space="preserve"> panels of these proteins in non-depleted serum </w:t>
      </w:r>
      <w:r w:rsidR="000074EB" w:rsidRPr="007D089C">
        <w:rPr>
          <w:lang w:val="en-US"/>
        </w:rPr>
        <w:fldChar w:fldCharType="begin"/>
      </w:r>
      <w:r w:rsidR="000074EB" w:rsidRPr="007D089C">
        <w:rPr>
          <w:lang w:val="en-US"/>
        </w:rPr>
        <w:instrText>ADDIN RW.CITE{{2229 Domanski,D. 2012; 2211 Chambers,A.G. 2015; 2243 Gallien,S. 2015}}</w:instrText>
      </w:r>
      <w:r w:rsidR="000074EB" w:rsidRPr="007D089C">
        <w:rPr>
          <w:lang w:val="en-US"/>
        </w:rPr>
        <w:fldChar w:fldCharType="separate"/>
      </w:r>
      <w:r w:rsidR="00C77B76">
        <w:rPr>
          <w:lang w:val="en-US"/>
        </w:rPr>
        <w:t>(Chambers, Percy, Yang, &amp; Borchers, 2015; Domanski et al., 2012; Gallien, Kim, &amp; Domon, 2015)</w:t>
      </w:r>
      <w:r w:rsidR="000074EB" w:rsidRPr="007D089C">
        <w:rPr>
          <w:lang w:val="en-US"/>
        </w:rPr>
        <w:fldChar w:fldCharType="end"/>
      </w:r>
      <w:r w:rsidR="000074EB" w:rsidRPr="007D089C">
        <w:rPr>
          <w:lang w:val="en-US"/>
        </w:rPr>
        <w:t xml:space="preserve">. </w:t>
      </w:r>
      <w:r w:rsidR="009E59C7" w:rsidRPr="007D089C">
        <w:rPr>
          <w:lang w:val="en-US"/>
        </w:rPr>
        <w:t xml:space="preserve">However, </w:t>
      </w:r>
      <w:r w:rsidRPr="007D089C">
        <w:rPr>
          <w:lang w:val="en-US"/>
        </w:rPr>
        <w:t xml:space="preserve">notably </w:t>
      </w:r>
      <w:r w:rsidR="009E59C7" w:rsidRPr="007D089C">
        <w:rPr>
          <w:lang w:val="en-US"/>
        </w:rPr>
        <w:t xml:space="preserve">in the context of increasing the multiplexing capacity of such assays, Erickson and coworkers </w:t>
      </w:r>
      <w:r w:rsidR="0028337C" w:rsidRPr="007D089C">
        <w:rPr>
          <w:lang w:val="en-US"/>
        </w:rPr>
        <w:t xml:space="preserve">have </w:t>
      </w:r>
      <w:r w:rsidR="009E59C7" w:rsidRPr="007D089C">
        <w:rPr>
          <w:lang w:val="en-US"/>
        </w:rPr>
        <w:t xml:space="preserve">demonstrated the use of 10-plex TMT reagents with isotopically labeled synthetic peptide standards together with </w:t>
      </w:r>
      <w:r w:rsidR="00757D88" w:rsidRPr="007D089C">
        <w:rPr>
          <w:lang w:val="en-US"/>
        </w:rPr>
        <w:t xml:space="preserve">biological </w:t>
      </w:r>
      <w:r w:rsidR="0028337C" w:rsidRPr="007D089C">
        <w:rPr>
          <w:lang w:val="en-US"/>
        </w:rPr>
        <w:t xml:space="preserve">samples </w:t>
      </w:r>
      <w:r w:rsidR="009E59C7" w:rsidRPr="007D089C">
        <w:rPr>
          <w:lang w:val="en-US"/>
        </w:rPr>
        <w:t xml:space="preserve">to improve the throughput of targeted assays </w:t>
      </w:r>
      <w:r w:rsidR="009E59C7" w:rsidRPr="007D089C">
        <w:rPr>
          <w:lang w:val="en-US"/>
        </w:rPr>
        <w:fldChar w:fldCharType="begin"/>
      </w:r>
      <w:r w:rsidR="009E59C7" w:rsidRPr="007D089C">
        <w:rPr>
          <w:lang w:val="en-US"/>
        </w:rPr>
        <w:instrText>ADDIN RW.CITE{{3111 Erickson,Brian K.}}</w:instrText>
      </w:r>
      <w:r w:rsidR="009E59C7" w:rsidRPr="007D089C">
        <w:rPr>
          <w:lang w:val="en-US"/>
        </w:rPr>
        <w:fldChar w:fldCharType="separate"/>
      </w:r>
      <w:r w:rsidR="00C77B76">
        <w:rPr>
          <w:lang w:val="en-US"/>
        </w:rPr>
        <w:t xml:space="preserve">(Erickson et al., </w:t>
      </w:r>
      <w:r w:rsidR="008056FD">
        <w:rPr>
          <w:lang w:val="en-US"/>
        </w:rPr>
        <w:t>2017</w:t>
      </w:r>
      <w:r w:rsidR="00C77B76">
        <w:rPr>
          <w:lang w:val="en-US"/>
        </w:rPr>
        <w:t>)</w:t>
      </w:r>
      <w:r w:rsidR="009E59C7" w:rsidRPr="007D089C">
        <w:rPr>
          <w:lang w:val="en-US"/>
        </w:rPr>
        <w:fldChar w:fldCharType="end"/>
      </w:r>
      <w:r w:rsidR="009E59C7" w:rsidRPr="007D089C">
        <w:rPr>
          <w:lang w:val="en-US"/>
        </w:rPr>
        <w:t xml:space="preserve">. </w:t>
      </w:r>
    </w:p>
    <w:p w14:paraId="2F0919E4" w14:textId="77777777" w:rsidR="00227B35" w:rsidRPr="007D089C" w:rsidRDefault="00227B35" w:rsidP="00B43F04">
      <w:pPr>
        <w:spacing w:line="480" w:lineRule="auto"/>
        <w:jc w:val="both"/>
        <w:rPr>
          <w:lang w:val="en-US"/>
        </w:rPr>
      </w:pPr>
    </w:p>
    <w:p w14:paraId="0B330FC8" w14:textId="1BF4F24B" w:rsidR="000074EB" w:rsidRPr="007D089C" w:rsidRDefault="00D74279" w:rsidP="00B43F04">
      <w:pPr>
        <w:spacing w:line="480" w:lineRule="auto"/>
        <w:jc w:val="both"/>
        <w:rPr>
          <w:lang w:val="en-US"/>
        </w:rPr>
      </w:pPr>
      <w:r w:rsidRPr="007D089C">
        <w:rPr>
          <w:lang w:val="en-US"/>
        </w:rPr>
        <w:t xml:space="preserve">The throughput of labeling approaches is limited by whether depletion is performed and how digestion, labeling, fractionation (how many fractions?) and analysis (how many replicates, how much time is used to analyze each fraction?) are performed. </w:t>
      </w:r>
      <w:r w:rsidR="000074EB" w:rsidRPr="007D089C">
        <w:rPr>
          <w:lang w:val="en-US"/>
        </w:rPr>
        <w:t xml:space="preserve">Dayon </w:t>
      </w:r>
      <w:r w:rsidR="000074EB" w:rsidRPr="007D089C">
        <w:rPr>
          <w:i/>
          <w:lang w:val="en-US"/>
        </w:rPr>
        <w:t>et al.</w:t>
      </w:r>
      <w:r w:rsidR="000074EB" w:rsidRPr="007D089C">
        <w:rPr>
          <w:lang w:val="en-US"/>
        </w:rPr>
        <w:t xml:space="preserve"> demonstrated </w:t>
      </w:r>
      <w:r w:rsidRPr="007D089C">
        <w:rPr>
          <w:lang w:val="en-US"/>
        </w:rPr>
        <w:t xml:space="preserve">the </w:t>
      </w:r>
      <w:r w:rsidR="000074EB" w:rsidRPr="007D089C">
        <w:rPr>
          <w:lang w:val="en-US"/>
        </w:rPr>
        <w:t xml:space="preserve">scalability of depletion, </w:t>
      </w:r>
      <w:r w:rsidRPr="007D089C">
        <w:rPr>
          <w:lang w:val="en-US"/>
        </w:rPr>
        <w:t xml:space="preserve">TMT </w:t>
      </w:r>
      <w:r w:rsidR="000074EB" w:rsidRPr="007D089C">
        <w:rPr>
          <w:lang w:val="en-US"/>
        </w:rPr>
        <w:t xml:space="preserve">labelling and ESI analysis, with cited a throughput of 2 x 96 samples in 3 weeks and 1005 samples in 15 weeks </w:t>
      </w:r>
      <w:r w:rsidR="000074EB" w:rsidRPr="007D089C">
        <w:rPr>
          <w:lang w:val="en-US"/>
        </w:rPr>
        <w:fldChar w:fldCharType="begin"/>
      </w:r>
      <w:r w:rsidR="000074EB" w:rsidRPr="007D089C">
        <w:rPr>
          <w:lang w:val="en-US"/>
        </w:rPr>
        <w:instrText>ADDIN RW.CITE{{2114 Dayon,L. 2014; 2234 Cominetti,Ornella 2015}}</w:instrText>
      </w:r>
      <w:r w:rsidR="000074EB" w:rsidRPr="007D089C">
        <w:rPr>
          <w:lang w:val="en-US"/>
        </w:rPr>
        <w:fldChar w:fldCharType="separate"/>
      </w:r>
      <w:r w:rsidR="00C77B76">
        <w:rPr>
          <w:lang w:val="en-US"/>
        </w:rPr>
        <w:t>(Cominetti et al., 2015; L. Dayon et al., 2014)</w:t>
      </w:r>
      <w:r w:rsidR="000074EB" w:rsidRPr="007D089C">
        <w:rPr>
          <w:lang w:val="en-US"/>
        </w:rPr>
        <w:fldChar w:fldCharType="end"/>
      </w:r>
      <w:r w:rsidR="000074EB" w:rsidRPr="007D089C">
        <w:rPr>
          <w:lang w:val="en-US"/>
        </w:rPr>
        <w:t>. Such measurements would allow plasma proteomics to catch up to some degree with genomics measurements. Although deeper profiling has yet to be demonstrated with the same throughput, it is notable that with the protein numbers reported in recent publications and the constant evolution of platforms for mass spectrometry, there are exciting new opportunities for biomarker discovery. Nevertheless, these measurements should be used in conjunction with current strategies to reduce compression of the detectable ratio</w:t>
      </w:r>
      <w:r w:rsidR="00EE3FFB" w:rsidRPr="007D089C">
        <w:rPr>
          <w:lang w:val="en-US"/>
        </w:rPr>
        <w:t>s</w:t>
      </w:r>
      <w:r w:rsidR="000074EB" w:rsidRPr="007D089C">
        <w:rPr>
          <w:lang w:val="en-US"/>
        </w:rPr>
        <w:t xml:space="preserve">. </w:t>
      </w:r>
      <w:r w:rsidR="008056FD">
        <w:rPr>
          <w:lang w:val="en-US"/>
        </w:rPr>
        <w:t>However, a</w:t>
      </w:r>
      <w:r w:rsidR="000074EB" w:rsidRPr="007D089C">
        <w:rPr>
          <w:lang w:val="en-US"/>
        </w:rPr>
        <w:t>s can be seen from the earlier incremental improvements in protein identific</w:t>
      </w:r>
      <w:r w:rsidR="008056FD">
        <w:rPr>
          <w:lang w:val="en-US"/>
        </w:rPr>
        <w:t>ation from changes in depletion</w:t>
      </w:r>
      <w:r w:rsidR="000074EB" w:rsidRPr="007D089C">
        <w:rPr>
          <w:lang w:val="en-US"/>
        </w:rPr>
        <w:t xml:space="preserve"> </w:t>
      </w:r>
      <w:r w:rsidR="008056FD">
        <w:rPr>
          <w:lang w:val="en-US"/>
        </w:rPr>
        <w:t xml:space="preserve">and </w:t>
      </w:r>
      <w:r w:rsidR="000074EB" w:rsidRPr="007D089C">
        <w:rPr>
          <w:lang w:val="en-US"/>
        </w:rPr>
        <w:t xml:space="preserve">fractionation </w:t>
      </w:r>
      <w:r w:rsidR="008056FD">
        <w:rPr>
          <w:lang w:val="en-US"/>
        </w:rPr>
        <w:t xml:space="preserve">strategies, </w:t>
      </w:r>
      <w:r w:rsidR="000074EB" w:rsidRPr="007D089C">
        <w:rPr>
          <w:lang w:val="en-US"/>
        </w:rPr>
        <w:t xml:space="preserve">and </w:t>
      </w:r>
      <w:r w:rsidR="008056FD" w:rsidRPr="007D089C">
        <w:rPr>
          <w:lang w:val="en-US"/>
        </w:rPr>
        <w:t xml:space="preserve">several generations </w:t>
      </w:r>
      <w:r w:rsidR="008056FD">
        <w:rPr>
          <w:lang w:val="en-US"/>
        </w:rPr>
        <w:t xml:space="preserve">of </w:t>
      </w:r>
      <w:r w:rsidR="000074EB" w:rsidRPr="007D089C">
        <w:rPr>
          <w:lang w:val="en-US"/>
        </w:rPr>
        <w:t>mass spectrometry platforms</w:t>
      </w:r>
      <w:r w:rsidR="008056FD">
        <w:rPr>
          <w:lang w:val="en-US"/>
        </w:rPr>
        <w:t>,</w:t>
      </w:r>
      <w:r w:rsidR="000074EB" w:rsidRPr="007D089C">
        <w:rPr>
          <w:lang w:val="en-US"/>
        </w:rPr>
        <w:t xml:space="preserve"> plasma proteomics remains a formidable challenge.</w:t>
      </w:r>
    </w:p>
    <w:p w14:paraId="56D0EADC" w14:textId="77777777" w:rsidR="008056FD" w:rsidRDefault="008056FD" w:rsidP="00C141DD">
      <w:pPr>
        <w:rPr>
          <w:rFonts w:ascii="timesroman" w:hAnsi="timesroman"/>
          <w:color w:val="FF0000"/>
          <w:lang w:val="en-US"/>
        </w:rPr>
      </w:pPr>
    </w:p>
    <w:p w14:paraId="27CECF0B" w14:textId="562F6C88" w:rsidR="008056FD" w:rsidRPr="00A76992" w:rsidRDefault="008056FD" w:rsidP="008056FD">
      <w:pPr>
        <w:pStyle w:val="Heading1"/>
        <w:numPr>
          <w:ilvl w:val="0"/>
          <w:numId w:val="2"/>
        </w:numPr>
      </w:pPr>
      <w:bookmarkStart w:id="24" w:name="_Toc457550169"/>
      <w:bookmarkStart w:id="25" w:name="_Toc483395834"/>
      <w:r w:rsidRPr="00A76992">
        <w:t>Acknowledgement</w:t>
      </w:r>
      <w:r w:rsidR="00A76992" w:rsidRPr="00A76992">
        <w:t>s</w:t>
      </w:r>
      <w:r w:rsidRPr="00A76992">
        <w:t>:</w:t>
      </w:r>
      <w:bookmarkEnd w:id="24"/>
      <w:bookmarkEnd w:id="25"/>
    </w:p>
    <w:p w14:paraId="43E999A9" w14:textId="77777777" w:rsidR="008056FD" w:rsidRPr="00B439F3" w:rsidRDefault="008056FD" w:rsidP="008056FD">
      <w:pPr>
        <w:spacing w:line="480" w:lineRule="auto"/>
        <w:ind w:firstLine="284"/>
        <w:jc w:val="both"/>
      </w:pPr>
      <w:r w:rsidRPr="0072621E">
        <w:rPr>
          <w:lang w:val="en-AU"/>
        </w:rPr>
        <w:t xml:space="preserve">The National Technology Agency of Finland (Finland Distinguished Professor Programme, grant 40398/11), </w:t>
      </w:r>
      <w:r w:rsidRPr="0072621E">
        <w:t xml:space="preserve">the Juvenile Diabetes Research Foundation (JDRF, 17-2011-586), </w:t>
      </w:r>
      <w:r w:rsidRPr="0072621E">
        <w:rPr>
          <w:lang w:val="en-AU"/>
        </w:rPr>
        <w:t>the Academy of Finland (Centre of Excellence in Molecular Systems Immunology and Physiology Resea</w:t>
      </w:r>
      <w:r>
        <w:rPr>
          <w:lang w:val="en-AU"/>
        </w:rPr>
        <w:t>rch (grant 250114), and Biocent</w:t>
      </w:r>
      <w:r w:rsidRPr="0072621E">
        <w:rPr>
          <w:lang w:val="en-AU"/>
        </w:rPr>
        <w:t>e</w:t>
      </w:r>
      <w:r>
        <w:rPr>
          <w:lang w:val="en-AU"/>
        </w:rPr>
        <w:t>r</w:t>
      </w:r>
      <w:r w:rsidRPr="0072621E">
        <w:rPr>
          <w:lang w:val="en-AU"/>
        </w:rPr>
        <w:t xml:space="preserve"> Finland (Turku Proteomics Facility) </w:t>
      </w:r>
      <w:r w:rsidRPr="0072621E">
        <w:t>are thanked for their financial support.</w:t>
      </w:r>
    </w:p>
    <w:p w14:paraId="0116CF4A" w14:textId="77777777" w:rsidR="008056FD" w:rsidRDefault="008056FD" w:rsidP="008056FD">
      <w:pPr>
        <w:pStyle w:val="Heading1"/>
      </w:pPr>
      <w:r>
        <w:fldChar w:fldCharType="begin"/>
      </w:r>
      <w:r>
        <w:instrText>ADDIN RW.BIB</w:instrText>
      </w:r>
      <w:r>
        <w:fldChar w:fldCharType="separate"/>
      </w:r>
      <w:bookmarkStart w:id="26" w:name="_Toc483395835"/>
      <w:r>
        <w:t>References</w:t>
      </w:r>
      <w:bookmarkEnd w:id="26"/>
      <w:r>
        <w:t xml:space="preserve"> </w:t>
      </w:r>
    </w:p>
    <w:p w14:paraId="631AF3B1" w14:textId="77777777" w:rsidR="008056FD" w:rsidRDefault="008056FD" w:rsidP="008056FD">
      <w:pPr>
        <w:pStyle w:val="NormalWeb"/>
        <w:ind w:left="450" w:hanging="450"/>
      </w:pPr>
      <w:r>
        <w:t>Acosta-Martin, A. E., Panchaud, A., Chwastyniak, M., Dupont, A., Juthier, F., Gautier, C . Pinet, F. (2011). Quantitative mass spectrometry analysis using PAcIFIC for the identification of plasma diagnostic biomarkers for abdominal aortic aneurysm.</w:t>
      </w:r>
      <w:r>
        <w:rPr>
          <w:i/>
          <w:iCs/>
        </w:rPr>
        <w:t xml:space="preserve"> PloS One, 6</w:t>
      </w:r>
      <w:r>
        <w:t xml:space="preserve">(12), e28698. doi:10.1371/journal.pone.0028698 </w:t>
      </w:r>
    </w:p>
    <w:p w14:paraId="1C03B4C8" w14:textId="77777777" w:rsidR="008056FD" w:rsidRDefault="008056FD" w:rsidP="008056FD">
      <w:pPr>
        <w:pStyle w:val="NormalWeb"/>
        <w:ind w:left="450" w:hanging="450"/>
      </w:pPr>
      <w:r>
        <w:t>Addona, T. A., Shi, X., Keshishian, H., Mani, D. R., Burgess, M., Gillette, M. A . Carr, S. A. (2011). A pipeline that integrates the discovery and verification of plasma protein biomarkers reveals candidate markers for cardiovascular disease.</w:t>
      </w:r>
      <w:r>
        <w:rPr>
          <w:i/>
          <w:iCs/>
        </w:rPr>
        <w:t xml:space="preserve"> Nature Biotechnology, 29</w:t>
      </w:r>
      <w:r>
        <w:t xml:space="preserve">(7), 635-643. doi:10.1038/nbt.1899 [doi] </w:t>
      </w:r>
    </w:p>
    <w:p w14:paraId="553B15AD" w14:textId="77777777" w:rsidR="008056FD" w:rsidRDefault="008056FD" w:rsidP="008056FD">
      <w:pPr>
        <w:pStyle w:val="NormalWeb"/>
        <w:ind w:left="450" w:hanging="450"/>
      </w:pPr>
      <w:r>
        <w:t>Al-Daghri, N. M., Al-Attas, O. S., Johnston, H. E., Singhania, A., Alokail, M. S., Alkharfy, K. M . Garbis, S. D. (2014). Whole serum 3D LC-nESI-FTMS quantitative proteomics reveals sexual dimorphism in the milieu interieur of overweight and obese adults.</w:t>
      </w:r>
      <w:r>
        <w:rPr>
          <w:i/>
          <w:iCs/>
        </w:rPr>
        <w:t xml:space="preserve"> Journal of Proteome Research, 13</w:t>
      </w:r>
      <w:r>
        <w:t xml:space="preserve">(11), 5094-5105. doi:10.1021/pr5003406 [doi] </w:t>
      </w:r>
    </w:p>
    <w:p w14:paraId="56BB7074" w14:textId="77777777" w:rsidR="008056FD" w:rsidRDefault="008056FD" w:rsidP="008056FD">
      <w:pPr>
        <w:pStyle w:val="NormalWeb"/>
        <w:ind w:left="450" w:hanging="450"/>
      </w:pPr>
      <w:r>
        <w:t>An, M., Lohse, I., Tan, Z., Zhu, J., Wu, J., Kurapati, H . Lubman, D. M. (2017). Quantitative proteomic analysis of serum exosomes from patients with locally advanced pancreatic cancer undergoing chemoradiotherapy.</w:t>
      </w:r>
      <w:r>
        <w:rPr>
          <w:i/>
          <w:iCs/>
        </w:rPr>
        <w:t xml:space="preserve"> Journal of Proteome Research, </w:t>
      </w:r>
      <w:r>
        <w:t xml:space="preserve">doi:10.1021/acs.jproteome.7b00024 [doi] </w:t>
      </w:r>
    </w:p>
    <w:p w14:paraId="6FD5ED7A" w14:textId="77777777" w:rsidR="008056FD" w:rsidRDefault="008056FD" w:rsidP="008056FD">
      <w:pPr>
        <w:pStyle w:val="NormalWeb"/>
        <w:ind w:left="450" w:hanging="450"/>
      </w:pPr>
      <w:r>
        <w:t>Andersen, R. F., Palmfeldt, J., Jespersen, B., Gregersen, N., &amp; Rittig, S. (2012). Plasma and urine proteomic profiles in childhood idiopathic nephrotic syndrome.</w:t>
      </w:r>
      <w:r>
        <w:rPr>
          <w:i/>
          <w:iCs/>
        </w:rPr>
        <w:t xml:space="preserve"> Proteomics.Clinical Applications, 6</w:t>
      </w:r>
      <w:r>
        <w:t xml:space="preserve">(7-8), 382-393. doi:10.1002/prca.201100081 [doi] </w:t>
      </w:r>
    </w:p>
    <w:p w14:paraId="7D044B44" w14:textId="77777777" w:rsidR="008056FD" w:rsidRDefault="008056FD" w:rsidP="008056FD">
      <w:pPr>
        <w:pStyle w:val="NormalWeb"/>
        <w:ind w:left="450" w:hanging="450"/>
      </w:pPr>
      <w:r>
        <w:t>Anderson, N. L., &amp; Anderson, N. G. (2002). The human plasma proteome: history, character, and diagnostic prospects.</w:t>
      </w:r>
      <w:r>
        <w:rPr>
          <w:i/>
          <w:iCs/>
        </w:rPr>
        <w:t xml:space="preserve"> Mol.Cell.Proteomics, 1</w:t>
      </w:r>
      <w:r>
        <w:t xml:space="preserve">(11), 845-867. </w:t>
      </w:r>
    </w:p>
    <w:p w14:paraId="28C869EA" w14:textId="77777777" w:rsidR="008056FD" w:rsidRDefault="008056FD" w:rsidP="008056FD">
      <w:pPr>
        <w:pStyle w:val="NormalWeb"/>
        <w:ind w:left="450" w:hanging="450"/>
      </w:pPr>
      <w:r>
        <w:t>Andersson, U., Lindberg, J., Wang, S., Balasubramanian, R., Marcusson-Stahl, M., Hannula, M . Schuppe-Koistinen, I. (2009). A systems biology approach to understanding elevated serum alanine transaminase levels in a clinical trial with ximelagatran.</w:t>
      </w:r>
      <w:r>
        <w:rPr>
          <w:i/>
          <w:iCs/>
        </w:rPr>
        <w:t xml:space="preserve"> Biomarkers : Biochemical Indicators of Exposure, Response, and Susceptibility to Chemicals, 14</w:t>
      </w:r>
      <w:r>
        <w:t xml:space="preserve">(8), 572-586. doi:10.3109/13547500903261354 [doi] </w:t>
      </w:r>
    </w:p>
    <w:p w14:paraId="2B93F360" w14:textId="77777777" w:rsidR="008056FD" w:rsidRDefault="008056FD" w:rsidP="008056FD">
      <w:pPr>
        <w:pStyle w:val="NormalWeb"/>
        <w:ind w:left="450" w:hanging="450"/>
      </w:pPr>
      <w:r>
        <w:t>Auer, J., Camoin, L., Guillonneau, F., Rigourd, V., Chelbi, S. T., Leduc, M . Vaiman, D. (2010). Serum profile in preeclampsia and intra-uterine growth restriction revealed by iTRAQ technology.</w:t>
      </w:r>
      <w:r>
        <w:rPr>
          <w:i/>
          <w:iCs/>
        </w:rPr>
        <w:t xml:space="preserve"> Journal of Proteomics, 73</w:t>
      </w:r>
      <w:r>
        <w:t xml:space="preserve">(5), 1004-1017. doi:10.1016/j.jprot.2009.12.014 [doi] </w:t>
      </w:r>
    </w:p>
    <w:p w14:paraId="65EC7AA5" w14:textId="77777777" w:rsidR="008056FD" w:rsidRDefault="008056FD" w:rsidP="008056FD">
      <w:pPr>
        <w:pStyle w:val="NormalWeb"/>
        <w:ind w:left="450" w:hanging="450"/>
      </w:pPr>
      <w:r>
        <w:t>Azurmendi, L., Degos, V., Tiberti, N., Kapandji, N., Sanchez, P., Sarrafzadeh, A . Sanchez, J. C. (2015). Measuring Serum Amyloid A for Infection Prediction in Aneurysmal Subarachnoid Hemorrhage.</w:t>
      </w:r>
      <w:r>
        <w:rPr>
          <w:i/>
          <w:iCs/>
        </w:rPr>
        <w:t xml:space="preserve"> Journal of Proteome Research, 14</w:t>
      </w:r>
      <w:r>
        <w:t xml:space="preserve">(9), 3948-3956. doi:10.1021/acs.jproteome.5b00391 [doi] </w:t>
      </w:r>
    </w:p>
    <w:p w14:paraId="3C2A04CD" w14:textId="77777777" w:rsidR="008056FD" w:rsidRDefault="008056FD" w:rsidP="008056FD">
      <w:pPr>
        <w:pStyle w:val="NormalWeb"/>
        <w:ind w:left="450" w:hanging="450"/>
      </w:pPr>
      <w:r>
        <w:t>Banville, N., Burgess, J. K., Jaffar, J., Tjin, G., Richeldi, L., Cerri, S . Oliver, B. G. (2014). A quantitative proteomic approach to identify significantly altered protein networks in the serum of patients with lymphangioleiomyomatosis (LAM).</w:t>
      </w:r>
      <w:r>
        <w:rPr>
          <w:i/>
          <w:iCs/>
        </w:rPr>
        <w:t xml:space="preserve"> PloS One, 9</w:t>
      </w:r>
      <w:r>
        <w:t xml:space="preserve">(8), e105365. doi:10.1371/journal.pone.0105365 [doi] </w:t>
      </w:r>
    </w:p>
    <w:p w14:paraId="330705CA" w14:textId="77777777" w:rsidR="008056FD" w:rsidRDefault="008056FD" w:rsidP="008056FD">
      <w:pPr>
        <w:pStyle w:val="NormalWeb"/>
        <w:ind w:left="450" w:hanging="450"/>
      </w:pPr>
      <w:r>
        <w:t>Betancourt, A., Mobley, J. A., Wang, J., Jenkins, S., Chen, D., Kojima, K . Lamartiniere, C. A. (2014). Alterations in the rat serum proteome induced by prepubertal exposure to bisphenol a and genistein.</w:t>
      </w:r>
      <w:r>
        <w:rPr>
          <w:i/>
          <w:iCs/>
        </w:rPr>
        <w:t xml:space="preserve"> Journal of Proteome Research, 13</w:t>
      </w:r>
      <w:r>
        <w:t xml:space="preserve">(3), 1502-1514. doi:10.1021/pr401027q [doi] </w:t>
      </w:r>
    </w:p>
    <w:p w14:paraId="2F75DDA4" w14:textId="77777777" w:rsidR="008056FD" w:rsidRDefault="008056FD" w:rsidP="008056FD">
      <w:pPr>
        <w:pStyle w:val="NormalWeb"/>
        <w:ind w:left="450" w:hanging="450"/>
      </w:pPr>
      <w:r>
        <w:t>Bijian, K., Mlynarek, A. M., Balys, R. L., Jie, S., Xu, Y., Hier, M. P . Alaoui-Jamali, M. A. (2009). Serum proteomic approach for the identification of serum biomarkers contributed by oral squamous cell carcinoma and host tissue microenvironment.</w:t>
      </w:r>
      <w:r>
        <w:rPr>
          <w:i/>
          <w:iCs/>
        </w:rPr>
        <w:t xml:space="preserve"> Journal of Proteome Research, 8</w:t>
      </w:r>
      <w:r>
        <w:t xml:space="preserve">(5), 2173-2185. doi:10.1021/pr800979e </w:t>
      </w:r>
    </w:p>
    <w:p w14:paraId="57C4AC73" w14:textId="77777777" w:rsidR="008056FD" w:rsidRDefault="008056FD" w:rsidP="008056FD">
      <w:pPr>
        <w:pStyle w:val="NormalWeb"/>
        <w:ind w:left="450" w:hanging="450"/>
      </w:pPr>
      <w:r>
        <w:t>Bijttebier, J., Tilleman, K., Dhaenens, M., Deforce, D., Van Soom, A., &amp; Maes, D. (2009). Comparative proteome analysis of porcine follicular fluid and serum reveals that excessive alpha(2)-macroglobulin in serum hampers successful expansion of cumulus-oocyte complexes.</w:t>
      </w:r>
      <w:r>
        <w:rPr>
          <w:i/>
          <w:iCs/>
        </w:rPr>
        <w:t xml:space="preserve"> Proteomics, 9</w:t>
      </w:r>
      <w:r>
        <w:t xml:space="preserve">(19), 4554-4565. doi:10.1002/pmic.200900270 </w:t>
      </w:r>
    </w:p>
    <w:p w14:paraId="2F18A9BF" w14:textId="77777777" w:rsidR="008056FD" w:rsidRDefault="008056FD" w:rsidP="008056FD">
      <w:pPr>
        <w:pStyle w:val="NormalWeb"/>
        <w:ind w:left="450" w:hanging="450"/>
      </w:pPr>
      <w:r>
        <w:t>Blankley, R. T., Fisher, C., Westwood, M., North, R., Baker, P. N., Walker, M. J . Myers, J. E. (2013). A label-free selected reaction monitoring workflow identifies a subset of pregnancy specific glycoproteins as potential predictive markers of early-onset pre-eclampsia.</w:t>
      </w:r>
      <w:r>
        <w:rPr>
          <w:i/>
          <w:iCs/>
        </w:rPr>
        <w:t xml:space="preserve"> Molecular &amp; Cellular Proteomics : MCP, 12</w:t>
      </w:r>
      <w:r>
        <w:t xml:space="preserve">(11), 3148-3159. doi:10.1074/mcp.M112.026872 [doi] </w:t>
      </w:r>
    </w:p>
    <w:p w14:paraId="6034C26D" w14:textId="77777777" w:rsidR="008056FD" w:rsidRDefault="008056FD" w:rsidP="008056FD">
      <w:pPr>
        <w:pStyle w:val="NormalWeb"/>
        <w:ind w:left="450" w:hanging="450"/>
      </w:pPr>
      <w:r>
        <w:t>Boichenko, A. P., Govorukhina, N., Klip, H. G., van der Zee, A. G., Guzel, C., Luider, T. M., &amp; Bischoff, R. (2014). A panel of regulated proteins in serum from patients with cervical intraepithelial neoplasia and cervical cancer.</w:t>
      </w:r>
      <w:r>
        <w:rPr>
          <w:i/>
          <w:iCs/>
        </w:rPr>
        <w:t xml:space="preserve"> Journal of Proteome Research, 13</w:t>
      </w:r>
      <w:r>
        <w:t xml:space="preserve">(11), 4995-5007. doi:10.1021/pr500601w [doi] </w:t>
      </w:r>
    </w:p>
    <w:p w14:paraId="6313B8B8" w14:textId="77777777" w:rsidR="008056FD" w:rsidRDefault="008056FD" w:rsidP="008056FD">
      <w:pPr>
        <w:pStyle w:val="NormalWeb"/>
        <w:ind w:left="450" w:hanging="450"/>
      </w:pPr>
      <w:r>
        <w:t>Bortner, J. D., Richie, J. P., Das, A., Liao, J., Umstead, T. M., Stanley, A . El-Bayoumy, K. (2011). Proteomic Profiling of Human Plasma by iTRAQ Reveals Down-Regulation of ITI-HC3 and VDBP by Cigarette Smoking.</w:t>
      </w:r>
      <w:r>
        <w:rPr>
          <w:i/>
          <w:iCs/>
        </w:rPr>
        <w:t xml:space="preserve"> Journal of Proteome Research, </w:t>
      </w:r>
      <w:r>
        <w:t xml:space="preserve">doi:10.1021/pr100925p </w:t>
      </w:r>
    </w:p>
    <w:p w14:paraId="06A264FB" w14:textId="77777777" w:rsidR="008056FD" w:rsidRDefault="008056FD" w:rsidP="008056FD">
      <w:pPr>
        <w:pStyle w:val="NormalWeb"/>
        <w:ind w:left="450" w:hanging="450"/>
      </w:pPr>
      <w:r>
        <w:t>Boylan, K. L., Andersen, J. D., Anderson, L. B., Higgins, L., &amp; Skubitz, A. P. (2010). Quantitative proteomic analysis by iTRAQ(R) for the identification of candidate biomarkers in ovarian cancer serum.</w:t>
      </w:r>
      <w:r>
        <w:rPr>
          <w:i/>
          <w:iCs/>
        </w:rPr>
        <w:t xml:space="preserve"> Proteome Science, 8</w:t>
      </w:r>
      <w:r>
        <w:t xml:space="preserve">, 31. doi:10.1186/1477-5956-8-31 </w:t>
      </w:r>
    </w:p>
    <w:p w14:paraId="1F08A782" w14:textId="77777777" w:rsidR="008056FD" w:rsidRDefault="008056FD" w:rsidP="008056FD">
      <w:pPr>
        <w:pStyle w:val="NormalWeb"/>
        <w:ind w:left="450" w:hanging="450"/>
      </w:pPr>
      <w:r>
        <w:t>Burillo, E., Lindholt, J. S., Molina-Sanchez, P., Jorge, I., Martinez-Pinna, R., Blanco-Colio, L. M . Martin-Ventura, J. L. (2015). ApoA-I/HDL-C levels are inversely associated with abdominal aortic aneurysm progression.</w:t>
      </w:r>
      <w:r>
        <w:rPr>
          <w:i/>
          <w:iCs/>
        </w:rPr>
        <w:t xml:space="preserve"> Thrombosis and Haemostasis, 113</w:t>
      </w:r>
      <w:r>
        <w:t xml:space="preserve">(6), 1335-1346. doi:10.1160/TH14-10-0874 [doi] </w:t>
      </w:r>
    </w:p>
    <w:p w14:paraId="2A0EF427" w14:textId="77777777" w:rsidR="008056FD" w:rsidRDefault="008056FD" w:rsidP="008056FD">
      <w:pPr>
        <w:pStyle w:val="NormalWeb"/>
        <w:ind w:left="450" w:hanging="450"/>
      </w:pPr>
      <w:r>
        <w:t>Calvo, E., Martinez-Pinna, R., Ramos-Mozo, P., Pastor-Vargas, C., Camafeita, E., Egido, J . Lopez, J. A. (2013). Unraveling biomarkers of abdominal aortic aneurisms by iTRAQ analysis of depleted plasma.</w:t>
      </w:r>
      <w:r>
        <w:rPr>
          <w:i/>
          <w:iCs/>
        </w:rPr>
        <w:t xml:space="preserve"> Methods in Molecular Biology (Clifton, N.J.), 1000</w:t>
      </w:r>
      <w:r>
        <w:t xml:space="preserve">, 157-166. doi:10.1007/978-1-62703-405-0_12 [doi] </w:t>
      </w:r>
    </w:p>
    <w:p w14:paraId="1AB9526A" w14:textId="77777777" w:rsidR="008056FD" w:rsidRDefault="008056FD" w:rsidP="008056FD">
      <w:pPr>
        <w:pStyle w:val="NormalWeb"/>
        <w:ind w:left="450" w:hanging="450"/>
      </w:pPr>
      <w:r>
        <w:t>Cao, Z., Yende, S., Kellum, J. A., Angus, D. C., &amp; Robinson, R. A. (2013). Proteomics Reveals Age-related Differences in the Host Immune Response to Sepsis.</w:t>
      </w:r>
      <w:r>
        <w:rPr>
          <w:i/>
          <w:iCs/>
        </w:rPr>
        <w:t xml:space="preserve"> Journal of Proteome Research, </w:t>
      </w:r>
      <w:r>
        <w:t xml:space="preserve">doi:10.1021/pr400814s </w:t>
      </w:r>
    </w:p>
    <w:p w14:paraId="529B629B" w14:textId="77777777" w:rsidR="008056FD" w:rsidRDefault="008056FD" w:rsidP="008056FD">
      <w:pPr>
        <w:pStyle w:val="NormalWeb"/>
        <w:ind w:left="450" w:hanging="450"/>
      </w:pPr>
      <w:r>
        <w:t>Cao, Z., Yende, S., Kellum, J. A., &amp; Robinson, R. A. (2013). Additions to the Human Plasma Proteome via a Tandem MARS Depletion iTRAQ-Based Workflow.</w:t>
      </w:r>
      <w:r>
        <w:rPr>
          <w:i/>
          <w:iCs/>
        </w:rPr>
        <w:t xml:space="preserve"> International Journal of Proteomics, 2013</w:t>
      </w:r>
      <w:r>
        <w:t xml:space="preserve">, 654356. doi:10.1155/2013/654356; 10.1155/2013/654356 </w:t>
      </w:r>
    </w:p>
    <w:p w14:paraId="2E22B3B2" w14:textId="77777777" w:rsidR="008056FD" w:rsidRDefault="008056FD" w:rsidP="008056FD">
      <w:pPr>
        <w:pStyle w:val="NormalWeb"/>
        <w:ind w:left="450" w:hanging="450"/>
      </w:pPr>
      <w:r>
        <w:t>Chai, Y. D., Zhang, L., Yang, Y., Su, T., Charugundla, P., Ai, J . Hu, S. (2014). Discovery of potential serum protein biomarkers for lymph-node metastasis in oral cancer.</w:t>
      </w:r>
      <w:r>
        <w:rPr>
          <w:i/>
          <w:iCs/>
        </w:rPr>
        <w:t xml:space="preserve"> Head &amp; Neck, </w:t>
      </w:r>
      <w:r>
        <w:t xml:space="preserve">doi:10.1002/hed.23870 [doi] </w:t>
      </w:r>
    </w:p>
    <w:p w14:paraId="04546FE9" w14:textId="77777777" w:rsidR="008056FD" w:rsidRDefault="008056FD" w:rsidP="008056FD">
      <w:pPr>
        <w:pStyle w:val="NormalWeb"/>
        <w:ind w:left="450" w:hanging="450"/>
      </w:pPr>
      <w:r>
        <w:t>Chambers, A. G., Percy, A. J., Yang, J., &amp; Borchers, C. H. (2015). LC/MRM-MS Enables Precise and Simultaneous Quantification of 97 Proteins in Dried Blood Spots.</w:t>
      </w:r>
      <w:r>
        <w:rPr>
          <w:i/>
          <w:iCs/>
        </w:rPr>
        <w:t xml:space="preserve"> Molecular &amp; Cellular Proteomics : MCP, </w:t>
      </w:r>
      <w:r>
        <w:t xml:space="preserve">doi:mcp.O115.049957 [pii] </w:t>
      </w:r>
    </w:p>
    <w:p w14:paraId="3655F29F" w14:textId="77777777" w:rsidR="008056FD" w:rsidRDefault="008056FD" w:rsidP="008056FD">
      <w:pPr>
        <w:pStyle w:val="NormalWeb"/>
        <w:ind w:left="450" w:hanging="450"/>
      </w:pPr>
      <w:r>
        <w:t>Chen, L., Gu, H., Li, J., Yang, Z. Y., Sun, X., Zhang, L . Yuan, Z. (2016). Comprehensive maternal serum proteomics identifies the cytoskeletal proteins as non-invasive biomarkers in prenatal diagnosis of congenital heart defects.</w:t>
      </w:r>
      <w:r>
        <w:rPr>
          <w:i/>
          <w:iCs/>
        </w:rPr>
        <w:t xml:space="preserve"> Scientific Reports, 6</w:t>
      </w:r>
      <w:r>
        <w:t xml:space="preserve">, 19248. doi:10.1038/srep19248 [doi] </w:t>
      </w:r>
    </w:p>
    <w:p w14:paraId="1A49815A" w14:textId="77777777" w:rsidR="008056FD" w:rsidRDefault="008056FD" w:rsidP="008056FD">
      <w:pPr>
        <w:pStyle w:val="NormalWeb"/>
        <w:ind w:left="450" w:hanging="450"/>
      </w:pPr>
      <w:r>
        <w:t>Chen, X., Shan, Q., Jiang, L., Zhu, B., &amp; Xi, X. (2013). Quantitative proteomic analysis by iTRAQ for identification of candidate biomarkers in plasma from acute respiratory distress syndrome patients.</w:t>
      </w:r>
      <w:r>
        <w:rPr>
          <w:i/>
          <w:iCs/>
        </w:rPr>
        <w:t xml:space="preserve"> Biochemical and Biophysical Research Communications, 441</w:t>
      </w:r>
      <w:r>
        <w:t xml:space="preserve">(1), 1-6. doi:10.1016/j.bbrc.2013.09.027 [doi] </w:t>
      </w:r>
    </w:p>
    <w:p w14:paraId="10F40708" w14:textId="77777777" w:rsidR="008056FD" w:rsidRDefault="008056FD" w:rsidP="008056FD">
      <w:pPr>
        <w:pStyle w:val="NormalWeb"/>
        <w:ind w:left="450" w:hanging="450"/>
      </w:pPr>
      <w:r>
        <w:t>Chenau, J., Michelland, S., Sidibe, J., &amp; Seve, M. (2008). Peptides OFFGEL electrophoresis: a suitable pre-analytical step for complex eukaryotic samples fractionation compatible with quantitative iTRAQ labeling.</w:t>
      </w:r>
      <w:r>
        <w:rPr>
          <w:i/>
          <w:iCs/>
        </w:rPr>
        <w:t xml:space="preserve"> Proteome Science, 6</w:t>
      </w:r>
      <w:r>
        <w:t xml:space="preserve">, 9. doi:10.1186/1477-5956-6-9 </w:t>
      </w:r>
    </w:p>
    <w:p w14:paraId="7CBE6D42" w14:textId="77777777" w:rsidR="008056FD" w:rsidRDefault="008056FD" w:rsidP="008056FD">
      <w:pPr>
        <w:pStyle w:val="NormalWeb"/>
        <w:ind w:left="450" w:hanging="450"/>
      </w:pPr>
      <w:r>
        <w:t>Cheng, Y., Chen, Y., Sun, X., Li, Y., Huang, C., Deng, H., &amp; Li, Z. (2014). Identification of potential serum biomarkers for rheumatoid arthritis by high-resolution quantitative proteomic analysis.</w:t>
      </w:r>
      <w:r>
        <w:rPr>
          <w:i/>
          <w:iCs/>
        </w:rPr>
        <w:t xml:space="preserve"> Inflammation, 37</w:t>
      </w:r>
      <w:r>
        <w:t xml:space="preserve">(5), 1459-1467. doi:10.1007/s10753-014-9871-8 [doi] </w:t>
      </w:r>
    </w:p>
    <w:p w14:paraId="30727563" w14:textId="77777777" w:rsidR="008056FD" w:rsidRDefault="008056FD" w:rsidP="008056FD">
      <w:pPr>
        <w:pStyle w:val="NormalWeb"/>
        <w:ind w:left="450" w:hanging="450"/>
      </w:pPr>
      <w:r>
        <w:t>Chong, P. K., Lee, H., Loh, M. C., Choong, L. Y., Lin, Q., So, J. B . Lim, Y. P. (2010). Upregulation of plasma C9 protein in gastric cancer patients.</w:t>
      </w:r>
      <w:r>
        <w:rPr>
          <w:i/>
          <w:iCs/>
        </w:rPr>
        <w:t xml:space="preserve"> Proteomics, 10</w:t>
      </w:r>
      <w:r>
        <w:t xml:space="preserve">(18), 3210-3221. doi:10.1002/pmic.201000127 </w:t>
      </w:r>
    </w:p>
    <w:p w14:paraId="320E2CE9" w14:textId="77777777" w:rsidR="008056FD" w:rsidRDefault="008056FD" w:rsidP="008056FD">
      <w:pPr>
        <w:pStyle w:val="NormalWeb"/>
        <w:ind w:left="450" w:hanging="450"/>
      </w:pPr>
      <w:r>
        <w:t>Chong, P. K., Lee, H., Zhou, J., Liu, S. C., Loh, M. C., So, J. B . Lim, Y. P. (2010). Reduced plasma APOA1 level is associated with gastric tumor growth in MKN45 mouse xenograft model.</w:t>
      </w:r>
      <w:r>
        <w:rPr>
          <w:i/>
          <w:iCs/>
        </w:rPr>
        <w:t xml:space="preserve"> Journal of Proteomics, 73</w:t>
      </w:r>
      <w:r>
        <w:t xml:space="preserve">(8), 1632-1640. doi:10.1016/j.jprot.2010.04.005 </w:t>
      </w:r>
    </w:p>
    <w:p w14:paraId="64DDA73B" w14:textId="77777777" w:rsidR="008056FD" w:rsidRDefault="008056FD" w:rsidP="008056FD">
      <w:pPr>
        <w:pStyle w:val="NormalWeb"/>
        <w:ind w:left="450" w:hanging="450"/>
      </w:pPr>
      <w:r>
        <w:t>Chong, P. K., Lee, H., Zhou, J., Liu, S. C., Loh, M. C., Wang, T. T . Lim, Y. P. (2010). ITIH3 is a potential biomarker for early detection of gastric cancer.</w:t>
      </w:r>
      <w:r>
        <w:rPr>
          <w:i/>
          <w:iCs/>
        </w:rPr>
        <w:t xml:space="preserve"> Journal of Proteome Research, 9</w:t>
      </w:r>
      <w:r>
        <w:t xml:space="preserve">(7), 3671-3679. doi:10.1021/pr100192h </w:t>
      </w:r>
    </w:p>
    <w:p w14:paraId="2665724E" w14:textId="77777777" w:rsidR="008056FD" w:rsidRDefault="008056FD" w:rsidP="008056FD">
      <w:pPr>
        <w:pStyle w:val="NormalWeb"/>
        <w:ind w:left="450" w:hanging="450"/>
      </w:pPr>
      <w:r>
        <w:t>Cole, R. N., Ruczinski, I., Schulze, K., Christian, P., Herbrich, S., Wu, L . West, K. P.,Jr. (2013). The plasma proteome identifies expected and novel proteins correlated with micronutrient status in undernourished nepalese children.</w:t>
      </w:r>
      <w:r>
        <w:rPr>
          <w:i/>
          <w:iCs/>
        </w:rPr>
        <w:t xml:space="preserve"> The Journal of Nutrition, 143</w:t>
      </w:r>
      <w:r>
        <w:t xml:space="preserve">(10), 1540-1548. doi:10.3945/jn.113.175018; 10.3945/jn.113.175018 </w:t>
      </w:r>
    </w:p>
    <w:p w14:paraId="1CDED515" w14:textId="77777777" w:rsidR="008056FD" w:rsidRDefault="008056FD" w:rsidP="008056FD">
      <w:pPr>
        <w:pStyle w:val="NormalWeb"/>
        <w:ind w:left="450" w:hanging="450"/>
      </w:pPr>
      <w:r>
        <w:t>Colquhoun, D. R., Goldman, L. R., Cole, R. N., Gucek, M., Mansharamani, M., Witter, F. R . Halden, R. U. (2009). Global screening of human cord blood proteomes for biomarkers of toxic exposure and effect.</w:t>
      </w:r>
      <w:r>
        <w:rPr>
          <w:i/>
          <w:iCs/>
        </w:rPr>
        <w:t xml:space="preserve"> Environmental Health Perspectives, 117</w:t>
      </w:r>
      <w:r>
        <w:t xml:space="preserve">(5), 832-838. doi:10.1289/ehp.11816 </w:t>
      </w:r>
    </w:p>
    <w:p w14:paraId="2BA149B1" w14:textId="77777777" w:rsidR="008056FD" w:rsidRDefault="008056FD" w:rsidP="008056FD">
      <w:pPr>
        <w:pStyle w:val="NormalWeb"/>
        <w:ind w:left="450" w:hanging="450"/>
      </w:pPr>
      <w:r>
        <w:t>Cominetti, O., NÃºÃ±ez Galindo, A., CorthÃ©sy, J., Oller Moreno, S., Irincheeva, I., Valsesia, A . Dayon, L. (2015). Proteomic Biomarker Discovery in 1'000 Human Plasma Samples with Mass Spectrometry.</w:t>
      </w:r>
      <w:r>
        <w:rPr>
          <w:i/>
          <w:iCs/>
        </w:rPr>
        <w:t xml:space="preserve"> Journal of Proteome Research, </w:t>
      </w:r>
      <w:r>
        <w:t xml:space="preserve">doi:10.1021/acs.jproteome.5b00901 </w:t>
      </w:r>
    </w:p>
    <w:p w14:paraId="6594D494" w14:textId="77777777" w:rsidR="008056FD" w:rsidRDefault="008056FD" w:rsidP="008056FD">
      <w:pPr>
        <w:pStyle w:val="NormalWeb"/>
        <w:ind w:left="450" w:hanging="450"/>
      </w:pPr>
      <w:r>
        <w:t>Crawford, F., Crynen, G., Reed, J., Mouzon, B., Bishop, A., Katz, B . Mullan, M. (2012). Identification of plasma biomarkers of TBI outcome using proteomic approaches in an APOE mouse model.</w:t>
      </w:r>
      <w:r>
        <w:rPr>
          <w:i/>
          <w:iCs/>
        </w:rPr>
        <w:t xml:space="preserve"> Journal of Neurotrauma, 29</w:t>
      </w:r>
      <w:r>
        <w:t xml:space="preserve">(2), 246-260. doi:10.1089/neu.2011.1789 [doi] </w:t>
      </w:r>
    </w:p>
    <w:p w14:paraId="19AC2455" w14:textId="77777777" w:rsidR="008056FD" w:rsidRDefault="008056FD" w:rsidP="008056FD">
      <w:pPr>
        <w:pStyle w:val="NormalWeb"/>
        <w:ind w:left="450" w:hanging="450"/>
      </w:pPr>
      <w:r>
        <w:t>Culnan, D. M., Cooney, R. N., Stanley, B., &amp; Lynch, C. J. (2009). Apolipoprotein A-IV, a putative satiety/antiatherogenic factor, rises after gastric bypass.</w:t>
      </w:r>
      <w:r>
        <w:rPr>
          <w:i/>
          <w:iCs/>
        </w:rPr>
        <w:t xml:space="preserve"> Obesity (Silver Spring, Md.), 17</w:t>
      </w:r>
      <w:r>
        <w:t xml:space="preserve">(1), 46-52. doi:10.1038/oby.2008.428 </w:t>
      </w:r>
    </w:p>
    <w:p w14:paraId="7BFAA04D" w14:textId="77777777" w:rsidR="008056FD" w:rsidRDefault="008056FD" w:rsidP="008056FD">
      <w:pPr>
        <w:pStyle w:val="NormalWeb"/>
        <w:ind w:left="450" w:hanging="450"/>
      </w:pPr>
      <w:r>
        <w:t>Datta, A., Chen, C. P., &amp; Sze, S. K. (2014). Discovery of prognostic biomarker candidates of lacunar infarction by quantitative proteomics of microvesicles enriched plasma.</w:t>
      </w:r>
      <w:r>
        <w:rPr>
          <w:i/>
          <w:iCs/>
        </w:rPr>
        <w:t xml:space="preserve"> PloS One, 9</w:t>
      </w:r>
      <w:r>
        <w:t xml:space="preserve">(4), e94663. doi:10.1371/journal.pone.0094663 [doi] </w:t>
      </w:r>
    </w:p>
    <w:p w14:paraId="58E4987E" w14:textId="77777777" w:rsidR="008056FD" w:rsidRDefault="008056FD" w:rsidP="008056FD">
      <w:pPr>
        <w:pStyle w:val="NormalWeb"/>
        <w:ind w:left="450" w:hanging="450"/>
      </w:pPr>
      <w:r>
        <w:t>Datta, A., &amp; Sze, S. K. (2015). Data for iTRAQ profiling of micro-vesicular plasma specimens: In search of potential prognostic circulatory biomarkers for Lacunar infarction.</w:t>
      </w:r>
      <w:r>
        <w:rPr>
          <w:i/>
          <w:iCs/>
        </w:rPr>
        <w:t xml:space="preserve"> Data in Brief, 4</w:t>
      </w:r>
      <w:r>
        <w:t xml:space="preserve">, 510-517. doi:10.1016/j.dib.2015.07.021 </w:t>
      </w:r>
    </w:p>
    <w:p w14:paraId="54BAF09D" w14:textId="77777777" w:rsidR="008056FD" w:rsidRDefault="008056FD" w:rsidP="008056FD">
      <w:pPr>
        <w:pStyle w:val="NormalWeb"/>
        <w:ind w:left="450" w:hanging="450"/>
      </w:pPr>
      <w:r>
        <w:t>Dayon, L., Nunez Galindo, A., Corthesy, J., Cominetti, O., &amp; Kussmann, M. (2014). Comprehensive and Scalable Highly Automated MS-Based Proteomic Workflow for Clinical Biomarker Discovery in Human Plasma.</w:t>
      </w:r>
      <w:r>
        <w:rPr>
          <w:i/>
          <w:iCs/>
        </w:rPr>
        <w:t xml:space="preserve"> Journal of Proteome Research, </w:t>
      </w:r>
      <w:r>
        <w:t xml:space="preserve">doi:10.1021/pr500635f [doi] </w:t>
      </w:r>
    </w:p>
    <w:p w14:paraId="22ADA4E2" w14:textId="77777777" w:rsidR="008056FD" w:rsidRDefault="008056FD" w:rsidP="008056FD">
      <w:pPr>
        <w:pStyle w:val="NormalWeb"/>
        <w:ind w:left="450" w:hanging="450"/>
      </w:pPr>
      <w:r>
        <w:t>Dayon, L., &amp; Kussmann, M. (2013). Proteomics of human plasma: A critical comparison of analytical workflows in terms of effort, throughput and outcome.</w:t>
      </w:r>
      <w:r>
        <w:rPr>
          <w:i/>
          <w:iCs/>
        </w:rPr>
        <w:t xml:space="preserve"> EuPA Open Proteomics, 1</w:t>
      </w:r>
      <w:r>
        <w:t>(0), 8-16. doi:</w:t>
      </w:r>
      <w:hyperlink r:id="rId9" w:tgtFrame="_blank" w:history="1">
        <w:r>
          <w:rPr>
            <w:rStyle w:val="Hyperlink"/>
          </w:rPr>
          <w:t>http://dx.doi.org/10.1016/j.euprot.2013.08.001</w:t>
        </w:r>
      </w:hyperlink>
      <w:r>
        <w:t xml:space="preserve"> </w:t>
      </w:r>
    </w:p>
    <w:p w14:paraId="7A9B3083" w14:textId="77777777" w:rsidR="008056FD" w:rsidRDefault="008056FD" w:rsidP="008056FD">
      <w:pPr>
        <w:pStyle w:val="NormalWeb"/>
        <w:ind w:left="450" w:hanging="450"/>
      </w:pPr>
      <w:r>
        <w:t>Domanski, D., Percy, A. J., Yang, J., Chambers, A. G., Hill, J. S., Freue, G. V., &amp; Borchers, C. H. (2012). MRM-based multiplexed quantitation of 67 putative cardiovascular disease biomarkers in human plasma.</w:t>
      </w:r>
      <w:r>
        <w:rPr>
          <w:i/>
          <w:iCs/>
        </w:rPr>
        <w:t xml:space="preserve"> Proteomics, 12</w:t>
      </w:r>
      <w:r>
        <w:t xml:space="preserve">(8), 1222-1243. doi:10.1002/pmic.201100568 [doi] </w:t>
      </w:r>
    </w:p>
    <w:p w14:paraId="2EA11D8F" w14:textId="77777777" w:rsidR="008056FD" w:rsidRDefault="008056FD" w:rsidP="008056FD">
      <w:pPr>
        <w:pStyle w:val="NormalWeb"/>
        <w:ind w:left="450" w:hanging="450"/>
      </w:pPr>
      <w:r>
        <w:t>Dwivedi, R. C., Dhindsa, N., Krokhin, O. V., Cortens, J., Wilkins, J. A., &amp; El-Gabalawy, H. S. (2009). The effects of infliximab therapy on the serum proteome of rheumatoid arthritis patients.</w:t>
      </w:r>
      <w:r>
        <w:rPr>
          <w:i/>
          <w:iCs/>
        </w:rPr>
        <w:t xml:space="preserve"> Arthritis Research &amp; Therapy, 11</w:t>
      </w:r>
      <w:r>
        <w:t xml:space="preserve">(2), R32. doi:10.1186/ar2637 </w:t>
      </w:r>
    </w:p>
    <w:p w14:paraId="75F7B61C" w14:textId="77777777" w:rsidR="008056FD" w:rsidRDefault="008056FD" w:rsidP="008056FD">
      <w:pPr>
        <w:pStyle w:val="NormalWeb"/>
        <w:ind w:left="450" w:hanging="450"/>
      </w:pPr>
      <w:r>
        <w:t>Dwivedi, R. C., Krokhin, O. V., Cortens, J. P., &amp; Wilkins, J. A. (2010). Assessment of the reproducibility of random hexapeptide peptide library-based protein normalization.</w:t>
      </w:r>
      <w:r>
        <w:rPr>
          <w:i/>
          <w:iCs/>
        </w:rPr>
        <w:t xml:space="preserve"> Journal of Proteome Research, 9</w:t>
      </w:r>
      <w:r>
        <w:t xml:space="preserve">(2), 1144-1149. doi:10.1021/pr900608z [doi] </w:t>
      </w:r>
    </w:p>
    <w:p w14:paraId="3B125518" w14:textId="77777777" w:rsidR="008056FD" w:rsidRDefault="008056FD" w:rsidP="008056FD">
      <w:pPr>
        <w:pStyle w:val="NormalWeb"/>
        <w:ind w:left="450" w:hanging="450"/>
      </w:pPr>
      <w:r>
        <w:t>Erickson, B. K., Rose, C. M., Braun, C. R., Erickson, A. R., Knott, J., McAlister, G. C . Gygi, S. P.A Strategy to Combine Sample Multiplexing with Targeted Proteomics Assays for High-Throughput Protein Signature Characterization.</w:t>
      </w:r>
      <w:r>
        <w:rPr>
          <w:i/>
          <w:iCs/>
        </w:rPr>
        <w:t xml:space="preserve"> Molecular Cell, </w:t>
      </w:r>
      <w:r>
        <w:t xml:space="preserve">doi:10.1016/j.molcel.2016.12.005 </w:t>
      </w:r>
    </w:p>
    <w:p w14:paraId="49575C8D" w14:textId="77777777" w:rsidR="008056FD" w:rsidRDefault="008056FD" w:rsidP="008056FD">
      <w:pPr>
        <w:pStyle w:val="NormalWeb"/>
        <w:ind w:left="450" w:hanging="450"/>
      </w:pPr>
      <w:r>
        <w:t>Ernoult, E., Bourreau, A., Gamelin, E., &amp; Guette, C. (2010). A proteomic approach for plasma biomarker discovery with iTRAQ labelling and OFFGEL fractionation.</w:t>
      </w:r>
      <w:r>
        <w:rPr>
          <w:i/>
          <w:iCs/>
        </w:rPr>
        <w:t xml:space="preserve"> Journal of Biomedicine &amp; Biotechnology, 2010</w:t>
      </w:r>
      <w:r>
        <w:t xml:space="preserve">, 927917. doi:10.1155/2010/927917 </w:t>
      </w:r>
    </w:p>
    <w:p w14:paraId="3786571A" w14:textId="77777777" w:rsidR="008056FD" w:rsidRDefault="008056FD" w:rsidP="008056FD">
      <w:pPr>
        <w:pStyle w:val="NormalWeb"/>
        <w:ind w:left="450" w:hanging="450"/>
      </w:pPr>
      <w:r>
        <w:t>Evans, C., Noirel, J., Ow, S. Y., Salim, M., Pereira-Medrano, A. G., Couto, N . Wright, P. C. (2012). An insight into iTRAQ: where do we stand now?</w:t>
      </w:r>
      <w:r>
        <w:rPr>
          <w:i/>
          <w:iCs/>
        </w:rPr>
        <w:t xml:space="preserve"> Analytical and Bioanalytical Chemistry, 404</w:t>
      </w:r>
      <w:r>
        <w:t xml:space="preserve">(4), 1011-1027. doi:10.1007/s00216-012-5918-6; 10.1007/s00216-012-5918-6 </w:t>
      </w:r>
    </w:p>
    <w:p w14:paraId="37C85E08" w14:textId="77777777" w:rsidR="008056FD" w:rsidRDefault="008056FD" w:rsidP="008056FD">
      <w:pPr>
        <w:pStyle w:val="NormalWeb"/>
        <w:ind w:left="450" w:hanging="450"/>
      </w:pPr>
      <w:r>
        <w:t>Faulkner, S., Elia, G., Mullen, M. P., O'Boyle, P., Dunn, M. J., &amp; Morris, D. (2012). A comparison of the bovine uterine and plasma proteome using iTRAQ proteomics.</w:t>
      </w:r>
      <w:r>
        <w:rPr>
          <w:i/>
          <w:iCs/>
        </w:rPr>
        <w:t xml:space="preserve"> Proteomics, 12</w:t>
      </w:r>
      <w:r>
        <w:t xml:space="preserve">(12), 2014-2023. doi:10.1002/pmic.201100609 [doi] </w:t>
      </w:r>
    </w:p>
    <w:p w14:paraId="1CCC2DBA" w14:textId="77777777" w:rsidR="008056FD" w:rsidRDefault="008056FD" w:rsidP="008056FD">
      <w:pPr>
        <w:pStyle w:val="NormalWeb"/>
        <w:ind w:left="450" w:hanging="450"/>
      </w:pPr>
      <w:r>
        <w:t>Fernandez-Puente, P., Mateos, J., Fernandez-Costa, C., Oreiro, N., Fernandez-Lopez, C., Ruiz-Romero, C., &amp; Blanco, F. J. (2011). Identification of a panel of novel serum osteoarthritis biomarkers.</w:t>
      </w:r>
      <w:r>
        <w:rPr>
          <w:i/>
          <w:iCs/>
        </w:rPr>
        <w:t xml:space="preserve"> Journal of Proteome Research, 10</w:t>
      </w:r>
      <w:r>
        <w:t xml:space="preserve">(11), 5095-5101. doi:10.1021/pr200695p [doi] </w:t>
      </w:r>
    </w:p>
    <w:p w14:paraId="600303B9" w14:textId="77777777" w:rsidR="008056FD" w:rsidRDefault="008056FD" w:rsidP="008056FD">
      <w:pPr>
        <w:pStyle w:val="NormalWeb"/>
        <w:ind w:left="450" w:hanging="450"/>
      </w:pPr>
      <w:r>
        <w:t>Fischer, R., Trudgian, D. C., Wright, C., Thomas, G., Bradbury, L. A., Brown, M. A . Kessler, B. M. (2012). Discovery of candidate serum proteomic and metabolomic biomarkers in ankylosing spondylitis.</w:t>
      </w:r>
      <w:r>
        <w:rPr>
          <w:i/>
          <w:iCs/>
        </w:rPr>
        <w:t xml:space="preserve"> Molecular &amp; Cellular Proteomics : MCP, 11</w:t>
      </w:r>
      <w:r>
        <w:t xml:space="preserve">(2), M111.013904. doi:10.1074/mcp.M111.013904; 10.1074/mcp.M111.013904 </w:t>
      </w:r>
    </w:p>
    <w:p w14:paraId="6EB2B129" w14:textId="77777777" w:rsidR="008056FD" w:rsidRDefault="008056FD" w:rsidP="008056FD">
      <w:pPr>
        <w:pStyle w:val="NormalWeb"/>
        <w:ind w:left="450" w:hanging="450"/>
      </w:pPr>
      <w:r>
        <w:t>Freue, G. V., Sasaki, M., Meredith, A., Gunther, O. P., Bergman, A., Takhar, M . Genome Canada Biomarkers in Transplantation Group. (2010). Proteomic signatures in plasma during early acute renal allograft rejection.</w:t>
      </w:r>
      <w:r>
        <w:rPr>
          <w:i/>
          <w:iCs/>
        </w:rPr>
        <w:t xml:space="preserve"> Molecular &amp; Cellular Proteomics : MCP, 9</w:t>
      </w:r>
      <w:r>
        <w:t xml:space="preserve">(9), 1954-1967. doi:10.1074/mcp.M110.000554 </w:t>
      </w:r>
    </w:p>
    <w:p w14:paraId="584373BE" w14:textId="77777777" w:rsidR="008056FD" w:rsidRDefault="008056FD" w:rsidP="008056FD">
      <w:pPr>
        <w:pStyle w:val="NormalWeb"/>
        <w:ind w:left="450" w:hanging="450"/>
      </w:pPr>
      <w:r>
        <w:t>Fucikova, A., Lenco, J., Tambor, V., Rehulkova, H., Pudil, R., &amp; Stulik, J. (2016). Plasma concentration of fibronectin is decreased in patients with hypertrophic cardiomyopathy.</w:t>
      </w:r>
      <w:r>
        <w:rPr>
          <w:i/>
          <w:iCs/>
        </w:rPr>
        <w:t xml:space="preserve"> Clinica Chimica Acta; International Journal of Clinical Chemistry, 463</w:t>
      </w:r>
      <w:r>
        <w:t xml:space="preserve">, 62-66. doi:S0009-8981(16)30397-7 [pii] </w:t>
      </w:r>
    </w:p>
    <w:p w14:paraId="2EBC37FC" w14:textId="77777777" w:rsidR="008056FD" w:rsidRDefault="008056FD" w:rsidP="008056FD">
      <w:pPr>
        <w:pStyle w:val="NormalWeb"/>
        <w:ind w:left="450" w:hanging="450"/>
      </w:pPr>
      <w:r>
        <w:t>Gallien, S., Kim, S. Y., &amp; Domon, B. (2015). Large-Scale Targeted Proteomics Using Internal Standard Triggered-Parallel Reaction Monitoring (IS-PRM).</w:t>
      </w:r>
      <w:r>
        <w:rPr>
          <w:i/>
          <w:iCs/>
        </w:rPr>
        <w:t xml:space="preserve"> Molecular &amp; Cellular Proteomics : MCP, 14</w:t>
      </w:r>
      <w:r>
        <w:t xml:space="preserve">(6), 1630-1644. doi:10.1074/mcp.O114.043968 [doi] </w:t>
      </w:r>
    </w:p>
    <w:p w14:paraId="05BC90F9" w14:textId="77777777" w:rsidR="008056FD" w:rsidRDefault="008056FD" w:rsidP="008056FD">
      <w:pPr>
        <w:pStyle w:val="NormalWeb"/>
        <w:ind w:left="450" w:hanging="450"/>
      </w:pPr>
      <w:r>
        <w:t>Gautam, P., Nair, S. C., Gupta, M. K., Sharma, R., Polisetty, R. V., Uppin, M. S . Sirdeshmukh, R. (2012). Proteins with altered levels in plasma from glioblastoma patients as revealed by iTRAQ-based quantitative proteomic analysis.</w:t>
      </w:r>
      <w:r>
        <w:rPr>
          <w:i/>
          <w:iCs/>
        </w:rPr>
        <w:t xml:space="preserve"> PloS One, 7</w:t>
      </w:r>
      <w:r>
        <w:t xml:space="preserve">(9), e46153. doi:10.1371/journal.pone.0046153 [doi] </w:t>
      </w:r>
    </w:p>
    <w:p w14:paraId="2E124C71" w14:textId="77777777" w:rsidR="008056FD" w:rsidRDefault="008056FD" w:rsidP="008056FD">
      <w:pPr>
        <w:pStyle w:val="NormalWeb"/>
        <w:ind w:left="450" w:hanging="450"/>
      </w:pPr>
      <w:r>
        <w:t>Geyer, P. E., Kulak, N. A., Pichler, G., Holdt, L. M., Teupser, D., &amp; Mann, M. (2016). Plasma Proteome Profiling to Assess Human Health and Disease.</w:t>
      </w:r>
      <w:r>
        <w:rPr>
          <w:i/>
          <w:iCs/>
        </w:rPr>
        <w:t xml:space="preserve"> Cell Systems, 2</w:t>
      </w:r>
      <w:r>
        <w:t xml:space="preserve">(3), 185-195. doi:10.1016/j.cels.2016.02.015 [doi] </w:t>
      </w:r>
    </w:p>
    <w:p w14:paraId="0F0B566F" w14:textId="77777777" w:rsidR="008056FD" w:rsidRDefault="008056FD" w:rsidP="008056FD">
      <w:pPr>
        <w:pStyle w:val="NormalWeb"/>
        <w:ind w:left="450" w:hanging="450"/>
      </w:pPr>
      <w:r w:rsidRPr="00E24871">
        <w:rPr>
          <w:lang w:val="sv-SE"/>
        </w:rPr>
        <w:t xml:space="preserve">Geyer, P. E., Wewer Albrechtsen, N. J., Tyanova, S., Grassl, N., Iepsen, E. W., Lundgren, J . </w:t>
      </w:r>
      <w:r>
        <w:t>Mann, M. (2016). Proteomics reveals the effects of sustained weight loss on the human plasma proteome.</w:t>
      </w:r>
      <w:r>
        <w:rPr>
          <w:i/>
          <w:iCs/>
        </w:rPr>
        <w:t xml:space="preserve"> Molecular Systems Biology, 12</w:t>
      </w:r>
      <w:r>
        <w:t xml:space="preserve">(12), 901. doi:10.15252/msb.20167357 [doi] </w:t>
      </w:r>
    </w:p>
    <w:p w14:paraId="40FF8976" w14:textId="77777777" w:rsidR="008056FD" w:rsidRDefault="008056FD" w:rsidP="008056FD">
      <w:pPr>
        <w:pStyle w:val="NormalWeb"/>
        <w:ind w:left="450" w:hanging="450"/>
      </w:pPr>
      <w:r>
        <w:t>Govorukhina, N. I., de Vries, M., Reijmers, T. H., Horvatovich, P., van der Zee, A. G., &amp; Bischoff, R. (2009). Influence of clotting time on the protein composition of serum samples based on LC-MS data.</w:t>
      </w:r>
      <w:r>
        <w:rPr>
          <w:i/>
          <w:iCs/>
        </w:rPr>
        <w:t xml:space="preserve"> Journal of Chromatography.B, Analytical Technologies in the Biomedical and Life Sciences, 877</w:t>
      </w:r>
      <w:r>
        <w:t xml:space="preserve">(13), 1281-1291. doi:10.1016/j.jchromb.2008.10.029 [doi] </w:t>
      </w:r>
    </w:p>
    <w:p w14:paraId="264942FE" w14:textId="77777777" w:rsidR="008056FD" w:rsidRDefault="008056FD" w:rsidP="008056FD">
      <w:pPr>
        <w:pStyle w:val="NormalWeb"/>
        <w:ind w:left="450" w:hanging="450"/>
      </w:pPr>
      <w:r>
        <w:t>Gu, G., Cheng, W., Yao, C., Yin, J., Tong, C., Rao, A . Rao, J. (2011). Quantitative proteomics analysis by isobaric tags for relative and absolute quantitation identified Lumican as a potential marker for acute aortic dissection.</w:t>
      </w:r>
      <w:r>
        <w:rPr>
          <w:i/>
          <w:iCs/>
        </w:rPr>
        <w:t xml:space="preserve"> Journal of Biomedicine &amp; Biotechnology, 2011</w:t>
      </w:r>
      <w:r>
        <w:t xml:space="preserve">, 920763. doi:10.1155/2011/920763 [doi] </w:t>
      </w:r>
    </w:p>
    <w:p w14:paraId="639BDCEB" w14:textId="77777777" w:rsidR="008056FD" w:rsidRDefault="008056FD" w:rsidP="008056FD">
      <w:pPr>
        <w:pStyle w:val="NormalWeb"/>
        <w:ind w:left="450" w:hanging="450"/>
      </w:pPr>
      <w:r>
        <w:t>Harel, M., Oren-Giladi, P., Kaidar-Person, O., Shaked, Y., &amp; Geiger, T. (2015). Proteomics of microparticles with SILAC Quantification (PROMIS-Quan): a novel proteomic method for plasma biomarker quantification.</w:t>
      </w:r>
      <w:r>
        <w:rPr>
          <w:i/>
          <w:iCs/>
        </w:rPr>
        <w:t xml:space="preserve"> Molecular &amp; Cellular Proteomics : MCP, 14</w:t>
      </w:r>
      <w:r>
        <w:t xml:space="preserve">(4), 1127-1136. doi:10.1074/mcp.M114.043364 [doi] </w:t>
      </w:r>
    </w:p>
    <w:p w14:paraId="6D770A9F" w14:textId="77777777" w:rsidR="008056FD" w:rsidRDefault="008056FD" w:rsidP="008056FD">
      <w:pPr>
        <w:pStyle w:val="NormalWeb"/>
        <w:ind w:left="450" w:hanging="450"/>
      </w:pPr>
      <w:r>
        <w:t>Hassis, M. E., Niles, R. K., Braten, M. N., Albertolle, M. E., Ewa Witkowska, H., Hubel, C. A . Williams, K. E. (2015). Evaluating the effects of preanalytical variables on the stability of the human plasma proteome.</w:t>
      </w:r>
      <w:r>
        <w:rPr>
          <w:i/>
          <w:iCs/>
        </w:rPr>
        <w:t xml:space="preserve"> Analytical Biochemistry, 478</w:t>
      </w:r>
      <w:r>
        <w:t xml:space="preserve">, 14-22. doi:10.1016/j.ab.2015.03.003 [doi] </w:t>
      </w:r>
    </w:p>
    <w:p w14:paraId="0ADF5B25" w14:textId="77777777" w:rsidR="008056FD" w:rsidRDefault="008056FD" w:rsidP="008056FD">
      <w:pPr>
        <w:pStyle w:val="NormalWeb"/>
        <w:ind w:left="450" w:hanging="450"/>
      </w:pPr>
      <w:r>
        <w:t>He, X., Wang, Y., Zhang, W., Li, H., Luo, R., Zhou, Y . He, M. (2014). Screening differential expression of serum proteins in AFP-negative HBV-related hepatocellular carcinoma using iTRAQ -MALDI-MS/MS.</w:t>
      </w:r>
      <w:r>
        <w:rPr>
          <w:i/>
          <w:iCs/>
        </w:rPr>
        <w:t xml:space="preserve"> Neoplasma, 61</w:t>
      </w:r>
      <w:r>
        <w:t xml:space="preserve">(1), 17-26. </w:t>
      </w:r>
    </w:p>
    <w:p w14:paraId="35B844C7" w14:textId="77777777" w:rsidR="008056FD" w:rsidRDefault="008056FD" w:rsidP="008056FD">
      <w:pPr>
        <w:pStyle w:val="NormalWeb"/>
        <w:ind w:left="450" w:hanging="450"/>
      </w:pPr>
      <w:r>
        <w:t>Herbrich, S. M., Cole, R. N., West, K. P.,Jr, Schulze, K., Yager, J. D., Groopman, J. D . Ruczinski, I. (2013). Statistical inference from multiple iTRAQ experiments without using common reference standards.</w:t>
      </w:r>
      <w:r>
        <w:rPr>
          <w:i/>
          <w:iCs/>
        </w:rPr>
        <w:t xml:space="preserve"> Journal of Proteome Research, 12</w:t>
      </w:r>
      <w:r>
        <w:t xml:space="preserve">(2), 594-604. doi:10.1021/pr300624g [doi] </w:t>
      </w:r>
    </w:p>
    <w:p w14:paraId="793351D1" w14:textId="77777777" w:rsidR="008056FD" w:rsidRDefault="008056FD" w:rsidP="008056FD">
      <w:pPr>
        <w:pStyle w:val="NormalWeb"/>
        <w:ind w:left="450" w:hanging="450"/>
      </w:pPr>
      <w:r>
        <w:t>Hergenroeder, G., Redell, J. B., Moore, A. N., Dubinsky, W. P., Funk, R. T., Crommett, J . Dash, P. K. (2008). Identification of serum biomarkers in brain-injured adults: potential for predicting elevated intracranial pressure.</w:t>
      </w:r>
      <w:r>
        <w:rPr>
          <w:i/>
          <w:iCs/>
        </w:rPr>
        <w:t xml:space="preserve"> Journal of Neurotrauma, 25</w:t>
      </w:r>
      <w:r>
        <w:t xml:space="preserve">(2), 79-93. doi:10.1089/neu.2007.0386 </w:t>
      </w:r>
    </w:p>
    <w:p w14:paraId="40D6C2BA" w14:textId="77777777" w:rsidR="008056FD" w:rsidRDefault="008056FD" w:rsidP="008056FD">
      <w:pPr>
        <w:pStyle w:val="NormalWeb"/>
        <w:ind w:left="450" w:hanging="450"/>
      </w:pPr>
      <w:r>
        <w:t>Hollander, Z., Dai, D. L., Putko, B. N., Yogasundaram, H., Wilson-McManus, J. E., Thompson, R. B . Oudit, G. Y. (2015). Gender-specific plasma proteomic biomarkers in patients with Anderson-Fabry disease.</w:t>
      </w:r>
      <w:r>
        <w:rPr>
          <w:i/>
          <w:iCs/>
        </w:rPr>
        <w:t xml:space="preserve"> European Journal of Heart Failure, 17</w:t>
      </w:r>
      <w:r>
        <w:t xml:space="preserve">(3), 291-300. doi:10.1002/ejhf.230 [doi] </w:t>
      </w:r>
    </w:p>
    <w:p w14:paraId="09F92088" w14:textId="77777777" w:rsidR="008056FD" w:rsidRDefault="008056FD" w:rsidP="008056FD">
      <w:pPr>
        <w:pStyle w:val="NormalWeb"/>
        <w:ind w:left="450" w:hanging="450"/>
      </w:pPr>
      <w:r>
        <w:t>Hollander, Z., Lazarova, M., Lam, K. K., Ignaszewski, A., Oudit, G. Y., Dyck, J. R . NCE CECR PROOF Prevention of Organ Failure (PROOF) Centre of Excellence. (2014). Proteomic biomarkers of recovered heart function.</w:t>
      </w:r>
      <w:r>
        <w:rPr>
          <w:i/>
          <w:iCs/>
        </w:rPr>
        <w:t xml:space="preserve"> European Journal of Heart Failure, 16</w:t>
      </w:r>
      <w:r>
        <w:t xml:space="preserve">(5), 551-559. doi:10.1002/ejhf.65 [doi] </w:t>
      </w:r>
    </w:p>
    <w:p w14:paraId="3561B568" w14:textId="77777777" w:rsidR="008056FD" w:rsidRDefault="008056FD" w:rsidP="008056FD">
      <w:pPr>
        <w:pStyle w:val="NormalWeb"/>
        <w:ind w:left="450" w:hanging="450"/>
      </w:pPr>
      <w:r>
        <w:t>Howes, J. M. (2010). Proteomic profiling of plasma microparticles following deep-vein thrombosis.</w:t>
      </w:r>
      <w:r>
        <w:rPr>
          <w:i/>
          <w:iCs/>
        </w:rPr>
        <w:t xml:space="preserve"> Expert Review of Proteomics, 7</w:t>
      </w:r>
      <w:r>
        <w:t xml:space="preserve">(3), 327-330. doi:10.1586/epr.10.26 [doi] </w:t>
      </w:r>
    </w:p>
    <w:p w14:paraId="007932DF" w14:textId="77777777" w:rsidR="008056FD" w:rsidRDefault="008056FD" w:rsidP="008056FD">
      <w:pPr>
        <w:pStyle w:val="NormalWeb"/>
        <w:ind w:left="450" w:hanging="450"/>
      </w:pPr>
      <w:r>
        <w:t>Hu, H., Gao, L., Wang, C., Li, Y., Ma, H., Chen, L . Liang, C. (2015). Lower serum soluble-EGFR is a potential biomarker for metastasis of HCC demonstrated by N-glycoproteomic analysis.</w:t>
      </w:r>
      <w:r>
        <w:rPr>
          <w:i/>
          <w:iCs/>
        </w:rPr>
        <w:t xml:space="preserve"> Discovery Medicine, 19</w:t>
      </w:r>
      <w:r>
        <w:t xml:space="preserve">(106), 333-341. </w:t>
      </w:r>
    </w:p>
    <w:p w14:paraId="44A1518E" w14:textId="77777777" w:rsidR="008056FD" w:rsidRDefault="008056FD" w:rsidP="008056FD">
      <w:pPr>
        <w:pStyle w:val="NormalWeb"/>
        <w:ind w:left="450" w:hanging="450"/>
      </w:pPr>
      <w:r>
        <w:t>Huang, C., Wang, Y., Liu, S., Ding, G., Liu, W., Zhou, J . Fan, J. (2013). Quantitative proteomic analysis identified paraoxonase 1 as a novel serum biomarker for microvascular invasion in hepatocellular carcinoma.</w:t>
      </w:r>
      <w:r>
        <w:rPr>
          <w:i/>
          <w:iCs/>
        </w:rPr>
        <w:t xml:space="preserve"> Journal of Proteome Research, 12</w:t>
      </w:r>
      <w:r>
        <w:t xml:space="preserve">(4), 1838-1846. doi:10.1021/pr3011815 [doi] </w:t>
      </w:r>
    </w:p>
    <w:p w14:paraId="7BC2856E" w14:textId="77777777" w:rsidR="008056FD" w:rsidRDefault="008056FD" w:rsidP="008056FD">
      <w:pPr>
        <w:pStyle w:val="NormalWeb"/>
        <w:ind w:left="450" w:hanging="450"/>
      </w:pPr>
      <w:r>
        <w:t>Huang, P. Y., Mactier, S., Armacki, N., Best, O. G., Belov, L., Kaufman, K. L . Christopherson, R. I. (2015). Protein profiles distinguish stable and progressive chronic lymphocytic leukemia.</w:t>
      </w:r>
      <w:r>
        <w:rPr>
          <w:i/>
          <w:iCs/>
        </w:rPr>
        <w:t xml:space="preserve"> Leukemia &amp; Lymphoma, </w:t>
      </w:r>
      <w:r>
        <w:t xml:space="preserve">, 1-29. doi:10.3109/10428194.2015.1094692 [doi] </w:t>
      </w:r>
    </w:p>
    <w:p w14:paraId="7085D840" w14:textId="77777777" w:rsidR="008056FD" w:rsidRDefault="008056FD" w:rsidP="008056FD">
      <w:pPr>
        <w:pStyle w:val="NormalWeb"/>
        <w:ind w:left="450" w:hanging="450"/>
      </w:pPr>
      <w:r>
        <w:t>Huang, Y., Zhang, X., Jiang, W., Wang, Y., Jin, H., Liu, X., &amp; Xu, C. (2012). Discovery of serum biomarkers implicated in the onset and progression of serous ovarian cancer in a rat model using iTRAQ technique.</w:t>
      </w:r>
      <w:r>
        <w:rPr>
          <w:i/>
          <w:iCs/>
        </w:rPr>
        <w:t xml:space="preserve"> European Journal of Obstetrics, Gynecology, and Reproductive Biology, 165</w:t>
      </w:r>
      <w:r>
        <w:t xml:space="preserve">(1), 96-103. doi:10.1016/j.ejogrb.2012.06.031 [doi] </w:t>
      </w:r>
    </w:p>
    <w:p w14:paraId="59C602DD" w14:textId="77777777" w:rsidR="008056FD" w:rsidRDefault="008056FD" w:rsidP="008056FD">
      <w:pPr>
        <w:pStyle w:val="NormalWeb"/>
        <w:ind w:left="450" w:hanging="450"/>
      </w:pPr>
      <w:r>
        <w:t>Huang, Z., Wang, H., Huang, H., Xia, L., Chen, C., Qiu, X . Lai, G. (2012). iTRAQ-based proteomic profiling of human serum reveals down-regulation of platelet basic protein and apolipoprotein B100 in patients with hematotoxicity induced by chronic occupational benzene exposure.</w:t>
      </w:r>
      <w:r>
        <w:rPr>
          <w:i/>
          <w:iCs/>
        </w:rPr>
        <w:t xml:space="preserve"> Toxicology, 291</w:t>
      </w:r>
      <w:r>
        <w:t xml:space="preserve">(1-3), 56-64. doi:10.1016/j.tox.2011.10.023 [doi] </w:t>
      </w:r>
    </w:p>
    <w:p w14:paraId="1C68BC9E" w14:textId="77777777" w:rsidR="008056FD" w:rsidRDefault="008056FD" w:rsidP="008056FD">
      <w:pPr>
        <w:pStyle w:val="NormalWeb"/>
        <w:ind w:left="450" w:hanging="450"/>
      </w:pPr>
      <w:r>
        <w:t>Jenkinson, C., Elliott, V., Evans, A., Oldfield, L., Jenkins, R. E., O'Brien, D. P . Costello, E. (2015). Decreased serum thrombospondin-1 levels in pancreatic cancer patients up to 24 months prior to clinical diagnosis: association with diabetes mellitus.</w:t>
      </w:r>
      <w:r>
        <w:rPr>
          <w:i/>
          <w:iCs/>
        </w:rPr>
        <w:t xml:space="preserve"> Clinical Cancer Research : An Official Journal of the American Association for Cancer Research, </w:t>
      </w:r>
      <w:r>
        <w:t xml:space="preserve">doi:clincanres.0879.2015 [pii] </w:t>
      </w:r>
    </w:p>
    <w:p w14:paraId="7918B530" w14:textId="77777777" w:rsidR="008056FD" w:rsidRDefault="008056FD" w:rsidP="008056FD">
      <w:pPr>
        <w:pStyle w:val="NormalWeb"/>
        <w:ind w:left="450" w:hanging="450"/>
      </w:pPr>
      <w:r>
        <w:t>Jiao, J., Gao, M., Zhang, H., Wang, N., Xiao, Z., Liu, K . Xiao, X. (2014). Identification of potential biomarkers by serum proteomics analysis in rats with sepsis.</w:t>
      </w:r>
      <w:r>
        <w:rPr>
          <w:i/>
          <w:iCs/>
        </w:rPr>
        <w:t xml:space="preserve"> Shock (Augusta, Ga.), 42</w:t>
      </w:r>
      <w:r>
        <w:t xml:space="preserve">(1), 75-81. doi:10.1097/SHK.0000000000000173 [doi] </w:t>
      </w:r>
    </w:p>
    <w:p w14:paraId="43EBF0B1" w14:textId="77777777" w:rsidR="008056FD" w:rsidRDefault="008056FD" w:rsidP="008056FD">
      <w:pPr>
        <w:pStyle w:val="NormalWeb"/>
        <w:ind w:left="450" w:hanging="450"/>
      </w:pPr>
      <w:r>
        <w:t>Jin, Y., Wang, J., Ye, X., Su, Y., Yu, G., Yang, Q . Sun, H. (2016). Identification of GlcNAcylated alpha-1-antichymotrypsin as an early biomarker in human non-small-cell lung cancer by quantitative proteomic analysis with two lectins.</w:t>
      </w:r>
      <w:r>
        <w:rPr>
          <w:i/>
          <w:iCs/>
        </w:rPr>
        <w:t xml:space="preserve"> British Journal of Cancer, 114</w:t>
      </w:r>
      <w:r>
        <w:t xml:space="preserve">(5), 532-544. doi:10.1038/bjc.2015.348 [doi] </w:t>
      </w:r>
    </w:p>
    <w:p w14:paraId="4D7D92B0" w14:textId="77777777" w:rsidR="008056FD" w:rsidRDefault="008056FD" w:rsidP="008056FD">
      <w:pPr>
        <w:pStyle w:val="NormalWeb"/>
        <w:ind w:left="450" w:hanging="450"/>
      </w:pPr>
      <w:r>
        <w:t>Jing, L., Parker, C. E., Seo, D., Hines, M. W., Dicheva, N., Yu, Y . Chen, X. (2011). Discovery of biomarker candidates for coronary artery disease from an APOE-knock out mouse model using iTRAQ-based multiplex quantitative proteomics.</w:t>
      </w:r>
      <w:r>
        <w:rPr>
          <w:i/>
          <w:iCs/>
        </w:rPr>
        <w:t xml:space="preserve"> Proteomics, 11</w:t>
      </w:r>
      <w:r>
        <w:t xml:space="preserve">(14), 2763-2776. doi:10.1002/pmic.201000202 [doi] </w:t>
      </w:r>
    </w:p>
    <w:p w14:paraId="6571425A" w14:textId="77777777" w:rsidR="008056FD" w:rsidRDefault="008056FD" w:rsidP="008056FD">
      <w:pPr>
        <w:pStyle w:val="NormalWeb"/>
        <w:ind w:left="450" w:hanging="450"/>
      </w:pPr>
      <w:r>
        <w:t>Jones, K. A., Kim, P. D., Patel, B. B., Kelsen, S. G., Braverman, A., Swinton, D. J . Yeung, A. T. (2013). Immunodepletion plasma proteomics by tripleTOF 5600 and Orbitrap elite/LTQ-Orbitrap Velos/Q exactive mass spectrometers.</w:t>
      </w:r>
      <w:r>
        <w:rPr>
          <w:i/>
          <w:iCs/>
        </w:rPr>
        <w:t xml:space="preserve"> Journal of Proteome Research, 12</w:t>
      </w:r>
      <w:r>
        <w:t xml:space="preserve">(10), 4351-4365. doi:10.1021/pr400307u [doi] </w:t>
      </w:r>
    </w:p>
    <w:p w14:paraId="450B5D6C" w14:textId="77777777" w:rsidR="008056FD" w:rsidRDefault="008056FD" w:rsidP="008056FD">
      <w:pPr>
        <w:pStyle w:val="NormalWeb"/>
        <w:ind w:left="450" w:hanging="450"/>
      </w:pPr>
      <w:r>
        <w:t>Juhasz, P., Lynch, M., Sethuraman, M., Campbell, J., Hines, W., Paniagua, M . Gordon, N. (2011). Semi-targeted plasma proteomics discovery workflow utilizing two-stage protein depletion and off-line LC-MALDI MS/MS.</w:t>
      </w:r>
      <w:r>
        <w:rPr>
          <w:i/>
          <w:iCs/>
        </w:rPr>
        <w:t xml:space="preserve"> Journal of Proteome Research, 10</w:t>
      </w:r>
      <w:r>
        <w:t xml:space="preserve">(1), 34-45. doi:10.1021/pr100659e [doi] </w:t>
      </w:r>
    </w:p>
    <w:p w14:paraId="600BD332" w14:textId="77777777" w:rsidR="008056FD" w:rsidRDefault="008056FD" w:rsidP="008056FD">
      <w:pPr>
        <w:pStyle w:val="NormalWeb"/>
        <w:ind w:left="450" w:hanging="450"/>
      </w:pPr>
      <w:r>
        <w:t>Jullig, M., Yip, S., Xu, A., Smith, G., Middleditch, M., Booth, M . Murphy, R. (2014). Lower fetuin-A, retinol binding protein 4 and several metabolites after gastric bypass compared to sleeve gastrectomy in patients with type 2 diabetes.</w:t>
      </w:r>
      <w:r>
        <w:rPr>
          <w:i/>
          <w:iCs/>
        </w:rPr>
        <w:t xml:space="preserve"> PloS One, 9</w:t>
      </w:r>
      <w:r>
        <w:t xml:space="preserve">(5), e96489. doi:10.1371/journal.pone.0096489 [doi] </w:t>
      </w:r>
    </w:p>
    <w:p w14:paraId="40B212A2" w14:textId="77777777" w:rsidR="008056FD" w:rsidRDefault="008056FD" w:rsidP="008056FD">
      <w:pPr>
        <w:pStyle w:val="NormalWeb"/>
        <w:ind w:left="450" w:hanging="450"/>
      </w:pPr>
      <w:r>
        <w:t>Jurado-Gamez, B., Gomez-Chaparro, J. L., Munoz-Calero, M., Serna Sanz, A., Munoz-Cabrera, L., Lopez-Barea, J., &amp; Gozal, D. (2012). Serum proteomic changes in adults with obstructive sleep apnoea.</w:t>
      </w:r>
      <w:r>
        <w:rPr>
          <w:i/>
          <w:iCs/>
        </w:rPr>
        <w:t xml:space="preserve"> Journal of Sleep Research, 21</w:t>
      </w:r>
      <w:r>
        <w:t xml:space="preserve">(2), 139-146. doi:10.1111/j.1365-2869.2011.00955.x [doi] </w:t>
      </w:r>
    </w:p>
    <w:p w14:paraId="0A81B928" w14:textId="77777777" w:rsidR="008056FD" w:rsidRDefault="008056FD" w:rsidP="008056FD">
      <w:pPr>
        <w:pStyle w:val="NormalWeb"/>
        <w:ind w:left="450" w:hanging="450"/>
      </w:pPr>
      <w:r>
        <w:t>Karabudak, A. A., Hafner, J., Shetty, V., Chen, S., Secord, A. A., Morse, M. A., &amp; Philip, R. (2013). Autoantibody biomarkers identified by proteomics methods distinguish ovarian cancer from non-ovarian cancer with various CA-125 levels.</w:t>
      </w:r>
      <w:r>
        <w:rPr>
          <w:i/>
          <w:iCs/>
        </w:rPr>
        <w:t xml:space="preserve"> Journal of Cancer Research and Clinical Oncology, 139</w:t>
      </w:r>
      <w:r>
        <w:t xml:space="preserve">(10), 1757-1770. doi:10.1007/s00432-013-1501-6 [doi] </w:t>
      </w:r>
    </w:p>
    <w:p w14:paraId="2DA8E104" w14:textId="77777777" w:rsidR="008056FD" w:rsidRDefault="008056FD" w:rsidP="008056FD">
      <w:pPr>
        <w:pStyle w:val="NormalWeb"/>
        <w:ind w:left="450" w:hanging="450"/>
      </w:pPr>
      <w:r>
        <w:t>Kaur, P., Rizk, N. M., Ibrahim, S., Younes, N., Uppal, A., Dennis, K . Cheema, A. K. (2012). iTRAQ-Based Quantitative Protein Expression Profiling and MRM Verification of Markers in Type 2 Diabetes.</w:t>
      </w:r>
      <w:r>
        <w:rPr>
          <w:i/>
          <w:iCs/>
        </w:rPr>
        <w:t xml:space="preserve"> Journal of Proteome Research, 11</w:t>
      </w:r>
      <w:r>
        <w:t xml:space="preserve">(11), 5527-5539. doi:10.1021/pr300798z; 10.1021/pr300798z </w:t>
      </w:r>
    </w:p>
    <w:p w14:paraId="42CD13BF" w14:textId="77777777" w:rsidR="008056FD" w:rsidRDefault="008056FD" w:rsidP="008056FD">
      <w:pPr>
        <w:pStyle w:val="NormalWeb"/>
        <w:ind w:left="450" w:hanging="450"/>
      </w:pPr>
      <w:r>
        <w:t>Keshishian, H., Burgess, M. W., Gillette, M. A., Mertins, P., Clauser, K. R., Mani, D. R . Carr, S. A. (2015). Multiplexed, Quantitative Workflow for Sensitive Biomarker Discovery in Plasma Yields Novel Candidates for Early Myocardial Injury.</w:t>
      </w:r>
      <w:r>
        <w:rPr>
          <w:i/>
          <w:iCs/>
        </w:rPr>
        <w:t xml:space="preserve"> Molecular &amp; Cellular Proteomics : MCP, </w:t>
      </w:r>
      <w:r>
        <w:t xml:space="preserve">doi:mcp.M114.046813 [pii] </w:t>
      </w:r>
    </w:p>
    <w:p w14:paraId="507B5031" w14:textId="77777777" w:rsidR="008056FD" w:rsidRDefault="008056FD" w:rsidP="008056FD">
      <w:pPr>
        <w:pStyle w:val="NormalWeb"/>
        <w:ind w:left="450" w:hanging="450"/>
      </w:pPr>
      <w:r>
        <w:t>Kodera, Y., Hido, Y., Kato, R., Saito, T., Kawashima, Y., Minamida, S . Iwamura, M. (2014). Establishment of a Strategy for the Discovery and Verification of Low-Abundance Biomarker Peptides in Plasma Using Two Types of Stable-Isotope Tags.</w:t>
      </w:r>
      <w:r>
        <w:rPr>
          <w:i/>
          <w:iCs/>
        </w:rPr>
        <w:t xml:space="preserve"> Mass Spectrometry (Tokyo, Japan), 3</w:t>
      </w:r>
      <w:r>
        <w:t xml:space="preserve">(Spec Iss 3), S0044. doi:10.5702/massspectrometry.S0044 [doi] </w:t>
      </w:r>
    </w:p>
    <w:p w14:paraId="25C03E6B" w14:textId="77777777" w:rsidR="008056FD" w:rsidRDefault="008056FD" w:rsidP="008056FD">
      <w:pPr>
        <w:pStyle w:val="NormalWeb"/>
        <w:ind w:left="450" w:hanging="450"/>
      </w:pPr>
      <w:r w:rsidRPr="00E24871">
        <w:rPr>
          <w:lang w:val="fi-FI"/>
        </w:rPr>
        <w:t xml:space="preserve">Kolla, V., Jeno, P., Moes, S., Lapaire, O., Hoesli, I., &amp; Hahn, S. (2012). </w:t>
      </w:r>
      <w:r>
        <w:t>Quantitative proteomic (iTRAQ) analysis of 1st trimester maternal plasma samples in pregnancies at risk for preeclampsia.</w:t>
      </w:r>
      <w:r>
        <w:rPr>
          <w:i/>
          <w:iCs/>
        </w:rPr>
        <w:t xml:space="preserve"> Journal of Biomedicine &amp; Biotechnology, 2012</w:t>
      </w:r>
      <w:r>
        <w:t xml:space="preserve">, 305964. doi:10.1155/2012/305964 [doi] </w:t>
      </w:r>
    </w:p>
    <w:p w14:paraId="5B2767CF" w14:textId="77777777" w:rsidR="008056FD" w:rsidRDefault="008056FD" w:rsidP="008056FD">
      <w:pPr>
        <w:pStyle w:val="NormalWeb"/>
        <w:ind w:left="450" w:hanging="450"/>
      </w:pPr>
      <w:r>
        <w:t>Kolla, V., Jeno, P., Moes, S., Tercanli, S., Lapaire, O., Choolani, M., &amp; Hahn, S. (2010). Quantitative proteomics analysis of maternal plasma in Down syndrome pregnancies using isobaric tagging reagent (iTRAQ).</w:t>
      </w:r>
      <w:r>
        <w:rPr>
          <w:i/>
          <w:iCs/>
        </w:rPr>
        <w:t xml:space="preserve"> Journal of Biomedicine &amp; Biotechnology, 2010</w:t>
      </w:r>
      <w:r>
        <w:t xml:space="preserve">, 952047. doi:10.1155/2010/952047 </w:t>
      </w:r>
    </w:p>
    <w:p w14:paraId="11C66158" w14:textId="77777777" w:rsidR="008056FD" w:rsidRDefault="008056FD" w:rsidP="008056FD">
      <w:pPr>
        <w:pStyle w:val="NormalWeb"/>
        <w:ind w:left="450" w:hanging="450"/>
      </w:pPr>
      <w:r>
        <w:t>Koutroukides, T. A., Jaros, J. A., Amess, B., Martins-de-Souza, D., Guest, P. C., Rahmoune, H . Lilley, K. S. (2013). Identification of protein biomarkers in human serum using iTRAQ and shotgun mass spectrometry.</w:t>
      </w:r>
      <w:r>
        <w:rPr>
          <w:i/>
          <w:iCs/>
        </w:rPr>
        <w:t xml:space="preserve"> Methods in Molecular Biology (Clifton, N.J.), 1061</w:t>
      </w:r>
      <w:r>
        <w:t xml:space="preserve">, 291-307. doi:10.1007/978-1-62703-589-7_18 [doi] </w:t>
      </w:r>
    </w:p>
    <w:p w14:paraId="02912B17" w14:textId="77777777" w:rsidR="008056FD" w:rsidRDefault="008056FD" w:rsidP="008056FD">
      <w:pPr>
        <w:pStyle w:val="NormalWeb"/>
        <w:ind w:left="450" w:hanging="450"/>
      </w:pPr>
      <w:r>
        <w:t>Kristensen, L. P., Larsen, M. R., Mickley, H., Saaby, L., Diederichsen, A. C., Lambrechtsen, J . Overgaard, M. (2014). Plasma proteome profiling of atherosclerotic disease manifestations reveals elevated levels of the cytoskeletal protein vinculin.</w:t>
      </w:r>
      <w:r>
        <w:rPr>
          <w:i/>
          <w:iCs/>
        </w:rPr>
        <w:t xml:space="preserve"> Journal of Proteomics, 101</w:t>
      </w:r>
      <w:r>
        <w:t xml:space="preserve">, 141-153. doi:10.1016/j.jprot.2013.12.011 [doi] </w:t>
      </w:r>
    </w:p>
    <w:p w14:paraId="162EB4B9" w14:textId="77777777" w:rsidR="008056FD" w:rsidRDefault="008056FD" w:rsidP="008056FD">
      <w:pPr>
        <w:pStyle w:val="NormalWeb"/>
        <w:ind w:left="450" w:hanging="450"/>
      </w:pPr>
      <w:r>
        <w:t>Kristiansson, M. H., Bhat, V. B., Babu, I. R., Wishnok, J. S., &amp; Tannenbaum, S. R. (2007). Comparative time-dependent analysis of potential inflammation biomarkers in lymphoma-bearing SJL mice.</w:t>
      </w:r>
      <w:r>
        <w:rPr>
          <w:i/>
          <w:iCs/>
        </w:rPr>
        <w:t xml:space="preserve"> Journal of Proteome Research, 6</w:t>
      </w:r>
      <w:r>
        <w:t xml:space="preserve">(5), 1735-1744. doi:10.1021/pr060497x </w:t>
      </w:r>
    </w:p>
    <w:p w14:paraId="18D7ECDC" w14:textId="77777777" w:rsidR="008056FD" w:rsidRDefault="008056FD" w:rsidP="008056FD">
      <w:pPr>
        <w:pStyle w:val="NormalWeb"/>
        <w:ind w:left="450" w:hanging="450"/>
      </w:pPr>
      <w:r>
        <w:t>Kumar, Y., Liang, C., Bo, Z., Rajapakse, J. C., Ooi, E. E., &amp; Tannenbaum, S. R. (2012). Serum proteome and cytokine analysis in a longitudinal cohort of adults with primary dengue infection reveals predictive markers of DHF.</w:t>
      </w:r>
      <w:r>
        <w:rPr>
          <w:i/>
          <w:iCs/>
        </w:rPr>
        <w:t xml:space="preserve"> PLoS Neglected Tropical Diseases, 6</w:t>
      </w:r>
      <w:r>
        <w:t xml:space="preserve">(11), e1887. doi:10.1371/journal.pntd.0001887 [doi] </w:t>
      </w:r>
    </w:p>
    <w:p w14:paraId="2EA681A0" w14:textId="77777777" w:rsidR="008056FD" w:rsidRDefault="008056FD" w:rsidP="008056FD">
      <w:pPr>
        <w:pStyle w:val="NormalWeb"/>
        <w:ind w:left="450" w:hanging="450"/>
      </w:pPr>
      <w:r>
        <w:t>Kuo, T., Kim-Muller, J. Y., McGraw, T. E., &amp; Accili, D. (2016). Altered Plasma Profile of Antioxidant Proteins as an Early Correlate of Pancreatic beta Cell Dysfunction.</w:t>
      </w:r>
      <w:r>
        <w:rPr>
          <w:i/>
          <w:iCs/>
        </w:rPr>
        <w:t xml:space="preserve"> The Journal of Biological Chemistry, </w:t>
      </w:r>
      <w:r>
        <w:t xml:space="preserve">doi:jbc.M115.702183 [pii] </w:t>
      </w:r>
    </w:p>
    <w:p w14:paraId="44C79876" w14:textId="77777777" w:rsidR="008056FD" w:rsidRDefault="008056FD" w:rsidP="008056FD">
      <w:pPr>
        <w:pStyle w:val="NormalWeb"/>
        <w:ind w:left="450" w:hanging="450"/>
      </w:pPr>
      <w:r>
        <w:t>Larkin, S. E., Johnston, H. E., Jackson, T. R., Jamieson, D. G., Roumeliotis, T. I., Mockridge, C. I . Townsend, P. A. (2016). Detection of candidate biomarkers of prostate cancer progression in serum: a depletion-free 3D LC/MS quantitative proteomics pilot study.</w:t>
      </w:r>
      <w:r>
        <w:rPr>
          <w:i/>
          <w:iCs/>
        </w:rPr>
        <w:t xml:space="preserve"> British Journal of Cancer, </w:t>
      </w:r>
      <w:r>
        <w:t xml:space="preserve">doi:10.1038/bjc.2016.291 [doi] </w:t>
      </w:r>
    </w:p>
    <w:p w14:paraId="3830CFB1" w14:textId="77777777" w:rsidR="008056FD" w:rsidRDefault="008056FD" w:rsidP="008056FD">
      <w:pPr>
        <w:pStyle w:val="NormalWeb"/>
        <w:ind w:left="450" w:hanging="450"/>
      </w:pPr>
      <w:r>
        <w:t>Lee, H. J., Na, K., Choi, E. Y., Kim, K. S., Kim, H., &amp; Paik, Y. K. (2010). Simple method for quantitative analysis of N-linked glycoproteins in hepatocellular carcinoma specimens.</w:t>
      </w:r>
      <w:r>
        <w:rPr>
          <w:i/>
          <w:iCs/>
        </w:rPr>
        <w:t xml:space="preserve"> Journal of Proteome Research, 9</w:t>
      </w:r>
      <w:r>
        <w:t xml:space="preserve">(1), 308-318. doi:10.1021/pr900649b [doi] </w:t>
      </w:r>
    </w:p>
    <w:p w14:paraId="439C9790" w14:textId="77777777" w:rsidR="008056FD" w:rsidRDefault="008056FD" w:rsidP="008056FD">
      <w:pPr>
        <w:pStyle w:val="NormalWeb"/>
        <w:ind w:left="450" w:hanging="450"/>
      </w:pPr>
      <w:r>
        <w:t>Lee, S. E., West, K. P.,Jr, Cole, R. N., Schulze, K. J., Christian, P., Wu, L. S . Ruczinski, I. (2015). Plasma Proteome Biomarkers of Inflammation in School Aged Children in Nepal.</w:t>
      </w:r>
      <w:r>
        <w:rPr>
          <w:i/>
          <w:iCs/>
        </w:rPr>
        <w:t xml:space="preserve"> PloS One, 10</w:t>
      </w:r>
      <w:r>
        <w:t xml:space="preserve">(12), e0144279. doi:10.1371/journal.pone.0144279 [doi] </w:t>
      </w:r>
    </w:p>
    <w:p w14:paraId="696F361E" w14:textId="77777777" w:rsidR="008056FD" w:rsidRDefault="008056FD" w:rsidP="008056FD">
      <w:pPr>
        <w:pStyle w:val="NormalWeb"/>
        <w:ind w:left="450" w:hanging="450"/>
      </w:pPr>
      <w:r>
        <w:t>Li, C., He, X., Li, H., Zhou, Y., Zang, N., Hu, S . He, M. (2015). Discovery and verification of serum differential expression proteins for pulmonary tuberculosis.</w:t>
      </w:r>
      <w:r>
        <w:rPr>
          <w:i/>
          <w:iCs/>
        </w:rPr>
        <w:t xml:space="preserve"> Tuberculosis (Edinburgh, Scotland), 95</w:t>
      </w:r>
      <w:r>
        <w:t xml:space="preserve">(5), 547-554. doi:10.1016/j.tube.2015.06.001 [doi] </w:t>
      </w:r>
    </w:p>
    <w:p w14:paraId="6A7C0FB0" w14:textId="77777777" w:rsidR="008056FD" w:rsidRDefault="008056FD" w:rsidP="008056FD">
      <w:pPr>
        <w:pStyle w:val="NormalWeb"/>
        <w:ind w:left="450" w:hanging="450"/>
      </w:pPr>
      <w:r>
        <w:t>Li, H., Li, G., Zhao, X., Wu, Y., Ma, W., Liu, Y . Liang, S. (2013). Complementary serum proteomic analysis of autoimmune hepatitis in mice and patients.</w:t>
      </w:r>
      <w:r>
        <w:rPr>
          <w:i/>
          <w:iCs/>
        </w:rPr>
        <w:t xml:space="preserve"> Journal of Translational Medicine, 11</w:t>
      </w:r>
      <w:r>
        <w:t xml:space="preserve">, 146-5876-11-146. doi:10.1186/1479-5876-11-146 [doi] </w:t>
      </w:r>
    </w:p>
    <w:p w14:paraId="3472B744" w14:textId="77777777" w:rsidR="008056FD" w:rsidRDefault="008056FD" w:rsidP="008056FD">
      <w:pPr>
        <w:pStyle w:val="NormalWeb"/>
        <w:ind w:left="450" w:hanging="450"/>
      </w:pPr>
      <w:r>
        <w:t>Li, J., Liu, X., Xiang, Y., Ding, X., Wang, T., Liu, Y . Chen, L. (2017). Alpha-2-macroglobulin and heparin cofactor II and the vulnerability of carotid atherosclerotic plaques: An iTRAQ-based analysis.</w:t>
      </w:r>
      <w:r>
        <w:rPr>
          <w:i/>
          <w:iCs/>
        </w:rPr>
        <w:t xml:space="preserve"> Biochemical and Biophysical Research Communications, </w:t>
      </w:r>
      <w:r>
        <w:t xml:space="preserve">doi:S0006-291X(17)30051-7 [pii] </w:t>
      </w:r>
    </w:p>
    <w:p w14:paraId="2FED8DDC" w14:textId="77777777" w:rsidR="008056FD" w:rsidRDefault="008056FD" w:rsidP="008056FD">
      <w:pPr>
        <w:pStyle w:val="NormalWeb"/>
        <w:ind w:left="450" w:hanging="450"/>
      </w:pPr>
      <w:r>
        <w:t>Li, L., Xu, Y., &amp; Yu, C. X. (2012). Proteomic analysis of serum of women with elevated Ca-125 to differentiate malignant from benign ovarian tumors.</w:t>
      </w:r>
      <w:r>
        <w:rPr>
          <w:i/>
          <w:iCs/>
        </w:rPr>
        <w:t xml:space="preserve"> Asian Pacific Journal of Cancer Prevention : APJCP, 13</w:t>
      </w:r>
      <w:r>
        <w:t xml:space="preserve">(7), 3265-3270. </w:t>
      </w:r>
    </w:p>
    <w:p w14:paraId="476808D0" w14:textId="77777777" w:rsidR="008056FD" w:rsidRDefault="008056FD" w:rsidP="008056FD">
      <w:pPr>
        <w:pStyle w:val="NormalWeb"/>
        <w:ind w:left="450" w:hanging="450"/>
      </w:pPr>
      <w:r>
        <w:t>Li, Y., Liu, B., Dillon, S. T., Fukudome, E. Y., Kheirbek, T., Sailhamer, E. A . Alam, H. B. (2010). Identification of a novel potential biomarker in a model of hemorrhagic shock and valproic acid treatment.</w:t>
      </w:r>
      <w:r>
        <w:rPr>
          <w:i/>
          <w:iCs/>
        </w:rPr>
        <w:t xml:space="preserve"> The Journal of Surgical Research, 159</w:t>
      </w:r>
      <w:r>
        <w:t xml:space="preserve">(1), 474-481. doi:10.1016/j.jss.2009.04.011 </w:t>
      </w:r>
    </w:p>
    <w:p w14:paraId="7D26EFDF" w14:textId="77777777" w:rsidR="008056FD" w:rsidRDefault="008056FD" w:rsidP="008056FD">
      <w:pPr>
        <w:pStyle w:val="NormalWeb"/>
        <w:ind w:left="450" w:hanging="450"/>
      </w:pPr>
      <w:r>
        <w:t>Li, Y., Zhang, Q. L., Yang, X. L., Li, G., He, X., Zhou, Y . He, M. (2012). Clusterin is a potential serum marker of hepatic carcinoma.</w:t>
      </w:r>
      <w:r>
        <w:rPr>
          <w:i/>
          <w:iCs/>
        </w:rPr>
        <w:t xml:space="preserve"> Zhonghua Gan Zang Bing Za Zhi = Zhonghua Ganzangbing Zazhi = Chinese Journal of Hepatology, 20</w:t>
      </w:r>
      <w:r>
        <w:t xml:space="preserve">(4), 275-279. doi:10.3760/cma.j.issn.1007-3418.2012.04.010 [doi] </w:t>
      </w:r>
    </w:p>
    <w:p w14:paraId="59CD35D2" w14:textId="77777777" w:rsidR="008056FD" w:rsidRDefault="008056FD" w:rsidP="008056FD">
      <w:pPr>
        <w:pStyle w:val="NormalWeb"/>
        <w:ind w:left="450" w:hanging="450"/>
      </w:pPr>
      <w:r>
        <w:t>Lin, D., Cohen Freue, G., Hollander, Z., John Mancini, G. B., Sasaki, M., Mui, A . Networks of Centres of Excellence, Centres of Excellence for Commercialization and Research-Prevention of Organ Failure Centre of Excellence. (2013). Plasma protein biosignatures for detection of cardiac allograft vasculopathy.</w:t>
      </w:r>
      <w:r>
        <w:rPr>
          <w:i/>
          <w:iCs/>
        </w:rPr>
        <w:t xml:space="preserve"> The Journal of Heart and Lung Transplantation : The Official Publication of the International Society for Heart Transplantation, 32</w:t>
      </w:r>
      <w:r>
        <w:t xml:space="preserve">(7), 723-733. doi:10.1016/j.healun.2013.04.011 [doi] </w:t>
      </w:r>
    </w:p>
    <w:p w14:paraId="3096A437" w14:textId="77777777" w:rsidR="008056FD" w:rsidRDefault="008056FD" w:rsidP="008056FD">
      <w:pPr>
        <w:pStyle w:val="NormalWeb"/>
        <w:ind w:left="450" w:hanging="450"/>
      </w:pPr>
      <w:r>
        <w:t>Lin, D., Hollander, Z., Meredith, A., Stadnick, E., Sasaki, M., Cohen Freue, G . NCE CECR PROOF Centre of Excellence. (2011). Molecular signatures of end-stage heart failure.</w:t>
      </w:r>
      <w:r>
        <w:rPr>
          <w:i/>
          <w:iCs/>
        </w:rPr>
        <w:t xml:space="preserve"> Journal of Cardiac Failure, 17</w:t>
      </w:r>
      <w:r>
        <w:t xml:space="preserve">(10), 867-874. doi:10.1016/j.cardfail.2011.07.001 [doi] </w:t>
      </w:r>
    </w:p>
    <w:p w14:paraId="1E268D2D" w14:textId="77777777" w:rsidR="008056FD" w:rsidRDefault="008056FD" w:rsidP="008056FD">
      <w:pPr>
        <w:pStyle w:val="NormalWeb"/>
        <w:ind w:left="450" w:hanging="450"/>
      </w:pPr>
      <w:r>
        <w:t>Link, A. J., Eng, J., Schieltz, D. M., Carmack, E., Mize, G. J., Morris, D. R . Yates, J. R. (1999). Direct analysis of protein complexes using mass spectrometry.</w:t>
      </w:r>
      <w:r>
        <w:rPr>
          <w:i/>
          <w:iCs/>
        </w:rPr>
        <w:t xml:space="preserve"> Nat Biotech, 17</w:t>
      </w:r>
      <w:r>
        <w:t xml:space="preserve">(7), 676-682. </w:t>
      </w:r>
    </w:p>
    <w:p w14:paraId="4802BDDB" w14:textId="77777777" w:rsidR="008056FD" w:rsidRDefault="008056FD" w:rsidP="008056FD">
      <w:pPr>
        <w:pStyle w:val="NormalWeb"/>
        <w:ind w:left="450" w:hanging="450"/>
      </w:pPr>
      <w:r>
        <w:t>Liu, C., Mao, L., Ping, Z., Jiang, T., Wang, C., Chen, Z . Li, J. (2016). Serum Protein KNG1, APOC3, and PON1 as Potential Biomarkers for Yin-Deficiency-Heat Syndrome.</w:t>
      </w:r>
      <w:r>
        <w:rPr>
          <w:i/>
          <w:iCs/>
        </w:rPr>
        <w:t xml:space="preserve"> Evidence-Based Complementary and Alternative Medicine : ECAM, 2016</w:t>
      </w:r>
      <w:r>
        <w:t xml:space="preserve">, 5176731. doi:10.1155/2016/5176731 [doi] </w:t>
      </w:r>
    </w:p>
    <w:p w14:paraId="2C3A517A" w14:textId="77777777" w:rsidR="008056FD" w:rsidRDefault="008056FD" w:rsidP="008056FD">
      <w:pPr>
        <w:pStyle w:val="NormalWeb"/>
        <w:ind w:left="450" w:hanging="450"/>
      </w:pPr>
      <w:r>
        <w:t>Liu, C. W., Bramer, L., Webb-Robertson, B. J., Waugh, K., Rewers, M. J., &amp; Zhang, Q. (2016). Temporal profiles of plasma proteome during childhood development.</w:t>
      </w:r>
      <w:r>
        <w:rPr>
          <w:i/>
          <w:iCs/>
        </w:rPr>
        <w:t xml:space="preserve"> Journal of Proteomics, </w:t>
      </w:r>
      <w:r>
        <w:t xml:space="preserve">doi:S1874-3919(16)30483-3 [pii] </w:t>
      </w:r>
    </w:p>
    <w:p w14:paraId="545483C5" w14:textId="77777777" w:rsidR="008056FD" w:rsidRDefault="008056FD" w:rsidP="008056FD">
      <w:pPr>
        <w:pStyle w:val="NormalWeb"/>
        <w:ind w:left="450" w:hanging="450"/>
      </w:pPr>
      <w:r>
        <w:t>Liu, H., Wang, J., Yang, Z., &amp; Wang, K. (2015). Serum Proteomic Analysis Based on iTRAQ in Miners Exposed to Soil Containing Rare Earth Elements.</w:t>
      </w:r>
      <w:r>
        <w:rPr>
          <w:i/>
          <w:iCs/>
        </w:rPr>
        <w:t xml:space="preserve"> Biological Trace Element Research, </w:t>
      </w:r>
      <w:r>
        <w:t xml:space="preserve">doi:10.1007/s12011-015-0312-9 [doi] </w:t>
      </w:r>
    </w:p>
    <w:p w14:paraId="494FFD39" w14:textId="77777777" w:rsidR="008056FD" w:rsidRDefault="008056FD" w:rsidP="008056FD">
      <w:pPr>
        <w:pStyle w:val="NormalWeb"/>
        <w:ind w:left="450" w:hanging="450"/>
      </w:pPr>
      <w:r>
        <w:t>Liu, R., Fan, L., Yin, L., Wang, K., Miao, W., Song, Q . Bai, C. (2015). Comparative study of serum proteomes in Legg-Calve-Perthes disease.</w:t>
      </w:r>
      <w:r>
        <w:rPr>
          <w:i/>
          <w:iCs/>
        </w:rPr>
        <w:t xml:space="preserve"> BMC Musculoskeletal Disorders, 16</w:t>
      </w:r>
      <w:r>
        <w:t xml:space="preserve">(1), 281-015-0730-z. doi:10.1186/s12891-015-0730-z [doi] </w:t>
      </w:r>
    </w:p>
    <w:p w14:paraId="1CB259B0" w14:textId="77777777" w:rsidR="008056FD" w:rsidRDefault="008056FD" w:rsidP="008056FD">
      <w:pPr>
        <w:pStyle w:val="NormalWeb"/>
        <w:ind w:left="450" w:hanging="450"/>
      </w:pPr>
      <w:r>
        <w:t>Liu, T., Liu, D., Liu, R., Jiang, H., Yan, G., Li, W . Guo, K. (2017). Discovering potential serological biomarker for chronic Hepatitis B Virus-related hepatocellular carcinoma in Chinese population by MAL-associated serum glycoproteomics analysis.</w:t>
      </w:r>
      <w:r>
        <w:rPr>
          <w:i/>
          <w:iCs/>
        </w:rPr>
        <w:t xml:space="preserve"> Scientific Reports, 7</w:t>
      </w:r>
      <w:r>
        <w:t xml:space="preserve">, 38918. doi:10.1038/srep38918 [doi] </w:t>
      </w:r>
    </w:p>
    <w:p w14:paraId="01277096" w14:textId="77777777" w:rsidR="008056FD" w:rsidRDefault="008056FD" w:rsidP="008056FD">
      <w:pPr>
        <w:pStyle w:val="NormalWeb"/>
        <w:ind w:left="450" w:hanging="450"/>
      </w:pPr>
      <w:r>
        <w:t>Liu, Y., Buil, A., Collins, B. C., Gillet, L. C., Blum, L. C., Cheng, L. Y . Aebersold, R. (2015). Quantitative variability of 342 plasma proteins in a human twin population.</w:t>
      </w:r>
      <w:r>
        <w:rPr>
          <w:i/>
          <w:iCs/>
        </w:rPr>
        <w:t xml:space="preserve"> Molecular Systems Biology, 11</w:t>
      </w:r>
      <w:r>
        <w:t xml:space="preserve">(1), 786. doi:10.15252/msb.20145728 [doi] </w:t>
      </w:r>
    </w:p>
    <w:p w14:paraId="6116CE15" w14:textId="77777777" w:rsidR="008056FD" w:rsidRDefault="008056FD" w:rsidP="008056FD">
      <w:pPr>
        <w:pStyle w:val="NormalWeb"/>
        <w:ind w:left="450" w:hanging="450"/>
      </w:pPr>
      <w:r>
        <w:t>Liu, Y., Parman, T., Schneider, B., Song, B., Galande, A. K., Anderson, D., &amp; Mirsalis, J. (2013). Serum biomarkers reveal long-term cardiac injury in isoproterenol-treated African green monkeys.</w:t>
      </w:r>
      <w:r>
        <w:rPr>
          <w:i/>
          <w:iCs/>
        </w:rPr>
        <w:t xml:space="preserve"> Journal of Proteome Research, 12</w:t>
      </w:r>
      <w:r>
        <w:t xml:space="preserve">(4), 1830-1837. doi:10.1021/pr3011809 [doi] </w:t>
      </w:r>
    </w:p>
    <w:p w14:paraId="42ECE02F" w14:textId="77777777" w:rsidR="008056FD" w:rsidRDefault="008056FD" w:rsidP="008056FD">
      <w:pPr>
        <w:pStyle w:val="NormalWeb"/>
        <w:ind w:left="450" w:hanging="450"/>
      </w:pPr>
      <w:r>
        <w:t>Liu, Y., Wang, X., Li, S., Hu, H., Zhang, D., Hu, P . Ren, H. (2014). The role of von Willebrand factor as a biomarker of tumor development in hepatitis B virus-associated human hepatocellular carcinoma: a quantitative proteomic based study.</w:t>
      </w:r>
      <w:r>
        <w:rPr>
          <w:i/>
          <w:iCs/>
        </w:rPr>
        <w:t xml:space="preserve"> Journal of Proteomics, 106</w:t>
      </w:r>
      <w:r>
        <w:t xml:space="preserve">, 99-112. doi:10.1016/j.jprot.2014.04.021 [doi] </w:t>
      </w:r>
    </w:p>
    <w:p w14:paraId="1461473D" w14:textId="77777777" w:rsidR="008056FD" w:rsidRDefault="008056FD" w:rsidP="008056FD">
      <w:pPr>
        <w:pStyle w:val="NormalWeb"/>
        <w:ind w:left="450" w:hanging="450"/>
      </w:pPr>
      <w:r>
        <w:t>Luczak, M., Formanowicz, D., Marczak, L., Suszynska-Zajczyk, J., Pawliczak, E., Wanic-Kossowska, M., &amp; Stobiecki, M. (2016). iTRAQ-based proteomic analysis of plasma reveals abnormalities in lipid metabolism proteins in chronic kidney disease-related atherosclerosis.</w:t>
      </w:r>
      <w:r>
        <w:rPr>
          <w:i/>
          <w:iCs/>
        </w:rPr>
        <w:t xml:space="preserve"> Scientific Reports, 6</w:t>
      </w:r>
      <w:r>
        <w:t xml:space="preserve">, 32511. doi:10.1038/srep32511 [doi] </w:t>
      </w:r>
    </w:p>
    <w:p w14:paraId="72F6B2AB" w14:textId="77777777" w:rsidR="008056FD" w:rsidRDefault="008056FD" w:rsidP="008056FD">
      <w:pPr>
        <w:pStyle w:val="NormalWeb"/>
        <w:ind w:left="450" w:hanging="450"/>
      </w:pPr>
      <w:r>
        <w:t>Luczak, M., Marczak, L., &amp; Stobiecki, M. (2014). Optimization of plasma sample pretreatment for quantitative analysis using iTRAQ labeling and LC-MALDI-TOF/TOF.</w:t>
      </w:r>
      <w:r>
        <w:rPr>
          <w:i/>
          <w:iCs/>
        </w:rPr>
        <w:t xml:space="preserve"> PloS One, 9</w:t>
      </w:r>
      <w:r>
        <w:t xml:space="preserve">(7), e101694. doi:10.1371/journal.pone.0101694 [doi] </w:t>
      </w:r>
    </w:p>
    <w:p w14:paraId="7D313D35" w14:textId="77777777" w:rsidR="008056FD" w:rsidRDefault="008056FD" w:rsidP="008056FD">
      <w:pPr>
        <w:pStyle w:val="NormalWeb"/>
        <w:ind w:left="450" w:hanging="450"/>
      </w:pPr>
      <w:r>
        <w:t>Lv, M., Ye, H. G., Zhao, X. S., Zhao, X. Y., Chang, Y. J., Liu, D. H . Huang, X. J. (2013). Ceruloplasmin Is a Potential Biomarker for aGvHD following Allogeneic Hematopoietic Stem Cell Transplantation.</w:t>
      </w:r>
      <w:r>
        <w:rPr>
          <w:i/>
          <w:iCs/>
        </w:rPr>
        <w:t xml:space="preserve"> PloS One, 8</w:t>
      </w:r>
      <w:r>
        <w:t xml:space="preserve">(3), e58735. doi:10.1371/journal.pone.0058735; 10.1371/journal.pone.0058735 </w:t>
      </w:r>
    </w:p>
    <w:p w14:paraId="65061A74" w14:textId="77777777" w:rsidR="008056FD" w:rsidRDefault="008056FD" w:rsidP="008056FD">
      <w:pPr>
        <w:pStyle w:val="NormalWeb"/>
        <w:ind w:left="450" w:hanging="450"/>
      </w:pPr>
      <w:r>
        <w:t>Madian, A. G., Diaz-Maldonado, N., Gao, Q., &amp; Regnier, F. E. (2011). Oxidative stress induced carbonylation in human plasma.</w:t>
      </w:r>
      <w:r>
        <w:rPr>
          <w:i/>
          <w:iCs/>
        </w:rPr>
        <w:t xml:space="preserve"> Journal of Proteomics, 74</w:t>
      </w:r>
      <w:r>
        <w:t xml:space="preserve">(11), 2395-2416. doi:10.1016/j.jprot.2011.07.014 [doi] </w:t>
      </w:r>
    </w:p>
    <w:p w14:paraId="3631CC40" w14:textId="77777777" w:rsidR="008056FD" w:rsidRDefault="008056FD" w:rsidP="008056FD">
      <w:pPr>
        <w:pStyle w:val="NormalWeb"/>
        <w:ind w:left="450" w:hanging="450"/>
      </w:pPr>
      <w:r>
        <w:t>Madian, A. G., Myracle, A. D., Diaz-Maldonado, N., Rochelle, N. S., Janle, E. M., &amp; Regnier, F. E. (2011). Differential carbonylation of proteins as a function of in vivo oxidative stress.</w:t>
      </w:r>
      <w:r>
        <w:rPr>
          <w:i/>
          <w:iCs/>
        </w:rPr>
        <w:t xml:space="preserve"> Journal of Proteome Research, 10</w:t>
      </w:r>
      <w:r>
        <w:t xml:space="preserve">(9), 3959-3972. doi:10.1021/pr200140x [doi] </w:t>
      </w:r>
    </w:p>
    <w:p w14:paraId="2F75939C" w14:textId="77777777" w:rsidR="008056FD" w:rsidRDefault="008056FD" w:rsidP="008056FD">
      <w:pPr>
        <w:pStyle w:val="NormalWeb"/>
        <w:ind w:left="450" w:hanging="450"/>
      </w:pPr>
      <w:r>
        <w:t>Matei, L. (1997). Plasma proteins glycosylation and its alteration in disease.</w:t>
      </w:r>
      <w:r>
        <w:rPr>
          <w:i/>
          <w:iCs/>
        </w:rPr>
        <w:t xml:space="preserve"> Romanian Journal of Internal Medicine = Revue Roumaine De Medecine Interne, 35</w:t>
      </w:r>
      <w:r>
        <w:t xml:space="preserve">(1-4), 3-11. </w:t>
      </w:r>
    </w:p>
    <w:p w14:paraId="4CAC91C7" w14:textId="77777777" w:rsidR="008056FD" w:rsidRDefault="008056FD" w:rsidP="008056FD">
      <w:pPr>
        <w:pStyle w:val="NormalWeb"/>
        <w:ind w:left="450" w:hanging="450"/>
      </w:pPr>
      <w:r>
        <w:t>Mateos, J., Carneiro, I., Corrales, F., Elortza, F., Paradela, A., Del Pino, M. S . ProteoRed Spanish Biobanks Network. (2017). Multicentric study of the effect of pre-analytical variables in the quality of plasma samples stored in biobanks using different complementary proteomic methods.</w:t>
      </w:r>
      <w:r>
        <w:rPr>
          <w:i/>
          <w:iCs/>
        </w:rPr>
        <w:t xml:space="preserve"> Journal of Proteomics, 150</w:t>
      </w:r>
      <w:r>
        <w:t xml:space="preserve">, 109-120. doi:S1874-3919(16)30403-1 [pii] </w:t>
      </w:r>
    </w:p>
    <w:p w14:paraId="13614B6C" w14:textId="77777777" w:rsidR="008056FD" w:rsidRDefault="008056FD" w:rsidP="008056FD">
      <w:pPr>
        <w:pStyle w:val="NormalWeb"/>
        <w:ind w:left="450" w:hanging="450"/>
      </w:pPr>
      <w:r>
        <w:t>McAlister, G. C., Huttlin, E. L., Haas, W., Ting, L., Jedrychowski, M. P., Rogers, J. C . Gygi, S. P. (2012). Increasing the multiplexing capacity of TMTs using reporter ion isotopologues with isobaric masses.</w:t>
      </w:r>
      <w:r>
        <w:rPr>
          <w:i/>
          <w:iCs/>
        </w:rPr>
        <w:t xml:space="preserve"> Analytical Chemistry, 84</w:t>
      </w:r>
      <w:r>
        <w:t xml:space="preserve">(17), 7469-7478. doi:10.1021/ac301572t [doi] </w:t>
      </w:r>
    </w:p>
    <w:p w14:paraId="169736B1" w14:textId="77777777" w:rsidR="008056FD" w:rsidRDefault="008056FD" w:rsidP="008056FD">
      <w:pPr>
        <w:pStyle w:val="NormalWeb"/>
        <w:ind w:left="450" w:hanging="450"/>
      </w:pPr>
      <w:r>
        <w:t>Meng, R., Gormley, M., Bhat, V. B., Rosenberg, A., &amp; Quong, A. A. (2011). Low abundance protein enrichment for discovery of candidate plasma protein biomarkers for early detection of breast cancer.</w:t>
      </w:r>
      <w:r>
        <w:rPr>
          <w:i/>
          <w:iCs/>
        </w:rPr>
        <w:t xml:space="preserve"> Journal of Proteomics, 75</w:t>
      </w:r>
      <w:r>
        <w:t xml:space="preserve">(2), 366-374. doi:10.1016/j.jprot.2011.07.030 [doi] </w:t>
      </w:r>
    </w:p>
    <w:p w14:paraId="4219F094" w14:textId="77777777" w:rsidR="008056FD" w:rsidRDefault="008056FD" w:rsidP="008056FD">
      <w:pPr>
        <w:pStyle w:val="NormalWeb"/>
        <w:ind w:left="450" w:hanging="450"/>
      </w:pPr>
      <w:r>
        <w:t>Miike, K., Aoki, M., Yamashita, R., Takegawa, Y., Saya, H., Miike, T., &amp; Yamamura, K. (2010). Proteome profiling reveals gender differences in the composition of human serum.</w:t>
      </w:r>
      <w:r>
        <w:rPr>
          <w:i/>
          <w:iCs/>
        </w:rPr>
        <w:t xml:space="preserve"> Proteomics, 10</w:t>
      </w:r>
      <w:r>
        <w:t xml:space="preserve">(14), 2678-2691. doi:10.1002/pmic.200900496 </w:t>
      </w:r>
    </w:p>
    <w:p w14:paraId="782F3428" w14:textId="77777777" w:rsidR="008056FD" w:rsidRDefault="008056FD" w:rsidP="008056FD">
      <w:pPr>
        <w:pStyle w:val="NormalWeb"/>
        <w:ind w:left="450" w:hanging="450"/>
      </w:pPr>
      <w:r>
        <w:t>Miller, M. H., Walsh, S. V., Atrih, A., Huang, J. T., Ferguson, M. A., &amp; Dillon, J. F. (2014). The serum proteome of nonalcoholic fatty liver disease: a multimodal approach to discovery of biomarkers of nonalcoholic steatohepatitis.</w:t>
      </w:r>
      <w:r>
        <w:rPr>
          <w:i/>
          <w:iCs/>
        </w:rPr>
        <w:t xml:space="preserve"> Journal of Gastroenterology and Hepatology, 29</w:t>
      </w:r>
      <w:r>
        <w:t xml:space="preserve">(10), 1839-1847. doi:10.1111/jgh.12614 [doi] </w:t>
      </w:r>
    </w:p>
    <w:p w14:paraId="45F0CCEE" w14:textId="77777777" w:rsidR="008056FD" w:rsidRDefault="008056FD" w:rsidP="008056FD">
      <w:pPr>
        <w:pStyle w:val="NormalWeb"/>
        <w:ind w:left="450" w:hanging="450"/>
      </w:pPr>
      <w:r>
        <w:t>Moulder, R., Bhosale, S. D., Erkkila, T., Laajala, E., Salmi, J., Nguyen, E. V . Lahesmaa, R. (2015). Serum Proteomes Distinguish Children Developing Type 1 Diabetes in a Cohort With HLA-Conferred Susceptibility.</w:t>
      </w:r>
      <w:r>
        <w:rPr>
          <w:i/>
          <w:iCs/>
        </w:rPr>
        <w:t xml:space="preserve"> Diabetes, 64</w:t>
      </w:r>
      <w:r>
        <w:t xml:space="preserve">(6), 2265-2278. doi:10.2337/db14-0983 [doi] </w:t>
      </w:r>
    </w:p>
    <w:p w14:paraId="41F29D9A" w14:textId="77777777" w:rsidR="008056FD" w:rsidRDefault="008056FD" w:rsidP="008056FD">
      <w:pPr>
        <w:pStyle w:val="NormalWeb"/>
        <w:ind w:left="450" w:hanging="450"/>
      </w:pPr>
      <w:r>
        <w:t>Moulder, R., Bhosale, S. D., Lahesmaa, R., &amp; Goodlett, D. R. (2017). The progress and potential of proteomic biomarkers for type 1 diabetes in children.</w:t>
      </w:r>
      <w:r>
        <w:rPr>
          <w:i/>
          <w:iCs/>
        </w:rPr>
        <w:t xml:space="preserve"> Expert Review of Proteomics, 14</w:t>
      </w:r>
      <w:r>
        <w:t xml:space="preserve">(1), 31-41. doi:10.1080/14789450.2017.1265449 [doi] </w:t>
      </w:r>
    </w:p>
    <w:p w14:paraId="1395004E" w14:textId="77777777" w:rsidR="008056FD" w:rsidRDefault="008056FD" w:rsidP="008056FD">
      <w:pPr>
        <w:pStyle w:val="NormalWeb"/>
        <w:ind w:left="450" w:hanging="450"/>
      </w:pPr>
      <w:r>
        <w:t>Mu, A. K., Bee, P. C., Lau, Y. L., &amp; Chen, Y. (2014). Identification of protein markers in patients infected with Plasmodium knowlesi, Plasmodium falciparum and Plasmodium vivax.</w:t>
      </w:r>
      <w:r>
        <w:rPr>
          <w:i/>
          <w:iCs/>
        </w:rPr>
        <w:t xml:space="preserve"> International Journal of Molecular Sciences, 15</w:t>
      </w:r>
      <w:r>
        <w:t xml:space="preserve">(11), 19952-19961. doi:10.3390/ijms151119952 [doi] </w:t>
      </w:r>
    </w:p>
    <w:p w14:paraId="56395E44" w14:textId="77777777" w:rsidR="008056FD" w:rsidRDefault="008056FD" w:rsidP="008056FD">
      <w:pPr>
        <w:pStyle w:val="NormalWeb"/>
        <w:ind w:left="450" w:hanging="450"/>
      </w:pPr>
      <w:r>
        <w:t>Muenchhoff, J., Poljak, A., Song, F., Raftery, M., Brodaty, H., Duncan, M . Sachdev, P. S. (2015). Plasma protein profiling of mild cognitive impairment and Alzheimer's disease across two independent cohorts.</w:t>
      </w:r>
      <w:r>
        <w:rPr>
          <w:i/>
          <w:iCs/>
        </w:rPr>
        <w:t xml:space="preserve"> Journal of Alzheimer's Disease : JAD, 43</w:t>
      </w:r>
      <w:r>
        <w:t xml:space="preserve">(4), 1355-1373. doi:10.3233/JAD-141266 [doi] </w:t>
      </w:r>
    </w:p>
    <w:p w14:paraId="71E23DCD" w14:textId="77777777" w:rsidR="008056FD" w:rsidRDefault="008056FD" w:rsidP="008056FD">
      <w:pPr>
        <w:pStyle w:val="NormalWeb"/>
        <w:ind w:left="450" w:hanging="450"/>
      </w:pPr>
      <w:r>
        <w:t>Nanjappa, V., Thomas, J. K., Marimuthu, A., Muthusamy, B., Radhakrishnan, A., Sharma, R . Prasad, T. S. (2014). Plasma Proteome Database as a resource for proteomics research: 2014 update.</w:t>
      </w:r>
      <w:r>
        <w:rPr>
          <w:i/>
          <w:iCs/>
        </w:rPr>
        <w:t xml:space="preserve"> Nucleic Acids Research, 42</w:t>
      </w:r>
      <w:r>
        <w:t xml:space="preserve">(Database issue), D959-65. doi:10.1093/nar/gkt1251 [doi] </w:t>
      </w:r>
    </w:p>
    <w:p w14:paraId="0F69DF48" w14:textId="77777777" w:rsidR="008056FD" w:rsidRDefault="008056FD" w:rsidP="008056FD">
      <w:pPr>
        <w:pStyle w:val="NormalWeb"/>
        <w:ind w:left="450" w:hanging="450"/>
      </w:pPr>
      <w:r w:rsidRPr="00E24871">
        <w:rPr>
          <w:lang w:val="fi-FI"/>
        </w:rPr>
        <w:t xml:space="preserve">Nhi, D. M., Huy, N. T., Ohyama, K., Kimura, D., Lan, N. T., Uchida, L . </w:t>
      </w:r>
      <w:r>
        <w:t>Hirayama, K. (2016). A Proteomic Approach Identifies Candidate Early Biomarkers to Predict Severe Dengue in Children.</w:t>
      </w:r>
      <w:r>
        <w:rPr>
          <w:i/>
          <w:iCs/>
        </w:rPr>
        <w:t xml:space="preserve"> PLoS Neglected Tropical Diseases, 10</w:t>
      </w:r>
      <w:r>
        <w:t xml:space="preserve">(2), e0004435. doi:10.1371/journal.pntd.0004435 [doi] </w:t>
      </w:r>
    </w:p>
    <w:p w14:paraId="6BA77FBB" w14:textId="77777777" w:rsidR="008056FD" w:rsidRDefault="008056FD" w:rsidP="008056FD">
      <w:pPr>
        <w:pStyle w:val="NormalWeb"/>
        <w:ind w:left="450" w:hanging="450"/>
      </w:pPr>
      <w:r>
        <w:t>Nie, S., Lo, A., Wu, J., Zhu, J., Tan, Z., Simeone, D. M . Lubman, D. M. (2014). Glycoprotein biomarker panel for pancreatic cancer discovered by quantitative proteomics analysis.</w:t>
      </w:r>
      <w:r>
        <w:rPr>
          <w:i/>
          <w:iCs/>
        </w:rPr>
        <w:t xml:space="preserve"> Journal of Proteome Research, 13</w:t>
      </w:r>
      <w:r>
        <w:t xml:space="preserve">(4), 1873-1884. doi:10.1021/pr400967x [doi] </w:t>
      </w:r>
    </w:p>
    <w:p w14:paraId="13DC1A14" w14:textId="77777777" w:rsidR="008056FD" w:rsidRDefault="008056FD" w:rsidP="008056FD">
      <w:pPr>
        <w:pStyle w:val="NormalWeb"/>
        <w:ind w:left="450" w:hanging="450"/>
      </w:pPr>
      <w:r>
        <w:t>Nie, S., Lo, A., Zhu, J., Wu, J., Ruffin, M. T., &amp; Lubman, D. M. (2013). Isobaric protein-level labeling strategy for serum glycoprotein quantification analysis by liquid chromatography-tandem mass spectrometry.</w:t>
      </w:r>
      <w:r>
        <w:rPr>
          <w:i/>
          <w:iCs/>
        </w:rPr>
        <w:t xml:space="preserve"> Analytical Chemistry, 85</w:t>
      </w:r>
      <w:r>
        <w:t xml:space="preserve">(11), 5353-5357. doi:10.1021/ac400838s [doi] </w:t>
      </w:r>
    </w:p>
    <w:p w14:paraId="7DE12F87" w14:textId="77777777" w:rsidR="008056FD" w:rsidRDefault="008056FD" w:rsidP="008056FD">
      <w:pPr>
        <w:pStyle w:val="NormalWeb"/>
        <w:ind w:left="450" w:hanging="450"/>
      </w:pPr>
      <w:r>
        <w:t>Nie, S., Yin, H., Tan, Z., Anderson, M. A., Ruffin, M. T., Simeone, D. M., &amp; Lubman, D. M. (2014). Quantitative analysis of single amino acid variant peptides associated with pancreatic cancer in serum by an isobaric labeling quantitative method.</w:t>
      </w:r>
      <w:r>
        <w:rPr>
          <w:i/>
          <w:iCs/>
        </w:rPr>
        <w:t xml:space="preserve"> Journal of Proteome Research, 13</w:t>
      </w:r>
      <w:r>
        <w:t xml:space="preserve">(12), 6058-6066. doi:10.1021/pr500934u [doi] </w:t>
      </w:r>
    </w:p>
    <w:p w14:paraId="42E94C13" w14:textId="77777777" w:rsidR="008056FD" w:rsidRDefault="008056FD" w:rsidP="008056FD">
      <w:pPr>
        <w:pStyle w:val="NormalWeb"/>
        <w:ind w:left="450" w:hanging="450"/>
      </w:pPr>
      <w:r>
        <w:t>Oda, T., Yamaguchi, A., Yokoyama, M., Shimizu, K., Toyota, K., Nikai, T., &amp; Matsumoto, K. (2014). Plasma proteomic changes during hypothermic and normothermic cardiopulmonary bypass in aortic surgeries.</w:t>
      </w:r>
      <w:r>
        <w:rPr>
          <w:i/>
          <w:iCs/>
        </w:rPr>
        <w:t xml:space="preserve"> International Journal of Molecular Medicine, 34</w:t>
      </w:r>
      <w:r>
        <w:t xml:space="preserve">(4), 947-956. doi:10.3892/ijmm.2014.1855 [doi] </w:t>
      </w:r>
    </w:p>
    <w:p w14:paraId="0B183C76" w14:textId="77777777" w:rsidR="008056FD" w:rsidRDefault="008056FD" w:rsidP="008056FD">
      <w:pPr>
        <w:pStyle w:val="NormalWeb"/>
        <w:ind w:left="450" w:hanging="450"/>
      </w:pPr>
      <w:r>
        <w:t>Okano, T., Seike, M., Kuribayashi, H., Soeno, C., Ishii, T., Kida, K., &amp; Gemma, A. (2016). Identification of haptoglobin peptide as a novel serum biomarker for lung squamous cell carcinoma by serum proteome and peptidome profiling.</w:t>
      </w:r>
      <w:r>
        <w:rPr>
          <w:i/>
          <w:iCs/>
        </w:rPr>
        <w:t xml:space="preserve"> International Journal of Oncology, 48</w:t>
      </w:r>
      <w:r>
        <w:t xml:space="preserve">(3), 945-952. doi:10.3892/ijo.2016.3330 [doi] </w:t>
      </w:r>
    </w:p>
    <w:p w14:paraId="3BD44040" w14:textId="77777777" w:rsidR="008056FD" w:rsidRDefault="008056FD" w:rsidP="008056FD">
      <w:pPr>
        <w:pStyle w:val="NormalWeb"/>
        <w:ind w:left="450" w:hanging="450"/>
      </w:pPr>
      <w:r>
        <w:t>Opstal-van Winden, A. W., Krop, E. J., Karedal, M. H., Gast, M. C., Lindh, C. H., Jeppsson, M. C . Vermeulen, R. C. (2011). Searching for early breast cancer biomarkers by serum protein profiling of pre-diagnostic serum; a nested case-control study.</w:t>
      </w:r>
      <w:r>
        <w:rPr>
          <w:i/>
          <w:iCs/>
        </w:rPr>
        <w:t xml:space="preserve"> BMC Cancer, 11</w:t>
      </w:r>
      <w:r>
        <w:t xml:space="preserve">, 381-2407-11-381. doi:10.1186/1471-2407-11-381 [doi] </w:t>
      </w:r>
    </w:p>
    <w:p w14:paraId="58B1B8BB" w14:textId="77777777" w:rsidR="008056FD" w:rsidRDefault="008056FD" w:rsidP="008056FD">
      <w:pPr>
        <w:pStyle w:val="NormalWeb"/>
        <w:ind w:left="450" w:hanging="450"/>
      </w:pPr>
      <w:r>
        <w:t>Ortea, I., Roschitzki, B., Ovalles, J. G., Longo, J. L., de la Torre, I., Gonzalez, I . Gonzalez, A. (2012). Discovery of serum proteomic biomarkers for prediction of response to infliximab (a monoclonal anti-TNF antibody) treatment in rheumatoid arthritis: an exploratory analysis.</w:t>
      </w:r>
      <w:r>
        <w:rPr>
          <w:i/>
          <w:iCs/>
        </w:rPr>
        <w:t xml:space="preserve"> Journal of Proteomics, 77</w:t>
      </w:r>
      <w:r>
        <w:t xml:space="preserve">, 372-382. doi:10.1016/j.jprot.2012.09.011 [doi] </w:t>
      </w:r>
    </w:p>
    <w:p w14:paraId="3508C3D6" w14:textId="77777777" w:rsidR="008056FD" w:rsidRDefault="008056FD" w:rsidP="008056FD">
      <w:pPr>
        <w:pStyle w:val="NormalWeb"/>
        <w:ind w:left="450" w:hanging="450"/>
      </w:pPr>
      <w:r>
        <w:t>Overgaard, A. J., Hansen, H. G., Lajer, M., Pedersen, L., Tarnow, L., Rossing, P . Pociot, F. (2010). Plasma proteome analysis of patients with type 1 diabetes with diabetic nephropathy.</w:t>
      </w:r>
      <w:r>
        <w:rPr>
          <w:i/>
          <w:iCs/>
        </w:rPr>
        <w:t xml:space="preserve"> Proteome Science, 8</w:t>
      </w:r>
      <w:r>
        <w:t xml:space="preserve">, 4-5956-8-4. doi:10.1186/1477-5956-8-4; 10.1186/1477-5956-8-4 </w:t>
      </w:r>
    </w:p>
    <w:p w14:paraId="2C4DC3C8" w14:textId="77777777" w:rsidR="008056FD" w:rsidRDefault="008056FD" w:rsidP="008056FD">
      <w:pPr>
        <w:pStyle w:val="NormalWeb"/>
        <w:ind w:left="450" w:hanging="450"/>
      </w:pPr>
      <w:r>
        <w:t>Overgaard, A. J., Thingholm, T. E., Larsen, M. R., Tarnow, L., Rossing, P., McGuire, J. N., &amp; Pociot, F. (2010). Quantitative iTRAQ-Based Proteomic Identification of Candidate Biomarkers for Diabetic Nephropathy in Plasma of Type 1 Diabetic Patients.</w:t>
      </w:r>
      <w:r>
        <w:rPr>
          <w:i/>
          <w:iCs/>
        </w:rPr>
        <w:t xml:space="preserve"> Clinical Proteomics, 6</w:t>
      </w:r>
      <w:r>
        <w:t xml:space="preserve">(4), 105-114. doi:10.1007/s12014-010-9053-0 </w:t>
      </w:r>
    </w:p>
    <w:p w14:paraId="3E5C9DBB" w14:textId="77777777" w:rsidR="008056FD" w:rsidRDefault="008056FD" w:rsidP="008056FD">
      <w:pPr>
        <w:pStyle w:val="NormalWeb"/>
        <w:ind w:left="450" w:hanging="450"/>
      </w:pPr>
      <w:r>
        <w:t>Ow, S. Y., Salim, M., Noirel, J., Evans, C., Rehman, I., &amp; Wright, P. C. (2009). iTRAQ underestimation in simple and complex mixtures: "the good, the bad and the ugly".</w:t>
      </w:r>
      <w:r>
        <w:rPr>
          <w:i/>
          <w:iCs/>
        </w:rPr>
        <w:t xml:space="preserve"> Journal of Proteome Research, 8</w:t>
      </w:r>
      <w:r>
        <w:t xml:space="preserve">(11), 5347-5355. doi:10.1021/pr900634c </w:t>
      </w:r>
    </w:p>
    <w:p w14:paraId="021BF31E" w14:textId="77777777" w:rsidR="008056FD" w:rsidRPr="00E24871" w:rsidRDefault="008056FD" w:rsidP="008056FD">
      <w:pPr>
        <w:pStyle w:val="NormalWeb"/>
        <w:ind w:left="450" w:hanging="450"/>
        <w:rPr>
          <w:lang w:val="fi-FI"/>
        </w:rPr>
      </w:pPr>
      <w:r>
        <w:t>Ow, S. Y., Salim, M., Noirel, J., Evans, C., &amp; Wright, P. C. (2011). Minimising iTRAQ ratio compression through understanding LC-MS elution dependence and high-resolution HILIC fractionation.</w:t>
      </w:r>
      <w:r>
        <w:rPr>
          <w:i/>
          <w:iCs/>
        </w:rPr>
        <w:t xml:space="preserve"> </w:t>
      </w:r>
      <w:r w:rsidRPr="00E24871">
        <w:rPr>
          <w:i/>
          <w:iCs/>
          <w:lang w:val="fi-FI"/>
        </w:rPr>
        <w:t>Proteomics, 11</w:t>
      </w:r>
      <w:r w:rsidRPr="00E24871">
        <w:rPr>
          <w:lang w:val="fi-FI"/>
        </w:rPr>
        <w:t xml:space="preserve">(11), 2341-2346. doi:10.1002/pmic.201000752 [doi] </w:t>
      </w:r>
    </w:p>
    <w:p w14:paraId="054A73C2" w14:textId="77777777" w:rsidR="008056FD" w:rsidRDefault="008056FD" w:rsidP="008056FD">
      <w:pPr>
        <w:pStyle w:val="NormalWeb"/>
        <w:ind w:left="450" w:hanging="450"/>
      </w:pPr>
      <w:r w:rsidRPr="00E24871">
        <w:rPr>
          <w:lang w:val="fi-FI"/>
        </w:rPr>
        <w:t xml:space="preserve">Parviainen, V., Joenvaara, S., Tukiainen, E., Ilmakunnas, M., Isoniemi, H., &amp; Renkonen, R. (2011). </w:t>
      </w:r>
      <w:r>
        <w:t>Relative quantification of several plasma proteins during liver transplantation surgery.</w:t>
      </w:r>
      <w:r>
        <w:rPr>
          <w:i/>
          <w:iCs/>
        </w:rPr>
        <w:t xml:space="preserve"> Journal of Biomedicine &amp; Biotechnology, 2011</w:t>
      </w:r>
      <w:r>
        <w:t xml:space="preserve">, 248613. doi:10.1155/2011/248613 [doi] </w:t>
      </w:r>
    </w:p>
    <w:p w14:paraId="14479340" w14:textId="77777777" w:rsidR="008056FD" w:rsidRDefault="008056FD" w:rsidP="008056FD">
      <w:pPr>
        <w:pStyle w:val="NormalWeb"/>
        <w:ind w:left="450" w:hanging="450"/>
      </w:pPr>
      <w:r>
        <w:t>Patel, B. B., Barrero, C. A., Braverman, A., Kim, P. D., Jones, K. A., Chen, D. E . Yeung, A. T. (2012). Assessment of Two Immunodepletion Methods: Off-Target Effects and Variations in Immunodepletion Efficiency May Confound Plasma Proteomics.</w:t>
      </w:r>
      <w:r>
        <w:rPr>
          <w:i/>
          <w:iCs/>
        </w:rPr>
        <w:t xml:space="preserve"> Journal of Proteome Research, 11</w:t>
      </w:r>
      <w:r>
        <w:t xml:space="preserve">(12), 5947-5958. doi:10.1021/pr300686k </w:t>
      </w:r>
    </w:p>
    <w:p w14:paraId="18E8CA72" w14:textId="77777777" w:rsidR="008056FD" w:rsidRDefault="008056FD" w:rsidP="008056FD">
      <w:pPr>
        <w:pStyle w:val="NormalWeb"/>
        <w:ind w:left="450" w:hanging="450"/>
      </w:pPr>
      <w:r>
        <w:t>Pendyala, G., Trauger, S. A., Siuzdak, G., &amp; Fox, H. S. (2010). Quantitative plasma proteomic profiling identifies the vitamin E binding protein afamin as a potential pathogenic factor in SIV induced CNS disease.</w:t>
      </w:r>
      <w:r>
        <w:rPr>
          <w:i/>
          <w:iCs/>
        </w:rPr>
        <w:t xml:space="preserve"> Journal of Proteome Research, 9</w:t>
      </w:r>
      <w:r>
        <w:t xml:space="preserve">(1), 352-358. doi:10.1021/pr900685u </w:t>
      </w:r>
    </w:p>
    <w:p w14:paraId="35AB3797" w14:textId="77777777" w:rsidR="008056FD" w:rsidRDefault="008056FD" w:rsidP="008056FD">
      <w:pPr>
        <w:pStyle w:val="NormalWeb"/>
        <w:ind w:left="450" w:hanging="450"/>
      </w:pPr>
      <w:r>
        <w:t>Peng, L., Liu, J., Li, Y. M., Huang, Z. L., Wang, P. P., Gu, Y. R . Gao, Z. L. (2013). Serum proteomics analysis and comparisons using iTRAQ in the progression of hepatitis B.</w:t>
      </w:r>
      <w:r>
        <w:rPr>
          <w:i/>
          <w:iCs/>
        </w:rPr>
        <w:t xml:space="preserve"> Experimental and Therapeutic Medicine, 6</w:t>
      </w:r>
      <w:r>
        <w:t xml:space="preserve">(5), 1169-1176. doi:10.3892/etm.2013.1310 [doi] </w:t>
      </w:r>
    </w:p>
    <w:p w14:paraId="04807895" w14:textId="77777777" w:rsidR="008056FD" w:rsidRDefault="008056FD" w:rsidP="008056FD">
      <w:pPr>
        <w:pStyle w:val="NormalWeb"/>
        <w:ind w:left="450" w:hanging="450"/>
      </w:pPr>
      <w:r>
        <w:t>Percy, A. J., Chambers, A. G., Yang, J., &amp; Borchers, C. H. (2013). Multiplexed MRM-based quantitation of candidate cancer biomarker proteins in undepleted and non-enriched human plasma.</w:t>
      </w:r>
      <w:r>
        <w:rPr>
          <w:i/>
          <w:iCs/>
        </w:rPr>
        <w:t xml:space="preserve"> Proteomics, 13</w:t>
      </w:r>
      <w:r>
        <w:t xml:space="preserve">(14), 2202-2215. doi:10.1002/pmic.201200316 [doi] </w:t>
      </w:r>
    </w:p>
    <w:p w14:paraId="4F9EAA52" w14:textId="77777777" w:rsidR="008056FD" w:rsidRDefault="008056FD" w:rsidP="008056FD">
      <w:pPr>
        <w:pStyle w:val="NormalWeb"/>
        <w:ind w:left="450" w:hanging="450"/>
      </w:pPr>
      <w:r>
        <w:t>Pernemalm, M., De Petris, L., Eriksson, H., Branden, E., Koyi, H., Kanter, L . Lehtio, J. (2009). Use of narrow-range peptide IEF to improve detection of lung adenocarcinoma markers in plasma and pleural effusion.</w:t>
      </w:r>
      <w:r>
        <w:rPr>
          <w:i/>
          <w:iCs/>
        </w:rPr>
        <w:t xml:space="preserve"> Proteomics, 9</w:t>
      </w:r>
      <w:r>
        <w:t xml:space="preserve">(13), 3414-3424. doi:10.1002/pmic.200800814 </w:t>
      </w:r>
    </w:p>
    <w:p w14:paraId="14F8DC7D" w14:textId="77777777" w:rsidR="008056FD" w:rsidRDefault="008056FD" w:rsidP="008056FD">
      <w:pPr>
        <w:pStyle w:val="NormalWeb"/>
        <w:ind w:left="450" w:hanging="450"/>
      </w:pPr>
      <w:r>
        <w:t>Pernemalm, M., &amp; Lehtio, J. (2013). A novel prefractionation method combining protein and peptide isoelectric focusing in immobilized pH gradient strips.</w:t>
      </w:r>
      <w:r>
        <w:rPr>
          <w:i/>
          <w:iCs/>
        </w:rPr>
        <w:t xml:space="preserve"> Journal of Proteome Research, 12</w:t>
      </w:r>
      <w:r>
        <w:t xml:space="preserve">(2), 1014-1019. doi:10.1021/pr300817y [doi] </w:t>
      </w:r>
    </w:p>
    <w:p w14:paraId="2A2F72F1" w14:textId="77777777" w:rsidR="008056FD" w:rsidRDefault="008056FD" w:rsidP="008056FD">
      <w:pPr>
        <w:pStyle w:val="NormalWeb"/>
        <w:ind w:left="450" w:hanging="450"/>
      </w:pPr>
      <w:r>
        <w:t>Pernemalm, M., &amp; Lehtio, J. (2014). Mass spectrometry-based plasma proteomics: state of the art and future outlook.</w:t>
      </w:r>
      <w:r>
        <w:rPr>
          <w:i/>
          <w:iCs/>
        </w:rPr>
        <w:t xml:space="preserve"> Expert Review of Proteomics, 11</w:t>
      </w:r>
      <w:r>
        <w:t xml:space="preserve">(4), 431-448. doi:10.1586/14789450.2014.901157 [doi] </w:t>
      </w:r>
    </w:p>
    <w:p w14:paraId="79593E9F" w14:textId="77777777" w:rsidR="008056FD" w:rsidRDefault="008056FD" w:rsidP="008056FD">
      <w:pPr>
        <w:pStyle w:val="NormalWeb"/>
        <w:ind w:left="450" w:hanging="450"/>
      </w:pPr>
      <w:r>
        <w:t>Pernemalm, M., Orre, L. M., Lengqvist, J., Wikstrom, P., Lewensohn, R., &amp; Lehtio, J. (2008). Evaluation of three principally different intact protein prefractionation methods for plasma biomarker discovery.</w:t>
      </w:r>
      <w:r>
        <w:rPr>
          <w:i/>
          <w:iCs/>
        </w:rPr>
        <w:t xml:space="preserve"> Journal of Proteome Research, 7</w:t>
      </w:r>
      <w:r>
        <w:t xml:space="preserve">(7), 2712-2722. doi:10.1021/pr700821k [doi] </w:t>
      </w:r>
    </w:p>
    <w:p w14:paraId="6FC44701" w14:textId="77777777" w:rsidR="008056FD" w:rsidRDefault="008056FD" w:rsidP="008056FD">
      <w:pPr>
        <w:pStyle w:val="NormalWeb"/>
        <w:ind w:left="450" w:hanging="450"/>
      </w:pPr>
      <w:r>
        <w:t>Pichler, P., Kocher, T., Holzmann, J., Mazanek, M., Taus, T., Ammerer, G., &amp; Mechtler, K. (2010). Peptide labeling with isobaric tags yields higher identification rates using iTRAQ 4-plex compared to TMT 6-plex and iTRAQ 8-plex on LTQ Orbitrap.</w:t>
      </w:r>
      <w:r>
        <w:rPr>
          <w:i/>
          <w:iCs/>
        </w:rPr>
        <w:t xml:space="preserve"> Analytical Chemistry, 82</w:t>
      </w:r>
      <w:r>
        <w:t xml:space="preserve">(15), 6549-6558. doi:10.1021/ac100890k [doi] </w:t>
      </w:r>
    </w:p>
    <w:p w14:paraId="57E4EB45" w14:textId="77777777" w:rsidR="008056FD" w:rsidRDefault="008056FD" w:rsidP="008056FD">
      <w:pPr>
        <w:pStyle w:val="NormalWeb"/>
        <w:ind w:left="450" w:hanging="450"/>
      </w:pPr>
      <w:r>
        <w:t>Polanski, M., &amp; Anderson, N. L. (2007). A list of candidate cancer biomarkers for targeted proteomics.</w:t>
      </w:r>
      <w:r>
        <w:rPr>
          <w:i/>
          <w:iCs/>
        </w:rPr>
        <w:t xml:space="preserve"> Biomarker Insights, 1</w:t>
      </w:r>
      <w:r>
        <w:t xml:space="preserve">, 1-48. </w:t>
      </w:r>
    </w:p>
    <w:p w14:paraId="0422A44A" w14:textId="77777777" w:rsidR="008056FD" w:rsidRDefault="008056FD" w:rsidP="008056FD">
      <w:pPr>
        <w:pStyle w:val="NormalWeb"/>
        <w:ind w:left="450" w:hanging="450"/>
      </w:pPr>
      <w:r>
        <w:t>Pottiez, G., Wiederin, J., Fox, H. S., &amp; Ciborowski, P. (2012). Comparison of 4-plex to 8-plex iTRAQ quantitative measurements of proteins in human plasma samples.</w:t>
      </w:r>
      <w:r>
        <w:rPr>
          <w:i/>
          <w:iCs/>
        </w:rPr>
        <w:t xml:space="preserve"> Journal of Proteome Research, 11</w:t>
      </w:r>
      <w:r>
        <w:t xml:space="preserve">(7), 3774-3781. doi:10.1021/pr300414z [doi] </w:t>
      </w:r>
    </w:p>
    <w:p w14:paraId="400565C7" w14:textId="77777777" w:rsidR="008056FD" w:rsidRDefault="008056FD" w:rsidP="008056FD">
      <w:pPr>
        <w:pStyle w:val="NormalWeb"/>
        <w:ind w:left="450" w:hanging="450"/>
      </w:pPr>
      <w:r>
        <w:t>Qin, X., Chen, Q., Sun, C., Wang, C., Peng, Q., Xie, L . Li, S. (2013). High-throughput screening of tumor metastatic-related differential glycoprotein in hepatocellular carcinoma by iTRAQ combines lectin-related techniques.</w:t>
      </w:r>
      <w:r>
        <w:rPr>
          <w:i/>
          <w:iCs/>
        </w:rPr>
        <w:t xml:space="preserve"> Medical Oncology (Northwood, London, England), 30</w:t>
      </w:r>
      <w:r>
        <w:t xml:space="preserve">(1), 420-012-0420-8. Epub 2013 Jan 6. doi:10.1007/s12032-012-0420-8 [doi] </w:t>
      </w:r>
    </w:p>
    <w:p w14:paraId="2A1E544B" w14:textId="77777777" w:rsidR="008056FD" w:rsidRDefault="008056FD" w:rsidP="008056FD">
      <w:pPr>
        <w:pStyle w:val="NormalWeb"/>
        <w:ind w:left="450" w:hanging="450"/>
      </w:pPr>
      <w:r>
        <w:t>Rauniyar, N., &amp; Yates, J. R.,3rd. (2014). Isobaric labeling-based relative quantification in shotgun proteomics.</w:t>
      </w:r>
      <w:r>
        <w:rPr>
          <w:i/>
          <w:iCs/>
        </w:rPr>
        <w:t xml:space="preserve"> Journal of Proteome Research, 13</w:t>
      </w:r>
      <w:r>
        <w:t xml:space="preserve">(12), 5293-5309. doi:10.1021/pr500880b [doi] </w:t>
      </w:r>
    </w:p>
    <w:p w14:paraId="68948248" w14:textId="77777777" w:rsidR="008056FD" w:rsidRDefault="008056FD" w:rsidP="008056FD">
      <w:pPr>
        <w:pStyle w:val="NormalWeb"/>
        <w:ind w:left="450" w:hanging="450"/>
      </w:pPr>
      <w:r>
        <w:t>Ray, S., Patel, S. K., Kumar, V., Damahe, J., &amp; Srivastava, S. (2014). Differential expression of serum/plasma proteins in various infectious diseases: specific or nonspecific signatures.</w:t>
      </w:r>
      <w:r>
        <w:rPr>
          <w:i/>
          <w:iCs/>
        </w:rPr>
        <w:t xml:space="preserve"> Proteomics.Clinical Applications, 8</w:t>
      </w:r>
      <w:r>
        <w:t xml:space="preserve">(1-2), 53-72. doi:10.1002/prca.201300074 [doi] </w:t>
      </w:r>
    </w:p>
    <w:p w14:paraId="2456F779" w14:textId="77777777" w:rsidR="008056FD" w:rsidRDefault="008056FD" w:rsidP="008056FD">
      <w:pPr>
        <w:pStyle w:val="NormalWeb"/>
        <w:ind w:left="450" w:hanging="450"/>
      </w:pPr>
      <w:r>
        <w:t>Rehman, I., Evans, C. A., Glen, A., Cross, S. S., Eaton, C. L., Down, J . Hamdy, F. C. (2012). iTRAQ identification of candidate serum biomarkers associated with metastatic progression of human prostate cancer.</w:t>
      </w:r>
      <w:r>
        <w:rPr>
          <w:i/>
          <w:iCs/>
        </w:rPr>
        <w:t xml:space="preserve"> PloS One, 7</w:t>
      </w:r>
      <w:r>
        <w:t xml:space="preserve">(2), e30885. doi:10.1371/journal.pone.0030885 [doi] </w:t>
      </w:r>
    </w:p>
    <w:p w14:paraId="3760A557" w14:textId="77777777" w:rsidR="008056FD" w:rsidRDefault="008056FD" w:rsidP="008056FD">
      <w:pPr>
        <w:pStyle w:val="NormalWeb"/>
        <w:ind w:left="450" w:hanging="450"/>
      </w:pPr>
      <w:r>
        <w:t>Rice, S. J., Liu, X., Miller, B., Joshi, M., Zhu, J., Caruso, C . Belani, C. P. (2015). Proteomic profiling of human plasma identifies apolipoprotein E (APOE) as being associated with smoking and a marker for squamous metaplasia of the lung.</w:t>
      </w:r>
      <w:r>
        <w:rPr>
          <w:i/>
          <w:iCs/>
        </w:rPr>
        <w:t xml:space="preserve"> Proteomics, </w:t>
      </w:r>
      <w:r>
        <w:t xml:space="preserve">doi:10.1002/pmic.201500029 [doi] </w:t>
      </w:r>
    </w:p>
    <w:p w14:paraId="11B3BFEB" w14:textId="77777777" w:rsidR="008056FD" w:rsidRDefault="008056FD" w:rsidP="008056FD">
      <w:pPr>
        <w:pStyle w:val="NormalWeb"/>
        <w:ind w:left="450" w:hanging="450"/>
      </w:pPr>
      <w:r>
        <w:t>Ross, P. L., Huang, Y. N., Marchese, J. N., Williamson, B., Parker, K., Hattan, S . Pappin, D. J. (2004). Multiplexed protein quantitation in Saccharomyces cerevisiae using amine-reactive isobaric tagging reagents.</w:t>
      </w:r>
      <w:r>
        <w:rPr>
          <w:i/>
          <w:iCs/>
        </w:rPr>
        <w:t xml:space="preserve"> Mol.Cell.Proteomics, 3</w:t>
      </w:r>
      <w:r>
        <w:t xml:space="preserve">(12), 1154-1169. doi:10.1074/mcp.M400129-MCP200 [doi]; M400129-MCP200 [pii] </w:t>
      </w:r>
    </w:p>
    <w:p w14:paraId="37D64E86" w14:textId="77777777" w:rsidR="008056FD" w:rsidRDefault="008056FD" w:rsidP="008056FD">
      <w:pPr>
        <w:pStyle w:val="NormalWeb"/>
        <w:ind w:left="450" w:hanging="450"/>
      </w:pPr>
      <w:r>
        <w:t>Russell, M. R., Walker, M. J., Williamson, A. J., Gentry-Maharaj, A., Ryan, A., Kalsi, J . Graham, R. L. (2016). Protein Z: A putative novel biomarker for early detection of ovarian cancer.</w:t>
      </w:r>
      <w:r>
        <w:rPr>
          <w:i/>
          <w:iCs/>
        </w:rPr>
        <w:t xml:space="preserve"> International Journal of Cancer.Journal International Du Cancer, </w:t>
      </w:r>
      <w:r>
        <w:t xml:space="preserve">doi:10.1002/ijc.30020 [doi] </w:t>
      </w:r>
    </w:p>
    <w:p w14:paraId="338F2E57" w14:textId="77777777" w:rsidR="008056FD" w:rsidRDefault="008056FD" w:rsidP="008056FD">
      <w:pPr>
        <w:pStyle w:val="NormalWeb"/>
        <w:ind w:left="450" w:hanging="450"/>
      </w:pPr>
      <w:r>
        <w:t>Saminathan, R., Bai, J., Sadrolodabaee, L., Karthik, G. M., Singh, O., Subramaniyan, K . Chowbay, B. (2010). VKORC1 pharmacogenetics and pharmacoproteomics in patients on warfarin anticoagulant therapy: transthyretin precursor as a potential biomarker.</w:t>
      </w:r>
      <w:r>
        <w:rPr>
          <w:i/>
          <w:iCs/>
        </w:rPr>
        <w:t xml:space="preserve"> PloS One, 5</w:t>
      </w:r>
      <w:r>
        <w:t xml:space="preserve">(12), e15064. doi:10.1371/journal.pone.0015064 [doi] </w:t>
      </w:r>
    </w:p>
    <w:p w14:paraId="16F19A46" w14:textId="77777777" w:rsidR="008056FD" w:rsidRDefault="008056FD" w:rsidP="008056FD">
      <w:pPr>
        <w:pStyle w:val="NormalWeb"/>
        <w:ind w:left="450" w:hanging="450"/>
      </w:pPr>
      <w:r>
        <w:t>Satoh, K., Maniwa, T., Oda, T., &amp; Matsumoto, K. (2013). Proteomic profiling for the identification of serum diagnostic biomarkers for abdominal and thoracic aortic aneurysms.</w:t>
      </w:r>
      <w:r>
        <w:rPr>
          <w:i/>
          <w:iCs/>
        </w:rPr>
        <w:t xml:space="preserve"> Proteome Science, 11</w:t>
      </w:r>
      <w:r>
        <w:t xml:space="preserve">(1), 27-5956-11-27. doi:10.1186/1477-5956-11-27 [doi] </w:t>
      </w:r>
    </w:p>
    <w:p w14:paraId="4DB81AAA" w14:textId="77777777" w:rsidR="008056FD" w:rsidRDefault="008056FD" w:rsidP="008056FD">
      <w:pPr>
        <w:pStyle w:val="NormalWeb"/>
        <w:ind w:left="450" w:hanging="450"/>
      </w:pPr>
      <w:r>
        <w:t>Satoh, K., Yamada, K., Maniwa, T., Oda, T., &amp; Matsumoto, K. (2015). Monitoring of Serial Presurgical and Postsurgical Changes in the Serum Proteome in a Series of Patients with Calcific Aortic Stenosis.</w:t>
      </w:r>
      <w:r>
        <w:rPr>
          <w:i/>
          <w:iCs/>
        </w:rPr>
        <w:t xml:space="preserve"> Disease Markers, 2015</w:t>
      </w:r>
      <w:r>
        <w:t xml:space="preserve">, 694120. doi:10.1155/2015/694120 [doi] </w:t>
      </w:r>
    </w:p>
    <w:p w14:paraId="2AE3BE2E" w14:textId="77777777" w:rsidR="008056FD" w:rsidRDefault="008056FD" w:rsidP="008056FD">
      <w:pPr>
        <w:pStyle w:val="NormalWeb"/>
        <w:ind w:left="450" w:hanging="450"/>
      </w:pPr>
      <w:r>
        <w:t>Scholl, P. F., Cole, R. N., Ruczinski, I., Gucek, M., Diez, R., Rennie, A . West, K. P.,Jr. (2012). Maternal serum proteome changes between the first and third trimester of pregnancy in rural southern Nepal.</w:t>
      </w:r>
      <w:r>
        <w:rPr>
          <w:i/>
          <w:iCs/>
        </w:rPr>
        <w:t xml:space="preserve"> Placenta, 33</w:t>
      </w:r>
      <w:r>
        <w:t xml:space="preserve">(5), 424-432. doi:10.1016/j.placenta.2012.02.009 [doi] </w:t>
      </w:r>
    </w:p>
    <w:p w14:paraId="7E03BD0E" w14:textId="77777777" w:rsidR="008056FD" w:rsidRDefault="008056FD" w:rsidP="008056FD">
      <w:pPr>
        <w:pStyle w:val="NormalWeb"/>
        <w:ind w:left="450" w:hanging="450"/>
      </w:pPr>
      <w:r>
        <w:t>Serada, S., Fujimoto, M., Ogata, A., Terabe, F., Hirano, T., Iijima, H . Naka, T. (2010). iTRAQ-based proteomic identification of leucine-rich alpha-2 glycoprotein as a novel inflammatory biomarker in autoimmune diseases.</w:t>
      </w:r>
      <w:r>
        <w:rPr>
          <w:i/>
          <w:iCs/>
        </w:rPr>
        <w:t xml:space="preserve"> Annals of the Rheumatic Diseases, 69</w:t>
      </w:r>
      <w:r>
        <w:t xml:space="preserve">(4), 770-774. doi:10.1136/ard.2009.118919 </w:t>
      </w:r>
    </w:p>
    <w:p w14:paraId="7078B3D3" w14:textId="77777777" w:rsidR="008056FD" w:rsidRDefault="008056FD" w:rsidP="008056FD">
      <w:pPr>
        <w:pStyle w:val="NormalWeb"/>
        <w:ind w:left="450" w:hanging="450"/>
      </w:pPr>
      <w:r>
        <w:t>Serada, S., &amp; Naka, T. (2014). Screening for novel serum biomarker for monitoring disease activity in rheumatoid arthritis using iTRAQ technology-based quantitative proteomic approach.</w:t>
      </w:r>
      <w:r>
        <w:rPr>
          <w:i/>
          <w:iCs/>
        </w:rPr>
        <w:t xml:space="preserve"> Methods in Molecular Biology (Clifton, N.J.), 1142</w:t>
      </w:r>
      <w:r>
        <w:t xml:space="preserve">, 99-110. doi:10.1007/978-1-4939-0404-4_12 [doi] </w:t>
      </w:r>
    </w:p>
    <w:p w14:paraId="61979BAA" w14:textId="77777777" w:rsidR="008056FD" w:rsidRDefault="008056FD" w:rsidP="008056FD">
      <w:pPr>
        <w:pStyle w:val="NormalWeb"/>
        <w:ind w:left="450" w:hanging="450"/>
      </w:pPr>
      <w:r>
        <w:t>Seth, M., Lamont, E. A., Janagama, H. K., Widdel, A., Vulchanova, L., Stabel, J. R . Sreevatsan, S. (2009). Biomarker discovery in subclinical mycobacterial infections of cattle.</w:t>
      </w:r>
      <w:r>
        <w:rPr>
          <w:i/>
          <w:iCs/>
        </w:rPr>
        <w:t xml:space="preserve"> PloS One, 4</w:t>
      </w:r>
      <w:r>
        <w:t xml:space="preserve">(5), e5478. doi:10.1371/journal.pone.0005478 </w:t>
      </w:r>
    </w:p>
    <w:p w14:paraId="103BA5E6" w14:textId="77777777" w:rsidR="008056FD" w:rsidRDefault="008056FD" w:rsidP="008056FD">
      <w:pPr>
        <w:pStyle w:val="NormalWeb"/>
        <w:ind w:left="450" w:hanging="450"/>
      </w:pPr>
      <w:r>
        <w:t>Sharma, R., Gowda, H., Chavan, S., Advani, J., Kelkar, D., Kumar, G. S . Christopher, R. (2015). Proteomic Signature of Endothelial Dysfunction Identified in the Serum of Acute Ischemic Stroke Patients by the iTRAQ-Based LC-MS Approach.</w:t>
      </w:r>
      <w:r>
        <w:rPr>
          <w:i/>
          <w:iCs/>
        </w:rPr>
        <w:t xml:space="preserve"> Journal of Proteome Research, 14</w:t>
      </w:r>
      <w:r>
        <w:t xml:space="preserve">(6), 2466-2479. doi:10.1021/pr501324n [doi] </w:t>
      </w:r>
    </w:p>
    <w:p w14:paraId="5B581390" w14:textId="77777777" w:rsidR="008056FD" w:rsidRDefault="008056FD" w:rsidP="008056FD">
      <w:pPr>
        <w:pStyle w:val="NormalWeb"/>
        <w:ind w:left="450" w:hanging="450"/>
      </w:pPr>
      <w:r>
        <w:t>Shetty, V., Hafner, J., Shah, P., Nickens, Z., &amp; Philip, R. (2012). Investigation of ovarian cancer associated sialylation changes in N-linked glycopeptides by quantitative proteomics.</w:t>
      </w:r>
      <w:r>
        <w:rPr>
          <w:i/>
          <w:iCs/>
        </w:rPr>
        <w:t xml:space="preserve"> Clinical Proteomics, 9</w:t>
      </w:r>
      <w:r>
        <w:t xml:space="preserve">(1), 10-0275-9-10. doi:10.1186/1559-0275-9-10 [doi] </w:t>
      </w:r>
    </w:p>
    <w:p w14:paraId="5CF35F31" w14:textId="77777777" w:rsidR="008056FD" w:rsidRDefault="008056FD" w:rsidP="008056FD">
      <w:pPr>
        <w:pStyle w:val="NormalWeb"/>
        <w:ind w:left="450" w:hanging="450"/>
      </w:pPr>
      <w:r>
        <w:t>Shetty, V., Jain, P., Nickens, Z., Sinnathamby, G., Mehta, A., &amp; Philip, R. (2011). Investigation of plasma biomarkers in HIV-1/HCV mono- and coinfected individuals by multiplex iTRAQ quantitative proteomics.</w:t>
      </w:r>
      <w:r>
        <w:rPr>
          <w:i/>
          <w:iCs/>
        </w:rPr>
        <w:t xml:space="preserve"> Omics : A Journal of Integrative Biology, 15</w:t>
      </w:r>
      <w:r>
        <w:t xml:space="preserve">(10), 705-717. doi:10.1089/omi.2011.0004 [doi] </w:t>
      </w:r>
    </w:p>
    <w:p w14:paraId="7F97B982" w14:textId="77777777" w:rsidR="008056FD" w:rsidRDefault="008056FD" w:rsidP="008056FD">
      <w:pPr>
        <w:pStyle w:val="NormalWeb"/>
        <w:ind w:left="450" w:hanging="450"/>
      </w:pPr>
      <w:r>
        <w:t>Shi, T., Zhou, J., Gritsenko, M. A., Hossain, M., Camp, D. G., Smith, R. D., &amp; Qian, W. (2011). IgY14 and SuperMix immunoaffinity separations coupled with liquid chromatography-mass spectrometry for human plasma proteomics biomarker discovery.</w:t>
      </w:r>
      <w:r>
        <w:rPr>
          <w:i/>
          <w:iCs/>
        </w:rPr>
        <w:t xml:space="preserve"> Methods (San Diego, Calif.), 56</w:t>
      </w:r>
      <w:r>
        <w:t xml:space="preserve">(2), 246-253. doi:10.1016/j.ymeth.2011.09.001 </w:t>
      </w:r>
    </w:p>
    <w:p w14:paraId="7AB4A0D7" w14:textId="77777777" w:rsidR="008056FD" w:rsidRDefault="008056FD" w:rsidP="008056FD">
      <w:pPr>
        <w:pStyle w:val="NormalWeb"/>
        <w:ind w:left="450" w:hanging="450"/>
      </w:pPr>
      <w:r>
        <w:t>Sinclair, J., &amp; Timms, J. F. (2011). Quantitative profiling of serum samples using TMT protein labelling, fractionation and LC-MS/MS.</w:t>
      </w:r>
      <w:r>
        <w:rPr>
          <w:i/>
          <w:iCs/>
        </w:rPr>
        <w:t xml:space="preserve"> Methods (San Diego, Calif.), 54</w:t>
      </w:r>
      <w:r>
        <w:t xml:space="preserve">(4), 361-369. doi:10.1016/j.ymeth.2011.03.004 [doi] </w:t>
      </w:r>
    </w:p>
    <w:p w14:paraId="7E8B589B" w14:textId="77777777" w:rsidR="008056FD" w:rsidRDefault="008056FD" w:rsidP="008056FD">
      <w:pPr>
        <w:pStyle w:val="NormalWeb"/>
        <w:ind w:left="450" w:hanging="450"/>
      </w:pPr>
      <w:r>
        <w:t>Singh, A., Cohen Freue, G. V., Oosthuizen, J. L., Kam, S. H., Ruan, J., Takhar, M. K . Tebbutt, S. J. (2012). Plasma proteomics can discriminate isolated early from dual responses in asthmatic individuals undergoing an allergen inhalation challenge.</w:t>
      </w:r>
      <w:r>
        <w:rPr>
          <w:i/>
          <w:iCs/>
        </w:rPr>
        <w:t xml:space="preserve"> Proteomics.Clinical Applications, 6</w:t>
      </w:r>
      <w:r>
        <w:t xml:space="preserve">(9-10), 476-485. doi:10.1002/prca.201200013 [doi] </w:t>
      </w:r>
    </w:p>
    <w:p w14:paraId="42D31FEE" w14:textId="77777777" w:rsidR="008056FD" w:rsidRDefault="008056FD" w:rsidP="008056FD">
      <w:pPr>
        <w:pStyle w:val="NormalWeb"/>
        <w:ind w:left="450" w:hanging="450"/>
      </w:pPr>
      <w:r>
        <w:t>Sleddering, M. A., Markvoort, A. J., Dharuri, H. K., Jeyakar, S., Snel, M., Juhasz, P . Van Dijk, K. W. (2014). Proteomic analysis in type 2 diabetes patients before and after a very low calorie diet reveals potential disease state and intervention specific biomarkers.</w:t>
      </w:r>
      <w:r>
        <w:rPr>
          <w:i/>
          <w:iCs/>
        </w:rPr>
        <w:t xml:space="preserve"> PloS One, 9</w:t>
      </w:r>
      <w:r>
        <w:t xml:space="preserve">(11), e112835. doi:10.1371/journal.pone.0112835 [doi] </w:t>
      </w:r>
    </w:p>
    <w:p w14:paraId="387CBD69" w14:textId="77777777" w:rsidR="008056FD" w:rsidRDefault="008056FD" w:rsidP="008056FD">
      <w:pPr>
        <w:pStyle w:val="NormalWeb"/>
        <w:ind w:left="450" w:hanging="450"/>
      </w:pPr>
      <w:r>
        <w:t>Smith, L. M., Kelleher, N. L., &amp; Consortium for Top Down Proteomics. (2013). Proteoform: a single term describing protein complexity.</w:t>
      </w:r>
      <w:r>
        <w:rPr>
          <w:i/>
          <w:iCs/>
        </w:rPr>
        <w:t xml:space="preserve"> Nature Methods, 10</w:t>
      </w:r>
      <w:r>
        <w:t xml:space="preserve">(3), 186-187. doi:10.1038/nmeth.2369 [doi] </w:t>
      </w:r>
    </w:p>
    <w:p w14:paraId="247B37B8" w14:textId="77777777" w:rsidR="008056FD" w:rsidRDefault="008056FD" w:rsidP="008056FD">
      <w:pPr>
        <w:pStyle w:val="NormalWeb"/>
        <w:ind w:left="450" w:hanging="450"/>
      </w:pPr>
      <w:r>
        <w:t>Song, B., Liu, Y., Parman, T., Liu, S., Miller, J. K., Liu, X . Mirsalis, J. (2014). Quantitative proteomics for cardiac biomarker discovery using isoproterenol-treated nonhuman primates.</w:t>
      </w:r>
      <w:r>
        <w:rPr>
          <w:i/>
          <w:iCs/>
        </w:rPr>
        <w:t xml:space="preserve"> Journal of Proteome Research, 13</w:t>
      </w:r>
      <w:r>
        <w:t xml:space="preserve">(12), 5909-5917. doi:10.1021/pr500835w [doi] </w:t>
      </w:r>
    </w:p>
    <w:p w14:paraId="261547C4" w14:textId="77777777" w:rsidR="008056FD" w:rsidRDefault="008056FD" w:rsidP="008056FD">
      <w:pPr>
        <w:pStyle w:val="NormalWeb"/>
        <w:ind w:left="450" w:hanging="450"/>
      </w:pPr>
      <w:r>
        <w:t>Song, F., Poljak, A., Kochan, N. A., Raftery, M., Brodaty, H., Smythe, G. A., &amp; Sachdev, P. S. (2014). Plasma protein profiling of Mild Cognitive Impairment and Alzheimer's disease using iTRAQ quantitative proteomics.</w:t>
      </w:r>
      <w:r>
        <w:rPr>
          <w:i/>
          <w:iCs/>
        </w:rPr>
        <w:t xml:space="preserve"> Proteome Science, 12</w:t>
      </w:r>
      <w:r>
        <w:t xml:space="preserve">(1), 5-5956-12-5. doi:10.1186/1477-5956-12-5 [doi] </w:t>
      </w:r>
    </w:p>
    <w:p w14:paraId="196EED57" w14:textId="77777777" w:rsidR="008056FD" w:rsidRDefault="008056FD" w:rsidP="008056FD">
      <w:pPr>
        <w:pStyle w:val="NormalWeb"/>
        <w:ind w:left="450" w:hanging="450"/>
      </w:pPr>
      <w:r>
        <w:t>Song, X., Bandow, J., Sherman, J., Baker, J. D., Brown, P. W., McDowell, M. T., &amp; Molloy, M. P. (2008). iTRAQ experimental design for plasma biomarker discovery.</w:t>
      </w:r>
      <w:r>
        <w:rPr>
          <w:i/>
          <w:iCs/>
        </w:rPr>
        <w:t xml:space="preserve"> Journal of Proteome Research, 7</w:t>
      </w:r>
      <w:r>
        <w:t xml:space="preserve">(7), 2952-2958. doi:10.1021/pr800072x </w:t>
      </w:r>
    </w:p>
    <w:p w14:paraId="4F93F2DA" w14:textId="77777777" w:rsidR="008056FD" w:rsidRDefault="008056FD" w:rsidP="008056FD">
      <w:pPr>
        <w:pStyle w:val="NormalWeb"/>
        <w:ind w:left="450" w:hanging="450"/>
      </w:pPr>
      <w:r>
        <w:t>Subbannayya, Y., Mir, S. A., Renuse, S., Manda, S. S., Pinto, S. M., Puttamallesh, V. N . Gowda, H. (2015). Identification of differentially expressed serum proteins in gastric adenocarcinoma.</w:t>
      </w:r>
      <w:r>
        <w:rPr>
          <w:i/>
          <w:iCs/>
        </w:rPr>
        <w:t xml:space="preserve"> Journal of Proteomics, </w:t>
      </w:r>
      <w:r>
        <w:t xml:space="preserve">doi:S1874-3919(15)00202-X [pii] </w:t>
      </w:r>
    </w:p>
    <w:p w14:paraId="79D883A3" w14:textId="77777777" w:rsidR="008056FD" w:rsidRDefault="008056FD" w:rsidP="008056FD">
      <w:pPr>
        <w:pStyle w:val="NormalWeb"/>
        <w:ind w:left="450" w:hanging="450"/>
      </w:pPr>
      <w:r>
        <w:t>Sui, W., Zhang, R., Chen, J., He, H., Cui, Z., Ou, M . Dai, Y. (2015). Quantitative proteomic analysis of Down syndrome in the umbilical cord blood using iTRAQ.</w:t>
      </w:r>
      <w:r>
        <w:rPr>
          <w:i/>
          <w:iCs/>
        </w:rPr>
        <w:t xml:space="preserve"> Molecular Medicine Reports, 11</w:t>
      </w:r>
      <w:r>
        <w:t xml:space="preserve">(2), 1391-1399. doi:10.3892/mmr.2014.2828 [doi] </w:t>
      </w:r>
    </w:p>
    <w:p w14:paraId="023EFA62" w14:textId="77777777" w:rsidR="008056FD" w:rsidRDefault="008056FD" w:rsidP="008056FD">
      <w:pPr>
        <w:pStyle w:val="NormalWeb"/>
        <w:ind w:left="450" w:hanging="450"/>
      </w:pPr>
      <w:r>
        <w:t>Takahashi, E., Okumura, A., Unoki-Kubota, H., Hirano, H., Kasuga, M., &amp; Kaburagi, Y. (2013). Differential proteome analysis of serum proteins associated with the development of type 2 diabetes mellitus in the KK-A(y) mouse model using the iTRAQ technique.</w:t>
      </w:r>
      <w:r>
        <w:rPr>
          <w:i/>
          <w:iCs/>
        </w:rPr>
        <w:t xml:space="preserve"> Journal of Proteomics, 84</w:t>
      </w:r>
      <w:r>
        <w:t xml:space="preserve">, 40-51. doi:10.1016/j.jprot.2013.03.014 [doi] </w:t>
      </w:r>
    </w:p>
    <w:p w14:paraId="45181FF3" w14:textId="77777777" w:rsidR="008056FD" w:rsidRDefault="008056FD" w:rsidP="008056FD">
      <w:pPr>
        <w:pStyle w:val="NormalWeb"/>
        <w:ind w:left="450" w:hanging="450"/>
      </w:pPr>
      <w:r>
        <w:t>Tan, H. T., Ling, L. H., Dolor-Torres, M. C., Yip, J. W., Richards, A. M., &amp; Chung, M. C. (2013). Proteomics discovery of biomarkers for mitral regurgitation caused by mitral valve prolapse.</w:t>
      </w:r>
      <w:r>
        <w:rPr>
          <w:i/>
          <w:iCs/>
        </w:rPr>
        <w:t xml:space="preserve"> Journal of Proteomics, 94</w:t>
      </w:r>
      <w:r>
        <w:t xml:space="preserve">, 337-345. doi:10.1016/j.jprot.2013.10.009 [doi] </w:t>
      </w:r>
    </w:p>
    <w:p w14:paraId="498E7669" w14:textId="77777777" w:rsidR="008056FD" w:rsidRDefault="008056FD" w:rsidP="008056FD">
      <w:pPr>
        <w:pStyle w:val="NormalWeb"/>
        <w:ind w:left="450" w:hanging="450"/>
      </w:pPr>
      <w:r>
        <w:t>Tan, Z., Yin, H., Nie, S., Lin, Z., Zhu, J., Ruffin, M. T . Lubman, D. M. (2015). Large-scale identification of core-fucosylated glycopeptide sites in pancreatic cancer serum using mass spectrometry.</w:t>
      </w:r>
      <w:r>
        <w:rPr>
          <w:i/>
          <w:iCs/>
        </w:rPr>
        <w:t xml:space="preserve"> Journal of Proteome Research, 14</w:t>
      </w:r>
      <w:r>
        <w:t xml:space="preserve">(4), 1968-1978. doi:10.1021/acs.jproteome.5b00068 [doi] </w:t>
      </w:r>
    </w:p>
    <w:p w14:paraId="79616F69" w14:textId="77777777" w:rsidR="008056FD" w:rsidRDefault="008056FD" w:rsidP="008056FD">
      <w:pPr>
        <w:pStyle w:val="NormalWeb"/>
        <w:ind w:left="450" w:hanging="450"/>
      </w:pPr>
      <w:r>
        <w:t>Thingholm, T. E., Palmisano, G., Kjeldsen, F., &amp; Larsen, M. R. (2010). Undesirable charge-enhancement of isobaric tagged phosphopeptides leads to reduced identification efficiency.</w:t>
      </w:r>
      <w:r>
        <w:rPr>
          <w:i/>
          <w:iCs/>
        </w:rPr>
        <w:t xml:space="preserve"> Journal of Proteome Research, 9</w:t>
      </w:r>
      <w:r>
        <w:t xml:space="preserve">(8), 4045-4052. doi:10.1021/pr100230q [doi] </w:t>
      </w:r>
    </w:p>
    <w:p w14:paraId="29FC041C" w14:textId="77777777" w:rsidR="008056FD" w:rsidRDefault="008056FD" w:rsidP="008056FD">
      <w:pPr>
        <w:pStyle w:val="NormalWeb"/>
        <w:ind w:left="450" w:hanging="450"/>
      </w:pPr>
      <w:r>
        <w:t>Thompson, A., Schafer, J., Kuhn, K., Kienle, S., Schwarz, J., Schmidt, G . Hamon, C. (2003). Tandem Mass Tags: A Novel Quantification Strategy for Comparative Analysis of Complex Protein Mixtures by MS/MS.</w:t>
      </w:r>
      <w:r>
        <w:rPr>
          <w:i/>
          <w:iCs/>
        </w:rPr>
        <w:t xml:space="preserve"> Analytical Chemistry, 75</w:t>
      </w:r>
      <w:r>
        <w:t xml:space="preserve">(8), 1895-1904. doi:10.1021/ac0262560 [doi] </w:t>
      </w:r>
    </w:p>
    <w:p w14:paraId="44366E7A" w14:textId="77777777" w:rsidR="008056FD" w:rsidRDefault="008056FD" w:rsidP="008056FD">
      <w:pPr>
        <w:pStyle w:val="NormalWeb"/>
        <w:ind w:left="450" w:hanging="450"/>
      </w:pPr>
      <w:r>
        <w:t>Ting, L., Rad, R., Gygi, S. P., &amp; Haas, W. (2011). MS3 eliminates ratio distortion in isobaric multiplexed quantitative proteomics.</w:t>
      </w:r>
      <w:r>
        <w:rPr>
          <w:i/>
          <w:iCs/>
        </w:rPr>
        <w:t xml:space="preserve"> Nature Methods, 8</w:t>
      </w:r>
      <w:r>
        <w:t xml:space="preserve">(11), 937-940. doi:10.1038/nmeth.1714 [doi] </w:t>
      </w:r>
    </w:p>
    <w:p w14:paraId="77392305" w14:textId="77777777" w:rsidR="008056FD" w:rsidRDefault="008056FD" w:rsidP="008056FD">
      <w:pPr>
        <w:pStyle w:val="NormalWeb"/>
        <w:ind w:left="450" w:hanging="450"/>
      </w:pPr>
      <w:r>
        <w:t>Tonack, S., Aspinall-O'Dea, M., Jenkins, R. E., Elliot, V., Murray, S., Lane, C. S . Costello, E. (2009). A technically detailed and pragmatic protocol for quantitative serum proteomics using iTRAQ.</w:t>
      </w:r>
      <w:r>
        <w:rPr>
          <w:i/>
          <w:iCs/>
        </w:rPr>
        <w:t xml:space="preserve"> Journal of Proteomics, 73</w:t>
      </w:r>
      <w:r>
        <w:t xml:space="preserve">(2), 352-356. doi:10.1016/j.jprot.2009.07.009 </w:t>
      </w:r>
    </w:p>
    <w:p w14:paraId="66017BD0" w14:textId="77777777" w:rsidR="008056FD" w:rsidRDefault="008056FD" w:rsidP="008056FD">
      <w:pPr>
        <w:pStyle w:val="NormalWeb"/>
        <w:ind w:left="450" w:hanging="450"/>
      </w:pPr>
      <w:r>
        <w:t>Tonack, S., Jenkinson, C., Cox, T., Elliott, V., Jenkins, R. E., Kitteringham, N. R . Costello, E. (2013). iTRAQ reveals candidate pancreatic cancer serum biomarkers: influence of obstructive jaundice on their performance.</w:t>
      </w:r>
      <w:r>
        <w:rPr>
          <w:i/>
          <w:iCs/>
        </w:rPr>
        <w:t xml:space="preserve"> British Journal of Cancer, 108</w:t>
      </w:r>
      <w:r>
        <w:t xml:space="preserve">(9), 1846-1853. doi:10.1038/bjc.2013.150 [doi] </w:t>
      </w:r>
    </w:p>
    <w:p w14:paraId="61F7C449" w14:textId="77777777" w:rsidR="008056FD" w:rsidRDefault="008056FD" w:rsidP="008056FD">
      <w:pPr>
        <w:pStyle w:val="NormalWeb"/>
        <w:ind w:left="450" w:hanging="450"/>
      </w:pPr>
      <w:r>
        <w:t>Tonack, S., Neoptolemos, J. P., &amp; Costello, E. (2010). Analysis of serum proteins by LC-MS/MS.</w:t>
      </w:r>
      <w:r>
        <w:rPr>
          <w:i/>
          <w:iCs/>
        </w:rPr>
        <w:t xml:space="preserve"> Methods in Molecular Biology (Clifton, N.J.), 658</w:t>
      </w:r>
      <w:r>
        <w:t xml:space="preserve">, 281-291. doi:10.1007/978-1-60761-780-8_17 [doi] </w:t>
      </w:r>
    </w:p>
    <w:p w14:paraId="793209AB" w14:textId="77777777" w:rsidR="008056FD" w:rsidRDefault="008056FD" w:rsidP="008056FD">
      <w:pPr>
        <w:pStyle w:val="NormalWeb"/>
        <w:ind w:left="450" w:hanging="450"/>
      </w:pPr>
      <w:r>
        <w:t>Tremlett, H., Dai, D. L., Hollander, Z., Kapanen, A., Aziz, T., Wilson-McManus, J. E . Cohen Freue, G. V. (2015). Serum proteomics in multiple sclerosis disease progression.</w:t>
      </w:r>
      <w:r>
        <w:rPr>
          <w:i/>
          <w:iCs/>
        </w:rPr>
        <w:t xml:space="preserve"> Journal of Proteomics, 118</w:t>
      </w:r>
      <w:r>
        <w:t xml:space="preserve">, 2-11. doi:10.1016/j.jprot.2015.02.018 [doi] </w:t>
      </w:r>
    </w:p>
    <w:p w14:paraId="0FA9ED92" w14:textId="77777777" w:rsidR="008056FD" w:rsidRDefault="008056FD" w:rsidP="008056FD">
      <w:pPr>
        <w:pStyle w:val="NormalWeb"/>
        <w:ind w:left="450" w:hanging="450"/>
      </w:pPr>
      <w:r>
        <w:t>Tu, C., Rudnick, P. A., Martinez, M. Y., Cheek, K. L., Stein, S. E., Slebos, R. J., &amp; Liebler, D. C. (2010). Depletion of abundant plasma proteins and limitations of plasma proteomics.</w:t>
      </w:r>
      <w:r>
        <w:rPr>
          <w:i/>
          <w:iCs/>
        </w:rPr>
        <w:t xml:space="preserve"> Journal of Proteome Research, 9</w:t>
      </w:r>
      <w:r>
        <w:t xml:space="preserve">(10), 4982-4991. doi:10.1021/pr100646w [doi] </w:t>
      </w:r>
    </w:p>
    <w:p w14:paraId="050BA4AD" w14:textId="77777777" w:rsidR="008056FD" w:rsidRDefault="008056FD" w:rsidP="008056FD">
      <w:pPr>
        <w:pStyle w:val="NormalWeb"/>
        <w:ind w:left="450" w:hanging="450"/>
      </w:pPr>
      <w:r>
        <w:t>Ueda, K., Takami, S., Saichi, N., Daigo, Y., Ishikawa, N., Kohno, N . Nakagawa, H. (2010). Development of serum glycoproteomic profiling technique; simultaneous identification of glycosylation sites and site-specific quantification of glycan structure changes.</w:t>
      </w:r>
      <w:r>
        <w:rPr>
          <w:i/>
          <w:iCs/>
        </w:rPr>
        <w:t xml:space="preserve"> Molecular &amp; Cellular Proteomics : MCP, 9</w:t>
      </w:r>
      <w:r>
        <w:t xml:space="preserve">(9), 1819-1828. doi:10.1074/mcp.2010/000893 [doi] </w:t>
      </w:r>
    </w:p>
    <w:p w14:paraId="2AB941E3" w14:textId="77777777" w:rsidR="008056FD" w:rsidRDefault="008056FD" w:rsidP="008056FD">
      <w:pPr>
        <w:pStyle w:val="NormalWeb"/>
        <w:ind w:left="450" w:hanging="450"/>
      </w:pPr>
      <w:r>
        <w:t>Upur, H., Chen, Y., Kamilijiang, M., Deng, W., Sulaiman, X., Aizezi, R . Abudula, A. (2015). Identification of plasma protein markers common to patients with malignant tumour and Abnormal Savda in Uighur medicine: a prospective clinical study.</w:t>
      </w:r>
      <w:r>
        <w:rPr>
          <w:i/>
          <w:iCs/>
        </w:rPr>
        <w:t xml:space="preserve"> BMC Complementary and Alternative Medicine, 15</w:t>
      </w:r>
      <w:r>
        <w:t xml:space="preserve">, 9-015-0526-6. doi:10.1186/s12906-015-0526-6 [doi] </w:t>
      </w:r>
    </w:p>
    <w:p w14:paraId="20216E6B" w14:textId="77777777" w:rsidR="008056FD" w:rsidRDefault="008056FD" w:rsidP="008056FD">
      <w:pPr>
        <w:pStyle w:val="NormalWeb"/>
        <w:ind w:left="450" w:hanging="450"/>
      </w:pPr>
      <w:r>
        <w:t>van der Greef, J., Martin, S., Juhasz, P., Adourian, A., Plasterer, T., Verheij, E. R., &amp; McBurney, R. N. (2007). The art and practice of systems biology in medicine: mapping patterns of relationships.</w:t>
      </w:r>
      <w:r>
        <w:rPr>
          <w:i/>
          <w:iCs/>
        </w:rPr>
        <w:t xml:space="preserve"> Journal of Proteome Research, 6</w:t>
      </w:r>
      <w:r>
        <w:t xml:space="preserve">(4), 1540-1559. doi:10.1021/pr0606530 </w:t>
      </w:r>
    </w:p>
    <w:p w14:paraId="3D95C741" w14:textId="77777777" w:rsidR="008056FD" w:rsidRDefault="008056FD" w:rsidP="008056FD">
      <w:pPr>
        <w:pStyle w:val="NormalWeb"/>
        <w:ind w:left="450" w:hanging="450"/>
      </w:pPr>
      <w:r>
        <w:t>Walker, M. J., Zhou, C., Backen, A., Pernemalm, M., Williamson, A. J., Priest, L. J . Whetton, A. D. (2015). Discovery and Validation of Predictive Biomarkers of Survival for Non-small Cell Lung Cancer Patients Undergoing Radical Radiotherapy: Two Proteins With Predictive Value.</w:t>
      </w:r>
      <w:r>
        <w:rPr>
          <w:i/>
          <w:iCs/>
        </w:rPr>
        <w:t xml:space="preserve"> EBioMedicine, 2</w:t>
      </w:r>
      <w:r>
        <w:t xml:space="preserve">(8), 839-848. doi:10.1016/j.ebiom.2015.06.013 [doi] </w:t>
      </w:r>
    </w:p>
    <w:p w14:paraId="3609CDEC" w14:textId="77777777" w:rsidR="008056FD" w:rsidRDefault="008056FD" w:rsidP="008056FD">
      <w:pPr>
        <w:pStyle w:val="NormalWeb"/>
        <w:ind w:left="450" w:hanging="450"/>
      </w:pPr>
      <w:r>
        <w:t>Wang, C., Guo, K., Gao, D., Kang, X., Jiang, K., Li, Y . Liu, Y. (2011). Identification of transaldolase as a novel serum biomarker for hepatocellular carcinoma metastasis using xenografted mouse model and clinic samples.</w:t>
      </w:r>
      <w:r>
        <w:rPr>
          <w:i/>
          <w:iCs/>
        </w:rPr>
        <w:t xml:space="preserve"> Cancer Letters, 313</w:t>
      </w:r>
      <w:r>
        <w:t xml:space="preserve">(2), 154-166. doi:10.1016/j.canlet.2011.08.031 [doi] </w:t>
      </w:r>
    </w:p>
    <w:p w14:paraId="312DB140" w14:textId="77777777" w:rsidR="008056FD" w:rsidRDefault="008056FD" w:rsidP="008056FD">
      <w:pPr>
        <w:pStyle w:val="NormalWeb"/>
        <w:ind w:left="450" w:hanging="450"/>
      </w:pPr>
      <w:r>
        <w:t>Wang, C., Liu, C. M., Wei, L. L., Shi, L. Y., Pan, Z. F., Mao, L. G . Li, J. C. (2016). A Group of Novel Serum Diagnostic Biomarkers for Multidrug-Resistant Tuberculosis by iTRAQ-2D LC-MS/MS and Solexa Sequencing.</w:t>
      </w:r>
      <w:r>
        <w:rPr>
          <w:i/>
          <w:iCs/>
        </w:rPr>
        <w:t xml:space="preserve"> International Journal of Biological Sciences, 12</w:t>
      </w:r>
      <w:r>
        <w:t xml:space="preserve">(2), 246-256. doi:10.7150/ijbs.13805 [doi] </w:t>
      </w:r>
    </w:p>
    <w:p w14:paraId="40F5A7E9" w14:textId="77777777" w:rsidR="008056FD" w:rsidRDefault="008056FD" w:rsidP="008056FD">
      <w:pPr>
        <w:pStyle w:val="NormalWeb"/>
        <w:ind w:left="450" w:hanging="450"/>
      </w:pPr>
      <w:r>
        <w:t>Wang, C., Wei, L. L., Shi, L. Y., Pan, Z. F., Yu, X. M., Li, T. Y . Li, J. C. (2015). Screening and identification of five serum proteins as novel potential biomarkers for cured pulmonary tuberculosis.</w:t>
      </w:r>
      <w:r>
        <w:rPr>
          <w:i/>
          <w:iCs/>
        </w:rPr>
        <w:t xml:space="preserve"> Scientific Reports, 5</w:t>
      </w:r>
      <w:r>
        <w:t xml:space="preserve">, 15615. doi:10.1038/srep15615 [doi] </w:t>
      </w:r>
    </w:p>
    <w:p w14:paraId="2B37704F" w14:textId="77777777" w:rsidR="008056FD" w:rsidRDefault="008056FD" w:rsidP="008056FD">
      <w:pPr>
        <w:pStyle w:val="NormalWeb"/>
        <w:ind w:left="450" w:hanging="450"/>
      </w:pPr>
      <w:r>
        <w:t>Wang, Y. S., Cao, R., Jin, H., Huang, Y. P., Zhang, X. Y., Cong, Q . Xu, C. J. (2011). Altered protein expression in serum from endometrial hyperplasia and carcinoma patients.</w:t>
      </w:r>
      <w:r>
        <w:rPr>
          <w:i/>
          <w:iCs/>
        </w:rPr>
        <w:t xml:space="preserve"> Journal of Hematology &amp; Oncology, 4</w:t>
      </w:r>
      <w:r>
        <w:t xml:space="preserve">, 15-8722-4-15. doi:10.1186/1756-8722-4-15 [doi] </w:t>
      </w:r>
    </w:p>
    <w:p w14:paraId="08DC584D" w14:textId="77777777" w:rsidR="008056FD" w:rsidRDefault="008056FD" w:rsidP="008056FD">
      <w:pPr>
        <w:pStyle w:val="NormalWeb"/>
        <w:ind w:left="450" w:hanging="450"/>
      </w:pPr>
      <w:r>
        <w:t>Wenger, C. D., Lee, M. V., Hebert, A. S., McAlister, G. C., Phanstiel, D. H., Westphall, M. S., &amp; Coon, J. J. (2011). Gas-phase purification enables accurate, multiplexed proteome quantification with isobaric tagging.</w:t>
      </w:r>
      <w:r>
        <w:rPr>
          <w:i/>
          <w:iCs/>
        </w:rPr>
        <w:t xml:space="preserve"> Nature Methods, 8</w:t>
      </w:r>
      <w:r>
        <w:t xml:space="preserve">(11), 933-935. doi:10.1038/nmeth.1716 [doi] </w:t>
      </w:r>
    </w:p>
    <w:p w14:paraId="08342E09" w14:textId="77777777" w:rsidR="008056FD" w:rsidRDefault="008056FD" w:rsidP="008056FD">
      <w:pPr>
        <w:pStyle w:val="NormalWeb"/>
        <w:ind w:left="450" w:hanging="450"/>
      </w:pPr>
      <w:r>
        <w:t>Westbrook, J. A., Noirel, J., Brown, J. E., Wright, P. C., &amp; Evans, C. A. (2015). Quantitation with chemical tagging reagents in biomarker studies.</w:t>
      </w:r>
      <w:r>
        <w:rPr>
          <w:i/>
          <w:iCs/>
        </w:rPr>
        <w:t xml:space="preserve"> Proteomics.Clinical Applications, 9</w:t>
      </w:r>
      <w:r>
        <w:t xml:space="preserve">(3-4), 295-300. doi:10.1002/prca.201400120 [doi] </w:t>
      </w:r>
    </w:p>
    <w:p w14:paraId="54D6BB40" w14:textId="77777777" w:rsidR="008056FD" w:rsidRDefault="008056FD" w:rsidP="008056FD">
      <w:pPr>
        <w:pStyle w:val="NormalWeb"/>
        <w:ind w:left="450" w:hanging="450"/>
      </w:pPr>
      <w:r>
        <w:t>Wiederin, J. L., Donahoe, R. M., Anderson, J. R., Yu, F., Fox, H. S., Gendelman, H. E., &amp; Ciborowski, P. S. (2010). Plasma proteomic analysis of simian immunodeficiency virus infection of rhesus macaques.</w:t>
      </w:r>
      <w:r>
        <w:rPr>
          <w:i/>
          <w:iCs/>
        </w:rPr>
        <w:t xml:space="preserve"> Journal of Proteome Research, 9</w:t>
      </w:r>
      <w:r>
        <w:t xml:space="preserve">(9), 4721-4731. doi:10.1021/pr1004345 </w:t>
      </w:r>
    </w:p>
    <w:p w14:paraId="4CDA77FE" w14:textId="77777777" w:rsidR="008056FD" w:rsidRDefault="008056FD" w:rsidP="008056FD">
      <w:pPr>
        <w:pStyle w:val="NormalWeb"/>
        <w:ind w:left="450" w:hanging="450"/>
      </w:pPr>
      <w:r>
        <w:t>Wiederin, J. L., Yu, F., Donahoe, R. M., Fox, H. S., Ciborowski, P., &amp; Gendelman, H. E. (2012). Changes in the plasma proteome follows chronic opiate administration in simian immunodeficiency virus infected rhesus macaques.</w:t>
      </w:r>
      <w:r>
        <w:rPr>
          <w:i/>
          <w:iCs/>
        </w:rPr>
        <w:t xml:space="preserve"> Drug and Alcohol Dependence, 120</w:t>
      </w:r>
      <w:r>
        <w:t xml:space="preserve">(1-3), 105-112. doi:10.1016/j.drugalcdep.2011.07.009 [doi] </w:t>
      </w:r>
    </w:p>
    <w:p w14:paraId="743A1AC5" w14:textId="77777777" w:rsidR="008056FD" w:rsidRDefault="008056FD" w:rsidP="008056FD">
      <w:pPr>
        <w:pStyle w:val="NormalWeb"/>
        <w:ind w:left="450" w:hanging="450"/>
      </w:pPr>
      <w:r>
        <w:t>Wiese, S., Reidegeld, K. A., Meyer, H. E., &amp; Warscheid, B. (2007). Protein labeling by iTRAQ: A new tool for quantitative mass spectrometry in proteome research.</w:t>
      </w:r>
      <w:r>
        <w:rPr>
          <w:i/>
          <w:iCs/>
        </w:rPr>
        <w:t xml:space="preserve"> Proteomics, 7</w:t>
      </w:r>
      <w:r>
        <w:t xml:space="preserve">, 340-350. </w:t>
      </w:r>
    </w:p>
    <w:p w14:paraId="7421ED0D" w14:textId="77777777" w:rsidR="008056FD" w:rsidRDefault="008056FD" w:rsidP="008056FD">
      <w:pPr>
        <w:pStyle w:val="NormalWeb"/>
        <w:ind w:left="450" w:hanging="450"/>
      </w:pPr>
      <w:r>
        <w:t>Wu, D., Zhu, D., Xu, M., Rong, R., Tang, Q., Wang, X., &amp; Zhu, T. (2011). Analysis of transcriptional factors and regulation networks in patients with acute renal allograft rejection.</w:t>
      </w:r>
      <w:r>
        <w:rPr>
          <w:i/>
          <w:iCs/>
        </w:rPr>
        <w:t xml:space="preserve"> Journal of Proteome Research, 10</w:t>
      </w:r>
      <w:r>
        <w:t xml:space="preserve">(1), 175-181. doi:10.1021/pr100473w </w:t>
      </w:r>
    </w:p>
    <w:p w14:paraId="549004BB" w14:textId="77777777" w:rsidR="008056FD" w:rsidRDefault="008056FD" w:rsidP="008056FD">
      <w:pPr>
        <w:pStyle w:val="NormalWeb"/>
        <w:ind w:left="450" w:hanging="450"/>
      </w:pPr>
      <w:r>
        <w:t>Wu, J., Xie, X., Liu, Y., He, J., Benitez, R., Buckanovich, R. J., &amp; Lubman, D. M. (2012). Identification and confirmation of differentially expressed fucosylated glycoproteins in the serum of ovarian cancer patients using a lectin array and LC-MS/MS.</w:t>
      </w:r>
      <w:r>
        <w:rPr>
          <w:i/>
          <w:iCs/>
        </w:rPr>
        <w:t xml:space="preserve"> Journal of Proteome Research, 11</w:t>
      </w:r>
      <w:r>
        <w:t xml:space="preserve">(9), 4541-4552. doi:10.1021/pr300330z [doi] </w:t>
      </w:r>
    </w:p>
    <w:p w14:paraId="34126143" w14:textId="77777777" w:rsidR="008056FD" w:rsidRDefault="008056FD" w:rsidP="008056FD">
      <w:pPr>
        <w:pStyle w:val="NormalWeb"/>
        <w:ind w:left="450" w:hanging="450"/>
      </w:pPr>
      <w:r>
        <w:t>Wu, W., Wang, Q., Yin, F., Yang, Z., Zhang, W., Gabra, H., &amp; Li, L. (2016). Identification of proteomic and metabolic signatures associated with chemoresistance of human epithelial ovarian cancer.</w:t>
      </w:r>
      <w:r>
        <w:rPr>
          <w:i/>
          <w:iCs/>
        </w:rPr>
        <w:t xml:space="preserve"> International Journal of Oncology, 49</w:t>
      </w:r>
      <w:r>
        <w:t xml:space="preserve">(4), 1651-1665. doi:10.3892/ijo.2016.3652 [doi] </w:t>
      </w:r>
    </w:p>
    <w:p w14:paraId="402A0D53" w14:textId="77777777" w:rsidR="008056FD" w:rsidRDefault="008056FD" w:rsidP="008056FD">
      <w:pPr>
        <w:pStyle w:val="NormalWeb"/>
        <w:ind w:left="450" w:hanging="450"/>
      </w:pPr>
      <w:r>
        <w:t>Xiaoyu, L., Weiyuan, Z., Ping, J., Anxia, W., &amp; Liane, Z. (2013). Comparative serum proteomic analysis of adenomyosis using the isobaric tags for relative and absolute quantitation technique.</w:t>
      </w:r>
      <w:r>
        <w:rPr>
          <w:i/>
          <w:iCs/>
        </w:rPr>
        <w:t xml:space="preserve"> Fertility and Sterility, 100</w:t>
      </w:r>
      <w:r>
        <w:t xml:space="preserve">(2), 505-510. doi:10.1016/j.fertnstert.2013.04.008 [doi] </w:t>
      </w:r>
    </w:p>
    <w:p w14:paraId="284DF5A8" w14:textId="77777777" w:rsidR="008056FD" w:rsidRDefault="008056FD" w:rsidP="008056FD">
      <w:pPr>
        <w:pStyle w:val="NormalWeb"/>
        <w:ind w:left="450" w:hanging="450"/>
      </w:pPr>
      <w:r>
        <w:t>Xiaoyu, L., Weiyuan, Z., Ping, J., Anxia, W., &amp; Liane, Z. (2014). Serum differential proteomic analysis of endometriosis and adenomyosis by iTRAQ technique.</w:t>
      </w:r>
      <w:r>
        <w:rPr>
          <w:i/>
          <w:iCs/>
        </w:rPr>
        <w:t xml:space="preserve"> European Journal of Obstetrics, Gynecology, and Reproductive Biology, 182</w:t>
      </w:r>
      <w:r>
        <w:t xml:space="preserve">, 62-65. doi:10.1016/j.ejogrb.2014.08.034 [doi] </w:t>
      </w:r>
    </w:p>
    <w:p w14:paraId="51D5F2F7" w14:textId="77777777" w:rsidR="008056FD" w:rsidRDefault="008056FD" w:rsidP="008056FD">
      <w:pPr>
        <w:pStyle w:val="NormalWeb"/>
        <w:ind w:left="450" w:hanging="450"/>
      </w:pPr>
      <w:r>
        <w:t>Xu, D., Li, Y., Li, X., Wei, L. L., Pan, Z., Jiang, T. T . Li, J. C. (2015). Serum protein S100A9, SOD3, and MMP9 as new diagnostic biomarkers for pulmonary tuberculosis by iTRAQ-coupled two-dimensional LC-MS/MS.</w:t>
      </w:r>
      <w:r>
        <w:rPr>
          <w:i/>
          <w:iCs/>
        </w:rPr>
        <w:t xml:space="preserve"> Proteomics, 15</w:t>
      </w:r>
      <w:r>
        <w:t xml:space="preserve">(1), 58-67. doi:10.1002/pmic.201400366 [doi] </w:t>
      </w:r>
    </w:p>
    <w:p w14:paraId="17D6CBC5" w14:textId="77777777" w:rsidR="008056FD" w:rsidRDefault="008056FD" w:rsidP="008056FD">
      <w:pPr>
        <w:pStyle w:val="NormalWeb"/>
        <w:ind w:left="450" w:hanging="450"/>
      </w:pPr>
      <w:r>
        <w:t>Xu, D. D., Deng, D. F., Li, X., Wei, L. L., Li, Y. Y., Yang, X. Y . Li, J. C. (2014). Discovery and identification of serum potential biomarkers for pulmonary tuberculosis using iTRAQ-coupled two-dimensional LC-MS/MS.</w:t>
      </w:r>
      <w:r>
        <w:rPr>
          <w:i/>
          <w:iCs/>
        </w:rPr>
        <w:t xml:space="preserve"> Proteomics, 14</w:t>
      </w:r>
      <w:r>
        <w:t xml:space="preserve">(2-3), 322-331. doi:10.1002/pmic.201300383 [doi] </w:t>
      </w:r>
    </w:p>
    <w:p w14:paraId="2653F678" w14:textId="77777777" w:rsidR="008056FD" w:rsidRDefault="008056FD" w:rsidP="008056FD">
      <w:pPr>
        <w:pStyle w:val="NormalWeb"/>
        <w:ind w:left="450" w:hanging="450"/>
      </w:pPr>
      <w:r>
        <w:t>Xu, H. B., Zhang, R. F., Luo, D., Zhou, Y., Wang, Y., Fang, L . Xie, P. (2012). Comparative proteomic analysis of plasma from major depressive patients: identification of proteins associated with lipid metabolism and immunoregulation.</w:t>
      </w:r>
      <w:r>
        <w:rPr>
          <w:i/>
          <w:iCs/>
        </w:rPr>
        <w:t xml:space="preserve"> The International Journal of Neuropsychopharmacology / Official Scientific Journal of the Collegium Internationale Neuropsychopharmacologicum (CINP), 15</w:t>
      </w:r>
      <w:r>
        <w:t xml:space="preserve">(10), 1413-1425. doi:10.1017/S1461145712000302 [doi] </w:t>
      </w:r>
    </w:p>
    <w:p w14:paraId="7E233261" w14:textId="77777777" w:rsidR="008056FD" w:rsidRDefault="008056FD" w:rsidP="008056FD">
      <w:pPr>
        <w:pStyle w:val="NormalWeb"/>
        <w:ind w:left="450" w:hanging="450"/>
      </w:pPr>
      <w:r>
        <w:t>Yan, L. R., Wang, D. X., Liu, H., Zhang, X. X., Zhao, H., Hua, L . Li, Y. S. (2014). A pro-atherogenic HDL profile in coronary heart disease patients: an iTRAQ labelling-based proteomic approach.</w:t>
      </w:r>
      <w:r>
        <w:rPr>
          <w:i/>
          <w:iCs/>
        </w:rPr>
        <w:t xml:space="preserve"> PloS One, 9</w:t>
      </w:r>
      <w:r>
        <w:t xml:space="preserve">(5), e98368. doi:10.1371/journal.pone.0098368 [doi] </w:t>
      </w:r>
    </w:p>
    <w:p w14:paraId="2750BCCF" w14:textId="77777777" w:rsidR="008056FD" w:rsidRDefault="008056FD" w:rsidP="008056FD">
      <w:pPr>
        <w:pStyle w:val="NormalWeb"/>
        <w:ind w:left="450" w:hanging="450"/>
      </w:pPr>
      <w:r>
        <w:t>Yanagida, M., Kawasaki, M., Fujishiro, M., Miura, M., Ikeda, K., Nozawa, K . Sekigawa, I. (2013). Serum proteome analysis in patients with rheumatoid arthritis receiving therapy with tocilizumab: an anti-interleukin-6 receptor antibody.</w:t>
      </w:r>
      <w:r>
        <w:rPr>
          <w:i/>
          <w:iCs/>
        </w:rPr>
        <w:t xml:space="preserve"> BioMed Research International, 2013</w:t>
      </w:r>
      <w:r>
        <w:t xml:space="preserve">, 607137. doi:10.1155/2013/607137 [doi] </w:t>
      </w:r>
    </w:p>
    <w:p w14:paraId="5F68178E" w14:textId="77777777" w:rsidR="008056FD" w:rsidRDefault="008056FD" w:rsidP="008056FD">
      <w:pPr>
        <w:pStyle w:val="NormalWeb"/>
        <w:ind w:left="450" w:hanging="450"/>
      </w:pPr>
      <w:r>
        <w:t>Yang, J., Yang, L., Li, B., Zhou, W., Zhong, S., Zhuang, Z . Feng, Q. (2016). iTRAQ-Based Proteomics Identification of Serum Biomarkers of Two Chronic Hepatitis B Subtypes Diagnosed by Traditional Chinese Medicine.</w:t>
      </w:r>
      <w:r>
        <w:rPr>
          <w:i/>
          <w:iCs/>
        </w:rPr>
        <w:t xml:space="preserve"> BioMed Research International, 2016</w:t>
      </w:r>
      <w:r>
        <w:t xml:space="preserve">, 3290260. doi:10.1155/2016/3290260 [doi] </w:t>
      </w:r>
    </w:p>
    <w:p w14:paraId="375C91EE" w14:textId="77777777" w:rsidR="008056FD" w:rsidRDefault="008056FD" w:rsidP="008056FD">
      <w:pPr>
        <w:pStyle w:val="NormalWeb"/>
        <w:ind w:left="450" w:hanging="450"/>
      </w:pPr>
      <w:r>
        <w:t>Yang, L., Rudser, K. D., Higgins, L., Rosen, H. R., Zaman, A., Corless, C. L . Gourley, G. R. (2011). Novel biomarker candidates to predict hepatic fibrosis in hepatitis C identified by serum proteomics.</w:t>
      </w:r>
      <w:r>
        <w:rPr>
          <w:i/>
          <w:iCs/>
        </w:rPr>
        <w:t xml:space="preserve"> Digestive Diseases and Sciences, 56</w:t>
      </w:r>
      <w:r>
        <w:t xml:space="preserve">(11), 3305-3315. doi:10.1007/s10620-011-1745-4 [doi] </w:t>
      </w:r>
    </w:p>
    <w:p w14:paraId="75572E26" w14:textId="77777777" w:rsidR="008056FD" w:rsidRDefault="008056FD" w:rsidP="008056FD">
      <w:pPr>
        <w:pStyle w:val="NormalWeb"/>
        <w:ind w:left="450" w:hanging="450"/>
      </w:pPr>
      <w:r>
        <w:t>Yang, Y., Huang, J., Rabii, B., Rabii, R., &amp; Hu, S. (2014). Quantitative proteomic analysis of serum proteins from oral cancer patients: comparison of two analytical methods.</w:t>
      </w:r>
      <w:r>
        <w:rPr>
          <w:i/>
          <w:iCs/>
        </w:rPr>
        <w:t xml:space="preserve"> International Journal of Molecular Sciences, 15</w:t>
      </w:r>
      <w:r>
        <w:t xml:space="preserve">(8), 14386-14395. doi:10.3390/ijms150814386 [doi] </w:t>
      </w:r>
    </w:p>
    <w:p w14:paraId="2C926E14" w14:textId="77777777" w:rsidR="008056FD" w:rsidRDefault="008056FD" w:rsidP="008056FD">
      <w:pPr>
        <w:pStyle w:val="NormalWeb"/>
        <w:ind w:left="450" w:hanging="450"/>
      </w:pPr>
      <w:r>
        <w:t>Ye, H., Sun, L., Huang, X., Zhang, P., &amp; Zhao, X. (2010). A proteomic approach for plasma biomarker discovery with 8-plex iTRAQ labeling and SCX-LC-MS/MS.</w:t>
      </w:r>
      <w:r>
        <w:rPr>
          <w:i/>
          <w:iCs/>
        </w:rPr>
        <w:t xml:space="preserve"> Molecular and Cellular Biochemistry, 343</w:t>
      </w:r>
      <w:r>
        <w:t xml:space="preserve">(1-2), 91-99. doi:10.1007/s11010-010-0502-x </w:t>
      </w:r>
    </w:p>
    <w:p w14:paraId="0895BBED" w14:textId="77777777" w:rsidR="008056FD" w:rsidRDefault="008056FD" w:rsidP="008056FD">
      <w:pPr>
        <w:pStyle w:val="NormalWeb"/>
        <w:ind w:left="450" w:hanging="450"/>
      </w:pPr>
      <w:r>
        <w:t>Yin, H., Tan, Z., Wu, J., Zhu, J., Shedden, K. A., Marrero, J., &amp; Lubman, D. M. (2015). Mass-Selected Site-Specific Core-Fucosylation of Serum Proteins in Hepatocellular Carcinoma.</w:t>
      </w:r>
      <w:r>
        <w:rPr>
          <w:i/>
          <w:iCs/>
        </w:rPr>
        <w:t xml:space="preserve"> Journal of Proteome Research, </w:t>
      </w:r>
      <w:r>
        <w:t xml:space="preserve">doi:10.1021/acs.jproteome.5b00718 [doi] </w:t>
      </w:r>
    </w:p>
    <w:p w14:paraId="73573196" w14:textId="77777777" w:rsidR="008056FD" w:rsidRDefault="008056FD" w:rsidP="008056FD">
      <w:pPr>
        <w:pStyle w:val="NormalWeb"/>
        <w:ind w:left="450" w:hanging="450"/>
      </w:pPr>
      <w:r>
        <w:t>Yu, J. L., Song, Q. F., Xie, Z. W., Jiang, W. H., Chen, J. H., Fan, H. F . Lu, G. (2016). An iTRAQ-based quantitative proteomics study of refractory mycoplasma pneumoniae pneumonia patients.</w:t>
      </w:r>
      <w:r>
        <w:rPr>
          <w:i/>
          <w:iCs/>
        </w:rPr>
        <w:t xml:space="preserve"> Japanese Journal of Infectious Diseases, </w:t>
      </w:r>
      <w:r>
        <w:t xml:space="preserve">doi:10.7883/yoken.JJID.2016.355 [doi] </w:t>
      </w:r>
    </w:p>
    <w:p w14:paraId="7316340F" w14:textId="77777777" w:rsidR="008056FD" w:rsidRDefault="008056FD" w:rsidP="008056FD">
      <w:pPr>
        <w:pStyle w:val="NormalWeb"/>
        <w:ind w:left="450" w:hanging="450"/>
      </w:pPr>
      <w:r>
        <w:t>Zhan, Y., Yang, Y. T., You, H. M., Cao, D., Liu, C. Y., Zhou, C. J . Xie, P. (2014). Plasma-based proteomics reveals lipid metabolic and immunoregulatory dysregulation in post-stroke depression.</w:t>
      </w:r>
      <w:r>
        <w:rPr>
          <w:i/>
          <w:iCs/>
        </w:rPr>
        <w:t xml:space="preserve"> European Psychiatry : The Journal of the Association of European Psychiatrists, 29</w:t>
      </w:r>
      <w:r>
        <w:t xml:space="preserve">(5), 307-315. doi:10.1016/j.eurpsy.2014.03.004 [doi] </w:t>
      </w:r>
    </w:p>
    <w:p w14:paraId="35D82B4C" w14:textId="77777777" w:rsidR="008056FD" w:rsidRDefault="008056FD" w:rsidP="008056FD">
      <w:pPr>
        <w:pStyle w:val="NormalWeb"/>
        <w:ind w:left="450" w:hanging="450"/>
      </w:pPr>
      <w:r>
        <w:t>Zhang, F., Lin, H., Gu, A., Li, J., Liu, L., Yu, T . Yao, M. (2014). SWATH- and iTRAQ-based quantitative proteomic analyses reveal an overexpression and biological relevance of CD109 in advanced NSCLC.</w:t>
      </w:r>
      <w:r>
        <w:rPr>
          <w:i/>
          <w:iCs/>
        </w:rPr>
        <w:t xml:space="preserve"> Journal of Proteomics, 102</w:t>
      </w:r>
      <w:r>
        <w:t xml:space="preserve">, 125-136. doi:10.1016/j.jprot.2014.03.007 [doi] </w:t>
      </w:r>
    </w:p>
    <w:p w14:paraId="4101C239" w14:textId="77777777" w:rsidR="008056FD" w:rsidRDefault="008056FD" w:rsidP="008056FD">
      <w:pPr>
        <w:pStyle w:val="NormalWeb"/>
        <w:ind w:left="450" w:hanging="450"/>
      </w:pPr>
      <w:r>
        <w:t>Zhang, L., Jiang, J., Arellano, M., Zhang, L., Yan, X., Wong, D. T., &amp; Hu, S. (2008). Quantification of Serum Proteins of Metastatic Oral Cancer Patients Using LC-MS/MS and iTRAQ Labeling.</w:t>
      </w:r>
      <w:r>
        <w:rPr>
          <w:i/>
          <w:iCs/>
        </w:rPr>
        <w:t xml:space="preserve"> The Open Proteomics Journal, 1</w:t>
      </w:r>
      <w:r>
        <w:t xml:space="preserve">, 72-78. doi:10.2174/1875039700801010072 </w:t>
      </w:r>
    </w:p>
    <w:p w14:paraId="7B84E6B6" w14:textId="77777777" w:rsidR="008056FD" w:rsidRDefault="008056FD" w:rsidP="008056FD">
      <w:pPr>
        <w:pStyle w:val="NormalWeb"/>
        <w:ind w:left="450" w:hanging="450"/>
      </w:pPr>
      <w:r>
        <w:t>Zhang, M., Chen, L., Yuan, Z., Yang, Z., Li, Y., Shan, L . Song, Y. (2016). Combined serum and EPS-urine proteomic analysis using iTRAQ technology for discovery of potential prostate cancer biomarkers.</w:t>
      </w:r>
      <w:r>
        <w:rPr>
          <w:i/>
          <w:iCs/>
        </w:rPr>
        <w:t xml:space="preserve"> Discovery Medicine, 22</w:t>
      </w:r>
      <w:r>
        <w:t xml:space="preserve">(122), 281-295. </w:t>
      </w:r>
    </w:p>
    <w:p w14:paraId="3493C470" w14:textId="77777777" w:rsidR="008056FD" w:rsidRDefault="008056FD" w:rsidP="008056FD">
      <w:pPr>
        <w:pStyle w:val="NormalWeb"/>
        <w:ind w:left="450" w:hanging="450"/>
      </w:pPr>
      <w:r>
        <w:t>Zhang, X., Hou, H. T., Wang, J., Liu, X. C., Yang, Q., &amp; He, G. W. (2016). Plasma Proteomic Study in Pulmonary Arterial Hypertension Associated with Congenital Heart Diseases.</w:t>
      </w:r>
      <w:r>
        <w:rPr>
          <w:i/>
          <w:iCs/>
        </w:rPr>
        <w:t xml:space="preserve"> Scientific Reports, 6</w:t>
      </w:r>
      <w:r>
        <w:t xml:space="preserve">, 36541. doi:10.1038/srep36541 [doi] </w:t>
      </w:r>
    </w:p>
    <w:p w14:paraId="23E3BAF4" w14:textId="77777777" w:rsidR="008056FD" w:rsidRDefault="008056FD" w:rsidP="008056FD">
      <w:pPr>
        <w:pStyle w:val="NormalWeb"/>
        <w:ind w:left="450" w:hanging="450"/>
      </w:pPr>
      <w:r>
        <w:t>Zhang, X., Xiao, Z., Liu, X., Du, L., Wang, L., Wang, S . Wang, C. (2012). The potential role of ORM2 in the development of colorectal cancer.</w:t>
      </w:r>
      <w:r>
        <w:rPr>
          <w:i/>
          <w:iCs/>
        </w:rPr>
        <w:t xml:space="preserve"> PloS One, 7</w:t>
      </w:r>
      <w:r>
        <w:t xml:space="preserve">(2), e31868. doi:10.1371/journal.pone.0031868 [doi] </w:t>
      </w:r>
    </w:p>
    <w:p w14:paraId="7287FA4E" w14:textId="77777777" w:rsidR="008056FD" w:rsidRDefault="008056FD" w:rsidP="008056FD">
      <w:pPr>
        <w:pStyle w:val="NormalWeb"/>
        <w:ind w:left="450" w:hanging="450"/>
      </w:pPr>
      <w:r>
        <w:t>Zhang, X., Yin, X., Yu, H., Liu, X., Yang, F., Yao, J . Yang, P. (2012). Quantitative proteomic analysis of serum proteins in patients with Parkinson's disease using an isobaric tag for relative and absolute quantification labeling, two-dimensional liquid chromatography, and tandem mass spectrometry.</w:t>
      </w:r>
      <w:r>
        <w:rPr>
          <w:i/>
          <w:iCs/>
        </w:rPr>
        <w:t xml:space="preserve"> The Analyst, 137</w:t>
      </w:r>
      <w:r>
        <w:t xml:space="preserve">(2), 490-495. doi:10.1039/c1an15551b [doi] </w:t>
      </w:r>
    </w:p>
    <w:p w14:paraId="659A701B" w14:textId="77777777" w:rsidR="008056FD" w:rsidRDefault="008056FD" w:rsidP="008056FD">
      <w:pPr>
        <w:pStyle w:val="NormalWeb"/>
        <w:ind w:left="450" w:hanging="450"/>
      </w:pPr>
      <w:r>
        <w:t>Zhang, Y., Cai, Y., Yu, H., &amp; Li, H. (2015). iTRAQ-Based Quantitative Proteomic Analysis Identified HSC71 as a Novel Serum Biomarker for Renal Cell Carcinoma.</w:t>
      </w:r>
      <w:r>
        <w:rPr>
          <w:i/>
          <w:iCs/>
        </w:rPr>
        <w:t xml:space="preserve"> BioMed Research International, 2015</w:t>
      </w:r>
      <w:r>
        <w:t xml:space="preserve">, 802153. doi:10.1155/2015/802153 [doi] </w:t>
      </w:r>
    </w:p>
    <w:p w14:paraId="70CB99B1" w14:textId="77777777" w:rsidR="008056FD" w:rsidRDefault="008056FD" w:rsidP="008056FD">
      <w:pPr>
        <w:pStyle w:val="NormalWeb"/>
        <w:ind w:left="450" w:hanging="450"/>
      </w:pPr>
      <w:r>
        <w:t>Zhang, Y., Kang, Y., Zhou, Q., Zhou, J., Wang, H., Jin, H . Li, X. (2014). Quantitative proteomic analysis of serum from pregnant women carrying a fetus with conotruncal heart defect using isobaric tags for relative and absolute quantitation (iTRAQ) labeling.</w:t>
      </w:r>
      <w:r>
        <w:rPr>
          <w:i/>
          <w:iCs/>
        </w:rPr>
        <w:t xml:space="preserve"> PloS One, 9</w:t>
      </w:r>
      <w:r>
        <w:t xml:space="preserve">(11), e111645. doi:10.1371/journal.pone.0111645 [doi] </w:t>
      </w:r>
    </w:p>
    <w:p w14:paraId="4DD40BFE" w14:textId="77777777" w:rsidR="008056FD" w:rsidRDefault="008056FD" w:rsidP="008056FD">
      <w:pPr>
        <w:pStyle w:val="NormalWeb"/>
        <w:ind w:left="450" w:hanging="450"/>
      </w:pPr>
      <w:r>
        <w:t>Zhao, D., Shen, L., Wei, Y., Xie, J., Chen, S., Liang, Y . Wu, H. (2017). Identification of candidate biomarkers for the prediction of gestational diabetes mellitus in the early stages of pregnancy using iTRAQ quantitative proteomics.</w:t>
      </w:r>
      <w:r>
        <w:rPr>
          <w:i/>
          <w:iCs/>
        </w:rPr>
        <w:t xml:space="preserve"> Proteomics.Clinical Applications, </w:t>
      </w:r>
      <w:r>
        <w:t xml:space="preserve">doi:10.1002/prca.201600152 [doi] </w:t>
      </w:r>
    </w:p>
    <w:p w14:paraId="5ADCF04E" w14:textId="77777777" w:rsidR="008056FD" w:rsidRDefault="008056FD" w:rsidP="008056FD">
      <w:pPr>
        <w:pStyle w:val="NormalWeb"/>
        <w:ind w:left="450" w:hanging="450"/>
      </w:pPr>
      <w:r>
        <w:t>Zhou, C., Simpson, K. L., Lancashire, L. J., Walker, M. J., Dawson, M. J., Unwin, R. D . Whetton, A. D. (2012). Statistical considerations of optimal study design for human plasma proteomics and biomarker discovery.</w:t>
      </w:r>
      <w:r>
        <w:rPr>
          <w:i/>
          <w:iCs/>
        </w:rPr>
        <w:t xml:space="preserve"> Journal of Proteome Research, 11</w:t>
      </w:r>
      <w:r>
        <w:t xml:space="preserve">(4), 2103-2113. doi:10.1021/pr200636x; 10.1021/pr200636x </w:t>
      </w:r>
    </w:p>
    <w:p w14:paraId="40F117DD" w14:textId="68FBC2CA" w:rsidR="000074EB" w:rsidRPr="007D089C" w:rsidRDefault="008056FD" w:rsidP="008056FD">
      <w:pPr>
        <w:rPr>
          <w:rFonts w:ascii="timesroman" w:hAnsi="timesroman"/>
          <w:color w:val="FF0000"/>
          <w:lang w:val="en-US"/>
        </w:rPr>
      </w:pPr>
      <w:r>
        <w:rPr>
          <w:lang w:val="en-US"/>
        </w:rPr>
        <w:fldChar w:fldCharType="end"/>
      </w:r>
      <w:r w:rsidR="000074EB" w:rsidRPr="007D089C">
        <w:rPr>
          <w:rFonts w:ascii="timesroman" w:hAnsi="timesroman"/>
          <w:color w:val="FF0000"/>
          <w:lang w:val="en-US"/>
        </w:rPr>
        <w:br w:type="page"/>
      </w:r>
    </w:p>
    <w:p w14:paraId="7C2D5991" w14:textId="258C95CA" w:rsidR="000074EB" w:rsidRPr="007D089C" w:rsidRDefault="003A3689" w:rsidP="0076727D">
      <w:pPr>
        <w:spacing w:line="480" w:lineRule="auto"/>
        <w:rPr>
          <w:rFonts w:ascii="timesroman" w:hAnsi="timesroman"/>
          <w:color w:val="FF0000"/>
          <w:lang w:val="en-US"/>
        </w:rPr>
      </w:pPr>
      <w:r w:rsidRPr="007D089C">
        <w:rPr>
          <w:rFonts w:ascii="Times-Roman" w:hAnsi="Times-Roman" w:cs="Times-Roman"/>
          <w:b/>
          <w:lang w:val="en-US"/>
        </w:rPr>
        <w:t xml:space="preserve">Table </w:t>
      </w:r>
      <w:r w:rsidR="000074EB" w:rsidRPr="007D089C">
        <w:rPr>
          <w:rFonts w:ascii="Times-Roman" w:hAnsi="Times-Roman" w:cs="Times-Roman"/>
          <w:b/>
          <w:lang w:val="en-US"/>
        </w:rPr>
        <w:t>1: Depletion Systems Used in Isobaric labeling Proteomics Analysis of Plasma</w:t>
      </w:r>
    </w:p>
    <w:p w14:paraId="72D1F92C" w14:textId="77777777" w:rsidR="000074EB" w:rsidRPr="007D089C" w:rsidRDefault="000074EB" w:rsidP="0076727D">
      <w:pPr>
        <w:autoSpaceDE w:val="0"/>
        <w:autoSpaceDN w:val="0"/>
        <w:adjustRightInd w:val="0"/>
        <w:spacing w:line="480" w:lineRule="auto"/>
        <w:rPr>
          <w:rFonts w:ascii="Times-Roman" w:hAnsi="Times-Roman" w:cs="Times-Roman"/>
          <w:lang w:val="en-US"/>
        </w:rPr>
      </w:pPr>
      <w:r w:rsidRPr="007D089C">
        <w:rPr>
          <w:rFonts w:ascii="Times-Roman" w:hAnsi="Times-Roman" w:cs="Times-Roman"/>
          <w:lang w:val="en-US"/>
        </w:rPr>
        <w:t xml:space="preserve">Plasma proteomics has mostly been performed with depletion of the most abundant proteins, typically using immuno-affinity resins. Examples of the type of   immuno-affinity systems are listed with their targets, manufacturer and practical references. A number of these experiments involved xenographs (as indicated). </w:t>
      </w:r>
    </w:p>
    <w:p w14:paraId="7C510398" w14:textId="77777777" w:rsidR="00980C45" w:rsidRPr="007D089C" w:rsidRDefault="00980C45" w:rsidP="0076727D">
      <w:pPr>
        <w:spacing w:line="480" w:lineRule="auto"/>
        <w:rPr>
          <w:rFonts w:ascii="Times-Roman" w:hAnsi="Times-Roman" w:cs="Times-Roman"/>
          <w:lang w:val="en-US"/>
        </w:rPr>
      </w:pPr>
    </w:p>
    <w:p w14:paraId="4B03CCBD" w14:textId="0F7B52C4" w:rsidR="00980C45" w:rsidRPr="007D089C" w:rsidRDefault="008056FD" w:rsidP="0076727D">
      <w:pPr>
        <w:autoSpaceDE w:val="0"/>
        <w:autoSpaceDN w:val="0"/>
        <w:adjustRightInd w:val="0"/>
        <w:spacing w:line="480" w:lineRule="auto"/>
        <w:rPr>
          <w:rFonts w:ascii="Times-Roman" w:hAnsi="Times-Roman" w:cs="Times-Roman"/>
          <w:b/>
          <w:lang w:val="en-US"/>
        </w:rPr>
      </w:pPr>
      <w:r>
        <w:rPr>
          <w:rFonts w:ascii="Times-Roman" w:hAnsi="Times-Roman" w:cs="Times-Roman"/>
          <w:b/>
          <w:lang w:val="en-US"/>
        </w:rPr>
        <w:t>Table 2: Cancer Studied</w:t>
      </w:r>
      <w:r w:rsidR="00980C45" w:rsidRPr="007D089C">
        <w:rPr>
          <w:rFonts w:ascii="Times-Roman" w:hAnsi="Times-Roman" w:cs="Times-Roman"/>
          <w:b/>
          <w:lang w:val="en-US"/>
        </w:rPr>
        <w:t xml:space="preserve"> Using Isobaric Labeling of Plasma </w:t>
      </w:r>
    </w:p>
    <w:p w14:paraId="6BD24580" w14:textId="363FA2B1" w:rsidR="0028337C" w:rsidRPr="007D089C" w:rsidRDefault="00980C45" w:rsidP="0076727D">
      <w:pPr>
        <w:spacing w:line="480" w:lineRule="auto"/>
        <w:rPr>
          <w:rFonts w:ascii="Times-Roman" w:hAnsi="Times-Roman" w:cs="Times-Roman"/>
          <w:lang w:val="en-US"/>
        </w:rPr>
      </w:pPr>
      <w:r w:rsidRPr="007D089C">
        <w:rPr>
          <w:rFonts w:ascii="Times-Roman" w:hAnsi="Times-Roman" w:cs="Times-Roman"/>
          <w:lang w:val="en-US"/>
        </w:rPr>
        <w:t xml:space="preserve">Examples of the type of cancers studied with isobaric labelling and plasma proteomics </w:t>
      </w:r>
      <w:r w:rsidR="008056FD">
        <w:rPr>
          <w:rFonts w:ascii="Times-Roman" w:hAnsi="Times-Roman" w:cs="Times-Roman"/>
          <w:lang w:val="en-US"/>
        </w:rPr>
        <w:t>are indicated with</w:t>
      </w:r>
      <w:r w:rsidRPr="007D089C">
        <w:rPr>
          <w:rFonts w:ascii="Times-Roman" w:hAnsi="Times-Roman" w:cs="Times-Roman"/>
          <w:lang w:val="en-US"/>
        </w:rPr>
        <w:t xml:space="preserve"> citation</w:t>
      </w:r>
      <w:r w:rsidR="008056FD">
        <w:rPr>
          <w:rFonts w:ascii="Times-Roman" w:hAnsi="Times-Roman" w:cs="Times-Roman"/>
          <w:lang w:val="en-US"/>
        </w:rPr>
        <w:t>s</w:t>
      </w:r>
      <w:r w:rsidRPr="007D089C">
        <w:rPr>
          <w:rFonts w:ascii="Times-Roman" w:hAnsi="Times-Roman" w:cs="Times-Roman"/>
          <w:lang w:val="en-US"/>
        </w:rPr>
        <w:t xml:space="preserve"> to published examples.</w:t>
      </w:r>
    </w:p>
    <w:p w14:paraId="7CC12D57" w14:textId="77777777" w:rsidR="0028337C" w:rsidRPr="007D089C" w:rsidRDefault="0028337C" w:rsidP="0076727D">
      <w:pPr>
        <w:spacing w:line="480" w:lineRule="auto"/>
        <w:rPr>
          <w:rFonts w:ascii="Times-Roman" w:hAnsi="Times-Roman" w:cs="Times-Roman"/>
          <w:lang w:val="en-US"/>
        </w:rPr>
      </w:pPr>
    </w:p>
    <w:p w14:paraId="19F56DE6" w14:textId="346841EB" w:rsidR="0028337C" w:rsidRPr="007D089C" w:rsidRDefault="0028337C" w:rsidP="0076727D">
      <w:pPr>
        <w:spacing w:line="480" w:lineRule="auto"/>
        <w:rPr>
          <w:rFonts w:ascii="Times-Roman" w:hAnsi="Times-Roman" w:cs="Times-Roman"/>
          <w:b/>
          <w:lang w:val="en-US"/>
        </w:rPr>
      </w:pPr>
      <w:r w:rsidRPr="007D089C">
        <w:rPr>
          <w:rFonts w:ascii="Times-Roman" w:hAnsi="Times-Roman" w:cs="Times-Roman"/>
          <w:b/>
          <w:lang w:val="en-US"/>
        </w:rPr>
        <w:t>Table 3:</w:t>
      </w:r>
      <w:r w:rsidRPr="007D089C">
        <w:rPr>
          <w:b/>
          <w:lang w:val="en-US"/>
        </w:rPr>
        <w:t xml:space="preserve"> </w:t>
      </w:r>
      <w:r w:rsidR="008056FD">
        <w:rPr>
          <w:b/>
          <w:lang w:val="en-US"/>
        </w:rPr>
        <w:t>Methodologies used with</w:t>
      </w:r>
      <w:r w:rsidRPr="007D089C">
        <w:rPr>
          <w:b/>
          <w:lang w:val="en-US"/>
        </w:rPr>
        <w:t xml:space="preserve"> Isobaric Labeling </w:t>
      </w:r>
      <w:r w:rsidR="008056FD">
        <w:rPr>
          <w:b/>
          <w:lang w:val="en-US"/>
        </w:rPr>
        <w:t xml:space="preserve">of </w:t>
      </w:r>
      <w:r w:rsidRPr="007D089C">
        <w:rPr>
          <w:b/>
          <w:lang w:val="en-US"/>
        </w:rPr>
        <w:t xml:space="preserve">Plasma </w:t>
      </w:r>
      <w:r w:rsidR="008056FD">
        <w:rPr>
          <w:b/>
          <w:lang w:val="en-US"/>
        </w:rPr>
        <w:t xml:space="preserve">in </w:t>
      </w:r>
      <w:r w:rsidRPr="007D089C">
        <w:rPr>
          <w:b/>
          <w:lang w:val="en-US"/>
        </w:rPr>
        <w:t>Cancer Studies</w:t>
      </w:r>
      <w:r w:rsidRPr="007D089C">
        <w:rPr>
          <w:rFonts w:ascii="Times-Roman" w:hAnsi="Times-Roman" w:cs="Times-Roman"/>
          <w:lang w:val="en-US"/>
        </w:rPr>
        <w:t xml:space="preserve"> </w:t>
      </w:r>
    </w:p>
    <w:p w14:paraId="12F29B88" w14:textId="246A17BD" w:rsidR="00B473E0" w:rsidRPr="007D089C" w:rsidRDefault="00B473E0" w:rsidP="0076727D">
      <w:pPr>
        <w:spacing w:line="480" w:lineRule="auto"/>
        <w:rPr>
          <w:rFonts w:ascii="Times-Roman" w:hAnsi="Times-Roman" w:cs="Times-Roman"/>
          <w:lang w:val="en-US"/>
        </w:rPr>
      </w:pPr>
      <w:r w:rsidRPr="007D089C">
        <w:rPr>
          <w:rFonts w:ascii="Times-Roman" w:hAnsi="Times-Roman" w:cs="Times-Roman"/>
          <w:lang w:val="en-US"/>
        </w:rPr>
        <w:t>Examples are cited of plasma proteomic cancer studies indicating the approaches used and the scope of protein identification.</w:t>
      </w:r>
    </w:p>
    <w:p w14:paraId="7785DDCD" w14:textId="77777777" w:rsidR="0028337C" w:rsidRPr="007D089C" w:rsidRDefault="0028337C" w:rsidP="0076727D">
      <w:pPr>
        <w:spacing w:line="480" w:lineRule="auto"/>
        <w:rPr>
          <w:rFonts w:ascii="Times-Roman" w:hAnsi="Times-Roman" w:cs="Times-Roman"/>
          <w:lang w:val="en-US"/>
        </w:rPr>
      </w:pPr>
    </w:p>
    <w:p w14:paraId="659B0C17" w14:textId="3A0BEB34" w:rsidR="0028337C" w:rsidRPr="007D089C" w:rsidRDefault="0028337C" w:rsidP="0076727D">
      <w:pPr>
        <w:spacing w:line="480" w:lineRule="auto"/>
        <w:rPr>
          <w:rFonts w:ascii="Times-Roman" w:hAnsi="Times-Roman" w:cs="Times-Roman"/>
          <w:lang w:val="en-US"/>
        </w:rPr>
      </w:pPr>
      <w:r w:rsidRPr="007D089C">
        <w:rPr>
          <w:rStyle w:val="Emphasis"/>
          <w:b/>
          <w:i w:val="0"/>
          <w:lang w:val="en-US"/>
        </w:rPr>
        <w:t xml:space="preserve">Table 4: Applications using isobaric labeling of plasma in the study of circulation, stroke and cardiovascular risk. </w:t>
      </w:r>
      <w:r w:rsidRPr="007D089C">
        <w:rPr>
          <w:rStyle w:val="Emphasis"/>
          <w:i w:val="0"/>
          <w:lang w:val="en-US"/>
        </w:rPr>
        <w:t xml:space="preserve"> </w:t>
      </w:r>
      <w:r w:rsidRPr="008056FD">
        <w:rPr>
          <w:rFonts w:ascii="Times-Roman" w:hAnsi="Times-Roman" w:cs="Times-Roman"/>
          <w:lang w:val="en-US"/>
        </w:rPr>
        <w:t>Citations to published examples are included</w:t>
      </w:r>
      <w:r w:rsidRPr="007D089C">
        <w:rPr>
          <w:rFonts w:ascii="Times-Roman" w:hAnsi="Times-Roman" w:cs="Times-Roman"/>
          <w:lang w:val="en-US"/>
        </w:rPr>
        <w:t xml:space="preserve"> </w:t>
      </w:r>
    </w:p>
    <w:p w14:paraId="082BA9B2" w14:textId="77777777" w:rsidR="0028337C" w:rsidRPr="007D089C" w:rsidRDefault="0028337C" w:rsidP="0076727D">
      <w:pPr>
        <w:spacing w:line="480" w:lineRule="auto"/>
        <w:rPr>
          <w:rFonts w:ascii="Times-Roman" w:hAnsi="Times-Roman" w:cs="Times-Roman"/>
          <w:lang w:val="en-US"/>
        </w:rPr>
      </w:pPr>
    </w:p>
    <w:p w14:paraId="0E19D541" w14:textId="42512CCE" w:rsidR="0028337C" w:rsidRPr="008056FD" w:rsidRDefault="0028337C" w:rsidP="0076727D">
      <w:pPr>
        <w:spacing w:line="480" w:lineRule="auto"/>
        <w:rPr>
          <w:rFonts w:ascii="Times-Roman" w:hAnsi="Times-Roman" w:cs="Times-Roman"/>
          <w:lang w:val="en-US"/>
        </w:rPr>
      </w:pPr>
      <w:r w:rsidRPr="007D089C">
        <w:rPr>
          <w:rFonts w:ascii="Times-Roman" w:hAnsi="Times-Roman" w:cs="Times-Roman"/>
          <w:b/>
          <w:lang w:val="en-US"/>
        </w:rPr>
        <w:t>Table 5 a &amp; b:</w:t>
      </w:r>
      <w:r w:rsidRPr="007D089C">
        <w:rPr>
          <w:rFonts w:ascii="Times-Roman" w:hAnsi="Times-Roman" w:cs="Times-Roman"/>
          <w:lang w:val="en-US"/>
        </w:rPr>
        <w:t xml:space="preserve"> </w:t>
      </w:r>
      <w:r w:rsidR="00B473E0" w:rsidRPr="008056FD">
        <w:rPr>
          <w:rFonts w:ascii="Times-Roman" w:hAnsi="Times-Roman" w:cs="Times-Roman"/>
          <w:b/>
          <w:lang w:val="en-US"/>
        </w:rPr>
        <w:t>I</w:t>
      </w:r>
      <w:r w:rsidRPr="008056FD">
        <w:rPr>
          <w:rFonts w:ascii="Times-Roman" w:hAnsi="Times-Roman" w:cs="Times-Roman"/>
          <w:b/>
          <w:lang w:val="en-US"/>
        </w:rPr>
        <w:t xml:space="preserve">llnesses, diseases, interventions and hazards </w:t>
      </w:r>
      <w:r w:rsidR="00B473E0" w:rsidRPr="008056FD">
        <w:rPr>
          <w:rFonts w:ascii="Times-Roman" w:hAnsi="Times-Roman" w:cs="Times-Roman"/>
          <w:b/>
          <w:lang w:val="en-US"/>
        </w:rPr>
        <w:t>s</w:t>
      </w:r>
      <w:r w:rsidRPr="008056FD">
        <w:rPr>
          <w:rFonts w:ascii="Times-Roman" w:hAnsi="Times-Roman" w:cs="Times-Roman"/>
          <w:b/>
          <w:lang w:val="en-US"/>
        </w:rPr>
        <w:t>tudie</w:t>
      </w:r>
      <w:r w:rsidR="00B473E0" w:rsidRPr="008056FD">
        <w:rPr>
          <w:rFonts w:ascii="Times-Roman" w:hAnsi="Times-Roman" w:cs="Times-Roman"/>
          <w:b/>
          <w:lang w:val="en-US"/>
        </w:rPr>
        <w:t>d</w:t>
      </w:r>
      <w:r w:rsidRPr="008056FD">
        <w:rPr>
          <w:rFonts w:ascii="Times-Roman" w:hAnsi="Times-Roman" w:cs="Times-Roman"/>
          <w:b/>
          <w:lang w:val="en-US"/>
        </w:rPr>
        <w:t xml:space="preserve"> by </w:t>
      </w:r>
      <w:r w:rsidR="00B473E0" w:rsidRPr="008056FD">
        <w:rPr>
          <w:rFonts w:ascii="Times-Roman" w:hAnsi="Times-Roman" w:cs="Times-Roman"/>
          <w:b/>
          <w:lang w:val="en-US"/>
        </w:rPr>
        <w:t xml:space="preserve">plasma proteomics with </w:t>
      </w:r>
      <w:r w:rsidRPr="008056FD">
        <w:rPr>
          <w:rFonts w:ascii="Times-Roman" w:hAnsi="Times-Roman" w:cs="Times-Roman"/>
          <w:b/>
          <w:lang w:val="en-US"/>
        </w:rPr>
        <w:t>isobaric labeling</w:t>
      </w:r>
      <w:r w:rsidR="008056FD">
        <w:rPr>
          <w:rFonts w:ascii="Times-Roman" w:hAnsi="Times-Roman" w:cs="Times-Roman"/>
          <w:b/>
          <w:lang w:val="en-US"/>
        </w:rPr>
        <w:t xml:space="preserve">: </w:t>
      </w:r>
    </w:p>
    <w:p w14:paraId="1016CBF3" w14:textId="77777777" w:rsidR="0028337C" w:rsidRPr="007D089C" w:rsidRDefault="0028337C" w:rsidP="0076727D">
      <w:pPr>
        <w:spacing w:line="480" w:lineRule="auto"/>
        <w:rPr>
          <w:rFonts w:ascii="Times-Roman" w:hAnsi="Times-Roman" w:cs="Times-Roman"/>
          <w:lang w:val="en-US"/>
        </w:rPr>
      </w:pPr>
    </w:p>
    <w:p w14:paraId="5FE0D54D" w14:textId="1207AA2D" w:rsidR="0076727D" w:rsidRPr="007D089C" w:rsidRDefault="0076727D" w:rsidP="0076727D">
      <w:pPr>
        <w:spacing w:line="480" w:lineRule="auto"/>
        <w:rPr>
          <w:rFonts w:ascii="Times-Roman" w:hAnsi="Times-Roman" w:cs="Times-Roman"/>
          <w:lang w:val="en-US"/>
        </w:rPr>
      </w:pPr>
      <w:r w:rsidRPr="007D089C">
        <w:rPr>
          <w:rFonts w:ascii="Times-Roman" w:hAnsi="Times-Roman" w:cs="Times-Roman"/>
          <w:b/>
          <w:lang w:val="en-US"/>
        </w:rPr>
        <w:t>Figure 1: Plasma proteomics strategies and their usage</w:t>
      </w:r>
      <w:r w:rsidRPr="007D089C">
        <w:rPr>
          <w:rFonts w:ascii="Times-Roman" w:hAnsi="Times-Roman" w:cs="Times-Roman"/>
          <w:lang w:val="en-US"/>
        </w:rPr>
        <w:t xml:space="preserve">. </w:t>
      </w:r>
      <w:r w:rsidR="00820A00" w:rsidRPr="007D089C">
        <w:rPr>
          <w:rFonts w:ascii="Times-Roman" w:hAnsi="Times-Roman" w:cs="Times-Roman"/>
          <w:b/>
          <w:lang w:val="en-US"/>
        </w:rPr>
        <w:t>a</w:t>
      </w:r>
      <w:r w:rsidR="00820A00" w:rsidRPr="007D089C">
        <w:rPr>
          <w:rFonts w:ascii="Times-Roman" w:hAnsi="Times-Roman" w:cs="Times-Roman"/>
          <w:lang w:val="en-US"/>
        </w:rPr>
        <w:t xml:space="preserve">) </w:t>
      </w:r>
      <w:r w:rsidRPr="007D089C">
        <w:rPr>
          <w:rFonts w:ascii="Times-Roman" w:hAnsi="Times-Roman" w:cs="Times-Roman"/>
          <w:lang w:val="en-US"/>
        </w:rPr>
        <w:t xml:space="preserve">A schematic is presented for </w:t>
      </w:r>
      <w:r w:rsidR="008056FD">
        <w:rPr>
          <w:rFonts w:ascii="Times-Roman" w:hAnsi="Times-Roman" w:cs="Times-Roman"/>
          <w:lang w:val="en-US"/>
        </w:rPr>
        <w:t xml:space="preserve">a typical </w:t>
      </w:r>
      <w:r w:rsidRPr="007D089C">
        <w:rPr>
          <w:rFonts w:ascii="Times-Roman" w:hAnsi="Times-Roman" w:cs="Times-Roman"/>
          <w:lang w:val="en-US"/>
        </w:rPr>
        <w:t xml:space="preserve">workflow </w:t>
      </w:r>
      <w:r w:rsidR="008056FD">
        <w:rPr>
          <w:rFonts w:ascii="Times-Roman" w:hAnsi="Times-Roman" w:cs="Times-Roman"/>
          <w:lang w:val="en-US"/>
        </w:rPr>
        <w:t xml:space="preserve">for </w:t>
      </w:r>
      <w:r w:rsidRPr="007D089C">
        <w:rPr>
          <w:rFonts w:ascii="Times-Roman" w:hAnsi="Times-Roman" w:cs="Times-Roman"/>
          <w:lang w:val="en-US"/>
        </w:rPr>
        <w:t xml:space="preserve">plasma proteomics with isobaric labeling. The </w:t>
      </w:r>
      <w:r w:rsidR="00820A00" w:rsidRPr="007D089C">
        <w:rPr>
          <w:rFonts w:ascii="Times-Roman" w:hAnsi="Times-Roman" w:cs="Times-Roman"/>
          <w:lang w:val="en-US"/>
        </w:rPr>
        <w:t xml:space="preserve">accompanying </w:t>
      </w:r>
      <w:r w:rsidRPr="007D089C">
        <w:rPr>
          <w:rFonts w:ascii="Times-Roman" w:hAnsi="Times-Roman" w:cs="Times-Roman"/>
          <w:lang w:val="en-US"/>
        </w:rPr>
        <w:t>pie charts</w:t>
      </w:r>
      <w:r w:rsidR="00820A00" w:rsidRPr="007D089C">
        <w:rPr>
          <w:rFonts w:ascii="Times-Roman" w:hAnsi="Times-Roman" w:cs="Times-Roman"/>
          <w:lang w:val="en-US"/>
        </w:rPr>
        <w:t>,</w:t>
      </w:r>
      <w:r w:rsidRPr="007D089C">
        <w:rPr>
          <w:rFonts w:ascii="Times-Roman" w:hAnsi="Times-Roman" w:cs="Times-Roman"/>
          <w:lang w:val="en-US"/>
        </w:rPr>
        <w:t xml:space="preserve"> </w:t>
      </w:r>
      <w:r w:rsidR="00820A00" w:rsidRPr="007D089C">
        <w:rPr>
          <w:rFonts w:ascii="Times-Roman" w:hAnsi="Times-Roman" w:cs="Times-Roman"/>
          <w:b/>
          <w:lang w:val="en-US"/>
        </w:rPr>
        <w:t>b</w:t>
      </w:r>
      <w:r w:rsidR="00820A00" w:rsidRPr="007D089C">
        <w:rPr>
          <w:rFonts w:ascii="Times-Roman" w:hAnsi="Times-Roman" w:cs="Times-Roman"/>
          <w:lang w:val="en-US"/>
        </w:rPr>
        <w:t xml:space="preserve">, </w:t>
      </w:r>
      <w:r w:rsidR="00820A00" w:rsidRPr="007D089C">
        <w:rPr>
          <w:rFonts w:ascii="Times-Roman" w:hAnsi="Times-Roman" w:cs="Times-Roman"/>
          <w:b/>
          <w:lang w:val="en-US"/>
        </w:rPr>
        <w:t>c</w:t>
      </w:r>
      <w:r w:rsidR="00820A00" w:rsidRPr="007D089C">
        <w:rPr>
          <w:rFonts w:ascii="Times-Roman" w:hAnsi="Times-Roman" w:cs="Times-Roman"/>
          <w:lang w:val="en-US"/>
        </w:rPr>
        <w:t xml:space="preserve">, </w:t>
      </w:r>
      <w:r w:rsidR="00820A00" w:rsidRPr="007D089C">
        <w:rPr>
          <w:rFonts w:ascii="Times-Roman" w:hAnsi="Times-Roman" w:cs="Times-Roman"/>
          <w:b/>
          <w:lang w:val="en-US"/>
        </w:rPr>
        <w:t>d</w:t>
      </w:r>
      <w:r w:rsidR="00820A00" w:rsidRPr="007D089C">
        <w:rPr>
          <w:rFonts w:ascii="Times-Roman" w:hAnsi="Times-Roman" w:cs="Times-Roman"/>
          <w:lang w:val="en-US"/>
        </w:rPr>
        <w:t xml:space="preserve">, </w:t>
      </w:r>
      <w:r w:rsidRPr="007D089C">
        <w:rPr>
          <w:rFonts w:ascii="Times-Roman" w:hAnsi="Times-Roman" w:cs="Times-Roman"/>
          <w:lang w:val="en-US"/>
        </w:rPr>
        <w:t>indicate the frequency that the methodologies have been used,</w:t>
      </w:r>
      <w:r w:rsidR="00820A00" w:rsidRPr="007D089C">
        <w:rPr>
          <w:rFonts w:ascii="Times-Roman" w:hAnsi="Times-Roman" w:cs="Times-Roman"/>
          <w:lang w:val="en-US"/>
        </w:rPr>
        <w:t xml:space="preserve"> and the bar chart indicates the relative usage of ESI and MALDI for mass spectrometry (~ 4:1)</w:t>
      </w:r>
      <w:r w:rsidR="008056FD">
        <w:rPr>
          <w:rFonts w:ascii="Times-Roman" w:hAnsi="Times-Roman" w:cs="Times-Roman"/>
          <w:lang w:val="en-US"/>
        </w:rPr>
        <w:t>, these are</w:t>
      </w:r>
      <w:r w:rsidRPr="007D089C">
        <w:rPr>
          <w:rFonts w:ascii="Times-Roman" w:hAnsi="Times-Roman" w:cs="Times-Roman"/>
          <w:lang w:val="en-US"/>
        </w:rPr>
        <w:t xml:space="preserve"> based on </w:t>
      </w:r>
      <w:r w:rsidR="008056FD">
        <w:rPr>
          <w:rFonts w:ascii="Times-Roman" w:hAnsi="Times-Roman" w:cs="Times-Roman"/>
          <w:lang w:val="en-US"/>
        </w:rPr>
        <w:t xml:space="preserve">the </w:t>
      </w:r>
      <w:r w:rsidRPr="007D089C">
        <w:rPr>
          <w:rFonts w:ascii="Times-Roman" w:hAnsi="Times-Roman" w:cs="Times-Roman"/>
          <w:lang w:val="en-US"/>
        </w:rPr>
        <w:t>information available from the literature reviewed in the m</w:t>
      </w:r>
      <w:r w:rsidR="008056FD">
        <w:rPr>
          <w:rFonts w:ascii="Times-Roman" w:hAnsi="Times-Roman" w:cs="Times-Roman"/>
          <w:lang w:val="en-US"/>
        </w:rPr>
        <w:t>anuscript (</w:t>
      </w:r>
      <w:r w:rsidR="00336144">
        <w:rPr>
          <w:rFonts w:ascii="Times-Roman" w:hAnsi="Times-Roman" w:cs="Times-Roman"/>
          <w:lang w:val="en-US"/>
        </w:rPr>
        <w:t>180-210 studies</w:t>
      </w:r>
      <w:r w:rsidR="008056FD">
        <w:rPr>
          <w:rFonts w:ascii="Times-Roman" w:hAnsi="Times-Roman" w:cs="Times-Roman"/>
          <w:lang w:val="en-US"/>
        </w:rPr>
        <w:t>, depending on the information supplied).</w:t>
      </w:r>
      <w:r w:rsidR="00FB1C9C" w:rsidRPr="007D089C">
        <w:rPr>
          <w:rFonts w:ascii="Times-Roman" w:hAnsi="Times-Roman" w:cs="Times-Roman"/>
          <w:lang w:val="en-US"/>
        </w:rPr>
        <w:t xml:space="preserve"> </w:t>
      </w:r>
      <w:r w:rsidR="00820A00" w:rsidRPr="007D089C">
        <w:rPr>
          <w:rFonts w:ascii="Times-Roman" w:hAnsi="Times-Roman" w:cs="Times-Roman"/>
          <w:b/>
          <w:lang w:val="en-US"/>
        </w:rPr>
        <w:t>b</w:t>
      </w:r>
      <w:r w:rsidR="00FB1C9C" w:rsidRPr="007D089C">
        <w:rPr>
          <w:rFonts w:ascii="Times-Roman" w:hAnsi="Times-Roman" w:cs="Times-Roman"/>
          <w:lang w:val="en-US"/>
        </w:rPr>
        <w:t>) Depletion strategies</w:t>
      </w:r>
      <w:r w:rsidR="008056FD">
        <w:rPr>
          <w:rFonts w:ascii="Times-Roman" w:hAnsi="Times-Roman" w:cs="Times-Roman"/>
          <w:lang w:val="en-US"/>
        </w:rPr>
        <w:t>:</w:t>
      </w:r>
      <w:r w:rsidR="00FB1C9C" w:rsidRPr="007D089C">
        <w:rPr>
          <w:rFonts w:ascii="Times-Roman" w:hAnsi="Times-Roman" w:cs="Times-Roman"/>
          <w:lang w:val="en-US"/>
        </w:rPr>
        <w:t xml:space="preserve"> the numerical values indicate the number of depletion targets, 20+ includes the both</w:t>
      </w:r>
      <w:r w:rsidR="008D254C" w:rsidRPr="007D089C">
        <w:rPr>
          <w:rFonts w:ascii="Times-Roman" w:hAnsi="Times-Roman" w:cs="Times-Roman"/>
          <w:lang w:val="en-US"/>
        </w:rPr>
        <w:t xml:space="preserve"> applications targeting the top 20 and the use of SuperMix columns, PM refers to ProteoMiner beads. </w:t>
      </w:r>
      <w:r w:rsidR="00820A00" w:rsidRPr="007D089C">
        <w:rPr>
          <w:rFonts w:ascii="Times-Roman" w:hAnsi="Times-Roman" w:cs="Times-Roman"/>
          <w:b/>
          <w:lang w:val="en-US"/>
        </w:rPr>
        <w:t>c</w:t>
      </w:r>
      <w:r w:rsidR="008D254C" w:rsidRPr="007D089C">
        <w:rPr>
          <w:rFonts w:ascii="Times-Roman" w:hAnsi="Times-Roman" w:cs="Times-Roman"/>
          <w:lang w:val="en-US"/>
        </w:rPr>
        <w:t xml:space="preserve">) </w:t>
      </w:r>
      <w:r w:rsidR="008056FD">
        <w:rPr>
          <w:rFonts w:ascii="Times-Roman" w:hAnsi="Times-Roman" w:cs="Times-Roman"/>
          <w:lang w:val="en-US"/>
        </w:rPr>
        <w:t>The figure i</w:t>
      </w:r>
      <w:r w:rsidR="008D254C" w:rsidRPr="007D089C">
        <w:rPr>
          <w:rFonts w:ascii="Times-Roman" w:hAnsi="Times-Roman" w:cs="Times-Roman"/>
          <w:lang w:val="en-US"/>
        </w:rPr>
        <w:t xml:space="preserve">ndicates the type of reagents used, TMT combines applications with all forms of TMT reagents (including </w:t>
      </w:r>
      <w:r w:rsidR="00820A00" w:rsidRPr="007D089C">
        <w:rPr>
          <w:rFonts w:ascii="Times-Roman" w:hAnsi="Times-Roman" w:cs="Times-Roman"/>
          <w:lang w:val="en-US"/>
        </w:rPr>
        <w:t>2, 6 and</w:t>
      </w:r>
      <w:r w:rsidR="008D254C" w:rsidRPr="007D089C">
        <w:rPr>
          <w:rFonts w:ascii="Times-Roman" w:hAnsi="Times-Roman" w:cs="Times-Roman"/>
          <w:lang w:val="en-US"/>
        </w:rPr>
        <w:t xml:space="preserve">10-plex). </w:t>
      </w:r>
      <w:r w:rsidR="00820A00" w:rsidRPr="007D089C">
        <w:rPr>
          <w:rFonts w:ascii="Times-Roman" w:hAnsi="Times-Roman" w:cs="Times-Roman"/>
          <w:b/>
          <w:lang w:val="en-US"/>
        </w:rPr>
        <w:t>d</w:t>
      </w:r>
      <w:r w:rsidR="008D254C" w:rsidRPr="007D089C">
        <w:rPr>
          <w:rFonts w:ascii="Times-Roman" w:hAnsi="Times-Roman" w:cs="Times-Roman"/>
          <w:lang w:val="en-US"/>
        </w:rPr>
        <w:t xml:space="preserve">) </w:t>
      </w:r>
      <w:r w:rsidR="008056FD">
        <w:rPr>
          <w:rFonts w:ascii="Times-Roman" w:hAnsi="Times-Roman" w:cs="Times-Roman"/>
          <w:lang w:val="en-US"/>
        </w:rPr>
        <w:t>The figure i</w:t>
      </w:r>
      <w:r w:rsidR="008D254C" w:rsidRPr="007D089C">
        <w:rPr>
          <w:rFonts w:ascii="Times-Roman" w:hAnsi="Times-Roman" w:cs="Times-Roman"/>
          <w:lang w:val="en-US"/>
        </w:rPr>
        <w:t>ndicates the cumulative usage of the different fractionation strategies, IEF combines on and off-gel isoelectric focusing methods, AX combines different methods using anion exchange resins (i.e. HILIC &amp; ERLIC) and RP</w:t>
      </w:r>
      <w:r w:rsidR="008D254C" w:rsidRPr="007D089C">
        <w:rPr>
          <w:rFonts w:ascii="Times-Roman" w:hAnsi="Times-Roman" w:cs="Times-Roman"/>
          <w:vertAlign w:val="subscript"/>
          <w:lang w:val="en-US"/>
        </w:rPr>
        <w:t>B</w:t>
      </w:r>
      <w:r w:rsidR="008D254C" w:rsidRPr="007D089C">
        <w:rPr>
          <w:rFonts w:ascii="Times-Roman" w:hAnsi="Times-Roman" w:cs="Times-Roman"/>
          <w:lang w:val="en-US"/>
        </w:rPr>
        <w:t xml:space="preserve"> refers to reversed phase fractionation at a basic pH.</w:t>
      </w:r>
    </w:p>
    <w:p w14:paraId="0C79E490" w14:textId="77777777" w:rsidR="00FB1C9C" w:rsidRPr="007D089C" w:rsidRDefault="00FB1C9C" w:rsidP="0076727D">
      <w:pPr>
        <w:spacing w:line="480" w:lineRule="auto"/>
        <w:rPr>
          <w:rFonts w:ascii="Times-Roman" w:hAnsi="Times-Roman" w:cs="Times-Roman"/>
          <w:lang w:val="en-US"/>
        </w:rPr>
      </w:pPr>
    </w:p>
    <w:p w14:paraId="14237583" w14:textId="6BE397BC" w:rsidR="0076727D" w:rsidRPr="007D089C" w:rsidRDefault="0028337C" w:rsidP="0076727D">
      <w:pPr>
        <w:spacing w:line="480" w:lineRule="auto"/>
        <w:rPr>
          <w:rFonts w:ascii="Times-Roman" w:hAnsi="Times-Roman" w:cs="Times-Roman"/>
          <w:lang w:val="en-US"/>
        </w:rPr>
      </w:pPr>
      <w:r w:rsidRPr="007D089C">
        <w:rPr>
          <w:rFonts w:ascii="Times-Roman" w:hAnsi="Times-Roman" w:cs="Times-Roman"/>
          <w:b/>
          <w:lang w:val="en-US"/>
        </w:rPr>
        <w:t xml:space="preserve">Figure </w:t>
      </w:r>
      <w:r w:rsidR="0076727D" w:rsidRPr="007D089C">
        <w:rPr>
          <w:rFonts w:ascii="Times-Roman" w:hAnsi="Times-Roman" w:cs="Times-Roman"/>
          <w:b/>
          <w:lang w:val="en-US"/>
        </w:rPr>
        <w:t>2</w:t>
      </w:r>
      <w:r w:rsidRPr="007D089C">
        <w:rPr>
          <w:rFonts w:ascii="Times-Roman" w:hAnsi="Times-Roman" w:cs="Times-Roman"/>
          <w:b/>
          <w:lang w:val="en-US"/>
        </w:rPr>
        <w:t xml:space="preserve">: </w:t>
      </w:r>
      <w:r w:rsidR="0076727D" w:rsidRPr="007D089C">
        <w:rPr>
          <w:rFonts w:ascii="Times-Roman" w:hAnsi="Times-Roman" w:cs="Times-Roman"/>
          <w:b/>
          <w:bCs/>
          <w:lang w:val="en-US"/>
        </w:rPr>
        <w:t xml:space="preserve">Candidate plasma protein biomarkers discovered in multiple diseases using isobaric labeling approach. </w:t>
      </w:r>
      <w:r w:rsidR="00B473E0" w:rsidRPr="007D089C">
        <w:rPr>
          <w:rFonts w:ascii="Times-Roman" w:hAnsi="Times-Roman" w:cs="Times-Roman"/>
          <w:bCs/>
          <w:lang w:val="en-US"/>
        </w:rPr>
        <w:t xml:space="preserve">Cumulatively there is a notable degree of reoccurrence of some proteins as biomarkers in different diseases and afflictions. As a representation of the top twenty most frequent biomarkers in </w:t>
      </w:r>
      <w:r w:rsidR="0076727D" w:rsidRPr="007D089C">
        <w:rPr>
          <w:rFonts w:ascii="Times-Roman" w:hAnsi="Times-Roman" w:cs="Times-Roman"/>
          <w:bCs/>
          <w:lang w:val="en-US"/>
        </w:rPr>
        <w:t>e</w:t>
      </w:r>
      <w:r w:rsidR="0076727D" w:rsidRPr="007D089C">
        <w:rPr>
          <w:rFonts w:ascii="Times-Roman" w:hAnsi="Times-Roman" w:cs="Times-Roman"/>
          <w:lang w:val="en-US"/>
        </w:rPr>
        <w:t xml:space="preserve">ach column each protein is represented by a unique </w:t>
      </w:r>
      <w:r w:rsidR="008056FD">
        <w:rPr>
          <w:rFonts w:ascii="Times-Roman" w:hAnsi="Times-Roman" w:cs="Times-Roman"/>
          <w:lang w:val="en-US"/>
        </w:rPr>
        <w:t>colo</w:t>
      </w:r>
      <w:r w:rsidR="00FC7692" w:rsidRPr="007D089C">
        <w:rPr>
          <w:rFonts w:ascii="Times-Roman" w:hAnsi="Times-Roman" w:cs="Times-Roman"/>
          <w:lang w:val="en-US"/>
        </w:rPr>
        <w:t>r</w:t>
      </w:r>
      <w:r w:rsidR="0076727D" w:rsidRPr="007D089C">
        <w:rPr>
          <w:rFonts w:ascii="Times-Roman" w:hAnsi="Times-Roman" w:cs="Times-Roman"/>
          <w:lang w:val="en-US"/>
        </w:rPr>
        <w:t xml:space="preserve"> and map</w:t>
      </w:r>
      <w:r w:rsidR="00B473E0" w:rsidRPr="007D089C">
        <w:rPr>
          <w:rFonts w:ascii="Times-Roman" w:hAnsi="Times-Roman" w:cs="Times-Roman"/>
          <w:lang w:val="en-US"/>
        </w:rPr>
        <w:t>ped to</w:t>
      </w:r>
      <w:r w:rsidR="0076727D" w:rsidRPr="007D089C">
        <w:rPr>
          <w:rFonts w:ascii="Times-Roman" w:hAnsi="Times-Roman" w:cs="Times-Roman"/>
          <w:lang w:val="en-US"/>
        </w:rPr>
        <w:t xml:space="preserve"> diseases in which it has been reported as differentially abundant. </w:t>
      </w:r>
      <w:r w:rsidR="00B473E0" w:rsidRPr="007D089C">
        <w:rPr>
          <w:rFonts w:ascii="Times-Roman" w:hAnsi="Times-Roman" w:cs="Times-Roman"/>
          <w:lang w:val="en-US"/>
        </w:rPr>
        <w:t>The l</w:t>
      </w:r>
      <w:r w:rsidR="0076727D" w:rsidRPr="007D089C">
        <w:rPr>
          <w:rFonts w:ascii="Times-Roman" w:hAnsi="Times-Roman" w:cs="Times-Roman"/>
          <w:lang w:val="en-US"/>
        </w:rPr>
        <w:t xml:space="preserve">ight grey </w:t>
      </w:r>
      <w:r w:rsidR="008056FD">
        <w:rPr>
          <w:rFonts w:ascii="Times-Roman" w:hAnsi="Times-Roman" w:cs="Times-Roman"/>
          <w:lang w:val="en-US"/>
        </w:rPr>
        <w:t>colo</w:t>
      </w:r>
      <w:r w:rsidR="00FC7692" w:rsidRPr="007D089C">
        <w:rPr>
          <w:rFonts w:ascii="Times-Roman" w:hAnsi="Times-Roman" w:cs="Times-Roman"/>
          <w:lang w:val="en-US"/>
        </w:rPr>
        <w:t>r</w:t>
      </w:r>
      <w:r w:rsidR="0076727D" w:rsidRPr="007D089C">
        <w:rPr>
          <w:rFonts w:ascii="Times-Roman" w:hAnsi="Times-Roman" w:cs="Times-Roman"/>
          <w:lang w:val="en-US"/>
        </w:rPr>
        <w:t xml:space="preserve"> </w:t>
      </w:r>
      <w:r w:rsidR="00B473E0" w:rsidRPr="007D089C">
        <w:rPr>
          <w:rFonts w:ascii="Times-Roman" w:hAnsi="Times-Roman" w:cs="Times-Roman"/>
          <w:lang w:val="en-US"/>
        </w:rPr>
        <w:t>indicates</w:t>
      </w:r>
      <w:r w:rsidR="0076727D" w:rsidRPr="007D089C">
        <w:rPr>
          <w:rFonts w:ascii="Times-Roman" w:hAnsi="Times-Roman" w:cs="Times-Roman"/>
          <w:lang w:val="en-US"/>
        </w:rPr>
        <w:t xml:space="preserve"> </w:t>
      </w:r>
      <w:r w:rsidR="00B473E0" w:rsidRPr="007D089C">
        <w:rPr>
          <w:rFonts w:ascii="Times-Roman" w:hAnsi="Times-Roman" w:cs="Times-Roman"/>
          <w:lang w:val="en-US"/>
        </w:rPr>
        <w:t>no reported association</w:t>
      </w:r>
      <w:r w:rsidR="0076727D" w:rsidRPr="007D089C">
        <w:rPr>
          <w:rFonts w:ascii="Times-Roman" w:hAnsi="Times-Roman" w:cs="Times-Roman"/>
          <w:lang w:val="en-US"/>
        </w:rPr>
        <w:t>,</w:t>
      </w:r>
      <w:r w:rsidR="00B473E0" w:rsidRPr="007D089C">
        <w:rPr>
          <w:rFonts w:ascii="Times-Roman" w:hAnsi="Times-Roman" w:cs="Times-Roman"/>
          <w:lang w:val="en-US"/>
        </w:rPr>
        <w:t xml:space="preserve"> “2” indicates two publications with supporting evidence. The protei</w:t>
      </w:r>
      <w:r w:rsidR="00FC7692" w:rsidRPr="007D089C">
        <w:rPr>
          <w:rFonts w:ascii="Times-Roman" w:hAnsi="Times-Roman" w:cs="Times-Roman"/>
          <w:lang w:val="en-US"/>
        </w:rPr>
        <w:t>ns are indicated with their UniP</w:t>
      </w:r>
      <w:r w:rsidR="00B473E0" w:rsidRPr="007D089C">
        <w:rPr>
          <w:rFonts w:ascii="Times-Roman" w:hAnsi="Times-Roman" w:cs="Times-Roman"/>
          <w:lang w:val="en-US"/>
        </w:rPr>
        <w:t>rot accession numbers and IDs, where an asterisk (</w:t>
      </w:r>
      <w:r w:rsidR="0076727D" w:rsidRPr="007D089C">
        <w:rPr>
          <w:rFonts w:ascii="Times-Roman" w:hAnsi="Times-Roman" w:cs="Times-Roman"/>
          <w:lang w:val="en-US"/>
        </w:rPr>
        <w:t>*</w:t>
      </w:r>
      <w:r w:rsidR="00B473E0" w:rsidRPr="007D089C">
        <w:rPr>
          <w:rFonts w:ascii="Times-Roman" w:hAnsi="Times-Roman" w:cs="Times-Roman"/>
          <w:lang w:val="en-US"/>
        </w:rPr>
        <w:t>)</w:t>
      </w:r>
      <w:r w:rsidR="0076727D" w:rsidRPr="007D089C">
        <w:rPr>
          <w:rFonts w:ascii="Times-Roman" w:hAnsi="Times-Roman" w:cs="Times-Roman"/>
          <w:lang w:val="en-US"/>
        </w:rPr>
        <w:t xml:space="preserve"> </w:t>
      </w:r>
      <w:r w:rsidR="00B473E0" w:rsidRPr="007D089C">
        <w:rPr>
          <w:rFonts w:ascii="Times-Roman" w:hAnsi="Times-Roman" w:cs="Times-Roman"/>
          <w:lang w:val="en-US"/>
        </w:rPr>
        <w:t xml:space="preserve">added to indicate proteins that are </w:t>
      </w:r>
      <w:r w:rsidR="0076727D" w:rsidRPr="007D089C">
        <w:rPr>
          <w:rFonts w:ascii="Times-Roman" w:hAnsi="Times-Roman" w:cs="Times-Roman"/>
          <w:lang w:val="en-US"/>
        </w:rPr>
        <w:t xml:space="preserve">frequent </w:t>
      </w:r>
      <w:r w:rsidR="00B473E0" w:rsidRPr="007D089C">
        <w:rPr>
          <w:rFonts w:ascii="Times-Roman" w:hAnsi="Times-Roman" w:cs="Times-Roman"/>
          <w:lang w:val="en-US"/>
        </w:rPr>
        <w:t>immune-depletion targets.</w:t>
      </w:r>
      <w:r w:rsidR="0076727D" w:rsidRPr="007D089C">
        <w:rPr>
          <w:rFonts w:ascii="Times-Roman" w:hAnsi="Times-Roman" w:cs="Times-Roman"/>
          <w:lang w:val="en-US"/>
        </w:rPr>
        <w:t xml:space="preserve"> </w:t>
      </w:r>
    </w:p>
    <w:p w14:paraId="6F3C5C87" w14:textId="77777777" w:rsidR="0076727D" w:rsidRPr="007D089C" w:rsidRDefault="0076727D" w:rsidP="0076727D">
      <w:pPr>
        <w:spacing w:line="480" w:lineRule="auto"/>
        <w:rPr>
          <w:rFonts w:ascii="Times-Roman" w:hAnsi="Times-Roman" w:cs="Times-Roman"/>
          <w:b/>
          <w:lang w:val="en-US"/>
        </w:rPr>
      </w:pPr>
    </w:p>
    <w:p w14:paraId="307590E6" w14:textId="77777777" w:rsidR="0028337C" w:rsidRPr="007D089C" w:rsidRDefault="0028337C" w:rsidP="0076727D">
      <w:pPr>
        <w:spacing w:line="480" w:lineRule="auto"/>
        <w:rPr>
          <w:rFonts w:ascii="Times-Roman" w:hAnsi="Times-Roman" w:cs="Times-Roman"/>
          <w:b/>
          <w:lang w:val="en-US"/>
        </w:rPr>
      </w:pPr>
    </w:p>
    <w:p w14:paraId="29449D6D" w14:textId="333A8D61" w:rsidR="000074EB" w:rsidRPr="007D089C" w:rsidRDefault="0028337C" w:rsidP="0076727D">
      <w:pPr>
        <w:spacing w:line="480" w:lineRule="auto"/>
        <w:rPr>
          <w:rFonts w:ascii="Times-Roman" w:hAnsi="Times-Roman" w:cs="Times-Roman"/>
          <w:lang w:val="en-US"/>
        </w:rPr>
      </w:pPr>
      <w:r w:rsidRPr="007D089C">
        <w:rPr>
          <w:rFonts w:ascii="Times-Roman" w:hAnsi="Times-Roman" w:cs="Times-Roman"/>
          <w:b/>
          <w:lang w:val="en-US"/>
        </w:rPr>
        <w:t xml:space="preserve">Figure </w:t>
      </w:r>
      <w:r w:rsidR="0076727D" w:rsidRPr="007D089C">
        <w:rPr>
          <w:rFonts w:ascii="Times-Roman" w:hAnsi="Times-Roman" w:cs="Times-Roman"/>
          <w:b/>
          <w:lang w:val="en-US"/>
        </w:rPr>
        <w:t>3</w:t>
      </w:r>
      <w:r w:rsidRPr="007D089C">
        <w:rPr>
          <w:rFonts w:ascii="Times-Roman" w:hAnsi="Times-Roman" w:cs="Times-Roman"/>
          <w:b/>
          <w:lang w:val="en-US"/>
        </w:rPr>
        <w:t xml:space="preserve">: </w:t>
      </w:r>
      <w:r w:rsidR="00947A1F" w:rsidRPr="007D089C">
        <w:rPr>
          <w:rFonts w:ascii="Times-Roman" w:hAnsi="Times-Roman" w:cs="Times-Roman"/>
          <w:b/>
          <w:lang w:val="en-US"/>
        </w:rPr>
        <w:t xml:space="preserve">Subdivision of Isobaric labeling </w:t>
      </w:r>
      <w:r w:rsidRPr="007D089C">
        <w:rPr>
          <w:rFonts w:ascii="Times-Roman" w:hAnsi="Times-Roman" w:cs="Times-Roman"/>
          <w:b/>
          <w:lang w:val="en-US"/>
        </w:rPr>
        <w:t xml:space="preserve">Plasma proteomic research </w:t>
      </w:r>
      <w:r w:rsidR="00947A1F" w:rsidRPr="007D089C">
        <w:rPr>
          <w:rFonts w:ascii="Times-Roman" w:hAnsi="Times-Roman" w:cs="Times-Roman"/>
          <w:b/>
          <w:lang w:val="en-US"/>
        </w:rPr>
        <w:t xml:space="preserve">by </w:t>
      </w:r>
      <w:r w:rsidRPr="007D089C">
        <w:rPr>
          <w:rFonts w:ascii="Times-Roman" w:hAnsi="Times-Roman" w:cs="Times-Roman"/>
          <w:b/>
          <w:lang w:val="en-US"/>
        </w:rPr>
        <w:t>organ</w:t>
      </w:r>
      <w:r w:rsidR="00947A1F" w:rsidRPr="007D089C">
        <w:rPr>
          <w:rFonts w:ascii="Times-Roman" w:hAnsi="Times-Roman" w:cs="Times-Roman"/>
          <w:b/>
          <w:lang w:val="en-US"/>
        </w:rPr>
        <w:t xml:space="preserve"> and disease</w:t>
      </w:r>
      <w:r w:rsidRPr="007D089C">
        <w:rPr>
          <w:rFonts w:ascii="Times-Roman" w:hAnsi="Times-Roman" w:cs="Times-Roman"/>
          <w:b/>
          <w:lang w:val="en-US"/>
        </w:rPr>
        <w:t>.</w:t>
      </w:r>
      <w:r w:rsidR="00B473E0" w:rsidRPr="007D089C">
        <w:rPr>
          <w:rFonts w:ascii="Times-Roman" w:hAnsi="Times-Roman" w:cs="Times-Roman"/>
          <w:b/>
          <w:lang w:val="en-US"/>
        </w:rPr>
        <w:t xml:space="preserve"> </w:t>
      </w:r>
      <w:r w:rsidR="00B473E0" w:rsidRPr="007D089C">
        <w:rPr>
          <w:rFonts w:ascii="Times-Roman" w:hAnsi="Times-Roman" w:cs="Times-Roman"/>
          <w:lang w:val="en-US"/>
        </w:rPr>
        <w:t>Plasma proteomics with isobaric labeling has been used to study diseases and conditions affecting a wide range of the body’s organs. The figure provides a body-wise map of the different targets, including a separate subdivision for studies of cancer.</w:t>
      </w:r>
      <w:r w:rsidR="000074EB" w:rsidRPr="007D089C">
        <w:rPr>
          <w:rFonts w:ascii="Times-Roman" w:hAnsi="Times-Roman" w:cs="Times-Roman"/>
          <w:lang w:val="en-US"/>
        </w:rPr>
        <w:br w:type="page"/>
      </w:r>
    </w:p>
    <w:p w14:paraId="48581838" w14:textId="77777777" w:rsidR="00980C45" w:rsidRPr="007D089C" w:rsidRDefault="005C7057" w:rsidP="00C141DD">
      <w:pPr>
        <w:rPr>
          <w:rFonts w:ascii="Times-Roman" w:hAnsi="Times-Roman" w:cs="Times-Roman"/>
          <w:b/>
          <w:lang w:val="en-US"/>
        </w:rPr>
      </w:pPr>
      <w:r w:rsidRPr="007D089C">
        <w:rPr>
          <w:rFonts w:ascii="Times-Roman" w:hAnsi="Times-Roman" w:cs="Times-Roman"/>
          <w:b/>
          <w:lang w:val="en-US"/>
        </w:rPr>
        <w:t>Table 1</w:t>
      </w:r>
    </w:p>
    <w:tbl>
      <w:tblPr>
        <w:tblW w:w="9683" w:type="dxa"/>
        <w:tblInd w:w="93" w:type="dxa"/>
        <w:tblLook w:val="04A0" w:firstRow="1" w:lastRow="0" w:firstColumn="1" w:lastColumn="0" w:noHBand="0" w:noVBand="1"/>
      </w:tblPr>
      <w:tblGrid>
        <w:gridCol w:w="1789"/>
        <w:gridCol w:w="69"/>
        <w:gridCol w:w="4281"/>
        <w:gridCol w:w="3544"/>
      </w:tblGrid>
      <w:tr w:rsidR="00980C45" w:rsidRPr="007D089C" w14:paraId="52E89156" w14:textId="77777777" w:rsidTr="00C141DD">
        <w:trPr>
          <w:trHeight w:val="300"/>
        </w:trPr>
        <w:tc>
          <w:tcPr>
            <w:tcW w:w="1858" w:type="dxa"/>
            <w:gridSpan w:val="2"/>
            <w:tcBorders>
              <w:top w:val="single" w:sz="4" w:space="0" w:color="auto"/>
              <w:left w:val="single" w:sz="4" w:space="0" w:color="auto"/>
              <w:bottom w:val="single" w:sz="4" w:space="0" w:color="auto"/>
              <w:right w:val="single" w:sz="4" w:space="0" w:color="auto"/>
            </w:tcBorders>
            <w:shd w:val="clear" w:color="auto" w:fill="auto"/>
            <w:noWrap/>
            <w:vAlign w:val="bottom"/>
          </w:tcPr>
          <w:p w14:paraId="76A5E9F7" w14:textId="77777777" w:rsidR="00980C45" w:rsidRPr="007D089C" w:rsidRDefault="00980C45" w:rsidP="00C141DD">
            <w:pPr>
              <w:rPr>
                <w:color w:val="000000"/>
                <w:sz w:val="22"/>
                <w:szCs w:val="22"/>
                <w:lang w:val="en-US"/>
              </w:rPr>
            </w:pPr>
            <w:r w:rsidRPr="007D089C">
              <w:rPr>
                <w:color w:val="000000"/>
                <w:sz w:val="22"/>
                <w:szCs w:val="22"/>
                <w:lang w:val="en-US"/>
              </w:rPr>
              <w:t>Type</w:t>
            </w:r>
          </w:p>
        </w:tc>
        <w:tc>
          <w:tcPr>
            <w:tcW w:w="4281" w:type="dxa"/>
            <w:tcBorders>
              <w:top w:val="single" w:sz="4" w:space="0" w:color="auto"/>
              <w:left w:val="single" w:sz="4" w:space="0" w:color="auto"/>
              <w:bottom w:val="single" w:sz="4" w:space="0" w:color="auto"/>
              <w:right w:val="single" w:sz="4" w:space="0" w:color="auto"/>
            </w:tcBorders>
            <w:shd w:val="clear" w:color="auto" w:fill="auto"/>
          </w:tcPr>
          <w:p w14:paraId="560DAFD3" w14:textId="77777777" w:rsidR="00980C45" w:rsidRPr="007D089C" w:rsidRDefault="00980C45" w:rsidP="00C141DD">
            <w:pPr>
              <w:rPr>
                <w:color w:val="000000"/>
                <w:sz w:val="22"/>
                <w:szCs w:val="22"/>
                <w:lang w:val="en-US"/>
              </w:rPr>
            </w:pPr>
            <w:r w:rsidRPr="007D089C">
              <w:rPr>
                <w:color w:val="000000"/>
                <w:sz w:val="22"/>
                <w:szCs w:val="22"/>
                <w:lang w:val="en-US"/>
              </w:rPr>
              <w:t>Targets</w:t>
            </w:r>
          </w:p>
        </w:tc>
        <w:tc>
          <w:tcPr>
            <w:tcW w:w="3544" w:type="dxa"/>
            <w:tcBorders>
              <w:top w:val="single" w:sz="4" w:space="0" w:color="auto"/>
              <w:left w:val="single" w:sz="4" w:space="0" w:color="auto"/>
              <w:bottom w:val="single" w:sz="4" w:space="0" w:color="auto"/>
              <w:right w:val="single" w:sz="4" w:space="0" w:color="auto"/>
            </w:tcBorders>
            <w:shd w:val="clear" w:color="auto" w:fill="auto"/>
          </w:tcPr>
          <w:p w14:paraId="661F1EAC" w14:textId="77777777" w:rsidR="00980C45" w:rsidRPr="007D089C" w:rsidRDefault="00980C45" w:rsidP="00C141DD">
            <w:pPr>
              <w:rPr>
                <w:color w:val="000000"/>
                <w:sz w:val="22"/>
                <w:szCs w:val="22"/>
                <w:lang w:val="en-US"/>
              </w:rPr>
            </w:pPr>
            <w:r w:rsidRPr="007D089C">
              <w:rPr>
                <w:color w:val="000000"/>
                <w:sz w:val="22"/>
                <w:szCs w:val="22"/>
                <w:lang w:val="en-US"/>
              </w:rPr>
              <w:t>Examples</w:t>
            </w:r>
          </w:p>
        </w:tc>
      </w:tr>
      <w:tr w:rsidR="00980C45" w:rsidRPr="007D089C" w14:paraId="42ED18F8" w14:textId="77777777" w:rsidTr="00C141DD">
        <w:trPr>
          <w:trHeight w:val="300"/>
        </w:trPr>
        <w:tc>
          <w:tcPr>
            <w:tcW w:w="9683" w:type="dxa"/>
            <w:gridSpan w:val="4"/>
            <w:tcBorders>
              <w:top w:val="single" w:sz="4" w:space="0" w:color="auto"/>
              <w:left w:val="single" w:sz="4" w:space="0" w:color="auto"/>
              <w:bottom w:val="single" w:sz="4" w:space="0" w:color="auto"/>
              <w:right w:val="single" w:sz="4" w:space="0" w:color="auto"/>
            </w:tcBorders>
            <w:shd w:val="pct5" w:color="auto" w:fill="auto"/>
            <w:noWrap/>
            <w:vAlign w:val="bottom"/>
            <w:hideMark/>
          </w:tcPr>
          <w:p w14:paraId="3F1C7CD0" w14:textId="77777777" w:rsidR="00980C45" w:rsidRPr="007D089C" w:rsidRDefault="00980C45" w:rsidP="00C141DD">
            <w:pPr>
              <w:rPr>
                <w:color w:val="000000"/>
                <w:sz w:val="22"/>
                <w:szCs w:val="22"/>
                <w:lang w:val="en-US"/>
              </w:rPr>
            </w:pPr>
            <w:r w:rsidRPr="007D089C">
              <w:rPr>
                <w:color w:val="000000"/>
                <w:sz w:val="22"/>
                <w:szCs w:val="22"/>
                <w:lang w:val="en-US"/>
              </w:rPr>
              <w:t>Agilent series</w:t>
            </w:r>
            <w:r w:rsidR="005C7057" w:rsidRPr="007D089C">
              <w:rPr>
                <w:color w:val="000000"/>
                <w:sz w:val="22"/>
                <w:szCs w:val="22"/>
                <w:lang w:val="en-US"/>
              </w:rPr>
              <w:t xml:space="preserve"> </w:t>
            </w:r>
            <w:r w:rsidR="005C7057" w:rsidRPr="007D089C">
              <w:rPr>
                <w:sz w:val="22"/>
                <w:szCs w:val="22"/>
                <w:lang w:val="en-US"/>
              </w:rPr>
              <w:t>(Immuno-affinity)</w:t>
            </w:r>
          </w:p>
        </w:tc>
      </w:tr>
      <w:tr w:rsidR="00980C45" w:rsidRPr="007D089C" w14:paraId="4BB4ED0E" w14:textId="77777777" w:rsidTr="00C141DD">
        <w:trPr>
          <w:trHeight w:val="300"/>
        </w:trPr>
        <w:tc>
          <w:tcPr>
            <w:tcW w:w="17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E3C108" w14:textId="77777777" w:rsidR="00980C45" w:rsidRPr="007D089C" w:rsidRDefault="00980C45" w:rsidP="00C141DD">
            <w:pPr>
              <w:jc w:val="center"/>
              <w:rPr>
                <w:color w:val="000000"/>
                <w:sz w:val="22"/>
                <w:szCs w:val="22"/>
                <w:lang w:val="en-US"/>
              </w:rPr>
            </w:pPr>
            <w:r w:rsidRPr="007D089C">
              <w:rPr>
                <w:color w:val="000000"/>
                <w:sz w:val="22"/>
                <w:szCs w:val="22"/>
                <w:lang w:val="en-US"/>
              </w:rPr>
              <w:t>Mouse 3:</w:t>
            </w:r>
          </w:p>
        </w:tc>
        <w:tc>
          <w:tcPr>
            <w:tcW w:w="4350" w:type="dxa"/>
            <w:gridSpan w:val="2"/>
            <w:tcBorders>
              <w:top w:val="single" w:sz="4" w:space="0" w:color="auto"/>
              <w:left w:val="single" w:sz="4" w:space="0" w:color="auto"/>
              <w:bottom w:val="single" w:sz="4" w:space="0" w:color="auto"/>
              <w:right w:val="single" w:sz="4" w:space="0" w:color="auto"/>
            </w:tcBorders>
          </w:tcPr>
          <w:p w14:paraId="687108B3" w14:textId="77777777" w:rsidR="00980C45" w:rsidRPr="007D089C" w:rsidRDefault="00980C45" w:rsidP="00C141DD">
            <w:pPr>
              <w:rPr>
                <w:color w:val="000000"/>
                <w:sz w:val="22"/>
                <w:szCs w:val="22"/>
                <w:lang w:val="en-US"/>
              </w:rPr>
            </w:pPr>
            <w:r w:rsidRPr="007D089C">
              <w:rPr>
                <w:color w:val="000000"/>
                <w:sz w:val="22"/>
                <w:szCs w:val="22"/>
                <w:lang w:val="en-US"/>
              </w:rPr>
              <w:t>Albumin, IgG, transferrin</w:t>
            </w:r>
          </w:p>
        </w:tc>
        <w:tc>
          <w:tcPr>
            <w:tcW w:w="3544" w:type="dxa"/>
            <w:tcBorders>
              <w:top w:val="single" w:sz="4" w:space="0" w:color="auto"/>
              <w:left w:val="single" w:sz="4" w:space="0" w:color="auto"/>
              <w:bottom w:val="single" w:sz="4" w:space="0" w:color="auto"/>
              <w:right w:val="single" w:sz="4" w:space="0" w:color="auto"/>
            </w:tcBorders>
          </w:tcPr>
          <w:p w14:paraId="5367AF17" w14:textId="5A06D8F1" w:rsidR="00980C45" w:rsidRPr="007D089C" w:rsidRDefault="00980C45" w:rsidP="00C141DD">
            <w:pPr>
              <w:rPr>
                <w:color w:val="000000"/>
                <w:sz w:val="22"/>
                <w:szCs w:val="22"/>
                <w:lang w:val="en-US"/>
              </w:rPr>
            </w:pPr>
            <w:r w:rsidRPr="007D089C">
              <w:rPr>
                <w:color w:val="000000"/>
                <w:sz w:val="22"/>
                <w:szCs w:val="22"/>
                <w:lang w:val="en-US"/>
              </w:rPr>
              <w:t xml:space="preserve">Xenograph </w:t>
            </w:r>
            <w:r w:rsidRPr="007D089C">
              <w:rPr>
                <w:color w:val="000000"/>
                <w:sz w:val="22"/>
                <w:szCs w:val="22"/>
                <w:lang w:val="en-US"/>
              </w:rPr>
              <w:fldChar w:fldCharType="begin"/>
            </w:r>
            <w:r w:rsidRPr="007D089C">
              <w:rPr>
                <w:color w:val="000000"/>
                <w:sz w:val="22"/>
                <w:szCs w:val="22"/>
                <w:lang w:val="en-US"/>
              </w:rPr>
              <w:instrText>ADDIN RW.CITE{{1428 Chong,P.K. 2010}}</w:instrText>
            </w:r>
            <w:r w:rsidRPr="007D089C">
              <w:rPr>
                <w:color w:val="000000"/>
                <w:sz w:val="22"/>
                <w:szCs w:val="22"/>
                <w:lang w:val="en-US"/>
              </w:rPr>
              <w:fldChar w:fldCharType="separate"/>
            </w:r>
            <w:r w:rsidR="00C77B76">
              <w:rPr>
                <w:color w:val="000000"/>
                <w:sz w:val="22"/>
                <w:szCs w:val="22"/>
                <w:lang w:val="en-US"/>
              </w:rPr>
              <w:t>(Chong, Lee, Zhou, Liu, Loh, Wang et al., 2010)</w:t>
            </w:r>
            <w:r w:rsidRPr="007D089C">
              <w:rPr>
                <w:color w:val="000000"/>
                <w:sz w:val="22"/>
                <w:szCs w:val="22"/>
                <w:lang w:val="en-US"/>
              </w:rPr>
              <w:fldChar w:fldCharType="end"/>
            </w:r>
            <w:r w:rsidRPr="007D089C">
              <w:rPr>
                <w:color w:val="000000"/>
                <w:sz w:val="22"/>
                <w:szCs w:val="22"/>
                <w:lang w:val="en-US"/>
              </w:rPr>
              <w:fldChar w:fldCharType="begin"/>
            </w:r>
            <w:r w:rsidRPr="007D089C">
              <w:rPr>
                <w:color w:val="000000"/>
                <w:sz w:val="22"/>
                <w:szCs w:val="22"/>
                <w:lang w:val="en-US"/>
              </w:rPr>
              <w:instrText>ADDIN RW.CITE{{2007 Jing,L. 2011}}</w:instrText>
            </w:r>
            <w:r w:rsidRPr="007D089C">
              <w:rPr>
                <w:color w:val="000000"/>
                <w:sz w:val="22"/>
                <w:szCs w:val="22"/>
                <w:lang w:val="en-US"/>
              </w:rPr>
              <w:fldChar w:fldCharType="separate"/>
            </w:r>
            <w:r w:rsidR="00C77B76">
              <w:rPr>
                <w:color w:val="000000"/>
                <w:sz w:val="22"/>
                <w:szCs w:val="22"/>
                <w:lang w:val="en-US"/>
              </w:rPr>
              <w:t>(Jing et al., 2011)</w:t>
            </w:r>
            <w:r w:rsidRPr="007D089C">
              <w:rPr>
                <w:color w:val="000000"/>
                <w:sz w:val="22"/>
                <w:szCs w:val="22"/>
                <w:lang w:val="en-US"/>
              </w:rPr>
              <w:fldChar w:fldCharType="end"/>
            </w:r>
          </w:p>
        </w:tc>
      </w:tr>
      <w:tr w:rsidR="00980C45" w:rsidRPr="007D089C" w14:paraId="2E4D0787" w14:textId="77777777" w:rsidTr="00C141DD">
        <w:trPr>
          <w:trHeight w:val="708"/>
        </w:trPr>
        <w:tc>
          <w:tcPr>
            <w:tcW w:w="17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6F71AE8" w14:textId="77777777" w:rsidR="00980C45" w:rsidRPr="007D089C" w:rsidRDefault="00980C45" w:rsidP="00C141DD">
            <w:pPr>
              <w:jc w:val="center"/>
              <w:rPr>
                <w:color w:val="000000"/>
                <w:sz w:val="22"/>
                <w:szCs w:val="22"/>
                <w:lang w:val="en-US"/>
              </w:rPr>
            </w:pPr>
            <w:r w:rsidRPr="007D089C">
              <w:rPr>
                <w:color w:val="000000"/>
                <w:sz w:val="22"/>
                <w:szCs w:val="22"/>
                <w:lang w:val="en-US"/>
              </w:rPr>
              <w:t>MARS6</w:t>
            </w:r>
          </w:p>
        </w:tc>
        <w:tc>
          <w:tcPr>
            <w:tcW w:w="4350" w:type="dxa"/>
            <w:gridSpan w:val="2"/>
            <w:tcBorders>
              <w:top w:val="single" w:sz="4" w:space="0" w:color="auto"/>
              <w:left w:val="single" w:sz="4" w:space="0" w:color="auto"/>
              <w:bottom w:val="single" w:sz="4" w:space="0" w:color="auto"/>
              <w:right w:val="single" w:sz="4" w:space="0" w:color="auto"/>
            </w:tcBorders>
          </w:tcPr>
          <w:p w14:paraId="00D03AE9" w14:textId="77777777" w:rsidR="00980C45" w:rsidRPr="007D089C" w:rsidRDefault="00980C45" w:rsidP="00C141DD">
            <w:pPr>
              <w:rPr>
                <w:color w:val="000000"/>
                <w:sz w:val="22"/>
                <w:szCs w:val="22"/>
                <w:lang w:val="en-US"/>
              </w:rPr>
            </w:pPr>
            <w:r w:rsidRPr="007D089C">
              <w:rPr>
                <w:color w:val="000000"/>
                <w:sz w:val="22"/>
                <w:szCs w:val="22"/>
                <w:lang w:val="en-US"/>
              </w:rPr>
              <w:t>Albumin</w:t>
            </w:r>
            <w:r w:rsidRPr="007D089C">
              <w:rPr>
                <w:sz w:val="22"/>
                <w:szCs w:val="22"/>
                <w:lang w:val="en-US"/>
              </w:rPr>
              <w:t>, transferrin, haptoglobin, IgG, IgA, and α1-antitrypsin</w:t>
            </w:r>
          </w:p>
        </w:tc>
        <w:tc>
          <w:tcPr>
            <w:tcW w:w="3544" w:type="dxa"/>
            <w:tcBorders>
              <w:top w:val="single" w:sz="4" w:space="0" w:color="auto"/>
              <w:left w:val="single" w:sz="4" w:space="0" w:color="auto"/>
              <w:bottom w:val="single" w:sz="4" w:space="0" w:color="auto"/>
              <w:right w:val="single" w:sz="4" w:space="0" w:color="auto"/>
            </w:tcBorders>
          </w:tcPr>
          <w:p w14:paraId="4F709D3D" w14:textId="25A37E49" w:rsidR="00980C45" w:rsidRPr="007D089C" w:rsidRDefault="00980C45" w:rsidP="00C141DD">
            <w:pPr>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RW.CITE{{1449 Boylan,K.L. 2010}}</w:instrText>
            </w:r>
            <w:r w:rsidRPr="007D089C">
              <w:rPr>
                <w:color w:val="000000"/>
                <w:sz w:val="22"/>
                <w:szCs w:val="22"/>
                <w:lang w:val="en-US"/>
              </w:rPr>
              <w:fldChar w:fldCharType="separate"/>
            </w:r>
            <w:r w:rsidR="00C77B76">
              <w:rPr>
                <w:color w:val="000000"/>
                <w:sz w:val="22"/>
                <w:szCs w:val="22"/>
                <w:lang w:val="en-US"/>
              </w:rPr>
              <w:t>(Boylan, Andersen, Anderson, Higgins, &amp; Skubitz, 2010)</w:t>
            </w:r>
            <w:r w:rsidRPr="007D089C">
              <w:rPr>
                <w:color w:val="000000"/>
                <w:sz w:val="22"/>
                <w:szCs w:val="22"/>
                <w:lang w:val="en-US"/>
              </w:rPr>
              <w:fldChar w:fldCharType="end"/>
            </w:r>
          </w:p>
        </w:tc>
      </w:tr>
      <w:tr w:rsidR="00980C45" w:rsidRPr="007D089C" w14:paraId="7209D84D" w14:textId="77777777" w:rsidTr="00C141DD">
        <w:trPr>
          <w:trHeight w:val="300"/>
        </w:trPr>
        <w:tc>
          <w:tcPr>
            <w:tcW w:w="17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26873B" w14:textId="77777777" w:rsidR="00980C45" w:rsidRPr="007D089C" w:rsidRDefault="00980C45" w:rsidP="00C141DD">
            <w:pPr>
              <w:jc w:val="center"/>
              <w:rPr>
                <w:color w:val="000000"/>
                <w:sz w:val="22"/>
                <w:szCs w:val="22"/>
                <w:lang w:val="en-US"/>
              </w:rPr>
            </w:pPr>
            <w:r w:rsidRPr="007D089C">
              <w:rPr>
                <w:color w:val="000000"/>
                <w:sz w:val="22"/>
                <w:szCs w:val="22"/>
                <w:lang w:val="en-US"/>
              </w:rPr>
              <w:t>MARS7</w:t>
            </w:r>
          </w:p>
        </w:tc>
        <w:tc>
          <w:tcPr>
            <w:tcW w:w="4350" w:type="dxa"/>
            <w:gridSpan w:val="2"/>
            <w:tcBorders>
              <w:top w:val="single" w:sz="4" w:space="0" w:color="auto"/>
              <w:left w:val="single" w:sz="4" w:space="0" w:color="auto"/>
              <w:bottom w:val="single" w:sz="4" w:space="0" w:color="auto"/>
              <w:right w:val="single" w:sz="4" w:space="0" w:color="auto"/>
            </w:tcBorders>
          </w:tcPr>
          <w:p w14:paraId="4D1EBD52" w14:textId="77777777" w:rsidR="00980C45" w:rsidRPr="007D089C" w:rsidRDefault="00980C45" w:rsidP="00C141DD">
            <w:pPr>
              <w:rPr>
                <w:color w:val="000000"/>
                <w:sz w:val="22"/>
                <w:szCs w:val="22"/>
                <w:lang w:val="en-US"/>
              </w:rPr>
            </w:pPr>
            <w:r w:rsidRPr="007D089C">
              <w:rPr>
                <w:color w:val="000000"/>
                <w:sz w:val="22"/>
                <w:szCs w:val="22"/>
                <w:lang w:val="en-US"/>
              </w:rPr>
              <w:t>MARS6 targets plus</w:t>
            </w:r>
            <w:r w:rsidRPr="007D089C">
              <w:rPr>
                <w:b/>
                <w:color w:val="000000"/>
                <w:sz w:val="22"/>
                <w:szCs w:val="22"/>
                <w:lang w:val="en-US"/>
              </w:rPr>
              <w:t xml:space="preserve"> </w:t>
            </w:r>
            <w:r w:rsidRPr="00336144">
              <w:rPr>
                <w:color w:val="000000"/>
                <w:sz w:val="22"/>
                <w:szCs w:val="22"/>
                <w:lang w:val="en-US"/>
              </w:rPr>
              <w:t>Fibrinogen</w:t>
            </w:r>
          </w:p>
        </w:tc>
        <w:tc>
          <w:tcPr>
            <w:tcW w:w="3544" w:type="dxa"/>
            <w:tcBorders>
              <w:top w:val="single" w:sz="4" w:space="0" w:color="auto"/>
              <w:left w:val="single" w:sz="4" w:space="0" w:color="auto"/>
              <w:bottom w:val="single" w:sz="4" w:space="0" w:color="auto"/>
              <w:right w:val="single" w:sz="4" w:space="0" w:color="auto"/>
            </w:tcBorders>
          </w:tcPr>
          <w:p w14:paraId="2F51D94B" w14:textId="3C951CD0" w:rsidR="00980C45" w:rsidRPr="007D089C" w:rsidRDefault="00980C45" w:rsidP="00C141DD">
            <w:pPr>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 1912 Luczak,M. 2014}}</w:instrText>
            </w:r>
            <w:r w:rsidRPr="007D089C">
              <w:rPr>
                <w:color w:val="000000"/>
                <w:sz w:val="22"/>
                <w:szCs w:val="22"/>
                <w:lang w:val="en-US"/>
              </w:rPr>
              <w:fldChar w:fldCharType="separate"/>
            </w:r>
            <w:r w:rsidR="00C77B76">
              <w:rPr>
                <w:color w:val="000000"/>
                <w:sz w:val="22"/>
                <w:szCs w:val="22"/>
                <w:lang w:val="en-US"/>
              </w:rPr>
              <w:t>(Luczak et al., 2014)</w:t>
            </w:r>
            <w:r w:rsidRPr="007D089C">
              <w:rPr>
                <w:color w:val="000000"/>
                <w:sz w:val="22"/>
                <w:szCs w:val="22"/>
                <w:lang w:val="en-US"/>
              </w:rPr>
              <w:fldChar w:fldCharType="end"/>
            </w:r>
          </w:p>
        </w:tc>
      </w:tr>
      <w:tr w:rsidR="00980C45" w:rsidRPr="007D089C" w14:paraId="5CDC80E5" w14:textId="77777777" w:rsidTr="00C141DD">
        <w:trPr>
          <w:trHeight w:val="300"/>
        </w:trPr>
        <w:tc>
          <w:tcPr>
            <w:tcW w:w="17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BBFBCD" w14:textId="77777777" w:rsidR="00980C45" w:rsidRPr="007D089C" w:rsidRDefault="00980C45" w:rsidP="00C141DD">
            <w:pPr>
              <w:jc w:val="center"/>
              <w:rPr>
                <w:color w:val="000000"/>
                <w:sz w:val="22"/>
                <w:szCs w:val="22"/>
                <w:lang w:val="en-US"/>
              </w:rPr>
            </w:pPr>
            <w:r w:rsidRPr="007D089C">
              <w:rPr>
                <w:color w:val="000000"/>
                <w:sz w:val="22"/>
                <w:szCs w:val="22"/>
                <w:lang w:val="en-US"/>
              </w:rPr>
              <w:t>MARS14</w:t>
            </w:r>
          </w:p>
        </w:tc>
        <w:tc>
          <w:tcPr>
            <w:tcW w:w="4350" w:type="dxa"/>
            <w:gridSpan w:val="2"/>
            <w:tcBorders>
              <w:top w:val="single" w:sz="4" w:space="0" w:color="auto"/>
              <w:left w:val="single" w:sz="4" w:space="0" w:color="auto"/>
              <w:bottom w:val="single" w:sz="4" w:space="0" w:color="auto"/>
              <w:right w:val="single" w:sz="4" w:space="0" w:color="auto"/>
            </w:tcBorders>
          </w:tcPr>
          <w:p w14:paraId="0CB7F52A" w14:textId="77777777" w:rsidR="00980C45" w:rsidRPr="007D089C" w:rsidRDefault="00980C45" w:rsidP="00C141DD">
            <w:pPr>
              <w:jc w:val="both"/>
              <w:rPr>
                <w:color w:val="000000"/>
                <w:sz w:val="22"/>
                <w:szCs w:val="22"/>
                <w:lang w:val="en-US"/>
              </w:rPr>
            </w:pPr>
            <w:r w:rsidRPr="007D089C">
              <w:rPr>
                <w:color w:val="000000"/>
                <w:sz w:val="22"/>
                <w:szCs w:val="22"/>
                <w:lang w:val="en-US"/>
              </w:rPr>
              <w:t xml:space="preserve">MARS7 + </w:t>
            </w:r>
            <w:r w:rsidRPr="007D089C">
              <w:rPr>
                <w:sz w:val="22"/>
                <w:szCs w:val="22"/>
                <w:lang w:val="en-US"/>
              </w:rPr>
              <w:t>α2-macroglobulin, α1-acid glycoprotein, complement C3, IgM, apolipoprotein AI, apolipoprotein AII, and transthyretin</w:t>
            </w:r>
            <w:r w:rsidRPr="007D089C">
              <w:rPr>
                <w:color w:val="000000"/>
                <w:sz w:val="22"/>
                <w:szCs w:val="22"/>
                <w:lang w:val="en-US"/>
              </w:rPr>
              <w:t xml:space="preserve"> </w:t>
            </w:r>
          </w:p>
        </w:tc>
        <w:tc>
          <w:tcPr>
            <w:tcW w:w="3544" w:type="dxa"/>
            <w:tcBorders>
              <w:top w:val="single" w:sz="4" w:space="0" w:color="auto"/>
              <w:left w:val="single" w:sz="4" w:space="0" w:color="auto"/>
              <w:bottom w:val="single" w:sz="4" w:space="0" w:color="auto"/>
              <w:right w:val="single" w:sz="4" w:space="0" w:color="auto"/>
            </w:tcBorders>
          </w:tcPr>
          <w:p w14:paraId="08451252" w14:textId="0BE5019F" w:rsidR="00980C45" w:rsidRPr="007D089C" w:rsidRDefault="00980C45" w:rsidP="00C141DD">
            <w:pPr>
              <w:jc w:val="right"/>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 2032 Tremlett,H. 2015}}</w:instrText>
            </w:r>
            <w:r w:rsidRPr="007D089C">
              <w:rPr>
                <w:color w:val="000000"/>
                <w:sz w:val="22"/>
                <w:szCs w:val="22"/>
                <w:lang w:val="en-US"/>
              </w:rPr>
              <w:fldChar w:fldCharType="separate"/>
            </w:r>
            <w:r w:rsidR="00C77B76">
              <w:rPr>
                <w:color w:val="000000"/>
                <w:sz w:val="22"/>
                <w:szCs w:val="22"/>
                <w:lang w:val="en-US"/>
              </w:rPr>
              <w:t>(Tremlett et al., 2015)</w:t>
            </w:r>
            <w:r w:rsidRPr="007D089C">
              <w:rPr>
                <w:color w:val="000000"/>
                <w:sz w:val="22"/>
                <w:szCs w:val="22"/>
                <w:lang w:val="en-US"/>
              </w:rPr>
              <w:fldChar w:fldCharType="end"/>
            </w:r>
          </w:p>
        </w:tc>
      </w:tr>
      <w:tr w:rsidR="00980C45" w:rsidRPr="007D089C" w14:paraId="3132CC8F" w14:textId="77777777" w:rsidTr="00C141DD">
        <w:trPr>
          <w:trHeight w:val="300"/>
        </w:trPr>
        <w:tc>
          <w:tcPr>
            <w:tcW w:w="9683" w:type="dxa"/>
            <w:gridSpan w:val="4"/>
            <w:tcBorders>
              <w:top w:val="single" w:sz="4" w:space="0" w:color="auto"/>
              <w:left w:val="single" w:sz="4" w:space="0" w:color="auto"/>
              <w:bottom w:val="single" w:sz="4" w:space="0" w:color="auto"/>
              <w:right w:val="single" w:sz="4" w:space="0" w:color="auto"/>
            </w:tcBorders>
            <w:shd w:val="pct5" w:color="auto" w:fill="auto"/>
            <w:noWrap/>
            <w:vAlign w:val="bottom"/>
            <w:hideMark/>
          </w:tcPr>
          <w:p w14:paraId="1249B85F" w14:textId="77777777" w:rsidR="00980C45" w:rsidRPr="007D089C" w:rsidRDefault="00980C45" w:rsidP="00C141DD">
            <w:pPr>
              <w:rPr>
                <w:color w:val="000000"/>
                <w:sz w:val="22"/>
                <w:szCs w:val="22"/>
                <w:lang w:val="en-US"/>
              </w:rPr>
            </w:pPr>
            <w:r w:rsidRPr="007D089C">
              <w:rPr>
                <w:color w:val="000000"/>
                <w:sz w:val="22"/>
                <w:szCs w:val="22"/>
                <w:lang w:val="en-US"/>
              </w:rPr>
              <w:t>IgY series (Geneway)</w:t>
            </w:r>
            <w:r w:rsidR="005C7057" w:rsidRPr="007D089C">
              <w:rPr>
                <w:color w:val="000000"/>
                <w:sz w:val="22"/>
                <w:szCs w:val="22"/>
                <w:lang w:val="en-US"/>
              </w:rPr>
              <w:t xml:space="preserve"> </w:t>
            </w:r>
            <w:r w:rsidR="005C7057" w:rsidRPr="007D089C">
              <w:rPr>
                <w:sz w:val="22"/>
                <w:szCs w:val="22"/>
                <w:lang w:val="en-US"/>
              </w:rPr>
              <w:t>(Immuno-affinity)</w:t>
            </w:r>
          </w:p>
        </w:tc>
      </w:tr>
      <w:tr w:rsidR="00980C45" w:rsidRPr="007D089C" w14:paraId="03B3B0C3" w14:textId="77777777" w:rsidTr="00C141DD">
        <w:trPr>
          <w:trHeight w:val="300"/>
        </w:trPr>
        <w:tc>
          <w:tcPr>
            <w:tcW w:w="17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4DE5EB2" w14:textId="77777777" w:rsidR="00980C45" w:rsidRPr="007D089C" w:rsidRDefault="00980C45" w:rsidP="00C141DD">
            <w:pPr>
              <w:jc w:val="center"/>
              <w:rPr>
                <w:color w:val="000000"/>
                <w:sz w:val="22"/>
                <w:szCs w:val="22"/>
                <w:lang w:val="en-US"/>
              </w:rPr>
            </w:pPr>
            <w:r w:rsidRPr="007D089C">
              <w:rPr>
                <w:color w:val="000000"/>
                <w:sz w:val="22"/>
                <w:szCs w:val="22"/>
                <w:lang w:val="en-US"/>
              </w:rPr>
              <w:t>IgY7</w:t>
            </w:r>
          </w:p>
        </w:tc>
        <w:tc>
          <w:tcPr>
            <w:tcW w:w="4350" w:type="dxa"/>
            <w:gridSpan w:val="2"/>
            <w:tcBorders>
              <w:top w:val="single" w:sz="4" w:space="0" w:color="auto"/>
              <w:left w:val="single" w:sz="4" w:space="0" w:color="auto"/>
              <w:bottom w:val="single" w:sz="4" w:space="0" w:color="auto"/>
              <w:right w:val="single" w:sz="4" w:space="0" w:color="auto"/>
            </w:tcBorders>
          </w:tcPr>
          <w:p w14:paraId="61E396D9" w14:textId="77777777" w:rsidR="00980C45" w:rsidRPr="007D089C" w:rsidRDefault="00980C45" w:rsidP="00C141DD">
            <w:pPr>
              <w:autoSpaceDE w:val="0"/>
              <w:autoSpaceDN w:val="0"/>
              <w:adjustRightInd w:val="0"/>
              <w:rPr>
                <w:b/>
                <w:color w:val="000000"/>
                <w:sz w:val="22"/>
                <w:szCs w:val="22"/>
                <w:lang w:val="en-US"/>
              </w:rPr>
            </w:pPr>
            <w:r w:rsidRPr="007D089C">
              <w:rPr>
                <w:sz w:val="22"/>
                <w:szCs w:val="22"/>
                <w:lang w:val="en-US"/>
              </w:rPr>
              <w:t>Albumin, IgG, fibrinogen, α1-antitrypsin, transferrin, haptoglobin and IgM</w:t>
            </w:r>
          </w:p>
        </w:tc>
        <w:tc>
          <w:tcPr>
            <w:tcW w:w="3544" w:type="dxa"/>
            <w:tcBorders>
              <w:top w:val="single" w:sz="4" w:space="0" w:color="auto"/>
              <w:left w:val="single" w:sz="4" w:space="0" w:color="auto"/>
              <w:bottom w:val="single" w:sz="4" w:space="0" w:color="auto"/>
              <w:right w:val="single" w:sz="4" w:space="0" w:color="auto"/>
            </w:tcBorders>
          </w:tcPr>
          <w:p w14:paraId="731EE7E8" w14:textId="0C235BFF" w:rsidR="00980C45" w:rsidRPr="007D089C" w:rsidRDefault="00980C45" w:rsidP="00C141DD">
            <w:pPr>
              <w:jc w:val="right"/>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 2033 Takahashi,E. 2013}}</w:instrText>
            </w:r>
            <w:r w:rsidRPr="007D089C">
              <w:rPr>
                <w:color w:val="000000"/>
                <w:sz w:val="22"/>
                <w:szCs w:val="22"/>
                <w:lang w:val="en-US"/>
              </w:rPr>
              <w:fldChar w:fldCharType="separate"/>
            </w:r>
            <w:r w:rsidR="00C77B76">
              <w:rPr>
                <w:color w:val="000000"/>
                <w:sz w:val="22"/>
                <w:szCs w:val="22"/>
                <w:lang w:val="en-US"/>
              </w:rPr>
              <w:t>(Takahashi et al., 2013)</w:t>
            </w:r>
            <w:r w:rsidRPr="007D089C">
              <w:rPr>
                <w:color w:val="000000"/>
                <w:sz w:val="22"/>
                <w:szCs w:val="22"/>
                <w:lang w:val="en-US"/>
              </w:rPr>
              <w:fldChar w:fldCharType="end"/>
            </w:r>
          </w:p>
        </w:tc>
      </w:tr>
      <w:tr w:rsidR="00980C45" w:rsidRPr="007D089C" w14:paraId="2FCFC435" w14:textId="77777777" w:rsidTr="00C141DD">
        <w:trPr>
          <w:trHeight w:val="300"/>
        </w:trPr>
        <w:tc>
          <w:tcPr>
            <w:tcW w:w="17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90D786" w14:textId="77777777" w:rsidR="00980C45" w:rsidRPr="007D089C" w:rsidRDefault="00980C45" w:rsidP="00C141DD">
            <w:pPr>
              <w:jc w:val="center"/>
              <w:rPr>
                <w:color w:val="000000"/>
                <w:sz w:val="22"/>
                <w:szCs w:val="22"/>
                <w:lang w:val="en-US"/>
              </w:rPr>
            </w:pPr>
            <w:r w:rsidRPr="007D089C">
              <w:rPr>
                <w:color w:val="000000"/>
                <w:sz w:val="22"/>
                <w:szCs w:val="22"/>
                <w:lang w:val="en-US"/>
              </w:rPr>
              <w:t>IgY12</w:t>
            </w:r>
          </w:p>
        </w:tc>
        <w:tc>
          <w:tcPr>
            <w:tcW w:w="4350" w:type="dxa"/>
            <w:gridSpan w:val="2"/>
            <w:tcBorders>
              <w:top w:val="single" w:sz="4" w:space="0" w:color="auto"/>
              <w:left w:val="single" w:sz="4" w:space="0" w:color="auto"/>
              <w:bottom w:val="single" w:sz="4" w:space="0" w:color="auto"/>
              <w:right w:val="single" w:sz="4" w:space="0" w:color="auto"/>
            </w:tcBorders>
          </w:tcPr>
          <w:p w14:paraId="12A8E961" w14:textId="77777777" w:rsidR="00980C45" w:rsidRPr="007D089C" w:rsidRDefault="00980C45" w:rsidP="00C141DD">
            <w:pPr>
              <w:rPr>
                <w:color w:val="000000"/>
                <w:sz w:val="22"/>
                <w:szCs w:val="22"/>
                <w:lang w:val="en-US"/>
              </w:rPr>
            </w:pPr>
            <w:r w:rsidRPr="007D089C">
              <w:rPr>
                <w:color w:val="000000"/>
                <w:sz w:val="22"/>
                <w:szCs w:val="22"/>
                <w:lang w:val="en-US"/>
              </w:rPr>
              <w:t xml:space="preserve">IgY7 + </w:t>
            </w:r>
            <w:r w:rsidRPr="007D089C">
              <w:rPr>
                <w:sz w:val="22"/>
                <w:szCs w:val="22"/>
                <w:lang w:val="en-US"/>
              </w:rPr>
              <w:t>IgA, α2- macroglobulin,  α1-Acid Glycoprotein, apolipoprotein A-I, apolipoprotein A-II</w:t>
            </w:r>
          </w:p>
        </w:tc>
        <w:tc>
          <w:tcPr>
            <w:tcW w:w="3544" w:type="dxa"/>
            <w:tcBorders>
              <w:top w:val="single" w:sz="4" w:space="0" w:color="auto"/>
              <w:left w:val="single" w:sz="4" w:space="0" w:color="auto"/>
              <w:bottom w:val="single" w:sz="4" w:space="0" w:color="auto"/>
              <w:right w:val="single" w:sz="4" w:space="0" w:color="auto"/>
            </w:tcBorders>
          </w:tcPr>
          <w:p w14:paraId="750DDC77" w14:textId="1517BE5C" w:rsidR="00980C45" w:rsidRPr="007D089C" w:rsidRDefault="00980C45" w:rsidP="00C141DD">
            <w:pPr>
              <w:jc w:val="right"/>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RW.CITE{{1449 Boylan,K.L. 2010}}</w:instrText>
            </w:r>
            <w:r w:rsidRPr="007D089C">
              <w:rPr>
                <w:color w:val="000000"/>
                <w:sz w:val="22"/>
                <w:szCs w:val="22"/>
                <w:lang w:val="en-US"/>
              </w:rPr>
              <w:fldChar w:fldCharType="separate"/>
            </w:r>
            <w:r w:rsidR="00C77B76">
              <w:rPr>
                <w:color w:val="000000"/>
                <w:sz w:val="22"/>
                <w:szCs w:val="22"/>
                <w:lang w:val="en-US"/>
              </w:rPr>
              <w:t>(Boylan et al., 2010)</w:t>
            </w:r>
            <w:r w:rsidRPr="007D089C">
              <w:rPr>
                <w:color w:val="000000"/>
                <w:sz w:val="22"/>
                <w:szCs w:val="22"/>
                <w:lang w:val="en-US"/>
              </w:rPr>
              <w:fldChar w:fldCharType="end"/>
            </w:r>
          </w:p>
        </w:tc>
      </w:tr>
      <w:tr w:rsidR="00980C45" w:rsidRPr="007D089C" w14:paraId="026403FA" w14:textId="77777777" w:rsidTr="00C141DD">
        <w:trPr>
          <w:trHeight w:val="300"/>
        </w:trPr>
        <w:tc>
          <w:tcPr>
            <w:tcW w:w="17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A6EC36" w14:textId="77777777" w:rsidR="00980C45" w:rsidRPr="007D089C" w:rsidRDefault="00980C45" w:rsidP="00C141DD">
            <w:pPr>
              <w:jc w:val="center"/>
              <w:rPr>
                <w:color w:val="000000"/>
                <w:sz w:val="22"/>
                <w:szCs w:val="22"/>
                <w:lang w:val="en-US"/>
              </w:rPr>
            </w:pPr>
            <w:r w:rsidRPr="007D089C">
              <w:rPr>
                <w:color w:val="000000"/>
                <w:sz w:val="22"/>
                <w:szCs w:val="22"/>
                <w:lang w:val="en-US"/>
              </w:rPr>
              <w:t>IgY14</w:t>
            </w:r>
          </w:p>
        </w:tc>
        <w:tc>
          <w:tcPr>
            <w:tcW w:w="4350" w:type="dxa"/>
            <w:gridSpan w:val="2"/>
            <w:tcBorders>
              <w:top w:val="single" w:sz="4" w:space="0" w:color="auto"/>
              <w:left w:val="single" w:sz="4" w:space="0" w:color="auto"/>
              <w:bottom w:val="single" w:sz="4" w:space="0" w:color="auto"/>
              <w:right w:val="single" w:sz="4" w:space="0" w:color="auto"/>
            </w:tcBorders>
          </w:tcPr>
          <w:p w14:paraId="2EC0ADFB" w14:textId="77777777" w:rsidR="00980C45" w:rsidRPr="007D089C" w:rsidRDefault="00980C45" w:rsidP="00C141DD">
            <w:pPr>
              <w:rPr>
                <w:color w:val="000000"/>
                <w:sz w:val="22"/>
                <w:szCs w:val="22"/>
                <w:lang w:val="en-US"/>
              </w:rPr>
            </w:pPr>
            <w:r w:rsidRPr="007D089C">
              <w:rPr>
                <w:color w:val="000000"/>
                <w:sz w:val="22"/>
                <w:szCs w:val="22"/>
                <w:lang w:val="en-US"/>
              </w:rPr>
              <w:t xml:space="preserve">IgY12 + </w:t>
            </w:r>
            <w:r w:rsidRPr="007D089C">
              <w:rPr>
                <w:sz w:val="22"/>
                <w:szCs w:val="22"/>
                <w:lang w:val="en-US"/>
              </w:rPr>
              <w:t>Complement C3,  Apolipoprotein B</w:t>
            </w:r>
          </w:p>
        </w:tc>
        <w:tc>
          <w:tcPr>
            <w:tcW w:w="3544" w:type="dxa"/>
            <w:tcBorders>
              <w:top w:val="single" w:sz="4" w:space="0" w:color="auto"/>
              <w:left w:val="single" w:sz="4" w:space="0" w:color="auto"/>
              <w:bottom w:val="single" w:sz="4" w:space="0" w:color="auto"/>
              <w:right w:val="single" w:sz="4" w:space="0" w:color="auto"/>
            </w:tcBorders>
          </w:tcPr>
          <w:p w14:paraId="30DF5246" w14:textId="3F2B54AB" w:rsidR="00980C45" w:rsidRPr="007D089C" w:rsidRDefault="00980C45" w:rsidP="00C141DD">
            <w:pPr>
              <w:jc w:val="right"/>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RW.CITE{{2100 Hollander,Z. 2015}}</w:instrText>
            </w:r>
            <w:r w:rsidRPr="007D089C">
              <w:rPr>
                <w:color w:val="000000"/>
                <w:sz w:val="22"/>
                <w:szCs w:val="22"/>
                <w:lang w:val="en-US"/>
              </w:rPr>
              <w:fldChar w:fldCharType="separate"/>
            </w:r>
            <w:r w:rsidR="00C77B76">
              <w:rPr>
                <w:color w:val="000000"/>
                <w:sz w:val="22"/>
                <w:szCs w:val="22"/>
                <w:lang w:val="en-US"/>
              </w:rPr>
              <w:t>(Hollander et al., 2015)</w:t>
            </w:r>
            <w:r w:rsidRPr="007D089C">
              <w:rPr>
                <w:color w:val="000000"/>
                <w:sz w:val="22"/>
                <w:szCs w:val="22"/>
                <w:lang w:val="en-US"/>
              </w:rPr>
              <w:fldChar w:fldCharType="end"/>
            </w:r>
          </w:p>
        </w:tc>
      </w:tr>
      <w:tr w:rsidR="00980C45" w:rsidRPr="007D089C" w14:paraId="045FC20E" w14:textId="77777777" w:rsidTr="00C141DD">
        <w:trPr>
          <w:trHeight w:val="300"/>
        </w:trPr>
        <w:tc>
          <w:tcPr>
            <w:tcW w:w="17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F9384E" w14:textId="7A7AE86C" w:rsidR="00980C45" w:rsidRPr="007D089C" w:rsidRDefault="00B900CD" w:rsidP="00C141DD">
            <w:pPr>
              <w:jc w:val="center"/>
              <w:rPr>
                <w:color w:val="000000"/>
                <w:sz w:val="22"/>
                <w:szCs w:val="22"/>
                <w:lang w:val="en-US"/>
              </w:rPr>
            </w:pPr>
            <w:r>
              <w:rPr>
                <w:color w:val="000000"/>
                <w:sz w:val="22"/>
                <w:szCs w:val="22"/>
                <w:lang w:val="en-US"/>
              </w:rPr>
              <w:t>IgY+ SuperM</w:t>
            </w:r>
            <w:r w:rsidR="00980C45" w:rsidRPr="007D089C">
              <w:rPr>
                <w:color w:val="000000"/>
                <w:sz w:val="22"/>
                <w:szCs w:val="22"/>
                <w:lang w:val="en-US"/>
              </w:rPr>
              <w:t>ix</w:t>
            </w:r>
          </w:p>
        </w:tc>
        <w:tc>
          <w:tcPr>
            <w:tcW w:w="4350" w:type="dxa"/>
            <w:gridSpan w:val="2"/>
            <w:tcBorders>
              <w:top w:val="single" w:sz="4" w:space="0" w:color="auto"/>
              <w:left w:val="single" w:sz="4" w:space="0" w:color="auto"/>
              <w:bottom w:val="single" w:sz="4" w:space="0" w:color="auto"/>
              <w:right w:val="single" w:sz="4" w:space="0" w:color="auto"/>
            </w:tcBorders>
          </w:tcPr>
          <w:p w14:paraId="60F1E1CD" w14:textId="77777777" w:rsidR="00980C45" w:rsidRPr="007D089C" w:rsidRDefault="00980C45" w:rsidP="00C141DD">
            <w:pPr>
              <w:rPr>
                <w:color w:val="000000"/>
                <w:sz w:val="22"/>
                <w:szCs w:val="22"/>
                <w:lang w:val="en-US"/>
              </w:rPr>
            </w:pPr>
            <w:r w:rsidRPr="007D089C">
              <w:rPr>
                <w:color w:val="000000"/>
                <w:sz w:val="22"/>
                <w:szCs w:val="22"/>
                <w:lang w:val="en-US"/>
              </w:rPr>
              <w:t>IgY12/14 +60-150</w:t>
            </w:r>
          </w:p>
        </w:tc>
        <w:tc>
          <w:tcPr>
            <w:tcW w:w="3544" w:type="dxa"/>
            <w:tcBorders>
              <w:top w:val="single" w:sz="4" w:space="0" w:color="auto"/>
              <w:left w:val="single" w:sz="4" w:space="0" w:color="auto"/>
              <w:bottom w:val="single" w:sz="4" w:space="0" w:color="auto"/>
              <w:right w:val="single" w:sz="4" w:space="0" w:color="auto"/>
            </w:tcBorders>
          </w:tcPr>
          <w:p w14:paraId="3A7061AB" w14:textId="71FC4316" w:rsidR="00980C45" w:rsidRPr="007D089C" w:rsidRDefault="00980C45" w:rsidP="00C141DD">
            <w:pPr>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RW.CITE{{1898 Jones,K.A. 2013; 2138 Keshishian,H. 2015}}</w:instrText>
            </w:r>
            <w:r w:rsidRPr="007D089C">
              <w:rPr>
                <w:color w:val="000000"/>
                <w:sz w:val="22"/>
                <w:szCs w:val="22"/>
                <w:lang w:val="en-US"/>
              </w:rPr>
              <w:fldChar w:fldCharType="separate"/>
            </w:r>
            <w:r w:rsidR="00C77B76">
              <w:rPr>
                <w:color w:val="000000"/>
                <w:sz w:val="22"/>
                <w:szCs w:val="22"/>
                <w:lang w:val="en-US"/>
              </w:rPr>
              <w:t>(Jones et al., 2013; Keshishian et al., 2015)</w:t>
            </w:r>
            <w:r w:rsidRPr="007D089C">
              <w:rPr>
                <w:color w:val="000000"/>
                <w:sz w:val="22"/>
                <w:szCs w:val="22"/>
                <w:lang w:val="en-US"/>
              </w:rPr>
              <w:fldChar w:fldCharType="end"/>
            </w:r>
          </w:p>
        </w:tc>
      </w:tr>
      <w:tr w:rsidR="00980C45" w:rsidRPr="007D089C" w14:paraId="7F4E09D6" w14:textId="77777777" w:rsidTr="00C141DD">
        <w:trPr>
          <w:trHeight w:val="333"/>
        </w:trPr>
        <w:tc>
          <w:tcPr>
            <w:tcW w:w="9683" w:type="dxa"/>
            <w:gridSpan w:val="4"/>
            <w:tcBorders>
              <w:top w:val="single" w:sz="4" w:space="0" w:color="auto"/>
              <w:left w:val="single" w:sz="4" w:space="0" w:color="auto"/>
              <w:bottom w:val="single" w:sz="4" w:space="0" w:color="auto"/>
              <w:right w:val="single" w:sz="4" w:space="0" w:color="auto"/>
            </w:tcBorders>
            <w:shd w:val="pct5" w:color="auto" w:fill="auto"/>
            <w:noWrap/>
            <w:vAlign w:val="bottom"/>
          </w:tcPr>
          <w:p w14:paraId="68A439E6" w14:textId="77777777" w:rsidR="00980C45" w:rsidRPr="007D089C" w:rsidRDefault="00980C45" w:rsidP="00C141DD">
            <w:pPr>
              <w:rPr>
                <w:color w:val="000000"/>
                <w:sz w:val="22"/>
                <w:szCs w:val="22"/>
                <w:lang w:val="en-US"/>
              </w:rPr>
            </w:pPr>
            <w:r w:rsidRPr="007D089C">
              <w:rPr>
                <w:color w:val="000000"/>
                <w:sz w:val="22"/>
                <w:szCs w:val="22"/>
                <w:lang w:val="en-US"/>
              </w:rPr>
              <w:t>Other Depletion Systems</w:t>
            </w:r>
            <w:r w:rsidR="005C7057" w:rsidRPr="007D089C">
              <w:rPr>
                <w:color w:val="000000"/>
                <w:sz w:val="22"/>
                <w:szCs w:val="22"/>
                <w:lang w:val="en-US"/>
              </w:rPr>
              <w:t xml:space="preserve"> </w:t>
            </w:r>
            <w:r w:rsidR="005C7057" w:rsidRPr="007D089C">
              <w:rPr>
                <w:sz w:val="22"/>
                <w:szCs w:val="22"/>
                <w:lang w:val="en-US"/>
              </w:rPr>
              <w:t>(Immuno-affinity)</w:t>
            </w:r>
          </w:p>
        </w:tc>
      </w:tr>
      <w:tr w:rsidR="00980C45" w:rsidRPr="007D089C" w14:paraId="1BA3BD14" w14:textId="77777777" w:rsidTr="00C141DD">
        <w:trPr>
          <w:trHeight w:val="300"/>
        </w:trPr>
        <w:tc>
          <w:tcPr>
            <w:tcW w:w="17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FDC5C69" w14:textId="77777777" w:rsidR="00980C45" w:rsidRPr="007D089C" w:rsidRDefault="00980C45" w:rsidP="00C141DD">
            <w:pPr>
              <w:jc w:val="center"/>
              <w:rPr>
                <w:color w:val="000000"/>
                <w:sz w:val="22"/>
                <w:szCs w:val="22"/>
                <w:lang w:val="en-US"/>
              </w:rPr>
            </w:pPr>
            <w:r w:rsidRPr="007D089C">
              <w:rPr>
                <w:color w:val="000000"/>
                <w:sz w:val="22"/>
                <w:szCs w:val="22"/>
                <w:lang w:val="en-US"/>
              </w:rPr>
              <w:t>Proteo 20 (Sigma)</w:t>
            </w:r>
          </w:p>
        </w:tc>
        <w:tc>
          <w:tcPr>
            <w:tcW w:w="4350" w:type="dxa"/>
            <w:gridSpan w:val="2"/>
            <w:tcBorders>
              <w:top w:val="single" w:sz="4" w:space="0" w:color="auto"/>
              <w:left w:val="single" w:sz="4" w:space="0" w:color="auto"/>
              <w:bottom w:val="single" w:sz="4" w:space="0" w:color="auto"/>
              <w:right w:val="single" w:sz="4" w:space="0" w:color="auto"/>
            </w:tcBorders>
          </w:tcPr>
          <w:p w14:paraId="73D22A24" w14:textId="77777777" w:rsidR="00980C45" w:rsidRPr="007D089C" w:rsidRDefault="00980C45" w:rsidP="00C141DD">
            <w:pPr>
              <w:autoSpaceDE w:val="0"/>
              <w:autoSpaceDN w:val="0"/>
              <w:adjustRightInd w:val="0"/>
              <w:rPr>
                <w:sz w:val="22"/>
                <w:szCs w:val="22"/>
                <w:lang w:val="en-US"/>
              </w:rPr>
            </w:pPr>
            <w:r w:rsidRPr="007D089C">
              <w:rPr>
                <w:sz w:val="22"/>
                <w:szCs w:val="22"/>
                <w:lang w:val="en-US"/>
              </w:rPr>
              <w:t>Albumin, IgG, transferrin, fibrinogen, IgA, α2- Marcroglobulin, IgM, α1- Antitrypsin, complement C3, haptoglobulin, apolipoprotein A1, apolipoprotein A2 and apolipoprotein B; α1- Acid Glycoprotein, ceruloplasmin, complement C4, C1q; IgD, transthyretin, and plasminogen.</w:t>
            </w:r>
          </w:p>
        </w:tc>
        <w:tc>
          <w:tcPr>
            <w:tcW w:w="3544" w:type="dxa"/>
            <w:tcBorders>
              <w:top w:val="single" w:sz="4" w:space="0" w:color="auto"/>
              <w:left w:val="single" w:sz="4" w:space="0" w:color="auto"/>
              <w:bottom w:val="single" w:sz="4" w:space="0" w:color="auto"/>
              <w:right w:val="single" w:sz="4" w:space="0" w:color="auto"/>
            </w:tcBorders>
          </w:tcPr>
          <w:p w14:paraId="60A7ACF9" w14:textId="126E2255" w:rsidR="00980C45" w:rsidRPr="007D089C" w:rsidRDefault="00980C45" w:rsidP="00C141DD">
            <w:pPr>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RW.CITE{{2106 Tonack,S. 2013}}</w:instrText>
            </w:r>
            <w:r w:rsidRPr="007D089C">
              <w:rPr>
                <w:color w:val="000000"/>
                <w:sz w:val="22"/>
                <w:szCs w:val="22"/>
                <w:lang w:val="en-US"/>
              </w:rPr>
              <w:fldChar w:fldCharType="separate"/>
            </w:r>
            <w:r w:rsidR="00C77B76">
              <w:rPr>
                <w:color w:val="000000"/>
                <w:sz w:val="22"/>
                <w:szCs w:val="22"/>
                <w:lang w:val="en-US"/>
              </w:rPr>
              <w:t>(Tonack et al., 2013)</w:t>
            </w:r>
            <w:r w:rsidRPr="007D089C">
              <w:rPr>
                <w:color w:val="000000"/>
                <w:sz w:val="22"/>
                <w:szCs w:val="22"/>
                <w:lang w:val="en-US"/>
              </w:rPr>
              <w:fldChar w:fldCharType="end"/>
            </w:r>
          </w:p>
        </w:tc>
      </w:tr>
      <w:tr w:rsidR="00980C45" w:rsidRPr="007D089C" w14:paraId="775884E6" w14:textId="77777777" w:rsidTr="00C141DD">
        <w:trPr>
          <w:trHeight w:val="300"/>
        </w:trPr>
        <w:tc>
          <w:tcPr>
            <w:tcW w:w="17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995BF7" w14:textId="77777777" w:rsidR="00980C45" w:rsidRPr="007D089C" w:rsidRDefault="00980C45" w:rsidP="00C141DD">
            <w:pPr>
              <w:jc w:val="center"/>
              <w:rPr>
                <w:color w:val="000000"/>
                <w:sz w:val="22"/>
                <w:szCs w:val="22"/>
                <w:lang w:val="en-US"/>
              </w:rPr>
            </w:pPr>
            <w:r w:rsidRPr="007D089C">
              <w:rPr>
                <w:color w:val="000000"/>
                <w:sz w:val="22"/>
                <w:szCs w:val="22"/>
                <w:lang w:val="en-US"/>
              </w:rPr>
              <w:t>Albumin Only</w:t>
            </w:r>
          </w:p>
        </w:tc>
        <w:tc>
          <w:tcPr>
            <w:tcW w:w="4350" w:type="dxa"/>
            <w:gridSpan w:val="2"/>
            <w:tcBorders>
              <w:top w:val="single" w:sz="4" w:space="0" w:color="auto"/>
              <w:left w:val="single" w:sz="4" w:space="0" w:color="auto"/>
              <w:bottom w:val="single" w:sz="4" w:space="0" w:color="auto"/>
              <w:right w:val="single" w:sz="4" w:space="0" w:color="auto"/>
            </w:tcBorders>
          </w:tcPr>
          <w:p w14:paraId="5D69F94E" w14:textId="77777777" w:rsidR="00980C45" w:rsidRPr="007D089C" w:rsidRDefault="00980C45" w:rsidP="00C141DD">
            <w:pPr>
              <w:rPr>
                <w:sz w:val="22"/>
                <w:szCs w:val="22"/>
                <w:lang w:val="en-US"/>
              </w:rPr>
            </w:pPr>
            <w:r w:rsidRPr="007D089C">
              <w:rPr>
                <w:sz w:val="22"/>
                <w:szCs w:val="22"/>
                <w:lang w:val="en-US"/>
              </w:rPr>
              <w:t>Human Albumin</w:t>
            </w:r>
          </w:p>
          <w:p w14:paraId="458E18CD" w14:textId="77777777" w:rsidR="00980C45" w:rsidRPr="007D089C" w:rsidRDefault="00980C45" w:rsidP="00C141DD">
            <w:pPr>
              <w:rPr>
                <w:color w:val="000000"/>
                <w:sz w:val="22"/>
                <w:szCs w:val="22"/>
                <w:lang w:val="en-US"/>
              </w:rPr>
            </w:pPr>
            <w:r w:rsidRPr="007D089C">
              <w:rPr>
                <w:sz w:val="22"/>
                <w:szCs w:val="22"/>
                <w:lang w:val="en-US"/>
              </w:rPr>
              <w:t>Bovine albumin</w:t>
            </w:r>
          </w:p>
        </w:tc>
        <w:tc>
          <w:tcPr>
            <w:tcW w:w="3544" w:type="dxa"/>
            <w:tcBorders>
              <w:top w:val="single" w:sz="4" w:space="0" w:color="auto"/>
              <w:left w:val="single" w:sz="4" w:space="0" w:color="auto"/>
              <w:bottom w:val="single" w:sz="4" w:space="0" w:color="auto"/>
              <w:right w:val="single" w:sz="4" w:space="0" w:color="auto"/>
            </w:tcBorders>
          </w:tcPr>
          <w:p w14:paraId="775A46C9" w14:textId="5F3A5A5A" w:rsidR="00980C45" w:rsidRPr="007D089C" w:rsidRDefault="00980C45" w:rsidP="00C141DD">
            <w:pPr>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RW.CITE{{1904 Mu,A.K. 2014}}</w:instrText>
            </w:r>
            <w:r w:rsidRPr="007D089C">
              <w:rPr>
                <w:color w:val="000000"/>
                <w:sz w:val="22"/>
                <w:szCs w:val="22"/>
                <w:lang w:val="en-US"/>
              </w:rPr>
              <w:fldChar w:fldCharType="separate"/>
            </w:r>
            <w:r w:rsidR="00C77B76">
              <w:rPr>
                <w:color w:val="000000"/>
                <w:sz w:val="22"/>
                <w:szCs w:val="22"/>
                <w:lang w:val="en-US"/>
              </w:rPr>
              <w:t>(Mu et al., 2014)</w:t>
            </w:r>
            <w:r w:rsidRPr="007D089C">
              <w:rPr>
                <w:color w:val="000000"/>
                <w:sz w:val="22"/>
                <w:szCs w:val="22"/>
                <w:lang w:val="en-US"/>
              </w:rPr>
              <w:fldChar w:fldCharType="end"/>
            </w:r>
          </w:p>
          <w:p w14:paraId="5D5A96D0" w14:textId="5BB381B3" w:rsidR="00980C45" w:rsidRPr="007D089C" w:rsidRDefault="00980C45" w:rsidP="00C141DD">
            <w:pPr>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RW.CITE{{2109 Faulkner,S. 2012}}</w:instrText>
            </w:r>
            <w:r w:rsidRPr="007D089C">
              <w:rPr>
                <w:color w:val="000000"/>
                <w:sz w:val="22"/>
                <w:szCs w:val="22"/>
                <w:lang w:val="en-US"/>
              </w:rPr>
              <w:fldChar w:fldCharType="separate"/>
            </w:r>
            <w:r w:rsidR="00C77B76">
              <w:rPr>
                <w:color w:val="000000"/>
                <w:sz w:val="22"/>
                <w:szCs w:val="22"/>
                <w:lang w:val="en-US"/>
              </w:rPr>
              <w:t>(Faulkner et al., 2012)</w:t>
            </w:r>
            <w:r w:rsidRPr="007D089C">
              <w:rPr>
                <w:color w:val="000000"/>
                <w:sz w:val="22"/>
                <w:szCs w:val="22"/>
                <w:lang w:val="en-US"/>
              </w:rPr>
              <w:fldChar w:fldCharType="end"/>
            </w:r>
          </w:p>
        </w:tc>
      </w:tr>
      <w:tr w:rsidR="00980C45" w:rsidRPr="007D089C" w14:paraId="55F3ADF3" w14:textId="77777777" w:rsidTr="00C141DD">
        <w:trPr>
          <w:trHeight w:val="300"/>
        </w:trPr>
        <w:tc>
          <w:tcPr>
            <w:tcW w:w="178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EF5582" w14:textId="77777777" w:rsidR="00980C45" w:rsidRPr="007D089C" w:rsidRDefault="00980C45" w:rsidP="00C141DD">
            <w:pPr>
              <w:jc w:val="center"/>
              <w:rPr>
                <w:color w:val="000000"/>
                <w:sz w:val="22"/>
                <w:szCs w:val="22"/>
                <w:lang w:val="en-US"/>
              </w:rPr>
            </w:pPr>
            <w:r w:rsidRPr="007D089C">
              <w:rPr>
                <w:color w:val="000000"/>
                <w:sz w:val="22"/>
                <w:szCs w:val="22"/>
                <w:lang w:val="en-US"/>
              </w:rPr>
              <w:t>Albumin &amp; IgG</w:t>
            </w:r>
          </w:p>
        </w:tc>
        <w:tc>
          <w:tcPr>
            <w:tcW w:w="4350" w:type="dxa"/>
            <w:gridSpan w:val="2"/>
            <w:tcBorders>
              <w:top w:val="single" w:sz="4" w:space="0" w:color="auto"/>
              <w:left w:val="single" w:sz="4" w:space="0" w:color="auto"/>
              <w:bottom w:val="single" w:sz="4" w:space="0" w:color="auto"/>
              <w:right w:val="single" w:sz="4" w:space="0" w:color="auto"/>
            </w:tcBorders>
          </w:tcPr>
          <w:p w14:paraId="0DB009B6" w14:textId="77777777" w:rsidR="00980C45" w:rsidRPr="007D089C" w:rsidRDefault="00980C45" w:rsidP="00C141DD">
            <w:pPr>
              <w:rPr>
                <w:color w:val="000000"/>
                <w:sz w:val="22"/>
                <w:szCs w:val="22"/>
                <w:lang w:val="en-US"/>
              </w:rPr>
            </w:pPr>
            <w:r w:rsidRPr="007D089C">
              <w:rPr>
                <w:sz w:val="22"/>
                <w:szCs w:val="22"/>
                <w:lang w:val="en-US"/>
              </w:rPr>
              <w:t>Albumin, IgG</w:t>
            </w:r>
          </w:p>
        </w:tc>
        <w:tc>
          <w:tcPr>
            <w:tcW w:w="3544" w:type="dxa"/>
            <w:tcBorders>
              <w:top w:val="single" w:sz="4" w:space="0" w:color="auto"/>
              <w:left w:val="single" w:sz="4" w:space="0" w:color="auto"/>
              <w:bottom w:val="single" w:sz="4" w:space="0" w:color="auto"/>
              <w:right w:val="single" w:sz="4" w:space="0" w:color="auto"/>
            </w:tcBorders>
          </w:tcPr>
          <w:p w14:paraId="35714869" w14:textId="2277CDDF" w:rsidR="00980C45" w:rsidRPr="007D089C" w:rsidRDefault="00980C45" w:rsidP="00C141DD">
            <w:pPr>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RW.CITE{{1913 Liu,Y. 2014}}</w:instrText>
            </w:r>
            <w:r w:rsidRPr="007D089C">
              <w:rPr>
                <w:color w:val="000000"/>
                <w:sz w:val="22"/>
                <w:szCs w:val="22"/>
                <w:lang w:val="en-US"/>
              </w:rPr>
              <w:fldChar w:fldCharType="separate"/>
            </w:r>
            <w:r w:rsidR="00C77B76">
              <w:rPr>
                <w:color w:val="000000"/>
                <w:sz w:val="22"/>
                <w:szCs w:val="22"/>
                <w:lang w:val="en-US"/>
              </w:rPr>
              <w:t>(Y. Liu et al., 2014)</w:t>
            </w:r>
            <w:r w:rsidRPr="007D089C">
              <w:rPr>
                <w:color w:val="000000"/>
                <w:sz w:val="22"/>
                <w:szCs w:val="22"/>
                <w:lang w:val="en-US"/>
              </w:rPr>
              <w:fldChar w:fldCharType="end"/>
            </w:r>
          </w:p>
        </w:tc>
      </w:tr>
      <w:tr w:rsidR="00980C45" w:rsidRPr="007D089C" w14:paraId="419F3F22" w14:textId="77777777" w:rsidTr="00C141DD">
        <w:trPr>
          <w:trHeight w:val="325"/>
        </w:trPr>
        <w:tc>
          <w:tcPr>
            <w:tcW w:w="9683" w:type="dxa"/>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tcPr>
          <w:p w14:paraId="006519E6" w14:textId="77777777" w:rsidR="00980C45" w:rsidRPr="007D089C" w:rsidRDefault="00980C45" w:rsidP="00C141DD">
            <w:pPr>
              <w:rPr>
                <w:b/>
                <w:color w:val="000000"/>
                <w:sz w:val="22"/>
                <w:szCs w:val="22"/>
                <w:lang w:val="en-US"/>
              </w:rPr>
            </w:pPr>
            <w:r w:rsidRPr="007D089C">
              <w:rPr>
                <w:b/>
                <w:color w:val="000000"/>
                <w:sz w:val="22"/>
                <w:szCs w:val="22"/>
                <w:lang w:val="en-US"/>
              </w:rPr>
              <w:t>Not  Immuno-affinity</w:t>
            </w:r>
          </w:p>
        </w:tc>
      </w:tr>
      <w:tr w:rsidR="00980C45" w:rsidRPr="007D089C" w14:paraId="70601FCE" w14:textId="77777777" w:rsidTr="00C141DD">
        <w:trPr>
          <w:trHeight w:val="300"/>
        </w:trPr>
        <w:tc>
          <w:tcPr>
            <w:tcW w:w="178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545C622" w14:textId="77777777" w:rsidR="00980C45" w:rsidRPr="007D089C" w:rsidRDefault="00980C45" w:rsidP="00C141DD">
            <w:pPr>
              <w:rPr>
                <w:color w:val="000000"/>
                <w:sz w:val="22"/>
                <w:szCs w:val="22"/>
                <w:lang w:val="en-US"/>
              </w:rPr>
            </w:pPr>
            <w:r w:rsidRPr="007D089C">
              <w:rPr>
                <w:color w:val="000000"/>
                <w:sz w:val="22"/>
                <w:szCs w:val="22"/>
                <w:lang w:val="en-US"/>
              </w:rPr>
              <w:t>Poteominer- (hexapeptide beads)</w:t>
            </w:r>
          </w:p>
        </w:tc>
        <w:tc>
          <w:tcPr>
            <w:tcW w:w="4350" w:type="dxa"/>
            <w:gridSpan w:val="2"/>
            <w:tcBorders>
              <w:top w:val="single" w:sz="4" w:space="0" w:color="auto"/>
              <w:left w:val="single" w:sz="4" w:space="0" w:color="auto"/>
              <w:bottom w:val="single" w:sz="4" w:space="0" w:color="auto"/>
              <w:right w:val="single" w:sz="4" w:space="0" w:color="auto"/>
            </w:tcBorders>
          </w:tcPr>
          <w:p w14:paraId="30CED2DB" w14:textId="77777777" w:rsidR="00980C45" w:rsidRPr="007D089C" w:rsidRDefault="0028337C" w:rsidP="00C141DD">
            <w:pPr>
              <w:jc w:val="center"/>
              <w:rPr>
                <w:color w:val="000000"/>
                <w:sz w:val="22"/>
                <w:szCs w:val="22"/>
                <w:lang w:val="en-US"/>
              </w:rPr>
            </w:pPr>
            <w:r w:rsidRPr="007D089C">
              <w:rPr>
                <w:color w:val="000000"/>
                <w:sz w:val="22"/>
                <w:szCs w:val="22"/>
                <w:lang w:val="en-US"/>
              </w:rPr>
              <w:t>Not applicable</w:t>
            </w:r>
          </w:p>
        </w:tc>
        <w:tc>
          <w:tcPr>
            <w:tcW w:w="3544" w:type="dxa"/>
            <w:tcBorders>
              <w:top w:val="single" w:sz="4" w:space="0" w:color="auto"/>
              <w:left w:val="single" w:sz="4" w:space="0" w:color="auto"/>
              <w:bottom w:val="single" w:sz="4" w:space="0" w:color="auto"/>
              <w:right w:val="single" w:sz="4" w:space="0" w:color="auto"/>
            </w:tcBorders>
          </w:tcPr>
          <w:p w14:paraId="097BE07F" w14:textId="4D6EF206" w:rsidR="00980C45" w:rsidRPr="007D089C" w:rsidRDefault="00980C45" w:rsidP="00C141DD">
            <w:pPr>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RW.CITE{{2143 Dwivedi,R.C. 2010}}</w:instrText>
            </w:r>
            <w:r w:rsidRPr="007D089C">
              <w:rPr>
                <w:color w:val="000000"/>
                <w:sz w:val="22"/>
                <w:szCs w:val="22"/>
                <w:lang w:val="en-US"/>
              </w:rPr>
              <w:fldChar w:fldCharType="separate"/>
            </w:r>
            <w:r w:rsidR="00C77B76">
              <w:rPr>
                <w:color w:val="000000"/>
                <w:sz w:val="22"/>
                <w:szCs w:val="22"/>
                <w:lang w:val="en-US"/>
              </w:rPr>
              <w:t>(Dwivedi et al., 2010)</w:t>
            </w:r>
            <w:r w:rsidRPr="007D089C">
              <w:rPr>
                <w:color w:val="000000"/>
                <w:sz w:val="22"/>
                <w:szCs w:val="22"/>
                <w:lang w:val="en-US"/>
              </w:rPr>
              <w:fldChar w:fldCharType="end"/>
            </w:r>
          </w:p>
        </w:tc>
      </w:tr>
      <w:tr w:rsidR="00980C45" w:rsidRPr="007D089C" w14:paraId="53C2F551" w14:textId="77777777" w:rsidTr="00C141DD">
        <w:trPr>
          <w:trHeight w:val="300"/>
        </w:trPr>
        <w:tc>
          <w:tcPr>
            <w:tcW w:w="178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2B12077" w14:textId="77777777" w:rsidR="00980C45" w:rsidRPr="007D089C" w:rsidRDefault="00980C45" w:rsidP="00C141DD">
            <w:pPr>
              <w:rPr>
                <w:color w:val="000000"/>
                <w:sz w:val="22"/>
                <w:szCs w:val="22"/>
                <w:lang w:val="en-US"/>
              </w:rPr>
            </w:pPr>
            <w:r w:rsidRPr="007D089C">
              <w:rPr>
                <w:color w:val="000000"/>
                <w:sz w:val="22"/>
                <w:szCs w:val="22"/>
                <w:lang w:val="en-US"/>
              </w:rPr>
              <w:t>Solvent precipitation</w:t>
            </w:r>
          </w:p>
        </w:tc>
        <w:tc>
          <w:tcPr>
            <w:tcW w:w="4350" w:type="dxa"/>
            <w:gridSpan w:val="2"/>
            <w:tcBorders>
              <w:top w:val="single" w:sz="4" w:space="0" w:color="auto"/>
              <w:left w:val="single" w:sz="4" w:space="0" w:color="auto"/>
              <w:bottom w:val="single" w:sz="4" w:space="0" w:color="auto"/>
              <w:right w:val="single" w:sz="4" w:space="0" w:color="auto"/>
            </w:tcBorders>
          </w:tcPr>
          <w:p w14:paraId="50374E2B" w14:textId="0730EAC8" w:rsidR="00980C45" w:rsidRPr="007D089C" w:rsidRDefault="00980C45" w:rsidP="00227F1F">
            <w:pPr>
              <w:jc w:val="center"/>
              <w:rPr>
                <w:color w:val="000000"/>
                <w:sz w:val="22"/>
                <w:szCs w:val="22"/>
                <w:lang w:val="en-US"/>
              </w:rPr>
            </w:pPr>
            <w:r w:rsidRPr="007D089C">
              <w:rPr>
                <w:color w:val="000000"/>
                <w:sz w:val="22"/>
                <w:szCs w:val="22"/>
                <w:lang w:val="en-US"/>
              </w:rPr>
              <w:t>albumin</w:t>
            </w:r>
          </w:p>
        </w:tc>
        <w:tc>
          <w:tcPr>
            <w:tcW w:w="3544" w:type="dxa"/>
            <w:tcBorders>
              <w:top w:val="single" w:sz="4" w:space="0" w:color="auto"/>
              <w:left w:val="single" w:sz="4" w:space="0" w:color="auto"/>
              <w:bottom w:val="single" w:sz="4" w:space="0" w:color="auto"/>
              <w:right w:val="single" w:sz="4" w:space="0" w:color="auto"/>
            </w:tcBorders>
          </w:tcPr>
          <w:p w14:paraId="74BEB8C3" w14:textId="3CD0CDCC" w:rsidR="00980C45" w:rsidRPr="007D089C" w:rsidRDefault="00980C45" w:rsidP="00C141DD">
            <w:pPr>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RW.CITE{{1459 Seth,M. 2009}}</w:instrText>
            </w:r>
            <w:r w:rsidRPr="007D089C">
              <w:rPr>
                <w:color w:val="000000"/>
                <w:sz w:val="22"/>
                <w:szCs w:val="22"/>
                <w:lang w:val="en-US"/>
              </w:rPr>
              <w:fldChar w:fldCharType="separate"/>
            </w:r>
            <w:r w:rsidR="00C77B76">
              <w:rPr>
                <w:color w:val="000000"/>
                <w:sz w:val="22"/>
                <w:szCs w:val="22"/>
                <w:lang w:val="en-US"/>
              </w:rPr>
              <w:t>(Seth et al., 2009)</w:t>
            </w:r>
            <w:r w:rsidRPr="007D089C">
              <w:rPr>
                <w:color w:val="000000"/>
                <w:sz w:val="22"/>
                <w:szCs w:val="22"/>
                <w:lang w:val="en-US"/>
              </w:rPr>
              <w:fldChar w:fldCharType="end"/>
            </w:r>
          </w:p>
        </w:tc>
      </w:tr>
      <w:tr w:rsidR="00980C45" w:rsidRPr="007D089C" w14:paraId="1C25AF5B" w14:textId="77777777" w:rsidTr="00C141DD">
        <w:trPr>
          <w:trHeight w:val="300"/>
        </w:trPr>
        <w:tc>
          <w:tcPr>
            <w:tcW w:w="178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94A1497" w14:textId="77777777" w:rsidR="00980C45" w:rsidRPr="007D089C" w:rsidRDefault="00980C45" w:rsidP="00C141DD">
            <w:pPr>
              <w:rPr>
                <w:color w:val="000000"/>
                <w:sz w:val="22"/>
                <w:szCs w:val="22"/>
                <w:lang w:val="en-US"/>
              </w:rPr>
            </w:pPr>
            <w:r w:rsidRPr="007D089C">
              <w:rPr>
                <w:color w:val="000000"/>
                <w:sz w:val="22"/>
                <w:szCs w:val="22"/>
                <w:lang w:val="en-US"/>
              </w:rPr>
              <w:t>SDS-PAGE</w:t>
            </w:r>
          </w:p>
        </w:tc>
        <w:tc>
          <w:tcPr>
            <w:tcW w:w="4350" w:type="dxa"/>
            <w:gridSpan w:val="2"/>
            <w:tcBorders>
              <w:top w:val="single" w:sz="4" w:space="0" w:color="auto"/>
              <w:left w:val="single" w:sz="4" w:space="0" w:color="auto"/>
              <w:bottom w:val="single" w:sz="4" w:space="0" w:color="auto"/>
              <w:right w:val="single" w:sz="4" w:space="0" w:color="auto"/>
            </w:tcBorders>
          </w:tcPr>
          <w:p w14:paraId="2A04E1D6" w14:textId="77777777" w:rsidR="00980C45" w:rsidRPr="007D089C" w:rsidRDefault="00980C45" w:rsidP="00C141DD">
            <w:pPr>
              <w:rPr>
                <w:color w:val="000000"/>
                <w:sz w:val="22"/>
                <w:szCs w:val="22"/>
                <w:lang w:val="en-US"/>
              </w:rPr>
            </w:pPr>
          </w:p>
        </w:tc>
        <w:tc>
          <w:tcPr>
            <w:tcW w:w="3544" w:type="dxa"/>
            <w:tcBorders>
              <w:top w:val="single" w:sz="4" w:space="0" w:color="auto"/>
              <w:left w:val="single" w:sz="4" w:space="0" w:color="auto"/>
              <w:bottom w:val="single" w:sz="4" w:space="0" w:color="auto"/>
              <w:right w:val="single" w:sz="4" w:space="0" w:color="auto"/>
            </w:tcBorders>
          </w:tcPr>
          <w:p w14:paraId="1858A7AF" w14:textId="47A43E9F" w:rsidR="00980C45" w:rsidRPr="007D089C" w:rsidRDefault="00980C45" w:rsidP="00C141DD">
            <w:pPr>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RW.CITE{{1547 Zhang,L. 2008}}</w:instrText>
            </w:r>
            <w:r w:rsidRPr="007D089C">
              <w:rPr>
                <w:color w:val="000000"/>
                <w:sz w:val="22"/>
                <w:szCs w:val="22"/>
                <w:lang w:val="en-US"/>
              </w:rPr>
              <w:fldChar w:fldCharType="separate"/>
            </w:r>
            <w:r w:rsidR="00C77B76">
              <w:rPr>
                <w:color w:val="000000"/>
                <w:sz w:val="22"/>
                <w:szCs w:val="22"/>
                <w:lang w:val="en-US"/>
              </w:rPr>
              <w:t>(L. Zhang et al., 2008)</w:t>
            </w:r>
            <w:r w:rsidRPr="007D089C">
              <w:rPr>
                <w:color w:val="000000"/>
                <w:sz w:val="22"/>
                <w:szCs w:val="22"/>
                <w:lang w:val="en-US"/>
              </w:rPr>
              <w:fldChar w:fldCharType="end"/>
            </w:r>
          </w:p>
        </w:tc>
      </w:tr>
      <w:tr w:rsidR="00980C45" w:rsidRPr="007D089C" w14:paraId="08B85013" w14:textId="77777777" w:rsidTr="00C141DD">
        <w:trPr>
          <w:trHeight w:val="300"/>
        </w:trPr>
        <w:tc>
          <w:tcPr>
            <w:tcW w:w="178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CC4F42C" w14:textId="77777777" w:rsidR="00980C45" w:rsidRPr="007D089C" w:rsidRDefault="00980C45" w:rsidP="00C141DD">
            <w:pPr>
              <w:rPr>
                <w:color w:val="000000"/>
                <w:sz w:val="22"/>
                <w:szCs w:val="22"/>
                <w:lang w:val="en-US"/>
              </w:rPr>
            </w:pPr>
            <w:r w:rsidRPr="007D089C">
              <w:rPr>
                <w:color w:val="000000"/>
                <w:sz w:val="22"/>
                <w:szCs w:val="22"/>
                <w:lang w:val="en-US"/>
              </w:rPr>
              <w:t>Size exclusion chromatography</w:t>
            </w:r>
          </w:p>
        </w:tc>
        <w:tc>
          <w:tcPr>
            <w:tcW w:w="4350" w:type="dxa"/>
            <w:gridSpan w:val="2"/>
            <w:tcBorders>
              <w:top w:val="single" w:sz="4" w:space="0" w:color="auto"/>
              <w:left w:val="single" w:sz="4" w:space="0" w:color="auto"/>
              <w:bottom w:val="single" w:sz="4" w:space="0" w:color="auto"/>
              <w:right w:val="single" w:sz="4" w:space="0" w:color="auto"/>
            </w:tcBorders>
          </w:tcPr>
          <w:p w14:paraId="5AD82C13" w14:textId="77777777" w:rsidR="00980C45" w:rsidRPr="007D089C" w:rsidRDefault="00980C45" w:rsidP="00C141DD">
            <w:pPr>
              <w:rPr>
                <w:color w:val="000000"/>
                <w:sz w:val="22"/>
                <w:szCs w:val="22"/>
                <w:lang w:val="en-US"/>
              </w:rPr>
            </w:pPr>
          </w:p>
        </w:tc>
        <w:tc>
          <w:tcPr>
            <w:tcW w:w="3544" w:type="dxa"/>
            <w:tcBorders>
              <w:top w:val="single" w:sz="4" w:space="0" w:color="auto"/>
              <w:left w:val="single" w:sz="4" w:space="0" w:color="auto"/>
              <w:bottom w:val="single" w:sz="4" w:space="0" w:color="auto"/>
              <w:right w:val="single" w:sz="4" w:space="0" w:color="auto"/>
            </w:tcBorders>
          </w:tcPr>
          <w:p w14:paraId="321FCAEA" w14:textId="2A898785" w:rsidR="00980C45" w:rsidRPr="007D089C" w:rsidRDefault="00980C45" w:rsidP="00C141DD">
            <w:pPr>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RW.CITE{{2037 Al-Daghri,N.M. 2014}}</w:instrText>
            </w:r>
            <w:r w:rsidRPr="007D089C">
              <w:rPr>
                <w:color w:val="000000"/>
                <w:sz w:val="22"/>
                <w:szCs w:val="22"/>
                <w:lang w:val="en-US"/>
              </w:rPr>
              <w:fldChar w:fldCharType="separate"/>
            </w:r>
            <w:r w:rsidR="00C77B76">
              <w:rPr>
                <w:color w:val="000000"/>
                <w:sz w:val="22"/>
                <w:szCs w:val="22"/>
                <w:lang w:val="en-US"/>
              </w:rPr>
              <w:t>(Al-Daghri et al., 2014)</w:t>
            </w:r>
            <w:r w:rsidRPr="007D089C">
              <w:rPr>
                <w:color w:val="000000"/>
                <w:sz w:val="22"/>
                <w:szCs w:val="22"/>
                <w:lang w:val="en-US"/>
              </w:rPr>
              <w:fldChar w:fldCharType="end"/>
            </w:r>
          </w:p>
        </w:tc>
      </w:tr>
      <w:tr w:rsidR="00980C45" w:rsidRPr="007D089C" w14:paraId="625A87B9" w14:textId="77777777" w:rsidTr="00C141DD">
        <w:trPr>
          <w:trHeight w:val="300"/>
        </w:trPr>
        <w:tc>
          <w:tcPr>
            <w:tcW w:w="178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1E48CF2" w14:textId="77777777" w:rsidR="00980C45" w:rsidRPr="007D089C" w:rsidRDefault="00980C45" w:rsidP="00C141DD">
            <w:pPr>
              <w:rPr>
                <w:color w:val="000000"/>
                <w:sz w:val="22"/>
                <w:szCs w:val="22"/>
                <w:lang w:val="en-US"/>
              </w:rPr>
            </w:pPr>
            <w:r w:rsidRPr="007D089C">
              <w:rPr>
                <w:color w:val="000000"/>
                <w:sz w:val="22"/>
                <w:szCs w:val="22"/>
                <w:lang w:val="en-US"/>
              </w:rPr>
              <w:t>Undepleted</w:t>
            </w:r>
          </w:p>
        </w:tc>
        <w:tc>
          <w:tcPr>
            <w:tcW w:w="4350" w:type="dxa"/>
            <w:gridSpan w:val="2"/>
            <w:tcBorders>
              <w:top w:val="single" w:sz="4" w:space="0" w:color="auto"/>
              <w:left w:val="single" w:sz="4" w:space="0" w:color="auto"/>
              <w:bottom w:val="single" w:sz="4" w:space="0" w:color="auto"/>
              <w:right w:val="single" w:sz="4" w:space="0" w:color="auto"/>
            </w:tcBorders>
          </w:tcPr>
          <w:p w14:paraId="57FFE18D" w14:textId="77777777" w:rsidR="00980C45" w:rsidRPr="007D089C" w:rsidRDefault="00980C45" w:rsidP="00C141DD">
            <w:pPr>
              <w:rPr>
                <w:color w:val="000000"/>
                <w:sz w:val="22"/>
                <w:szCs w:val="22"/>
                <w:lang w:val="en-US"/>
              </w:rPr>
            </w:pPr>
          </w:p>
        </w:tc>
        <w:tc>
          <w:tcPr>
            <w:tcW w:w="3544" w:type="dxa"/>
            <w:tcBorders>
              <w:top w:val="single" w:sz="4" w:space="0" w:color="auto"/>
              <w:left w:val="single" w:sz="4" w:space="0" w:color="auto"/>
              <w:bottom w:val="single" w:sz="4" w:space="0" w:color="auto"/>
              <w:right w:val="single" w:sz="4" w:space="0" w:color="auto"/>
            </w:tcBorders>
          </w:tcPr>
          <w:p w14:paraId="0E7CBC90" w14:textId="777A7A6F" w:rsidR="00980C45" w:rsidRPr="007D089C" w:rsidRDefault="00980C45" w:rsidP="00C141DD">
            <w:pPr>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 2121 Song,B. 2014}}</w:instrText>
            </w:r>
            <w:r w:rsidRPr="007D089C">
              <w:rPr>
                <w:color w:val="000000"/>
                <w:sz w:val="22"/>
                <w:szCs w:val="22"/>
                <w:lang w:val="en-US"/>
              </w:rPr>
              <w:fldChar w:fldCharType="separate"/>
            </w:r>
            <w:r w:rsidR="00C77B76">
              <w:rPr>
                <w:color w:val="000000"/>
                <w:sz w:val="22"/>
                <w:szCs w:val="22"/>
                <w:lang w:val="en-US"/>
              </w:rPr>
              <w:t>(B. Song et al., 2014)</w:t>
            </w:r>
            <w:r w:rsidRPr="007D089C">
              <w:rPr>
                <w:color w:val="000000"/>
                <w:sz w:val="22"/>
                <w:szCs w:val="22"/>
                <w:lang w:val="en-US"/>
              </w:rPr>
              <w:fldChar w:fldCharType="end"/>
            </w:r>
          </w:p>
        </w:tc>
      </w:tr>
    </w:tbl>
    <w:p w14:paraId="4615B2E0" w14:textId="77777777" w:rsidR="000074EB" w:rsidRPr="007D089C" w:rsidRDefault="00980C45" w:rsidP="00C141DD">
      <w:pPr>
        <w:rPr>
          <w:rFonts w:ascii="Times-Roman" w:hAnsi="Times-Roman" w:cs="Times-Roman"/>
          <w:b/>
          <w:lang w:val="en-US"/>
        </w:rPr>
      </w:pPr>
      <w:r w:rsidRPr="007D089C">
        <w:rPr>
          <w:sz w:val="25"/>
          <w:szCs w:val="25"/>
          <w:lang w:val="en-US"/>
        </w:rPr>
        <w:t xml:space="preserve">NOTE: </w:t>
      </w:r>
      <w:r w:rsidRPr="007D089C">
        <w:rPr>
          <w:lang w:val="en-US"/>
        </w:rPr>
        <w:t xml:space="preserve">α1- Acid Glycoprotein is often referred to as Orosomucoid, transthyretin as pre-albumin, Apolipoprotein B as the main component of LDL and apolipoprotein A-I, apolipoprotein A-II </w:t>
      </w:r>
      <w:r w:rsidR="0028337C" w:rsidRPr="007D089C">
        <w:rPr>
          <w:lang w:val="en-US"/>
        </w:rPr>
        <w:t>of</w:t>
      </w:r>
      <w:r w:rsidRPr="007D089C">
        <w:rPr>
          <w:lang w:val="en-US"/>
        </w:rPr>
        <w:t xml:space="preserve"> the HDL</w:t>
      </w:r>
      <w:r w:rsidR="000074EB" w:rsidRPr="007D089C">
        <w:rPr>
          <w:rFonts w:ascii="Times-Roman" w:hAnsi="Times-Roman" w:cs="Times-Roman"/>
          <w:b/>
          <w:lang w:val="en-US"/>
        </w:rPr>
        <w:br w:type="page"/>
      </w:r>
    </w:p>
    <w:p w14:paraId="497C2014" w14:textId="77777777" w:rsidR="003A3689" w:rsidRPr="007D089C" w:rsidRDefault="003A3689" w:rsidP="00C141DD">
      <w:pPr>
        <w:autoSpaceDE w:val="0"/>
        <w:autoSpaceDN w:val="0"/>
        <w:adjustRightInd w:val="0"/>
        <w:rPr>
          <w:rFonts w:ascii="Times-Roman" w:hAnsi="Times-Roman" w:cs="Times-Roman"/>
          <w:b/>
          <w:lang w:val="en-US"/>
        </w:rPr>
        <w:sectPr w:rsidR="003A3689" w:rsidRPr="007D089C" w:rsidSect="00334738">
          <w:pgSz w:w="11906" w:h="16838"/>
          <w:pgMar w:top="1440" w:right="1440" w:bottom="1440" w:left="1440" w:header="708" w:footer="708" w:gutter="0"/>
          <w:cols w:space="708"/>
          <w:docGrid w:linePitch="360"/>
        </w:sectPr>
      </w:pPr>
    </w:p>
    <w:tbl>
      <w:tblPr>
        <w:tblW w:w="1450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88"/>
        <w:gridCol w:w="10915"/>
      </w:tblGrid>
      <w:tr w:rsidR="008635D7" w:rsidRPr="007D089C" w14:paraId="7C0A8654" w14:textId="77777777" w:rsidTr="008635D7">
        <w:trPr>
          <w:trHeight w:val="300"/>
        </w:trPr>
        <w:tc>
          <w:tcPr>
            <w:tcW w:w="3588" w:type="dxa"/>
            <w:tcBorders>
              <w:top w:val="nil"/>
              <w:left w:val="nil"/>
              <w:bottom w:val="single" w:sz="4" w:space="0" w:color="auto"/>
              <w:right w:val="nil"/>
            </w:tcBorders>
            <w:shd w:val="clear" w:color="auto" w:fill="auto"/>
            <w:noWrap/>
            <w:vAlign w:val="center"/>
          </w:tcPr>
          <w:p w14:paraId="7A2DAEE5" w14:textId="4953FB29" w:rsidR="008635D7" w:rsidRPr="007D089C" w:rsidRDefault="008635D7" w:rsidP="00C141DD">
            <w:pPr>
              <w:rPr>
                <w:b/>
                <w:color w:val="000000"/>
                <w:lang w:val="en-US"/>
              </w:rPr>
            </w:pPr>
            <w:r w:rsidRPr="007D089C">
              <w:rPr>
                <w:b/>
                <w:color w:val="000000"/>
                <w:lang w:val="en-US"/>
              </w:rPr>
              <w:t>Table 2</w:t>
            </w:r>
          </w:p>
        </w:tc>
        <w:tc>
          <w:tcPr>
            <w:tcW w:w="10915" w:type="dxa"/>
            <w:tcBorders>
              <w:top w:val="nil"/>
              <w:left w:val="nil"/>
              <w:bottom w:val="single" w:sz="4" w:space="0" w:color="auto"/>
              <w:right w:val="nil"/>
            </w:tcBorders>
            <w:shd w:val="clear" w:color="auto" w:fill="auto"/>
            <w:noWrap/>
            <w:vAlign w:val="bottom"/>
          </w:tcPr>
          <w:p w14:paraId="459B90B0" w14:textId="77777777" w:rsidR="008635D7" w:rsidRPr="007D089C" w:rsidRDefault="008635D7" w:rsidP="00C141DD">
            <w:pPr>
              <w:rPr>
                <w:b/>
                <w:color w:val="000000"/>
                <w:lang w:val="en-US"/>
              </w:rPr>
            </w:pPr>
          </w:p>
        </w:tc>
      </w:tr>
      <w:tr w:rsidR="000074EB" w:rsidRPr="007D089C" w14:paraId="24BB0B14" w14:textId="77777777" w:rsidTr="008635D7">
        <w:trPr>
          <w:trHeight w:val="300"/>
        </w:trPr>
        <w:tc>
          <w:tcPr>
            <w:tcW w:w="35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E77DE7" w14:textId="77777777" w:rsidR="000074EB" w:rsidRPr="007D089C" w:rsidRDefault="000074EB" w:rsidP="00C141DD">
            <w:pPr>
              <w:rPr>
                <w:b/>
                <w:color w:val="000000"/>
                <w:sz w:val="22"/>
                <w:szCs w:val="22"/>
                <w:lang w:val="en-US"/>
              </w:rPr>
            </w:pPr>
            <w:r w:rsidRPr="007D089C">
              <w:rPr>
                <w:b/>
                <w:color w:val="000000"/>
                <w:sz w:val="22"/>
                <w:szCs w:val="22"/>
                <w:lang w:val="en-US"/>
              </w:rPr>
              <w:t>Cancer or target Type</w:t>
            </w:r>
          </w:p>
        </w:tc>
        <w:tc>
          <w:tcPr>
            <w:tcW w:w="109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D5CA35" w14:textId="77777777" w:rsidR="000074EB" w:rsidRPr="007D089C" w:rsidRDefault="000074EB" w:rsidP="00C141DD">
            <w:pPr>
              <w:rPr>
                <w:b/>
                <w:color w:val="000000"/>
                <w:sz w:val="22"/>
                <w:szCs w:val="22"/>
                <w:lang w:val="en-US"/>
              </w:rPr>
            </w:pPr>
            <w:r w:rsidRPr="007D089C">
              <w:rPr>
                <w:b/>
                <w:color w:val="000000"/>
                <w:sz w:val="22"/>
                <w:szCs w:val="22"/>
                <w:lang w:val="en-US"/>
              </w:rPr>
              <w:t>References and  subdivisions</w:t>
            </w:r>
            <w:r w:rsidR="000F5132" w:rsidRPr="007D089C">
              <w:rPr>
                <w:b/>
                <w:color w:val="000000"/>
                <w:sz w:val="22"/>
                <w:szCs w:val="22"/>
                <w:lang w:val="en-US"/>
              </w:rPr>
              <w:t xml:space="preserve"> </w:t>
            </w:r>
          </w:p>
        </w:tc>
      </w:tr>
      <w:tr w:rsidR="000074EB" w:rsidRPr="007D089C" w14:paraId="3C3ADD33" w14:textId="77777777" w:rsidTr="008635D7">
        <w:trPr>
          <w:trHeight w:val="300"/>
        </w:trPr>
        <w:tc>
          <w:tcPr>
            <w:tcW w:w="35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A4BE1B" w14:textId="77777777" w:rsidR="000074EB" w:rsidRPr="007D089C" w:rsidRDefault="000074EB" w:rsidP="00C141DD">
            <w:pPr>
              <w:rPr>
                <w:color w:val="000000"/>
                <w:sz w:val="22"/>
                <w:szCs w:val="22"/>
                <w:lang w:val="en-US"/>
              </w:rPr>
            </w:pPr>
            <w:r w:rsidRPr="007D089C">
              <w:rPr>
                <w:color w:val="000000"/>
                <w:sz w:val="22"/>
                <w:szCs w:val="22"/>
                <w:lang w:val="en-US"/>
              </w:rPr>
              <w:t>Breast</w:t>
            </w:r>
          </w:p>
        </w:tc>
        <w:tc>
          <w:tcPr>
            <w:tcW w:w="109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91DEDDB" w14:textId="1941526B" w:rsidR="000074EB" w:rsidRPr="007D089C" w:rsidRDefault="000074EB" w:rsidP="00C141DD">
            <w:pPr>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RW.CITE{{2078 Meng,R. 2011; 2018 Opstal-van Winden,A.W. 2011; 2125 Madian,A.G. 2011}}</w:instrText>
            </w:r>
            <w:r w:rsidRPr="007D089C">
              <w:rPr>
                <w:color w:val="000000"/>
                <w:sz w:val="22"/>
                <w:szCs w:val="22"/>
                <w:lang w:val="en-US"/>
              </w:rPr>
              <w:fldChar w:fldCharType="separate"/>
            </w:r>
            <w:r w:rsidR="00C77B76">
              <w:rPr>
                <w:color w:val="000000"/>
                <w:sz w:val="22"/>
                <w:szCs w:val="22"/>
                <w:lang w:val="en-US"/>
              </w:rPr>
              <w:t>(Madian et al., 2011; Meng, Gormley, Bhat, Rosenberg, &amp; Quong, 2011; Opstal-van Winden et al., 2011)</w:t>
            </w:r>
            <w:r w:rsidRPr="007D089C">
              <w:rPr>
                <w:color w:val="000000"/>
                <w:sz w:val="22"/>
                <w:szCs w:val="22"/>
                <w:lang w:val="en-US"/>
              </w:rPr>
              <w:fldChar w:fldCharType="end"/>
            </w:r>
          </w:p>
        </w:tc>
      </w:tr>
      <w:tr w:rsidR="000074EB" w:rsidRPr="007D089C" w14:paraId="530A271C" w14:textId="77777777" w:rsidTr="00980C45">
        <w:trPr>
          <w:trHeight w:val="300"/>
        </w:trPr>
        <w:tc>
          <w:tcPr>
            <w:tcW w:w="35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44C3EC" w14:textId="77777777" w:rsidR="000074EB" w:rsidRPr="007D089C" w:rsidRDefault="000074EB" w:rsidP="00C141DD">
            <w:pPr>
              <w:rPr>
                <w:color w:val="000000"/>
                <w:sz w:val="22"/>
                <w:szCs w:val="22"/>
                <w:lang w:val="en-US"/>
              </w:rPr>
            </w:pPr>
            <w:r w:rsidRPr="007D089C">
              <w:rPr>
                <w:color w:val="000000"/>
                <w:sz w:val="22"/>
                <w:szCs w:val="22"/>
                <w:lang w:val="en-US"/>
              </w:rPr>
              <w:t>Blood</w:t>
            </w:r>
          </w:p>
        </w:tc>
        <w:tc>
          <w:tcPr>
            <w:tcW w:w="109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1CF8C6" w14:textId="74D86F68" w:rsidR="000074EB" w:rsidRPr="007D089C" w:rsidRDefault="000074EB" w:rsidP="00C141DD">
            <w:pPr>
              <w:rPr>
                <w:color w:val="000000"/>
                <w:sz w:val="22"/>
                <w:szCs w:val="22"/>
                <w:lang w:val="en-US"/>
              </w:rPr>
            </w:pPr>
            <w:r w:rsidRPr="007D089C">
              <w:rPr>
                <w:color w:val="000000"/>
                <w:sz w:val="22"/>
                <w:szCs w:val="22"/>
                <w:lang w:val="en-US"/>
              </w:rPr>
              <w:t xml:space="preserve">human: </w:t>
            </w:r>
            <w:r w:rsidRPr="007D089C">
              <w:rPr>
                <w:color w:val="000000"/>
                <w:sz w:val="22"/>
                <w:szCs w:val="22"/>
                <w:lang w:val="en-US"/>
              </w:rPr>
              <w:fldChar w:fldCharType="begin"/>
            </w:r>
            <w:r w:rsidRPr="007D089C">
              <w:rPr>
                <w:color w:val="000000"/>
                <w:sz w:val="22"/>
                <w:szCs w:val="22"/>
                <w:lang w:val="en-US"/>
              </w:rPr>
              <w:instrText>ADDIN RW.CITE{{2195 Huang,P.Y. 2015}}</w:instrText>
            </w:r>
            <w:r w:rsidRPr="007D089C">
              <w:rPr>
                <w:color w:val="000000"/>
                <w:sz w:val="22"/>
                <w:szCs w:val="22"/>
                <w:lang w:val="en-US"/>
              </w:rPr>
              <w:fldChar w:fldCharType="separate"/>
            </w:r>
            <w:r w:rsidR="00C77B76">
              <w:rPr>
                <w:color w:val="000000"/>
                <w:sz w:val="22"/>
                <w:szCs w:val="22"/>
                <w:lang w:val="en-US"/>
              </w:rPr>
              <w:t>(P. Y. Huang et al., 2015)</w:t>
            </w:r>
            <w:r w:rsidRPr="007D089C">
              <w:rPr>
                <w:color w:val="000000"/>
                <w:sz w:val="22"/>
                <w:szCs w:val="22"/>
                <w:lang w:val="en-US"/>
              </w:rPr>
              <w:fldChar w:fldCharType="end"/>
            </w:r>
            <w:r w:rsidRPr="007D089C">
              <w:rPr>
                <w:color w:val="000000"/>
                <w:sz w:val="22"/>
                <w:szCs w:val="22"/>
                <w:lang w:val="en-US"/>
              </w:rPr>
              <w:t xml:space="preserve"> </w:t>
            </w:r>
          </w:p>
          <w:p w14:paraId="588074B5" w14:textId="08C63DA1" w:rsidR="000074EB" w:rsidRPr="007D089C" w:rsidRDefault="000074EB" w:rsidP="00C141DD">
            <w:pPr>
              <w:rPr>
                <w:color w:val="000000"/>
                <w:sz w:val="22"/>
                <w:szCs w:val="22"/>
                <w:lang w:val="en-US"/>
              </w:rPr>
            </w:pPr>
            <w:r w:rsidRPr="007D089C">
              <w:rPr>
                <w:color w:val="000000"/>
                <w:sz w:val="22"/>
                <w:szCs w:val="22"/>
                <w:lang w:val="en-US"/>
              </w:rPr>
              <w:t xml:space="preserve">mouse: </w:t>
            </w:r>
            <w:r w:rsidRPr="007D089C">
              <w:rPr>
                <w:color w:val="000000"/>
                <w:sz w:val="22"/>
                <w:szCs w:val="22"/>
                <w:lang w:val="en-US"/>
              </w:rPr>
              <w:fldChar w:fldCharType="begin"/>
            </w:r>
            <w:r w:rsidRPr="007D089C">
              <w:rPr>
                <w:color w:val="000000"/>
                <w:sz w:val="22"/>
                <w:szCs w:val="22"/>
                <w:lang w:val="en-US"/>
              </w:rPr>
              <w:instrText>ADDIN RW.CITE{{1465 Kristiansson,M.H. 2007}}</w:instrText>
            </w:r>
            <w:r w:rsidRPr="007D089C">
              <w:rPr>
                <w:color w:val="000000"/>
                <w:sz w:val="22"/>
                <w:szCs w:val="22"/>
                <w:lang w:val="en-US"/>
              </w:rPr>
              <w:fldChar w:fldCharType="separate"/>
            </w:r>
            <w:r w:rsidR="00C77B76">
              <w:rPr>
                <w:color w:val="000000"/>
                <w:sz w:val="22"/>
                <w:szCs w:val="22"/>
                <w:lang w:val="en-US"/>
              </w:rPr>
              <w:t>(Kristiansson et al., 2007)</w:t>
            </w:r>
            <w:r w:rsidRPr="007D089C">
              <w:rPr>
                <w:color w:val="000000"/>
                <w:sz w:val="22"/>
                <w:szCs w:val="22"/>
                <w:lang w:val="en-US"/>
              </w:rPr>
              <w:fldChar w:fldCharType="end"/>
            </w:r>
            <w:r w:rsidRPr="007D089C">
              <w:rPr>
                <w:color w:val="000000"/>
                <w:sz w:val="22"/>
                <w:szCs w:val="22"/>
                <w:lang w:val="en-US"/>
              </w:rPr>
              <w:t xml:space="preserve"> </w:t>
            </w:r>
          </w:p>
        </w:tc>
      </w:tr>
      <w:tr w:rsidR="003A3689" w:rsidRPr="007D089C" w14:paraId="29AD4C1C" w14:textId="77777777" w:rsidTr="00980C45">
        <w:trPr>
          <w:trHeight w:val="300"/>
        </w:trPr>
        <w:tc>
          <w:tcPr>
            <w:tcW w:w="358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78B3177" w14:textId="77777777" w:rsidR="003A3689" w:rsidRPr="007D089C" w:rsidRDefault="003A3689" w:rsidP="00C141DD">
            <w:pPr>
              <w:rPr>
                <w:color w:val="000000"/>
                <w:sz w:val="22"/>
                <w:szCs w:val="22"/>
                <w:lang w:val="en-US"/>
              </w:rPr>
            </w:pPr>
            <w:r w:rsidRPr="007D089C">
              <w:rPr>
                <w:color w:val="000000"/>
                <w:sz w:val="22"/>
                <w:szCs w:val="22"/>
                <w:lang w:val="en-US"/>
              </w:rPr>
              <w:t>Cervical</w:t>
            </w:r>
          </w:p>
          <w:p w14:paraId="41F58955" w14:textId="77777777" w:rsidR="003A3689" w:rsidRPr="007D089C" w:rsidRDefault="003A3689" w:rsidP="00C141DD">
            <w:pPr>
              <w:rPr>
                <w:color w:val="000000"/>
                <w:sz w:val="22"/>
                <w:szCs w:val="22"/>
                <w:lang w:val="en-US"/>
              </w:rPr>
            </w:pPr>
            <w:r w:rsidRPr="007D089C">
              <w:rPr>
                <w:color w:val="000000"/>
                <w:sz w:val="22"/>
                <w:szCs w:val="22"/>
                <w:lang w:val="en-US"/>
              </w:rPr>
              <w:t>Colorectal</w:t>
            </w:r>
          </w:p>
          <w:p w14:paraId="03A25953" w14:textId="77777777" w:rsidR="003A3689" w:rsidRPr="007D089C" w:rsidRDefault="003A3689" w:rsidP="00C141DD">
            <w:pPr>
              <w:rPr>
                <w:color w:val="000000"/>
                <w:sz w:val="22"/>
                <w:szCs w:val="22"/>
                <w:lang w:val="en-US"/>
              </w:rPr>
            </w:pPr>
            <w:r w:rsidRPr="007D089C">
              <w:rPr>
                <w:sz w:val="22"/>
                <w:szCs w:val="22"/>
                <w:lang w:val="en-US"/>
              </w:rPr>
              <w:t>Polyposis Coli  &amp; Lynch syndrome</w:t>
            </w:r>
          </w:p>
        </w:tc>
        <w:tc>
          <w:tcPr>
            <w:tcW w:w="10915" w:type="dxa"/>
            <w:tcBorders>
              <w:top w:val="single" w:sz="4" w:space="0" w:color="auto"/>
              <w:left w:val="single" w:sz="4" w:space="0" w:color="auto"/>
              <w:bottom w:val="single" w:sz="4" w:space="0" w:color="auto"/>
              <w:right w:val="single" w:sz="4" w:space="0" w:color="auto"/>
            </w:tcBorders>
            <w:shd w:val="clear" w:color="auto" w:fill="auto"/>
            <w:noWrap/>
          </w:tcPr>
          <w:p w14:paraId="064977A8" w14:textId="30B8BFB9" w:rsidR="003A3689" w:rsidRPr="007D089C" w:rsidRDefault="003A3689" w:rsidP="00C141DD">
            <w:pPr>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RW.CITE{{2086 Boichenko,A.P. 2014}}</w:instrText>
            </w:r>
            <w:r w:rsidRPr="007D089C">
              <w:rPr>
                <w:color w:val="000000"/>
                <w:sz w:val="22"/>
                <w:szCs w:val="22"/>
                <w:lang w:val="en-US"/>
              </w:rPr>
              <w:fldChar w:fldCharType="separate"/>
            </w:r>
            <w:r w:rsidR="00C77B76">
              <w:rPr>
                <w:color w:val="000000"/>
                <w:sz w:val="22"/>
                <w:szCs w:val="22"/>
                <w:lang w:val="en-US"/>
              </w:rPr>
              <w:t>(Boichenko et al., 2014)</w:t>
            </w:r>
            <w:r w:rsidRPr="007D089C">
              <w:rPr>
                <w:color w:val="000000"/>
                <w:sz w:val="22"/>
                <w:szCs w:val="22"/>
                <w:lang w:val="en-US"/>
              </w:rPr>
              <w:fldChar w:fldCharType="end"/>
            </w:r>
          </w:p>
          <w:p w14:paraId="4B802BD7" w14:textId="23563710" w:rsidR="003A3689" w:rsidRPr="007D089C" w:rsidRDefault="003A3689" w:rsidP="00C141DD">
            <w:pPr>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RW.CITE{{2090 Zhang,X. 2012}}</w:instrText>
            </w:r>
            <w:r w:rsidRPr="007D089C">
              <w:rPr>
                <w:color w:val="000000"/>
                <w:sz w:val="22"/>
                <w:szCs w:val="22"/>
                <w:lang w:val="en-US"/>
              </w:rPr>
              <w:fldChar w:fldCharType="separate"/>
            </w:r>
            <w:r w:rsidR="00C77B76">
              <w:rPr>
                <w:color w:val="000000"/>
                <w:sz w:val="22"/>
                <w:szCs w:val="22"/>
                <w:lang w:val="en-US"/>
              </w:rPr>
              <w:t>(X. Zhang et al., 2012)</w:t>
            </w:r>
            <w:r w:rsidRPr="007D089C">
              <w:rPr>
                <w:color w:val="000000"/>
                <w:sz w:val="22"/>
                <w:szCs w:val="22"/>
                <w:lang w:val="en-US"/>
              </w:rPr>
              <w:fldChar w:fldCharType="end"/>
            </w:r>
          </w:p>
          <w:p w14:paraId="0F1EBFB5" w14:textId="1E1CEF75" w:rsidR="003A3689" w:rsidRPr="007D089C" w:rsidRDefault="003A3689" w:rsidP="00C141DD">
            <w:pPr>
              <w:rPr>
                <w:color w:val="000000"/>
                <w:sz w:val="22"/>
                <w:szCs w:val="22"/>
                <w:lang w:val="en-US"/>
              </w:rPr>
            </w:pPr>
            <w:r w:rsidRPr="007D089C">
              <w:rPr>
                <w:rFonts w:ascii="Times-Roman" w:hAnsi="Times-Roman" w:cs="Times-Roman"/>
                <w:sz w:val="22"/>
                <w:szCs w:val="22"/>
                <w:lang w:val="en-US"/>
              </w:rPr>
              <w:fldChar w:fldCharType="begin"/>
            </w:r>
            <w:r w:rsidRPr="007D089C">
              <w:rPr>
                <w:rFonts w:ascii="Times-Roman" w:hAnsi="Times-Roman" w:cs="Times-Roman"/>
                <w:sz w:val="22"/>
                <w:szCs w:val="22"/>
                <w:lang w:val="en-US"/>
              </w:rPr>
              <w:instrText>ADDIN RW.CITE{{1898 Jones,K.A. 2013}}</w:instrText>
            </w:r>
            <w:r w:rsidRPr="007D089C">
              <w:rPr>
                <w:rFonts w:ascii="Times-Roman" w:hAnsi="Times-Roman" w:cs="Times-Roman"/>
                <w:sz w:val="22"/>
                <w:szCs w:val="22"/>
                <w:lang w:val="en-US"/>
              </w:rPr>
              <w:fldChar w:fldCharType="separate"/>
            </w:r>
            <w:r w:rsidR="00C77B76">
              <w:rPr>
                <w:rFonts w:ascii="Times-Roman" w:hAnsi="Times-Roman" w:cs="Times-Roman"/>
                <w:sz w:val="22"/>
                <w:szCs w:val="22"/>
                <w:lang w:val="en-US"/>
              </w:rPr>
              <w:t>(Jones et al., 2013)</w:t>
            </w:r>
            <w:r w:rsidRPr="007D089C">
              <w:rPr>
                <w:rFonts w:ascii="Times-Roman" w:hAnsi="Times-Roman" w:cs="Times-Roman"/>
                <w:sz w:val="22"/>
                <w:szCs w:val="22"/>
                <w:lang w:val="en-US"/>
              </w:rPr>
              <w:fldChar w:fldCharType="end"/>
            </w:r>
          </w:p>
        </w:tc>
      </w:tr>
      <w:tr w:rsidR="000074EB" w:rsidRPr="007D089C" w14:paraId="53E7D97B" w14:textId="77777777" w:rsidTr="00980C45">
        <w:trPr>
          <w:trHeight w:val="300"/>
        </w:trPr>
        <w:tc>
          <w:tcPr>
            <w:tcW w:w="35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84DA157" w14:textId="77777777" w:rsidR="000074EB" w:rsidRPr="007D089C" w:rsidRDefault="000074EB" w:rsidP="00C141DD">
            <w:pPr>
              <w:rPr>
                <w:color w:val="000000"/>
                <w:sz w:val="22"/>
                <w:szCs w:val="22"/>
                <w:lang w:val="en-US"/>
              </w:rPr>
            </w:pPr>
            <w:r w:rsidRPr="007D089C">
              <w:rPr>
                <w:color w:val="000000"/>
                <w:sz w:val="22"/>
                <w:szCs w:val="22"/>
                <w:lang w:val="en-US"/>
              </w:rPr>
              <w:t>Gastric</w:t>
            </w:r>
          </w:p>
        </w:tc>
        <w:tc>
          <w:tcPr>
            <w:tcW w:w="109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5337845" w14:textId="48CEEEAB" w:rsidR="000074EB" w:rsidRPr="007D089C" w:rsidRDefault="000074EB" w:rsidP="00C141DD">
            <w:pPr>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RW.CITE{{1428 Chong,P.K. 2010; 1425 Chong,P.K. 2010; 1977 Subbannayya,Y. 2015}}</w:instrText>
            </w:r>
            <w:r w:rsidRPr="007D089C">
              <w:rPr>
                <w:color w:val="000000"/>
                <w:sz w:val="22"/>
                <w:szCs w:val="22"/>
                <w:lang w:val="en-US"/>
              </w:rPr>
              <w:fldChar w:fldCharType="separate"/>
            </w:r>
            <w:r w:rsidR="00C77B76">
              <w:rPr>
                <w:color w:val="000000"/>
                <w:sz w:val="22"/>
                <w:szCs w:val="22"/>
                <w:lang w:val="en-US"/>
              </w:rPr>
              <w:t>(Chong, Lee, Loh et al., 2010; Chong, Lee, Zhou, Liu, Loh, Wang et al., 2010; Subbannayya et al., 2015)</w:t>
            </w:r>
            <w:r w:rsidRPr="007D089C">
              <w:rPr>
                <w:color w:val="000000"/>
                <w:sz w:val="22"/>
                <w:szCs w:val="22"/>
                <w:lang w:val="en-US"/>
              </w:rPr>
              <w:fldChar w:fldCharType="end"/>
            </w:r>
            <w:r w:rsidRPr="007D089C">
              <w:rPr>
                <w:color w:val="000000"/>
                <w:sz w:val="22"/>
                <w:szCs w:val="22"/>
                <w:lang w:val="en-US"/>
              </w:rPr>
              <w:t xml:space="preserve">  </w:t>
            </w:r>
          </w:p>
          <w:p w14:paraId="3299DE09" w14:textId="3030E377" w:rsidR="000074EB" w:rsidRPr="007D089C" w:rsidRDefault="000074EB" w:rsidP="00C141DD">
            <w:pPr>
              <w:rPr>
                <w:color w:val="000000"/>
                <w:sz w:val="22"/>
                <w:szCs w:val="22"/>
                <w:lang w:val="en-US"/>
              </w:rPr>
            </w:pPr>
            <w:r w:rsidRPr="007D089C">
              <w:rPr>
                <w:color w:val="000000"/>
                <w:sz w:val="22"/>
                <w:szCs w:val="22"/>
                <w:lang w:val="en-US"/>
              </w:rPr>
              <w:t xml:space="preserve">Xenograph: </w:t>
            </w:r>
            <w:r w:rsidRPr="007D089C">
              <w:rPr>
                <w:color w:val="000000"/>
                <w:sz w:val="22"/>
                <w:szCs w:val="22"/>
                <w:lang w:val="en-US"/>
              </w:rPr>
              <w:fldChar w:fldCharType="begin"/>
            </w:r>
            <w:r w:rsidRPr="007D089C">
              <w:rPr>
                <w:color w:val="000000"/>
                <w:sz w:val="22"/>
                <w:szCs w:val="22"/>
                <w:lang w:val="en-US"/>
              </w:rPr>
              <w:instrText>ADDIN RW.CITE{{1430 Chong,P.K. 2010}}</w:instrText>
            </w:r>
            <w:r w:rsidRPr="007D089C">
              <w:rPr>
                <w:color w:val="000000"/>
                <w:sz w:val="22"/>
                <w:szCs w:val="22"/>
                <w:lang w:val="en-US"/>
              </w:rPr>
              <w:fldChar w:fldCharType="separate"/>
            </w:r>
            <w:r w:rsidR="00C77B76">
              <w:rPr>
                <w:color w:val="000000"/>
                <w:sz w:val="22"/>
                <w:szCs w:val="22"/>
                <w:lang w:val="en-US"/>
              </w:rPr>
              <w:t>(Chong, Lee, Zhou, Liu, Loh, So et al., 2010)</w:t>
            </w:r>
            <w:r w:rsidRPr="007D089C">
              <w:rPr>
                <w:color w:val="000000"/>
                <w:sz w:val="22"/>
                <w:szCs w:val="22"/>
                <w:lang w:val="en-US"/>
              </w:rPr>
              <w:fldChar w:fldCharType="end"/>
            </w:r>
            <w:r w:rsidRPr="007D089C">
              <w:rPr>
                <w:color w:val="000000"/>
                <w:sz w:val="22"/>
                <w:szCs w:val="22"/>
                <w:lang w:val="en-US"/>
              </w:rPr>
              <w:t xml:space="preserve">  </w:t>
            </w:r>
          </w:p>
        </w:tc>
      </w:tr>
      <w:tr w:rsidR="000074EB" w:rsidRPr="007D089C" w14:paraId="6DE3EA29" w14:textId="77777777" w:rsidTr="00980C45">
        <w:trPr>
          <w:trHeight w:val="300"/>
        </w:trPr>
        <w:tc>
          <w:tcPr>
            <w:tcW w:w="35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8F3834" w14:textId="77777777" w:rsidR="000074EB" w:rsidRPr="007D089C" w:rsidRDefault="000074EB" w:rsidP="00C141DD">
            <w:pPr>
              <w:rPr>
                <w:color w:val="000000"/>
                <w:sz w:val="22"/>
                <w:szCs w:val="22"/>
                <w:lang w:val="en-US"/>
              </w:rPr>
            </w:pPr>
            <w:r w:rsidRPr="007D089C">
              <w:rPr>
                <w:color w:val="000000"/>
                <w:sz w:val="22"/>
                <w:szCs w:val="22"/>
                <w:lang w:val="en-US"/>
              </w:rPr>
              <w:t>Glioblastoma</w:t>
            </w:r>
          </w:p>
        </w:tc>
        <w:tc>
          <w:tcPr>
            <w:tcW w:w="10915" w:type="dxa"/>
            <w:tcBorders>
              <w:top w:val="single" w:sz="4" w:space="0" w:color="auto"/>
              <w:left w:val="single" w:sz="4" w:space="0" w:color="auto"/>
              <w:bottom w:val="single" w:sz="4" w:space="0" w:color="auto"/>
              <w:right w:val="single" w:sz="4" w:space="0" w:color="auto"/>
            </w:tcBorders>
            <w:shd w:val="clear" w:color="auto" w:fill="auto"/>
            <w:vAlign w:val="bottom"/>
          </w:tcPr>
          <w:p w14:paraId="116BC151" w14:textId="4962A92D" w:rsidR="000074EB" w:rsidRPr="007D089C" w:rsidRDefault="000074EB" w:rsidP="00C141DD">
            <w:pPr>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RW.CITE{{1997 Gautam,P. 2012}}</w:instrText>
            </w:r>
            <w:r w:rsidRPr="007D089C">
              <w:rPr>
                <w:color w:val="000000"/>
                <w:sz w:val="22"/>
                <w:szCs w:val="22"/>
                <w:lang w:val="en-US"/>
              </w:rPr>
              <w:fldChar w:fldCharType="separate"/>
            </w:r>
            <w:r w:rsidR="00C77B76">
              <w:rPr>
                <w:color w:val="000000"/>
                <w:sz w:val="22"/>
                <w:szCs w:val="22"/>
                <w:lang w:val="en-US"/>
              </w:rPr>
              <w:t>(Gautam et al., 2012)</w:t>
            </w:r>
            <w:r w:rsidRPr="007D089C">
              <w:rPr>
                <w:color w:val="000000"/>
                <w:sz w:val="22"/>
                <w:szCs w:val="22"/>
                <w:lang w:val="en-US"/>
              </w:rPr>
              <w:fldChar w:fldCharType="end"/>
            </w:r>
          </w:p>
        </w:tc>
      </w:tr>
      <w:tr w:rsidR="000074EB" w:rsidRPr="007D089C" w14:paraId="545C7F8C" w14:textId="77777777" w:rsidTr="00980C45">
        <w:trPr>
          <w:trHeight w:val="300"/>
        </w:trPr>
        <w:tc>
          <w:tcPr>
            <w:tcW w:w="35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B9B12E7" w14:textId="77777777" w:rsidR="000074EB" w:rsidRPr="007D089C" w:rsidRDefault="000074EB" w:rsidP="00C141DD">
            <w:pPr>
              <w:rPr>
                <w:color w:val="000000"/>
                <w:sz w:val="22"/>
                <w:szCs w:val="22"/>
                <w:lang w:val="en-US"/>
              </w:rPr>
            </w:pPr>
            <w:r w:rsidRPr="007D089C">
              <w:rPr>
                <w:color w:val="000000"/>
                <w:sz w:val="22"/>
                <w:szCs w:val="22"/>
                <w:lang w:val="en-US"/>
              </w:rPr>
              <w:t>Liver</w:t>
            </w:r>
          </w:p>
        </w:tc>
        <w:tc>
          <w:tcPr>
            <w:tcW w:w="109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310EA5" w14:textId="63EFE3C6" w:rsidR="000074EB" w:rsidRPr="007D089C" w:rsidRDefault="000074EB" w:rsidP="00C141DD">
            <w:pPr>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RW.CITE{{1999 Li,Y. 2012; 2094 He,X. 2014; 1995 Huang,C. 2013; 2088 Lee,H.J. 2010; 2127 Qin,X. 2013}}</w:instrText>
            </w:r>
            <w:r w:rsidRPr="007D089C">
              <w:rPr>
                <w:color w:val="000000"/>
                <w:sz w:val="22"/>
                <w:szCs w:val="22"/>
                <w:lang w:val="en-US"/>
              </w:rPr>
              <w:fldChar w:fldCharType="separate"/>
            </w:r>
            <w:r w:rsidR="00C77B76">
              <w:rPr>
                <w:color w:val="000000"/>
                <w:sz w:val="22"/>
                <w:szCs w:val="22"/>
                <w:lang w:val="en-US"/>
              </w:rPr>
              <w:t>(He et al., 2014; C. Huang et al., 2013; H. J. Lee et al., 2010; Y. Li et al., 2012; Qin et al., 2013)</w:t>
            </w:r>
            <w:r w:rsidRPr="007D089C">
              <w:rPr>
                <w:color w:val="000000"/>
                <w:sz w:val="22"/>
                <w:szCs w:val="22"/>
                <w:lang w:val="en-US"/>
              </w:rPr>
              <w:fldChar w:fldCharType="end"/>
            </w:r>
            <w:r w:rsidRPr="007D089C">
              <w:rPr>
                <w:color w:val="000000"/>
                <w:sz w:val="22"/>
                <w:szCs w:val="22"/>
                <w:lang w:val="en-US"/>
              </w:rPr>
              <w:t xml:space="preserve">, </w:t>
            </w:r>
          </w:p>
          <w:p w14:paraId="600BAAE7" w14:textId="3C02586F" w:rsidR="000074EB" w:rsidRPr="007D089C" w:rsidRDefault="000074EB" w:rsidP="00C141DD">
            <w:pPr>
              <w:rPr>
                <w:color w:val="000000"/>
                <w:sz w:val="22"/>
                <w:szCs w:val="22"/>
                <w:lang w:val="en-US"/>
              </w:rPr>
            </w:pPr>
            <w:r w:rsidRPr="007D089C">
              <w:rPr>
                <w:color w:val="000000"/>
                <w:sz w:val="22"/>
                <w:szCs w:val="22"/>
                <w:lang w:val="en-US"/>
              </w:rPr>
              <w:t xml:space="preserve">Xenograph: </w:t>
            </w:r>
            <w:r w:rsidRPr="007D089C">
              <w:rPr>
                <w:color w:val="000000"/>
                <w:sz w:val="22"/>
                <w:szCs w:val="22"/>
                <w:lang w:val="en-US"/>
              </w:rPr>
              <w:fldChar w:fldCharType="begin"/>
            </w:r>
            <w:r w:rsidRPr="007D089C">
              <w:rPr>
                <w:color w:val="000000"/>
                <w:sz w:val="22"/>
                <w:szCs w:val="22"/>
                <w:lang w:val="en-US"/>
              </w:rPr>
              <w:instrText>ADDIN RW.CITE{{2004 Wang,C. 2011}}</w:instrText>
            </w:r>
            <w:r w:rsidRPr="007D089C">
              <w:rPr>
                <w:color w:val="000000"/>
                <w:sz w:val="22"/>
                <w:szCs w:val="22"/>
                <w:lang w:val="en-US"/>
              </w:rPr>
              <w:fldChar w:fldCharType="separate"/>
            </w:r>
            <w:r w:rsidR="00C77B76">
              <w:rPr>
                <w:color w:val="000000"/>
                <w:sz w:val="22"/>
                <w:szCs w:val="22"/>
                <w:lang w:val="en-US"/>
              </w:rPr>
              <w:t>(C. Wang et al., 2011)</w:t>
            </w:r>
            <w:r w:rsidRPr="007D089C">
              <w:rPr>
                <w:color w:val="000000"/>
                <w:sz w:val="22"/>
                <w:szCs w:val="22"/>
                <w:lang w:val="en-US"/>
              </w:rPr>
              <w:fldChar w:fldCharType="end"/>
            </w:r>
          </w:p>
          <w:p w14:paraId="3AA84D64" w14:textId="64F2256A" w:rsidR="000074EB" w:rsidRPr="007D089C" w:rsidRDefault="000074EB" w:rsidP="00C141DD">
            <w:pPr>
              <w:rPr>
                <w:color w:val="000000"/>
                <w:sz w:val="22"/>
                <w:szCs w:val="22"/>
                <w:lang w:val="en-US"/>
              </w:rPr>
            </w:pPr>
            <w:r w:rsidRPr="007D089C">
              <w:rPr>
                <w:color w:val="000000"/>
                <w:sz w:val="22"/>
                <w:szCs w:val="22"/>
                <w:lang w:val="en-US"/>
              </w:rPr>
              <w:t xml:space="preserve">Hepatitis B: </w:t>
            </w:r>
            <w:r w:rsidRPr="007D089C">
              <w:rPr>
                <w:color w:val="000000"/>
                <w:sz w:val="22"/>
                <w:szCs w:val="22"/>
                <w:lang w:val="en-US"/>
              </w:rPr>
              <w:fldChar w:fldCharType="begin"/>
            </w:r>
            <w:r w:rsidRPr="007D089C">
              <w:rPr>
                <w:color w:val="000000"/>
                <w:sz w:val="22"/>
                <w:szCs w:val="22"/>
                <w:lang w:val="en-US"/>
              </w:rPr>
              <w:instrText>ADDIN RW.CITE{{1913 Liu,Y. 2014}}</w:instrText>
            </w:r>
            <w:r w:rsidRPr="007D089C">
              <w:rPr>
                <w:color w:val="000000"/>
                <w:sz w:val="22"/>
                <w:szCs w:val="22"/>
                <w:lang w:val="en-US"/>
              </w:rPr>
              <w:fldChar w:fldCharType="separate"/>
            </w:r>
            <w:r w:rsidR="00C77B76">
              <w:rPr>
                <w:color w:val="000000"/>
                <w:sz w:val="22"/>
                <w:szCs w:val="22"/>
                <w:lang w:val="en-US"/>
              </w:rPr>
              <w:t>(Y. Liu et al., 2014)</w:t>
            </w:r>
            <w:r w:rsidRPr="007D089C">
              <w:rPr>
                <w:color w:val="000000"/>
                <w:sz w:val="22"/>
                <w:szCs w:val="22"/>
                <w:lang w:val="en-US"/>
              </w:rPr>
              <w:fldChar w:fldCharType="end"/>
            </w:r>
            <w:r w:rsidR="00EE3FFB" w:rsidRPr="007D089C">
              <w:rPr>
                <w:color w:val="000000"/>
                <w:sz w:val="22"/>
                <w:szCs w:val="22"/>
                <w:lang w:val="en-US"/>
              </w:rPr>
              <w:fldChar w:fldCharType="begin"/>
            </w:r>
            <w:r w:rsidR="00EE3FFB" w:rsidRPr="007D089C">
              <w:rPr>
                <w:color w:val="000000"/>
                <w:sz w:val="22"/>
                <w:szCs w:val="22"/>
                <w:lang w:val="en-US"/>
              </w:rPr>
              <w:instrText>ADDIN RW.CITE{{3112 Liu,T. 2017}}</w:instrText>
            </w:r>
            <w:r w:rsidR="00EE3FFB" w:rsidRPr="007D089C">
              <w:rPr>
                <w:color w:val="000000"/>
                <w:sz w:val="22"/>
                <w:szCs w:val="22"/>
                <w:lang w:val="en-US"/>
              </w:rPr>
              <w:fldChar w:fldCharType="separate"/>
            </w:r>
            <w:r w:rsidR="00C77B76">
              <w:rPr>
                <w:color w:val="000000"/>
                <w:sz w:val="22"/>
                <w:szCs w:val="22"/>
                <w:lang w:val="en-US"/>
              </w:rPr>
              <w:t>(T. Liu et al., 2017)</w:t>
            </w:r>
            <w:r w:rsidR="00EE3FFB" w:rsidRPr="007D089C">
              <w:rPr>
                <w:color w:val="000000"/>
                <w:sz w:val="22"/>
                <w:szCs w:val="22"/>
                <w:lang w:val="en-US"/>
              </w:rPr>
              <w:fldChar w:fldCharType="end"/>
            </w:r>
            <w:r w:rsidRPr="007D089C">
              <w:rPr>
                <w:color w:val="000000"/>
                <w:sz w:val="22"/>
                <w:szCs w:val="22"/>
                <w:lang w:val="en-US"/>
              </w:rPr>
              <w:t xml:space="preserve"> </w:t>
            </w:r>
          </w:p>
          <w:p w14:paraId="65ADB743" w14:textId="5CDF4A1D" w:rsidR="000074EB" w:rsidRPr="007D089C" w:rsidRDefault="000074EB" w:rsidP="00C141DD">
            <w:pPr>
              <w:rPr>
                <w:color w:val="000000"/>
                <w:sz w:val="22"/>
                <w:szCs w:val="22"/>
                <w:lang w:val="en-US"/>
              </w:rPr>
            </w:pPr>
            <w:r w:rsidRPr="007D089C">
              <w:rPr>
                <w:color w:val="000000"/>
                <w:sz w:val="22"/>
                <w:szCs w:val="22"/>
                <w:lang w:val="en-US"/>
              </w:rPr>
              <w:t xml:space="preserve">Glycosylation: </w:t>
            </w:r>
            <w:r w:rsidRPr="007D089C">
              <w:rPr>
                <w:color w:val="000000"/>
                <w:sz w:val="22"/>
                <w:szCs w:val="22"/>
                <w:lang w:val="en-US"/>
              </w:rPr>
              <w:fldChar w:fldCharType="begin"/>
            </w:r>
            <w:r w:rsidRPr="007D089C">
              <w:rPr>
                <w:color w:val="000000"/>
                <w:sz w:val="22"/>
                <w:szCs w:val="22"/>
                <w:lang w:val="en-US"/>
              </w:rPr>
              <w:instrText>ADDIN RW.CITE{{2197 Yin,H. 2015}}</w:instrText>
            </w:r>
            <w:r w:rsidRPr="007D089C">
              <w:rPr>
                <w:color w:val="000000"/>
                <w:sz w:val="22"/>
                <w:szCs w:val="22"/>
                <w:lang w:val="en-US"/>
              </w:rPr>
              <w:fldChar w:fldCharType="separate"/>
            </w:r>
            <w:r w:rsidR="00C77B76">
              <w:rPr>
                <w:color w:val="000000"/>
                <w:sz w:val="22"/>
                <w:szCs w:val="22"/>
                <w:lang w:val="en-US"/>
              </w:rPr>
              <w:t>(Yin et al., 2015)</w:t>
            </w:r>
            <w:r w:rsidRPr="007D089C">
              <w:rPr>
                <w:color w:val="000000"/>
                <w:sz w:val="22"/>
                <w:szCs w:val="22"/>
                <w:lang w:val="en-US"/>
              </w:rPr>
              <w:fldChar w:fldCharType="end"/>
            </w:r>
          </w:p>
        </w:tc>
      </w:tr>
      <w:tr w:rsidR="000074EB" w:rsidRPr="007D089C" w14:paraId="52085F2B" w14:textId="77777777" w:rsidTr="00980C45">
        <w:trPr>
          <w:trHeight w:val="300"/>
        </w:trPr>
        <w:tc>
          <w:tcPr>
            <w:tcW w:w="35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960183" w14:textId="77777777" w:rsidR="000074EB" w:rsidRPr="007D089C" w:rsidRDefault="000074EB" w:rsidP="00C141DD">
            <w:pPr>
              <w:rPr>
                <w:color w:val="000000"/>
                <w:sz w:val="22"/>
                <w:szCs w:val="22"/>
                <w:lang w:val="en-US"/>
              </w:rPr>
            </w:pPr>
            <w:r w:rsidRPr="007D089C">
              <w:rPr>
                <w:color w:val="000000"/>
                <w:sz w:val="22"/>
                <w:szCs w:val="22"/>
                <w:lang w:val="en-US"/>
              </w:rPr>
              <w:t>Lung</w:t>
            </w:r>
          </w:p>
        </w:tc>
        <w:tc>
          <w:tcPr>
            <w:tcW w:w="109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C4EEC2" w14:textId="7900AB6C" w:rsidR="000074EB" w:rsidRPr="007D089C" w:rsidRDefault="000074EB" w:rsidP="00C141DD">
            <w:pPr>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RW.CITE{{1434 Pernemalm,M. 2009; 2073 Zhang,F. 2014}}</w:instrText>
            </w:r>
            <w:r w:rsidRPr="007D089C">
              <w:rPr>
                <w:color w:val="000000"/>
                <w:sz w:val="22"/>
                <w:szCs w:val="22"/>
                <w:lang w:val="en-US"/>
              </w:rPr>
              <w:fldChar w:fldCharType="separate"/>
            </w:r>
            <w:r w:rsidR="00C77B76">
              <w:rPr>
                <w:color w:val="000000"/>
                <w:sz w:val="22"/>
                <w:szCs w:val="22"/>
                <w:lang w:val="en-US"/>
              </w:rPr>
              <w:t>(Pernemalm et al., 2009; F. Zhang et al., 2014)</w:t>
            </w:r>
            <w:r w:rsidRPr="007D089C">
              <w:rPr>
                <w:color w:val="000000"/>
                <w:sz w:val="22"/>
                <w:szCs w:val="22"/>
                <w:lang w:val="en-US"/>
              </w:rPr>
              <w:fldChar w:fldCharType="end"/>
            </w:r>
            <w:r w:rsidRPr="007D089C">
              <w:rPr>
                <w:color w:val="000000"/>
                <w:sz w:val="22"/>
                <w:szCs w:val="22"/>
                <w:lang w:val="en-US"/>
              </w:rPr>
              <w:fldChar w:fldCharType="begin"/>
            </w:r>
            <w:r w:rsidRPr="007D089C">
              <w:rPr>
                <w:color w:val="000000"/>
                <w:sz w:val="22"/>
                <w:szCs w:val="22"/>
                <w:lang w:val="en-US"/>
              </w:rPr>
              <w:instrText>ADDIN RW.CITE{{2077 Rice,S.J. 2015}}</w:instrText>
            </w:r>
            <w:r w:rsidRPr="007D089C">
              <w:rPr>
                <w:color w:val="000000"/>
                <w:sz w:val="22"/>
                <w:szCs w:val="22"/>
                <w:lang w:val="en-US"/>
              </w:rPr>
              <w:fldChar w:fldCharType="separate"/>
            </w:r>
            <w:r w:rsidR="00C77B76">
              <w:rPr>
                <w:color w:val="000000"/>
                <w:sz w:val="22"/>
                <w:szCs w:val="22"/>
                <w:lang w:val="en-US"/>
              </w:rPr>
              <w:t>(Rice et al., 2015)</w:t>
            </w:r>
            <w:r w:rsidRPr="007D089C">
              <w:rPr>
                <w:color w:val="000000"/>
                <w:sz w:val="22"/>
                <w:szCs w:val="22"/>
                <w:lang w:val="en-US"/>
              </w:rPr>
              <w:fldChar w:fldCharType="end"/>
            </w:r>
            <w:r w:rsidRPr="007D089C">
              <w:rPr>
                <w:color w:val="000000"/>
                <w:sz w:val="22"/>
                <w:szCs w:val="22"/>
                <w:lang w:val="en-US"/>
              </w:rPr>
              <w:fldChar w:fldCharType="begin"/>
            </w:r>
            <w:r w:rsidRPr="007D089C">
              <w:rPr>
                <w:color w:val="000000"/>
                <w:sz w:val="22"/>
                <w:szCs w:val="22"/>
                <w:lang w:val="en-US"/>
              </w:rPr>
              <w:instrText>ADDIN RW.CITE{{2260 Jin,Y. 2016}}</w:instrText>
            </w:r>
            <w:r w:rsidRPr="007D089C">
              <w:rPr>
                <w:color w:val="000000"/>
                <w:sz w:val="22"/>
                <w:szCs w:val="22"/>
                <w:lang w:val="en-US"/>
              </w:rPr>
              <w:fldChar w:fldCharType="separate"/>
            </w:r>
            <w:r w:rsidR="00C77B76">
              <w:rPr>
                <w:color w:val="000000"/>
                <w:sz w:val="22"/>
                <w:szCs w:val="22"/>
                <w:lang w:val="en-US"/>
              </w:rPr>
              <w:t>(Jin et al., 2016)</w:t>
            </w:r>
            <w:r w:rsidRPr="007D089C">
              <w:rPr>
                <w:color w:val="000000"/>
                <w:sz w:val="22"/>
                <w:szCs w:val="22"/>
                <w:lang w:val="en-US"/>
              </w:rPr>
              <w:fldChar w:fldCharType="end"/>
            </w:r>
            <w:r w:rsidRPr="007D089C">
              <w:rPr>
                <w:color w:val="000000"/>
                <w:sz w:val="22"/>
                <w:szCs w:val="22"/>
                <w:lang w:val="en-US"/>
              </w:rPr>
              <w:fldChar w:fldCharType="begin"/>
            </w:r>
            <w:r w:rsidRPr="007D089C">
              <w:rPr>
                <w:color w:val="000000"/>
                <w:sz w:val="22"/>
                <w:szCs w:val="22"/>
                <w:lang w:val="en-US"/>
              </w:rPr>
              <w:instrText>ADDIN RW.CITE{{2264 Okano,T. 2016}}</w:instrText>
            </w:r>
            <w:r w:rsidRPr="007D089C">
              <w:rPr>
                <w:color w:val="000000"/>
                <w:sz w:val="22"/>
                <w:szCs w:val="22"/>
                <w:lang w:val="en-US"/>
              </w:rPr>
              <w:fldChar w:fldCharType="separate"/>
            </w:r>
            <w:r w:rsidR="00C77B76">
              <w:rPr>
                <w:color w:val="000000"/>
                <w:sz w:val="22"/>
                <w:szCs w:val="22"/>
                <w:lang w:val="en-US"/>
              </w:rPr>
              <w:t>(Okano et al., 2016)</w:t>
            </w:r>
            <w:r w:rsidRPr="007D089C">
              <w:rPr>
                <w:color w:val="000000"/>
                <w:sz w:val="22"/>
                <w:szCs w:val="22"/>
                <w:lang w:val="en-US"/>
              </w:rPr>
              <w:fldChar w:fldCharType="end"/>
            </w:r>
          </w:p>
        </w:tc>
      </w:tr>
      <w:tr w:rsidR="000074EB" w:rsidRPr="007D089C" w14:paraId="476446AA" w14:textId="77777777" w:rsidTr="00980C45">
        <w:trPr>
          <w:trHeight w:val="300"/>
        </w:trPr>
        <w:tc>
          <w:tcPr>
            <w:tcW w:w="35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37D488" w14:textId="77777777" w:rsidR="000074EB" w:rsidRPr="007D089C" w:rsidRDefault="000074EB" w:rsidP="00C141DD">
            <w:pPr>
              <w:rPr>
                <w:color w:val="000000"/>
                <w:sz w:val="22"/>
                <w:szCs w:val="22"/>
                <w:lang w:val="en-US"/>
              </w:rPr>
            </w:pPr>
            <w:r w:rsidRPr="007D089C">
              <w:rPr>
                <w:color w:val="000000"/>
                <w:sz w:val="22"/>
                <w:szCs w:val="22"/>
                <w:lang w:val="en-US"/>
              </w:rPr>
              <w:t>Oral</w:t>
            </w:r>
          </w:p>
        </w:tc>
        <w:tc>
          <w:tcPr>
            <w:tcW w:w="109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E12C10" w14:textId="5FA7A2B9" w:rsidR="000074EB" w:rsidRPr="007D089C" w:rsidRDefault="000074EB" w:rsidP="00C141DD">
            <w:pPr>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RW.CITE{{1909 Chai,Y.D. 2014; 1461 Bijian,K. 2009; 1547 Zhang,L. 2008; 2122 Yang,Y. 2014}}</w:instrText>
            </w:r>
            <w:r w:rsidRPr="007D089C">
              <w:rPr>
                <w:color w:val="000000"/>
                <w:sz w:val="22"/>
                <w:szCs w:val="22"/>
                <w:lang w:val="en-US"/>
              </w:rPr>
              <w:fldChar w:fldCharType="separate"/>
            </w:r>
            <w:r w:rsidR="00C77B76">
              <w:rPr>
                <w:color w:val="000000"/>
                <w:sz w:val="22"/>
                <w:szCs w:val="22"/>
                <w:lang w:val="en-US"/>
              </w:rPr>
              <w:t>(Bijian et al., 2009; Chai et al., 2014; Y. Yang, Huang, Rabii, Rabii, &amp; Hu, 2014; L. Zhang et al., 2008)</w:t>
            </w:r>
            <w:r w:rsidRPr="007D089C">
              <w:rPr>
                <w:color w:val="000000"/>
                <w:sz w:val="22"/>
                <w:szCs w:val="22"/>
                <w:lang w:val="en-US"/>
              </w:rPr>
              <w:fldChar w:fldCharType="end"/>
            </w:r>
          </w:p>
        </w:tc>
      </w:tr>
      <w:tr w:rsidR="000074EB" w:rsidRPr="007D089C" w14:paraId="7BE4DE5A" w14:textId="77777777" w:rsidTr="00980C45">
        <w:trPr>
          <w:trHeight w:val="300"/>
        </w:trPr>
        <w:tc>
          <w:tcPr>
            <w:tcW w:w="35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F7D454" w14:textId="77777777" w:rsidR="000074EB" w:rsidRPr="007D089C" w:rsidRDefault="000074EB" w:rsidP="00C141DD">
            <w:pPr>
              <w:rPr>
                <w:color w:val="000000"/>
                <w:sz w:val="22"/>
                <w:szCs w:val="22"/>
                <w:lang w:val="en-US"/>
              </w:rPr>
            </w:pPr>
            <w:r w:rsidRPr="007D089C">
              <w:rPr>
                <w:color w:val="000000"/>
                <w:sz w:val="22"/>
                <w:szCs w:val="22"/>
                <w:lang w:val="en-US"/>
              </w:rPr>
              <w:t>Ovarian</w:t>
            </w:r>
          </w:p>
        </w:tc>
        <w:tc>
          <w:tcPr>
            <w:tcW w:w="109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997BEB" w14:textId="693E8698" w:rsidR="000074EB" w:rsidRPr="007D089C" w:rsidRDefault="000074EB" w:rsidP="00C141DD">
            <w:pPr>
              <w:rPr>
                <w:sz w:val="22"/>
                <w:szCs w:val="22"/>
                <w:lang w:val="en-US"/>
              </w:rPr>
            </w:pPr>
            <w:r w:rsidRPr="007D089C">
              <w:rPr>
                <w:sz w:val="22"/>
                <w:szCs w:val="22"/>
                <w:lang w:val="en-US"/>
              </w:rPr>
              <w:t xml:space="preserve">Human: </w:t>
            </w:r>
            <w:r w:rsidRPr="007D089C">
              <w:rPr>
                <w:sz w:val="22"/>
                <w:szCs w:val="22"/>
                <w:lang w:val="en-US"/>
              </w:rPr>
              <w:fldChar w:fldCharType="begin"/>
            </w:r>
            <w:r w:rsidRPr="007D089C">
              <w:rPr>
                <w:sz w:val="22"/>
                <w:szCs w:val="22"/>
                <w:lang w:val="en-US"/>
              </w:rPr>
              <w:instrText>ADDIN RW.CITE{{1449 Boylan,K.L. 2010; 2118 Karabudak,A.A. 2013; 2022 Shetty,V. 2012; 2091 Wu,J. 2012; 2119 Li,L. 2012 }}</w:instrText>
            </w:r>
            <w:r w:rsidRPr="007D089C">
              <w:rPr>
                <w:sz w:val="22"/>
                <w:szCs w:val="22"/>
                <w:lang w:val="en-US"/>
              </w:rPr>
              <w:fldChar w:fldCharType="separate"/>
            </w:r>
            <w:r w:rsidR="00C77B76">
              <w:rPr>
                <w:sz w:val="22"/>
                <w:szCs w:val="22"/>
                <w:lang w:val="en-US"/>
              </w:rPr>
              <w:t>(Boylan et al., 2010; Karabudak et al., 2013; L. Li et al., 2012; Shetty et al., 2012; J. Wu et al., 2012)</w:t>
            </w:r>
            <w:r w:rsidRPr="007D089C">
              <w:rPr>
                <w:sz w:val="22"/>
                <w:szCs w:val="22"/>
                <w:lang w:val="en-US"/>
              </w:rPr>
              <w:fldChar w:fldCharType="end"/>
            </w:r>
            <w:r w:rsidRPr="007D089C">
              <w:rPr>
                <w:sz w:val="22"/>
                <w:szCs w:val="22"/>
                <w:lang w:val="en-US"/>
              </w:rPr>
              <w:fldChar w:fldCharType="begin"/>
            </w:r>
            <w:r w:rsidRPr="007D089C">
              <w:rPr>
                <w:sz w:val="22"/>
                <w:szCs w:val="22"/>
                <w:lang w:val="en-US"/>
              </w:rPr>
              <w:instrText>ADDIN RW.CITE{{2263 Russell,M.R. 2016}}</w:instrText>
            </w:r>
            <w:r w:rsidRPr="007D089C">
              <w:rPr>
                <w:sz w:val="22"/>
                <w:szCs w:val="22"/>
                <w:lang w:val="en-US"/>
              </w:rPr>
              <w:fldChar w:fldCharType="separate"/>
            </w:r>
            <w:r w:rsidR="00C77B76">
              <w:rPr>
                <w:sz w:val="22"/>
                <w:szCs w:val="22"/>
                <w:lang w:val="en-US"/>
              </w:rPr>
              <w:t>(Russell et al., 2016)</w:t>
            </w:r>
            <w:r w:rsidRPr="007D089C">
              <w:rPr>
                <w:sz w:val="22"/>
                <w:szCs w:val="22"/>
                <w:lang w:val="en-US"/>
              </w:rPr>
              <w:fldChar w:fldCharType="end"/>
            </w:r>
            <w:r w:rsidRPr="007D089C">
              <w:rPr>
                <w:sz w:val="22"/>
                <w:szCs w:val="22"/>
                <w:lang w:val="en-US"/>
              </w:rPr>
              <w:t xml:space="preserve">,  </w:t>
            </w:r>
            <w:r w:rsidR="004E6DFE" w:rsidRPr="007D089C">
              <w:rPr>
                <w:sz w:val="22"/>
                <w:szCs w:val="22"/>
                <w:lang w:val="en-US"/>
              </w:rPr>
              <w:fldChar w:fldCharType="begin"/>
            </w:r>
            <w:r w:rsidR="004E6DFE" w:rsidRPr="007D089C">
              <w:rPr>
                <w:sz w:val="22"/>
                <w:szCs w:val="22"/>
                <w:lang w:val="en-US"/>
              </w:rPr>
              <w:instrText>ADDIN RW.CITE{{3081 Wu,W. 2016}}</w:instrText>
            </w:r>
            <w:r w:rsidR="004E6DFE" w:rsidRPr="007D089C">
              <w:rPr>
                <w:sz w:val="22"/>
                <w:szCs w:val="22"/>
                <w:lang w:val="en-US"/>
              </w:rPr>
              <w:fldChar w:fldCharType="separate"/>
            </w:r>
            <w:r w:rsidR="00C77B76">
              <w:rPr>
                <w:sz w:val="22"/>
                <w:szCs w:val="22"/>
                <w:lang w:val="en-US"/>
              </w:rPr>
              <w:t>(W. Wu et al., 2016)</w:t>
            </w:r>
            <w:r w:rsidR="004E6DFE" w:rsidRPr="007D089C">
              <w:rPr>
                <w:sz w:val="22"/>
                <w:szCs w:val="22"/>
                <w:lang w:val="en-US"/>
              </w:rPr>
              <w:fldChar w:fldCharType="end"/>
            </w:r>
          </w:p>
          <w:p w14:paraId="6D33EBAB" w14:textId="0A4FB18F" w:rsidR="000074EB" w:rsidRPr="007D089C" w:rsidRDefault="000074EB" w:rsidP="00C141DD">
            <w:pPr>
              <w:rPr>
                <w:sz w:val="22"/>
                <w:szCs w:val="22"/>
                <w:lang w:val="en-US"/>
              </w:rPr>
            </w:pPr>
            <w:r w:rsidRPr="007D089C">
              <w:rPr>
                <w:color w:val="000000"/>
                <w:sz w:val="22"/>
                <w:szCs w:val="22"/>
                <w:lang w:val="en-US"/>
              </w:rPr>
              <w:t xml:space="preserve">Rat: </w:t>
            </w:r>
            <w:r w:rsidRPr="007D089C">
              <w:rPr>
                <w:color w:val="000000"/>
                <w:sz w:val="22"/>
                <w:szCs w:val="22"/>
                <w:lang w:val="en-US"/>
              </w:rPr>
              <w:fldChar w:fldCharType="begin"/>
            </w:r>
            <w:r w:rsidRPr="007D089C">
              <w:rPr>
                <w:color w:val="000000"/>
                <w:sz w:val="22"/>
                <w:szCs w:val="22"/>
                <w:lang w:val="en-US"/>
              </w:rPr>
              <w:instrText>ADDIN RW.CITE{{2021 Huang,Y. 2012}}</w:instrText>
            </w:r>
            <w:r w:rsidRPr="007D089C">
              <w:rPr>
                <w:color w:val="000000"/>
                <w:sz w:val="22"/>
                <w:szCs w:val="22"/>
                <w:lang w:val="en-US"/>
              </w:rPr>
              <w:fldChar w:fldCharType="separate"/>
            </w:r>
            <w:r w:rsidR="00C77B76">
              <w:rPr>
                <w:color w:val="000000"/>
                <w:sz w:val="22"/>
                <w:szCs w:val="22"/>
                <w:lang w:val="en-US"/>
              </w:rPr>
              <w:t>(Y. Huang et al., 2012)</w:t>
            </w:r>
            <w:r w:rsidRPr="007D089C">
              <w:rPr>
                <w:color w:val="000000"/>
                <w:sz w:val="22"/>
                <w:szCs w:val="22"/>
                <w:lang w:val="en-US"/>
              </w:rPr>
              <w:fldChar w:fldCharType="end"/>
            </w:r>
          </w:p>
        </w:tc>
      </w:tr>
      <w:tr w:rsidR="000074EB" w:rsidRPr="007D089C" w14:paraId="41A780C4" w14:textId="77777777" w:rsidTr="00980C45">
        <w:trPr>
          <w:trHeight w:val="300"/>
        </w:trPr>
        <w:tc>
          <w:tcPr>
            <w:tcW w:w="35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331DCE" w14:textId="77777777" w:rsidR="000074EB" w:rsidRPr="007D089C" w:rsidRDefault="000074EB" w:rsidP="00C141DD">
            <w:pPr>
              <w:rPr>
                <w:color w:val="000000"/>
                <w:sz w:val="22"/>
                <w:szCs w:val="22"/>
                <w:lang w:val="en-US"/>
              </w:rPr>
            </w:pPr>
            <w:r w:rsidRPr="007D089C">
              <w:rPr>
                <w:color w:val="000000"/>
                <w:sz w:val="22"/>
                <w:szCs w:val="22"/>
                <w:lang w:val="en-US"/>
              </w:rPr>
              <w:t>Pancreatic</w:t>
            </w:r>
          </w:p>
        </w:tc>
        <w:tc>
          <w:tcPr>
            <w:tcW w:w="10915" w:type="dxa"/>
            <w:tcBorders>
              <w:top w:val="single" w:sz="4" w:space="0" w:color="auto"/>
              <w:left w:val="single" w:sz="4" w:space="0" w:color="auto"/>
              <w:bottom w:val="single" w:sz="4" w:space="0" w:color="auto"/>
              <w:right w:val="single" w:sz="4" w:space="0" w:color="auto"/>
            </w:tcBorders>
            <w:shd w:val="clear" w:color="auto" w:fill="auto"/>
            <w:vAlign w:val="bottom"/>
          </w:tcPr>
          <w:p w14:paraId="420B2C19" w14:textId="34FC5A50" w:rsidR="000074EB" w:rsidRPr="007D089C" w:rsidRDefault="000074EB" w:rsidP="00C141DD">
            <w:pPr>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RW.CITE{{1457 Tonack,S. 2009; 2106 Tonack,S. 2013; 1615 Zhou,C. 2012; 2097 Nie,S. 2014; 2098 Nie,S. 2014; 2099 Tan,Z. 2015; 2105 Sinclair,J. 2011}}</w:instrText>
            </w:r>
            <w:r w:rsidRPr="007D089C">
              <w:rPr>
                <w:color w:val="000000"/>
                <w:sz w:val="22"/>
                <w:szCs w:val="22"/>
                <w:lang w:val="en-US"/>
              </w:rPr>
              <w:fldChar w:fldCharType="separate"/>
            </w:r>
            <w:r w:rsidR="00C77B76">
              <w:rPr>
                <w:color w:val="000000"/>
                <w:sz w:val="22"/>
                <w:szCs w:val="22"/>
                <w:lang w:val="en-US"/>
              </w:rPr>
              <w:t>(Nie et al., 2014; Nie et al., 2014; Sinclair &amp; Timms, 2011; Z. Tan et al., 2015; Tonack et al., 2009; Tonack et al., 2013; Zhou et al., 2012)</w:t>
            </w:r>
            <w:r w:rsidRPr="007D089C">
              <w:rPr>
                <w:color w:val="000000"/>
                <w:sz w:val="22"/>
                <w:szCs w:val="22"/>
                <w:lang w:val="en-US"/>
              </w:rPr>
              <w:fldChar w:fldCharType="end"/>
            </w:r>
            <w:r w:rsidR="00CE382D" w:rsidRPr="007D089C">
              <w:rPr>
                <w:color w:val="000000"/>
                <w:sz w:val="22"/>
                <w:szCs w:val="22"/>
                <w:lang w:val="en-US"/>
              </w:rPr>
              <w:fldChar w:fldCharType="begin"/>
            </w:r>
            <w:r w:rsidR="00CE382D" w:rsidRPr="007D089C">
              <w:rPr>
                <w:color w:val="000000"/>
                <w:sz w:val="22"/>
                <w:szCs w:val="22"/>
                <w:lang w:val="en-US"/>
              </w:rPr>
              <w:instrText>ADDIN RW.CITE{{3133 An,M. 2017}}</w:instrText>
            </w:r>
            <w:r w:rsidR="00CE382D" w:rsidRPr="007D089C">
              <w:rPr>
                <w:color w:val="000000"/>
                <w:sz w:val="22"/>
                <w:szCs w:val="22"/>
                <w:lang w:val="en-US"/>
              </w:rPr>
              <w:fldChar w:fldCharType="separate"/>
            </w:r>
            <w:r w:rsidR="00C77B76">
              <w:rPr>
                <w:color w:val="000000"/>
                <w:sz w:val="22"/>
                <w:szCs w:val="22"/>
                <w:lang w:val="en-US"/>
              </w:rPr>
              <w:t>(An et al., 2017)</w:t>
            </w:r>
            <w:r w:rsidR="00CE382D" w:rsidRPr="007D089C">
              <w:rPr>
                <w:color w:val="000000"/>
                <w:sz w:val="22"/>
                <w:szCs w:val="22"/>
                <w:lang w:val="en-US"/>
              </w:rPr>
              <w:fldChar w:fldCharType="end"/>
            </w:r>
          </w:p>
        </w:tc>
      </w:tr>
      <w:tr w:rsidR="000074EB" w:rsidRPr="007D089C" w14:paraId="621F3DAA" w14:textId="77777777" w:rsidTr="00980C45">
        <w:trPr>
          <w:trHeight w:val="300"/>
        </w:trPr>
        <w:tc>
          <w:tcPr>
            <w:tcW w:w="358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203B632" w14:textId="77777777" w:rsidR="000074EB" w:rsidRPr="007D089C" w:rsidRDefault="000074EB" w:rsidP="00C141DD">
            <w:pPr>
              <w:rPr>
                <w:color w:val="000000"/>
                <w:sz w:val="22"/>
                <w:szCs w:val="22"/>
                <w:lang w:val="en-US"/>
              </w:rPr>
            </w:pPr>
            <w:r w:rsidRPr="007D089C">
              <w:rPr>
                <w:color w:val="000000"/>
                <w:sz w:val="22"/>
                <w:szCs w:val="22"/>
                <w:lang w:val="en-US"/>
              </w:rPr>
              <w:t>Prostrate</w:t>
            </w:r>
          </w:p>
        </w:tc>
        <w:tc>
          <w:tcPr>
            <w:tcW w:w="1091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717194" w14:textId="74C06091" w:rsidR="000074EB" w:rsidRPr="007D089C" w:rsidRDefault="000074EB" w:rsidP="00C141DD">
            <w:pPr>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RW.CITE{{2001 Rehman,I. 2012}}</w:instrText>
            </w:r>
            <w:r w:rsidRPr="007D089C">
              <w:rPr>
                <w:color w:val="000000"/>
                <w:sz w:val="22"/>
                <w:szCs w:val="22"/>
                <w:lang w:val="en-US"/>
              </w:rPr>
              <w:fldChar w:fldCharType="separate"/>
            </w:r>
            <w:r w:rsidR="00C77B76">
              <w:rPr>
                <w:color w:val="000000"/>
                <w:sz w:val="22"/>
                <w:szCs w:val="22"/>
                <w:lang w:val="en-US"/>
              </w:rPr>
              <w:t>(Rehman et al., 2012)</w:t>
            </w:r>
            <w:r w:rsidRPr="007D089C">
              <w:rPr>
                <w:color w:val="000000"/>
                <w:sz w:val="22"/>
                <w:szCs w:val="22"/>
                <w:lang w:val="en-US"/>
              </w:rPr>
              <w:fldChar w:fldCharType="end"/>
            </w:r>
            <w:r w:rsidRPr="007D089C">
              <w:rPr>
                <w:color w:val="000000"/>
                <w:sz w:val="22"/>
                <w:szCs w:val="22"/>
                <w:lang w:val="en-US"/>
              </w:rPr>
              <w:fldChar w:fldCharType="begin"/>
            </w:r>
            <w:r w:rsidRPr="007D089C">
              <w:rPr>
                <w:color w:val="000000"/>
                <w:sz w:val="22"/>
                <w:szCs w:val="22"/>
                <w:lang w:val="en-US"/>
              </w:rPr>
              <w:instrText>ADDIN RW.CITE{{3077 Larkin,S.E. 2016}}</w:instrText>
            </w:r>
            <w:r w:rsidRPr="007D089C">
              <w:rPr>
                <w:color w:val="000000"/>
                <w:sz w:val="22"/>
                <w:szCs w:val="22"/>
                <w:lang w:val="en-US"/>
              </w:rPr>
              <w:fldChar w:fldCharType="separate"/>
            </w:r>
            <w:r w:rsidR="00C77B76">
              <w:rPr>
                <w:color w:val="000000"/>
                <w:sz w:val="22"/>
                <w:szCs w:val="22"/>
                <w:lang w:val="en-US"/>
              </w:rPr>
              <w:t>(Larkin et al., 2016)</w:t>
            </w:r>
            <w:r w:rsidRPr="007D089C">
              <w:rPr>
                <w:color w:val="000000"/>
                <w:sz w:val="22"/>
                <w:szCs w:val="22"/>
                <w:lang w:val="en-US"/>
              </w:rPr>
              <w:fldChar w:fldCharType="end"/>
            </w:r>
            <w:r w:rsidRPr="007D089C">
              <w:rPr>
                <w:color w:val="000000"/>
                <w:sz w:val="22"/>
                <w:szCs w:val="22"/>
                <w:lang w:val="en-US"/>
              </w:rPr>
              <w:fldChar w:fldCharType="begin"/>
            </w:r>
            <w:r w:rsidRPr="007D089C">
              <w:rPr>
                <w:color w:val="000000"/>
                <w:sz w:val="22"/>
                <w:szCs w:val="22"/>
                <w:lang w:val="en-US"/>
              </w:rPr>
              <w:instrText>ADDIN RW.CITE{{3105 Zhang,M. 2016}}</w:instrText>
            </w:r>
            <w:r w:rsidRPr="007D089C">
              <w:rPr>
                <w:color w:val="000000"/>
                <w:sz w:val="22"/>
                <w:szCs w:val="22"/>
                <w:lang w:val="en-US"/>
              </w:rPr>
              <w:fldChar w:fldCharType="separate"/>
            </w:r>
            <w:r w:rsidR="00C77B76">
              <w:rPr>
                <w:color w:val="000000"/>
                <w:sz w:val="22"/>
                <w:szCs w:val="22"/>
                <w:lang w:val="en-US"/>
              </w:rPr>
              <w:t>(M. Zhang et al., 2016)</w:t>
            </w:r>
            <w:r w:rsidRPr="007D089C">
              <w:rPr>
                <w:color w:val="000000"/>
                <w:sz w:val="22"/>
                <w:szCs w:val="22"/>
                <w:lang w:val="en-US"/>
              </w:rPr>
              <w:fldChar w:fldCharType="end"/>
            </w:r>
          </w:p>
        </w:tc>
      </w:tr>
      <w:tr w:rsidR="000074EB" w:rsidRPr="007D089C" w14:paraId="4644D3A2" w14:textId="77777777" w:rsidTr="00980C45">
        <w:trPr>
          <w:trHeight w:val="300"/>
        </w:trPr>
        <w:tc>
          <w:tcPr>
            <w:tcW w:w="358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638D892F" w14:textId="77777777" w:rsidR="000074EB" w:rsidRPr="007D089C" w:rsidRDefault="000074EB" w:rsidP="00C141DD">
            <w:pPr>
              <w:rPr>
                <w:color w:val="000000"/>
                <w:sz w:val="22"/>
                <w:szCs w:val="22"/>
                <w:lang w:val="en-US"/>
              </w:rPr>
            </w:pPr>
            <w:r w:rsidRPr="007D089C">
              <w:rPr>
                <w:sz w:val="22"/>
                <w:szCs w:val="22"/>
                <w:lang w:val="en-US"/>
              </w:rPr>
              <w:t>Kidney</w:t>
            </w:r>
          </w:p>
        </w:tc>
        <w:tc>
          <w:tcPr>
            <w:tcW w:w="10915"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D4B587" w14:textId="70B81708" w:rsidR="000074EB" w:rsidRPr="007D089C" w:rsidRDefault="000074EB" w:rsidP="00C141DD">
            <w:pPr>
              <w:rPr>
                <w:color w:val="000000"/>
                <w:sz w:val="22"/>
                <w:szCs w:val="22"/>
                <w:lang w:val="en-US"/>
              </w:rPr>
            </w:pPr>
            <w:r w:rsidRPr="007D089C">
              <w:rPr>
                <w:sz w:val="22"/>
                <w:szCs w:val="22"/>
                <w:lang w:val="en-US"/>
              </w:rPr>
              <w:fldChar w:fldCharType="begin"/>
            </w:r>
            <w:r w:rsidRPr="007D089C">
              <w:rPr>
                <w:sz w:val="22"/>
                <w:szCs w:val="22"/>
                <w:lang w:val="en-US"/>
              </w:rPr>
              <w:instrText>ADDIN RW.CITE{{2194 Zhang,Y. 2015}}</w:instrText>
            </w:r>
            <w:r w:rsidRPr="007D089C">
              <w:rPr>
                <w:sz w:val="22"/>
                <w:szCs w:val="22"/>
                <w:lang w:val="en-US"/>
              </w:rPr>
              <w:fldChar w:fldCharType="separate"/>
            </w:r>
            <w:r w:rsidR="00C77B76">
              <w:rPr>
                <w:sz w:val="22"/>
                <w:szCs w:val="22"/>
                <w:lang w:val="en-US"/>
              </w:rPr>
              <w:t>(Y. Zhang, Cai, Yu, &amp; Li, 2015)</w:t>
            </w:r>
            <w:r w:rsidRPr="007D089C">
              <w:rPr>
                <w:sz w:val="22"/>
                <w:szCs w:val="22"/>
                <w:lang w:val="en-US"/>
              </w:rPr>
              <w:fldChar w:fldCharType="end"/>
            </w:r>
          </w:p>
        </w:tc>
      </w:tr>
      <w:tr w:rsidR="000074EB" w:rsidRPr="007D089C" w14:paraId="03DC9435" w14:textId="77777777" w:rsidTr="00980C45">
        <w:trPr>
          <w:trHeight w:val="300"/>
        </w:trPr>
        <w:tc>
          <w:tcPr>
            <w:tcW w:w="3588" w:type="dxa"/>
            <w:tcBorders>
              <w:top w:val="single" w:sz="4" w:space="0" w:color="auto"/>
              <w:left w:val="single" w:sz="4" w:space="0" w:color="auto"/>
              <w:bottom w:val="single" w:sz="4" w:space="0" w:color="auto"/>
              <w:right w:val="single" w:sz="4" w:space="0" w:color="auto"/>
            </w:tcBorders>
            <w:shd w:val="clear" w:color="auto" w:fill="auto"/>
            <w:noWrap/>
          </w:tcPr>
          <w:p w14:paraId="5977D4A7" w14:textId="77777777" w:rsidR="000074EB" w:rsidRPr="007D089C" w:rsidRDefault="000074EB" w:rsidP="00C141DD">
            <w:pPr>
              <w:rPr>
                <w:color w:val="000000"/>
                <w:sz w:val="22"/>
                <w:szCs w:val="22"/>
                <w:lang w:val="en-US"/>
              </w:rPr>
            </w:pPr>
            <w:r w:rsidRPr="007D089C">
              <w:rPr>
                <w:color w:val="000000"/>
                <w:sz w:val="22"/>
                <w:szCs w:val="22"/>
                <w:u w:val="single"/>
                <w:lang w:val="en-US"/>
              </w:rPr>
              <w:t>Other</w:t>
            </w:r>
          </w:p>
          <w:p w14:paraId="6525EC99" w14:textId="77777777" w:rsidR="000074EB" w:rsidRPr="007D089C" w:rsidRDefault="000074EB" w:rsidP="00C141DD">
            <w:pPr>
              <w:rPr>
                <w:color w:val="000000"/>
                <w:sz w:val="22"/>
                <w:szCs w:val="22"/>
                <w:lang w:val="en-US"/>
              </w:rPr>
            </w:pPr>
            <w:r w:rsidRPr="007D089C">
              <w:rPr>
                <w:color w:val="000000"/>
                <w:sz w:val="22"/>
                <w:szCs w:val="22"/>
                <w:lang w:val="en-US"/>
              </w:rPr>
              <w:t>Chinese medicine</w:t>
            </w:r>
          </w:p>
          <w:p w14:paraId="7AF292EE" w14:textId="77777777" w:rsidR="000074EB" w:rsidRPr="007D089C" w:rsidRDefault="000074EB" w:rsidP="00C141DD">
            <w:pPr>
              <w:rPr>
                <w:color w:val="000000"/>
                <w:sz w:val="22"/>
                <w:szCs w:val="22"/>
                <w:lang w:val="en-US"/>
              </w:rPr>
            </w:pPr>
            <w:r w:rsidRPr="007D089C">
              <w:rPr>
                <w:color w:val="000000"/>
                <w:sz w:val="22"/>
                <w:szCs w:val="22"/>
                <w:lang w:val="en-US"/>
              </w:rPr>
              <w:t>Endometrial hyperplasia vs. cancer</w:t>
            </w:r>
          </w:p>
          <w:p w14:paraId="46FB9D23" w14:textId="77777777" w:rsidR="000074EB" w:rsidRPr="007D089C" w:rsidRDefault="000074EB" w:rsidP="00C141DD">
            <w:pPr>
              <w:rPr>
                <w:color w:val="000000"/>
                <w:sz w:val="22"/>
                <w:szCs w:val="22"/>
                <w:lang w:val="en-US"/>
              </w:rPr>
            </w:pPr>
            <w:r w:rsidRPr="007D089C">
              <w:rPr>
                <w:color w:val="000000"/>
                <w:sz w:val="22"/>
                <w:szCs w:val="22"/>
                <w:lang w:val="en-US"/>
              </w:rPr>
              <w:t>Glycosylation</w:t>
            </w:r>
          </w:p>
          <w:p w14:paraId="4051E68E" w14:textId="77777777" w:rsidR="00980C45" w:rsidRPr="007D089C" w:rsidRDefault="00980C45" w:rsidP="00C141DD">
            <w:pPr>
              <w:rPr>
                <w:color w:val="000000"/>
                <w:sz w:val="22"/>
                <w:szCs w:val="22"/>
                <w:lang w:val="en-US"/>
              </w:rPr>
            </w:pPr>
          </w:p>
          <w:p w14:paraId="21069D25" w14:textId="77777777" w:rsidR="000074EB" w:rsidRPr="007D089C" w:rsidRDefault="000074EB" w:rsidP="00C141DD">
            <w:pPr>
              <w:rPr>
                <w:color w:val="000000"/>
                <w:sz w:val="22"/>
                <w:szCs w:val="22"/>
                <w:lang w:val="en-US"/>
              </w:rPr>
            </w:pPr>
            <w:r w:rsidRPr="007D089C">
              <w:rPr>
                <w:color w:val="000000"/>
                <w:sz w:val="22"/>
                <w:szCs w:val="22"/>
                <w:lang w:val="en-US"/>
              </w:rPr>
              <w:t>Carbonylation</w:t>
            </w:r>
          </w:p>
        </w:tc>
        <w:tc>
          <w:tcPr>
            <w:tcW w:w="10915" w:type="dxa"/>
            <w:tcBorders>
              <w:top w:val="single" w:sz="4" w:space="0" w:color="auto"/>
              <w:left w:val="single" w:sz="4" w:space="0" w:color="auto"/>
              <w:bottom w:val="single" w:sz="4" w:space="0" w:color="auto"/>
              <w:right w:val="single" w:sz="4" w:space="0" w:color="auto"/>
            </w:tcBorders>
            <w:shd w:val="clear" w:color="auto" w:fill="auto"/>
            <w:noWrap/>
          </w:tcPr>
          <w:p w14:paraId="15C759D4" w14:textId="77777777" w:rsidR="000074EB" w:rsidRPr="007D089C" w:rsidRDefault="000074EB" w:rsidP="00C141DD">
            <w:pPr>
              <w:rPr>
                <w:color w:val="000000"/>
                <w:sz w:val="22"/>
                <w:szCs w:val="22"/>
                <w:lang w:val="en-US"/>
              </w:rPr>
            </w:pPr>
          </w:p>
          <w:p w14:paraId="1BCDD523" w14:textId="08413B8E" w:rsidR="000074EB" w:rsidRPr="007D089C" w:rsidRDefault="000074EB" w:rsidP="00C141DD">
            <w:pPr>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RW.CITE{{2076 Upur,H. 2015}}</w:instrText>
            </w:r>
            <w:r w:rsidRPr="007D089C">
              <w:rPr>
                <w:color w:val="000000"/>
                <w:sz w:val="22"/>
                <w:szCs w:val="22"/>
                <w:lang w:val="en-US"/>
              </w:rPr>
              <w:fldChar w:fldCharType="separate"/>
            </w:r>
            <w:r w:rsidR="00C77B76">
              <w:rPr>
                <w:color w:val="000000"/>
                <w:sz w:val="22"/>
                <w:szCs w:val="22"/>
                <w:lang w:val="en-US"/>
              </w:rPr>
              <w:t>(Upur et al., 2015)</w:t>
            </w:r>
            <w:r w:rsidRPr="007D089C">
              <w:rPr>
                <w:color w:val="000000"/>
                <w:sz w:val="22"/>
                <w:szCs w:val="22"/>
                <w:lang w:val="en-US"/>
              </w:rPr>
              <w:fldChar w:fldCharType="end"/>
            </w:r>
            <w:r w:rsidRPr="007D089C">
              <w:rPr>
                <w:color w:val="000000"/>
                <w:sz w:val="22"/>
                <w:szCs w:val="22"/>
                <w:lang w:val="en-US"/>
              </w:rPr>
              <w:fldChar w:fldCharType="begin"/>
            </w:r>
            <w:r w:rsidRPr="007D089C">
              <w:rPr>
                <w:color w:val="000000"/>
                <w:sz w:val="22"/>
                <w:szCs w:val="22"/>
                <w:lang w:val="en-US"/>
              </w:rPr>
              <w:instrText>ADDIN RW.CITE{{3103 Liu,C. 2016}}</w:instrText>
            </w:r>
            <w:r w:rsidRPr="007D089C">
              <w:rPr>
                <w:color w:val="000000"/>
                <w:sz w:val="22"/>
                <w:szCs w:val="22"/>
                <w:lang w:val="en-US"/>
              </w:rPr>
              <w:fldChar w:fldCharType="separate"/>
            </w:r>
            <w:r w:rsidR="00C77B76">
              <w:rPr>
                <w:color w:val="000000"/>
                <w:sz w:val="22"/>
                <w:szCs w:val="22"/>
                <w:lang w:val="en-US"/>
              </w:rPr>
              <w:t>(C. Liu et al., 2016)</w:t>
            </w:r>
            <w:r w:rsidRPr="007D089C">
              <w:rPr>
                <w:color w:val="000000"/>
                <w:sz w:val="22"/>
                <w:szCs w:val="22"/>
                <w:lang w:val="en-US"/>
              </w:rPr>
              <w:fldChar w:fldCharType="end"/>
            </w:r>
            <w:r w:rsidRPr="007D089C">
              <w:rPr>
                <w:color w:val="000000"/>
                <w:sz w:val="22"/>
                <w:szCs w:val="22"/>
                <w:lang w:val="en-US"/>
              </w:rPr>
              <w:t xml:space="preserve"> </w:t>
            </w:r>
          </w:p>
          <w:p w14:paraId="42765F41" w14:textId="29812438" w:rsidR="00980C45" w:rsidRPr="007D089C" w:rsidRDefault="000074EB" w:rsidP="00C141DD">
            <w:pPr>
              <w:rPr>
                <w:color w:val="000000"/>
                <w:sz w:val="22"/>
                <w:szCs w:val="22"/>
                <w:lang w:val="en-US"/>
              </w:rPr>
            </w:pPr>
            <w:r w:rsidRPr="007D089C">
              <w:rPr>
                <w:color w:val="000000"/>
                <w:sz w:val="22"/>
                <w:szCs w:val="22"/>
                <w:lang w:val="en-US"/>
              </w:rPr>
              <w:fldChar w:fldCharType="begin"/>
            </w:r>
            <w:r w:rsidRPr="007D089C">
              <w:rPr>
                <w:color w:val="000000"/>
                <w:sz w:val="22"/>
                <w:szCs w:val="22"/>
                <w:lang w:val="en-US"/>
              </w:rPr>
              <w:instrText>ADDIN RW.CITE{{2074 Wang,Y.S. 2011}}</w:instrText>
            </w:r>
            <w:r w:rsidRPr="007D089C">
              <w:rPr>
                <w:color w:val="000000"/>
                <w:sz w:val="22"/>
                <w:szCs w:val="22"/>
                <w:lang w:val="en-US"/>
              </w:rPr>
              <w:fldChar w:fldCharType="separate"/>
            </w:r>
            <w:r w:rsidR="00C77B76">
              <w:rPr>
                <w:color w:val="000000"/>
                <w:sz w:val="22"/>
                <w:szCs w:val="22"/>
                <w:lang w:val="en-US"/>
              </w:rPr>
              <w:t>(Y. S. Wang et al., 2011)</w:t>
            </w:r>
            <w:r w:rsidRPr="007D089C">
              <w:rPr>
                <w:color w:val="000000"/>
                <w:sz w:val="22"/>
                <w:szCs w:val="22"/>
                <w:lang w:val="en-US"/>
              </w:rPr>
              <w:fldChar w:fldCharType="end"/>
            </w:r>
          </w:p>
          <w:p w14:paraId="52311BA6" w14:textId="0FECC01B" w:rsidR="000074EB" w:rsidRPr="007D089C" w:rsidRDefault="000074EB" w:rsidP="00C141DD">
            <w:pPr>
              <w:rPr>
                <w:sz w:val="22"/>
                <w:szCs w:val="22"/>
                <w:lang w:val="en-US"/>
              </w:rPr>
            </w:pPr>
            <w:r w:rsidRPr="007D089C">
              <w:rPr>
                <w:sz w:val="22"/>
                <w:szCs w:val="22"/>
                <w:lang w:val="en-US"/>
              </w:rPr>
              <w:fldChar w:fldCharType="begin"/>
            </w:r>
            <w:r w:rsidRPr="007D089C">
              <w:rPr>
                <w:sz w:val="22"/>
                <w:szCs w:val="22"/>
                <w:lang w:val="en-US"/>
              </w:rPr>
              <w:instrText>ADDIN RW.CITE{{2192 Ueda,K. 2010; 2022 Shetty,V. 2012; 2091 Wu,J. 2012; 2127 Qin,X. 2013; 2142 Nie,S. 2013; 2097 Nie,S. 2014; 2099 Tan,Z. 2015; 2081 Hu,H. 2015}}</w:instrText>
            </w:r>
            <w:r w:rsidRPr="007D089C">
              <w:rPr>
                <w:sz w:val="22"/>
                <w:szCs w:val="22"/>
                <w:lang w:val="en-US"/>
              </w:rPr>
              <w:fldChar w:fldCharType="separate"/>
            </w:r>
            <w:r w:rsidR="00C77B76">
              <w:rPr>
                <w:sz w:val="22"/>
                <w:szCs w:val="22"/>
                <w:lang w:val="en-US"/>
              </w:rPr>
              <w:t>(Hu et al., 2015; Nie et al., 2013; Nie et al., 2014; Qin et al., 2013; Shetty et al., 2012; Z. Tan et al., 2015; Ueda et al., 2010; J. Wu et al., 2012)</w:t>
            </w:r>
            <w:r w:rsidRPr="007D089C">
              <w:rPr>
                <w:sz w:val="22"/>
                <w:szCs w:val="22"/>
                <w:lang w:val="en-US"/>
              </w:rPr>
              <w:fldChar w:fldCharType="end"/>
            </w:r>
            <w:r w:rsidRPr="007D089C">
              <w:rPr>
                <w:sz w:val="22"/>
                <w:szCs w:val="22"/>
                <w:lang w:val="en-US"/>
              </w:rPr>
              <w:fldChar w:fldCharType="begin"/>
            </w:r>
            <w:r w:rsidRPr="007D089C">
              <w:rPr>
                <w:sz w:val="22"/>
                <w:szCs w:val="22"/>
                <w:lang w:val="en-US"/>
              </w:rPr>
              <w:instrText>ADDIN RW.CITE{{2197 Yin,H. 2015}}</w:instrText>
            </w:r>
            <w:r w:rsidRPr="007D089C">
              <w:rPr>
                <w:sz w:val="22"/>
                <w:szCs w:val="22"/>
                <w:lang w:val="en-US"/>
              </w:rPr>
              <w:fldChar w:fldCharType="separate"/>
            </w:r>
            <w:r w:rsidR="00C77B76">
              <w:rPr>
                <w:sz w:val="22"/>
                <w:szCs w:val="22"/>
                <w:lang w:val="en-US"/>
              </w:rPr>
              <w:t>(Yin et al., 2015)</w:t>
            </w:r>
            <w:r w:rsidRPr="007D089C">
              <w:rPr>
                <w:sz w:val="22"/>
                <w:szCs w:val="22"/>
                <w:lang w:val="en-US"/>
              </w:rPr>
              <w:fldChar w:fldCharType="end"/>
            </w:r>
            <w:r w:rsidR="00EE3FFB" w:rsidRPr="007D089C">
              <w:rPr>
                <w:sz w:val="22"/>
                <w:szCs w:val="22"/>
                <w:lang w:val="en-US"/>
              </w:rPr>
              <w:fldChar w:fldCharType="begin"/>
            </w:r>
            <w:r w:rsidR="00EE3FFB" w:rsidRPr="007D089C">
              <w:rPr>
                <w:sz w:val="22"/>
                <w:szCs w:val="22"/>
                <w:lang w:val="en-US"/>
              </w:rPr>
              <w:instrText>ADDIN RW.CITE{{3112 Liu,T. 2017}}</w:instrText>
            </w:r>
            <w:r w:rsidR="00EE3FFB" w:rsidRPr="007D089C">
              <w:rPr>
                <w:sz w:val="22"/>
                <w:szCs w:val="22"/>
                <w:lang w:val="en-US"/>
              </w:rPr>
              <w:fldChar w:fldCharType="separate"/>
            </w:r>
            <w:r w:rsidR="00C77B76">
              <w:rPr>
                <w:sz w:val="22"/>
                <w:szCs w:val="22"/>
                <w:lang w:val="en-US"/>
              </w:rPr>
              <w:t>(T. Liu et al., 2017)</w:t>
            </w:r>
            <w:r w:rsidR="00EE3FFB" w:rsidRPr="007D089C">
              <w:rPr>
                <w:sz w:val="22"/>
                <w:szCs w:val="22"/>
                <w:lang w:val="en-US"/>
              </w:rPr>
              <w:fldChar w:fldCharType="end"/>
            </w:r>
          </w:p>
          <w:p w14:paraId="40FEA3BE" w14:textId="75F65307" w:rsidR="000074EB" w:rsidRPr="007D089C" w:rsidRDefault="000074EB" w:rsidP="00C141DD">
            <w:pPr>
              <w:rPr>
                <w:sz w:val="22"/>
                <w:szCs w:val="22"/>
                <w:lang w:val="en-US"/>
              </w:rPr>
            </w:pPr>
            <w:r w:rsidRPr="007D089C">
              <w:rPr>
                <w:sz w:val="22"/>
                <w:szCs w:val="22"/>
                <w:lang w:val="en-US"/>
              </w:rPr>
              <w:fldChar w:fldCharType="begin"/>
            </w:r>
            <w:r w:rsidRPr="007D089C">
              <w:rPr>
                <w:sz w:val="22"/>
                <w:szCs w:val="22"/>
                <w:lang w:val="en-US"/>
              </w:rPr>
              <w:instrText>ADDIN RW.CITE{{2125 Madian,A.G. 2011}}</w:instrText>
            </w:r>
            <w:r w:rsidRPr="007D089C">
              <w:rPr>
                <w:sz w:val="22"/>
                <w:szCs w:val="22"/>
                <w:lang w:val="en-US"/>
              </w:rPr>
              <w:fldChar w:fldCharType="separate"/>
            </w:r>
            <w:r w:rsidR="00C77B76">
              <w:rPr>
                <w:sz w:val="22"/>
                <w:szCs w:val="22"/>
                <w:lang w:val="en-US"/>
              </w:rPr>
              <w:t>(Madian et al., 2011)</w:t>
            </w:r>
            <w:r w:rsidRPr="007D089C">
              <w:rPr>
                <w:sz w:val="22"/>
                <w:szCs w:val="22"/>
                <w:lang w:val="en-US"/>
              </w:rPr>
              <w:fldChar w:fldCharType="end"/>
            </w:r>
          </w:p>
        </w:tc>
      </w:tr>
    </w:tbl>
    <w:p w14:paraId="402E631C" w14:textId="77777777" w:rsidR="000074EB" w:rsidRPr="007D089C" w:rsidRDefault="000074EB" w:rsidP="00C141DD">
      <w:pPr>
        <w:rPr>
          <w:rStyle w:val="Emphasis"/>
          <w:b/>
          <w:i w:val="0"/>
          <w:lang w:val="en-US"/>
        </w:rPr>
      </w:pPr>
    </w:p>
    <w:p w14:paraId="3BFA3301" w14:textId="77777777" w:rsidR="008056FD" w:rsidRDefault="008056FD">
      <w:pPr>
        <w:rPr>
          <w:rStyle w:val="Emphasis"/>
          <w:b/>
          <w:i w:val="0"/>
          <w:lang w:val="en-US"/>
        </w:rPr>
      </w:pPr>
      <w:r>
        <w:rPr>
          <w:rStyle w:val="Emphasis"/>
          <w:b/>
          <w:i w:val="0"/>
          <w:lang w:val="en-US"/>
        </w:rPr>
        <w:br w:type="page"/>
      </w:r>
    </w:p>
    <w:tbl>
      <w:tblPr>
        <w:tblW w:w="13284" w:type="dxa"/>
        <w:tblCellMar>
          <w:left w:w="0" w:type="dxa"/>
          <w:right w:w="0" w:type="dxa"/>
        </w:tblCellMar>
        <w:tblLook w:val="04A0" w:firstRow="1" w:lastRow="0" w:firstColumn="1" w:lastColumn="0" w:noHBand="0" w:noVBand="1"/>
      </w:tblPr>
      <w:tblGrid>
        <w:gridCol w:w="13284"/>
      </w:tblGrid>
      <w:tr w:rsidR="008056FD" w:rsidRPr="007D089C" w14:paraId="7911AB6A" w14:textId="77777777" w:rsidTr="002B197F">
        <w:trPr>
          <w:trHeight w:val="300"/>
        </w:trPr>
        <w:tc>
          <w:tcPr>
            <w:tcW w:w="13284" w:type="dxa"/>
            <w:tcBorders>
              <w:bottom w:val="single" w:sz="4" w:space="0" w:color="auto"/>
            </w:tcBorders>
            <w:shd w:val="clear" w:color="auto" w:fill="auto"/>
            <w:noWrap/>
            <w:tcMar>
              <w:top w:w="15" w:type="dxa"/>
              <w:left w:w="15" w:type="dxa"/>
              <w:bottom w:w="0" w:type="dxa"/>
              <w:right w:w="15" w:type="dxa"/>
            </w:tcMar>
            <w:vAlign w:val="bottom"/>
          </w:tcPr>
          <w:p w14:paraId="5D4313A2" w14:textId="77777777" w:rsidR="008056FD" w:rsidRPr="007D089C" w:rsidRDefault="008056FD" w:rsidP="002B197F">
            <w:pPr>
              <w:rPr>
                <w:b/>
                <w:lang w:val="en-US"/>
              </w:rPr>
            </w:pPr>
            <w:r w:rsidRPr="007D089C">
              <w:rPr>
                <w:b/>
                <w:lang w:val="en-US"/>
              </w:rPr>
              <w:t>Table 3: Examples of Isobaric Labeling Plasma Cancer Studies</w:t>
            </w:r>
          </w:p>
          <w:p w14:paraId="71551C98" w14:textId="77777777" w:rsidR="008056FD" w:rsidRPr="007D089C" w:rsidRDefault="008056FD" w:rsidP="002B197F">
            <w:pPr>
              <w:rPr>
                <w:b/>
                <w:lang w:val="en-US"/>
              </w:rPr>
            </w:pPr>
          </w:p>
          <w:p w14:paraId="6936DEE3" w14:textId="77777777" w:rsidR="008056FD" w:rsidRPr="007D089C" w:rsidRDefault="008056FD" w:rsidP="002B197F">
            <w:pPr>
              <w:rPr>
                <w:b/>
                <w:lang w:val="en-US"/>
              </w:rPr>
            </w:pPr>
          </w:p>
        </w:tc>
      </w:tr>
    </w:tbl>
    <w:p w14:paraId="35E9F280" w14:textId="77777777" w:rsidR="008056FD" w:rsidRPr="007D089C" w:rsidRDefault="008056FD" w:rsidP="008056FD">
      <w:pPr>
        <w:rPr>
          <w:rFonts w:ascii="timesroman" w:hAnsi="timesroman"/>
          <w:lang w:val="en-US"/>
        </w:rPr>
      </w:pPr>
    </w:p>
    <w:p w14:paraId="6B08EF0A" w14:textId="77777777" w:rsidR="008056FD" w:rsidRPr="007D089C" w:rsidRDefault="008056FD" w:rsidP="008056FD">
      <w:pPr>
        <w:rPr>
          <w:rFonts w:ascii="timesroman" w:hAnsi="timesroman"/>
          <w:lang w:val="en-US"/>
        </w:rPr>
      </w:pPr>
    </w:p>
    <w:tbl>
      <w:tblPr>
        <w:tblW w:w="13412" w:type="dxa"/>
        <w:tblInd w:w="-5" w:type="dxa"/>
        <w:tblLook w:val="04A0" w:firstRow="1" w:lastRow="0" w:firstColumn="1" w:lastColumn="0" w:noHBand="0" w:noVBand="1"/>
      </w:tblPr>
      <w:tblGrid>
        <w:gridCol w:w="1985"/>
        <w:gridCol w:w="709"/>
        <w:gridCol w:w="2268"/>
        <w:gridCol w:w="1559"/>
        <w:gridCol w:w="2126"/>
        <w:gridCol w:w="2693"/>
        <w:gridCol w:w="1134"/>
        <w:gridCol w:w="938"/>
      </w:tblGrid>
      <w:tr w:rsidR="008056FD" w:rsidRPr="007D089C" w14:paraId="37B58616" w14:textId="77777777" w:rsidTr="002B197F">
        <w:trPr>
          <w:trHeight w:val="300"/>
        </w:trPr>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C74AF8" w14:textId="77777777" w:rsidR="008056FD" w:rsidRPr="007D089C" w:rsidRDefault="008056FD" w:rsidP="002B197F">
            <w:pPr>
              <w:rPr>
                <w:color w:val="000000"/>
                <w:sz w:val="22"/>
                <w:szCs w:val="22"/>
                <w:lang w:val="en-US"/>
              </w:rPr>
            </w:pPr>
            <w:r w:rsidRPr="007D089C">
              <w:rPr>
                <w:color w:val="000000"/>
                <w:sz w:val="22"/>
                <w:szCs w:val="22"/>
                <w:lang w:val="en-US"/>
              </w:rPr>
              <w:t>Author</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14:paraId="0893DB26" w14:textId="77777777" w:rsidR="008056FD" w:rsidRPr="007D089C" w:rsidRDefault="008056FD" w:rsidP="002B197F">
            <w:pPr>
              <w:rPr>
                <w:color w:val="000000"/>
                <w:sz w:val="22"/>
                <w:szCs w:val="22"/>
                <w:lang w:val="en-US"/>
              </w:rPr>
            </w:pPr>
            <w:r w:rsidRPr="007D089C">
              <w:rPr>
                <w:color w:val="000000"/>
                <w:sz w:val="22"/>
                <w:szCs w:val="22"/>
                <w:lang w:val="en-US"/>
              </w:rPr>
              <w:t>Year</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14:paraId="2B4AE61F" w14:textId="77777777" w:rsidR="008056FD" w:rsidRPr="007D089C" w:rsidRDefault="008056FD" w:rsidP="002B197F">
            <w:pPr>
              <w:rPr>
                <w:color w:val="000000"/>
                <w:sz w:val="22"/>
                <w:szCs w:val="22"/>
                <w:lang w:val="en-US"/>
              </w:rPr>
            </w:pPr>
            <w:r w:rsidRPr="007D089C">
              <w:rPr>
                <w:color w:val="000000"/>
                <w:sz w:val="22"/>
                <w:szCs w:val="22"/>
                <w:lang w:val="en-US"/>
              </w:rPr>
              <w:t>Depletion system</w:t>
            </w:r>
          </w:p>
        </w:tc>
        <w:tc>
          <w:tcPr>
            <w:tcW w:w="1559" w:type="dxa"/>
            <w:tcBorders>
              <w:top w:val="single" w:sz="4" w:space="0" w:color="auto"/>
              <w:left w:val="nil"/>
              <w:bottom w:val="single" w:sz="4" w:space="0" w:color="auto"/>
              <w:right w:val="single" w:sz="4" w:space="0" w:color="auto"/>
            </w:tcBorders>
            <w:shd w:val="clear" w:color="auto" w:fill="auto"/>
            <w:noWrap/>
            <w:vAlign w:val="center"/>
            <w:hideMark/>
          </w:tcPr>
          <w:p w14:paraId="736AF845" w14:textId="77777777" w:rsidR="008056FD" w:rsidRPr="007D089C" w:rsidRDefault="008056FD" w:rsidP="002B197F">
            <w:pPr>
              <w:rPr>
                <w:color w:val="000000"/>
                <w:sz w:val="22"/>
                <w:szCs w:val="22"/>
                <w:lang w:val="en-US"/>
              </w:rPr>
            </w:pPr>
            <w:r w:rsidRPr="007D089C">
              <w:rPr>
                <w:color w:val="000000"/>
                <w:sz w:val="22"/>
                <w:szCs w:val="22"/>
                <w:lang w:val="en-US"/>
              </w:rPr>
              <w:t>Fractionation</w:t>
            </w:r>
          </w:p>
        </w:tc>
        <w:tc>
          <w:tcPr>
            <w:tcW w:w="2126" w:type="dxa"/>
            <w:tcBorders>
              <w:top w:val="single" w:sz="4" w:space="0" w:color="auto"/>
              <w:left w:val="nil"/>
              <w:bottom w:val="single" w:sz="4" w:space="0" w:color="auto"/>
              <w:right w:val="single" w:sz="4" w:space="0" w:color="auto"/>
            </w:tcBorders>
            <w:shd w:val="clear" w:color="auto" w:fill="auto"/>
            <w:noWrap/>
            <w:vAlign w:val="center"/>
            <w:hideMark/>
          </w:tcPr>
          <w:p w14:paraId="69C35411" w14:textId="77777777" w:rsidR="008056FD" w:rsidRPr="007D089C" w:rsidRDefault="008056FD" w:rsidP="002B197F">
            <w:pPr>
              <w:rPr>
                <w:color w:val="000000"/>
                <w:sz w:val="22"/>
                <w:szCs w:val="22"/>
                <w:lang w:val="en-US"/>
              </w:rPr>
            </w:pPr>
            <w:r w:rsidRPr="007D089C">
              <w:rPr>
                <w:color w:val="000000"/>
                <w:sz w:val="22"/>
                <w:szCs w:val="22"/>
                <w:lang w:val="en-US"/>
              </w:rPr>
              <w:t>Spectrometer</w:t>
            </w:r>
          </w:p>
        </w:tc>
        <w:tc>
          <w:tcPr>
            <w:tcW w:w="2693" w:type="dxa"/>
            <w:tcBorders>
              <w:top w:val="single" w:sz="4" w:space="0" w:color="auto"/>
              <w:left w:val="nil"/>
              <w:bottom w:val="single" w:sz="4" w:space="0" w:color="auto"/>
              <w:right w:val="single" w:sz="4" w:space="0" w:color="auto"/>
            </w:tcBorders>
            <w:shd w:val="clear" w:color="auto" w:fill="auto"/>
            <w:noWrap/>
            <w:vAlign w:val="center"/>
            <w:hideMark/>
          </w:tcPr>
          <w:p w14:paraId="057D0AB0" w14:textId="77777777" w:rsidR="008056FD" w:rsidRPr="007D089C" w:rsidRDefault="008056FD" w:rsidP="002B197F">
            <w:pPr>
              <w:rPr>
                <w:color w:val="000000"/>
                <w:sz w:val="22"/>
                <w:szCs w:val="22"/>
                <w:lang w:val="en-US"/>
              </w:rPr>
            </w:pPr>
            <w:r w:rsidRPr="007D089C">
              <w:rPr>
                <w:color w:val="000000"/>
                <w:sz w:val="22"/>
                <w:szCs w:val="22"/>
                <w:lang w:val="en-US"/>
              </w:rPr>
              <w:t>Disease</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290FB4BE" w14:textId="77777777" w:rsidR="008056FD" w:rsidRPr="007D089C" w:rsidRDefault="008056FD" w:rsidP="002B197F">
            <w:pPr>
              <w:rPr>
                <w:color w:val="000000"/>
                <w:sz w:val="22"/>
                <w:szCs w:val="22"/>
                <w:lang w:val="en-US"/>
              </w:rPr>
            </w:pPr>
            <w:r w:rsidRPr="007D089C">
              <w:rPr>
                <w:color w:val="000000"/>
                <w:sz w:val="22"/>
                <w:szCs w:val="22"/>
                <w:lang w:val="en-US"/>
              </w:rPr>
              <w:t>Labelling</w:t>
            </w:r>
          </w:p>
        </w:tc>
        <w:tc>
          <w:tcPr>
            <w:tcW w:w="938" w:type="dxa"/>
            <w:tcBorders>
              <w:top w:val="single" w:sz="4" w:space="0" w:color="auto"/>
              <w:left w:val="nil"/>
              <w:bottom w:val="single" w:sz="4" w:space="0" w:color="auto"/>
              <w:right w:val="single" w:sz="4" w:space="0" w:color="auto"/>
            </w:tcBorders>
            <w:shd w:val="clear" w:color="auto" w:fill="auto"/>
            <w:noWrap/>
            <w:vAlign w:val="center"/>
            <w:hideMark/>
          </w:tcPr>
          <w:p w14:paraId="5A959658" w14:textId="77777777" w:rsidR="008056FD" w:rsidRPr="007D089C" w:rsidRDefault="008056FD" w:rsidP="002B197F">
            <w:pPr>
              <w:rPr>
                <w:color w:val="000000"/>
                <w:sz w:val="22"/>
                <w:szCs w:val="22"/>
                <w:lang w:val="en-US"/>
              </w:rPr>
            </w:pPr>
            <w:r w:rsidRPr="007D089C">
              <w:rPr>
                <w:color w:val="000000"/>
                <w:sz w:val="22"/>
                <w:szCs w:val="22"/>
                <w:lang w:val="en-US"/>
              </w:rPr>
              <w:t>Proteins</w:t>
            </w:r>
          </w:p>
        </w:tc>
      </w:tr>
      <w:tr w:rsidR="008056FD" w:rsidRPr="007D089C" w14:paraId="39CA2DD1" w14:textId="77777777" w:rsidTr="002B197F">
        <w:trPr>
          <w:trHeight w:val="300"/>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14:paraId="49E5C4D8" w14:textId="77777777" w:rsidR="008056FD" w:rsidRPr="007D089C" w:rsidRDefault="008056FD" w:rsidP="002B197F">
            <w:pPr>
              <w:rPr>
                <w:color w:val="000000"/>
                <w:sz w:val="22"/>
                <w:szCs w:val="22"/>
                <w:lang w:val="en-US"/>
              </w:rPr>
            </w:pPr>
            <w:r w:rsidRPr="007D089C">
              <w:rPr>
                <w:color w:val="000000"/>
                <w:sz w:val="22"/>
                <w:szCs w:val="22"/>
                <w:lang w:val="en-US"/>
              </w:rPr>
              <w:t>Betancourt et al.</w:t>
            </w:r>
          </w:p>
        </w:tc>
        <w:tc>
          <w:tcPr>
            <w:tcW w:w="709" w:type="dxa"/>
            <w:tcBorders>
              <w:top w:val="nil"/>
              <w:left w:val="nil"/>
              <w:bottom w:val="single" w:sz="4" w:space="0" w:color="auto"/>
              <w:right w:val="single" w:sz="4" w:space="0" w:color="auto"/>
            </w:tcBorders>
            <w:shd w:val="clear" w:color="auto" w:fill="auto"/>
            <w:noWrap/>
            <w:vAlign w:val="center"/>
            <w:hideMark/>
          </w:tcPr>
          <w:p w14:paraId="0EBD7DEB" w14:textId="77777777" w:rsidR="008056FD" w:rsidRPr="007D089C" w:rsidRDefault="008056FD" w:rsidP="002B197F">
            <w:pPr>
              <w:jc w:val="center"/>
              <w:rPr>
                <w:color w:val="000000"/>
                <w:sz w:val="22"/>
                <w:szCs w:val="22"/>
                <w:lang w:val="en-US"/>
              </w:rPr>
            </w:pPr>
            <w:r w:rsidRPr="007D089C">
              <w:rPr>
                <w:color w:val="000000"/>
                <w:sz w:val="22"/>
                <w:szCs w:val="22"/>
                <w:lang w:val="en-US"/>
              </w:rPr>
              <w:t>2014</w:t>
            </w:r>
          </w:p>
        </w:tc>
        <w:tc>
          <w:tcPr>
            <w:tcW w:w="2268" w:type="dxa"/>
            <w:tcBorders>
              <w:top w:val="nil"/>
              <w:left w:val="nil"/>
              <w:bottom w:val="single" w:sz="4" w:space="0" w:color="auto"/>
              <w:right w:val="single" w:sz="4" w:space="0" w:color="auto"/>
            </w:tcBorders>
            <w:shd w:val="clear" w:color="auto" w:fill="auto"/>
            <w:noWrap/>
            <w:vAlign w:val="center"/>
            <w:hideMark/>
          </w:tcPr>
          <w:p w14:paraId="169465FB" w14:textId="77777777" w:rsidR="008056FD" w:rsidRPr="007D089C" w:rsidRDefault="008056FD" w:rsidP="002B197F">
            <w:pPr>
              <w:rPr>
                <w:color w:val="000000"/>
                <w:sz w:val="22"/>
                <w:szCs w:val="22"/>
                <w:lang w:val="en-US"/>
              </w:rPr>
            </w:pPr>
            <w:r w:rsidRPr="007D089C">
              <w:rPr>
                <w:color w:val="000000"/>
                <w:sz w:val="22"/>
                <w:szCs w:val="22"/>
                <w:lang w:val="en-US"/>
              </w:rPr>
              <w:t>IgYR7 (rat)</w:t>
            </w:r>
          </w:p>
        </w:tc>
        <w:tc>
          <w:tcPr>
            <w:tcW w:w="1559" w:type="dxa"/>
            <w:tcBorders>
              <w:top w:val="nil"/>
              <w:left w:val="nil"/>
              <w:bottom w:val="single" w:sz="4" w:space="0" w:color="auto"/>
              <w:right w:val="single" w:sz="4" w:space="0" w:color="auto"/>
            </w:tcBorders>
            <w:shd w:val="clear" w:color="auto" w:fill="auto"/>
            <w:noWrap/>
            <w:vAlign w:val="center"/>
            <w:hideMark/>
          </w:tcPr>
          <w:p w14:paraId="56191E35" w14:textId="77777777" w:rsidR="008056FD" w:rsidRPr="007D089C" w:rsidRDefault="008056FD" w:rsidP="002B197F">
            <w:pPr>
              <w:rPr>
                <w:color w:val="000000"/>
                <w:sz w:val="22"/>
                <w:szCs w:val="22"/>
                <w:lang w:val="en-US"/>
              </w:rPr>
            </w:pPr>
            <w:r w:rsidRPr="007D089C">
              <w:rPr>
                <w:color w:val="000000"/>
                <w:sz w:val="22"/>
                <w:szCs w:val="22"/>
                <w:lang w:val="en-US"/>
              </w:rPr>
              <w:t>MudPIT</w:t>
            </w:r>
          </w:p>
        </w:tc>
        <w:tc>
          <w:tcPr>
            <w:tcW w:w="2126" w:type="dxa"/>
            <w:tcBorders>
              <w:top w:val="nil"/>
              <w:left w:val="nil"/>
              <w:bottom w:val="single" w:sz="4" w:space="0" w:color="auto"/>
              <w:right w:val="single" w:sz="4" w:space="0" w:color="auto"/>
            </w:tcBorders>
            <w:shd w:val="clear" w:color="auto" w:fill="auto"/>
            <w:noWrap/>
            <w:vAlign w:val="center"/>
            <w:hideMark/>
          </w:tcPr>
          <w:p w14:paraId="1CA8B0CC" w14:textId="77777777" w:rsidR="008056FD" w:rsidRPr="007D089C" w:rsidRDefault="008056FD" w:rsidP="002B197F">
            <w:pPr>
              <w:rPr>
                <w:color w:val="000000"/>
                <w:sz w:val="22"/>
                <w:szCs w:val="22"/>
                <w:lang w:val="en-US"/>
              </w:rPr>
            </w:pPr>
            <w:r w:rsidRPr="007D089C">
              <w:rPr>
                <w:color w:val="000000"/>
                <w:sz w:val="22"/>
                <w:szCs w:val="22"/>
                <w:lang w:val="en-US"/>
              </w:rPr>
              <w:t>LTQ  Orbitrap XL</w:t>
            </w:r>
          </w:p>
        </w:tc>
        <w:tc>
          <w:tcPr>
            <w:tcW w:w="2693" w:type="dxa"/>
            <w:tcBorders>
              <w:top w:val="nil"/>
              <w:left w:val="nil"/>
              <w:bottom w:val="single" w:sz="4" w:space="0" w:color="auto"/>
              <w:right w:val="single" w:sz="4" w:space="0" w:color="auto"/>
            </w:tcBorders>
            <w:shd w:val="clear" w:color="auto" w:fill="auto"/>
            <w:noWrap/>
            <w:vAlign w:val="center"/>
            <w:hideMark/>
          </w:tcPr>
          <w:p w14:paraId="0E9337E9" w14:textId="77777777" w:rsidR="008056FD" w:rsidRPr="007D089C" w:rsidRDefault="008056FD" w:rsidP="002B197F">
            <w:pPr>
              <w:rPr>
                <w:color w:val="000000"/>
                <w:sz w:val="22"/>
                <w:szCs w:val="22"/>
                <w:lang w:val="en-US"/>
              </w:rPr>
            </w:pPr>
            <w:r w:rsidRPr="007D089C">
              <w:rPr>
                <w:color w:val="000000"/>
                <w:sz w:val="22"/>
                <w:szCs w:val="22"/>
                <w:lang w:val="en-US"/>
              </w:rPr>
              <w:t>Breast and prostate cancers</w:t>
            </w:r>
          </w:p>
        </w:tc>
        <w:tc>
          <w:tcPr>
            <w:tcW w:w="1134" w:type="dxa"/>
            <w:tcBorders>
              <w:top w:val="nil"/>
              <w:left w:val="nil"/>
              <w:bottom w:val="single" w:sz="4" w:space="0" w:color="auto"/>
              <w:right w:val="single" w:sz="4" w:space="0" w:color="auto"/>
            </w:tcBorders>
            <w:shd w:val="clear" w:color="auto" w:fill="auto"/>
            <w:noWrap/>
            <w:vAlign w:val="center"/>
            <w:hideMark/>
          </w:tcPr>
          <w:p w14:paraId="40D4A928" w14:textId="77777777" w:rsidR="008056FD" w:rsidRPr="007D089C" w:rsidRDefault="008056FD" w:rsidP="002B197F">
            <w:pPr>
              <w:rPr>
                <w:color w:val="000000"/>
                <w:sz w:val="22"/>
                <w:szCs w:val="22"/>
                <w:lang w:val="en-US"/>
              </w:rPr>
            </w:pPr>
            <w:r w:rsidRPr="007D089C">
              <w:rPr>
                <w:color w:val="000000"/>
                <w:sz w:val="22"/>
                <w:szCs w:val="22"/>
                <w:lang w:val="en-US"/>
              </w:rPr>
              <w:t>6-plex TMT</w:t>
            </w:r>
          </w:p>
        </w:tc>
        <w:tc>
          <w:tcPr>
            <w:tcW w:w="938" w:type="dxa"/>
            <w:tcBorders>
              <w:top w:val="nil"/>
              <w:left w:val="nil"/>
              <w:bottom w:val="single" w:sz="4" w:space="0" w:color="auto"/>
              <w:right w:val="single" w:sz="4" w:space="0" w:color="auto"/>
            </w:tcBorders>
            <w:shd w:val="clear" w:color="auto" w:fill="auto"/>
            <w:noWrap/>
            <w:vAlign w:val="center"/>
            <w:hideMark/>
          </w:tcPr>
          <w:p w14:paraId="396A3042" w14:textId="77777777" w:rsidR="008056FD" w:rsidRPr="007D089C" w:rsidRDefault="008056FD" w:rsidP="002B197F">
            <w:pPr>
              <w:jc w:val="right"/>
              <w:rPr>
                <w:color w:val="000000"/>
                <w:sz w:val="22"/>
                <w:szCs w:val="22"/>
                <w:lang w:val="en-US"/>
              </w:rPr>
            </w:pPr>
            <w:r w:rsidRPr="007D089C">
              <w:rPr>
                <w:color w:val="000000"/>
                <w:sz w:val="22"/>
                <w:szCs w:val="22"/>
                <w:lang w:val="en-US"/>
              </w:rPr>
              <w:t>NA</w:t>
            </w:r>
          </w:p>
        </w:tc>
      </w:tr>
      <w:tr w:rsidR="008056FD" w:rsidRPr="007D089C" w14:paraId="556982F7" w14:textId="77777777" w:rsidTr="002B197F">
        <w:trPr>
          <w:trHeight w:val="300"/>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14:paraId="1C4C7C9A" w14:textId="77777777" w:rsidR="008056FD" w:rsidRPr="007D089C" w:rsidRDefault="008056FD" w:rsidP="002B197F">
            <w:pPr>
              <w:rPr>
                <w:color w:val="000000"/>
                <w:sz w:val="22"/>
                <w:szCs w:val="22"/>
                <w:lang w:val="en-US"/>
              </w:rPr>
            </w:pPr>
            <w:r w:rsidRPr="007D089C">
              <w:rPr>
                <w:color w:val="000000"/>
                <w:sz w:val="22"/>
                <w:szCs w:val="22"/>
                <w:lang w:val="en-US"/>
              </w:rPr>
              <w:t>Sinclair et al.</w:t>
            </w:r>
          </w:p>
        </w:tc>
        <w:tc>
          <w:tcPr>
            <w:tcW w:w="709" w:type="dxa"/>
            <w:tcBorders>
              <w:top w:val="nil"/>
              <w:left w:val="nil"/>
              <w:bottom w:val="single" w:sz="4" w:space="0" w:color="auto"/>
              <w:right w:val="single" w:sz="4" w:space="0" w:color="auto"/>
            </w:tcBorders>
            <w:shd w:val="clear" w:color="auto" w:fill="auto"/>
            <w:noWrap/>
            <w:vAlign w:val="center"/>
            <w:hideMark/>
          </w:tcPr>
          <w:p w14:paraId="3D54D2F9" w14:textId="77777777" w:rsidR="008056FD" w:rsidRPr="007D089C" w:rsidRDefault="008056FD" w:rsidP="002B197F">
            <w:pPr>
              <w:jc w:val="center"/>
              <w:rPr>
                <w:color w:val="000000"/>
                <w:sz w:val="22"/>
                <w:szCs w:val="22"/>
                <w:lang w:val="en-US"/>
              </w:rPr>
            </w:pPr>
            <w:r w:rsidRPr="007D089C">
              <w:rPr>
                <w:color w:val="000000"/>
                <w:sz w:val="22"/>
                <w:szCs w:val="22"/>
                <w:lang w:val="en-US"/>
              </w:rPr>
              <w:t>2011</w:t>
            </w:r>
          </w:p>
        </w:tc>
        <w:tc>
          <w:tcPr>
            <w:tcW w:w="2268" w:type="dxa"/>
            <w:tcBorders>
              <w:top w:val="nil"/>
              <w:left w:val="nil"/>
              <w:bottom w:val="single" w:sz="4" w:space="0" w:color="auto"/>
              <w:right w:val="single" w:sz="4" w:space="0" w:color="auto"/>
            </w:tcBorders>
            <w:shd w:val="clear" w:color="auto" w:fill="auto"/>
            <w:noWrap/>
            <w:vAlign w:val="center"/>
            <w:hideMark/>
          </w:tcPr>
          <w:p w14:paraId="7A2E68AE" w14:textId="4731196D" w:rsidR="008056FD" w:rsidRPr="007D089C" w:rsidRDefault="008056FD" w:rsidP="00B900CD">
            <w:pPr>
              <w:rPr>
                <w:color w:val="000000"/>
                <w:sz w:val="22"/>
                <w:szCs w:val="22"/>
                <w:lang w:val="en-US"/>
              </w:rPr>
            </w:pPr>
            <w:r w:rsidRPr="007D089C">
              <w:rPr>
                <w:color w:val="000000"/>
                <w:sz w:val="22"/>
                <w:szCs w:val="22"/>
                <w:lang w:val="en-US"/>
              </w:rPr>
              <w:t>Sepp</w:t>
            </w:r>
            <w:r w:rsidR="00B900CD">
              <w:rPr>
                <w:color w:val="000000"/>
                <w:sz w:val="22"/>
                <w:szCs w:val="22"/>
                <w:lang w:val="en-US"/>
              </w:rPr>
              <w:t>ro 14 + SuperM</w:t>
            </w:r>
            <w:r w:rsidRPr="007D089C">
              <w:rPr>
                <w:color w:val="000000"/>
                <w:sz w:val="22"/>
                <w:szCs w:val="22"/>
                <w:lang w:val="en-US"/>
              </w:rPr>
              <w:t>ix</w:t>
            </w:r>
          </w:p>
        </w:tc>
        <w:tc>
          <w:tcPr>
            <w:tcW w:w="1559" w:type="dxa"/>
            <w:tcBorders>
              <w:top w:val="nil"/>
              <w:left w:val="nil"/>
              <w:bottom w:val="single" w:sz="4" w:space="0" w:color="auto"/>
              <w:right w:val="single" w:sz="4" w:space="0" w:color="auto"/>
            </w:tcBorders>
            <w:shd w:val="clear" w:color="auto" w:fill="auto"/>
            <w:noWrap/>
            <w:vAlign w:val="center"/>
            <w:hideMark/>
          </w:tcPr>
          <w:p w14:paraId="6172CD53" w14:textId="77777777" w:rsidR="008056FD" w:rsidRPr="007D089C" w:rsidRDefault="008056FD" w:rsidP="002B197F">
            <w:pPr>
              <w:rPr>
                <w:color w:val="000000"/>
                <w:sz w:val="22"/>
                <w:szCs w:val="22"/>
                <w:lang w:val="en-US"/>
              </w:rPr>
            </w:pPr>
            <w:r w:rsidRPr="007D089C">
              <w:rPr>
                <w:color w:val="000000"/>
                <w:sz w:val="22"/>
                <w:szCs w:val="22"/>
                <w:lang w:val="en-US"/>
              </w:rPr>
              <w:t xml:space="preserve">SAX &amp; 1D gel  </w:t>
            </w:r>
          </w:p>
        </w:tc>
        <w:tc>
          <w:tcPr>
            <w:tcW w:w="2126" w:type="dxa"/>
            <w:tcBorders>
              <w:top w:val="nil"/>
              <w:left w:val="nil"/>
              <w:bottom w:val="single" w:sz="4" w:space="0" w:color="auto"/>
              <w:right w:val="single" w:sz="4" w:space="0" w:color="auto"/>
            </w:tcBorders>
            <w:shd w:val="clear" w:color="auto" w:fill="auto"/>
            <w:noWrap/>
            <w:vAlign w:val="center"/>
            <w:hideMark/>
          </w:tcPr>
          <w:p w14:paraId="0C3BDB92" w14:textId="77777777" w:rsidR="008056FD" w:rsidRPr="007D089C" w:rsidRDefault="008056FD" w:rsidP="002B197F">
            <w:pPr>
              <w:rPr>
                <w:color w:val="000000"/>
                <w:sz w:val="22"/>
                <w:szCs w:val="22"/>
                <w:lang w:val="en-US"/>
              </w:rPr>
            </w:pPr>
            <w:r w:rsidRPr="007D089C">
              <w:rPr>
                <w:color w:val="000000"/>
                <w:sz w:val="22"/>
                <w:szCs w:val="22"/>
                <w:lang w:val="en-US"/>
              </w:rPr>
              <w:t xml:space="preserve"> LTQ Oribtrap XL</w:t>
            </w:r>
          </w:p>
        </w:tc>
        <w:tc>
          <w:tcPr>
            <w:tcW w:w="2693" w:type="dxa"/>
            <w:tcBorders>
              <w:top w:val="nil"/>
              <w:left w:val="nil"/>
              <w:bottom w:val="single" w:sz="4" w:space="0" w:color="auto"/>
              <w:right w:val="single" w:sz="4" w:space="0" w:color="auto"/>
            </w:tcBorders>
            <w:shd w:val="clear" w:color="auto" w:fill="auto"/>
            <w:noWrap/>
            <w:vAlign w:val="center"/>
            <w:hideMark/>
          </w:tcPr>
          <w:p w14:paraId="6F633186" w14:textId="77777777" w:rsidR="008056FD" w:rsidRPr="007D089C" w:rsidRDefault="008056FD" w:rsidP="002B197F">
            <w:pPr>
              <w:rPr>
                <w:color w:val="000000"/>
                <w:sz w:val="22"/>
                <w:szCs w:val="22"/>
                <w:lang w:val="en-US"/>
              </w:rPr>
            </w:pPr>
            <w:r w:rsidRPr="007D089C">
              <w:rPr>
                <w:color w:val="000000"/>
                <w:sz w:val="22"/>
                <w:szCs w:val="22"/>
                <w:lang w:val="en-US"/>
              </w:rPr>
              <w:t>Pancreatic cancer</w:t>
            </w:r>
          </w:p>
        </w:tc>
        <w:tc>
          <w:tcPr>
            <w:tcW w:w="1134" w:type="dxa"/>
            <w:tcBorders>
              <w:top w:val="nil"/>
              <w:left w:val="nil"/>
              <w:bottom w:val="single" w:sz="4" w:space="0" w:color="auto"/>
              <w:right w:val="single" w:sz="4" w:space="0" w:color="auto"/>
            </w:tcBorders>
            <w:shd w:val="clear" w:color="auto" w:fill="auto"/>
            <w:noWrap/>
            <w:vAlign w:val="center"/>
            <w:hideMark/>
          </w:tcPr>
          <w:p w14:paraId="4B6FD871" w14:textId="77777777" w:rsidR="008056FD" w:rsidRPr="007D089C" w:rsidRDefault="008056FD" w:rsidP="002B197F">
            <w:pPr>
              <w:rPr>
                <w:color w:val="000000"/>
                <w:sz w:val="22"/>
                <w:szCs w:val="22"/>
                <w:lang w:val="en-US"/>
              </w:rPr>
            </w:pPr>
            <w:r w:rsidRPr="007D089C">
              <w:rPr>
                <w:color w:val="000000"/>
                <w:sz w:val="22"/>
                <w:szCs w:val="22"/>
                <w:lang w:val="en-US"/>
              </w:rPr>
              <w:t>6-plex TMT</w:t>
            </w:r>
          </w:p>
        </w:tc>
        <w:tc>
          <w:tcPr>
            <w:tcW w:w="938" w:type="dxa"/>
            <w:tcBorders>
              <w:top w:val="nil"/>
              <w:left w:val="nil"/>
              <w:bottom w:val="single" w:sz="4" w:space="0" w:color="auto"/>
              <w:right w:val="single" w:sz="4" w:space="0" w:color="auto"/>
            </w:tcBorders>
            <w:shd w:val="clear" w:color="auto" w:fill="auto"/>
            <w:noWrap/>
            <w:vAlign w:val="center"/>
            <w:hideMark/>
          </w:tcPr>
          <w:p w14:paraId="1CCF3D25" w14:textId="77777777" w:rsidR="008056FD" w:rsidRPr="007D089C" w:rsidRDefault="008056FD" w:rsidP="002B197F">
            <w:pPr>
              <w:jc w:val="right"/>
              <w:rPr>
                <w:color w:val="000000"/>
                <w:sz w:val="22"/>
                <w:szCs w:val="22"/>
                <w:lang w:val="en-US"/>
              </w:rPr>
            </w:pPr>
            <w:r w:rsidRPr="007D089C">
              <w:rPr>
                <w:color w:val="000000"/>
                <w:sz w:val="22"/>
                <w:szCs w:val="22"/>
                <w:lang w:val="en-US"/>
              </w:rPr>
              <w:t>265</w:t>
            </w:r>
          </w:p>
        </w:tc>
      </w:tr>
      <w:tr w:rsidR="008056FD" w:rsidRPr="007D089C" w14:paraId="4398D1EA" w14:textId="77777777" w:rsidTr="002B197F">
        <w:trPr>
          <w:trHeight w:val="300"/>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14:paraId="4BD2255B" w14:textId="77777777" w:rsidR="008056FD" w:rsidRPr="007D089C" w:rsidRDefault="008056FD" w:rsidP="002B197F">
            <w:pPr>
              <w:rPr>
                <w:color w:val="000000"/>
                <w:sz w:val="22"/>
                <w:szCs w:val="22"/>
                <w:lang w:val="en-US"/>
              </w:rPr>
            </w:pPr>
            <w:r w:rsidRPr="007D089C">
              <w:rPr>
                <w:color w:val="000000"/>
                <w:sz w:val="22"/>
                <w:szCs w:val="22"/>
                <w:lang w:val="en-US"/>
              </w:rPr>
              <w:t>Subbannayya et al.</w:t>
            </w:r>
          </w:p>
        </w:tc>
        <w:tc>
          <w:tcPr>
            <w:tcW w:w="709" w:type="dxa"/>
            <w:tcBorders>
              <w:top w:val="nil"/>
              <w:left w:val="nil"/>
              <w:bottom w:val="single" w:sz="4" w:space="0" w:color="auto"/>
              <w:right w:val="single" w:sz="4" w:space="0" w:color="auto"/>
            </w:tcBorders>
            <w:shd w:val="clear" w:color="auto" w:fill="auto"/>
            <w:noWrap/>
            <w:vAlign w:val="center"/>
            <w:hideMark/>
          </w:tcPr>
          <w:p w14:paraId="57EFF5EA" w14:textId="77777777" w:rsidR="008056FD" w:rsidRPr="007D089C" w:rsidRDefault="008056FD" w:rsidP="002B197F">
            <w:pPr>
              <w:jc w:val="center"/>
              <w:rPr>
                <w:color w:val="000000"/>
                <w:sz w:val="22"/>
                <w:szCs w:val="22"/>
                <w:lang w:val="en-US"/>
              </w:rPr>
            </w:pPr>
            <w:r w:rsidRPr="007D089C">
              <w:rPr>
                <w:color w:val="000000"/>
                <w:sz w:val="22"/>
                <w:szCs w:val="22"/>
                <w:lang w:val="en-US"/>
              </w:rPr>
              <w:t>2015</w:t>
            </w:r>
          </w:p>
        </w:tc>
        <w:tc>
          <w:tcPr>
            <w:tcW w:w="2268" w:type="dxa"/>
            <w:tcBorders>
              <w:top w:val="nil"/>
              <w:left w:val="nil"/>
              <w:bottom w:val="single" w:sz="4" w:space="0" w:color="auto"/>
              <w:right w:val="single" w:sz="4" w:space="0" w:color="auto"/>
            </w:tcBorders>
            <w:shd w:val="clear" w:color="auto" w:fill="auto"/>
            <w:noWrap/>
            <w:vAlign w:val="center"/>
            <w:hideMark/>
          </w:tcPr>
          <w:p w14:paraId="2BB9F464" w14:textId="77777777" w:rsidR="008056FD" w:rsidRPr="007D089C" w:rsidRDefault="008056FD" w:rsidP="002B197F">
            <w:pPr>
              <w:rPr>
                <w:color w:val="000000"/>
                <w:sz w:val="22"/>
                <w:szCs w:val="22"/>
                <w:lang w:val="en-US"/>
              </w:rPr>
            </w:pPr>
            <w:r w:rsidRPr="007D089C">
              <w:rPr>
                <w:color w:val="000000"/>
                <w:sz w:val="22"/>
                <w:szCs w:val="22"/>
                <w:lang w:val="en-US"/>
              </w:rPr>
              <w:t>Hu14</w:t>
            </w:r>
          </w:p>
        </w:tc>
        <w:tc>
          <w:tcPr>
            <w:tcW w:w="1559" w:type="dxa"/>
            <w:tcBorders>
              <w:top w:val="nil"/>
              <w:left w:val="nil"/>
              <w:bottom w:val="single" w:sz="4" w:space="0" w:color="auto"/>
              <w:right w:val="single" w:sz="4" w:space="0" w:color="auto"/>
            </w:tcBorders>
            <w:shd w:val="clear" w:color="auto" w:fill="auto"/>
            <w:noWrap/>
            <w:vAlign w:val="center"/>
            <w:hideMark/>
          </w:tcPr>
          <w:p w14:paraId="17E166C3" w14:textId="77777777" w:rsidR="008056FD" w:rsidRPr="007D089C" w:rsidRDefault="008056FD" w:rsidP="002B197F">
            <w:pPr>
              <w:rPr>
                <w:color w:val="000000"/>
                <w:sz w:val="22"/>
                <w:szCs w:val="22"/>
                <w:lang w:val="en-US"/>
              </w:rPr>
            </w:pPr>
            <w:r w:rsidRPr="007D089C">
              <w:rPr>
                <w:color w:val="000000"/>
                <w:sz w:val="22"/>
                <w:szCs w:val="22"/>
                <w:lang w:val="en-US"/>
              </w:rPr>
              <w:t>SCX</w:t>
            </w:r>
          </w:p>
        </w:tc>
        <w:tc>
          <w:tcPr>
            <w:tcW w:w="2126" w:type="dxa"/>
            <w:tcBorders>
              <w:top w:val="nil"/>
              <w:left w:val="nil"/>
              <w:bottom w:val="single" w:sz="4" w:space="0" w:color="auto"/>
              <w:right w:val="single" w:sz="4" w:space="0" w:color="auto"/>
            </w:tcBorders>
            <w:shd w:val="clear" w:color="auto" w:fill="auto"/>
            <w:noWrap/>
            <w:vAlign w:val="center"/>
            <w:hideMark/>
          </w:tcPr>
          <w:p w14:paraId="3D3016CA" w14:textId="77777777" w:rsidR="008056FD" w:rsidRPr="007D089C" w:rsidRDefault="008056FD" w:rsidP="002B197F">
            <w:pPr>
              <w:rPr>
                <w:color w:val="000000"/>
                <w:sz w:val="22"/>
                <w:szCs w:val="22"/>
                <w:lang w:val="en-US"/>
              </w:rPr>
            </w:pPr>
            <w:r w:rsidRPr="007D089C">
              <w:rPr>
                <w:color w:val="000000"/>
                <w:sz w:val="22"/>
                <w:szCs w:val="22"/>
                <w:lang w:val="en-US"/>
              </w:rPr>
              <w:t>Orbitrap-Velos</w:t>
            </w:r>
          </w:p>
        </w:tc>
        <w:tc>
          <w:tcPr>
            <w:tcW w:w="2693" w:type="dxa"/>
            <w:tcBorders>
              <w:top w:val="nil"/>
              <w:left w:val="nil"/>
              <w:bottom w:val="single" w:sz="4" w:space="0" w:color="auto"/>
              <w:right w:val="single" w:sz="4" w:space="0" w:color="auto"/>
            </w:tcBorders>
            <w:shd w:val="clear" w:color="auto" w:fill="auto"/>
            <w:noWrap/>
            <w:vAlign w:val="center"/>
            <w:hideMark/>
          </w:tcPr>
          <w:p w14:paraId="78E715F3" w14:textId="77777777" w:rsidR="008056FD" w:rsidRPr="007D089C" w:rsidRDefault="008056FD" w:rsidP="002B197F">
            <w:pPr>
              <w:rPr>
                <w:color w:val="000000"/>
                <w:sz w:val="22"/>
                <w:szCs w:val="22"/>
                <w:lang w:val="en-US"/>
              </w:rPr>
            </w:pPr>
            <w:r w:rsidRPr="007D089C">
              <w:rPr>
                <w:color w:val="000000"/>
                <w:sz w:val="22"/>
                <w:szCs w:val="22"/>
                <w:lang w:val="en-US"/>
              </w:rPr>
              <w:t>Gastric adenocarcinoma</w:t>
            </w:r>
          </w:p>
        </w:tc>
        <w:tc>
          <w:tcPr>
            <w:tcW w:w="1134" w:type="dxa"/>
            <w:tcBorders>
              <w:top w:val="nil"/>
              <w:left w:val="nil"/>
              <w:bottom w:val="single" w:sz="4" w:space="0" w:color="auto"/>
              <w:right w:val="single" w:sz="4" w:space="0" w:color="auto"/>
            </w:tcBorders>
            <w:shd w:val="clear" w:color="auto" w:fill="auto"/>
            <w:noWrap/>
            <w:vAlign w:val="center"/>
            <w:hideMark/>
          </w:tcPr>
          <w:p w14:paraId="544211EC" w14:textId="77777777" w:rsidR="008056FD" w:rsidRPr="007D089C" w:rsidRDefault="008056FD" w:rsidP="002B197F">
            <w:pPr>
              <w:rPr>
                <w:color w:val="000000"/>
                <w:sz w:val="22"/>
                <w:szCs w:val="22"/>
                <w:lang w:val="en-US"/>
              </w:rPr>
            </w:pPr>
            <w:r w:rsidRPr="007D089C">
              <w:rPr>
                <w:color w:val="000000"/>
                <w:sz w:val="22"/>
                <w:szCs w:val="22"/>
                <w:lang w:val="en-US"/>
              </w:rPr>
              <w:t>4-plex iTRAQ</w:t>
            </w:r>
          </w:p>
        </w:tc>
        <w:tc>
          <w:tcPr>
            <w:tcW w:w="938" w:type="dxa"/>
            <w:tcBorders>
              <w:top w:val="nil"/>
              <w:left w:val="nil"/>
              <w:bottom w:val="single" w:sz="4" w:space="0" w:color="auto"/>
              <w:right w:val="single" w:sz="4" w:space="0" w:color="auto"/>
            </w:tcBorders>
            <w:shd w:val="clear" w:color="auto" w:fill="auto"/>
            <w:noWrap/>
            <w:vAlign w:val="center"/>
            <w:hideMark/>
          </w:tcPr>
          <w:p w14:paraId="05B67450" w14:textId="77777777" w:rsidR="008056FD" w:rsidRPr="007D089C" w:rsidRDefault="008056FD" w:rsidP="002B197F">
            <w:pPr>
              <w:jc w:val="right"/>
              <w:rPr>
                <w:color w:val="000000"/>
                <w:sz w:val="22"/>
                <w:szCs w:val="22"/>
                <w:lang w:val="en-US"/>
              </w:rPr>
            </w:pPr>
            <w:r w:rsidRPr="007D089C">
              <w:rPr>
                <w:color w:val="000000"/>
                <w:sz w:val="22"/>
                <w:szCs w:val="22"/>
                <w:lang w:val="en-US"/>
              </w:rPr>
              <w:t>643</w:t>
            </w:r>
          </w:p>
        </w:tc>
      </w:tr>
      <w:tr w:rsidR="008056FD" w:rsidRPr="007D089C" w14:paraId="12BD1A12" w14:textId="77777777" w:rsidTr="002B197F">
        <w:trPr>
          <w:trHeight w:val="300"/>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14:paraId="58B9E854" w14:textId="77777777" w:rsidR="008056FD" w:rsidRPr="007D089C" w:rsidRDefault="008056FD" w:rsidP="002B197F">
            <w:pPr>
              <w:rPr>
                <w:color w:val="000000"/>
                <w:sz w:val="22"/>
                <w:szCs w:val="22"/>
                <w:lang w:val="en-US"/>
              </w:rPr>
            </w:pPr>
            <w:r w:rsidRPr="007D089C">
              <w:rPr>
                <w:color w:val="000000"/>
                <w:sz w:val="22"/>
                <w:szCs w:val="22"/>
                <w:lang w:val="en-US"/>
              </w:rPr>
              <w:t xml:space="preserve">He et al. </w:t>
            </w:r>
          </w:p>
        </w:tc>
        <w:tc>
          <w:tcPr>
            <w:tcW w:w="709" w:type="dxa"/>
            <w:tcBorders>
              <w:top w:val="nil"/>
              <w:left w:val="nil"/>
              <w:bottom w:val="single" w:sz="4" w:space="0" w:color="auto"/>
              <w:right w:val="single" w:sz="4" w:space="0" w:color="auto"/>
            </w:tcBorders>
            <w:shd w:val="clear" w:color="auto" w:fill="auto"/>
            <w:noWrap/>
            <w:vAlign w:val="center"/>
            <w:hideMark/>
          </w:tcPr>
          <w:p w14:paraId="6F12D50D" w14:textId="77777777" w:rsidR="008056FD" w:rsidRPr="007D089C" w:rsidRDefault="008056FD" w:rsidP="002B197F">
            <w:pPr>
              <w:jc w:val="center"/>
              <w:rPr>
                <w:color w:val="000000"/>
                <w:sz w:val="22"/>
                <w:szCs w:val="22"/>
                <w:lang w:val="en-US"/>
              </w:rPr>
            </w:pPr>
            <w:r w:rsidRPr="007D089C">
              <w:rPr>
                <w:color w:val="000000"/>
                <w:sz w:val="22"/>
                <w:szCs w:val="22"/>
                <w:lang w:val="en-US"/>
              </w:rPr>
              <w:t>2014</w:t>
            </w:r>
          </w:p>
        </w:tc>
        <w:tc>
          <w:tcPr>
            <w:tcW w:w="2268" w:type="dxa"/>
            <w:tcBorders>
              <w:top w:val="nil"/>
              <w:left w:val="nil"/>
              <w:bottom w:val="single" w:sz="4" w:space="0" w:color="auto"/>
              <w:right w:val="single" w:sz="4" w:space="0" w:color="auto"/>
            </w:tcBorders>
            <w:shd w:val="clear" w:color="auto" w:fill="auto"/>
            <w:noWrap/>
            <w:vAlign w:val="center"/>
            <w:hideMark/>
          </w:tcPr>
          <w:p w14:paraId="40843B33" w14:textId="77777777" w:rsidR="008056FD" w:rsidRPr="007D089C" w:rsidRDefault="008056FD" w:rsidP="002B197F">
            <w:pPr>
              <w:rPr>
                <w:color w:val="000000"/>
                <w:sz w:val="22"/>
                <w:szCs w:val="22"/>
                <w:lang w:val="en-US"/>
              </w:rPr>
            </w:pPr>
            <w:r w:rsidRPr="007D089C">
              <w:rPr>
                <w:color w:val="000000"/>
                <w:sz w:val="22"/>
                <w:szCs w:val="22"/>
                <w:lang w:val="en-US"/>
              </w:rPr>
              <w:t>Hu14</w:t>
            </w:r>
          </w:p>
        </w:tc>
        <w:tc>
          <w:tcPr>
            <w:tcW w:w="1559" w:type="dxa"/>
            <w:tcBorders>
              <w:top w:val="nil"/>
              <w:left w:val="nil"/>
              <w:bottom w:val="single" w:sz="4" w:space="0" w:color="auto"/>
              <w:right w:val="single" w:sz="4" w:space="0" w:color="auto"/>
            </w:tcBorders>
            <w:shd w:val="clear" w:color="auto" w:fill="auto"/>
            <w:noWrap/>
            <w:vAlign w:val="center"/>
            <w:hideMark/>
          </w:tcPr>
          <w:p w14:paraId="2BDFE786" w14:textId="77777777" w:rsidR="008056FD" w:rsidRPr="007D089C" w:rsidRDefault="008056FD" w:rsidP="002B197F">
            <w:pPr>
              <w:rPr>
                <w:color w:val="000000"/>
                <w:sz w:val="22"/>
                <w:szCs w:val="22"/>
                <w:lang w:val="en-US"/>
              </w:rPr>
            </w:pPr>
            <w:r w:rsidRPr="007D089C">
              <w:rPr>
                <w:color w:val="000000"/>
                <w:sz w:val="22"/>
                <w:szCs w:val="22"/>
                <w:lang w:val="en-US"/>
              </w:rPr>
              <w:t>SCX,</w:t>
            </w:r>
          </w:p>
        </w:tc>
        <w:tc>
          <w:tcPr>
            <w:tcW w:w="2126" w:type="dxa"/>
            <w:tcBorders>
              <w:top w:val="nil"/>
              <w:left w:val="nil"/>
              <w:bottom w:val="single" w:sz="4" w:space="0" w:color="auto"/>
              <w:right w:val="single" w:sz="4" w:space="0" w:color="auto"/>
            </w:tcBorders>
            <w:shd w:val="clear" w:color="auto" w:fill="auto"/>
            <w:noWrap/>
            <w:vAlign w:val="center"/>
            <w:hideMark/>
          </w:tcPr>
          <w:p w14:paraId="47C1CAE8" w14:textId="77777777" w:rsidR="008056FD" w:rsidRPr="007D089C" w:rsidRDefault="008056FD" w:rsidP="002B197F">
            <w:pPr>
              <w:rPr>
                <w:color w:val="000000"/>
                <w:sz w:val="22"/>
                <w:szCs w:val="22"/>
                <w:lang w:val="en-US"/>
              </w:rPr>
            </w:pPr>
            <w:r w:rsidRPr="007D089C">
              <w:rPr>
                <w:color w:val="000000"/>
                <w:sz w:val="22"/>
                <w:szCs w:val="22"/>
                <w:lang w:val="en-US"/>
              </w:rPr>
              <w:t>MALDI , 5800</w:t>
            </w:r>
          </w:p>
        </w:tc>
        <w:tc>
          <w:tcPr>
            <w:tcW w:w="2693" w:type="dxa"/>
            <w:tcBorders>
              <w:top w:val="nil"/>
              <w:left w:val="nil"/>
              <w:bottom w:val="single" w:sz="4" w:space="0" w:color="auto"/>
              <w:right w:val="single" w:sz="4" w:space="0" w:color="auto"/>
            </w:tcBorders>
            <w:shd w:val="clear" w:color="auto" w:fill="auto"/>
            <w:noWrap/>
            <w:vAlign w:val="center"/>
            <w:hideMark/>
          </w:tcPr>
          <w:p w14:paraId="70920E34" w14:textId="77777777" w:rsidR="008056FD" w:rsidRPr="007D089C" w:rsidRDefault="008056FD" w:rsidP="002B197F">
            <w:pPr>
              <w:rPr>
                <w:color w:val="000000"/>
                <w:sz w:val="22"/>
                <w:szCs w:val="22"/>
                <w:lang w:val="en-US"/>
              </w:rPr>
            </w:pPr>
            <w:r w:rsidRPr="007D089C">
              <w:rPr>
                <w:color w:val="000000"/>
                <w:sz w:val="22"/>
                <w:szCs w:val="22"/>
                <w:lang w:val="en-US"/>
              </w:rPr>
              <w:t>Hepatocellular carcinoma</w:t>
            </w:r>
          </w:p>
        </w:tc>
        <w:tc>
          <w:tcPr>
            <w:tcW w:w="1134" w:type="dxa"/>
            <w:tcBorders>
              <w:top w:val="nil"/>
              <w:left w:val="nil"/>
              <w:bottom w:val="single" w:sz="4" w:space="0" w:color="auto"/>
              <w:right w:val="single" w:sz="4" w:space="0" w:color="auto"/>
            </w:tcBorders>
            <w:shd w:val="clear" w:color="auto" w:fill="auto"/>
            <w:noWrap/>
            <w:vAlign w:val="center"/>
            <w:hideMark/>
          </w:tcPr>
          <w:p w14:paraId="2E37DE9F" w14:textId="77777777" w:rsidR="008056FD" w:rsidRPr="007D089C" w:rsidRDefault="008056FD" w:rsidP="002B197F">
            <w:pPr>
              <w:rPr>
                <w:color w:val="000000"/>
                <w:sz w:val="22"/>
                <w:szCs w:val="22"/>
                <w:lang w:val="en-US"/>
              </w:rPr>
            </w:pPr>
            <w:r w:rsidRPr="007D089C">
              <w:rPr>
                <w:color w:val="000000"/>
                <w:sz w:val="22"/>
                <w:szCs w:val="22"/>
                <w:lang w:val="en-US"/>
              </w:rPr>
              <w:t>4-plex iTRAQ</w:t>
            </w:r>
          </w:p>
        </w:tc>
        <w:tc>
          <w:tcPr>
            <w:tcW w:w="938" w:type="dxa"/>
            <w:tcBorders>
              <w:top w:val="nil"/>
              <w:left w:val="nil"/>
              <w:bottom w:val="single" w:sz="4" w:space="0" w:color="auto"/>
              <w:right w:val="single" w:sz="4" w:space="0" w:color="auto"/>
            </w:tcBorders>
            <w:shd w:val="clear" w:color="auto" w:fill="auto"/>
            <w:noWrap/>
            <w:vAlign w:val="center"/>
            <w:hideMark/>
          </w:tcPr>
          <w:p w14:paraId="30644BCF" w14:textId="77777777" w:rsidR="008056FD" w:rsidRPr="007D089C" w:rsidRDefault="008056FD" w:rsidP="002B197F">
            <w:pPr>
              <w:jc w:val="right"/>
              <w:rPr>
                <w:color w:val="000000"/>
                <w:sz w:val="22"/>
                <w:szCs w:val="22"/>
                <w:lang w:val="en-US"/>
              </w:rPr>
            </w:pPr>
            <w:r w:rsidRPr="007D089C">
              <w:rPr>
                <w:color w:val="000000"/>
                <w:sz w:val="22"/>
                <w:szCs w:val="22"/>
                <w:lang w:val="en-US"/>
              </w:rPr>
              <w:t>271</w:t>
            </w:r>
          </w:p>
        </w:tc>
      </w:tr>
      <w:tr w:rsidR="008056FD" w:rsidRPr="007D089C" w14:paraId="0CBFB4A4" w14:textId="77777777" w:rsidTr="002B197F">
        <w:trPr>
          <w:trHeight w:val="300"/>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14:paraId="7B9DDE28" w14:textId="77777777" w:rsidR="008056FD" w:rsidRPr="007D089C" w:rsidRDefault="008056FD" w:rsidP="002B197F">
            <w:pPr>
              <w:rPr>
                <w:color w:val="000000"/>
                <w:sz w:val="22"/>
                <w:szCs w:val="22"/>
                <w:lang w:val="en-US"/>
              </w:rPr>
            </w:pPr>
            <w:r w:rsidRPr="007D089C">
              <w:rPr>
                <w:color w:val="000000"/>
                <w:sz w:val="22"/>
                <w:szCs w:val="22"/>
                <w:lang w:val="en-US"/>
              </w:rPr>
              <w:t xml:space="preserve">Meng et al. </w:t>
            </w:r>
          </w:p>
        </w:tc>
        <w:tc>
          <w:tcPr>
            <w:tcW w:w="709" w:type="dxa"/>
            <w:tcBorders>
              <w:top w:val="nil"/>
              <w:left w:val="nil"/>
              <w:bottom w:val="single" w:sz="4" w:space="0" w:color="auto"/>
              <w:right w:val="single" w:sz="4" w:space="0" w:color="auto"/>
            </w:tcBorders>
            <w:shd w:val="clear" w:color="auto" w:fill="auto"/>
            <w:noWrap/>
            <w:vAlign w:val="center"/>
            <w:hideMark/>
          </w:tcPr>
          <w:p w14:paraId="72609884" w14:textId="77777777" w:rsidR="008056FD" w:rsidRPr="007D089C" w:rsidRDefault="008056FD" w:rsidP="002B197F">
            <w:pPr>
              <w:jc w:val="center"/>
              <w:rPr>
                <w:color w:val="000000"/>
                <w:sz w:val="22"/>
                <w:szCs w:val="22"/>
                <w:lang w:val="en-US"/>
              </w:rPr>
            </w:pPr>
            <w:r w:rsidRPr="007D089C">
              <w:rPr>
                <w:color w:val="000000"/>
                <w:sz w:val="22"/>
                <w:szCs w:val="22"/>
                <w:lang w:val="en-US"/>
              </w:rPr>
              <w:t>2011</w:t>
            </w:r>
          </w:p>
        </w:tc>
        <w:tc>
          <w:tcPr>
            <w:tcW w:w="2268" w:type="dxa"/>
            <w:tcBorders>
              <w:top w:val="nil"/>
              <w:left w:val="nil"/>
              <w:bottom w:val="single" w:sz="4" w:space="0" w:color="auto"/>
              <w:right w:val="single" w:sz="4" w:space="0" w:color="auto"/>
            </w:tcBorders>
            <w:shd w:val="clear" w:color="auto" w:fill="auto"/>
            <w:noWrap/>
            <w:vAlign w:val="center"/>
            <w:hideMark/>
          </w:tcPr>
          <w:p w14:paraId="7EC8070C" w14:textId="77777777" w:rsidR="008056FD" w:rsidRPr="007D089C" w:rsidRDefault="008056FD" w:rsidP="002B197F">
            <w:pPr>
              <w:rPr>
                <w:color w:val="000000"/>
                <w:sz w:val="22"/>
                <w:szCs w:val="22"/>
                <w:lang w:val="en-US"/>
              </w:rPr>
            </w:pPr>
            <w:r w:rsidRPr="007D089C">
              <w:rPr>
                <w:color w:val="000000"/>
                <w:sz w:val="22"/>
                <w:szCs w:val="22"/>
                <w:lang w:val="en-US"/>
              </w:rPr>
              <w:t>ProteoMiner</w:t>
            </w:r>
          </w:p>
        </w:tc>
        <w:tc>
          <w:tcPr>
            <w:tcW w:w="1559" w:type="dxa"/>
            <w:tcBorders>
              <w:top w:val="nil"/>
              <w:left w:val="nil"/>
              <w:bottom w:val="single" w:sz="4" w:space="0" w:color="auto"/>
              <w:right w:val="single" w:sz="4" w:space="0" w:color="auto"/>
            </w:tcBorders>
            <w:shd w:val="clear" w:color="auto" w:fill="auto"/>
            <w:noWrap/>
            <w:vAlign w:val="center"/>
            <w:hideMark/>
          </w:tcPr>
          <w:p w14:paraId="5AC34461" w14:textId="77777777" w:rsidR="008056FD" w:rsidRPr="007D089C" w:rsidRDefault="008056FD" w:rsidP="002B197F">
            <w:pPr>
              <w:rPr>
                <w:color w:val="000000"/>
                <w:sz w:val="22"/>
                <w:szCs w:val="22"/>
                <w:lang w:val="en-US"/>
              </w:rPr>
            </w:pPr>
            <w:r w:rsidRPr="007D089C">
              <w:rPr>
                <w:color w:val="000000"/>
                <w:sz w:val="22"/>
                <w:szCs w:val="22"/>
                <w:lang w:val="en-US"/>
              </w:rPr>
              <w:t xml:space="preserve">SCX </w:t>
            </w:r>
          </w:p>
        </w:tc>
        <w:tc>
          <w:tcPr>
            <w:tcW w:w="2126" w:type="dxa"/>
            <w:tcBorders>
              <w:top w:val="nil"/>
              <w:left w:val="nil"/>
              <w:bottom w:val="single" w:sz="4" w:space="0" w:color="auto"/>
              <w:right w:val="single" w:sz="4" w:space="0" w:color="auto"/>
            </w:tcBorders>
            <w:shd w:val="clear" w:color="auto" w:fill="auto"/>
            <w:noWrap/>
            <w:vAlign w:val="center"/>
            <w:hideMark/>
          </w:tcPr>
          <w:p w14:paraId="1023222C" w14:textId="77777777" w:rsidR="008056FD" w:rsidRPr="007D089C" w:rsidRDefault="008056FD" w:rsidP="002B197F">
            <w:pPr>
              <w:rPr>
                <w:color w:val="000000"/>
                <w:sz w:val="22"/>
                <w:szCs w:val="22"/>
                <w:lang w:val="en-US"/>
              </w:rPr>
            </w:pPr>
            <w:r w:rsidRPr="007D089C">
              <w:rPr>
                <w:color w:val="000000"/>
                <w:sz w:val="22"/>
                <w:szCs w:val="22"/>
                <w:lang w:val="en-US"/>
              </w:rPr>
              <w:t>Agilent 6520 qTOF</w:t>
            </w:r>
          </w:p>
        </w:tc>
        <w:tc>
          <w:tcPr>
            <w:tcW w:w="2693" w:type="dxa"/>
            <w:tcBorders>
              <w:top w:val="nil"/>
              <w:left w:val="nil"/>
              <w:bottom w:val="single" w:sz="4" w:space="0" w:color="auto"/>
              <w:right w:val="single" w:sz="4" w:space="0" w:color="auto"/>
            </w:tcBorders>
            <w:shd w:val="clear" w:color="auto" w:fill="auto"/>
            <w:noWrap/>
            <w:vAlign w:val="center"/>
            <w:hideMark/>
          </w:tcPr>
          <w:p w14:paraId="2EE298CC" w14:textId="77777777" w:rsidR="008056FD" w:rsidRPr="007D089C" w:rsidRDefault="008056FD" w:rsidP="002B197F">
            <w:pPr>
              <w:rPr>
                <w:color w:val="000000"/>
                <w:sz w:val="22"/>
                <w:szCs w:val="22"/>
                <w:lang w:val="en-US"/>
              </w:rPr>
            </w:pPr>
            <w:r w:rsidRPr="007D089C">
              <w:rPr>
                <w:color w:val="000000"/>
                <w:sz w:val="22"/>
                <w:szCs w:val="22"/>
                <w:lang w:val="en-US"/>
              </w:rPr>
              <w:t>Breast cancer</w:t>
            </w:r>
          </w:p>
        </w:tc>
        <w:tc>
          <w:tcPr>
            <w:tcW w:w="1134" w:type="dxa"/>
            <w:tcBorders>
              <w:top w:val="nil"/>
              <w:left w:val="nil"/>
              <w:bottom w:val="single" w:sz="4" w:space="0" w:color="auto"/>
              <w:right w:val="single" w:sz="4" w:space="0" w:color="auto"/>
            </w:tcBorders>
            <w:shd w:val="clear" w:color="auto" w:fill="auto"/>
            <w:noWrap/>
            <w:vAlign w:val="center"/>
            <w:hideMark/>
          </w:tcPr>
          <w:p w14:paraId="460CA765" w14:textId="77777777" w:rsidR="008056FD" w:rsidRPr="007D089C" w:rsidRDefault="008056FD" w:rsidP="002B197F">
            <w:pPr>
              <w:rPr>
                <w:color w:val="000000"/>
                <w:sz w:val="22"/>
                <w:szCs w:val="22"/>
                <w:lang w:val="en-US"/>
              </w:rPr>
            </w:pPr>
            <w:r w:rsidRPr="007D089C">
              <w:rPr>
                <w:color w:val="000000"/>
                <w:sz w:val="22"/>
                <w:szCs w:val="22"/>
                <w:lang w:val="en-US"/>
              </w:rPr>
              <w:t>8-plex iTRAQ</w:t>
            </w:r>
          </w:p>
        </w:tc>
        <w:tc>
          <w:tcPr>
            <w:tcW w:w="938" w:type="dxa"/>
            <w:tcBorders>
              <w:top w:val="nil"/>
              <w:left w:val="nil"/>
              <w:bottom w:val="single" w:sz="4" w:space="0" w:color="auto"/>
              <w:right w:val="single" w:sz="4" w:space="0" w:color="auto"/>
            </w:tcBorders>
            <w:shd w:val="clear" w:color="auto" w:fill="auto"/>
            <w:noWrap/>
            <w:vAlign w:val="center"/>
            <w:hideMark/>
          </w:tcPr>
          <w:p w14:paraId="6E7EACFF" w14:textId="77777777" w:rsidR="008056FD" w:rsidRPr="007D089C" w:rsidRDefault="008056FD" w:rsidP="002B197F">
            <w:pPr>
              <w:jc w:val="right"/>
              <w:rPr>
                <w:color w:val="000000"/>
                <w:sz w:val="22"/>
                <w:szCs w:val="22"/>
                <w:lang w:val="en-US"/>
              </w:rPr>
            </w:pPr>
            <w:r w:rsidRPr="007D089C">
              <w:rPr>
                <w:color w:val="000000"/>
                <w:sz w:val="22"/>
                <w:szCs w:val="22"/>
                <w:lang w:val="en-US"/>
              </w:rPr>
              <w:t>397</w:t>
            </w:r>
          </w:p>
        </w:tc>
      </w:tr>
      <w:tr w:rsidR="008056FD" w:rsidRPr="007D089C" w14:paraId="5E5D60DD" w14:textId="77777777" w:rsidTr="002B197F">
        <w:trPr>
          <w:trHeight w:val="300"/>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14:paraId="3181B0C0" w14:textId="77777777" w:rsidR="008056FD" w:rsidRPr="007D089C" w:rsidRDefault="008056FD" w:rsidP="002B197F">
            <w:pPr>
              <w:rPr>
                <w:color w:val="000000"/>
                <w:sz w:val="22"/>
                <w:szCs w:val="22"/>
                <w:lang w:val="en-US"/>
              </w:rPr>
            </w:pPr>
            <w:r w:rsidRPr="007D089C">
              <w:rPr>
                <w:color w:val="000000"/>
                <w:sz w:val="22"/>
                <w:szCs w:val="22"/>
                <w:lang w:val="en-US"/>
              </w:rPr>
              <w:t>Wang,C, et al.</w:t>
            </w:r>
          </w:p>
        </w:tc>
        <w:tc>
          <w:tcPr>
            <w:tcW w:w="709" w:type="dxa"/>
            <w:tcBorders>
              <w:top w:val="nil"/>
              <w:left w:val="nil"/>
              <w:bottom w:val="single" w:sz="4" w:space="0" w:color="auto"/>
              <w:right w:val="single" w:sz="4" w:space="0" w:color="auto"/>
            </w:tcBorders>
            <w:shd w:val="clear" w:color="auto" w:fill="auto"/>
            <w:noWrap/>
            <w:vAlign w:val="center"/>
            <w:hideMark/>
          </w:tcPr>
          <w:p w14:paraId="57667FEE" w14:textId="77777777" w:rsidR="008056FD" w:rsidRPr="007D089C" w:rsidRDefault="008056FD" w:rsidP="002B197F">
            <w:pPr>
              <w:jc w:val="center"/>
              <w:rPr>
                <w:color w:val="000000"/>
                <w:sz w:val="22"/>
                <w:szCs w:val="22"/>
                <w:lang w:val="en-US"/>
              </w:rPr>
            </w:pPr>
            <w:r w:rsidRPr="007D089C">
              <w:rPr>
                <w:color w:val="000000"/>
                <w:sz w:val="22"/>
                <w:szCs w:val="22"/>
                <w:lang w:val="en-US"/>
              </w:rPr>
              <w:t>2011</w:t>
            </w:r>
          </w:p>
        </w:tc>
        <w:tc>
          <w:tcPr>
            <w:tcW w:w="2268" w:type="dxa"/>
            <w:tcBorders>
              <w:top w:val="nil"/>
              <w:left w:val="nil"/>
              <w:bottom w:val="single" w:sz="4" w:space="0" w:color="auto"/>
              <w:right w:val="single" w:sz="4" w:space="0" w:color="auto"/>
            </w:tcBorders>
            <w:shd w:val="clear" w:color="auto" w:fill="auto"/>
            <w:noWrap/>
            <w:vAlign w:val="center"/>
            <w:hideMark/>
          </w:tcPr>
          <w:p w14:paraId="1246A08F" w14:textId="77777777" w:rsidR="008056FD" w:rsidRPr="007D089C" w:rsidRDefault="008056FD" w:rsidP="002B197F">
            <w:pPr>
              <w:rPr>
                <w:color w:val="000000"/>
                <w:sz w:val="22"/>
                <w:szCs w:val="22"/>
                <w:lang w:val="en-US"/>
              </w:rPr>
            </w:pPr>
            <w:r w:rsidRPr="007D089C">
              <w:rPr>
                <w:color w:val="000000"/>
                <w:sz w:val="22"/>
                <w:szCs w:val="22"/>
                <w:lang w:val="en-US"/>
              </w:rPr>
              <w:t>MARS3 (mouse)</w:t>
            </w:r>
          </w:p>
        </w:tc>
        <w:tc>
          <w:tcPr>
            <w:tcW w:w="1559" w:type="dxa"/>
            <w:tcBorders>
              <w:top w:val="nil"/>
              <w:left w:val="nil"/>
              <w:bottom w:val="single" w:sz="4" w:space="0" w:color="auto"/>
              <w:right w:val="single" w:sz="4" w:space="0" w:color="auto"/>
            </w:tcBorders>
            <w:shd w:val="clear" w:color="auto" w:fill="auto"/>
            <w:noWrap/>
            <w:vAlign w:val="center"/>
            <w:hideMark/>
          </w:tcPr>
          <w:p w14:paraId="3A8A5249" w14:textId="77777777" w:rsidR="008056FD" w:rsidRPr="007D089C" w:rsidRDefault="008056FD" w:rsidP="002B197F">
            <w:pPr>
              <w:rPr>
                <w:color w:val="000000"/>
                <w:sz w:val="22"/>
                <w:szCs w:val="22"/>
                <w:lang w:val="en-US"/>
              </w:rPr>
            </w:pPr>
            <w:r w:rsidRPr="007D089C">
              <w:rPr>
                <w:color w:val="000000"/>
                <w:sz w:val="22"/>
                <w:szCs w:val="22"/>
                <w:lang w:val="en-US"/>
              </w:rPr>
              <w:t>SCX</w:t>
            </w:r>
          </w:p>
        </w:tc>
        <w:tc>
          <w:tcPr>
            <w:tcW w:w="2126" w:type="dxa"/>
            <w:tcBorders>
              <w:top w:val="nil"/>
              <w:left w:val="nil"/>
              <w:bottom w:val="single" w:sz="4" w:space="0" w:color="auto"/>
              <w:right w:val="single" w:sz="4" w:space="0" w:color="auto"/>
            </w:tcBorders>
            <w:shd w:val="clear" w:color="auto" w:fill="auto"/>
            <w:noWrap/>
            <w:vAlign w:val="center"/>
            <w:hideMark/>
          </w:tcPr>
          <w:p w14:paraId="6783872B" w14:textId="77777777" w:rsidR="008056FD" w:rsidRPr="007D089C" w:rsidRDefault="008056FD" w:rsidP="002B197F">
            <w:pPr>
              <w:rPr>
                <w:color w:val="000000"/>
                <w:sz w:val="22"/>
                <w:szCs w:val="22"/>
                <w:lang w:val="en-US"/>
              </w:rPr>
            </w:pPr>
            <w:r w:rsidRPr="007D089C">
              <w:rPr>
                <w:color w:val="000000"/>
                <w:sz w:val="22"/>
                <w:szCs w:val="22"/>
                <w:lang w:val="en-US"/>
              </w:rPr>
              <w:t xml:space="preserve"> QSTAR XL TOF</w:t>
            </w:r>
          </w:p>
        </w:tc>
        <w:tc>
          <w:tcPr>
            <w:tcW w:w="2693" w:type="dxa"/>
            <w:tcBorders>
              <w:top w:val="nil"/>
              <w:left w:val="nil"/>
              <w:bottom w:val="single" w:sz="4" w:space="0" w:color="auto"/>
              <w:right w:val="single" w:sz="4" w:space="0" w:color="auto"/>
            </w:tcBorders>
            <w:shd w:val="clear" w:color="auto" w:fill="auto"/>
            <w:noWrap/>
            <w:vAlign w:val="center"/>
            <w:hideMark/>
          </w:tcPr>
          <w:p w14:paraId="3BE575DB" w14:textId="77777777" w:rsidR="008056FD" w:rsidRPr="007D089C" w:rsidRDefault="008056FD" w:rsidP="002B197F">
            <w:pPr>
              <w:rPr>
                <w:color w:val="000000"/>
                <w:sz w:val="22"/>
                <w:szCs w:val="22"/>
                <w:lang w:val="en-US"/>
              </w:rPr>
            </w:pPr>
            <w:r w:rsidRPr="007D089C">
              <w:rPr>
                <w:color w:val="000000"/>
                <w:sz w:val="22"/>
                <w:szCs w:val="22"/>
                <w:lang w:val="en-US"/>
              </w:rPr>
              <w:t xml:space="preserve">Hepatocellular carcinoma </w:t>
            </w:r>
          </w:p>
        </w:tc>
        <w:tc>
          <w:tcPr>
            <w:tcW w:w="1134" w:type="dxa"/>
            <w:tcBorders>
              <w:top w:val="nil"/>
              <w:left w:val="nil"/>
              <w:bottom w:val="single" w:sz="4" w:space="0" w:color="auto"/>
              <w:right w:val="single" w:sz="4" w:space="0" w:color="auto"/>
            </w:tcBorders>
            <w:shd w:val="clear" w:color="auto" w:fill="auto"/>
            <w:noWrap/>
            <w:vAlign w:val="center"/>
            <w:hideMark/>
          </w:tcPr>
          <w:p w14:paraId="6CE72859" w14:textId="77777777" w:rsidR="008056FD" w:rsidRPr="007D089C" w:rsidRDefault="008056FD" w:rsidP="002B197F">
            <w:pPr>
              <w:rPr>
                <w:color w:val="000000"/>
                <w:sz w:val="22"/>
                <w:szCs w:val="22"/>
                <w:lang w:val="en-US"/>
              </w:rPr>
            </w:pPr>
            <w:r w:rsidRPr="007D089C">
              <w:rPr>
                <w:color w:val="000000"/>
                <w:sz w:val="22"/>
                <w:szCs w:val="22"/>
                <w:lang w:val="en-US"/>
              </w:rPr>
              <w:t>4-plex iTRAQ</w:t>
            </w:r>
          </w:p>
        </w:tc>
        <w:tc>
          <w:tcPr>
            <w:tcW w:w="938" w:type="dxa"/>
            <w:tcBorders>
              <w:top w:val="nil"/>
              <w:left w:val="nil"/>
              <w:bottom w:val="single" w:sz="4" w:space="0" w:color="auto"/>
              <w:right w:val="single" w:sz="4" w:space="0" w:color="auto"/>
            </w:tcBorders>
            <w:shd w:val="clear" w:color="auto" w:fill="auto"/>
            <w:noWrap/>
            <w:vAlign w:val="center"/>
            <w:hideMark/>
          </w:tcPr>
          <w:p w14:paraId="7B03DDB5" w14:textId="77777777" w:rsidR="008056FD" w:rsidRPr="007D089C" w:rsidRDefault="008056FD" w:rsidP="002B197F">
            <w:pPr>
              <w:jc w:val="right"/>
              <w:rPr>
                <w:color w:val="000000"/>
                <w:sz w:val="22"/>
                <w:szCs w:val="22"/>
                <w:lang w:val="en-US"/>
              </w:rPr>
            </w:pPr>
            <w:r w:rsidRPr="007D089C">
              <w:rPr>
                <w:color w:val="000000"/>
                <w:sz w:val="22"/>
                <w:szCs w:val="22"/>
                <w:lang w:val="en-US"/>
              </w:rPr>
              <w:t>554</w:t>
            </w:r>
          </w:p>
        </w:tc>
      </w:tr>
      <w:tr w:rsidR="008056FD" w:rsidRPr="007D089C" w14:paraId="3F5BF1BD" w14:textId="77777777" w:rsidTr="002B197F">
        <w:trPr>
          <w:trHeight w:val="300"/>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14:paraId="3F59DEB8" w14:textId="77777777" w:rsidR="008056FD" w:rsidRPr="007D089C" w:rsidRDefault="008056FD" w:rsidP="002B197F">
            <w:pPr>
              <w:rPr>
                <w:color w:val="000000"/>
                <w:sz w:val="22"/>
                <w:szCs w:val="22"/>
                <w:lang w:val="en-US"/>
              </w:rPr>
            </w:pPr>
            <w:r w:rsidRPr="007D089C">
              <w:rPr>
                <w:color w:val="000000"/>
                <w:sz w:val="22"/>
                <w:szCs w:val="22"/>
                <w:lang w:val="en-US"/>
              </w:rPr>
              <w:t>Zhang F, et al.</w:t>
            </w:r>
          </w:p>
        </w:tc>
        <w:tc>
          <w:tcPr>
            <w:tcW w:w="709" w:type="dxa"/>
            <w:tcBorders>
              <w:top w:val="nil"/>
              <w:left w:val="nil"/>
              <w:bottom w:val="single" w:sz="4" w:space="0" w:color="auto"/>
              <w:right w:val="single" w:sz="4" w:space="0" w:color="auto"/>
            </w:tcBorders>
            <w:shd w:val="clear" w:color="auto" w:fill="auto"/>
            <w:noWrap/>
            <w:vAlign w:val="center"/>
            <w:hideMark/>
          </w:tcPr>
          <w:p w14:paraId="75C209EA" w14:textId="77777777" w:rsidR="008056FD" w:rsidRPr="007D089C" w:rsidRDefault="008056FD" w:rsidP="002B197F">
            <w:pPr>
              <w:jc w:val="center"/>
              <w:rPr>
                <w:color w:val="000000"/>
                <w:sz w:val="22"/>
                <w:szCs w:val="22"/>
                <w:lang w:val="en-US"/>
              </w:rPr>
            </w:pPr>
            <w:r w:rsidRPr="007D089C">
              <w:rPr>
                <w:color w:val="000000"/>
                <w:sz w:val="22"/>
                <w:szCs w:val="22"/>
                <w:lang w:val="en-US"/>
              </w:rPr>
              <w:t>2014</w:t>
            </w:r>
          </w:p>
        </w:tc>
        <w:tc>
          <w:tcPr>
            <w:tcW w:w="2268" w:type="dxa"/>
            <w:tcBorders>
              <w:top w:val="nil"/>
              <w:left w:val="nil"/>
              <w:bottom w:val="single" w:sz="4" w:space="0" w:color="auto"/>
              <w:right w:val="single" w:sz="4" w:space="0" w:color="auto"/>
            </w:tcBorders>
            <w:shd w:val="clear" w:color="auto" w:fill="auto"/>
            <w:noWrap/>
            <w:vAlign w:val="center"/>
            <w:hideMark/>
          </w:tcPr>
          <w:p w14:paraId="30034461" w14:textId="77777777" w:rsidR="008056FD" w:rsidRPr="007D089C" w:rsidRDefault="008056FD" w:rsidP="002B197F">
            <w:pPr>
              <w:rPr>
                <w:color w:val="000000"/>
                <w:sz w:val="22"/>
                <w:szCs w:val="22"/>
                <w:lang w:val="en-US"/>
              </w:rPr>
            </w:pPr>
            <w:r w:rsidRPr="007D089C">
              <w:rPr>
                <w:color w:val="000000"/>
                <w:sz w:val="22"/>
                <w:szCs w:val="22"/>
                <w:lang w:val="en-US"/>
              </w:rPr>
              <w:t>Hu14</w:t>
            </w:r>
          </w:p>
        </w:tc>
        <w:tc>
          <w:tcPr>
            <w:tcW w:w="1559" w:type="dxa"/>
            <w:tcBorders>
              <w:top w:val="nil"/>
              <w:left w:val="nil"/>
              <w:bottom w:val="single" w:sz="4" w:space="0" w:color="auto"/>
              <w:right w:val="single" w:sz="4" w:space="0" w:color="auto"/>
            </w:tcBorders>
            <w:shd w:val="clear" w:color="auto" w:fill="auto"/>
            <w:noWrap/>
            <w:vAlign w:val="center"/>
            <w:hideMark/>
          </w:tcPr>
          <w:p w14:paraId="08630626" w14:textId="77777777" w:rsidR="008056FD" w:rsidRPr="007D089C" w:rsidRDefault="008056FD" w:rsidP="002B197F">
            <w:pPr>
              <w:rPr>
                <w:color w:val="000000"/>
                <w:sz w:val="22"/>
                <w:szCs w:val="22"/>
                <w:lang w:val="en-US"/>
              </w:rPr>
            </w:pPr>
            <w:r w:rsidRPr="007D089C">
              <w:rPr>
                <w:color w:val="000000"/>
                <w:sz w:val="22"/>
                <w:szCs w:val="22"/>
                <w:lang w:val="en-US"/>
              </w:rPr>
              <w:t xml:space="preserve">High pH RP, </w:t>
            </w:r>
          </w:p>
        </w:tc>
        <w:tc>
          <w:tcPr>
            <w:tcW w:w="2126" w:type="dxa"/>
            <w:tcBorders>
              <w:top w:val="nil"/>
              <w:left w:val="nil"/>
              <w:bottom w:val="single" w:sz="4" w:space="0" w:color="auto"/>
              <w:right w:val="single" w:sz="4" w:space="0" w:color="auto"/>
            </w:tcBorders>
            <w:shd w:val="clear" w:color="auto" w:fill="auto"/>
            <w:noWrap/>
            <w:vAlign w:val="center"/>
            <w:hideMark/>
          </w:tcPr>
          <w:p w14:paraId="59EF892A" w14:textId="77777777" w:rsidR="008056FD" w:rsidRPr="007D089C" w:rsidRDefault="008056FD" w:rsidP="002B197F">
            <w:pPr>
              <w:rPr>
                <w:color w:val="000000"/>
                <w:sz w:val="22"/>
                <w:szCs w:val="22"/>
                <w:lang w:val="en-US"/>
              </w:rPr>
            </w:pPr>
            <w:r w:rsidRPr="007D089C">
              <w:rPr>
                <w:color w:val="000000"/>
                <w:sz w:val="22"/>
                <w:szCs w:val="22"/>
                <w:lang w:val="en-US"/>
              </w:rPr>
              <w:t>TripleTOF 5600</w:t>
            </w:r>
          </w:p>
        </w:tc>
        <w:tc>
          <w:tcPr>
            <w:tcW w:w="2693" w:type="dxa"/>
            <w:tcBorders>
              <w:top w:val="nil"/>
              <w:left w:val="nil"/>
              <w:bottom w:val="single" w:sz="4" w:space="0" w:color="auto"/>
              <w:right w:val="single" w:sz="4" w:space="0" w:color="auto"/>
            </w:tcBorders>
            <w:shd w:val="clear" w:color="auto" w:fill="auto"/>
            <w:noWrap/>
            <w:vAlign w:val="center"/>
            <w:hideMark/>
          </w:tcPr>
          <w:p w14:paraId="556DF449" w14:textId="77777777" w:rsidR="008056FD" w:rsidRPr="007D089C" w:rsidRDefault="008056FD" w:rsidP="002B197F">
            <w:pPr>
              <w:rPr>
                <w:color w:val="000000"/>
                <w:sz w:val="22"/>
                <w:szCs w:val="22"/>
                <w:lang w:val="en-US"/>
              </w:rPr>
            </w:pPr>
            <w:r w:rsidRPr="007D089C">
              <w:rPr>
                <w:bCs/>
                <w:color w:val="000000"/>
                <w:sz w:val="22"/>
                <w:szCs w:val="22"/>
                <w:lang w:val="en-US"/>
              </w:rPr>
              <w:t>Lung cancer</w:t>
            </w:r>
          </w:p>
        </w:tc>
        <w:tc>
          <w:tcPr>
            <w:tcW w:w="1134" w:type="dxa"/>
            <w:tcBorders>
              <w:top w:val="nil"/>
              <w:left w:val="nil"/>
              <w:bottom w:val="single" w:sz="4" w:space="0" w:color="auto"/>
              <w:right w:val="single" w:sz="4" w:space="0" w:color="auto"/>
            </w:tcBorders>
            <w:shd w:val="clear" w:color="auto" w:fill="auto"/>
            <w:noWrap/>
            <w:vAlign w:val="center"/>
            <w:hideMark/>
          </w:tcPr>
          <w:p w14:paraId="7641812A" w14:textId="77777777" w:rsidR="008056FD" w:rsidRPr="007D089C" w:rsidRDefault="008056FD" w:rsidP="002B197F">
            <w:pPr>
              <w:rPr>
                <w:color w:val="000000"/>
                <w:sz w:val="22"/>
                <w:szCs w:val="22"/>
                <w:lang w:val="en-US"/>
              </w:rPr>
            </w:pPr>
            <w:r w:rsidRPr="007D089C">
              <w:rPr>
                <w:color w:val="000000"/>
                <w:sz w:val="22"/>
                <w:szCs w:val="22"/>
                <w:lang w:val="en-US"/>
              </w:rPr>
              <w:t>4-plex iTRAQ</w:t>
            </w:r>
          </w:p>
        </w:tc>
        <w:tc>
          <w:tcPr>
            <w:tcW w:w="938" w:type="dxa"/>
            <w:tcBorders>
              <w:top w:val="nil"/>
              <w:left w:val="nil"/>
              <w:bottom w:val="single" w:sz="4" w:space="0" w:color="auto"/>
              <w:right w:val="single" w:sz="4" w:space="0" w:color="auto"/>
            </w:tcBorders>
            <w:shd w:val="clear" w:color="auto" w:fill="auto"/>
            <w:noWrap/>
            <w:vAlign w:val="center"/>
            <w:hideMark/>
          </w:tcPr>
          <w:p w14:paraId="4A0510A2" w14:textId="77777777" w:rsidR="008056FD" w:rsidRPr="007D089C" w:rsidRDefault="008056FD" w:rsidP="002B197F">
            <w:pPr>
              <w:jc w:val="right"/>
              <w:rPr>
                <w:color w:val="000000"/>
                <w:sz w:val="22"/>
                <w:szCs w:val="22"/>
                <w:lang w:val="en-US"/>
              </w:rPr>
            </w:pPr>
            <w:r w:rsidRPr="007D089C">
              <w:rPr>
                <w:color w:val="000000"/>
                <w:sz w:val="22"/>
                <w:szCs w:val="22"/>
                <w:lang w:val="en-US"/>
              </w:rPr>
              <w:t>316</w:t>
            </w:r>
          </w:p>
        </w:tc>
      </w:tr>
      <w:tr w:rsidR="008056FD" w:rsidRPr="007D089C" w14:paraId="704C21C1" w14:textId="77777777" w:rsidTr="002B197F">
        <w:trPr>
          <w:trHeight w:val="300"/>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14:paraId="4555C629" w14:textId="77777777" w:rsidR="008056FD" w:rsidRPr="007D089C" w:rsidRDefault="008056FD" w:rsidP="002B197F">
            <w:pPr>
              <w:rPr>
                <w:color w:val="000000"/>
                <w:sz w:val="22"/>
                <w:szCs w:val="22"/>
                <w:lang w:val="en-US"/>
              </w:rPr>
            </w:pPr>
            <w:r w:rsidRPr="007D089C">
              <w:rPr>
                <w:color w:val="000000"/>
                <w:sz w:val="22"/>
                <w:szCs w:val="22"/>
                <w:lang w:val="en-US"/>
              </w:rPr>
              <w:t>Liu Y, et al.</w:t>
            </w:r>
          </w:p>
        </w:tc>
        <w:tc>
          <w:tcPr>
            <w:tcW w:w="709" w:type="dxa"/>
            <w:tcBorders>
              <w:top w:val="nil"/>
              <w:left w:val="nil"/>
              <w:bottom w:val="single" w:sz="4" w:space="0" w:color="auto"/>
              <w:right w:val="single" w:sz="4" w:space="0" w:color="auto"/>
            </w:tcBorders>
            <w:shd w:val="clear" w:color="auto" w:fill="auto"/>
            <w:noWrap/>
            <w:vAlign w:val="center"/>
            <w:hideMark/>
          </w:tcPr>
          <w:p w14:paraId="069FFF52" w14:textId="77777777" w:rsidR="008056FD" w:rsidRPr="007D089C" w:rsidRDefault="008056FD" w:rsidP="002B197F">
            <w:pPr>
              <w:jc w:val="center"/>
              <w:rPr>
                <w:color w:val="000000"/>
                <w:sz w:val="22"/>
                <w:szCs w:val="22"/>
                <w:lang w:val="en-US"/>
              </w:rPr>
            </w:pPr>
            <w:r w:rsidRPr="007D089C">
              <w:rPr>
                <w:color w:val="000000"/>
                <w:sz w:val="22"/>
                <w:szCs w:val="22"/>
                <w:lang w:val="en-US"/>
              </w:rPr>
              <w:t>2014</w:t>
            </w:r>
          </w:p>
        </w:tc>
        <w:tc>
          <w:tcPr>
            <w:tcW w:w="2268" w:type="dxa"/>
            <w:tcBorders>
              <w:top w:val="nil"/>
              <w:left w:val="nil"/>
              <w:bottom w:val="single" w:sz="4" w:space="0" w:color="auto"/>
              <w:right w:val="single" w:sz="4" w:space="0" w:color="auto"/>
            </w:tcBorders>
            <w:shd w:val="clear" w:color="auto" w:fill="auto"/>
            <w:noWrap/>
            <w:vAlign w:val="center"/>
            <w:hideMark/>
          </w:tcPr>
          <w:p w14:paraId="431299E5" w14:textId="77777777" w:rsidR="008056FD" w:rsidRPr="007D089C" w:rsidRDefault="008056FD" w:rsidP="002B197F">
            <w:pPr>
              <w:rPr>
                <w:color w:val="000000"/>
                <w:sz w:val="22"/>
                <w:szCs w:val="22"/>
                <w:lang w:val="en-US"/>
              </w:rPr>
            </w:pPr>
            <w:r w:rsidRPr="007D089C">
              <w:rPr>
                <w:color w:val="000000"/>
                <w:sz w:val="22"/>
                <w:szCs w:val="22"/>
                <w:lang w:val="en-US"/>
              </w:rPr>
              <w:t xml:space="preserve">ALB &amp; IgG </w:t>
            </w:r>
          </w:p>
        </w:tc>
        <w:tc>
          <w:tcPr>
            <w:tcW w:w="1559" w:type="dxa"/>
            <w:tcBorders>
              <w:top w:val="nil"/>
              <w:left w:val="nil"/>
              <w:bottom w:val="single" w:sz="4" w:space="0" w:color="auto"/>
              <w:right w:val="single" w:sz="4" w:space="0" w:color="auto"/>
            </w:tcBorders>
            <w:shd w:val="clear" w:color="auto" w:fill="auto"/>
            <w:noWrap/>
            <w:vAlign w:val="center"/>
            <w:hideMark/>
          </w:tcPr>
          <w:p w14:paraId="3BA6CD5E" w14:textId="77777777" w:rsidR="008056FD" w:rsidRPr="007D089C" w:rsidRDefault="008056FD" w:rsidP="002B197F">
            <w:pPr>
              <w:rPr>
                <w:color w:val="000000"/>
                <w:sz w:val="22"/>
                <w:szCs w:val="22"/>
                <w:lang w:val="en-US"/>
              </w:rPr>
            </w:pPr>
            <w:r w:rsidRPr="007D089C">
              <w:rPr>
                <w:color w:val="000000"/>
                <w:sz w:val="22"/>
                <w:szCs w:val="22"/>
                <w:lang w:val="en-US"/>
              </w:rPr>
              <w:t>IEF</w:t>
            </w:r>
          </w:p>
        </w:tc>
        <w:tc>
          <w:tcPr>
            <w:tcW w:w="2126" w:type="dxa"/>
            <w:tcBorders>
              <w:top w:val="nil"/>
              <w:left w:val="nil"/>
              <w:bottom w:val="single" w:sz="4" w:space="0" w:color="auto"/>
              <w:right w:val="single" w:sz="4" w:space="0" w:color="auto"/>
            </w:tcBorders>
            <w:shd w:val="clear" w:color="auto" w:fill="auto"/>
            <w:noWrap/>
            <w:vAlign w:val="center"/>
            <w:hideMark/>
          </w:tcPr>
          <w:p w14:paraId="09216D90" w14:textId="77777777" w:rsidR="008056FD" w:rsidRPr="007D089C" w:rsidRDefault="008056FD" w:rsidP="002B197F">
            <w:pPr>
              <w:rPr>
                <w:color w:val="000000"/>
                <w:sz w:val="22"/>
                <w:szCs w:val="22"/>
                <w:lang w:val="en-US"/>
              </w:rPr>
            </w:pPr>
            <w:r w:rsidRPr="007D089C">
              <w:rPr>
                <w:color w:val="000000"/>
                <w:sz w:val="22"/>
                <w:szCs w:val="22"/>
                <w:lang w:val="en-US"/>
              </w:rPr>
              <w:t>QSTAR TOF</w:t>
            </w:r>
          </w:p>
        </w:tc>
        <w:tc>
          <w:tcPr>
            <w:tcW w:w="2693" w:type="dxa"/>
            <w:tcBorders>
              <w:top w:val="nil"/>
              <w:left w:val="nil"/>
              <w:bottom w:val="single" w:sz="4" w:space="0" w:color="auto"/>
              <w:right w:val="single" w:sz="4" w:space="0" w:color="auto"/>
            </w:tcBorders>
            <w:shd w:val="clear" w:color="auto" w:fill="auto"/>
            <w:noWrap/>
            <w:vAlign w:val="center"/>
            <w:hideMark/>
          </w:tcPr>
          <w:p w14:paraId="6274DBB1" w14:textId="77777777" w:rsidR="008056FD" w:rsidRPr="007D089C" w:rsidRDefault="008056FD" w:rsidP="002B197F">
            <w:pPr>
              <w:rPr>
                <w:color w:val="000000"/>
                <w:sz w:val="22"/>
                <w:szCs w:val="22"/>
                <w:lang w:val="en-US"/>
              </w:rPr>
            </w:pPr>
            <w:r w:rsidRPr="007D089C">
              <w:rPr>
                <w:color w:val="000000"/>
                <w:sz w:val="22"/>
                <w:szCs w:val="22"/>
                <w:lang w:val="en-US"/>
              </w:rPr>
              <w:t>Cancer/ hepatitis B virus</w:t>
            </w:r>
          </w:p>
        </w:tc>
        <w:tc>
          <w:tcPr>
            <w:tcW w:w="1134" w:type="dxa"/>
            <w:tcBorders>
              <w:top w:val="nil"/>
              <w:left w:val="nil"/>
              <w:bottom w:val="single" w:sz="4" w:space="0" w:color="auto"/>
              <w:right w:val="single" w:sz="4" w:space="0" w:color="auto"/>
            </w:tcBorders>
            <w:shd w:val="clear" w:color="auto" w:fill="auto"/>
            <w:noWrap/>
            <w:vAlign w:val="center"/>
            <w:hideMark/>
          </w:tcPr>
          <w:p w14:paraId="381CFFDA" w14:textId="77777777" w:rsidR="008056FD" w:rsidRPr="007D089C" w:rsidRDefault="008056FD" w:rsidP="002B197F">
            <w:pPr>
              <w:rPr>
                <w:color w:val="000000"/>
                <w:sz w:val="22"/>
                <w:szCs w:val="22"/>
                <w:lang w:val="en-US"/>
              </w:rPr>
            </w:pPr>
            <w:r w:rsidRPr="007D089C">
              <w:rPr>
                <w:color w:val="000000"/>
                <w:sz w:val="22"/>
                <w:szCs w:val="22"/>
                <w:lang w:val="en-US"/>
              </w:rPr>
              <w:t>8-plex iTRAQ</w:t>
            </w:r>
          </w:p>
        </w:tc>
        <w:tc>
          <w:tcPr>
            <w:tcW w:w="938" w:type="dxa"/>
            <w:tcBorders>
              <w:top w:val="nil"/>
              <w:left w:val="nil"/>
              <w:bottom w:val="single" w:sz="4" w:space="0" w:color="auto"/>
              <w:right w:val="single" w:sz="4" w:space="0" w:color="auto"/>
            </w:tcBorders>
            <w:shd w:val="clear" w:color="auto" w:fill="auto"/>
            <w:noWrap/>
            <w:vAlign w:val="center"/>
            <w:hideMark/>
          </w:tcPr>
          <w:p w14:paraId="4B900CE9" w14:textId="77777777" w:rsidR="008056FD" w:rsidRPr="007D089C" w:rsidRDefault="008056FD" w:rsidP="002B197F">
            <w:pPr>
              <w:jc w:val="right"/>
              <w:rPr>
                <w:color w:val="000000"/>
                <w:sz w:val="22"/>
                <w:szCs w:val="22"/>
                <w:lang w:val="en-US"/>
              </w:rPr>
            </w:pPr>
            <w:r w:rsidRPr="007D089C">
              <w:rPr>
                <w:color w:val="000000"/>
                <w:sz w:val="22"/>
                <w:szCs w:val="22"/>
                <w:lang w:val="en-US"/>
              </w:rPr>
              <w:t>328</w:t>
            </w:r>
          </w:p>
        </w:tc>
      </w:tr>
      <w:tr w:rsidR="008056FD" w:rsidRPr="007D089C" w14:paraId="4190124E" w14:textId="77777777" w:rsidTr="002B197F">
        <w:trPr>
          <w:trHeight w:val="300"/>
        </w:trPr>
        <w:tc>
          <w:tcPr>
            <w:tcW w:w="1985" w:type="dxa"/>
            <w:tcBorders>
              <w:top w:val="nil"/>
              <w:left w:val="single" w:sz="4" w:space="0" w:color="auto"/>
              <w:bottom w:val="single" w:sz="4" w:space="0" w:color="auto"/>
              <w:right w:val="single" w:sz="4" w:space="0" w:color="auto"/>
            </w:tcBorders>
            <w:shd w:val="clear" w:color="auto" w:fill="auto"/>
            <w:noWrap/>
            <w:vAlign w:val="center"/>
            <w:hideMark/>
          </w:tcPr>
          <w:p w14:paraId="33B7E485" w14:textId="77777777" w:rsidR="008056FD" w:rsidRPr="007D089C" w:rsidRDefault="008056FD" w:rsidP="002B197F">
            <w:pPr>
              <w:rPr>
                <w:color w:val="000000"/>
                <w:sz w:val="22"/>
                <w:szCs w:val="22"/>
                <w:lang w:val="en-US"/>
              </w:rPr>
            </w:pPr>
            <w:r w:rsidRPr="007D089C">
              <w:rPr>
                <w:color w:val="000000"/>
                <w:sz w:val="22"/>
                <w:szCs w:val="22"/>
                <w:lang w:val="en-US"/>
              </w:rPr>
              <w:t>Larkin et al.</w:t>
            </w:r>
          </w:p>
        </w:tc>
        <w:tc>
          <w:tcPr>
            <w:tcW w:w="709" w:type="dxa"/>
            <w:tcBorders>
              <w:top w:val="nil"/>
              <w:left w:val="nil"/>
              <w:bottom w:val="single" w:sz="4" w:space="0" w:color="auto"/>
              <w:right w:val="single" w:sz="4" w:space="0" w:color="auto"/>
            </w:tcBorders>
            <w:shd w:val="clear" w:color="auto" w:fill="auto"/>
            <w:noWrap/>
            <w:vAlign w:val="center"/>
            <w:hideMark/>
          </w:tcPr>
          <w:p w14:paraId="30C6A273" w14:textId="77777777" w:rsidR="008056FD" w:rsidRPr="007D089C" w:rsidRDefault="008056FD" w:rsidP="002B197F">
            <w:pPr>
              <w:jc w:val="center"/>
              <w:rPr>
                <w:color w:val="000000"/>
                <w:sz w:val="22"/>
                <w:szCs w:val="22"/>
                <w:lang w:val="en-US"/>
              </w:rPr>
            </w:pPr>
            <w:r w:rsidRPr="007D089C">
              <w:rPr>
                <w:color w:val="000000"/>
                <w:sz w:val="22"/>
                <w:szCs w:val="22"/>
                <w:lang w:val="en-US"/>
              </w:rPr>
              <w:t>2016</w:t>
            </w:r>
          </w:p>
        </w:tc>
        <w:tc>
          <w:tcPr>
            <w:tcW w:w="2268" w:type="dxa"/>
            <w:tcBorders>
              <w:top w:val="nil"/>
              <w:left w:val="nil"/>
              <w:bottom w:val="single" w:sz="4" w:space="0" w:color="auto"/>
              <w:right w:val="single" w:sz="4" w:space="0" w:color="auto"/>
            </w:tcBorders>
            <w:shd w:val="clear" w:color="auto" w:fill="auto"/>
            <w:noWrap/>
            <w:vAlign w:val="center"/>
            <w:hideMark/>
          </w:tcPr>
          <w:p w14:paraId="4F52F157" w14:textId="77777777" w:rsidR="008056FD" w:rsidRPr="007D089C" w:rsidRDefault="008056FD" w:rsidP="002B197F">
            <w:pPr>
              <w:rPr>
                <w:color w:val="000000"/>
                <w:sz w:val="22"/>
                <w:szCs w:val="22"/>
                <w:lang w:val="en-US"/>
              </w:rPr>
            </w:pPr>
            <w:r w:rsidRPr="007D089C">
              <w:rPr>
                <w:color w:val="000000"/>
                <w:sz w:val="22"/>
                <w:szCs w:val="22"/>
                <w:lang w:val="en-US"/>
              </w:rPr>
              <w:t>3D</w:t>
            </w:r>
          </w:p>
        </w:tc>
        <w:tc>
          <w:tcPr>
            <w:tcW w:w="1559" w:type="dxa"/>
            <w:tcBorders>
              <w:top w:val="nil"/>
              <w:left w:val="nil"/>
              <w:bottom w:val="single" w:sz="4" w:space="0" w:color="auto"/>
              <w:right w:val="single" w:sz="4" w:space="0" w:color="auto"/>
            </w:tcBorders>
            <w:shd w:val="clear" w:color="auto" w:fill="auto"/>
            <w:noWrap/>
            <w:vAlign w:val="center"/>
            <w:hideMark/>
          </w:tcPr>
          <w:p w14:paraId="3C016F19" w14:textId="77777777" w:rsidR="008056FD" w:rsidRPr="007D089C" w:rsidRDefault="008056FD" w:rsidP="002B197F">
            <w:pPr>
              <w:rPr>
                <w:color w:val="000000"/>
                <w:sz w:val="22"/>
                <w:szCs w:val="22"/>
                <w:lang w:val="en-US"/>
              </w:rPr>
            </w:pPr>
            <w:r w:rsidRPr="007D089C">
              <w:rPr>
                <w:color w:val="000000"/>
                <w:sz w:val="22"/>
                <w:szCs w:val="22"/>
                <w:lang w:val="en-US"/>
              </w:rPr>
              <w:t>HILIC</w:t>
            </w:r>
          </w:p>
        </w:tc>
        <w:tc>
          <w:tcPr>
            <w:tcW w:w="2126" w:type="dxa"/>
            <w:tcBorders>
              <w:top w:val="nil"/>
              <w:left w:val="nil"/>
              <w:bottom w:val="single" w:sz="4" w:space="0" w:color="auto"/>
              <w:right w:val="single" w:sz="4" w:space="0" w:color="auto"/>
            </w:tcBorders>
            <w:shd w:val="clear" w:color="auto" w:fill="auto"/>
            <w:noWrap/>
            <w:vAlign w:val="bottom"/>
            <w:hideMark/>
          </w:tcPr>
          <w:p w14:paraId="1E0FD96B" w14:textId="77777777" w:rsidR="008056FD" w:rsidRPr="008056FD" w:rsidRDefault="008056FD" w:rsidP="002B197F">
            <w:pPr>
              <w:rPr>
                <w:color w:val="000000"/>
                <w:sz w:val="22"/>
                <w:szCs w:val="22"/>
                <w:lang w:val="en-US"/>
              </w:rPr>
            </w:pPr>
            <w:r w:rsidRPr="008056FD">
              <w:rPr>
                <w:color w:val="000000"/>
                <w:sz w:val="22"/>
                <w:szCs w:val="22"/>
                <w:lang w:val="en-US"/>
              </w:rPr>
              <w:t>LTQ-Velos Pro Orbitrap Elite</w:t>
            </w:r>
          </w:p>
        </w:tc>
        <w:tc>
          <w:tcPr>
            <w:tcW w:w="2693" w:type="dxa"/>
            <w:tcBorders>
              <w:top w:val="nil"/>
              <w:left w:val="nil"/>
              <w:bottom w:val="single" w:sz="4" w:space="0" w:color="auto"/>
              <w:right w:val="single" w:sz="4" w:space="0" w:color="auto"/>
            </w:tcBorders>
            <w:shd w:val="clear" w:color="auto" w:fill="auto"/>
            <w:noWrap/>
            <w:vAlign w:val="bottom"/>
            <w:hideMark/>
          </w:tcPr>
          <w:p w14:paraId="61148E59" w14:textId="77777777" w:rsidR="008056FD" w:rsidRPr="008056FD" w:rsidRDefault="008056FD" w:rsidP="002B197F">
            <w:pPr>
              <w:rPr>
                <w:color w:val="000000"/>
                <w:sz w:val="22"/>
                <w:szCs w:val="22"/>
                <w:lang w:val="en-US"/>
              </w:rPr>
            </w:pPr>
            <w:r w:rsidRPr="008056FD">
              <w:rPr>
                <w:color w:val="000000"/>
                <w:sz w:val="22"/>
                <w:szCs w:val="22"/>
                <w:lang w:val="en-US"/>
              </w:rPr>
              <w:t>prostate cancer</w:t>
            </w:r>
          </w:p>
        </w:tc>
        <w:tc>
          <w:tcPr>
            <w:tcW w:w="1134" w:type="dxa"/>
            <w:tcBorders>
              <w:top w:val="nil"/>
              <w:left w:val="nil"/>
              <w:bottom w:val="single" w:sz="4" w:space="0" w:color="auto"/>
              <w:right w:val="single" w:sz="4" w:space="0" w:color="auto"/>
            </w:tcBorders>
            <w:shd w:val="clear" w:color="auto" w:fill="auto"/>
            <w:noWrap/>
            <w:vAlign w:val="center"/>
            <w:hideMark/>
          </w:tcPr>
          <w:p w14:paraId="6CA5DA2D" w14:textId="77777777" w:rsidR="008056FD" w:rsidRPr="007D089C" w:rsidRDefault="008056FD" w:rsidP="002B197F">
            <w:pPr>
              <w:rPr>
                <w:color w:val="000000"/>
                <w:sz w:val="22"/>
                <w:szCs w:val="22"/>
                <w:lang w:val="en-US"/>
              </w:rPr>
            </w:pPr>
            <w:r w:rsidRPr="007D089C">
              <w:rPr>
                <w:color w:val="000000"/>
                <w:sz w:val="22"/>
                <w:szCs w:val="22"/>
                <w:lang w:val="en-US"/>
              </w:rPr>
              <w:t>4-plex iTRAQ</w:t>
            </w:r>
          </w:p>
        </w:tc>
        <w:tc>
          <w:tcPr>
            <w:tcW w:w="938" w:type="dxa"/>
            <w:tcBorders>
              <w:top w:val="nil"/>
              <w:left w:val="nil"/>
              <w:bottom w:val="single" w:sz="4" w:space="0" w:color="auto"/>
              <w:right w:val="single" w:sz="4" w:space="0" w:color="auto"/>
            </w:tcBorders>
            <w:shd w:val="clear" w:color="auto" w:fill="auto"/>
            <w:noWrap/>
            <w:vAlign w:val="center"/>
            <w:hideMark/>
          </w:tcPr>
          <w:p w14:paraId="31AFD521" w14:textId="77777777" w:rsidR="008056FD" w:rsidRPr="007D089C" w:rsidRDefault="008056FD" w:rsidP="002B197F">
            <w:pPr>
              <w:jc w:val="right"/>
              <w:rPr>
                <w:color w:val="000000"/>
                <w:sz w:val="22"/>
                <w:szCs w:val="22"/>
                <w:lang w:val="en-US"/>
              </w:rPr>
            </w:pPr>
            <w:r w:rsidRPr="007D089C">
              <w:rPr>
                <w:color w:val="000000"/>
                <w:sz w:val="22"/>
                <w:szCs w:val="22"/>
                <w:lang w:val="en-US"/>
              </w:rPr>
              <w:t>1034</w:t>
            </w:r>
          </w:p>
        </w:tc>
      </w:tr>
      <w:tr w:rsidR="008056FD" w:rsidRPr="007D089C" w14:paraId="764D57E5" w14:textId="77777777" w:rsidTr="002B197F">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4F1B0078" w14:textId="77777777" w:rsidR="008056FD" w:rsidRPr="007D089C" w:rsidRDefault="008056FD" w:rsidP="002B197F">
            <w:pPr>
              <w:rPr>
                <w:rFonts w:ascii="Calibri" w:hAnsi="Calibri"/>
                <w:color w:val="000000"/>
                <w:sz w:val="22"/>
                <w:szCs w:val="22"/>
                <w:lang w:val="en-US"/>
              </w:rPr>
            </w:pPr>
            <w:r w:rsidRPr="007D089C">
              <w:rPr>
                <w:rFonts w:ascii="Calibri" w:hAnsi="Calibri"/>
                <w:color w:val="000000"/>
                <w:sz w:val="22"/>
                <w:szCs w:val="22"/>
                <w:lang w:val="en-US"/>
              </w:rPr>
              <w:t>Zhang M</w:t>
            </w:r>
          </w:p>
        </w:tc>
        <w:tc>
          <w:tcPr>
            <w:tcW w:w="709" w:type="dxa"/>
            <w:tcBorders>
              <w:top w:val="nil"/>
              <w:left w:val="nil"/>
              <w:bottom w:val="single" w:sz="4" w:space="0" w:color="auto"/>
              <w:right w:val="single" w:sz="4" w:space="0" w:color="auto"/>
            </w:tcBorders>
            <w:shd w:val="clear" w:color="auto" w:fill="auto"/>
            <w:noWrap/>
            <w:vAlign w:val="center"/>
            <w:hideMark/>
          </w:tcPr>
          <w:p w14:paraId="59EDD608" w14:textId="77777777" w:rsidR="008056FD" w:rsidRPr="007D089C" w:rsidRDefault="008056FD" w:rsidP="002B197F">
            <w:pPr>
              <w:jc w:val="center"/>
              <w:rPr>
                <w:color w:val="000000"/>
                <w:sz w:val="22"/>
                <w:szCs w:val="22"/>
                <w:lang w:val="en-US"/>
              </w:rPr>
            </w:pPr>
            <w:r w:rsidRPr="007D089C">
              <w:rPr>
                <w:color w:val="000000"/>
                <w:sz w:val="22"/>
                <w:szCs w:val="22"/>
                <w:lang w:val="en-US"/>
              </w:rPr>
              <w:t>2016</w:t>
            </w:r>
          </w:p>
        </w:tc>
        <w:tc>
          <w:tcPr>
            <w:tcW w:w="2268" w:type="dxa"/>
            <w:tcBorders>
              <w:top w:val="nil"/>
              <w:left w:val="nil"/>
              <w:bottom w:val="single" w:sz="4" w:space="0" w:color="auto"/>
              <w:right w:val="single" w:sz="4" w:space="0" w:color="auto"/>
            </w:tcBorders>
            <w:shd w:val="clear" w:color="auto" w:fill="auto"/>
            <w:noWrap/>
            <w:vAlign w:val="center"/>
            <w:hideMark/>
          </w:tcPr>
          <w:p w14:paraId="1438D3F7" w14:textId="77777777" w:rsidR="008056FD" w:rsidRPr="007D089C" w:rsidRDefault="008056FD" w:rsidP="002B197F">
            <w:pPr>
              <w:rPr>
                <w:color w:val="000000"/>
                <w:sz w:val="22"/>
                <w:szCs w:val="22"/>
                <w:lang w:val="en-US"/>
              </w:rPr>
            </w:pPr>
            <w:r w:rsidRPr="007D089C">
              <w:rPr>
                <w:color w:val="000000"/>
                <w:sz w:val="22"/>
                <w:szCs w:val="22"/>
                <w:lang w:val="en-US"/>
              </w:rPr>
              <w:t>ProteoMiner</w:t>
            </w:r>
          </w:p>
        </w:tc>
        <w:tc>
          <w:tcPr>
            <w:tcW w:w="1559" w:type="dxa"/>
            <w:tcBorders>
              <w:top w:val="nil"/>
              <w:left w:val="nil"/>
              <w:bottom w:val="single" w:sz="4" w:space="0" w:color="auto"/>
              <w:right w:val="single" w:sz="4" w:space="0" w:color="auto"/>
            </w:tcBorders>
            <w:shd w:val="clear" w:color="auto" w:fill="auto"/>
            <w:noWrap/>
            <w:vAlign w:val="center"/>
            <w:hideMark/>
          </w:tcPr>
          <w:p w14:paraId="63286326" w14:textId="77777777" w:rsidR="008056FD" w:rsidRPr="007D089C" w:rsidRDefault="008056FD" w:rsidP="002B197F">
            <w:pPr>
              <w:rPr>
                <w:color w:val="000000"/>
                <w:sz w:val="22"/>
                <w:szCs w:val="22"/>
                <w:lang w:val="en-US"/>
              </w:rPr>
            </w:pPr>
            <w:r w:rsidRPr="007D089C">
              <w:rPr>
                <w:color w:val="000000"/>
                <w:sz w:val="22"/>
                <w:szCs w:val="22"/>
                <w:lang w:val="en-US"/>
              </w:rPr>
              <w:t>SCX</w:t>
            </w:r>
          </w:p>
        </w:tc>
        <w:tc>
          <w:tcPr>
            <w:tcW w:w="2126" w:type="dxa"/>
            <w:tcBorders>
              <w:top w:val="nil"/>
              <w:left w:val="nil"/>
              <w:bottom w:val="single" w:sz="4" w:space="0" w:color="auto"/>
              <w:right w:val="single" w:sz="4" w:space="0" w:color="auto"/>
            </w:tcBorders>
            <w:shd w:val="clear" w:color="auto" w:fill="auto"/>
            <w:noWrap/>
            <w:vAlign w:val="bottom"/>
            <w:hideMark/>
          </w:tcPr>
          <w:p w14:paraId="1F70A064" w14:textId="77777777" w:rsidR="008056FD" w:rsidRPr="008056FD" w:rsidRDefault="008056FD" w:rsidP="002B197F">
            <w:pPr>
              <w:rPr>
                <w:color w:val="000000"/>
                <w:sz w:val="22"/>
                <w:szCs w:val="22"/>
                <w:lang w:val="en-US"/>
              </w:rPr>
            </w:pPr>
            <w:r w:rsidRPr="008056FD">
              <w:rPr>
                <w:color w:val="000000"/>
                <w:sz w:val="22"/>
                <w:szCs w:val="22"/>
                <w:lang w:val="en-US"/>
              </w:rPr>
              <w:t>TripleTOF 5600</w:t>
            </w:r>
          </w:p>
        </w:tc>
        <w:tc>
          <w:tcPr>
            <w:tcW w:w="2693" w:type="dxa"/>
            <w:tcBorders>
              <w:top w:val="nil"/>
              <w:left w:val="nil"/>
              <w:bottom w:val="single" w:sz="4" w:space="0" w:color="auto"/>
              <w:right w:val="single" w:sz="4" w:space="0" w:color="auto"/>
            </w:tcBorders>
            <w:shd w:val="clear" w:color="auto" w:fill="auto"/>
            <w:noWrap/>
            <w:vAlign w:val="bottom"/>
            <w:hideMark/>
          </w:tcPr>
          <w:p w14:paraId="3EC5F245" w14:textId="77777777" w:rsidR="008056FD" w:rsidRPr="008056FD" w:rsidRDefault="008056FD" w:rsidP="002B197F">
            <w:pPr>
              <w:rPr>
                <w:color w:val="000000"/>
                <w:sz w:val="22"/>
                <w:szCs w:val="22"/>
                <w:lang w:val="en-US"/>
              </w:rPr>
            </w:pPr>
            <w:r w:rsidRPr="008056FD">
              <w:rPr>
                <w:color w:val="000000"/>
                <w:sz w:val="22"/>
                <w:szCs w:val="22"/>
                <w:lang w:val="en-US"/>
              </w:rPr>
              <w:t>prostate</w:t>
            </w:r>
          </w:p>
        </w:tc>
        <w:tc>
          <w:tcPr>
            <w:tcW w:w="1134" w:type="dxa"/>
            <w:tcBorders>
              <w:top w:val="nil"/>
              <w:left w:val="nil"/>
              <w:bottom w:val="single" w:sz="4" w:space="0" w:color="auto"/>
              <w:right w:val="single" w:sz="4" w:space="0" w:color="auto"/>
            </w:tcBorders>
            <w:shd w:val="clear" w:color="auto" w:fill="auto"/>
            <w:noWrap/>
            <w:vAlign w:val="center"/>
            <w:hideMark/>
          </w:tcPr>
          <w:p w14:paraId="4AEC2804" w14:textId="77777777" w:rsidR="008056FD" w:rsidRPr="007D089C" w:rsidRDefault="008056FD" w:rsidP="002B197F">
            <w:pPr>
              <w:rPr>
                <w:color w:val="000000"/>
                <w:sz w:val="22"/>
                <w:szCs w:val="22"/>
                <w:lang w:val="en-US"/>
              </w:rPr>
            </w:pPr>
            <w:r w:rsidRPr="007D089C">
              <w:rPr>
                <w:color w:val="000000"/>
                <w:sz w:val="22"/>
                <w:szCs w:val="22"/>
                <w:lang w:val="en-US"/>
              </w:rPr>
              <w:t>4-plex iTRAQ</w:t>
            </w:r>
          </w:p>
        </w:tc>
        <w:tc>
          <w:tcPr>
            <w:tcW w:w="938" w:type="dxa"/>
            <w:tcBorders>
              <w:top w:val="nil"/>
              <w:left w:val="nil"/>
              <w:bottom w:val="single" w:sz="4" w:space="0" w:color="auto"/>
              <w:right w:val="single" w:sz="4" w:space="0" w:color="auto"/>
            </w:tcBorders>
            <w:shd w:val="clear" w:color="auto" w:fill="auto"/>
            <w:noWrap/>
            <w:vAlign w:val="bottom"/>
            <w:hideMark/>
          </w:tcPr>
          <w:p w14:paraId="60C81152" w14:textId="77777777" w:rsidR="008056FD" w:rsidRPr="008056FD" w:rsidRDefault="008056FD" w:rsidP="002B197F">
            <w:pPr>
              <w:jc w:val="right"/>
              <w:rPr>
                <w:color w:val="000000"/>
                <w:sz w:val="22"/>
                <w:szCs w:val="22"/>
                <w:lang w:val="en-US"/>
              </w:rPr>
            </w:pPr>
            <w:r w:rsidRPr="008056FD">
              <w:rPr>
                <w:color w:val="000000"/>
                <w:sz w:val="22"/>
                <w:szCs w:val="22"/>
                <w:lang w:val="en-US"/>
              </w:rPr>
              <w:t>825</w:t>
            </w:r>
          </w:p>
        </w:tc>
      </w:tr>
      <w:tr w:rsidR="008056FD" w:rsidRPr="007D089C" w14:paraId="03C17255" w14:textId="77777777" w:rsidTr="002B197F">
        <w:trPr>
          <w:trHeight w:val="300"/>
        </w:trPr>
        <w:tc>
          <w:tcPr>
            <w:tcW w:w="1985" w:type="dxa"/>
            <w:tcBorders>
              <w:top w:val="nil"/>
              <w:left w:val="single" w:sz="4" w:space="0" w:color="auto"/>
              <w:bottom w:val="single" w:sz="4" w:space="0" w:color="auto"/>
              <w:right w:val="single" w:sz="4" w:space="0" w:color="auto"/>
            </w:tcBorders>
            <w:shd w:val="clear" w:color="auto" w:fill="auto"/>
            <w:noWrap/>
            <w:vAlign w:val="bottom"/>
            <w:hideMark/>
          </w:tcPr>
          <w:p w14:paraId="1031D59E" w14:textId="77777777" w:rsidR="008056FD" w:rsidRPr="007D089C" w:rsidRDefault="008056FD" w:rsidP="002B197F">
            <w:pPr>
              <w:rPr>
                <w:rFonts w:ascii="Calibri" w:hAnsi="Calibri"/>
                <w:color w:val="000000"/>
                <w:sz w:val="22"/>
                <w:szCs w:val="22"/>
                <w:lang w:val="en-US"/>
              </w:rPr>
            </w:pPr>
            <w:r w:rsidRPr="007D089C">
              <w:rPr>
                <w:rFonts w:ascii="Calibri" w:hAnsi="Calibri"/>
                <w:color w:val="000000"/>
                <w:sz w:val="22"/>
                <w:szCs w:val="22"/>
                <w:lang w:val="en-US"/>
              </w:rPr>
              <w:t>Walker MJ</w:t>
            </w:r>
          </w:p>
        </w:tc>
        <w:tc>
          <w:tcPr>
            <w:tcW w:w="709" w:type="dxa"/>
            <w:tcBorders>
              <w:top w:val="nil"/>
              <w:left w:val="nil"/>
              <w:bottom w:val="single" w:sz="4" w:space="0" w:color="auto"/>
              <w:right w:val="single" w:sz="4" w:space="0" w:color="auto"/>
            </w:tcBorders>
            <w:shd w:val="clear" w:color="auto" w:fill="auto"/>
            <w:noWrap/>
            <w:vAlign w:val="center"/>
            <w:hideMark/>
          </w:tcPr>
          <w:p w14:paraId="62DCD7C0" w14:textId="77777777" w:rsidR="008056FD" w:rsidRPr="007D089C" w:rsidRDefault="008056FD" w:rsidP="002B197F">
            <w:pPr>
              <w:jc w:val="center"/>
              <w:rPr>
                <w:color w:val="000000"/>
                <w:sz w:val="22"/>
                <w:szCs w:val="22"/>
                <w:lang w:val="en-US"/>
              </w:rPr>
            </w:pPr>
            <w:r w:rsidRPr="007D089C">
              <w:rPr>
                <w:color w:val="000000"/>
                <w:sz w:val="22"/>
                <w:szCs w:val="22"/>
                <w:lang w:val="en-US"/>
              </w:rPr>
              <w:t>2015</w:t>
            </w:r>
          </w:p>
        </w:tc>
        <w:tc>
          <w:tcPr>
            <w:tcW w:w="2268" w:type="dxa"/>
            <w:tcBorders>
              <w:top w:val="nil"/>
              <w:left w:val="nil"/>
              <w:bottom w:val="single" w:sz="4" w:space="0" w:color="auto"/>
              <w:right w:val="single" w:sz="4" w:space="0" w:color="auto"/>
            </w:tcBorders>
            <w:shd w:val="clear" w:color="auto" w:fill="auto"/>
            <w:noWrap/>
            <w:vAlign w:val="center"/>
            <w:hideMark/>
          </w:tcPr>
          <w:p w14:paraId="4D4DDA48" w14:textId="77777777" w:rsidR="008056FD" w:rsidRPr="007D089C" w:rsidRDefault="008056FD" w:rsidP="002B197F">
            <w:pPr>
              <w:rPr>
                <w:color w:val="000000"/>
                <w:sz w:val="22"/>
                <w:szCs w:val="22"/>
                <w:lang w:val="en-US"/>
              </w:rPr>
            </w:pPr>
            <w:r w:rsidRPr="007D089C">
              <w:rPr>
                <w:color w:val="000000"/>
                <w:sz w:val="22"/>
                <w:szCs w:val="22"/>
                <w:lang w:val="en-US"/>
              </w:rPr>
              <w:t>Hu14</w:t>
            </w:r>
          </w:p>
        </w:tc>
        <w:tc>
          <w:tcPr>
            <w:tcW w:w="1559" w:type="dxa"/>
            <w:tcBorders>
              <w:top w:val="nil"/>
              <w:left w:val="nil"/>
              <w:bottom w:val="single" w:sz="4" w:space="0" w:color="auto"/>
              <w:right w:val="single" w:sz="4" w:space="0" w:color="auto"/>
            </w:tcBorders>
            <w:shd w:val="clear" w:color="auto" w:fill="auto"/>
            <w:noWrap/>
            <w:vAlign w:val="center"/>
            <w:hideMark/>
          </w:tcPr>
          <w:p w14:paraId="3EBBEDD3" w14:textId="77777777" w:rsidR="008056FD" w:rsidRPr="007D089C" w:rsidRDefault="008056FD" w:rsidP="002B197F">
            <w:pPr>
              <w:rPr>
                <w:color w:val="000000"/>
                <w:sz w:val="22"/>
                <w:szCs w:val="22"/>
                <w:lang w:val="en-US"/>
              </w:rPr>
            </w:pPr>
            <w:r w:rsidRPr="007D089C">
              <w:rPr>
                <w:color w:val="000000"/>
                <w:sz w:val="22"/>
                <w:szCs w:val="22"/>
                <w:lang w:val="en-US"/>
              </w:rPr>
              <w:t xml:space="preserve">High pH RP, </w:t>
            </w:r>
          </w:p>
        </w:tc>
        <w:tc>
          <w:tcPr>
            <w:tcW w:w="2126" w:type="dxa"/>
            <w:tcBorders>
              <w:top w:val="nil"/>
              <w:left w:val="nil"/>
              <w:bottom w:val="single" w:sz="4" w:space="0" w:color="auto"/>
              <w:right w:val="single" w:sz="4" w:space="0" w:color="auto"/>
            </w:tcBorders>
            <w:shd w:val="clear" w:color="auto" w:fill="auto"/>
            <w:noWrap/>
            <w:vAlign w:val="bottom"/>
            <w:hideMark/>
          </w:tcPr>
          <w:p w14:paraId="4A9F802F" w14:textId="77777777" w:rsidR="008056FD" w:rsidRPr="008056FD" w:rsidRDefault="008056FD" w:rsidP="002B197F">
            <w:pPr>
              <w:rPr>
                <w:color w:val="000000"/>
                <w:sz w:val="22"/>
                <w:szCs w:val="22"/>
                <w:lang w:val="en-US"/>
              </w:rPr>
            </w:pPr>
            <w:r w:rsidRPr="008056FD">
              <w:rPr>
                <w:color w:val="000000"/>
                <w:sz w:val="22"/>
                <w:szCs w:val="22"/>
                <w:lang w:val="en-US"/>
              </w:rPr>
              <w:t>TripleTOF 5600 </w:t>
            </w:r>
          </w:p>
        </w:tc>
        <w:tc>
          <w:tcPr>
            <w:tcW w:w="2693" w:type="dxa"/>
            <w:tcBorders>
              <w:top w:val="nil"/>
              <w:left w:val="nil"/>
              <w:bottom w:val="single" w:sz="4" w:space="0" w:color="auto"/>
              <w:right w:val="single" w:sz="4" w:space="0" w:color="auto"/>
            </w:tcBorders>
            <w:shd w:val="clear" w:color="auto" w:fill="auto"/>
            <w:noWrap/>
            <w:vAlign w:val="bottom"/>
            <w:hideMark/>
          </w:tcPr>
          <w:p w14:paraId="64055E51" w14:textId="77777777" w:rsidR="008056FD" w:rsidRPr="008056FD" w:rsidRDefault="008056FD" w:rsidP="002B197F">
            <w:pPr>
              <w:rPr>
                <w:color w:val="000000"/>
                <w:sz w:val="22"/>
                <w:szCs w:val="22"/>
                <w:lang w:val="en-US"/>
              </w:rPr>
            </w:pPr>
            <w:r w:rsidRPr="008056FD">
              <w:rPr>
                <w:color w:val="000000"/>
                <w:sz w:val="22"/>
                <w:szCs w:val="22"/>
                <w:lang w:val="en-US"/>
              </w:rPr>
              <w:t xml:space="preserve">Non-small Cell Lung </w:t>
            </w:r>
          </w:p>
        </w:tc>
        <w:tc>
          <w:tcPr>
            <w:tcW w:w="1134" w:type="dxa"/>
            <w:tcBorders>
              <w:top w:val="nil"/>
              <w:left w:val="nil"/>
              <w:bottom w:val="single" w:sz="4" w:space="0" w:color="auto"/>
              <w:right w:val="single" w:sz="4" w:space="0" w:color="auto"/>
            </w:tcBorders>
            <w:shd w:val="clear" w:color="auto" w:fill="auto"/>
            <w:noWrap/>
            <w:vAlign w:val="center"/>
            <w:hideMark/>
          </w:tcPr>
          <w:p w14:paraId="3D004210" w14:textId="77777777" w:rsidR="008056FD" w:rsidRPr="007D089C" w:rsidRDefault="008056FD" w:rsidP="002B197F">
            <w:pPr>
              <w:rPr>
                <w:color w:val="000000"/>
                <w:sz w:val="22"/>
                <w:szCs w:val="22"/>
                <w:lang w:val="en-US"/>
              </w:rPr>
            </w:pPr>
            <w:r w:rsidRPr="007D089C">
              <w:rPr>
                <w:color w:val="000000"/>
                <w:sz w:val="22"/>
                <w:szCs w:val="22"/>
                <w:lang w:val="en-US"/>
              </w:rPr>
              <w:t>8-plex iTRAQ</w:t>
            </w:r>
          </w:p>
        </w:tc>
        <w:tc>
          <w:tcPr>
            <w:tcW w:w="938" w:type="dxa"/>
            <w:tcBorders>
              <w:top w:val="nil"/>
              <w:left w:val="nil"/>
              <w:bottom w:val="single" w:sz="4" w:space="0" w:color="auto"/>
              <w:right w:val="single" w:sz="4" w:space="0" w:color="auto"/>
            </w:tcBorders>
            <w:shd w:val="clear" w:color="auto" w:fill="auto"/>
            <w:noWrap/>
            <w:vAlign w:val="bottom"/>
            <w:hideMark/>
          </w:tcPr>
          <w:p w14:paraId="4DF32439" w14:textId="77777777" w:rsidR="008056FD" w:rsidRPr="008056FD" w:rsidRDefault="008056FD" w:rsidP="002B197F">
            <w:pPr>
              <w:jc w:val="right"/>
              <w:rPr>
                <w:color w:val="000000"/>
                <w:sz w:val="22"/>
                <w:szCs w:val="22"/>
                <w:lang w:val="en-US"/>
              </w:rPr>
            </w:pPr>
            <w:r w:rsidRPr="008056FD">
              <w:rPr>
                <w:color w:val="000000"/>
                <w:sz w:val="22"/>
                <w:szCs w:val="22"/>
                <w:lang w:val="en-US"/>
              </w:rPr>
              <w:t>685</w:t>
            </w:r>
          </w:p>
        </w:tc>
      </w:tr>
    </w:tbl>
    <w:p w14:paraId="2F4BCF44" w14:textId="77777777" w:rsidR="008056FD" w:rsidRPr="007D089C" w:rsidRDefault="008056FD" w:rsidP="008056FD">
      <w:pPr>
        <w:rPr>
          <w:rFonts w:ascii="timesroman" w:hAnsi="timesroman"/>
          <w:b/>
          <w:lang w:val="en-US"/>
        </w:rPr>
      </w:pPr>
    </w:p>
    <w:p w14:paraId="797AD0E5" w14:textId="1EB5B555" w:rsidR="000F5132" w:rsidRPr="007D089C" w:rsidRDefault="000F5132">
      <w:pPr>
        <w:rPr>
          <w:rStyle w:val="Emphasis"/>
          <w:b/>
          <w:i w:val="0"/>
          <w:lang w:val="en-US"/>
        </w:rPr>
      </w:pPr>
      <w:r w:rsidRPr="007D089C">
        <w:rPr>
          <w:rStyle w:val="Emphasis"/>
          <w:b/>
          <w:i w:val="0"/>
          <w:lang w:val="en-US"/>
        </w:rPr>
        <w:br w:type="page"/>
      </w:r>
    </w:p>
    <w:p w14:paraId="77ACE00B" w14:textId="6602F59B" w:rsidR="000074EB" w:rsidRDefault="000074EB" w:rsidP="00C141DD">
      <w:pPr>
        <w:autoSpaceDE w:val="0"/>
        <w:autoSpaceDN w:val="0"/>
        <w:adjustRightInd w:val="0"/>
        <w:rPr>
          <w:rStyle w:val="Emphasis"/>
          <w:i w:val="0"/>
          <w:lang w:val="en-US"/>
        </w:rPr>
      </w:pPr>
      <w:r w:rsidRPr="007D089C">
        <w:rPr>
          <w:rStyle w:val="Emphasis"/>
          <w:b/>
          <w:i w:val="0"/>
          <w:lang w:val="en-US"/>
        </w:rPr>
        <w:t xml:space="preserve">Table 4: Applications using isobaric labeling of plasma in the study of circulation, stroke and cardiovascular risk. </w:t>
      </w:r>
      <w:r w:rsidRPr="007D089C">
        <w:rPr>
          <w:rStyle w:val="Emphasis"/>
          <w:i w:val="0"/>
          <w:lang w:val="en-US"/>
        </w:rPr>
        <w:t xml:space="preserve"> </w:t>
      </w:r>
    </w:p>
    <w:p w14:paraId="1A9520C4" w14:textId="77777777" w:rsidR="008056FD" w:rsidRPr="007D089C" w:rsidRDefault="008056FD" w:rsidP="00C141DD">
      <w:pPr>
        <w:autoSpaceDE w:val="0"/>
        <w:autoSpaceDN w:val="0"/>
        <w:adjustRightInd w:val="0"/>
        <w:rPr>
          <w:rFonts w:ascii="Times-Roman" w:hAnsi="Times-Roman" w:cs="Times-Roman"/>
          <w:i/>
          <w:lang w:val="en-US"/>
        </w:rPr>
      </w:pPr>
    </w:p>
    <w:tbl>
      <w:tblPr>
        <w:tblStyle w:val="TableGrid"/>
        <w:tblW w:w="9351" w:type="dxa"/>
        <w:tblLook w:val="04A0" w:firstRow="1" w:lastRow="0" w:firstColumn="1" w:lastColumn="0" w:noHBand="0" w:noVBand="1"/>
      </w:tblPr>
      <w:tblGrid>
        <w:gridCol w:w="5098"/>
        <w:gridCol w:w="4253"/>
      </w:tblGrid>
      <w:tr w:rsidR="000074EB" w:rsidRPr="007D089C" w14:paraId="2469B39B" w14:textId="77777777" w:rsidTr="00334738">
        <w:tc>
          <w:tcPr>
            <w:tcW w:w="5098" w:type="dxa"/>
          </w:tcPr>
          <w:p w14:paraId="3E1BF3C4" w14:textId="77777777" w:rsidR="000074EB" w:rsidRPr="007D089C" w:rsidRDefault="000074EB" w:rsidP="00C141DD">
            <w:pPr>
              <w:autoSpaceDE w:val="0"/>
              <w:autoSpaceDN w:val="0"/>
              <w:adjustRightInd w:val="0"/>
              <w:rPr>
                <w:rFonts w:ascii="Times-Roman" w:hAnsi="Times-Roman" w:cs="Times-Roman"/>
                <w:b/>
                <w:u w:val="single"/>
                <w:lang w:val="en-US"/>
              </w:rPr>
            </w:pPr>
            <w:r w:rsidRPr="007D089C">
              <w:rPr>
                <w:rFonts w:ascii="Times-Roman" w:hAnsi="Times-Roman" w:cs="Times-Roman"/>
                <w:b/>
                <w:u w:val="single"/>
                <w:lang w:val="en-US"/>
              </w:rPr>
              <w:t>Circulation, Stroke and cardiovascular risk</w:t>
            </w:r>
          </w:p>
          <w:p w14:paraId="51638416" w14:textId="7D1DE648"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t>Aortic aneurysms, abdominal and thoracic aortic aneurysms</w:t>
            </w:r>
            <w:r w:rsidR="00670428" w:rsidRPr="007D089C">
              <w:rPr>
                <w:rFonts w:ascii="Times-Roman" w:hAnsi="Times-Roman" w:cs="Times-Roman"/>
                <w:lang w:val="en-US"/>
              </w:rPr>
              <w:t>:</w:t>
            </w:r>
          </w:p>
          <w:p w14:paraId="71CF30AE" w14:textId="77777777" w:rsidR="000074EB" w:rsidRPr="007D089C" w:rsidRDefault="000074EB" w:rsidP="00C141DD">
            <w:pPr>
              <w:autoSpaceDE w:val="0"/>
              <w:autoSpaceDN w:val="0"/>
              <w:adjustRightInd w:val="0"/>
              <w:rPr>
                <w:rFonts w:ascii="Times-Roman" w:hAnsi="Times-Roman" w:cs="Times-Roman"/>
                <w:lang w:val="en-US"/>
              </w:rPr>
            </w:pPr>
          </w:p>
          <w:p w14:paraId="348B8A9B" w14:textId="2E98F3B4"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t>Aortic dissection</w:t>
            </w:r>
            <w:r w:rsidR="00670428" w:rsidRPr="007D089C">
              <w:rPr>
                <w:rFonts w:ascii="Times-Roman" w:hAnsi="Times-Roman" w:cs="Times-Roman"/>
                <w:lang w:val="en-US"/>
              </w:rPr>
              <w:t> :</w:t>
            </w:r>
          </w:p>
          <w:p w14:paraId="68513ED6" w14:textId="2EF2EB67"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t>Deep vein thrombosis (microparticles)</w:t>
            </w:r>
            <w:r w:rsidR="00670428" w:rsidRPr="007D089C">
              <w:rPr>
                <w:rFonts w:ascii="Times-Roman" w:hAnsi="Times-Roman" w:cs="Times-Roman"/>
                <w:lang w:val="en-US"/>
              </w:rPr>
              <w:t> :</w:t>
            </w:r>
            <w:r w:rsidRPr="007D089C">
              <w:rPr>
                <w:rFonts w:ascii="Times-Roman" w:hAnsi="Times-Roman" w:cs="Times-Roman"/>
                <w:lang w:val="en-US"/>
              </w:rPr>
              <w:t xml:space="preserve"> </w:t>
            </w:r>
          </w:p>
          <w:p w14:paraId="0FE4927A" w14:textId="383D95FA" w:rsidR="000074EB" w:rsidRPr="007D089C" w:rsidRDefault="00FC7692" w:rsidP="00C141DD">
            <w:pPr>
              <w:autoSpaceDE w:val="0"/>
              <w:autoSpaceDN w:val="0"/>
              <w:adjustRightInd w:val="0"/>
              <w:rPr>
                <w:rFonts w:ascii="Times-Roman" w:hAnsi="Times-Roman" w:cs="Times-Roman"/>
                <w:b/>
                <w:u w:val="single"/>
                <w:lang w:val="en-US"/>
              </w:rPr>
            </w:pPr>
            <w:r w:rsidRPr="007D089C">
              <w:rPr>
                <w:rFonts w:ascii="Times-Roman" w:hAnsi="Times-Roman" w:cs="Times-Roman"/>
                <w:lang w:val="en-US"/>
              </w:rPr>
              <w:t>Haemorrhagic</w:t>
            </w:r>
            <w:r w:rsidR="000074EB" w:rsidRPr="007D089C">
              <w:rPr>
                <w:rFonts w:ascii="Times-Roman" w:hAnsi="Times-Roman" w:cs="Times-Roman"/>
                <w:lang w:val="en-US"/>
              </w:rPr>
              <w:t xml:space="preserve"> shock</w:t>
            </w:r>
            <w:r w:rsidR="00670428" w:rsidRPr="007D089C">
              <w:rPr>
                <w:rFonts w:ascii="Times-Roman" w:hAnsi="Times-Roman" w:cs="Times-Roman"/>
                <w:lang w:val="en-US"/>
              </w:rPr>
              <w:t>:</w:t>
            </w:r>
          </w:p>
        </w:tc>
        <w:tc>
          <w:tcPr>
            <w:tcW w:w="4253" w:type="dxa"/>
          </w:tcPr>
          <w:p w14:paraId="4ED41A07" w14:textId="77777777" w:rsidR="000074EB" w:rsidRPr="007D089C" w:rsidRDefault="000074EB" w:rsidP="00C141DD">
            <w:pPr>
              <w:autoSpaceDE w:val="0"/>
              <w:autoSpaceDN w:val="0"/>
              <w:adjustRightInd w:val="0"/>
              <w:rPr>
                <w:rFonts w:ascii="Times-Roman" w:hAnsi="Times-Roman" w:cs="Times-Roman"/>
                <w:lang w:val="en-US"/>
              </w:rPr>
            </w:pPr>
          </w:p>
          <w:p w14:paraId="39F751DD" w14:textId="68C03A7A"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RW.CITE{{2096 Calvo,E. 2013; 1992 Satoh,K. 2013; 1537 Acosta-Martin,A.E. 2011; 2128 Burillo,E. 2015}}</w:instrText>
            </w:r>
            <w:r w:rsidRPr="007D089C">
              <w:rPr>
                <w:rFonts w:ascii="Times-Roman" w:hAnsi="Times-Roman" w:cs="Times-Roman"/>
                <w:lang w:val="en-US"/>
              </w:rPr>
              <w:fldChar w:fldCharType="separate"/>
            </w:r>
            <w:r w:rsidR="00C77B76">
              <w:rPr>
                <w:rFonts w:ascii="Times-Roman" w:hAnsi="Times-Roman" w:cs="Times-Roman"/>
                <w:lang w:val="en-US"/>
              </w:rPr>
              <w:t>(Acosta-Martin et al., 2011; Burillo et al., 2015; Calvo et al., 2013; Satoh et al., 2013)</w:t>
            </w:r>
            <w:r w:rsidRPr="007D089C">
              <w:rPr>
                <w:rFonts w:ascii="Times-Roman" w:hAnsi="Times-Roman" w:cs="Times-Roman"/>
                <w:lang w:val="en-US"/>
              </w:rPr>
              <w:fldChar w:fldCharType="end"/>
            </w:r>
          </w:p>
          <w:p w14:paraId="600C6486" w14:textId="08E24462"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RW.CITE{{2092 Gu,G. 2011}}</w:instrText>
            </w:r>
            <w:r w:rsidRPr="007D089C">
              <w:rPr>
                <w:rFonts w:ascii="Times-Roman" w:hAnsi="Times-Roman" w:cs="Times-Roman"/>
                <w:lang w:val="en-US"/>
              </w:rPr>
              <w:fldChar w:fldCharType="separate"/>
            </w:r>
            <w:r w:rsidR="00C77B76">
              <w:rPr>
                <w:rFonts w:ascii="Times-Roman" w:hAnsi="Times-Roman" w:cs="Times-Roman"/>
                <w:lang w:val="en-US"/>
              </w:rPr>
              <w:t>(Gu et al., 2011)</w:t>
            </w:r>
            <w:r w:rsidRPr="007D089C">
              <w:rPr>
                <w:rFonts w:ascii="Times-Roman" w:hAnsi="Times-Roman" w:cs="Times-Roman"/>
                <w:lang w:val="en-US"/>
              </w:rPr>
              <w:fldChar w:fldCharType="end"/>
            </w:r>
          </w:p>
          <w:p w14:paraId="56794F55" w14:textId="46708D5C"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RW.CITE{{2014 Howes,J.M. 2010}}</w:instrText>
            </w:r>
            <w:r w:rsidRPr="007D089C">
              <w:rPr>
                <w:rFonts w:ascii="Times-Roman" w:hAnsi="Times-Roman" w:cs="Times-Roman"/>
                <w:lang w:val="en-US"/>
              </w:rPr>
              <w:fldChar w:fldCharType="separate"/>
            </w:r>
            <w:r w:rsidR="00C77B76">
              <w:rPr>
                <w:rFonts w:ascii="Times-Roman" w:hAnsi="Times-Roman" w:cs="Times-Roman"/>
                <w:lang w:val="en-US"/>
              </w:rPr>
              <w:t>(Howes, 2010)</w:t>
            </w:r>
            <w:r w:rsidRPr="007D089C">
              <w:rPr>
                <w:rFonts w:ascii="Times-Roman" w:hAnsi="Times-Roman" w:cs="Times-Roman"/>
                <w:lang w:val="en-US"/>
              </w:rPr>
              <w:fldChar w:fldCharType="end"/>
            </w:r>
          </w:p>
          <w:p w14:paraId="06E543E1" w14:textId="026ABCA3"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RW.CITE{{1420 Li,Y. 2010}}</w:instrText>
            </w:r>
            <w:r w:rsidRPr="007D089C">
              <w:rPr>
                <w:rFonts w:ascii="Times-Roman" w:hAnsi="Times-Roman" w:cs="Times-Roman"/>
                <w:lang w:val="en-US"/>
              </w:rPr>
              <w:fldChar w:fldCharType="separate"/>
            </w:r>
            <w:r w:rsidR="00C77B76">
              <w:rPr>
                <w:rFonts w:ascii="Times-Roman" w:hAnsi="Times-Roman" w:cs="Times-Roman"/>
                <w:lang w:val="en-US"/>
              </w:rPr>
              <w:t>(Y. Li et al., 2010)</w:t>
            </w:r>
            <w:r w:rsidRPr="007D089C">
              <w:rPr>
                <w:rFonts w:ascii="Times-Roman" w:hAnsi="Times-Roman" w:cs="Times-Roman"/>
                <w:lang w:val="en-US"/>
              </w:rPr>
              <w:fldChar w:fldCharType="end"/>
            </w:r>
          </w:p>
        </w:tc>
      </w:tr>
      <w:tr w:rsidR="000074EB" w:rsidRPr="007D089C" w14:paraId="0292866F" w14:textId="77777777" w:rsidTr="00334738">
        <w:tc>
          <w:tcPr>
            <w:tcW w:w="5098" w:type="dxa"/>
            <w:vAlign w:val="center"/>
          </w:tcPr>
          <w:p w14:paraId="061C02E0" w14:textId="77777777" w:rsidR="000074EB" w:rsidRPr="007D089C" w:rsidRDefault="000074EB" w:rsidP="00C141DD">
            <w:pPr>
              <w:autoSpaceDE w:val="0"/>
              <w:autoSpaceDN w:val="0"/>
              <w:adjustRightInd w:val="0"/>
              <w:rPr>
                <w:b/>
                <w:u w:val="single"/>
                <w:lang w:val="en-US"/>
              </w:rPr>
            </w:pPr>
            <w:r w:rsidRPr="007D089C">
              <w:rPr>
                <w:b/>
                <w:u w:val="single"/>
                <w:lang w:val="en-US"/>
              </w:rPr>
              <w:t>CVD/myocardial infarction</w:t>
            </w:r>
          </w:p>
          <w:p w14:paraId="7BA6FC60" w14:textId="2DAF5D35"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t>CVD</w:t>
            </w:r>
            <w:r w:rsidR="00670428" w:rsidRPr="007D089C">
              <w:rPr>
                <w:rFonts w:ascii="Times-Roman" w:hAnsi="Times-Roman" w:cs="Times-Roman"/>
                <w:lang w:val="en-US"/>
              </w:rPr>
              <w:t>:</w:t>
            </w:r>
          </w:p>
          <w:p w14:paraId="502CE722" w14:textId="3B97755F" w:rsidR="000074EB" w:rsidRPr="007D089C" w:rsidRDefault="00670428" w:rsidP="00C141DD">
            <w:pPr>
              <w:autoSpaceDE w:val="0"/>
              <w:autoSpaceDN w:val="0"/>
              <w:adjustRightInd w:val="0"/>
              <w:rPr>
                <w:rFonts w:ascii="Times-Roman" w:hAnsi="Times-Roman" w:cs="Times-Roman"/>
                <w:lang w:val="en-US"/>
              </w:rPr>
            </w:pPr>
            <w:r w:rsidRPr="007D089C">
              <w:rPr>
                <w:rFonts w:ascii="Times-Roman" w:hAnsi="Times-Roman" w:cs="Times-Roman"/>
                <w:lang w:val="en-US"/>
              </w:rPr>
              <w:t>Heart failure:</w:t>
            </w:r>
            <w:r w:rsidR="000074EB" w:rsidRPr="007D089C">
              <w:rPr>
                <w:rFonts w:ascii="Times-Roman" w:hAnsi="Times-Roman" w:cs="Times-Roman"/>
                <w:lang w:val="en-US"/>
              </w:rPr>
              <w:t xml:space="preserve"> </w:t>
            </w:r>
          </w:p>
          <w:p w14:paraId="65ABF1B8" w14:textId="77777777" w:rsidR="000074EB" w:rsidRPr="007D089C" w:rsidRDefault="000074EB" w:rsidP="00C141DD">
            <w:pPr>
              <w:autoSpaceDE w:val="0"/>
              <w:autoSpaceDN w:val="0"/>
              <w:adjustRightInd w:val="0"/>
              <w:rPr>
                <w:rFonts w:ascii="timesroman" w:hAnsi="timesroman"/>
                <w:lang w:val="en-US"/>
              </w:rPr>
            </w:pPr>
            <w:r w:rsidRPr="007D089C">
              <w:rPr>
                <w:rFonts w:ascii="timesroman" w:hAnsi="timesroman"/>
                <w:lang w:val="en-US"/>
              </w:rPr>
              <w:t xml:space="preserve">Therapeutic, planned myocardial infarction: </w:t>
            </w:r>
          </w:p>
          <w:p w14:paraId="10650F0A" w14:textId="77777777" w:rsidR="000074EB" w:rsidRPr="007D089C" w:rsidRDefault="000074EB" w:rsidP="00C141DD">
            <w:pPr>
              <w:autoSpaceDE w:val="0"/>
              <w:autoSpaceDN w:val="0"/>
              <w:adjustRightInd w:val="0"/>
              <w:rPr>
                <w:rFonts w:ascii="Times-Roman" w:hAnsi="Times-Roman" w:cs="Times-Roman"/>
                <w:lang w:val="en-US"/>
              </w:rPr>
            </w:pPr>
            <w:r w:rsidRPr="007D089C">
              <w:rPr>
                <w:rStyle w:val="hlite1"/>
                <w:rFonts w:ascii="timesroman" w:hAnsi="timesroman"/>
                <w:shd w:val="clear" w:color="auto" w:fill="FFFFFF" w:themeFill="background1"/>
                <w:lang w:val="en-US"/>
              </w:rPr>
              <w:t>Mitral</w:t>
            </w:r>
            <w:r w:rsidRPr="007D089C">
              <w:rPr>
                <w:rFonts w:ascii="timesroman" w:hAnsi="timesroman"/>
                <w:lang w:val="en-US"/>
              </w:rPr>
              <w:t xml:space="preserve"> regurgitation:</w:t>
            </w:r>
            <w:r w:rsidRPr="007D089C">
              <w:rPr>
                <w:rFonts w:ascii="Times-Roman" w:hAnsi="Times-Roman" w:cs="Times-Roman"/>
                <w:lang w:val="en-US"/>
              </w:rPr>
              <w:t xml:space="preserve"> </w:t>
            </w:r>
          </w:p>
        </w:tc>
        <w:tc>
          <w:tcPr>
            <w:tcW w:w="4253" w:type="dxa"/>
          </w:tcPr>
          <w:p w14:paraId="0FFEBB64" w14:textId="77777777" w:rsidR="000074EB" w:rsidRPr="007D089C" w:rsidRDefault="000074EB" w:rsidP="00C141DD">
            <w:pPr>
              <w:autoSpaceDE w:val="0"/>
              <w:autoSpaceDN w:val="0"/>
              <w:adjustRightInd w:val="0"/>
              <w:rPr>
                <w:rFonts w:ascii="Times-Roman" w:hAnsi="Times-Roman" w:cs="Times-Roman"/>
                <w:lang w:val="en-US"/>
              </w:rPr>
            </w:pPr>
          </w:p>
          <w:p w14:paraId="3A67AD1E" w14:textId="6E5172C1"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RW.CITE{{2019 Juhasz,P. 2011}}</w:instrText>
            </w:r>
            <w:r w:rsidRPr="007D089C">
              <w:rPr>
                <w:rFonts w:ascii="Times-Roman" w:hAnsi="Times-Roman" w:cs="Times-Roman"/>
                <w:lang w:val="en-US"/>
              </w:rPr>
              <w:fldChar w:fldCharType="separate"/>
            </w:r>
            <w:r w:rsidR="00C77B76">
              <w:rPr>
                <w:rFonts w:ascii="Times-Roman" w:hAnsi="Times-Roman" w:cs="Times-Roman"/>
                <w:lang w:val="en-US"/>
              </w:rPr>
              <w:t>(Juhasz et al., 2011)</w:t>
            </w:r>
            <w:r w:rsidRPr="007D089C">
              <w:rPr>
                <w:rFonts w:ascii="Times-Roman" w:hAnsi="Times-Roman" w:cs="Times-Roman"/>
                <w:lang w:val="en-US"/>
              </w:rPr>
              <w:fldChar w:fldCharType="end"/>
            </w:r>
          </w:p>
          <w:p w14:paraId="36691DCF" w14:textId="7A9B8B3E"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RW.CITE{{2104 Lin,D. 2011}}</w:instrText>
            </w:r>
            <w:r w:rsidRPr="007D089C">
              <w:rPr>
                <w:rFonts w:ascii="Times-Roman" w:hAnsi="Times-Roman" w:cs="Times-Roman"/>
                <w:lang w:val="en-US"/>
              </w:rPr>
              <w:fldChar w:fldCharType="separate"/>
            </w:r>
            <w:r w:rsidR="00C77B76">
              <w:rPr>
                <w:rFonts w:ascii="Times-Roman" w:hAnsi="Times-Roman" w:cs="Times-Roman"/>
                <w:lang w:val="en-US"/>
              </w:rPr>
              <w:t>(Lin et al., 2011)</w:t>
            </w:r>
            <w:r w:rsidRPr="007D089C">
              <w:rPr>
                <w:rFonts w:ascii="Times-Roman" w:hAnsi="Times-Roman" w:cs="Times-Roman"/>
                <w:lang w:val="en-US"/>
              </w:rPr>
              <w:fldChar w:fldCharType="end"/>
            </w:r>
          </w:p>
          <w:p w14:paraId="79A953BB" w14:textId="0F365F52" w:rsidR="000074EB" w:rsidRPr="007D089C" w:rsidRDefault="000074EB" w:rsidP="00C141DD">
            <w:pPr>
              <w:autoSpaceDE w:val="0"/>
              <w:autoSpaceDN w:val="0"/>
              <w:adjustRightInd w:val="0"/>
              <w:rPr>
                <w:rFonts w:ascii="timesroman" w:hAnsi="timesroman"/>
                <w:lang w:val="en-US"/>
              </w:rPr>
            </w:pPr>
            <w:r w:rsidRPr="007D089C">
              <w:rPr>
                <w:rFonts w:ascii="timesroman" w:hAnsi="timesroman"/>
                <w:lang w:val="en-US"/>
              </w:rPr>
              <w:fldChar w:fldCharType="begin"/>
            </w:r>
            <w:r w:rsidRPr="007D089C">
              <w:rPr>
                <w:rFonts w:ascii="timesroman" w:hAnsi="timesroman"/>
                <w:lang w:val="en-US"/>
              </w:rPr>
              <w:instrText>ADDIN RW.CITE{{2138 Keshishian,H. 2015}}</w:instrText>
            </w:r>
            <w:r w:rsidRPr="007D089C">
              <w:rPr>
                <w:rFonts w:ascii="timesroman" w:hAnsi="timesroman"/>
                <w:lang w:val="en-US"/>
              </w:rPr>
              <w:fldChar w:fldCharType="separate"/>
            </w:r>
            <w:r w:rsidR="00C77B76">
              <w:rPr>
                <w:rFonts w:ascii="timesroman" w:hAnsi="timesroman"/>
                <w:lang w:val="en-US"/>
              </w:rPr>
              <w:t>(Keshishian et al., 2015)</w:t>
            </w:r>
            <w:r w:rsidRPr="007D089C">
              <w:rPr>
                <w:rFonts w:ascii="timesroman" w:hAnsi="timesroman"/>
                <w:lang w:val="en-US"/>
              </w:rPr>
              <w:fldChar w:fldCharType="end"/>
            </w:r>
          </w:p>
          <w:p w14:paraId="6FFE1C59" w14:textId="1E30B207"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lang w:val="en-US"/>
              </w:rPr>
              <w:fldChar w:fldCharType="begin"/>
            </w:r>
            <w:r w:rsidRPr="007D089C">
              <w:rPr>
                <w:rFonts w:ascii="timesroman" w:hAnsi="timesroman"/>
                <w:lang w:val="en-US"/>
              </w:rPr>
              <w:instrText>ADDIN RW.CITE{{1989 Tan,H.T. 2013}}</w:instrText>
            </w:r>
            <w:r w:rsidRPr="007D089C">
              <w:rPr>
                <w:rFonts w:ascii="timesroman" w:hAnsi="timesroman"/>
                <w:lang w:val="en-US"/>
              </w:rPr>
              <w:fldChar w:fldCharType="separate"/>
            </w:r>
            <w:r w:rsidR="00C77B76">
              <w:rPr>
                <w:rFonts w:ascii="timesroman" w:hAnsi="timesroman"/>
                <w:lang w:val="en-US"/>
              </w:rPr>
              <w:t>(H. T. Tan et al., 2013)</w:t>
            </w:r>
            <w:r w:rsidRPr="007D089C">
              <w:rPr>
                <w:rFonts w:ascii="timesroman" w:hAnsi="timesroman"/>
                <w:lang w:val="en-US"/>
              </w:rPr>
              <w:fldChar w:fldCharType="end"/>
            </w:r>
          </w:p>
        </w:tc>
      </w:tr>
      <w:tr w:rsidR="000074EB" w:rsidRPr="007D089C" w14:paraId="52D0D4D9" w14:textId="77777777" w:rsidTr="00334738">
        <w:tc>
          <w:tcPr>
            <w:tcW w:w="5098" w:type="dxa"/>
            <w:vAlign w:val="center"/>
          </w:tcPr>
          <w:p w14:paraId="4A3C0CCB" w14:textId="050E825D"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t>Coronary heart disease</w:t>
            </w:r>
            <w:r w:rsidR="00670428" w:rsidRPr="007D089C">
              <w:rPr>
                <w:rFonts w:ascii="Times-Roman" w:hAnsi="Times-Roman" w:cs="Times-Roman"/>
                <w:lang w:val="en-US"/>
              </w:rPr>
              <w:t xml:space="preserve">-     </w:t>
            </w:r>
            <w:r w:rsidR="00B900CD">
              <w:rPr>
                <w:rFonts w:ascii="Times-Roman" w:hAnsi="Times-Roman" w:cs="Times-Roman"/>
                <w:lang w:val="en-US"/>
              </w:rPr>
              <w:t>H</w:t>
            </w:r>
            <w:r w:rsidR="00670428" w:rsidRPr="007D089C">
              <w:rPr>
                <w:rFonts w:ascii="Times-Roman" w:hAnsi="Times-Roman" w:cs="Times-Roman"/>
                <w:lang w:val="en-US"/>
              </w:rPr>
              <w:t>uman:</w:t>
            </w:r>
          </w:p>
          <w:p w14:paraId="7CC391A0" w14:textId="6F4D94CA" w:rsidR="000074EB" w:rsidRPr="007D089C" w:rsidRDefault="000074EB" w:rsidP="00670428">
            <w:pPr>
              <w:pStyle w:val="ListParagraph"/>
              <w:numPr>
                <w:ilvl w:val="0"/>
                <w:numId w:val="12"/>
              </w:numPr>
              <w:autoSpaceDE w:val="0"/>
              <w:autoSpaceDN w:val="0"/>
              <w:adjustRightInd w:val="0"/>
              <w:rPr>
                <w:rFonts w:ascii="Times-Roman" w:hAnsi="Times-Roman" w:cs="Times-Roman"/>
                <w:lang w:val="en-US"/>
              </w:rPr>
            </w:pPr>
            <w:r w:rsidRPr="007D089C">
              <w:rPr>
                <w:rFonts w:ascii="Times-Roman" w:hAnsi="Times-Roman" w:cs="Times-Roman"/>
                <w:lang w:val="en-US"/>
              </w:rPr>
              <w:t>Mouse model</w:t>
            </w:r>
            <w:r w:rsidR="00670428" w:rsidRPr="007D089C">
              <w:rPr>
                <w:rFonts w:ascii="Times-Roman" w:hAnsi="Times-Roman" w:cs="Times-Roman"/>
                <w:lang w:val="en-US"/>
              </w:rPr>
              <w:t>:</w:t>
            </w:r>
          </w:p>
        </w:tc>
        <w:tc>
          <w:tcPr>
            <w:tcW w:w="4253" w:type="dxa"/>
          </w:tcPr>
          <w:p w14:paraId="75B69BB6" w14:textId="6F1DF464"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RW.CITE{{2137 Yan,L.R. 2014}}</w:instrText>
            </w:r>
            <w:r w:rsidRPr="007D089C">
              <w:rPr>
                <w:rFonts w:ascii="Times-Roman" w:hAnsi="Times-Roman" w:cs="Times-Roman"/>
                <w:lang w:val="en-US"/>
              </w:rPr>
              <w:fldChar w:fldCharType="separate"/>
            </w:r>
            <w:r w:rsidR="00C77B76">
              <w:rPr>
                <w:rFonts w:ascii="Times-Roman" w:hAnsi="Times-Roman" w:cs="Times-Roman"/>
                <w:lang w:val="en-US"/>
              </w:rPr>
              <w:t>(Yan et al., 2014)</w:t>
            </w:r>
            <w:r w:rsidRPr="007D089C">
              <w:rPr>
                <w:rFonts w:ascii="Times-Roman" w:hAnsi="Times-Roman" w:cs="Times-Roman"/>
                <w:lang w:val="en-US"/>
              </w:rPr>
              <w:fldChar w:fldCharType="end"/>
            </w:r>
          </w:p>
          <w:p w14:paraId="7980873B" w14:textId="01DE046F"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RW.CITE{{2007 Jing,L. 2011}}</w:instrText>
            </w:r>
            <w:r w:rsidRPr="007D089C">
              <w:rPr>
                <w:rFonts w:ascii="Times-Roman" w:hAnsi="Times-Roman" w:cs="Times-Roman"/>
                <w:lang w:val="en-US"/>
              </w:rPr>
              <w:fldChar w:fldCharType="separate"/>
            </w:r>
            <w:r w:rsidR="00C77B76">
              <w:rPr>
                <w:rFonts w:ascii="Times-Roman" w:hAnsi="Times-Roman" w:cs="Times-Roman"/>
                <w:lang w:val="en-US"/>
              </w:rPr>
              <w:t>(Jing et al., 2011)</w:t>
            </w:r>
            <w:r w:rsidRPr="007D089C">
              <w:rPr>
                <w:rFonts w:ascii="Times-Roman" w:hAnsi="Times-Roman" w:cs="Times-Roman"/>
                <w:lang w:val="en-US"/>
              </w:rPr>
              <w:fldChar w:fldCharType="end"/>
            </w:r>
          </w:p>
        </w:tc>
      </w:tr>
      <w:tr w:rsidR="000074EB" w:rsidRPr="007D089C" w14:paraId="2516C55E" w14:textId="77777777" w:rsidTr="004E6DFE">
        <w:trPr>
          <w:trHeight w:val="71"/>
        </w:trPr>
        <w:tc>
          <w:tcPr>
            <w:tcW w:w="5098" w:type="dxa"/>
            <w:vAlign w:val="center"/>
          </w:tcPr>
          <w:p w14:paraId="308270C2" w14:textId="77777777"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t>Atherosclerosis</w:t>
            </w:r>
          </w:p>
        </w:tc>
        <w:tc>
          <w:tcPr>
            <w:tcW w:w="4253" w:type="dxa"/>
          </w:tcPr>
          <w:p w14:paraId="172C99D9" w14:textId="29A5A6F2" w:rsidR="000074EB" w:rsidRPr="007D089C" w:rsidRDefault="004E6DFE"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RW.CITE{{3074 Kristensen,L.P. 2014; 3114 Li,J. 2017}}</w:instrText>
            </w:r>
            <w:r w:rsidRPr="007D089C">
              <w:rPr>
                <w:rFonts w:ascii="Times-Roman" w:hAnsi="Times-Roman" w:cs="Times-Roman"/>
                <w:lang w:val="en-US"/>
              </w:rPr>
              <w:fldChar w:fldCharType="separate"/>
            </w:r>
            <w:r w:rsidR="00C77B76">
              <w:rPr>
                <w:rFonts w:ascii="Times-Roman" w:hAnsi="Times-Roman" w:cs="Times-Roman"/>
                <w:lang w:val="en-US"/>
              </w:rPr>
              <w:t>(Kristensen et al., 2014; J. Li et al., 2017)</w:t>
            </w:r>
            <w:r w:rsidRPr="007D089C">
              <w:rPr>
                <w:rFonts w:ascii="Times-Roman" w:hAnsi="Times-Roman" w:cs="Times-Roman"/>
                <w:lang w:val="en-US"/>
              </w:rPr>
              <w:fldChar w:fldCharType="end"/>
            </w:r>
          </w:p>
        </w:tc>
      </w:tr>
      <w:tr w:rsidR="000074EB" w:rsidRPr="007D089C" w14:paraId="24EA2697" w14:textId="77777777" w:rsidTr="00334738">
        <w:tc>
          <w:tcPr>
            <w:tcW w:w="5098" w:type="dxa"/>
            <w:vAlign w:val="center"/>
          </w:tcPr>
          <w:p w14:paraId="759E6F14" w14:textId="77777777" w:rsidR="000074EB" w:rsidRPr="007D089C" w:rsidRDefault="000074EB" w:rsidP="00C141DD">
            <w:pPr>
              <w:autoSpaceDE w:val="0"/>
              <w:autoSpaceDN w:val="0"/>
              <w:adjustRightInd w:val="0"/>
              <w:rPr>
                <w:rFonts w:ascii="Times-Roman" w:hAnsi="Times-Roman" w:cs="Times-Roman"/>
                <w:b/>
                <w:u w:val="single"/>
                <w:lang w:val="en-US"/>
              </w:rPr>
            </w:pPr>
            <w:r w:rsidRPr="007D089C">
              <w:rPr>
                <w:rFonts w:ascii="Times-Roman" w:hAnsi="Times-Roman" w:cs="Times-Roman"/>
                <w:b/>
                <w:u w:val="single"/>
                <w:lang w:val="en-US"/>
              </w:rPr>
              <w:t>Stroke</w:t>
            </w:r>
          </w:p>
          <w:p w14:paraId="5A183A7D" w14:textId="0E52047E"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lang w:val="en-US"/>
              </w:rPr>
              <w:t>Acute ischemic stroke</w:t>
            </w:r>
            <w:r w:rsidR="00670428" w:rsidRPr="007D089C">
              <w:rPr>
                <w:rFonts w:ascii="timesroman" w:hAnsi="timesroman"/>
                <w:lang w:val="en-US"/>
              </w:rPr>
              <w:t>.</w:t>
            </w:r>
          </w:p>
          <w:p w14:paraId="6E88C0B9" w14:textId="7B831A08"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t>Lacunar infarction</w:t>
            </w:r>
            <w:r w:rsidR="00670428" w:rsidRPr="007D089C">
              <w:rPr>
                <w:rFonts w:ascii="Times-Roman" w:hAnsi="Times-Roman" w:cs="Times-Roman"/>
                <w:lang w:val="en-US"/>
              </w:rPr>
              <w:t>:</w:t>
            </w:r>
          </w:p>
          <w:p w14:paraId="0F5667F4" w14:textId="6F8A90F3"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t>Post stroke  depression</w:t>
            </w:r>
            <w:r w:rsidR="00670428" w:rsidRPr="007D089C">
              <w:rPr>
                <w:rFonts w:ascii="Times-Roman" w:hAnsi="Times-Roman" w:cs="Times-Roman"/>
                <w:lang w:val="en-US"/>
              </w:rPr>
              <w:t>:</w:t>
            </w:r>
          </w:p>
          <w:p w14:paraId="00DEC11A" w14:textId="31E7B7C9"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t>Cerebral aneurysm</w:t>
            </w:r>
            <w:r w:rsidR="00670428" w:rsidRPr="007D089C">
              <w:rPr>
                <w:rFonts w:ascii="Times-Roman" w:hAnsi="Times-Roman" w:cs="Times-Roman"/>
                <w:lang w:val="en-US"/>
              </w:rPr>
              <w:t>:</w:t>
            </w:r>
            <w:r w:rsidRPr="007D089C">
              <w:rPr>
                <w:rFonts w:ascii="Times-Roman" w:hAnsi="Times-Roman" w:cs="Times-Roman"/>
                <w:lang w:val="en-US"/>
              </w:rPr>
              <w:t xml:space="preserve"> </w:t>
            </w:r>
          </w:p>
          <w:p w14:paraId="7CA2C487" w14:textId="18ABD7F2"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t>Pharmokinetic</w:t>
            </w:r>
            <w:r w:rsidR="00B900CD">
              <w:rPr>
                <w:rFonts w:ascii="Times-Roman" w:hAnsi="Times-Roman" w:cs="Times-Roman"/>
                <w:lang w:val="en-US"/>
              </w:rPr>
              <w:t>s</w:t>
            </w:r>
            <w:r w:rsidRPr="007D089C">
              <w:rPr>
                <w:rFonts w:ascii="Times-Roman" w:hAnsi="Times-Roman" w:cs="Times-Roman"/>
                <w:lang w:val="en-US"/>
              </w:rPr>
              <w:t xml:space="preserve"> (warfarin): </w:t>
            </w:r>
          </w:p>
          <w:p w14:paraId="0B5A7731" w14:textId="77777777"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lang w:val="en-US"/>
              </w:rPr>
              <w:t>Cardiac biomarker discovery using isoproterenol-treated nonhuman primates:</w:t>
            </w:r>
            <w:r w:rsidRPr="007D089C">
              <w:rPr>
                <w:rFonts w:ascii="Times-Roman" w:hAnsi="Times-Roman" w:cs="Times-Roman"/>
                <w:lang w:val="en-US"/>
              </w:rPr>
              <w:t xml:space="preserve"> </w:t>
            </w:r>
          </w:p>
        </w:tc>
        <w:tc>
          <w:tcPr>
            <w:tcW w:w="4253" w:type="dxa"/>
          </w:tcPr>
          <w:p w14:paraId="289B5377" w14:textId="77777777" w:rsidR="000074EB" w:rsidRPr="007D089C" w:rsidRDefault="000074EB" w:rsidP="00C141DD">
            <w:pPr>
              <w:autoSpaceDE w:val="0"/>
              <w:autoSpaceDN w:val="0"/>
              <w:adjustRightInd w:val="0"/>
              <w:rPr>
                <w:rFonts w:ascii="timesroman" w:hAnsi="timesroman"/>
                <w:lang w:val="en-US"/>
              </w:rPr>
            </w:pPr>
          </w:p>
          <w:p w14:paraId="69DDCCB4" w14:textId="1B352798"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lang w:val="en-US"/>
              </w:rPr>
              <w:fldChar w:fldCharType="begin"/>
            </w:r>
            <w:r w:rsidRPr="007D089C">
              <w:rPr>
                <w:rFonts w:ascii="timesroman" w:hAnsi="timesroman"/>
                <w:lang w:val="en-US"/>
              </w:rPr>
              <w:instrText>ADDIN RW.CITE{{2095 Sharma,R. 2015}}</w:instrText>
            </w:r>
            <w:r w:rsidRPr="007D089C">
              <w:rPr>
                <w:rFonts w:ascii="timesroman" w:hAnsi="timesroman"/>
                <w:lang w:val="en-US"/>
              </w:rPr>
              <w:fldChar w:fldCharType="separate"/>
            </w:r>
            <w:r w:rsidR="00C77B76">
              <w:rPr>
                <w:rFonts w:ascii="timesroman" w:hAnsi="timesroman"/>
                <w:lang w:val="en-US"/>
              </w:rPr>
              <w:t>(Sharma et al., 2015)</w:t>
            </w:r>
            <w:r w:rsidRPr="007D089C">
              <w:rPr>
                <w:rFonts w:ascii="timesroman" w:hAnsi="timesroman"/>
                <w:lang w:val="en-US"/>
              </w:rPr>
              <w:fldChar w:fldCharType="end"/>
            </w:r>
          </w:p>
          <w:p w14:paraId="7D02F260" w14:textId="71CF6B40"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RW.CITE{{2035 Datta,A. 2014}}</w:instrText>
            </w:r>
            <w:r w:rsidRPr="007D089C">
              <w:rPr>
                <w:rFonts w:ascii="Times-Roman" w:hAnsi="Times-Roman" w:cs="Times-Roman"/>
                <w:lang w:val="en-US"/>
              </w:rPr>
              <w:fldChar w:fldCharType="separate"/>
            </w:r>
            <w:r w:rsidR="00C77B76">
              <w:rPr>
                <w:rFonts w:ascii="Times-Roman" w:hAnsi="Times-Roman" w:cs="Times-Roman"/>
                <w:lang w:val="en-US"/>
              </w:rPr>
              <w:t>(A. Datta et al., 2014)</w:t>
            </w:r>
            <w:r w:rsidRPr="007D089C">
              <w:rPr>
                <w:rFonts w:ascii="Times-Roman" w:hAnsi="Times-Roman" w:cs="Times-Roman"/>
                <w:lang w:val="en-US"/>
              </w:rPr>
              <w:fldChar w:fldCharType="end"/>
            </w:r>
          </w:p>
          <w:p w14:paraId="751936AC" w14:textId="1FB0F0A7"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RW.CITE{{2123 Zhan,Y. 2014}}</w:instrText>
            </w:r>
            <w:r w:rsidRPr="007D089C">
              <w:rPr>
                <w:rFonts w:ascii="Times-Roman" w:hAnsi="Times-Roman" w:cs="Times-Roman"/>
                <w:lang w:val="en-US"/>
              </w:rPr>
              <w:fldChar w:fldCharType="separate"/>
            </w:r>
            <w:r w:rsidR="00C77B76">
              <w:rPr>
                <w:rFonts w:ascii="Times-Roman" w:hAnsi="Times-Roman" w:cs="Times-Roman"/>
                <w:lang w:val="en-US"/>
              </w:rPr>
              <w:t>(Zhan et al., 2014)</w:t>
            </w:r>
            <w:r w:rsidRPr="007D089C">
              <w:rPr>
                <w:rFonts w:ascii="Times-Roman" w:hAnsi="Times-Roman" w:cs="Times-Roman"/>
                <w:lang w:val="en-US"/>
              </w:rPr>
              <w:fldChar w:fldCharType="end"/>
            </w:r>
          </w:p>
          <w:p w14:paraId="6353509B" w14:textId="249EFDB1"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RW.CITE{{2202 Azurmendi,L. 2015}}</w:instrText>
            </w:r>
            <w:r w:rsidRPr="007D089C">
              <w:rPr>
                <w:rFonts w:ascii="Times-Roman" w:hAnsi="Times-Roman" w:cs="Times-Roman"/>
                <w:lang w:val="en-US"/>
              </w:rPr>
              <w:fldChar w:fldCharType="separate"/>
            </w:r>
            <w:r w:rsidR="00C77B76">
              <w:rPr>
                <w:rFonts w:ascii="Times-Roman" w:hAnsi="Times-Roman" w:cs="Times-Roman"/>
                <w:lang w:val="en-US"/>
              </w:rPr>
              <w:t>(Azurmendi et al., 2015)</w:t>
            </w:r>
            <w:r w:rsidRPr="007D089C">
              <w:rPr>
                <w:rFonts w:ascii="Times-Roman" w:hAnsi="Times-Roman" w:cs="Times-Roman"/>
                <w:lang w:val="en-US"/>
              </w:rPr>
              <w:fldChar w:fldCharType="end"/>
            </w:r>
          </w:p>
          <w:p w14:paraId="0E482859" w14:textId="3421288E"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RW.CITE{{2120 Saminathan,R. 2010}}</w:instrText>
            </w:r>
            <w:r w:rsidRPr="007D089C">
              <w:rPr>
                <w:rFonts w:ascii="Times-Roman" w:hAnsi="Times-Roman" w:cs="Times-Roman"/>
                <w:lang w:val="en-US"/>
              </w:rPr>
              <w:fldChar w:fldCharType="separate"/>
            </w:r>
            <w:r w:rsidR="00C77B76">
              <w:rPr>
                <w:rFonts w:ascii="Times-Roman" w:hAnsi="Times-Roman" w:cs="Times-Roman"/>
                <w:lang w:val="en-US"/>
              </w:rPr>
              <w:t>(Saminathan et al., 2010)</w:t>
            </w:r>
            <w:r w:rsidRPr="007D089C">
              <w:rPr>
                <w:rFonts w:ascii="Times-Roman" w:hAnsi="Times-Roman" w:cs="Times-Roman"/>
                <w:lang w:val="en-US"/>
              </w:rPr>
              <w:fldChar w:fldCharType="end"/>
            </w:r>
          </w:p>
          <w:p w14:paraId="0140903D" w14:textId="58DE3807"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lang w:val="en-US"/>
              </w:rPr>
              <w:fldChar w:fldCharType="begin"/>
            </w:r>
            <w:r w:rsidRPr="007D089C">
              <w:rPr>
                <w:rFonts w:ascii="timesroman" w:hAnsi="timesroman"/>
                <w:lang w:val="en-US"/>
              </w:rPr>
              <w:instrText>ADDIN RW.CITE{{2121 Song,B. 2014}}</w:instrText>
            </w:r>
            <w:r w:rsidRPr="007D089C">
              <w:rPr>
                <w:rFonts w:ascii="timesroman" w:hAnsi="timesroman"/>
                <w:lang w:val="en-US"/>
              </w:rPr>
              <w:fldChar w:fldCharType="separate"/>
            </w:r>
            <w:r w:rsidR="00C77B76">
              <w:rPr>
                <w:rFonts w:ascii="timesroman" w:hAnsi="timesroman"/>
                <w:lang w:val="en-US"/>
              </w:rPr>
              <w:t>(B. Song et al., 2014)</w:t>
            </w:r>
            <w:r w:rsidRPr="007D089C">
              <w:rPr>
                <w:rFonts w:ascii="timesroman" w:hAnsi="timesroman"/>
                <w:lang w:val="en-US"/>
              </w:rPr>
              <w:fldChar w:fldCharType="end"/>
            </w:r>
            <w:r w:rsidRPr="007D089C">
              <w:rPr>
                <w:rFonts w:ascii="timesroman" w:hAnsi="timesroman"/>
                <w:lang w:val="en-US"/>
              </w:rPr>
              <w:fldChar w:fldCharType="begin"/>
            </w:r>
            <w:r w:rsidRPr="007D089C">
              <w:rPr>
                <w:rFonts w:ascii="timesroman" w:hAnsi="timesroman"/>
                <w:lang w:val="en-US"/>
              </w:rPr>
              <w:instrText>ADDIN RW.CITE{{2209 Liu,Y. 2013}}</w:instrText>
            </w:r>
            <w:r w:rsidRPr="007D089C">
              <w:rPr>
                <w:rFonts w:ascii="timesroman" w:hAnsi="timesroman"/>
                <w:lang w:val="en-US"/>
              </w:rPr>
              <w:fldChar w:fldCharType="separate"/>
            </w:r>
            <w:r w:rsidR="00C77B76">
              <w:rPr>
                <w:rFonts w:ascii="timesroman" w:hAnsi="timesroman"/>
                <w:lang w:val="en-US"/>
              </w:rPr>
              <w:t>(Y. Liu et al., 2013)</w:t>
            </w:r>
            <w:r w:rsidRPr="007D089C">
              <w:rPr>
                <w:rFonts w:ascii="timesroman" w:hAnsi="timesroman"/>
                <w:lang w:val="en-US"/>
              </w:rPr>
              <w:fldChar w:fldCharType="end"/>
            </w:r>
          </w:p>
        </w:tc>
      </w:tr>
      <w:tr w:rsidR="000074EB" w:rsidRPr="007D089C" w14:paraId="7EA8EF62" w14:textId="77777777" w:rsidTr="00334738">
        <w:tc>
          <w:tcPr>
            <w:tcW w:w="5098" w:type="dxa"/>
            <w:vAlign w:val="center"/>
          </w:tcPr>
          <w:p w14:paraId="45D72BB3" w14:textId="77777777" w:rsidR="000074EB" w:rsidRPr="007D089C" w:rsidRDefault="000074EB" w:rsidP="00C141DD">
            <w:pPr>
              <w:autoSpaceDE w:val="0"/>
              <w:autoSpaceDN w:val="0"/>
              <w:adjustRightInd w:val="0"/>
              <w:rPr>
                <w:rFonts w:ascii="Times-Roman" w:hAnsi="Times-Roman" w:cs="Times-Roman"/>
                <w:b/>
                <w:u w:val="single"/>
                <w:lang w:val="en-US"/>
              </w:rPr>
            </w:pPr>
            <w:r w:rsidRPr="007D089C">
              <w:rPr>
                <w:rFonts w:ascii="Times-Roman" w:hAnsi="Times-Roman" w:cs="Times-Roman"/>
                <w:b/>
                <w:u w:val="single"/>
                <w:lang w:val="en-US"/>
              </w:rPr>
              <w:t>Heart surgery</w:t>
            </w:r>
          </w:p>
          <w:p w14:paraId="6AB443E2" w14:textId="21825717"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t>Cardiopulmonary bypass surgery</w:t>
            </w:r>
            <w:r w:rsidR="00670428" w:rsidRPr="007D089C">
              <w:rPr>
                <w:rFonts w:ascii="Times-Roman" w:hAnsi="Times-Roman" w:cs="Times-Roman"/>
                <w:lang w:val="en-US"/>
              </w:rPr>
              <w:t>:</w:t>
            </w:r>
          </w:p>
          <w:p w14:paraId="209D3322" w14:textId="2053C242"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t xml:space="preserve">Transplant </w:t>
            </w:r>
            <w:r w:rsidR="00670428" w:rsidRPr="007D089C">
              <w:rPr>
                <w:rFonts w:ascii="Times-Roman" w:hAnsi="Times-Roman" w:cs="Times-Roman"/>
                <w:lang w:val="en-US"/>
              </w:rPr>
              <w:t>:</w:t>
            </w:r>
          </w:p>
          <w:p w14:paraId="49BF66C2" w14:textId="48501A98"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t>After  valve replacement</w:t>
            </w:r>
            <w:r w:rsidR="00670428" w:rsidRPr="007D089C">
              <w:rPr>
                <w:rFonts w:ascii="Times-Roman" w:hAnsi="Times-Roman" w:cs="Times-Roman"/>
                <w:lang w:val="en-US"/>
              </w:rPr>
              <w:t>:</w:t>
            </w:r>
          </w:p>
        </w:tc>
        <w:tc>
          <w:tcPr>
            <w:tcW w:w="4253" w:type="dxa"/>
          </w:tcPr>
          <w:p w14:paraId="4ED5FE49" w14:textId="77777777" w:rsidR="000074EB" w:rsidRPr="007D089C" w:rsidRDefault="000074EB" w:rsidP="00C141DD">
            <w:pPr>
              <w:autoSpaceDE w:val="0"/>
              <w:autoSpaceDN w:val="0"/>
              <w:adjustRightInd w:val="0"/>
              <w:rPr>
                <w:rFonts w:ascii="Times-Roman" w:hAnsi="Times-Roman" w:cs="Times-Roman"/>
                <w:lang w:val="en-US"/>
              </w:rPr>
            </w:pPr>
          </w:p>
          <w:p w14:paraId="0289203F" w14:textId="1F1DB041"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RW.CITE{{2112 Oda,T. 2014}}</w:instrText>
            </w:r>
            <w:r w:rsidRPr="007D089C">
              <w:rPr>
                <w:rFonts w:ascii="Times-Roman" w:hAnsi="Times-Roman" w:cs="Times-Roman"/>
                <w:lang w:val="en-US"/>
              </w:rPr>
              <w:fldChar w:fldCharType="separate"/>
            </w:r>
            <w:r w:rsidR="00C77B76">
              <w:rPr>
                <w:rFonts w:ascii="Times-Roman" w:hAnsi="Times-Roman" w:cs="Times-Roman"/>
                <w:lang w:val="en-US"/>
              </w:rPr>
              <w:t>(Oda et al., 2014)</w:t>
            </w:r>
            <w:r w:rsidRPr="007D089C">
              <w:rPr>
                <w:rFonts w:ascii="Times-Roman" w:hAnsi="Times-Roman" w:cs="Times-Roman"/>
                <w:lang w:val="en-US"/>
              </w:rPr>
              <w:fldChar w:fldCharType="end"/>
            </w:r>
          </w:p>
          <w:p w14:paraId="61A6CFAD" w14:textId="7538C79B"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RW.CITE{{2103 Lin,D. 2013; 2101 Hollander,Z. 2014}}</w:instrText>
            </w:r>
            <w:r w:rsidRPr="007D089C">
              <w:rPr>
                <w:rFonts w:ascii="Times-Roman" w:hAnsi="Times-Roman" w:cs="Times-Roman"/>
                <w:lang w:val="en-US"/>
              </w:rPr>
              <w:fldChar w:fldCharType="separate"/>
            </w:r>
            <w:r w:rsidR="00C77B76">
              <w:rPr>
                <w:rFonts w:ascii="Times-Roman" w:hAnsi="Times-Roman" w:cs="Times-Roman"/>
                <w:lang w:val="en-US"/>
              </w:rPr>
              <w:t>(Hollander et al., 2014; Lin et al., 2013)</w:t>
            </w:r>
            <w:r w:rsidRPr="007D089C">
              <w:rPr>
                <w:rFonts w:ascii="Times-Roman" w:hAnsi="Times-Roman" w:cs="Times-Roman"/>
                <w:lang w:val="en-US"/>
              </w:rPr>
              <w:fldChar w:fldCharType="end"/>
            </w:r>
          </w:p>
          <w:p w14:paraId="577A01EE" w14:textId="41543327"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RW.CITE{{2141 Satoh,K. 2015}}</w:instrText>
            </w:r>
            <w:r w:rsidRPr="007D089C">
              <w:rPr>
                <w:rFonts w:ascii="Times-Roman" w:hAnsi="Times-Roman" w:cs="Times-Roman"/>
                <w:lang w:val="en-US"/>
              </w:rPr>
              <w:fldChar w:fldCharType="separate"/>
            </w:r>
            <w:r w:rsidR="00C77B76">
              <w:rPr>
                <w:rFonts w:ascii="Times-Roman" w:hAnsi="Times-Roman" w:cs="Times-Roman"/>
                <w:lang w:val="en-US"/>
              </w:rPr>
              <w:t>(Satoh et al., 2015)</w:t>
            </w:r>
            <w:r w:rsidRPr="007D089C">
              <w:rPr>
                <w:rFonts w:ascii="Times-Roman" w:hAnsi="Times-Roman" w:cs="Times-Roman"/>
                <w:lang w:val="en-US"/>
              </w:rPr>
              <w:fldChar w:fldCharType="end"/>
            </w:r>
          </w:p>
        </w:tc>
      </w:tr>
      <w:tr w:rsidR="000074EB" w:rsidRPr="007D089C" w14:paraId="0630D82F" w14:textId="77777777" w:rsidTr="00C77B76">
        <w:trPr>
          <w:trHeight w:val="457"/>
        </w:trPr>
        <w:tc>
          <w:tcPr>
            <w:tcW w:w="5098" w:type="dxa"/>
            <w:vAlign w:val="center"/>
          </w:tcPr>
          <w:p w14:paraId="31F48055" w14:textId="44191109" w:rsidR="000074EB" w:rsidRPr="007D089C" w:rsidRDefault="000074EB" w:rsidP="00C141DD">
            <w:pPr>
              <w:autoSpaceDE w:val="0"/>
              <w:autoSpaceDN w:val="0"/>
              <w:adjustRightInd w:val="0"/>
              <w:rPr>
                <w:rFonts w:ascii="timesroman" w:hAnsi="timesroman"/>
                <w:lang w:val="en-US"/>
              </w:rPr>
            </w:pPr>
            <w:r w:rsidRPr="007D089C">
              <w:rPr>
                <w:rFonts w:ascii="timesroman" w:hAnsi="timesroman"/>
                <w:lang w:val="en-US"/>
              </w:rPr>
              <w:t>Legg-Calve-Perthes disease</w:t>
            </w:r>
            <w:r w:rsidR="00670428" w:rsidRPr="007D089C">
              <w:rPr>
                <w:rFonts w:ascii="timesroman" w:hAnsi="timesroman"/>
                <w:lang w:val="en-US"/>
              </w:rPr>
              <w:t>:</w:t>
            </w:r>
          </w:p>
          <w:p w14:paraId="0BEC0EEE" w14:textId="10AF5B9E" w:rsidR="000074EB" w:rsidRPr="00C77B76" w:rsidRDefault="000074EB" w:rsidP="00C141DD">
            <w:pPr>
              <w:autoSpaceDE w:val="0"/>
              <w:autoSpaceDN w:val="0"/>
              <w:adjustRightInd w:val="0"/>
              <w:rPr>
                <w:rFonts w:ascii="Times New Roman" w:hAnsi="Times New Roman" w:cs="Times New Roman"/>
                <w:lang w:val="en-US"/>
              </w:rPr>
            </w:pPr>
            <w:r w:rsidRPr="00C77B76">
              <w:rPr>
                <w:rFonts w:ascii="Times New Roman" w:hAnsi="Times New Roman" w:cs="Times New Roman"/>
                <w:lang w:val="en-US"/>
              </w:rPr>
              <w:t>Anders-Fabry’s Disease</w:t>
            </w:r>
            <w:r w:rsidR="00670428" w:rsidRPr="00C77B76">
              <w:rPr>
                <w:rFonts w:ascii="Times New Roman" w:hAnsi="Times New Roman" w:cs="Times New Roman"/>
                <w:lang w:val="en-US"/>
              </w:rPr>
              <w:t>:</w:t>
            </w:r>
          </w:p>
        </w:tc>
        <w:tc>
          <w:tcPr>
            <w:tcW w:w="4253" w:type="dxa"/>
          </w:tcPr>
          <w:p w14:paraId="7A056FF6" w14:textId="395A2FA6"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RW.CITE{{2193 Liu,R. 2015}}</w:instrText>
            </w:r>
            <w:r w:rsidRPr="007D089C">
              <w:rPr>
                <w:rFonts w:ascii="Times-Roman" w:hAnsi="Times-Roman" w:cs="Times-Roman"/>
                <w:lang w:val="en-US"/>
              </w:rPr>
              <w:fldChar w:fldCharType="separate"/>
            </w:r>
            <w:r w:rsidR="00C77B76">
              <w:rPr>
                <w:rFonts w:ascii="Times-Roman" w:hAnsi="Times-Roman" w:cs="Times-Roman"/>
                <w:lang w:val="en-US"/>
              </w:rPr>
              <w:t>(R. Liu et al., 2015)</w:t>
            </w:r>
            <w:r w:rsidRPr="007D089C">
              <w:rPr>
                <w:rFonts w:ascii="Times-Roman" w:hAnsi="Times-Roman" w:cs="Times-Roman"/>
                <w:lang w:val="en-US"/>
              </w:rPr>
              <w:fldChar w:fldCharType="end"/>
            </w:r>
          </w:p>
          <w:p w14:paraId="3DA536B7" w14:textId="3E29FE85" w:rsidR="000074EB" w:rsidRPr="007D089C" w:rsidRDefault="000074EB"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RW.CITE{{2100 Hollander,Z. 2015}}</w:instrText>
            </w:r>
            <w:r w:rsidRPr="007D089C">
              <w:rPr>
                <w:rFonts w:ascii="Times-Roman" w:hAnsi="Times-Roman" w:cs="Times-Roman"/>
                <w:lang w:val="en-US"/>
              </w:rPr>
              <w:fldChar w:fldCharType="separate"/>
            </w:r>
            <w:r w:rsidR="00C77B76">
              <w:rPr>
                <w:rFonts w:ascii="Times-Roman" w:hAnsi="Times-Roman" w:cs="Times-Roman"/>
                <w:lang w:val="en-US"/>
              </w:rPr>
              <w:t>(Hollander et al., 2015)</w:t>
            </w:r>
            <w:r w:rsidRPr="007D089C">
              <w:rPr>
                <w:rFonts w:ascii="Times-Roman" w:hAnsi="Times-Roman" w:cs="Times-Roman"/>
                <w:lang w:val="en-US"/>
              </w:rPr>
              <w:fldChar w:fldCharType="end"/>
            </w:r>
          </w:p>
        </w:tc>
      </w:tr>
    </w:tbl>
    <w:p w14:paraId="436F2FDC" w14:textId="77777777" w:rsidR="000074EB" w:rsidRPr="007D089C" w:rsidRDefault="000074EB" w:rsidP="00C141DD">
      <w:pPr>
        <w:rPr>
          <w:rFonts w:ascii="timesroman" w:hAnsi="timesroman"/>
          <w:b/>
          <w:lang w:val="en-US"/>
        </w:rPr>
      </w:pPr>
      <w:r w:rsidRPr="007D089C">
        <w:rPr>
          <w:rFonts w:ascii="timesroman" w:hAnsi="timesroman"/>
          <w:b/>
          <w:lang w:val="en-US"/>
        </w:rPr>
        <w:br w:type="page"/>
      </w:r>
    </w:p>
    <w:p w14:paraId="1B8BDBD9" w14:textId="77777777" w:rsidR="00AA740C" w:rsidRPr="007D089C" w:rsidRDefault="00AA740C" w:rsidP="00C141DD">
      <w:pPr>
        <w:rPr>
          <w:rFonts w:ascii="timesroman" w:hAnsi="timesroman"/>
          <w:b/>
          <w:lang w:val="en-US"/>
        </w:rPr>
        <w:sectPr w:rsidR="00AA740C" w:rsidRPr="007D089C" w:rsidSect="00334738">
          <w:pgSz w:w="16838" w:h="11906" w:orient="landscape"/>
          <w:pgMar w:top="1440" w:right="1440" w:bottom="1440" w:left="1440" w:header="708" w:footer="708" w:gutter="0"/>
          <w:cols w:space="708"/>
          <w:docGrid w:linePitch="360"/>
        </w:sectPr>
      </w:pPr>
    </w:p>
    <w:tbl>
      <w:tblPr>
        <w:tblStyle w:val="TableGrid"/>
        <w:tblW w:w="9493" w:type="dxa"/>
        <w:tblLayout w:type="fixed"/>
        <w:tblLook w:val="04A0" w:firstRow="1" w:lastRow="0" w:firstColumn="1" w:lastColumn="0" w:noHBand="0" w:noVBand="1"/>
      </w:tblPr>
      <w:tblGrid>
        <w:gridCol w:w="3964"/>
        <w:gridCol w:w="5529"/>
      </w:tblGrid>
      <w:tr w:rsidR="008635D7" w:rsidRPr="007D089C" w14:paraId="080830E8" w14:textId="77777777" w:rsidTr="008635D7">
        <w:trPr>
          <w:trHeight w:val="274"/>
        </w:trPr>
        <w:tc>
          <w:tcPr>
            <w:tcW w:w="9493" w:type="dxa"/>
            <w:gridSpan w:val="2"/>
            <w:tcBorders>
              <w:top w:val="nil"/>
              <w:left w:val="nil"/>
              <w:bottom w:val="single" w:sz="4" w:space="0" w:color="auto"/>
              <w:right w:val="nil"/>
            </w:tcBorders>
          </w:tcPr>
          <w:p w14:paraId="59AE1FD6" w14:textId="3D2697C9" w:rsidR="008635D7" w:rsidRPr="007D089C" w:rsidRDefault="008635D7" w:rsidP="008635D7">
            <w:pPr>
              <w:autoSpaceDE w:val="0"/>
              <w:autoSpaceDN w:val="0"/>
              <w:adjustRightInd w:val="0"/>
              <w:jc w:val="both"/>
              <w:rPr>
                <w:rFonts w:ascii="Times-Roman" w:hAnsi="Times-Roman" w:cs="Times-Roman"/>
                <w:b/>
                <w:lang w:val="en-US"/>
              </w:rPr>
            </w:pPr>
            <w:r w:rsidRPr="007D089C">
              <w:rPr>
                <w:rFonts w:ascii="Times-Roman" w:hAnsi="Times-Roman" w:cs="Times-Roman"/>
                <w:b/>
                <w:lang w:val="en-US"/>
              </w:rPr>
              <w:t>Table 5a</w:t>
            </w:r>
          </w:p>
        </w:tc>
      </w:tr>
      <w:tr w:rsidR="00AA740C" w:rsidRPr="007D089C" w14:paraId="7850E7FD" w14:textId="77777777" w:rsidTr="008635D7">
        <w:trPr>
          <w:trHeight w:val="274"/>
        </w:trPr>
        <w:tc>
          <w:tcPr>
            <w:tcW w:w="9493" w:type="dxa"/>
            <w:gridSpan w:val="2"/>
            <w:tcBorders>
              <w:top w:val="single" w:sz="4" w:space="0" w:color="auto"/>
            </w:tcBorders>
          </w:tcPr>
          <w:p w14:paraId="5F7DCDE6" w14:textId="77777777" w:rsidR="00AA740C" w:rsidRPr="007D089C" w:rsidRDefault="00AA740C" w:rsidP="00C141DD">
            <w:pPr>
              <w:autoSpaceDE w:val="0"/>
              <w:autoSpaceDN w:val="0"/>
              <w:adjustRightInd w:val="0"/>
              <w:rPr>
                <w:rFonts w:ascii="Times-Roman" w:hAnsi="Times-Roman" w:cs="Times-Roman"/>
                <w:b/>
                <w:sz w:val="28"/>
                <w:szCs w:val="28"/>
                <w:lang w:val="en-US"/>
              </w:rPr>
            </w:pPr>
            <w:r w:rsidRPr="007D089C">
              <w:rPr>
                <w:rFonts w:ascii="Times-Roman" w:hAnsi="Times-Roman" w:cs="Times-Roman"/>
                <w:b/>
                <w:lang w:val="en-US"/>
              </w:rPr>
              <w:t>Respiratory-lung Diseases and Disorders</w:t>
            </w:r>
            <w:r w:rsidR="005C7057" w:rsidRPr="007D089C">
              <w:rPr>
                <w:rFonts w:ascii="Times-Roman" w:hAnsi="Times-Roman" w:cs="Times-Roman"/>
                <w:b/>
                <w:lang w:val="en-US"/>
              </w:rPr>
              <w:t xml:space="preserve"> </w:t>
            </w:r>
          </w:p>
        </w:tc>
      </w:tr>
      <w:tr w:rsidR="00AA740C" w:rsidRPr="007D089C" w14:paraId="6FFDA41D" w14:textId="77777777" w:rsidTr="00C141DD">
        <w:trPr>
          <w:trHeight w:val="1542"/>
        </w:trPr>
        <w:tc>
          <w:tcPr>
            <w:tcW w:w="3964" w:type="dxa"/>
          </w:tcPr>
          <w:p w14:paraId="52E0C347" w14:textId="325A6B9B" w:rsidR="00AA740C" w:rsidRPr="007D089C" w:rsidRDefault="00AA740C" w:rsidP="00C141DD">
            <w:pPr>
              <w:autoSpaceDE w:val="0"/>
              <w:autoSpaceDN w:val="0"/>
              <w:adjustRightInd w:val="0"/>
              <w:rPr>
                <w:rFonts w:ascii="Times New Roman" w:hAnsi="Times New Roman" w:cs="Times New Roman"/>
                <w:b/>
                <w:sz w:val="22"/>
                <w:szCs w:val="22"/>
                <w:lang w:val="en-US"/>
              </w:rPr>
            </w:pPr>
            <w:r w:rsidRPr="007D089C">
              <w:rPr>
                <w:rFonts w:ascii="Times New Roman" w:hAnsi="Times New Roman" w:cs="Times New Roman"/>
                <w:sz w:val="22"/>
                <w:szCs w:val="22"/>
                <w:lang w:val="en-US"/>
              </w:rPr>
              <w:t>Asthma/allergy</w:t>
            </w:r>
            <w:r w:rsidR="00670428" w:rsidRPr="007D089C">
              <w:rPr>
                <w:rFonts w:ascii="Times New Roman" w:hAnsi="Times New Roman" w:cs="Times New Roman"/>
                <w:sz w:val="22"/>
                <w:szCs w:val="22"/>
                <w:lang w:val="en-US"/>
              </w:rPr>
              <w:t>:</w:t>
            </w:r>
          </w:p>
          <w:p w14:paraId="13B06A11" w14:textId="51DEDD6B" w:rsidR="00AA740C" w:rsidRPr="007D089C" w:rsidRDefault="00AA740C" w:rsidP="00C141DD">
            <w:pPr>
              <w:autoSpaceDE w:val="0"/>
              <w:autoSpaceDN w:val="0"/>
              <w:adjustRightInd w:val="0"/>
              <w:rPr>
                <w:rFonts w:ascii="Times New Roman" w:hAnsi="Times New Roman" w:cs="Times New Roman"/>
                <w:b/>
                <w:sz w:val="22"/>
                <w:szCs w:val="22"/>
                <w:lang w:val="en-US"/>
              </w:rPr>
            </w:pPr>
            <w:r w:rsidRPr="007D089C">
              <w:rPr>
                <w:rFonts w:ascii="Times New Roman" w:hAnsi="Times New Roman" w:cs="Times New Roman"/>
                <w:sz w:val="22"/>
                <w:szCs w:val="22"/>
                <w:lang w:val="en-US"/>
              </w:rPr>
              <w:t>ARDS (acute respiratory distress syndrome)</w:t>
            </w:r>
            <w:r w:rsidR="00670428" w:rsidRPr="007D089C">
              <w:rPr>
                <w:rFonts w:ascii="Times New Roman" w:hAnsi="Times New Roman" w:cs="Times New Roman"/>
                <w:sz w:val="22"/>
                <w:szCs w:val="22"/>
                <w:lang w:val="en-US"/>
              </w:rPr>
              <w:t>:</w:t>
            </w:r>
          </w:p>
          <w:p w14:paraId="71E1B789" w14:textId="6DE12FFB" w:rsidR="00AA740C" w:rsidRPr="007D089C" w:rsidRDefault="00AA740C" w:rsidP="00C141DD">
            <w:pPr>
              <w:autoSpaceDE w:val="0"/>
              <w:autoSpaceDN w:val="0"/>
              <w:adjustRightInd w:val="0"/>
              <w:rPr>
                <w:rFonts w:ascii="Times New Roman" w:hAnsi="Times New Roman" w:cs="Times New Roman"/>
                <w:b/>
                <w:sz w:val="22"/>
                <w:szCs w:val="22"/>
                <w:lang w:val="en-US"/>
              </w:rPr>
            </w:pPr>
            <w:r w:rsidRPr="007D089C">
              <w:rPr>
                <w:rFonts w:ascii="Times New Roman" w:hAnsi="Times New Roman" w:cs="Times New Roman"/>
                <w:sz w:val="22"/>
                <w:szCs w:val="22"/>
                <w:lang w:val="en-US"/>
              </w:rPr>
              <w:t>Obstructive sleep apnoea</w:t>
            </w:r>
            <w:r w:rsidR="00670428" w:rsidRPr="007D089C">
              <w:rPr>
                <w:rFonts w:ascii="Times New Roman" w:hAnsi="Times New Roman" w:cs="Times New Roman"/>
                <w:sz w:val="22"/>
                <w:szCs w:val="22"/>
                <w:lang w:val="en-US"/>
              </w:rPr>
              <w:t>:</w:t>
            </w:r>
          </w:p>
          <w:p w14:paraId="7B4AE6CC" w14:textId="72FA8F6A" w:rsidR="00AA740C" w:rsidRPr="007D089C" w:rsidRDefault="00AA740C" w:rsidP="00C141DD">
            <w:pPr>
              <w:autoSpaceDE w:val="0"/>
              <w:autoSpaceDN w:val="0"/>
              <w:adjustRightInd w:val="0"/>
              <w:rPr>
                <w:rFonts w:ascii="Times New Roman" w:hAnsi="Times New Roman" w:cs="Times New Roman"/>
                <w:b/>
                <w:sz w:val="22"/>
                <w:szCs w:val="22"/>
                <w:lang w:val="en-US"/>
              </w:rPr>
            </w:pPr>
            <w:r w:rsidRPr="007D089C">
              <w:rPr>
                <w:rFonts w:ascii="Times New Roman" w:hAnsi="Times New Roman" w:cs="Times New Roman"/>
                <w:sz w:val="22"/>
                <w:szCs w:val="22"/>
                <w:lang w:val="en-US"/>
              </w:rPr>
              <w:t>Smoking</w:t>
            </w:r>
            <w:r w:rsidR="00670428" w:rsidRPr="007D089C">
              <w:rPr>
                <w:rFonts w:ascii="Times New Roman" w:hAnsi="Times New Roman" w:cs="Times New Roman"/>
                <w:sz w:val="22"/>
                <w:szCs w:val="22"/>
                <w:lang w:val="en-US"/>
              </w:rPr>
              <w:t>:</w:t>
            </w:r>
          </w:p>
          <w:p w14:paraId="03850CD6" w14:textId="115CD09E" w:rsidR="00AA740C" w:rsidRPr="007D089C" w:rsidRDefault="00AA740C" w:rsidP="00C141DD">
            <w:pPr>
              <w:autoSpaceDE w:val="0"/>
              <w:autoSpaceDN w:val="0"/>
              <w:adjustRightInd w:val="0"/>
              <w:rPr>
                <w:rFonts w:ascii="Times New Roman" w:hAnsi="Times New Roman" w:cs="Times New Roman"/>
                <w:b/>
                <w:sz w:val="22"/>
                <w:szCs w:val="22"/>
                <w:lang w:val="en-US"/>
              </w:rPr>
            </w:pPr>
            <w:r w:rsidRPr="007D089C">
              <w:rPr>
                <w:rFonts w:ascii="Times New Roman" w:hAnsi="Times New Roman" w:cs="Times New Roman"/>
                <w:sz w:val="22"/>
                <w:szCs w:val="22"/>
                <w:lang w:val="en-US"/>
              </w:rPr>
              <w:t>Lymphangioleiomyomatosis (LAM)</w:t>
            </w:r>
            <w:r w:rsidR="00670428" w:rsidRPr="007D089C">
              <w:rPr>
                <w:rFonts w:ascii="Times New Roman" w:hAnsi="Times New Roman" w:cs="Times New Roman"/>
                <w:sz w:val="22"/>
                <w:szCs w:val="22"/>
                <w:lang w:val="en-US"/>
              </w:rPr>
              <w:t>:</w:t>
            </w:r>
          </w:p>
        </w:tc>
        <w:tc>
          <w:tcPr>
            <w:tcW w:w="5529" w:type="dxa"/>
          </w:tcPr>
          <w:p w14:paraId="224A1070" w14:textId="24FEC825" w:rsidR="00AA740C" w:rsidRPr="007D089C" w:rsidRDefault="00AA740C" w:rsidP="00C141DD">
            <w:pPr>
              <w:autoSpaceDE w:val="0"/>
              <w:autoSpaceDN w:val="0"/>
              <w:adjustRightInd w:val="0"/>
              <w:rPr>
                <w:rFonts w:ascii="Times New Roman" w:hAnsi="Times New Roman" w:cs="Times New Roman"/>
                <w:b/>
                <w:sz w:val="22"/>
                <w:szCs w:val="22"/>
                <w:lang w:val="en-US"/>
              </w:rPr>
            </w:pPr>
            <w:r w:rsidRPr="007D089C">
              <w:rPr>
                <w:sz w:val="22"/>
                <w:szCs w:val="22"/>
                <w:lang w:val="en-US"/>
              </w:rPr>
              <w:fldChar w:fldCharType="begin"/>
            </w:r>
            <w:r w:rsidRPr="007D089C">
              <w:rPr>
                <w:rFonts w:ascii="Times New Roman" w:hAnsi="Times New Roman" w:cs="Times New Roman"/>
                <w:sz w:val="22"/>
                <w:szCs w:val="22"/>
                <w:lang w:val="en-US"/>
              </w:rPr>
              <w:instrText>ADDIN RW.CITE{{2129 Singh,A. 2012}}</w:instrText>
            </w:r>
            <w:r w:rsidRPr="007D089C">
              <w:rPr>
                <w:sz w:val="22"/>
                <w:szCs w:val="22"/>
                <w:lang w:val="en-US"/>
              </w:rPr>
              <w:fldChar w:fldCharType="separate"/>
            </w:r>
            <w:r w:rsidR="00C77B76">
              <w:rPr>
                <w:rFonts w:ascii="Times New Roman" w:hAnsi="Times New Roman" w:cs="Times New Roman"/>
                <w:sz w:val="22"/>
                <w:szCs w:val="22"/>
                <w:lang w:val="en-US"/>
              </w:rPr>
              <w:t>(Singh et al., 2012)</w:t>
            </w:r>
            <w:r w:rsidRPr="007D089C">
              <w:rPr>
                <w:sz w:val="22"/>
                <w:szCs w:val="22"/>
                <w:lang w:val="en-US"/>
              </w:rPr>
              <w:fldChar w:fldCharType="end"/>
            </w:r>
          </w:p>
          <w:p w14:paraId="0E654FFD" w14:textId="072CEF37" w:rsidR="00AA740C" w:rsidRPr="007D089C" w:rsidRDefault="00AA740C" w:rsidP="00C141DD">
            <w:pPr>
              <w:autoSpaceDE w:val="0"/>
              <w:autoSpaceDN w:val="0"/>
              <w:adjustRightInd w:val="0"/>
              <w:rPr>
                <w:rFonts w:ascii="Times New Roman" w:hAnsi="Times New Roman" w:cs="Times New Roman"/>
                <w:b/>
                <w:sz w:val="22"/>
                <w:szCs w:val="22"/>
                <w:lang w:val="en-US"/>
              </w:rPr>
            </w:pPr>
            <w:r w:rsidRPr="007D089C">
              <w:rPr>
                <w:sz w:val="22"/>
                <w:szCs w:val="22"/>
                <w:lang w:val="en-US"/>
              </w:rPr>
              <w:fldChar w:fldCharType="begin"/>
            </w:r>
            <w:r w:rsidRPr="007D089C">
              <w:rPr>
                <w:rFonts w:ascii="Times New Roman" w:hAnsi="Times New Roman" w:cs="Times New Roman"/>
                <w:sz w:val="22"/>
                <w:szCs w:val="22"/>
                <w:lang w:val="en-US"/>
              </w:rPr>
              <w:instrText>ADDIN RW.CITE{{1991 Chen,X. 2013}}</w:instrText>
            </w:r>
            <w:r w:rsidRPr="007D089C">
              <w:rPr>
                <w:sz w:val="22"/>
                <w:szCs w:val="22"/>
                <w:lang w:val="en-US"/>
              </w:rPr>
              <w:fldChar w:fldCharType="separate"/>
            </w:r>
            <w:r w:rsidR="00C77B76">
              <w:rPr>
                <w:rFonts w:ascii="Times New Roman" w:hAnsi="Times New Roman" w:cs="Times New Roman"/>
                <w:sz w:val="22"/>
                <w:szCs w:val="22"/>
                <w:lang w:val="en-US"/>
              </w:rPr>
              <w:t>(X. Chen et al., 2013)</w:t>
            </w:r>
            <w:r w:rsidRPr="007D089C">
              <w:rPr>
                <w:sz w:val="22"/>
                <w:szCs w:val="22"/>
                <w:lang w:val="en-US"/>
              </w:rPr>
              <w:fldChar w:fldCharType="end"/>
            </w:r>
          </w:p>
          <w:p w14:paraId="5FBA5255" w14:textId="77777777" w:rsidR="00AA740C" w:rsidRPr="007D089C" w:rsidRDefault="00AA740C" w:rsidP="00C141DD">
            <w:pPr>
              <w:autoSpaceDE w:val="0"/>
              <w:autoSpaceDN w:val="0"/>
              <w:adjustRightInd w:val="0"/>
              <w:rPr>
                <w:rFonts w:ascii="Times New Roman" w:hAnsi="Times New Roman" w:cs="Times New Roman"/>
                <w:sz w:val="22"/>
                <w:szCs w:val="22"/>
                <w:lang w:val="en-US"/>
              </w:rPr>
            </w:pPr>
          </w:p>
          <w:p w14:paraId="09F57447" w14:textId="2CAAD4A5" w:rsidR="00AA740C" w:rsidRPr="007D089C" w:rsidRDefault="00AA740C" w:rsidP="00C141DD">
            <w:pPr>
              <w:autoSpaceDE w:val="0"/>
              <w:autoSpaceDN w:val="0"/>
              <w:adjustRightInd w:val="0"/>
              <w:rPr>
                <w:rFonts w:ascii="Times New Roman" w:hAnsi="Times New Roman" w:cs="Times New Roman"/>
                <w:b/>
                <w:sz w:val="22"/>
                <w:szCs w:val="22"/>
                <w:lang w:val="en-US"/>
              </w:rPr>
            </w:pPr>
            <w:r w:rsidRPr="007D089C">
              <w:rPr>
                <w:sz w:val="22"/>
                <w:szCs w:val="22"/>
                <w:lang w:val="en-US"/>
              </w:rPr>
              <w:fldChar w:fldCharType="begin"/>
            </w:r>
            <w:r w:rsidRPr="007D089C">
              <w:rPr>
                <w:rFonts w:ascii="Times New Roman" w:hAnsi="Times New Roman" w:cs="Times New Roman"/>
                <w:sz w:val="22"/>
                <w:szCs w:val="22"/>
                <w:lang w:val="en-US"/>
              </w:rPr>
              <w:instrText>ADDIN RW.CITE{{2080 Jurado-Gamez,B. 2012}}</w:instrText>
            </w:r>
            <w:r w:rsidRPr="007D089C">
              <w:rPr>
                <w:sz w:val="22"/>
                <w:szCs w:val="22"/>
                <w:lang w:val="en-US"/>
              </w:rPr>
              <w:fldChar w:fldCharType="separate"/>
            </w:r>
            <w:r w:rsidR="00C77B76">
              <w:rPr>
                <w:rFonts w:ascii="Times New Roman" w:hAnsi="Times New Roman" w:cs="Times New Roman"/>
                <w:sz w:val="22"/>
                <w:szCs w:val="22"/>
                <w:lang w:val="en-US"/>
              </w:rPr>
              <w:t>(Jurado-Gamez et al., 2012)</w:t>
            </w:r>
            <w:r w:rsidRPr="007D089C">
              <w:rPr>
                <w:sz w:val="22"/>
                <w:szCs w:val="22"/>
                <w:lang w:val="en-US"/>
              </w:rPr>
              <w:fldChar w:fldCharType="end"/>
            </w:r>
          </w:p>
          <w:p w14:paraId="287A82C3" w14:textId="6498CFBF"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sz w:val="22"/>
                <w:szCs w:val="22"/>
                <w:lang w:val="en-US"/>
              </w:rPr>
              <w:fldChar w:fldCharType="begin"/>
            </w:r>
            <w:r w:rsidRPr="007D089C">
              <w:rPr>
                <w:rFonts w:ascii="Times New Roman" w:hAnsi="Times New Roman" w:cs="Times New Roman"/>
                <w:sz w:val="22"/>
                <w:szCs w:val="22"/>
                <w:lang w:val="en-US"/>
              </w:rPr>
              <w:instrText>ADDIN RW.CITE{{1422 Bortner,J.D. 2011}}</w:instrText>
            </w:r>
            <w:r w:rsidRPr="007D089C">
              <w:rPr>
                <w:sz w:val="22"/>
                <w:szCs w:val="22"/>
                <w:lang w:val="en-US"/>
              </w:rPr>
              <w:fldChar w:fldCharType="separate"/>
            </w:r>
            <w:r w:rsidR="00C77B76">
              <w:rPr>
                <w:rFonts w:ascii="Times New Roman" w:hAnsi="Times New Roman" w:cs="Times New Roman"/>
                <w:sz w:val="22"/>
                <w:szCs w:val="22"/>
                <w:lang w:val="en-US"/>
              </w:rPr>
              <w:t>(Bortner et al., 2011)</w:t>
            </w:r>
            <w:r w:rsidRPr="007D089C">
              <w:rPr>
                <w:sz w:val="22"/>
                <w:szCs w:val="22"/>
                <w:lang w:val="en-US"/>
              </w:rPr>
              <w:fldChar w:fldCharType="end"/>
            </w:r>
          </w:p>
          <w:p w14:paraId="7EF74ACD" w14:textId="6031AFFF" w:rsidR="00AA740C" w:rsidRPr="007D089C" w:rsidRDefault="00AA740C" w:rsidP="00C141DD">
            <w:pPr>
              <w:autoSpaceDE w:val="0"/>
              <w:autoSpaceDN w:val="0"/>
              <w:adjustRightInd w:val="0"/>
              <w:rPr>
                <w:rFonts w:ascii="Times New Roman" w:hAnsi="Times New Roman" w:cs="Times New Roman"/>
                <w:b/>
                <w:sz w:val="22"/>
                <w:szCs w:val="22"/>
                <w:lang w:val="en-US"/>
              </w:rPr>
            </w:pPr>
            <w:r w:rsidRPr="007D089C">
              <w:rPr>
                <w:sz w:val="22"/>
                <w:szCs w:val="22"/>
                <w:lang w:val="en-US"/>
              </w:rPr>
              <w:fldChar w:fldCharType="begin"/>
            </w:r>
            <w:r w:rsidRPr="007D089C">
              <w:rPr>
                <w:rFonts w:ascii="Times New Roman" w:hAnsi="Times New Roman" w:cs="Times New Roman"/>
                <w:sz w:val="22"/>
                <w:szCs w:val="22"/>
                <w:lang w:val="en-US"/>
              </w:rPr>
              <w:instrText>ADDIN RW.CITE{{1910 Banville,N. 2014}}</w:instrText>
            </w:r>
            <w:r w:rsidRPr="007D089C">
              <w:rPr>
                <w:sz w:val="22"/>
                <w:szCs w:val="22"/>
                <w:lang w:val="en-US"/>
              </w:rPr>
              <w:fldChar w:fldCharType="separate"/>
            </w:r>
            <w:r w:rsidR="00C77B76">
              <w:rPr>
                <w:rFonts w:ascii="Times New Roman" w:hAnsi="Times New Roman" w:cs="Times New Roman"/>
                <w:sz w:val="22"/>
                <w:szCs w:val="22"/>
                <w:lang w:val="en-US"/>
              </w:rPr>
              <w:t>(Banville et al., 2014)</w:t>
            </w:r>
            <w:r w:rsidRPr="007D089C">
              <w:rPr>
                <w:sz w:val="22"/>
                <w:szCs w:val="22"/>
                <w:lang w:val="en-US"/>
              </w:rPr>
              <w:fldChar w:fldCharType="end"/>
            </w:r>
          </w:p>
        </w:tc>
      </w:tr>
      <w:tr w:rsidR="00AA740C" w:rsidRPr="007D089C" w14:paraId="4D682C5D" w14:textId="77777777" w:rsidTr="00C141DD">
        <w:tc>
          <w:tcPr>
            <w:tcW w:w="3964" w:type="dxa"/>
          </w:tcPr>
          <w:p w14:paraId="708DE04C" w14:textId="77777777"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rFonts w:ascii="Times New Roman" w:hAnsi="Times New Roman" w:cs="Times New Roman"/>
                <w:b/>
                <w:sz w:val="22"/>
                <w:szCs w:val="22"/>
                <w:lang w:val="en-US"/>
              </w:rPr>
              <w:t>Autoimmune diseases</w:t>
            </w:r>
          </w:p>
        </w:tc>
        <w:tc>
          <w:tcPr>
            <w:tcW w:w="5529" w:type="dxa"/>
          </w:tcPr>
          <w:p w14:paraId="0DE2B5E1" w14:textId="77777777" w:rsidR="00AA740C" w:rsidRPr="007D089C" w:rsidRDefault="00AA740C" w:rsidP="00C141DD">
            <w:pPr>
              <w:autoSpaceDE w:val="0"/>
              <w:autoSpaceDN w:val="0"/>
              <w:adjustRightInd w:val="0"/>
              <w:rPr>
                <w:rFonts w:ascii="Times New Roman" w:hAnsi="Times New Roman" w:cs="Times New Roman"/>
                <w:sz w:val="22"/>
                <w:szCs w:val="22"/>
                <w:lang w:val="en-US"/>
              </w:rPr>
            </w:pPr>
          </w:p>
        </w:tc>
      </w:tr>
      <w:tr w:rsidR="00AA740C" w:rsidRPr="007D089C" w14:paraId="3A67868A" w14:textId="77777777" w:rsidTr="00C141DD">
        <w:tc>
          <w:tcPr>
            <w:tcW w:w="3964" w:type="dxa"/>
          </w:tcPr>
          <w:p w14:paraId="307ACB65" w14:textId="37987614"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rFonts w:ascii="Times New Roman" w:hAnsi="Times New Roman" w:cs="Times New Roman"/>
                <w:sz w:val="22"/>
                <w:szCs w:val="22"/>
                <w:lang w:val="en-US"/>
              </w:rPr>
              <w:t>Rheumatoid arthritis (RA)</w:t>
            </w:r>
            <w:r w:rsidR="00670428" w:rsidRPr="007D089C">
              <w:rPr>
                <w:rFonts w:ascii="Times New Roman" w:hAnsi="Times New Roman" w:cs="Times New Roman"/>
                <w:sz w:val="22"/>
                <w:szCs w:val="22"/>
                <w:lang w:val="en-US"/>
              </w:rPr>
              <w:t> :</w:t>
            </w:r>
          </w:p>
          <w:p w14:paraId="71D9B2D6" w14:textId="77777777" w:rsidR="00AA740C" w:rsidRPr="007D089C" w:rsidRDefault="00AA740C" w:rsidP="00C141DD">
            <w:pPr>
              <w:autoSpaceDE w:val="0"/>
              <w:autoSpaceDN w:val="0"/>
              <w:adjustRightInd w:val="0"/>
              <w:rPr>
                <w:rFonts w:ascii="Times New Roman" w:hAnsi="Times New Roman" w:cs="Times New Roman"/>
                <w:sz w:val="22"/>
                <w:szCs w:val="22"/>
                <w:lang w:val="en-US"/>
              </w:rPr>
            </w:pPr>
          </w:p>
          <w:p w14:paraId="47AEB114" w14:textId="096E1D66"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rFonts w:ascii="Times New Roman" w:hAnsi="Times New Roman" w:cs="Times New Roman"/>
                <w:sz w:val="22"/>
                <w:szCs w:val="22"/>
                <w:lang w:val="en-US"/>
              </w:rPr>
              <w:t>RA &amp; Crohns</w:t>
            </w:r>
            <w:r w:rsidR="00FC7692" w:rsidRPr="007D089C">
              <w:rPr>
                <w:rFonts w:ascii="Times New Roman" w:hAnsi="Times New Roman" w:cs="Times New Roman"/>
                <w:sz w:val="22"/>
                <w:szCs w:val="22"/>
                <w:lang w:val="en-US"/>
              </w:rPr>
              <w:t xml:space="preserve"> </w:t>
            </w:r>
            <w:r w:rsidRPr="007D089C">
              <w:rPr>
                <w:rFonts w:ascii="Times New Roman" w:hAnsi="Times New Roman" w:cs="Times New Roman"/>
                <w:sz w:val="22"/>
                <w:szCs w:val="22"/>
                <w:lang w:val="en-US"/>
              </w:rPr>
              <w:t>Disease</w:t>
            </w:r>
            <w:r w:rsidR="00670428" w:rsidRPr="007D089C">
              <w:rPr>
                <w:rFonts w:ascii="Times New Roman" w:hAnsi="Times New Roman" w:cs="Times New Roman"/>
                <w:sz w:val="22"/>
                <w:szCs w:val="22"/>
                <w:lang w:val="en-US"/>
              </w:rPr>
              <w:t> :</w:t>
            </w:r>
          </w:p>
          <w:p w14:paraId="13CC377E" w14:textId="786BB0B7"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rFonts w:ascii="Times New Roman" w:hAnsi="Times New Roman" w:cs="Times New Roman"/>
                <w:sz w:val="22"/>
                <w:szCs w:val="22"/>
                <w:lang w:val="en-US"/>
              </w:rPr>
              <w:t>Autoimmune hepatitis</w:t>
            </w:r>
            <w:r w:rsidR="00670428" w:rsidRPr="007D089C">
              <w:rPr>
                <w:rFonts w:ascii="Times New Roman" w:hAnsi="Times New Roman" w:cs="Times New Roman"/>
                <w:sz w:val="22"/>
                <w:szCs w:val="22"/>
                <w:lang w:val="en-US"/>
              </w:rPr>
              <w:t> :</w:t>
            </w:r>
          </w:p>
          <w:p w14:paraId="1C798D7B" w14:textId="6A1C40B6"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rFonts w:ascii="Times New Roman" w:hAnsi="Times New Roman" w:cs="Times New Roman"/>
                <w:sz w:val="22"/>
                <w:szCs w:val="22"/>
                <w:lang w:val="en-US"/>
              </w:rPr>
              <w:t>Multiple Sclerosis</w:t>
            </w:r>
            <w:r w:rsidR="00670428" w:rsidRPr="007D089C">
              <w:rPr>
                <w:rFonts w:ascii="Times New Roman" w:hAnsi="Times New Roman" w:cs="Times New Roman"/>
                <w:sz w:val="22"/>
                <w:szCs w:val="22"/>
                <w:lang w:val="en-US"/>
              </w:rPr>
              <w:t> :</w:t>
            </w:r>
          </w:p>
          <w:p w14:paraId="7E355DB4" w14:textId="4603925E"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rFonts w:ascii="Times New Roman" w:hAnsi="Times New Roman" w:cs="Times New Roman"/>
                <w:sz w:val="22"/>
                <w:szCs w:val="22"/>
                <w:lang w:val="en-US"/>
              </w:rPr>
              <w:t>T1D</w:t>
            </w:r>
            <w:r w:rsidR="00670428" w:rsidRPr="007D089C">
              <w:rPr>
                <w:rFonts w:ascii="Times New Roman" w:hAnsi="Times New Roman" w:cs="Times New Roman"/>
                <w:sz w:val="22"/>
                <w:szCs w:val="22"/>
                <w:lang w:val="en-US"/>
              </w:rPr>
              <w:t> :</w:t>
            </w:r>
            <w:r w:rsidRPr="007D089C">
              <w:rPr>
                <w:rFonts w:ascii="Times New Roman" w:hAnsi="Times New Roman" w:cs="Times New Roman"/>
                <w:sz w:val="22"/>
                <w:szCs w:val="22"/>
                <w:lang w:val="en-US"/>
              </w:rPr>
              <w:t xml:space="preserve"> </w:t>
            </w:r>
          </w:p>
          <w:p w14:paraId="6058C12B" w14:textId="22E3049E" w:rsidR="00AA740C" w:rsidRPr="007D089C" w:rsidRDefault="00AA740C" w:rsidP="00C141DD">
            <w:pPr>
              <w:autoSpaceDE w:val="0"/>
              <w:autoSpaceDN w:val="0"/>
              <w:adjustRightInd w:val="0"/>
              <w:rPr>
                <w:rFonts w:ascii="Times New Roman" w:hAnsi="Times New Roman" w:cs="Times New Roman"/>
                <w:b/>
                <w:sz w:val="22"/>
                <w:szCs w:val="22"/>
                <w:lang w:val="en-US"/>
              </w:rPr>
            </w:pPr>
            <w:r w:rsidRPr="007D089C">
              <w:rPr>
                <w:rFonts w:ascii="Times New Roman" w:hAnsi="Times New Roman" w:cs="Times New Roman"/>
                <w:sz w:val="22"/>
                <w:szCs w:val="22"/>
                <w:lang w:val="en-US"/>
              </w:rPr>
              <w:t>Diabetic Nephropathy (T1D)</w:t>
            </w:r>
            <w:r w:rsidR="00670428" w:rsidRPr="007D089C">
              <w:rPr>
                <w:rFonts w:ascii="Times New Roman" w:hAnsi="Times New Roman" w:cs="Times New Roman"/>
                <w:sz w:val="22"/>
                <w:szCs w:val="22"/>
                <w:lang w:val="en-US"/>
              </w:rPr>
              <w:t>:</w:t>
            </w:r>
          </w:p>
        </w:tc>
        <w:tc>
          <w:tcPr>
            <w:tcW w:w="5529" w:type="dxa"/>
          </w:tcPr>
          <w:p w14:paraId="47F77559" w14:textId="5B859FD9"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sz w:val="22"/>
                <w:szCs w:val="22"/>
                <w:lang w:val="en-US"/>
              </w:rPr>
              <w:fldChar w:fldCharType="begin"/>
            </w:r>
            <w:r w:rsidRPr="007D089C">
              <w:rPr>
                <w:rFonts w:ascii="Times New Roman" w:hAnsi="Times New Roman" w:cs="Times New Roman"/>
                <w:sz w:val="22"/>
                <w:szCs w:val="22"/>
                <w:lang w:val="en-US"/>
              </w:rPr>
              <w:instrText>ADDIN RW.CITE{{1460 Dwivedi,R.C. 2009; 2132 Serada,S. 2014; 2133 Cheng,Y. 2014; 1990 Yanagida,M. 2013; 1998 Ortea,I. 2012}}</w:instrText>
            </w:r>
            <w:r w:rsidRPr="007D089C">
              <w:rPr>
                <w:sz w:val="22"/>
                <w:szCs w:val="22"/>
                <w:lang w:val="en-US"/>
              </w:rPr>
              <w:fldChar w:fldCharType="separate"/>
            </w:r>
            <w:r w:rsidR="00C77B76">
              <w:rPr>
                <w:rFonts w:ascii="Times New Roman" w:hAnsi="Times New Roman" w:cs="Times New Roman"/>
                <w:sz w:val="22"/>
                <w:szCs w:val="22"/>
                <w:lang w:val="en-US"/>
              </w:rPr>
              <w:t>(Cheng et al., 2014; Dwivedi et al., 2009; Ortea et al., 2012; Serada &amp; Naka, 2014; Yanagida et al., 2013)</w:t>
            </w:r>
            <w:r w:rsidRPr="007D089C">
              <w:rPr>
                <w:sz w:val="22"/>
                <w:szCs w:val="22"/>
                <w:lang w:val="en-US"/>
              </w:rPr>
              <w:fldChar w:fldCharType="end"/>
            </w:r>
          </w:p>
          <w:p w14:paraId="7B5DB24B" w14:textId="5ADF89C6"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sz w:val="22"/>
                <w:szCs w:val="22"/>
                <w:lang w:val="en-US"/>
              </w:rPr>
              <w:fldChar w:fldCharType="begin"/>
            </w:r>
            <w:r w:rsidRPr="007D089C">
              <w:rPr>
                <w:rFonts w:ascii="Times New Roman" w:hAnsi="Times New Roman" w:cs="Times New Roman"/>
                <w:sz w:val="22"/>
                <w:szCs w:val="22"/>
                <w:lang w:val="en-US"/>
              </w:rPr>
              <w:instrText>ADDIN RW.CITE{{1419 Serada,S. 2010}}</w:instrText>
            </w:r>
            <w:r w:rsidRPr="007D089C">
              <w:rPr>
                <w:sz w:val="22"/>
                <w:szCs w:val="22"/>
                <w:lang w:val="en-US"/>
              </w:rPr>
              <w:fldChar w:fldCharType="separate"/>
            </w:r>
            <w:r w:rsidR="00C77B76">
              <w:rPr>
                <w:rFonts w:ascii="Times New Roman" w:hAnsi="Times New Roman" w:cs="Times New Roman"/>
                <w:sz w:val="22"/>
                <w:szCs w:val="22"/>
                <w:lang w:val="en-US"/>
              </w:rPr>
              <w:t>(Serada et al., 2010)</w:t>
            </w:r>
            <w:r w:rsidRPr="007D089C">
              <w:rPr>
                <w:sz w:val="22"/>
                <w:szCs w:val="22"/>
                <w:lang w:val="en-US"/>
              </w:rPr>
              <w:fldChar w:fldCharType="end"/>
            </w:r>
          </w:p>
          <w:p w14:paraId="548DD4B7" w14:textId="6515D5CD"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sz w:val="22"/>
                <w:szCs w:val="22"/>
                <w:lang w:val="en-US"/>
              </w:rPr>
              <w:fldChar w:fldCharType="begin"/>
            </w:r>
            <w:r w:rsidRPr="007D089C">
              <w:rPr>
                <w:rFonts w:ascii="Times New Roman" w:hAnsi="Times New Roman" w:cs="Times New Roman"/>
                <w:sz w:val="22"/>
                <w:szCs w:val="22"/>
                <w:lang w:val="en-US"/>
              </w:rPr>
              <w:instrText>ADDIN RW.CITE{{2075 Li,H. 2013}}</w:instrText>
            </w:r>
            <w:r w:rsidRPr="007D089C">
              <w:rPr>
                <w:sz w:val="22"/>
                <w:szCs w:val="22"/>
                <w:lang w:val="en-US"/>
              </w:rPr>
              <w:fldChar w:fldCharType="separate"/>
            </w:r>
            <w:r w:rsidR="00C77B76">
              <w:rPr>
                <w:rFonts w:ascii="Times New Roman" w:hAnsi="Times New Roman" w:cs="Times New Roman"/>
                <w:sz w:val="22"/>
                <w:szCs w:val="22"/>
                <w:lang w:val="en-US"/>
              </w:rPr>
              <w:t>(H. Li et al., 2013)</w:t>
            </w:r>
            <w:r w:rsidRPr="007D089C">
              <w:rPr>
                <w:sz w:val="22"/>
                <w:szCs w:val="22"/>
                <w:lang w:val="en-US"/>
              </w:rPr>
              <w:fldChar w:fldCharType="end"/>
            </w:r>
          </w:p>
          <w:p w14:paraId="602658DB" w14:textId="5C2E7101"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sz w:val="22"/>
                <w:szCs w:val="22"/>
                <w:lang w:val="en-US"/>
              </w:rPr>
              <w:fldChar w:fldCharType="begin"/>
            </w:r>
            <w:r w:rsidRPr="007D089C">
              <w:rPr>
                <w:rFonts w:ascii="Times New Roman" w:hAnsi="Times New Roman" w:cs="Times New Roman"/>
                <w:sz w:val="22"/>
                <w:szCs w:val="22"/>
                <w:lang w:val="en-US"/>
              </w:rPr>
              <w:instrText>ADDIN RW.CITE{{2032 Tremlett,H. 2015}}</w:instrText>
            </w:r>
            <w:r w:rsidRPr="007D089C">
              <w:rPr>
                <w:sz w:val="22"/>
                <w:szCs w:val="22"/>
                <w:lang w:val="en-US"/>
              </w:rPr>
              <w:fldChar w:fldCharType="separate"/>
            </w:r>
            <w:r w:rsidR="00C77B76">
              <w:rPr>
                <w:rFonts w:ascii="Times New Roman" w:hAnsi="Times New Roman" w:cs="Times New Roman"/>
                <w:sz w:val="22"/>
                <w:szCs w:val="22"/>
                <w:lang w:val="en-US"/>
              </w:rPr>
              <w:t>(Tremlett et al., 2015)</w:t>
            </w:r>
            <w:r w:rsidRPr="007D089C">
              <w:rPr>
                <w:sz w:val="22"/>
                <w:szCs w:val="22"/>
                <w:lang w:val="en-US"/>
              </w:rPr>
              <w:fldChar w:fldCharType="end"/>
            </w:r>
          </w:p>
          <w:p w14:paraId="3A2BA45F" w14:textId="5D292F7F"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sz w:val="22"/>
                <w:szCs w:val="22"/>
                <w:lang w:val="en-US"/>
              </w:rPr>
              <w:fldChar w:fldCharType="begin"/>
            </w:r>
            <w:r w:rsidRPr="007D089C">
              <w:rPr>
                <w:rFonts w:ascii="Times New Roman" w:hAnsi="Times New Roman" w:cs="Times New Roman"/>
                <w:sz w:val="22"/>
                <w:szCs w:val="22"/>
                <w:lang w:val="en-US"/>
              </w:rPr>
              <w:instrText>ADDIN RW.CITE{{2135 Moulder,R. 2015}}</w:instrText>
            </w:r>
            <w:r w:rsidRPr="007D089C">
              <w:rPr>
                <w:sz w:val="22"/>
                <w:szCs w:val="22"/>
                <w:lang w:val="en-US"/>
              </w:rPr>
              <w:fldChar w:fldCharType="separate"/>
            </w:r>
            <w:r w:rsidR="00C77B76">
              <w:rPr>
                <w:rFonts w:ascii="Times New Roman" w:hAnsi="Times New Roman" w:cs="Times New Roman"/>
                <w:sz w:val="22"/>
                <w:szCs w:val="22"/>
                <w:lang w:val="en-US"/>
              </w:rPr>
              <w:t>(Moulder et al., 2015)</w:t>
            </w:r>
            <w:r w:rsidRPr="007D089C">
              <w:rPr>
                <w:sz w:val="22"/>
                <w:szCs w:val="22"/>
                <w:lang w:val="en-US"/>
              </w:rPr>
              <w:fldChar w:fldCharType="end"/>
            </w:r>
            <w:r w:rsidRPr="007D089C">
              <w:rPr>
                <w:sz w:val="22"/>
                <w:szCs w:val="22"/>
                <w:lang w:val="en-US"/>
              </w:rPr>
              <w:fldChar w:fldCharType="begin"/>
            </w:r>
            <w:r w:rsidRPr="007D089C">
              <w:rPr>
                <w:rFonts w:ascii="Times New Roman" w:hAnsi="Times New Roman" w:cs="Times New Roman"/>
                <w:sz w:val="22"/>
                <w:szCs w:val="22"/>
                <w:lang w:val="en-US"/>
              </w:rPr>
              <w:instrText>ADDIN RW.CITE{{3087 Liu,C.W. 2016}}</w:instrText>
            </w:r>
            <w:r w:rsidRPr="007D089C">
              <w:rPr>
                <w:sz w:val="22"/>
                <w:szCs w:val="22"/>
                <w:lang w:val="en-US"/>
              </w:rPr>
              <w:fldChar w:fldCharType="separate"/>
            </w:r>
            <w:r w:rsidR="00C77B76">
              <w:rPr>
                <w:rFonts w:ascii="Times New Roman" w:hAnsi="Times New Roman" w:cs="Times New Roman"/>
                <w:sz w:val="22"/>
                <w:szCs w:val="22"/>
                <w:lang w:val="en-US"/>
              </w:rPr>
              <w:t>(C. W. Liu et al., 2016)</w:t>
            </w:r>
            <w:r w:rsidRPr="007D089C">
              <w:rPr>
                <w:sz w:val="22"/>
                <w:szCs w:val="22"/>
                <w:lang w:val="en-US"/>
              </w:rPr>
              <w:fldChar w:fldCharType="end"/>
            </w:r>
            <w:r w:rsidRPr="007D089C">
              <w:rPr>
                <w:rFonts w:ascii="Times New Roman" w:hAnsi="Times New Roman" w:cs="Times New Roman"/>
                <w:sz w:val="22"/>
                <w:szCs w:val="22"/>
                <w:lang w:val="en-US"/>
              </w:rPr>
              <w:t xml:space="preserve">  </w:t>
            </w:r>
          </w:p>
          <w:p w14:paraId="374DB00C" w14:textId="4F80A921" w:rsidR="00AA740C" w:rsidRPr="007D089C" w:rsidRDefault="00AA740C" w:rsidP="00C141DD">
            <w:pPr>
              <w:autoSpaceDE w:val="0"/>
              <w:autoSpaceDN w:val="0"/>
              <w:adjustRightInd w:val="0"/>
              <w:rPr>
                <w:rFonts w:ascii="Times New Roman" w:hAnsi="Times New Roman" w:cs="Times New Roman"/>
                <w:b/>
                <w:sz w:val="22"/>
                <w:szCs w:val="22"/>
                <w:lang w:val="en-US"/>
              </w:rPr>
            </w:pPr>
            <w:r w:rsidRPr="007D089C">
              <w:rPr>
                <w:sz w:val="22"/>
                <w:szCs w:val="22"/>
                <w:lang w:val="en-US"/>
              </w:rPr>
              <w:fldChar w:fldCharType="begin"/>
            </w:r>
            <w:r w:rsidRPr="007D089C">
              <w:rPr>
                <w:rFonts w:ascii="Times New Roman" w:hAnsi="Times New Roman" w:cs="Times New Roman"/>
                <w:sz w:val="22"/>
                <w:szCs w:val="22"/>
                <w:lang w:val="en-US"/>
              </w:rPr>
              <w:instrText>ADDIN RW.CITE{{1602 Overgaard,A.J. 2010; 1423 Overgaard,A.J. 2010}}</w:instrText>
            </w:r>
            <w:r w:rsidRPr="007D089C">
              <w:rPr>
                <w:sz w:val="22"/>
                <w:szCs w:val="22"/>
                <w:lang w:val="en-US"/>
              </w:rPr>
              <w:fldChar w:fldCharType="separate"/>
            </w:r>
            <w:r w:rsidR="00C77B76">
              <w:rPr>
                <w:rFonts w:ascii="Times New Roman" w:hAnsi="Times New Roman" w:cs="Times New Roman"/>
                <w:sz w:val="22"/>
                <w:szCs w:val="22"/>
                <w:lang w:val="en-US"/>
              </w:rPr>
              <w:t>(Overgaard et al., 2010; Overgaard, Thingholm et al., 2010)</w:t>
            </w:r>
            <w:r w:rsidRPr="007D089C">
              <w:rPr>
                <w:sz w:val="22"/>
                <w:szCs w:val="22"/>
                <w:lang w:val="en-US"/>
              </w:rPr>
              <w:fldChar w:fldCharType="end"/>
            </w:r>
          </w:p>
        </w:tc>
      </w:tr>
      <w:tr w:rsidR="00AA740C" w:rsidRPr="007D089C" w14:paraId="329DAEC5" w14:textId="77777777" w:rsidTr="00C141DD">
        <w:tc>
          <w:tcPr>
            <w:tcW w:w="9493" w:type="dxa"/>
            <w:gridSpan w:val="2"/>
          </w:tcPr>
          <w:p w14:paraId="30A12F3B" w14:textId="77777777" w:rsidR="00AA740C" w:rsidRPr="007D089C" w:rsidRDefault="00AA740C" w:rsidP="00C141DD">
            <w:pPr>
              <w:autoSpaceDE w:val="0"/>
              <w:autoSpaceDN w:val="0"/>
              <w:adjustRightInd w:val="0"/>
              <w:rPr>
                <w:rFonts w:ascii="Times New Roman" w:hAnsi="Times New Roman" w:cs="Times New Roman"/>
                <w:b/>
                <w:sz w:val="22"/>
                <w:szCs w:val="22"/>
                <w:lang w:val="en-US"/>
              </w:rPr>
            </w:pPr>
            <w:r w:rsidRPr="007D089C">
              <w:rPr>
                <w:rFonts w:ascii="Times New Roman" w:hAnsi="Times New Roman" w:cs="Times New Roman"/>
                <w:b/>
                <w:sz w:val="22"/>
                <w:szCs w:val="22"/>
                <w:lang w:val="en-US"/>
              </w:rPr>
              <w:t>Other diseases &amp; comparisons</w:t>
            </w:r>
          </w:p>
        </w:tc>
      </w:tr>
      <w:tr w:rsidR="00AA740C" w:rsidRPr="007D089C" w14:paraId="156ABB8C" w14:textId="77777777" w:rsidTr="00C141DD">
        <w:tc>
          <w:tcPr>
            <w:tcW w:w="3964" w:type="dxa"/>
          </w:tcPr>
          <w:p w14:paraId="66468837" w14:textId="7A34F551"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rFonts w:ascii="Times New Roman" w:hAnsi="Times New Roman" w:cs="Times New Roman"/>
                <w:sz w:val="22"/>
                <w:szCs w:val="22"/>
                <w:lang w:val="en-US"/>
              </w:rPr>
              <w:t>Osteoarthritis</w:t>
            </w:r>
            <w:r w:rsidR="00670428" w:rsidRPr="007D089C">
              <w:rPr>
                <w:rFonts w:ascii="Times New Roman" w:hAnsi="Times New Roman" w:cs="Times New Roman"/>
                <w:sz w:val="22"/>
                <w:szCs w:val="22"/>
                <w:lang w:val="en-US"/>
              </w:rPr>
              <w:t>:</w:t>
            </w:r>
          </w:p>
          <w:p w14:paraId="3AE49F37" w14:textId="5CB40F0C"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rFonts w:ascii="Times New Roman" w:hAnsi="Times New Roman" w:cs="Times New Roman"/>
                <w:sz w:val="22"/>
                <w:szCs w:val="22"/>
                <w:lang w:val="en-US"/>
              </w:rPr>
              <w:t>Non-Alcoholic Fatty Liver Disease</w:t>
            </w:r>
            <w:r w:rsidR="00670428" w:rsidRPr="007D089C">
              <w:rPr>
                <w:rFonts w:ascii="Times New Roman" w:hAnsi="Times New Roman" w:cs="Times New Roman"/>
                <w:sz w:val="22"/>
                <w:szCs w:val="22"/>
                <w:lang w:val="en-US"/>
              </w:rPr>
              <w:t>:</w:t>
            </w:r>
          </w:p>
          <w:p w14:paraId="6FBCD6C5" w14:textId="02B22B7C"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rFonts w:ascii="Times New Roman" w:hAnsi="Times New Roman" w:cs="Times New Roman"/>
                <w:sz w:val="22"/>
                <w:szCs w:val="22"/>
                <w:lang w:val="en-US"/>
              </w:rPr>
              <w:t>Parkinson’s disease</w:t>
            </w:r>
            <w:r w:rsidR="00670428" w:rsidRPr="007D089C">
              <w:rPr>
                <w:rFonts w:ascii="Times New Roman" w:hAnsi="Times New Roman" w:cs="Times New Roman"/>
                <w:sz w:val="22"/>
                <w:szCs w:val="22"/>
                <w:lang w:val="en-US"/>
              </w:rPr>
              <w:t>:</w:t>
            </w:r>
          </w:p>
          <w:p w14:paraId="3A8842F2" w14:textId="083AEBA6"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rFonts w:ascii="Times New Roman" w:hAnsi="Times New Roman" w:cs="Times New Roman"/>
                <w:sz w:val="22"/>
                <w:szCs w:val="22"/>
                <w:lang w:val="en-US"/>
              </w:rPr>
              <w:t>Kidney- idiopathic nephrotic syndrome</w:t>
            </w:r>
            <w:r w:rsidR="00670428" w:rsidRPr="007D089C">
              <w:rPr>
                <w:rFonts w:ascii="Times New Roman" w:hAnsi="Times New Roman" w:cs="Times New Roman"/>
                <w:sz w:val="22"/>
                <w:szCs w:val="22"/>
                <w:lang w:val="en-US"/>
              </w:rPr>
              <w:t>:</w:t>
            </w:r>
          </w:p>
          <w:p w14:paraId="187D0FAA" w14:textId="576EEA3D"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rFonts w:ascii="Times New Roman" w:hAnsi="Times New Roman" w:cs="Times New Roman"/>
                <w:sz w:val="22"/>
                <w:szCs w:val="22"/>
                <w:lang w:val="en-US"/>
              </w:rPr>
              <w:t>Anders-Fabry’s Disease</w:t>
            </w:r>
            <w:r w:rsidR="00670428" w:rsidRPr="007D089C">
              <w:rPr>
                <w:rFonts w:ascii="Times New Roman" w:hAnsi="Times New Roman" w:cs="Times New Roman"/>
                <w:sz w:val="22"/>
                <w:szCs w:val="22"/>
                <w:lang w:val="en-US"/>
              </w:rPr>
              <w:t>:</w:t>
            </w:r>
          </w:p>
        </w:tc>
        <w:tc>
          <w:tcPr>
            <w:tcW w:w="5529" w:type="dxa"/>
          </w:tcPr>
          <w:p w14:paraId="10CEA6C1" w14:textId="15AE79C2"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sz w:val="22"/>
                <w:szCs w:val="22"/>
                <w:lang w:val="en-US"/>
              </w:rPr>
              <w:fldChar w:fldCharType="begin"/>
            </w:r>
            <w:r w:rsidRPr="007D089C">
              <w:rPr>
                <w:rFonts w:ascii="Times New Roman" w:hAnsi="Times New Roman" w:cs="Times New Roman"/>
                <w:sz w:val="22"/>
                <w:szCs w:val="22"/>
                <w:lang w:val="en-US"/>
              </w:rPr>
              <w:instrText>ADDIN RW.CITE{{2108 Fernandez-Puente,P. 2011}}</w:instrText>
            </w:r>
            <w:r w:rsidRPr="007D089C">
              <w:rPr>
                <w:sz w:val="22"/>
                <w:szCs w:val="22"/>
                <w:lang w:val="en-US"/>
              </w:rPr>
              <w:fldChar w:fldCharType="separate"/>
            </w:r>
            <w:r w:rsidR="00C77B76">
              <w:rPr>
                <w:rFonts w:ascii="Times New Roman" w:hAnsi="Times New Roman" w:cs="Times New Roman"/>
                <w:sz w:val="22"/>
                <w:szCs w:val="22"/>
                <w:lang w:val="en-US"/>
              </w:rPr>
              <w:t>(Fernandez-Puente et al., 2011)</w:t>
            </w:r>
            <w:r w:rsidRPr="007D089C">
              <w:rPr>
                <w:sz w:val="22"/>
                <w:szCs w:val="22"/>
                <w:lang w:val="en-US"/>
              </w:rPr>
              <w:fldChar w:fldCharType="end"/>
            </w:r>
          </w:p>
          <w:p w14:paraId="62E00437" w14:textId="4A582404"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sz w:val="22"/>
                <w:szCs w:val="22"/>
                <w:lang w:val="en-US"/>
              </w:rPr>
              <w:fldChar w:fldCharType="begin"/>
            </w:r>
            <w:r w:rsidRPr="007D089C">
              <w:rPr>
                <w:rFonts w:ascii="Times New Roman" w:hAnsi="Times New Roman" w:cs="Times New Roman"/>
                <w:sz w:val="22"/>
                <w:szCs w:val="22"/>
                <w:lang w:val="en-US"/>
              </w:rPr>
              <w:instrText>ADDIN RW.CITE{{2139 Miller,M.H. 2014}}</w:instrText>
            </w:r>
            <w:r w:rsidRPr="007D089C">
              <w:rPr>
                <w:sz w:val="22"/>
                <w:szCs w:val="22"/>
                <w:lang w:val="en-US"/>
              </w:rPr>
              <w:fldChar w:fldCharType="separate"/>
            </w:r>
            <w:r w:rsidR="00C77B76">
              <w:rPr>
                <w:rFonts w:ascii="Times New Roman" w:hAnsi="Times New Roman" w:cs="Times New Roman"/>
                <w:sz w:val="22"/>
                <w:szCs w:val="22"/>
                <w:lang w:val="en-US"/>
              </w:rPr>
              <w:t>(Miller et al., 2014)</w:t>
            </w:r>
            <w:r w:rsidRPr="007D089C">
              <w:rPr>
                <w:sz w:val="22"/>
                <w:szCs w:val="22"/>
                <w:lang w:val="en-US"/>
              </w:rPr>
              <w:fldChar w:fldCharType="end"/>
            </w:r>
          </w:p>
          <w:p w14:paraId="470EA479" w14:textId="3E6FFBEA"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sz w:val="22"/>
                <w:szCs w:val="22"/>
                <w:lang w:val="en-US"/>
              </w:rPr>
              <w:fldChar w:fldCharType="begin"/>
            </w:r>
            <w:r w:rsidRPr="007D089C">
              <w:rPr>
                <w:rFonts w:ascii="Times New Roman" w:hAnsi="Times New Roman" w:cs="Times New Roman"/>
                <w:sz w:val="22"/>
                <w:szCs w:val="22"/>
                <w:lang w:val="en-US"/>
              </w:rPr>
              <w:instrText>ADDIN RW.CITE{{2002 Zhang,X. 2012}}</w:instrText>
            </w:r>
            <w:r w:rsidRPr="007D089C">
              <w:rPr>
                <w:sz w:val="22"/>
                <w:szCs w:val="22"/>
                <w:lang w:val="en-US"/>
              </w:rPr>
              <w:fldChar w:fldCharType="separate"/>
            </w:r>
            <w:r w:rsidR="00C77B76">
              <w:rPr>
                <w:rFonts w:ascii="Times New Roman" w:hAnsi="Times New Roman" w:cs="Times New Roman"/>
                <w:sz w:val="22"/>
                <w:szCs w:val="22"/>
                <w:lang w:val="en-US"/>
              </w:rPr>
              <w:t>(X. Zhang, Yin et al., 2012)</w:t>
            </w:r>
            <w:r w:rsidRPr="007D089C">
              <w:rPr>
                <w:sz w:val="22"/>
                <w:szCs w:val="22"/>
                <w:lang w:val="en-US"/>
              </w:rPr>
              <w:fldChar w:fldCharType="end"/>
            </w:r>
          </w:p>
          <w:p w14:paraId="17C87E6A" w14:textId="0FEE271C"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sz w:val="22"/>
                <w:szCs w:val="22"/>
                <w:lang w:val="en-US"/>
              </w:rPr>
              <w:fldChar w:fldCharType="begin"/>
            </w:r>
            <w:r w:rsidRPr="007D089C">
              <w:rPr>
                <w:rFonts w:ascii="Times New Roman" w:hAnsi="Times New Roman" w:cs="Times New Roman"/>
                <w:sz w:val="22"/>
                <w:szCs w:val="22"/>
                <w:lang w:val="en-US"/>
              </w:rPr>
              <w:instrText>ADDIN RW.CITE{{2140 Andersen,R.F. 2012}}</w:instrText>
            </w:r>
            <w:r w:rsidRPr="007D089C">
              <w:rPr>
                <w:sz w:val="22"/>
                <w:szCs w:val="22"/>
                <w:lang w:val="en-US"/>
              </w:rPr>
              <w:fldChar w:fldCharType="separate"/>
            </w:r>
            <w:r w:rsidR="00C77B76">
              <w:rPr>
                <w:rFonts w:ascii="Times New Roman" w:hAnsi="Times New Roman" w:cs="Times New Roman"/>
                <w:sz w:val="22"/>
                <w:szCs w:val="22"/>
                <w:lang w:val="en-US"/>
              </w:rPr>
              <w:t>(Andersen et al., 2012)</w:t>
            </w:r>
            <w:r w:rsidRPr="007D089C">
              <w:rPr>
                <w:sz w:val="22"/>
                <w:szCs w:val="22"/>
                <w:lang w:val="en-US"/>
              </w:rPr>
              <w:fldChar w:fldCharType="end"/>
            </w:r>
          </w:p>
          <w:p w14:paraId="69DB1969" w14:textId="61FCEBBB"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sz w:val="22"/>
                <w:szCs w:val="22"/>
                <w:lang w:val="en-US"/>
              </w:rPr>
              <w:fldChar w:fldCharType="begin"/>
            </w:r>
            <w:r w:rsidRPr="007D089C">
              <w:rPr>
                <w:rFonts w:ascii="Times New Roman" w:hAnsi="Times New Roman" w:cs="Times New Roman"/>
                <w:sz w:val="22"/>
                <w:szCs w:val="22"/>
                <w:lang w:val="en-US"/>
              </w:rPr>
              <w:instrText>ADDIN RW.CITE{{2100 Hollander,Z. 2015}}</w:instrText>
            </w:r>
            <w:r w:rsidRPr="007D089C">
              <w:rPr>
                <w:sz w:val="22"/>
                <w:szCs w:val="22"/>
                <w:lang w:val="en-US"/>
              </w:rPr>
              <w:fldChar w:fldCharType="separate"/>
            </w:r>
            <w:r w:rsidR="00C77B76">
              <w:rPr>
                <w:rFonts w:ascii="Times New Roman" w:hAnsi="Times New Roman" w:cs="Times New Roman"/>
                <w:sz w:val="22"/>
                <w:szCs w:val="22"/>
                <w:lang w:val="en-US"/>
              </w:rPr>
              <w:t>(Hollander et al., 2015)</w:t>
            </w:r>
            <w:r w:rsidRPr="007D089C">
              <w:rPr>
                <w:sz w:val="22"/>
                <w:szCs w:val="22"/>
                <w:lang w:val="en-US"/>
              </w:rPr>
              <w:fldChar w:fldCharType="end"/>
            </w:r>
          </w:p>
        </w:tc>
      </w:tr>
      <w:tr w:rsidR="00AA740C" w:rsidRPr="007D089C" w14:paraId="19560EC9" w14:textId="77777777" w:rsidTr="00C141DD">
        <w:tc>
          <w:tcPr>
            <w:tcW w:w="9493" w:type="dxa"/>
            <w:gridSpan w:val="2"/>
          </w:tcPr>
          <w:p w14:paraId="3AA9A61A" w14:textId="77777777"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rFonts w:ascii="Times New Roman" w:hAnsi="Times New Roman" w:cs="Times New Roman"/>
                <w:b/>
                <w:sz w:val="22"/>
                <w:szCs w:val="22"/>
                <w:lang w:val="en-US"/>
              </w:rPr>
              <w:t>Infection</w:t>
            </w:r>
          </w:p>
        </w:tc>
      </w:tr>
      <w:tr w:rsidR="00AA740C" w:rsidRPr="007D089C" w14:paraId="6CB01AD3" w14:textId="77777777" w:rsidTr="00C141DD">
        <w:tc>
          <w:tcPr>
            <w:tcW w:w="3964" w:type="dxa"/>
          </w:tcPr>
          <w:p w14:paraId="1581F89C" w14:textId="77777777"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rFonts w:ascii="Times New Roman" w:hAnsi="Times New Roman" w:cs="Times New Roman"/>
                <w:sz w:val="22"/>
                <w:szCs w:val="22"/>
                <w:lang w:val="en-US"/>
              </w:rPr>
              <w:t xml:space="preserve">Sepsis-human: </w:t>
            </w:r>
          </w:p>
          <w:p w14:paraId="362B2601" w14:textId="77777777" w:rsidR="00AA740C" w:rsidRPr="007D089C" w:rsidRDefault="00AA740C" w:rsidP="00C141DD">
            <w:pPr>
              <w:autoSpaceDE w:val="0"/>
              <w:autoSpaceDN w:val="0"/>
              <w:adjustRightInd w:val="0"/>
              <w:rPr>
                <w:rFonts w:ascii="Times New Roman" w:hAnsi="Times New Roman" w:cs="Times New Roman"/>
                <w:sz w:val="22"/>
                <w:szCs w:val="22"/>
                <w:lang w:val="en-US"/>
              </w:rPr>
            </w:pPr>
          </w:p>
          <w:p w14:paraId="305DCA15" w14:textId="77777777"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rFonts w:ascii="Times New Roman" w:hAnsi="Times New Roman" w:cs="Times New Roman"/>
                <w:sz w:val="22"/>
                <w:szCs w:val="22"/>
                <w:lang w:val="en-US"/>
              </w:rPr>
              <w:t xml:space="preserve">Sepsis - rat: </w:t>
            </w:r>
          </w:p>
          <w:p w14:paraId="191E59AE" w14:textId="551D1A10"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rFonts w:ascii="Times New Roman" w:hAnsi="Times New Roman" w:cs="Times New Roman"/>
                <w:sz w:val="22"/>
                <w:szCs w:val="22"/>
                <w:lang w:val="en-US"/>
              </w:rPr>
              <w:t xml:space="preserve">Tuberculosis </w:t>
            </w:r>
            <w:r w:rsidR="00670428" w:rsidRPr="007D089C">
              <w:rPr>
                <w:rFonts w:ascii="Times New Roman" w:hAnsi="Times New Roman" w:cs="Times New Roman"/>
                <w:sz w:val="22"/>
                <w:szCs w:val="22"/>
                <w:lang w:val="en-US"/>
              </w:rPr>
              <w:t>:</w:t>
            </w:r>
          </w:p>
          <w:p w14:paraId="3C6317B7" w14:textId="77777777" w:rsidR="00AA740C" w:rsidRPr="007D089C" w:rsidRDefault="00AA740C" w:rsidP="00C141DD">
            <w:pPr>
              <w:autoSpaceDE w:val="0"/>
              <w:autoSpaceDN w:val="0"/>
              <w:adjustRightInd w:val="0"/>
              <w:rPr>
                <w:rFonts w:ascii="Times New Roman" w:hAnsi="Times New Roman" w:cs="Times New Roman"/>
                <w:sz w:val="22"/>
                <w:szCs w:val="22"/>
                <w:lang w:val="en-US"/>
              </w:rPr>
            </w:pPr>
          </w:p>
          <w:p w14:paraId="4091A777" w14:textId="29B7506E" w:rsidR="00AA740C" w:rsidRPr="007D089C" w:rsidRDefault="00AA740C" w:rsidP="00C141DD">
            <w:pPr>
              <w:autoSpaceDE w:val="0"/>
              <w:autoSpaceDN w:val="0"/>
              <w:adjustRightInd w:val="0"/>
              <w:rPr>
                <w:rFonts w:ascii="Times New Roman" w:hAnsi="Times New Roman" w:cs="Times New Roman"/>
                <w:b/>
                <w:sz w:val="22"/>
                <w:szCs w:val="22"/>
                <w:lang w:val="en-US"/>
              </w:rPr>
            </w:pPr>
            <w:r w:rsidRPr="007D089C">
              <w:rPr>
                <w:rFonts w:ascii="Times New Roman" w:hAnsi="Times New Roman" w:cs="Times New Roman"/>
                <w:sz w:val="22"/>
                <w:szCs w:val="22"/>
                <w:lang w:val="en-US"/>
              </w:rPr>
              <w:t>Myc</w:t>
            </w:r>
            <w:r w:rsidR="00670428" w:rsidRPr="007D089C">
              <w:rPr>
                <w:rFonts w:ascii="Times New Roman" w:hAnsi="Times New Roman" w:cs="Times New Roman"/>
                <w:sz w:val="22"/>
                <w:szCs w:val="22"/>
                <w:lang w:val="en-US"/>
              </w:rPr>
              <w:t>obacterial infections of cattle:</w:t>
            </w:r>
          </w:p>
          <w:p w14:paraId="2ED24DDC" w14:textId="78955A1C"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rFonts w:ascii="Times New Roman" w:hAnsi="Times New Roman" w:cs="Times New Roman"/>
                <w:sz w:val="22"/>
                <w:szCs w:val="22"/>
                <w:lang w:val="en-US"/>
              </w:rPr>
              <w:t>Malaria</w:t>
            </w:r>
            <w:r w:rsidR="00670428" w:rsidRPr="007D089C">
              <w:rPr>
                <w:rFonts w:ascii="Times New Roman" w:hAnsi="Times New Roman" w:cs="Times New Roman"/>
                <w:sz w:val="22"/>
                <w:szCs w:val="22"/>
                <w:lang w:val="en-US"/>
              </w:rPr>
              <w:t>:</w:t>
            </w:r>
          </w:p>
        </w:tc>
        <w:tc>
          <w:tcPr>
            <w:tcW w:w="5529" w:type="dxa"/>
          </w:tcPr>
          <w:p w14:paraId="5501AB4A" w14:textId="0B2221B9"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sz w:val="22"/>
                <w:szCs w:val="22"/>
                <w:lang w:val="en-US"/>
              </w:rPr>
              <w:fldChar w:fldCharType="begin"/>
            </w:r>
            <w:r w:rsidRPr="007D089C">
              <w:rPr>
                <w:rFonts w:ascii="Times New Roman" w:hAnsi="Times New Roman" w:cs="Times New Roman"/>
                <w:sz w:val="22"/>
                <w:szCs w:val="22"/>
                <w:lang w:val="en-US"/>
              </w:rPr>
              <w:instrText>ADDIN RW.CITE{{1624 Cao,Z. 2013; 1788 Cao,Z. 2013}}</w:instrText>
            </w:r>
            <w:r w:rsidRPr="007D089C">
              <w:rPr>
                <w:sz w:val="22"/>
                <w:szCs w:val="22"/>
                <w:lang w:val="en-US"/>
              </w:rPr>
              <w:fldChar w:fldCharType="separate"/>
            </w:r>
            <w:r w:rsidR="00C77B76">
              <w:rPr>
                <w:rFonts w:ascii="Times New Roman" w:hAnsi="Times New Roman" w:cs="Times New Roman"/>
                <w:sz w:val="22"/>
                <w:szCs w:val="22"/>
                <w:lang w:val="en-US"/>
              </w:rPr>
              <w:t>(Cao, Yende, Kellum, &amp; Robinson, 2013; Cao, Yende, Kellum, Angus et al., 2013)</w:t>
            </w:r>
            <w:r w:rsidRPr="007D089C">
              <w:rPr>
                <w:sz w:val="22"/>
                <w:szCs w:val="22"/>
                <w:lang w:val="en-US"/>
              </w:rPr>
              <w:fldChar w:fldCharType="end"/>
            </w:r>
            <w:r w:rsidRPr="007D089C">
              <w:rPr>
                <w:rFonts w:ascii="Times New Roman" w:hAnsi="Times New Roman" w:cs="Times New Roman"/>
                <w:sz w:val="22"/>
                <w:szCs w:val="22"/>
                <w:lang w:val="en-US"/>
              </w:rPr>
              <w:t xml:space="preserve"> </w:t>
            </w:r>
          </w:p>
          <w:p w14:paraId="3C1522D4" w14:textId="07213A99"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sz w:val="22"/>
                <w:szCs w:val="22"/>
                <w:lang w:val="en-US"/>
              </w:rPr>
              <w:fldChar w:fldCharType="begin"/>
            </w:r>
            <w:r w:rsidRPr="007D089C">
              <w:rPr>
                <w:rFonts w:ascii="Times New Roman" w:hAnsi="Times New Roman" w:cs="Times New Roman"/>
                <w:sz w:val="22"/>
                <w:szCs w:val="22"/>
                <w:lang w:val="en-US"/>
              </w:rPr>
              <w:instrText>ADDIN RW.CITE{{1914 Jiao,J. 2014}}</w:instrText>
            </w:r>
            <w:r w:rsidRPr="007D089C">
              <w:rPr>
                <w:sz w:val="22"/>
                <w:szCs w:val="22"/>
                <w:lang w:val="en-US"/>
              </w:rPr>
              <w:fldChar w:fldCharType="separate"/>
            </w:r>
            <w:r w:rsidR="00C77B76">
              <w:rPr>
                <w:rFonts w:ascii="Times New Roman" w:hAnsi="Times New Roman" w:cs="Times New Roman"/>
                <w:sz w:val="22"/>
                <w:szCs w:val="22"/>
                <w:lang w:val="en-US"/>
              </w:rPr>
              <w:t>(Jiao et al., 2014)</w:t>
            </w:r>
            <w:r w:rsidRPr="007D089C">
              <w:rPr>
                <w:sz w:val="22"/>
                <w:szCs w:val="22"/>
                <w:lang w:val="en-US"/>
              </w:rPr>
              <w:fldChar w:fldCharType="end"/>
            </w:r>
          </w:p>
          <w:p w14:paraId="11E5FCE7" w14:textId="2567F3CC"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sz w:val="22"/>
                <w:szCs w:val="22"/>
                <w:lang w:val="en-US"/>
              </w:rPr>
              <w:fldChar w:fldCharType="begin"/>
            </w:r>
            <w:r w:rsidRPr="007D089C">
              <w:rPr>
                <w:rFonts w:ascii="Times New Roman" w:hAnsi="Times New Roman" w:cs="Times New Roman"/>
                <w:sz w:val="22"/>
                <w:szCs w:val="22"/>
                <w:lang w:val="en-US"/>
              </w:rPr>
              <w:instrText>ADDIN RW.CITE{{2093 Xu,D.D. 2014; 1907 Xu,D. 2015; 2198 Li,C. 2015; 2254 Wang,C. 2016}}</w:instrText>
            </w:r>
            <w:r w:rsidRPr="007D089C">
              <w:rPr>
                <w:sz w:val="22"/>
                <w:szCs w:val="22"/>
                <w:lang w:val="en-US"/>
              </w:rPr>
              <w:fldChar w:fldCharType="separate"/>
            </w:r>
            <w:r w:rsidR="00C77B76">
              <w:rPr>
                <w:rFonts w:ascii="Times New Roman" w:hAnsi="Times New Roman" w:cs="Times New Roman"/>
                <w:sz w:val="22"/>
                <w:szCs w:val="22"/>
                <w:lang w:val="en-US"/>
              </w:rPr>
              <w:t>(C. Li et al., 2015; C. Wang et al., 2016; D. Xu et al., 2015; D. D. Xu et al., 2014)</w:t>
            </w:r>
            <w:r w:rsidRPr="007D089C">
              <w:rPr>
                <w:sz w:val="22"/>
                <w:szCs w:val="22"/>
                <w:lang w:val="en-US"/>
              </w:rPr>
              <w:fldChar w:fldCharType="end"/>
            </w:r>
          </w:p>
          <w:p w14:paraId="3F23F43F" w14:textId="55BB6780"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sz w:val="22"/>
                <w:szCs w:val="22"/>
                <w:lang w:val="en-US"/>
              </w:rPr>
              <w:fldChar w:fldCharType="begin"/>
            </w:r>
            <w:r w:rsidRPr="007D089C">
              <w:rPr>
                <w:rFonts w:ascii="Times New Roman" w:hAnsi="Times New Roman" w:cs="Times New Roman"/>
                <w:sz w:val="22"/>
                <w:szCs w:val="22"/>
                <w:lang w:val="en-US"/>
              </w:rPr>
              <w:instrText>ADDIN RW.CITE{{1459 Seth,M. 2009}}</w:instrText>
            </w:r>
            <w:r w:rsidRPr="007D089C">
              <w:rPr>
                <w:sz w:val="22"/>
                <w:szCs w:val="22"/>
                <w:lang w:val="en-US"/>
              </w:rPr>
              <w:fldChar w:fldCharType="separate"/>
            </w:r>
            <w:r w:rsidR="00C77B76">
              <w:rPr>
                <w:rFonts w:ascii="Times New Roman" w:hAnsi="Times New Roman" w:cs="Times New Roman"/>
                <w:sz w:val="22"/>
                <w:szCs w:val="22"/>
                <w:lang w:val="en-US"/>
              </w:rPr>
              <w:t>(Seth et al., 2009)</w:t>
            </w:r>
            <w:r w:rsidRPr="007D089C">
              <w:rPr>
                <w:sz w:val="22"/>
                <w:szCs w:val="22"/>
                <w:lang w:val="en-US"/>
              </w:rPr>
              <w:fldChar w:fldCharType="end"/>
            </w:r>
          </w:p>
          <w:p w14:paraId="615DF5EB" w14:textId="26D002D5" w:rsidR="00AA740C" w:rsidRPr="007D089C" w:rsidRDefault="00AA740C" w:rsidP="00C77B76">
            <w:pPr>
              <w:autoSpaceDE w:val="0"/>
              <w:autoSpaceDN w:val="0"/>
              <w:adjustRightInd w:val="0"/>
              <w:rPr>
                <w:rFonts w:ascii="Times New Roman" w:hAnsi="Times New Roman" w:cs="Times New Roman"/>
                <w:sz w:val="22"/>
                <w:szCs w:val="22"/>
                <w:lang w:val="en-US"/>
              </w:rPr>
            </w:pPr>
            <w:r w:rsidRPr="007D089C">
              <w:rPr>
                <w:sz w:val="22"/>
                <w:szCs w:val="22"/>
                <w:lang w:val="en-US"/>
              </w:rPr>
              <w:fldChar w:fldCharType="begin"/>
            </w:r>
            <w:r w:rsidRPr="007D089C">
              <w:rPr>
                <w:rFonts w:ascii="Times New Roman" w:hAnsi="Times New Roman" w:cs="Times New Roman"/>
                <w:sz w:val="22"/>
                <w:szCs w:val="22"/>
                <w:lang w:val="en-US"/>
              </w:rPr>
              <w:instrText>ADDIN RW.CITE{{1904 Mu,A.K. 2014}}</w:instrText>
            </w:r>
            <w:r w:rsidRPr="007D089C">
              <w:rPr>
                <w:sz w:val="22"/>
                <w:szCs w:val="22"/>
                <w:lang w:val="en-US"/>
              </w:rPr>
              <w:fldChar w:fldCharType="end"/>
            </w:r>
            <w:r w:rsidRPr="007D089C">
              <w:rPr>
                <w:sz w:val="22"/>
                <w:szCs w:val="22"/>
                <w:lang w:val="en-US"/>
              </w:rPr>
              <w:fldChar w:fldCharType="begin"/>
            </w:r>
            <w:r w:rsidRPr="007D089C">
              <w:rPr>
                <w:rFonts w:ascii="Times New Roman" w:hAnsi="Times New Roman" w:cs="Times New Roman"/>
                <w:sz w:val="22"/>
                <w:szCs w:val="22"/>
                <w:lang w:val="en-US"/>
              </w:rPr>
              <w:instrText>ADDIN RW.CITE{{1904 Mu,A.K. 2014}}</w:instrText>
            </w:r>
            <w:r w:rsidRPr="007D089C">
              <w:rPr>
                <w:sz w:val="22"/>
                <w:szCs w:val="22"/>
                <w:lang w:val="en-US"/>
              </w:rPr>
              <w:fldChar w:fldCharType="separate"/>
            </w:r>
            <w:r w:rsidR="00C77B76">
              <w:rPr>
                <w:rFonts w:ascii="Times New Roman" w:hAnsi="Times New Roman" w:cs="Times New Roman"/>
                <w:sz w:val="22"/>
                <w:szCs w:val="22"/>
                <w:lang w:val="en-US"/>
              </w:rPr>
              <w:t>(Mu et al., 2014)</w:t>
            </w:r>
            <w:r w:rsidRPr="007D089C">
              <w:rPr>
                <w:sz w:val="22"/>
                <w:szCs w:val="22"/>
                <w:lang w:val="en-US"/>
              </w:rPr>
              <w:fldChar w:fldCharType="end"/>
            </w:r>
          </w:p>
        </w:tc>
      </w:tr>
      <w:tr w:rsidR="00AA740C" w:rsidRPr="007D089C" w14:paraId="577048C6" w14:textId="77777777" w:rsidTr="00C141DD">
        <w:tc>
          <w:tcPr>
            <w:tcW w:w="9493" w:type="dxa"/>
            <w:gridSpan w:val="2"/>
          </w:tcPr>
          <w:p w14:paraId="3B02046B" w14:textId="77777777"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rFonts w:ascii="Times New Roman" w:hAnsi="Times New Roman" w:cs="Times New Roman"/>
                <w:b/>
                <w:sz w:val="22"/>
                <w:szCs w:val="22"/>
                <w:lang w:val="en-US"/>
              </w:rPr>
              <w:t>Viral infection</w:t>
            </w:r>
          </w:p>
        </w:tc>
      </w:tr>
      <w:tr w:rsidR="00AA740C" w:rsidRPr="007D089C" w14:paraId="33E1DC37" w14:textId="77777777" w:rsidTr="00C141DD">
        <w:tc>
          <w:tcPr>
            <w:tcW w:w="3964" w:type="dxa"/>
          </w:tcPr>
          <w:p w14:paraId="09A4ADD9" w14:textId="77777777"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rFonts w:ascii="Times New Roman" w:hAnsi="Times New Roman" w:cs="Times New Roman"/>
                <w:sz w:val="22"/>
                <w:szCs w:val="22"/>
                <w:lang w:val="en-US"/>
              </w:rPr>
              <w:t xml:space="preserve">Hepatitis B: </w:t>
            </w:r>
          </w:p>
          <w:p w14:paraId="69ACD770" w14:textId="14AECF53"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rFonts w:ascii="Times New Roman" w:hAnsi="Times New Roman" w:cs="Times New Roman"/>
                <w:sz w:val="22"/>
                <w:szCs w:val="22"/>
                <w:lang w:val="en-US"/>
              </w:rPr>
              <w:t>Hepatic Fibrosis in Hepatitis C</w:t>
            </w:r>
            <w:r w:rsidR="00670428" w:rsidRPr="007D089C">
              <w:rPr>
                <w:rFonts w:ascii="Times New Roman" w:hAnsi="Times New Roman" w:cs="Times New Roman"/>
                <w:sz w:val="22"/>
                <w:szCs w:val="22"/>
                <w:lang w:val="en-US"/>
              </w:rPr>
              <w:t>:</w:t>
            </w:r>
          </w:p>
          <w:p w14:paraId="26D1D8A7" w14:textId="77777777"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rFonts w:ascii="Times New Roman" w:hAnsi="Times New Roman" w:cs="Times New Roman"/>
                <w:sz w:val="22"/>
                <w:szCs w:val="22"/>
                <w:lang w:val="en-US"/>
              </w:rPr>
              <w:t xml:space="preserve">HIV: </w:t>
            </w:r>
          </w:p>
          <w:p w14:paraId="5B7146E6" w14:textId="77777777"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rFonts w:ascii="Times New Roman" w:hAnsi="Times New Roman" w:cs="Times New Roman"/>
                <w:sz w:val="22"/>
                <w:szCs w:val="22"/>
                <w:lang w:val="en-US"/>
              </w:rPr>
              <w:t>Dengue fever:</w:t>
            </w:r>
          </w:p>
          <w:p w14:paraId="23B9C34B" w14:textId="77777777"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rFonts w:ascii="Times New Roman" w:hAnsi="Times New Roman" w:cs="Times New Roman"/>
                <w:sz w:val="22"/>
                <w:szCs w:val="22"/>
                <w:lang w:val="en-US"/>
              </w:rPr>
              <w:t xml:space="preserve">SIV (in apes): </w:t>
            </w:r>
          </w:p>
          <w:p w14:paraId="2885D0A4" w14:textId="11544D0A" w:rsidR="00AA740C" w:rsidRPr="007D089C" w:rsidRDefault="00AA740C" w:rsidP="00C141DD">
            <w:pPr>
              <w:autoSpaceDE w:val="0"/>
              <w:autoSpaceDN w:val="0"/>
              <w:adjustRightInd w:val="0"/>
              <w:rPr>
                <w:rFonts w:ascii="Times New Roman" w:hAnsi="Times New Roman" w:cs="Times New Roman"/>
                <w:b/>
                <w:sz w:val="22"/>
                <w:szCs w:val="22"/>
                <w:lang w:val="en-US"/>
              </w:rPr>
            </w:pPr>
            <w:r w:rsidRPr="007D089C">
              <w:rPr>
                <w:rFonts w:ascii="Times New Roman" w:hAnsi="Times New Roman" w:cs="Times New Roman"/>
                <w:sz w:val="22"/>
                <w:szCs w:val="22"/>
                <w:lang w:val="en-US"/>
              </w:rPr>
              <w:t>SIV induced CNS disease</w:t>
            </w:r>
            <w:r w:rsidR="00670428" w:rsidRPr="007D089C">
              <w:rPr>
                <w:rFonts w:ascii="Times New Roman" w:hAnsi="Times New Roman" w:cs="Times New Roman"/>
                <w:sz w:val="22"/>
                <w:szCs w:val="22"/>
                <w:lang w:val="en-US"/>
              </w:rPr>
              <w:t>:</w:t>
            </w:r>
          </w:p>
        </w:tc>
        <w:tc>
          <w:tcPr>
            <w:tcW w:w="5529" w:type="dxa"/>
          </w:tcPr>
          <w:p w14:paraId="30A1E67E" w14:textId="249B718C"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sz w:val="22"/>
                <w:szCs w:val="22"/>
                <w:lang w:val="en-US"/>
              </w:rPr>
              <w:fldChar w:fldCharType="begin"/>
            </w:r>
            <w:r w:rsidRPr="007D089C">
              <w:rPr>
                <w:rFonts w:ascii="Times New Roman" w:hAnsi="Times New Roman" w:cs="Times New Roman"/>
                <w:sz w:val="22"/>
                <w:szCs w:val="22"/>
                <w:lang w:val="en-US"/>
              </w:rPr>
              <w:instrText>ADDIN RW.CITE{{1988 Peng,L. 2013; 1913 Liu,Y. 2014}}</w:instrText>
            </w:r>
            <w:r w:rsidRPr="007D089C">
              <w:rPr>
                <w:sz w:val="22"/>
                <w:szCs w:val="22"/>
                <w:lang w:val="en-US"/>
              </w:rPr>
              <w:fldChar w:fldCharType="separate"/>
            </w:r>
            <w:r w:rsidR="00C77B76">
              <w:rPr>
                <w:rFonts w:ascii="Times New Roman" w:hAnsi="Times New Roman" w:cs="Times New Roman"/>
                <w:sz w:val="22"/>
                <w:szCs w:val="22"/>
                <w:lang w:val="en-US"/>
              </w:rPr>
              <w:t>(Y. Liu et al., 2014; Peng et al., 2013)</w:t>
            </w:r>
            <w:r w:rsidRPr="007D089C">
              <w:rPr>
                <w:sz w:val="22"/>
                <w:szCs w:val="22"/>
                <w:lang w:val="en-US"/>
              </w:rPr>
              <w:fldChar w:fldCharType="end"/>
            </w:r>
            <w:r w:rsidRPr="007D089C">
              <w:rPr>
                <w:sz w:val="22"/>
                <w:szCs w:val="22"/>
                <w:lang w:val="en-US"/>
              </w:rPr>
              <w:fldChar w:fldCharType="begin"/>
            </w:r>
            <w:r w:rsidRPr="007D089C">
              <w:rPr>
                <w:rFonts w:ascii="Times New Roman" w:hAnsi="Times New Roman" w:cs="Times New Roman"/>
                <w:sz w:val="22"/>
                <w:szCs w:val="22"/>
                <w:lang w:val="en-US"/>
              </w:rPr>
              <w:instrText>ADDIN RW.CITE{{3106 Yang,J. 2016}}</w:instrText>
            </w:r>
            <w:r w:rsidRPr="007D089C">
              <w:rPr>
                <w:sz w:val="22"/>
                <w:szCs w:val="22"/>
                <w:lang w:val="en-US"/>
              </w:rPr>
              <w:fldChar w:fldCharType="separate"/>
            </w:r>
            <w:r w:rsidR="00C77B76">
              <w:rPr>
                <w:rFonts w:ascii="Times New Roman" w:hAnsi="Times New Roman" w:cs="Times New Roman"/>
                <w:sz w:val="22"/>
                <w:szCs w:val="22"/>
                <w:lang w:val="en-US"/>
              </w:rPr>
              <w:t>(J. Yang et al., 2016)</w:t>
            </w:r>
            <w:r w:rsidRPr="007D089C">
              <w:rPr>
                <w:sz w:val="22"/>
                <w:szCs w:val="22"/>
                <w:lang w:val="en-US"/>
              </w:rPr>
              <w:fldChar w:fldCharType="end"/>
            </w:r>
          </w:p>
          <w:p w14:paraId="4E142B1E" w14:textId="48F57DA2"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sz w:val="22"/>
                <w:szCs w:val="22"/>
                <w:lang w:val="en-US"/>
              </w:rPr>
              <w:fldChar w:fldCharType="begin"/>
            </w:r>
            <w:r w:rsidRPr="007D089C">
              <w:rPr>
                <w:rFonts w:ascii="Times New Roman" w:hAnsi="Times New Roman" w:cs="Times New Roman"/>
                <w:sz w:val="22"/>
                <w:szCs w:val="22"/>
                <w:lang w:val="en-US"/>
              </w:rPr>
              <w:instrText>ADDIN RW.CITE{{2008 Yang,L. 2011}}</w:instrText>
            </w:r>
            <w:r w:rsidRPr="007D089C">
              <w:rPr>
                <w:sz w:val="22"/>
                <w:szCs w:val="22"/>
                <w:lang w:val="en-US"/>
              </w:rPr>
              <w:fldChar w:fldCharType="separate"/>
            </w:r>
            <w:r w:rsidR="00C77B76">
              <w:rPr>
                <w:rFonts w:ascii="Times New Roman" w:hAnsi="Times New Roman" w:cs="Times New Roman"/>
                <w:sz w:val="22"/>
                <w:szCs w:val="22"/>
                <w:lang w:val="en-US"/>
              </w:rPr>
              <w:t>(L. Yang et al., 2011)</w:t>
            </w:r>
            <w:r w:rsidRPr="007D089C">
              <w:rPr>
                <w:sz w:val="22"/>
                <w:szCs w:val="22"/>
                <w:lang w:val="en-US"/>
              </w:rPr>
              <w:fldChar w:fldCharType="end"/>
            </w:r>
          </w:p>
          <w:p w14:paraId="76C6F257" w14:textId="448B900A"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sz w:val="22"/>
                <w:szCs w:val="22"/>
                <w:lang w:val="en-US"/>
              </w:rPr>
              <w:fldChar w:fldCharType="begin"/>
            </w:r>
            <w:r w:rsidRPr="007D089C">
              <w:rPr>
                <w:rFonts w:ascii="Times New Roman" w:hAnsi="Times New Roman" w:cs="Times New Roman"/>
                <w:sz w:val="22"/>
                <w:szCs w:val="22"/>
                <w:lang w:val="en-US"/>
              </w:rPr>
              <w:instrText>ADDIN RW.CITE{{2005 Shetty,V. 2011}}</w:instrText>
            </w:r>
            <w:r w:rsidRPr="007D089C">
              <w:rPr>
                <w:sz w:val="22"/>
                <w:szCs w:val="22"/>
                <w:lang w:val="en-US"/>
              </w:rPr>
              <w:fldChar w:fldCharType="separate"/>
            </w:r>
            <w:r w:rsidR="00C77B76">
              <w:rPr>
                <w:rFonts w:ascii="Times New Roman" w:hAnsi="Times New Roman" w:cs="Times New Roman"/>
                <w:sz w:val="22"/>
                <w:szCs w:val="22"/>
                <w:lang w:val="en-US"/>
              </w:rPr>
              <w:t>(Shetty et al., 2011)</w:t>
            </w:r>
            <w:r w:rsidRPr="007D089C">
              <w:rPr>
                <w:sz w:val="22"/>
                <w:szCs w:val="22"/>
                <w:lang w:val="en-US"/>
              </w:rPr>
              <w:fldChar w:fldCharType="end"/>
            </w:r>
          </w:p>
          <w:p w14:paraId="494BE8A5" w14:textId="150974F5"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sz w:val="22"/>
                <w:szCs w:val="22"/>
                <w:lang w:val="en-US"/>
              </w:rPr>
              <w:fldChar w:fldCharType="begin"/>
            </w:r>
            <w:r w:rsidRPr="007D089C">
              <w:rPr>
                <w:rFonts w:ascii="Times New Roman" w:hAnsi="Times New Roman" w:cs="Times New Roman"/>
                <w:sz w:val="22"/>
                <w:szCs w:val="22"/>
                <w:lang w:val="en-US"/>
              </w:rPr>
              <w:instrText>ADDIN RW.CITE{{2111 Kumar,Y. 2012}}</w:instrText>
            </w:r>
            <w:r w:rsidRPr="007D089C">
              <w:rPr>
                <w:sz w:val="22"/>
                <w:szCs w:val="22"/>
                <w:lang w:val="en-US"/>
              </w:rPr>
              <w:fldChar w:fldCharType="end"/>
            </w:r>
            <w:r w:rsidRPr="007D089C">
              <w:rPr>
                <w:sz w:val="22"/>
                <w:szCs w:val="22"/>
                <w:lang w:val="en-US"/>
              </w:rPr>
              <w:fldChar w:fldCharType="begin"/>
            </w:r>
            <w:r w:rsidRPr="007D089C">
              <w:rPr>
                <w:rFonts w:ascii="Times New Roman" w:hAnsi="Times New Roman" w:cs="Times New Roman"/>
                <w:sz w:val="22"/>
                <w:szCs w:val="22"/>
                <w:lang w:val="en-US"/>
              </w:rPr>
              <w:instrText>ADDIN RW.CITE{{2111 Kumar,Y. 2012}}</w:instrText>
            </w:r>
            <w:r w:rsidRPr="007D089C">
              <w:rPr>
                <w:sz w:val="22"/>
                <w:szCs w:val="22"/>
                <w:lang w:val="en-US"/>
              </w:rPr>
              <w:fldChar w:fldCharType="separate"/>
            </w:r>
            <w:r w:rsidR="00C77B76">
              <w:rPr>
                <w:rFonts w:ascii="Times New Roman" w:hAnsi="Times New Roman" w:cs="Times New Roman"/>
                <w:sz w:val="22"/>
                <w:szCs w:val="22"/>
                <w:lang w:val="en-US"/>
              </w:rPr>
              <w:t>(Kumar et al., 2012)</w:t>
            </w:r>
            <w:r w:rsidRPr="007D089C">
              <w:rPr>
                <w:sz w:val="22"/>
                <w:szCs w:val="22"/>
                <w:lang w:val="en-US"/>
              </w:rPr>
              <w:fldChar w:fldCharType="end"/>
            </w:r>
            <w:r w:rsidRPr="007D089C">
              <w:rPr>
                <w:sz w:val="22"/>
                <w:szCs w:val="22"/>
                <w:lang w:val="en-US"/>
              </w:rPr>
              <w:fldChar w:fldCharType="begin"/>
            </w:r>
            <w:r w:rsidRPr="007D089C">
              <w:rPr>
                <w:rFonts w:ascii="Times New Roman" w:hAnsi="Times New Roman" w:cs="Times New Roman"/>
                <w:sz w:val="22"/>
                <w:szCs w:val="22"/>
                <w:lang w:val="en-US"/>
              </w:rPr>
              <w:instrText>ADDIN RW.CITE{{2262 Nhi,D.M. 2016}}</w:instrText>
            </w:r>
            <w:r w:rsidRPr="007D089C">
              <w:rPr>
                <w:sz w:val="22"/>
                <w:szCs w:val="22"/>
                <w:lang w:val="en-US"/>
              </w:rPr>
              <w:fldChar w:fldCharType="separate"/>
            </w:r>
            <w:r w:rsidR="00C77B76">
              <w:rPr>
                <w:rFonts w:ascii="Times New Roman" w:hAnsi="Times New Roman" w:cs="Times New Roman"/>
                <w:sz w:val="22"/>
                <w:szCs w:val="22"/>
                <w:lang w:val="en-US"/>
              </w:rPr>
              <w:t>(Nhi et al., 2016)</w:t>
            </w:r>
            <w:r w:rsidRPr="007D089C">
              <w:rPr>
                <w:sz w:val="22"/>
                <w:szCs w:val="22"/>
                <w:lang w:val="en-US"/>
              </w:rPr>
              <w:fldChar w:fldCharType="end"/>
            </w:r>
          </w:p>
          <w:p w14:paraId="0028D14B" w14:textId="41EA0DAB"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sz w:val="22"/>
                <w:szCs w:val="22"/>
                <w:lang w:val="en-US"/>
              </w:rPr>
              <w:fldChar w:fldCharType="begin"/>
            </w:r>
            <w:r w:rsidRPr="007D089C">
              <w:rPr>
                <w:rFonts w:ascii="Times New Roman" w:hAnsi="Times New Roman" w:cs="Times New Roman"/>
                <w:sz w:val="22"/>
                <w:szCs w:val="22"/>
                <w:lang w:val="en-US"/>
              </w:rPr>
              <w:instrText>ADDIN RW.CITE{{1426 Wiederin,J.L. 2010; 2006 Wiederin,J.L. 2012}}</w:instrText>
            </w:r>
            <w:r w:rsidRPr="007D089C">
              <w:rPr>
                <w:sz w:val="22"/>
                <w:szCs w:val="22"/>
                <w:lang w:val="en-US"/>
              </w:rPr>
              <w:fldChar w:fldCharType="end"/>
            </w:r>
            <w:r w:rsidRPr="007D089C">
              <w:rPr>
                <w:sz w:val="22"/>
                <w:szCs w:val="22"/>
                <w:lang w:val="en-US"/>
              </w:rPr>
              <w:fldChar w:fldCharType="begin"/>
            </w:r>
            <w:r w:rsidRPr="007D089C">
              <w:rPr>
                <w:rFonts w:ascii="Times New Roman" w:hAnsi="Times New Roman" w:cs="Times New Roman"/>
                <w:sz w:val="22"/>
                <w:szCs w:val="22"/>
                <w:lang w:val="en-US"/>
              </w:rPr>
              <w:instrText>ADDIN RW.CITE{{1426 Wiederin,J.L. 2010; 2006 Wiederin,J.L. 2012}}</w:instrText>
            </w:r>
            <w:r w:rsidRPr="007D089C">
              <w:rPr>
                <w:sz w:val="22"/>
                <w:szCs w:val="22"/>
                <w:lang w:val="en-US"/>
              </w:rPr>
              <w:fldChar w:fldCharType="separate"/>
            </w:r>
            <w:r w:rsidR="00C77B76">
              <w:rPr>
                <w:rFonts w:ascii="Times New Roman" w:hAnsi="Times New Roman" w:cs="Times New Roman"/>
                <w:sz w:val="22"/>
                <w:szCs w:val="22"/>
                <w:lang w:val="en-US"/>
              </w:rPr>
              <w:t>(Wiederin et al., 2010; Wiederin et al., 2012)</w:t>
            </w:r>
            <w:r w:rsidRPr="007D089C">
              <w:rPr>
                <w:sz w:val="22"/>
                <w:szCs w:val="22"/>
                <w:lang w:val="en-US"/>
              </w:rPr>
              <w:fldChar w:fldCharType="end"/>
            </w:r>
            <w:r w:rsidRPr="007D089C">
              <w:rPr>
                <w:rFonts w:ascii="Times New Roman" w:hAnsi="Times New Roman" w:cs="Times New Roman"/>
                <w:sz w:val="22"/>
                <w:szCs w:val="22"/>
                <w:lang w:val="en-US"/>
              </w:rPr>
              <w:t xml:space="preserve"> </w:t>
            </w:r>
          </w:p>
          <w:p w14:paraId="38F1EB6F" w14:textId="0A4F90BD" w:rsidR="00AA740C" w:rsidRPr="007D089C" w:rsidRDefault="00AA740C" w:rsidP="00C141DD">
            <w:pPr>
              <w:autoSpaceDE w:val="0"/>
              <w:autoSpaceDN w:val="0"/>
              <w:adjustRightInd w:val="0"/>
              <w:rPr>
                <w:rFonts w:ascii="Times New Roman" w:hAnsi="Times New Roman" w:cs="Times New Roman"/>
                <w:sz w:val="22"/>
                <w:szCs w:val="22"/>
                <w:lang w:val="en-US"/>
              </w:rPr>
            </w:pPr>
            <w:r w:rsidRPr="007D089C">
              <w:rPr>
                <w:sz w:val="22"/>
                <w:szCs w:val="22"/>
                <w:lang w:val="en-US"/>
              </w:rPr>
              <w:fldChar w:fldCharType="begin"/>
            </w:r>
            <w:r w:rsidRPr="007D089C">
              <w:rPr>
                <w:rFonts w:ascii="Times New Roman" w:hAnsi="Times New Roman" w:cs="Times New Roman"/>
                <w:sz w:val="22"/>
                <w:szCs w:val="22"/>
                <w:lang w:val="en-US"/>
              </w:rPr>
              <w:instrText>ADDIN RW.CITE{{1417 Pendyala,G. 2010}}</w:instrText>
            </w:r>
            <w:r w:rsidRPr="007D089C">
              <w:rPr>
                <w:sz w:val="22"/>
                <w:szCs w:val="22"/>
                <w:lang w:val="en-US"/>
              </w:rPr>
              <w:fldChar w:fldCharType="separate"/>
            </w:r>
            <w:r w:rsidR="00C77B76">
              <w:rPr>
                <w:rFonts w:ascii="Times New Roman" w:hAnsi="Times New Roman" w:cs="Times New Roman"/>
                <w:sz w:val="22"/>
                <w:szCs w:val="22"/>
                <w:lang w:val="en-US"/>
              </w:rPr>
              <w:t>(Pendyala et al., 2010)</w:t>
            </w:r>
            <w:r w:rsidRPr="007D089C">
              <w:rPr>
                <w:sz w:val="22"/>
                <w:szCs w:val="22"/>
                <w:lang w:val="en-US"/>
              </w:rPr>
              <w:fldChar w:fldCharType="end"/>
            </w:r>
          </w:p>
        </w:tc>
      </w:tr>
    </w:tbl>
    <w:p w14:paraId="7AC9F881" w14:textId="77777777" w:rsidR="00AA740C" w:rsidRPr="007D089C" w:rsidRDefault="00AA740C" w:rsidP="00C141DD">
      <w:pPr>
        <w:rPr>
          <w:lang w:val="en-US"/>
        </w:rPr>
      </w:pPr>
    </w:p>
    <w:p w14:paraId="3CF96B11" w14:textId="77777777" w:rsidR="008635D7" w:rsidRPr="007D089C" w:rsidRDefault="008635D7">
      <w:pPr>
        <w:rPr>
          <w:b/>
          <w:lang w:val="en-US"/>
        </w:rPr>
      </w:pPr>
      <w:r w:rsidRPr="007D089C">
        <w:rPr>
          <w:b/>
          <w:lang w:val="en-US"/>
        </w:rPr>
        <w:br w:type="page"/>
      </w:r>
    </w:p>
    <w:p w14:paraId="314F547E" w14:textId="4E981F66" w:rsidR="00AA740C" w:rsidRPr="007D089C" w:rsidRDefault="005C7057" w:rsidP="00C141DD">
      <w:pPr>
        <w:rPr>
          <w:b/>
          <w:lang w:val="en-US"/>
        </w:rPr>
      </w:pPr>
      <w:r w:rsidRPr="007D089C">
        <w:rPr>
          <w:b/>
          <w:lang w:val="en-US"/>
        </w:rPr>
        <w:t>Table 5b</w:t>
      </w:r>
    </w:p>
    <w:tbl>
      <w:tblPr>
        <w:tblStyle w:val="TableGrid"/>
        <w:tblW w:w="10201" w:type="dxa"/>
        <w:tblLayout w:type="fixed"/>
        <w:tblLook w:val="04A0" w:firstRow="1" w:lastRow="0" w:firstColumn="1" w:lastColumn="0" w:noHBand="0" w:noVBand="1"/>
      </w:tblPr>
      <w:tblGrid>
        <w:gridCol w:w="4957"/>
        <w:gridCol w:w="5244"/>
      </w:tblGrid>
      <w:tr w:rsidR="00AA740C" w:rsidRPr="007D089C" w14:paraId="3F724C51" w14:textId="77777777" w:rsidTr="00B40062">
        <w:tc>
          <w:tcPr>
            <w:tcW w:w="4957" w:type="dxa"/>
          </w:tcPr>
          <w:p w14:paraId="4B692157" w14:textId="77777777"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b/>
                <w:lang w:val="en-US"/>
              </w:rPr>
              <w:t>Gynaecological &amp; Pregnancy related</w:t>
            </w:r>
          </w:p>
        </w:tc>
        <w:tc>
          <w:tcPr>
            <w:tcW w:w="5244" w:type="dxa"/>
          </w:tcPr>
          <w:p w14:paraId="1B30EFF5" w14:textId="77777777" w:rsidR="00AA740C" w:rsidRPr="007D089C" w:rsidRDefault="00AA740C" w:rsidP="00C141DD">
            <w:pPr>
              <w:autoSpaceDE w:val="0"/>
              <w:autoSpaceDN w:val="0"/>
              <w:adjustRightInd w:val="0"/>
              <w:rPr>
                <w:rFonts w:ascii="Times-Roman" w:hAnsi="Times-Roman" w:cs="Times-Roman"/>
                <w:lang w:val="en-US"/>
              </w:rPr>
            </w:pPr>
          </w:p>
        </w:tc>
      </w:tr>
      <w:tr w:rsidR="00AA740C" w:rsidRPr="007D089C" w14:paraId="44255087" w14:textId="77777777" w:rsidTr="00B40062">
        <w:tc>
          <w:tcPr>
            <w:tcW w:w="4957" w:type="dxa"/>
          </w:tcPr>
          <w:p w14:paraId="1EE68FC0" w14:textId="58EB7C47"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t>Downs syndrome</w:t>
            </w:r>
            <w:r w:rsidR="00670428" w:rsidRPr="007D089C">
              <w:rPr>
                <w:rFonts w:ascii="Times-Roman" w:hAnsi="Times-Roman" w:cs="Times-Roman"/>
                <w:lang w:val="en-US"/>
              </w:rPr>
              <w:t>:</w:t>
            </w:r>
            <w:r w:rsidRPr="007D089C">
              <w:rPr>
                <w:rFonts w:ascii="Times-Roman" w:hAnsi="Times-Roman" w:cs="Times-Roman"/>
                <w:lang w:val="en-US"/>
              </w:rPr>
              <w:t xml:space="preserve"> </w:t>
            </w:r>
          </w:p>
          <w:p w14:paraId="0E2587CD" w14:textId="77777777"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t xml:space="preserve">Congenital heart defect: </w:t>
            </w:r>
          </w:p>
          <w:p w14:paraId="50D78F26" w14:textId="5D0B9ACA" w:rsidR="00AA740C" w:rsidRPr="007D089C" w:rsidRDefault="00AA740C" w:rsidP="00C141DD">
            <w:pPr>
              <w:autoSpaceDE w:val="0"/>
              <w:autoSpaceDN w:val="0"/>
              <w:adjustRightInd w:val="0"/>
              <w:rPr>
                <w:rFonts w:ascii="timesroman" w:hAnsi="timesroman"/>
                <w:lang w:val="en-US"/>
              </w:rPr>
            </w:pPr>
            <w:r w:rsidRPr="007D089C">
              <w:rPr>
                <w:rFonts w:ascii="Times-Roman" w:hAnsi="Times-Roman" w:cs="Times-Roman"/>
                <w:lang w:val="en-US"/>
              </w:rPr>
              <w:t>Pre</w:t>
            </w:r>
            <w:r w:rsidR="00FC7692" w:rsidRPr="007D089C">
              <w:rPr>
                <w:rFonts w:ascii="Times-Roman" w:hAnsi="Times-Roman" w:cs="Times-Roman"/>
                <w:lang w:val="en-US"/>
              </w:rPr>
              <w:t>e</w:t>
            </w:r>
            <w:r w:rsidRPr="007D089C">
              <w:rPr>
                <w:rFonts w:ascii="Times-Roman" w:hAnsi="Times-Roman" w:cs="Times-Roman"/>
                <w:lang w:val="en-US"/>
              </w:rPr>
              <w:t xml:space="preserve">clampsia </w:t>
            </w:r>
            <w:r w:rsidR="00670428" w:rsidRPr="007D089C">
              <w:rPr>
                <w:rFonts w:ascii="Times-Roman" w:hAnsi="Times-Roman" w:cs="Times-Roman"/>
                <w:lang w:val="en-US"/>
              </w:rPr>
              <w:t>:</w:t>
            </w:r>
          </w:p>
          <w:p w14:paraId="789B902C" w14:textId="77777777" w:rsidR="00AA740C" w:rsidRPr="007D089C" w:rsidRDefault="00AA740C" w:rsidP="00C141DD">
            <w:pPr>
              <w:autoSpaceDE w:val="0"/>
              <w:autoSpaceDN w:val="0"/>
              <w:adjustRightInd w:val="0"/>
              <w:rPr>
                <w:rFonts w:ascii="timesroman" w:hAnsi="timesroman"/>
                <w:lang w:val="en-US"/>
              </w:rPr>
            </w:pPr>
            <w:r w:rsidRPr="007D089C">
              <w:rPr>
                <w:rFonts w:ascii="timesroman" w:hAnsi="timesroman"/>
                <w:lang w:val="en-US"/>
              </w:rPr>
              <w:t xml:space="preserve">Preeclampsia / Intra-Uterine Growth Restriction: </w:t>
            </w:r>
          </w:p>
          <w:p w14:paraId="02F6F35B" w14:textId="77777777" w:rsidR="00AA740C" w:rsidRPr="007D089C" w:rsidRDefault="00AA740C" w:rsidP="00C141DD">
            <w:pPr>
              <w:autoSpaceDE w:val="0"/>
              <w:autoSpaceDN w:val="0"/>
              <w:adjustRightInd w:val="0"/>
              <w:rPr>
                <w:rFonts w:ascii="timesroman" w:hAnsi="timesroman"/>
                <w:lang w:val="en-US"/>
              </w:rPr>
            </w:pPr>
            <w:r w:rsidRPr="007D089C">
              <w:rPr>
                <w:rFonts w:ascii="timesroman" w:hAnsi="timesroman"/>
                <w:lang w:val="en-US"/>
              </w:rPr>
              <w:t>Fertility (porcine and bovine):</w:t>
            </w:r>
          </w:p>
          <w:p w14:paraId="56E297D7" w14:textId="213E1FE9"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t>Endometrial hyperplasia</w:t>
            </w:r>
            <w:r w:rsidR="00670428" w:rsidRPr="007D089C">
              <w:rPr>
                <w:rFonts w:ascii="Times-Roman" w:hAnsi="Times-Roman" w:cs="Times-Roman"/>
                <w:lang w:val="en-US"/>
              </w:rPr>
              <w:t>:</w:t>
            </w:r>
          </w:p>
          <w:p w14:paraId="4DE7EC46" w14:textId="675AF007"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t>Endometriosis</w:t>
            </w:r>
            <w:r w:rsidR="00670428" w:rsidRPr="007D089C">
              <w:rPr>
                <w:rFonts w:ascii="Times-Roman" w:hAnsi="Times-Roman" w:cs="Times-Roman"/>
                <w:lang w:val="en-US"/>
              </w:rPr>
              <w:t>:</w:t>
            </w:r>
          </w:p>
          <w:p w14:paraId="3496B363" w14:textId="77777777"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t>Smoking and  maternal serum:</w:t>
            </w:r>
          </w:p>
          <w:p w14:paraId="556009C0" w14:textId="26B73A33" w:rsidR="00CE382D" w:rsidRPr="007D089C" w:rsidRDefault="00CE382D" w:rsidP="00C141DD">
            <w:pPr>
              <w:autoSpaceDE w:val="0"/>
              <w:autoSpaceDN w:val="0"/>
              <w:adjustRightInd w:val="0"/>
              <w:rPr>
                <w:rFonts w:ascii="Times-Roman" w:hAnsi="Times-Roman" w:cs="Times-Roman"/>
                <w:lang w:val="en-US"/>
              </w:rPr>
            </w:pPr>
            <w:r w:rsidRPr="007D089C">
              <w:rPr>
                <w:rFonts w:ascii="Times-Roman" w:hAnsi="Times-Roman" w:cs="Times-Roman"/>
                <w:lang w:val="en-US"/>
              </w:rPr>
              <w:t>Gestational diabetes</w:t>
            </w:r>
            <w:r w:rsidR="00670428" w:rsidRPr="007D089C">
              <w:rPr>
                <w:rFonts w:ascii="Times-Roman" w:hAnsi="Times-Roman" w:cs="Times-Roman"/>
                <w:lang w:val="en-US"/>
              </w:rPr>
              <w:t>:</w:t>
            </w:r>
          </w:p>
        </w:tc>
        <w:tc>
          <w:tcPr>
            <w:tcW w:w="5244" w:type="dxa"/>
          </w:tcPr>
          <w:p w14:paraId="60630029" w14:textId="55CAACB4"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RW.CITE{{1418 Kolla,V. 2010; 1905 Sui,W. 2015}}</w:instrText>
            </w:r>
            <w:r w:rsidRPr="007D089C">
              <w:rPr>
                <w:rFonts w:ascii="Times-Roman" w:hAnsi="Times-Roman" w:cs="Times-Roman"/>
                <w:lang w:val="en-US"/>
              </w:rPr>
              <w:fldChar w:fldCharType="separate"/>
            </w:r>
            <w:r w:rsidR="00C77B76">
              <w:rPr>
                <w:rFonts w:ascii="Times-Roman" w:hAnsi="Times-Roman" w:cs="Times-Roman"/>
                <w:lang w:val="en-US"/>
              </w:rPr>
              <w:t>(Kolla et al., 2010; Sui et al., 2015)</w:t>
            </w:r>
            <w:r w:rsidRPr="007D089C">
              <w:rPr>
                <w:rFonts w:ascii="Times-Roman" w:hAnsi="Times-Roman" w:cs="Times-Roman"/>
                <w:lang w:val="en-US"/>
              </w:rPr>
              <w:fldChar w:fldCharType="end"/>
            </w:r>
          </w:p>
          <w:p w14:paraId="510A16EF" w14:textId="366354EC"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RW.CITE{{1903 Zhang,Y. 2014; 2265 Chen,L. 2016}}</w:instrText>
            </w:r>
            <w:r w:rsidRPr="007D089C">
              <w:rPr>
                <w:rFonts w:ascii="Times-Roman" w:hAnsi="Times-Roman" w:cs="Times-Roman"/>
                <w:lang w:val="en-US"/>
              </w:rPr>
              <w:fldChar w:fldCharType="separate"/>
            </w:r>
            <w:r w:rsidR="00C77B76">
              <w:rPr>
                <w:rFonts w:ascii="Times-Roman" w:hAnsi="Times-Roman" w:cs="Times-Roman"/>
                <w:lang w:val="en-US"/>
              </w:rPr>
              <w:t>(L. Chen et al., 2016; Y. Zhang et al., 2014)</w:t>
            </w:r>
            <w:r w:rsidRPr="007D089C">
              <w:rPr>
                <w:rFonts w:ascii="Times-Roman" w:hAnsi="Times-Roman" w:cs="Times-Roman"/>
                <w:lang w:val="en-US"/>
              </w:rPr>
              <w:fldChar w:fldCharType="end"/>
            </w:r>
          </w:p>
          <w:p w14:paraId="0B1EBA33" w14:textId="5598CD31" w:rsidR="00AA740C" w:rsidRPr="007D089C" w:rsidRDefault="00AA740C" w:rsidP="00C141DD">
            <w:pPr>
              <w:autoSpaceDE w:val="0"/>
              <w:autoSpaceDN w:val="0"/>
              <w:adjustRightInd w:val="0"/>
              <w:rPr>
                <w:rFonts w:ascii="timesroman" w:hAnsi="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RW.CITE{{1418 Kolla,V. 2010}}</w:instrText>
            </w:r>
            <w:r w:rsidRPr="007D089C">
              <w:rPr>
                <w:rFonts w:ascii="Times-Roman" w:hAnsi="Times-Roman" w:cs="Times-Roman"/>
                <w:lang w:val="en-US"/>
              </w:rPr>
              <w:fldChar w:fldCharType="separate"/>
            </w:r>
            <w:r w:rsidR="00C77B76">
              <w:rPr>
                <w:rFonts w:ascii="Times-Roman" w:hAnsi="Times-Roman" w:cs="Times-Roman"/>
                <w:lang w:val="en-US"/>
              </w:rPr>
              <w:t>(Kolla et al., 2010)</w:t>
            </w:r>
            <w:r w:rsidRPr="007D089C">
              <w:rPr>
                <w:rFonts w:ascii="Times-Roman" w:hAnsi="Times-Roman" w:cs="Times-Roman"/>
                <w:lang w:val="en-US"/>
              </w:rPr>
              <w:fldChar w:fldCharType="end"/>
            </w:r>
            <w:r w:rsidRPr="007D089C">
              <w:rPr>
                <w:rFonts w:ascii="timesroman" w:hAnsi="timesroman"/>
                <w:lang w:val="en-US"/>
              </w:rPr>
              <w:t xml:space="preserve"> </w:t>
            </w:r>
          </w:p>
          <w:p w14:paraId="34D9F52B" w14:textId="08078DF3" w:rsidR="00AA740C" w:rsidRPr="007D089C" w:rsidRDefault="00AA740C" w:rsidP="00C141DD">
            <w:pPr>
              <w:autoSpaceDE w:val="0"/>
              <w:autoSpaceDN w:val="0"/>
              <w:adjustRightInd w:val="0"/>
              <w:rPr>
                <w:rFonts w:ascii="timesroman" w:hAnsi="timesroman"/>
                <w:lang w:val="en-US"/>
              </w:rPr>
            </w:pPr>
            <w:r w:rsidRPr="007D089C">
              <w:rPr>
                <w:rFonts w:ascii="timesroman" w:hAnsi="timesroman"/>
                <w:lang w:val="en-US"/>
              </w:rPr>
              <w:fldChar w:fldCharType="begin"/>
            </w:r>
            <w:r w:rsidRPr="007D089C">
              <w:rPr>
                <w:rFonts w:ascii="timesroman" w:hAnsi="timesroman"/>
                <w:lang w:val="en-US"/>
              </w:rPr>
              <w:instrText>ADDIN RW.CITE{{2087 Auer,J. 2010}}</w:instrText>
            </w:r>
            <w:r w:rsidRPr="007D089C">
              <w:rPr>
                <w:rFonts w:ascii="timesroman" w:hAnsi="timesroman"/>
                <w:lang w:val="en-US"/>
              </w:rPr>
              <w:fldChar w:fldCharType="separate"/>
            </w:r>
            <w:r w:rsidR="00C77B76">
              <w:rPr>
                <w:rFonts w:ascii="timesroman" w:hAnsi="timesroman"/>
                <w:lang w:val="en-US"/>
              </w:rPr>
              <w:t>(Auer et al., 2010)</w:t>
            </w:r>
            <w:r w:rsidRPr="007D089C">
              <w:rPr>
                <w:rFonts w:ascii="timesroman" w:hAnsi="timesroman"/>
                <w:lang w:val="en-US"/>
              </w:rPr>
              <w:fldChar w:fldCharType="end"/>
            </w:r>
            <w:r w:rsidRPr="007D089C">
              <w:rPr>
                <w:rFonts w:ascii="timesroman" w:hAnsi="timesroman"/>
                <w:lang w:val="en-US"/>
              </w:rPr>
              <w:fldChar w:fldCharType="begin"/>
            </w:r>
            <w:r w:rsidRPr="007D089C">
              <w:rPr>
                <w:rFonts w:ascii="timesroman" w:hAnsi="timesroman"/>
                <w:lang w:val="en-US"/>
              </w:rPr>
              <w:instrText>ADDIN RW.CITE{{2205 Blankley,R.T. 2013}}</w:instrText>
            </w:r>
            <w:r w:rsidRPr="007D089C">
              <w:rPr>
                <w:rFonts w:ascii="timesroman" w:hAnsi="timesroman"/>
                <w:lang w:val="en-US"/>
              </w:rPr>
              <w:fldChar w:fldCharType="separate"/>
            </w:r>
            <w:r w:rsidR="00C77B76">
              <w:rPr>
                <w:rFonts w:ascii="timesroman" w:hAnsi="timesroman"/>
                <w:lang w:val="en-US"/>
              </w:rPr>
              <w:t>(Blankley et al., 2013)</w:t>
            </w:r>
            <w:r w:rsidRPr="007D089C">
              <w:rPr>
                <w:rFonts w:ascii="timesroman" w:hAnsi="timesroman"/>
                <w:lang w:val="en-US"/>
              </w:rPr>
              <w:fldChar w:fldCharType="end"/>
            </w:r>
          </w:p>
          <w:p w14:paraId="289F46C4" w14:textId="5B501088" w:rsidR="00AA740C" w:rsidRPr="007D089C" w:rsidRDefault="00AA740C" w:rsidP="00C141DD">
            <w:pPr>
              <w:autoSpaceDE w:val="0"/>
              <w:autoSpaceDN w:val="0"/>
              <w:adjustRightInd w:val="0"/>
              <w:rPr>
                <w:rFonts w:ascii="timesroman" w:hAnsi="timesroman"/>
                <w:lang w:val="en-US"/>
              </w:rPr>
            </w:pPr>
            <w:r w:rsidRPr="007D089C">
              <w:rPr>
                <w:rFonts w:ascii="timesroman" w:hAnsi="timesroman"/>
                <w:lang w:val="en-US"/>
              </w:rPr>
              <w:fldChar w:fldCharType="begin"/>
            </w:r>
            <w:r w:rsidRPr="007D089C">
              <w:rPr>
                <w:rFonts w:ascii="timesroman" w:hAnsi="timesroman"/>
                <w:lang w:val="en-US"/>
              </w:rPr>
              <w:instrText>ADDIN RW.CITE{{1421 Bijttebier,J. 2009; 2109 Faulkner,S. 2012}}</w:instrText>
            </w:r>
            <w:r w:rsidRPr="007D089C">
              <w:rPr>
                <w:rFonts w:ascii="timesroman" w:hAnsi="timesroman"/>
                <w:lang w:val="en-US"/>
              </w:rPr>
              <w:fldChar w:fldCharType="separate"/>
            </w:r>
            <w:r w:rsidR="00C77B76">
              <w:rPr>
                <w:rFonts w:ascii="timesroman" w:hAnsi="timesroman"/>
                <w:lang w:val="en-US"/>
              </w:rPr>
              <w:t>(Bijttebier et al., 2009; Faulkner et al., 2012)</w:t>
            </w:r>
            <w:r w:rsidRPr="007D089C">
              <w:rPr>
                <w:rFonts w:ascii="timesroman" w:hAnsi="timesroman"/>
                <w:lang w:val="en-US"/>
              </w:rPr>
              <w:fldChar w:fldCharType="end"/>
            </w:r>
          </w:p>
          <w:p w14:paraId="016AA65F" w14:textId="2648F703"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RW.CITE{{2074 Wang,Y.S. 2011}}</w:instrText>
            </w:r>
            <w:r w:rsidRPr="007D089C">
              <w:rPr>
                <w:rFonts w:ascii="Times-Roman" w:hAnsi="Times-Roman" w:cs="Times-Roman"/>
                <w:lang w:val="en-US"/>
              </w:rPr>
              <w:fldChar w:fldCharType="separate"/>
            </w:r>
            <w:r w:rsidR="00C77B76">
              <w:rPr>
                <w:rFonts w:ascii="Times-Roman" w:hAnsi="Times-Roman" w:cs="Times-Roman"/>
                <w:lang w:val="en-US"/>
              </w:rPr>
              <w:t>(Y. S. Wang et al., 2011)</w:t>
            </w:r>
            <w:r w:rsidRPr="007D089C">
              <w:rPr>
                <w:rFonts w:ascii="Times-Roman" w:hAnsi="Times-Roman" w:cs="Times-Roman"/>
                <w:lang w:val="en-US"/>
              </w:rPr>
              <w:fldChar w:fldCharType="end"/>
            </w:r>
          </w:p>
          <w:p w14:paraId="737D43D4" w14:textId="1CE9BE8B"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RW.CITE{{2116 Xiaoyu,L. 2014}}</w:instrText>
            </w:r>
            <w:r w:rsidRPr="007D089C">
              <w:rPr>
                <w:rFonts w:ascii="Times-Roman" w:hAnsi="Times-Roman" w:cs="Times-Roman"/>
                <w:lang w:val="en-US"/>
              </w:rPr>
              <w:fldChar w:fldCharType="separate"/>
            </w:r>
            <w:r w:rsidR="00C77B76">
              <w:rPr>
                <w:rFonts w:ascii="Times-Roman" w:hAnsi="Times-Roman" w:cs="Times-Roman"/>
                <w:lang w:val="en-US"/>
              </w:rPr>
              <w:t>(Xiaoyu et al., 2014)</w:t>
            </w:r>
            <w:r w:rsidRPr="007D089C">
              <w:rPr>
                <w:rFonts w:ascii="Times-Roman" w:hAnsi="Times-Roman" w:cs="Times-Roman"/>
                <w:lang w:val="en-US"/>
              </w:rPr>
              <w:fldChar w:fldCharType="end"/>
            </w:r>
          </w:p>
          <w:p w14:paraId="146CAC77" w14:textId="79B19E8B"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RW.CITE{{1458 Colquhoun,D.R. 2009}}</w:instrText>
            </w:r>
            <w:r w:rsidRPr="007D089C">
              <w:rPr>
                <w:rFonts w:ascii="Times-Roman" w:hAnsi="Times-Roman" w:cs="Times-Roman"/>
                <w:lang w:val="en-US"/>
              </w:rPr>
              <w:fldChar w:fldCharType="separate"/>
            </w:r>
            <w:r w:rsidR="00C77B76">
              <w:rPr>
                <w:rFonts w:ascii="Times-Roman" w:hAnsi="Times-Roman" w:cs="Times-Roman"/>
                <w:lang w:val="en-US"/>
              </w:rPr>
              <w:t>(Colquhoun et al., 2009)</w:t>
            </w:r>
            <w:r w:rsidRPr="007D089C">
              <w:rPr>
                <w:rFonts w:ascii="Times-Roman" w:hAnsi="Times-Roman" w:cs="Times-Roman"/>
                <w:lang w:val="en-US"/>
              </w:rPr>
              <w:fldChar w:fldCharType="end"/>
            </w:r>
          </w:p>
          <w:p w14:paraId="27A01A7F" w14:textId="0D71C66E" w:rsidR="00CE382D" w:rsidRPr="007D089C" w:rsidRDefault="00CE382D"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RW.CITE{{3134 Zhao,D. 2017}}</w:instrText>
            </w:r>
            <w:r w:rsidRPr="007D089C">
              <w:rPr>
                <w:rFonts w:ascii="Times-Roman" w:hAnsi="Times-Roman" w:cs="Times-Roman"/>
                <w:lang w:val="en-US"/>
              </w:rPr>
              <w:fldChar w:fldCharType="separate"/>
            </w:r>
            <w:r w:rsidR="00C77B76">
              <w:rPr>
                <w:rFonts w:ascii="Times-Roman" w:hAnsi="Times-Roman" w:cs="Times-Roman"/>
                <w:lang w:val="en-US"/>
              </w:rPr>
              <w:t>(Zhao et al., 2017)</w:t>
            </w:r>
            <w:r w:rsidRPr="007D089C">
              <w:rPr>
                <w:rFonts w:ascii="Times-Roman" w:hAnsi="Times-Roman" w:cs="Times-Roman"/>
                <w:lang w:val="en-US"/>
              </w:rPr>
              <w:fldChar w:fldCharType="end"/>
            </w:r>
          </w:p>
        </w:tc>
      </w:tr>
      <w:tr w:rsidR="00AA740C" w:rsidRPr="007D089C" w14:paraId="2BDAC628" w14:textId="77777777" w:rsidTr="00B40062">
        <w:tc>
          <w:tcPr>
            <w:tcW w:w="4957" w:type="dxa"/>
          </w:tcPr>
          <w:p w14:paraId="668F3570" w14:textId="77777777"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b/>
                <w:lang w:val="en-US"/>
              </w:rPr>
              <w:t>T2D, Obesity, Diet &amp; Nutrition</w:t>
            </w:r>
          </w:p>
        </w:tc>
        <w:tc>
          <w:tcPr>
            <w:tcW w:w="5244" w:type="dxa"/>
          </w:tcPr>
          <w:p w14:paraId="1F020732" w14:textId="77777777" w:rsidR="00AA740C" w:rsidRPr="007D089C" w:rsidRDefault="00AA740C" w:rsidP="00C141DD">
            <w:pPr>
              <w:autoSpaceDE w:val="0"/>
              <w:autoSpaceDN w:val="0"/>
              <w:adjustRightInd w:val="0"/>
              <w:rPr>
                <w:rFonts w:ascii="Times-Roman" w:hAnsi="Times-Roman" w:cs="Times-Roman"/>
                <w:lang w:val="en-US"/>
              </w:rPr>
            </w:pPr>
          </w:p>
        </w:tc>
      </w:tr>
      <w:tr w:rsidR="00AA740C" w:rsidRPr="007D089C" w14:paraId="1292385F" w14:textId="77777777" w:rsidTr="00B40062">
        <w:tc>
          <w:tcPr>
            <w:tcW w:w="4957" w:type="dxa"/>
          </w:tcPr>
          <w:p w14:paraId="02F0C0D4" w14:textId="5E408174"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t>T2D</w:t>
            </w:r>
            <w:r w:rsidR="00670428" w:rsidRPr="007D089C">
              <w:rPr>
                <w:rFonts w:ascii="Times-Roman" w:hAnsi="Times-Roman" w:cs="Times-Roman"/>
                <w:lang w:val="en-US"/>
              </w:rPr>
              <w:t>:</w:t>
            </w:r>
          </w:p>
          <w:p w14:paraId="692245C0" w14:textId="77777777"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t xml:space="preserve">T2D+Very Low Calorie Diet: </w:t>
            </w:r>
          </w:p>
          <w:p w14:paraId="62DAD48E" w14:textId="6BB3318E"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t>Gast</w:t>
            </w:r>
            <w:r w:rsidR="00FC7692" w:rsidRPr="007D089C">
              <w:rPr>
                <w:rFonts w:ascii="Times-Roman" w:hAnsi="Times-Roman" w:cs="Times-Roman"/>
                <w:lang w:val="en-US"/>
              </w:rPr>
              <w:t>r</w:t>
            </w:r>
            <w:r w:rsidRPr="007D089C">
              <w:rPr>
                <w:rFonts w:ascii="Times-Roman" w:hAnsi="Times-Roman" w:cs="Times-Roman"/>
                <w:lang w:val="en-US"/>
              </w:rPr>
              <w:t>ic bypass-related</w:t>
            </w:r>
            <w:r w:rsidR="00670428" w:rsidRPr="007D089C">
              <w:rPr>
                <w:rFonts w:ascii="Times-Roman" w:hAnsi="Times-Roman" w:cs="Times-Roman"/>
                <w:lang w:val="en-US"/>
              </w:rPr>
              <w:t>:</w:t>
            </w:r>
          </w:p>
          <w:p w14:paraId="00193B75" w14:textId="77777777"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t xml:space="preserve">T2D/Obesity/Roux-en-Y gastric bypass: </w:t>
            </w:r>
          </w:p>
          <w:p w14:paraId="630AB23F" w14:textId="77777777"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t xml:space="preserve">T2D mouse: </w:t>
            </w:r>
          </w:p>
          <w:p w14:paraId="2C650450" w14:textId="77777777" w:rsidR="00AA740C" w:rsidRPr="007D089C" w:rsidRDefault="00AA740C" w:rsidP="00C141DD">
            <w:pPr>
              <w:autoSpaceDE w:val="0"/>
              <w:autoSpaceDN w:val="0"/>
              <w:adjustRightInd w:val="0"/>
              <w:rPr>
                <w:rFonts w:ascii="Times New Roman" w:hAnsi="Times New Roman" w:cs="Times New Roman"/>
                <w:lang w:val="en-US"/>
              </w:rPr>
            </w:pPr>
            <w:r w:rsidRPr="007D089C">
              <w:rPr>
                <w:rFonts w:ascii="Times New Roman" w:hAnsi="Times New Roman" w:cs="Times New Roman"/>
                <w:lang w:val="en-US"/>
              </w:rPr>
              <w:t xml:space="preserve">Diabetic Zucker rats (carbonylation): </w:t>
            </w:r>
          </w:p>
          <w:p w14:paraId="3A6347FB" w14:textId="5480FC70"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t>Diet and obesity</w:t>
            </w:r>
            <w:r w:rsidR="00670428" w:rsidRPr="007D089C">
              <w:rPr>
                <w:rFonts w:ascii="Times-Roman" w:hAnsi="Times-Roman" w:cs="Times-Roman"/>
                <w:lang w:val="en-US"/>
              </w:rPr>
              <w:t>:</w:t>
            </w:r>
          </w:p>
          <w:p w14:paraId="0DCD36A3" w14:textId="7361253C" w:rsidR="00AA740C" w:rsidRPr="007D089C" w:rsidRDefault="00AA740C" w:rsidP="00C141DD">
            <w:pPr>
              <w:autoSpaceDE w:val="0"/>
              <w:autoSpaceDN w:val="0"/>
              <w:adjustRightInd w:val="0"/>
              <w:rPr>
                <w:rFonts w:ascii="Times-Roman" w:hAnsi="Times-Roman" w:cs="Times-Roman"/>
                <w:sz w:val="28"/>
                <w:szCs w:val="28"/>
                <w:lang w:val="en-US"/>
              </w:rPr>
            </w:pPr>
            <w:r w:rsidRPr="007D089C">
              <w:rPr>
                <w:rFonts w:ascii="Times-Roman" w:hAnsi="Times-Roman" w:cs="Times-Roman"/>
                <w:lang w:val="en-US"/>
              </w:rPr>
              <w:t>Nutrition</w:t>
            </w:r>
            <w:r w:rsidR="00670428" w:rsidRPr="007D089C">
              <w:rPr>
                <w:rFonts w:ascii="Times-Roman" w:hAnsi="Times-Roman" w:cs="Times-Roman"/>
                <w:lang w:val="en-US"/>
              </w:rPr>
              <w:t>:</w:t>
            </w:r>
          </w:p>
        </w:tc>
        <w:tc>
          <w:tcPr>
            <w:tcW w:w="5244" w:type="dxa"/>
          </w:tcPr>
          <w:p w14:paraId="14B5C583" w14:textId="0F87D6A2"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RW.CITE{{1590 Kaur,P. 2012}}</w:instrText>
            </w:r>
            <w:r w:rsidRPr="007D089C">
              <w:rPr>
                <w:rFonts w:ascii="Times-Roman" w:hAnsi="Times-Roman" w:cs="Times-Roman"/>
                <w:lang w:val="en-US"/>
              </w:rPr>
              <w:fldChar w:fldCharType="separate"/>
            </w:r>
            <w:r w:rsidR="00C77B76">
              <w:rPr>
                <w:rFonts w:ascii="Times-Roman" w:hAnsi="Times-Roman" w:cs="Times-Roman"/>
                <w:lang w:val="en-US"/>
              </w:rPr>
              <w:t>(Kaur et al., 2012)</w:t>
            </w:r>
            <w:r w:rsidRPr="007D089C">
              <w:rPr>
                <w:rFonts w:ascii="Times-Roman" w:hAnsi="Times-Roman" w:cs="Times-Roman"/>
                <w:lang w:val="en-US"/>
              </w:rPr>
              <w:fldChar w:fldCharType="end"/>
            </w:r>
          </w:p>
          <w:p w14:paraId="1C66F235" w14:textId="1940A094"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RW.CITE{{2113 Sleddering,M.A. 2014}}</w:instrText>
            </w:r>
            <w:r w:rsidRPr="007D089C">
              <w:rPr>
                <w:rFonts w:ascii="Times-Roman" w:hAnsi="Times-Roman" w:cs="Times-Roman"/>
                <w:lang w:val="en-US"/>
              </w:rPr>
              <w:fldChar w:fldCharType="separate"/>
            </w:r>
            <w:r w:rsidR="00C77B76">
              <w:rPr>
                <w:rFonts w:ascii="Times-Roman" w:hAnsi="Times-Roman" w:cs="Times-Roman"/>
                <w:lang w:val="en-US"/>
              </w:rPr>
              <w:t>(Sleddering et al., 2014)</w:t>
            </w:r>
            <w:r w:rsidRPr="007D089C">
              <w:rPr>
                <w:rFonts w:ascii="Times-Roman" w:hAnsi="Times-Roman" w:cs="Times-Roman"/>
                <w:lang w:val="en-US"/>
              </w:rPr>
              <w:fldChar w:fldCharType="end"/>
            </w:r>
          </w:p>
          <w:p w14:paraId="346696E6" w14:textId="0FCE84A3"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RW.CITE{{2034 Jullig,M. 2014}}</w:instrText>
            </w:r>
            <w:r w:rsidRPr="007D089C">
              <w:rPr>
                <w:rFonts w:ascii="Times-Roman" w:hAnsi="Times-Roman" w:cs="Times-Roman"/>
                <w:lang w:val="en-US"/>
              </w:rPr>
              <w:fldChar w:fldCharType="separate"/>
            </w:r>
            <w:r w:rsidR="00C77B76">
              <w:rPr>
                <w:rFonts w:ascii="Times-Roman" w:hAnsi="Times-Roman" w:cs="Times-Roman"/>
                <w:lang w:val="en-US"/>
              </w:rPr>
              <w:t>(Jullig et al., 2014)</w:t>
            </w:r>
            <w:r w:rsidRPr="007D089C">
              <w:rPr>
                <w:rFonts w:ascii="Times-Roman" w:hAnsi="Times-Roman" w:cs="Times-Roman"/>
                <w:lang w:val="en-US"/>
              </w:rPr>
              <w:fldChar w:fldCharType="end"/>
            </w:r>
          </w:p>
          <w:p w14:paraId="5EB7BF82" w14:textId="5676820D"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RW.CITE{{1435 Culnan,D.M. 2009}}</w:instrText>
            </w:r>
            <w:r w:rsidRPr="007D089C">
              <w:rPr>
                <w:rFonts w:ascii="Times-Roman" w:hAnsi="Times-Roman" w:cs="Times-Roman"/>
                <w:lang w:val="en-US"/>
              </w:rPr>
              <w:fldChar w:fldCharType="separate"/>
            </w:r>
            <w:r w:rsidR="00C77B76">
              <w:rPr>
                <w:rFonts w:ascii="Times-Roman" w:hAnsi="Times-Roman" w:cs="Times-Roman"/>
                <w:lang w:val="en-US"/>
              </w:rPr>
              <w:t>(Culnan et al., 2009)</w:t>
            </w:r>
            <w:r w:rsidRPr="007D089C">
              <w:rPr>
                <w:rFonts w:ascii="Times-Roman" w:hAnsi="Times-Roman" w:cs="Times-Roman"/>
                <w:lang w:val="en-US"/>
              </w:rPr>
              <w:fldChar w:fldCharType="end"/>
            </w:r>
          </w:p>
          <w:p w14:paraId="4B4F435B" w14:textId="01073CFF"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RW.CITE{{2033 Takahashi,E. 2013}}</w:instrText>
            </w:r>
            <w:r w:rsidRPr="007D089C">
              <w:rPr>
                <w:rFonts w:ascii="Times-Roman" w:hAnsi="Times-Roman" w:cs="Times-Roman"/>
                <w:lang w:val="en-US"/>
              </w:rPr>
              <w:fldChar w:fldCharType="separate"/>
            </w:r>
            <w:r w:rsidR="00C77B76">
              <w:rPr>
                <w:rFonts w:ascii="Times-Roman" w:hAnsi="Times-Roman" w:cs="Times-Roman"/>
                <w:lang w:val="en-US"/>
              </w:rPr>
              <w:t>(Takahashi et al., 2013)</w:t>
            </w:r>
            <w:r w:rsidRPr="007D089C">
              <w:rPr>
                <w:rFonts w:ascii="Times-Roman" w:hAnsi="Times-Roman" w:cs="Times-Roman"/>
                <w:lang w:val="en-US"/>
              </w:rPr>
              <w:fldChar w:fldCharType="end"/>
            </w:r>
          </w:p>
          <w:p w14:paraId="3AD7C596" w14:textId="73C51989" w:rsidR="00AA740C" w:rsidRPr="007D089C" w:rsidRDefault="00AA740C" w:rsidP="00C141DD">
            <w:pPr>
              <w:autoSpaceDE w:val="0"/>
              <w:autoSpaceDN w:val="0"/>
              <w:adjustRightInd w:val="0"/>
              <w:rPr>
                <w:lang w:val="en-US"/>
              </w:rPr>
            </w:pPr>
            <w:r w:rsidRPr="007D089C">
              <w:rPr>
                <w:lang w:val="en-US"/>
              </w:rPr>
              <w:fldChar w:fldCharType="begin"/>
            </w:r>
            <w:r w:rsidRPr="007D089C">
              <w:rPr>
                <w:lang w:val="en-US"/>
              </w:rPr>
              <w:instrText>ADDIN RW.CITE{{2136 Madian,A.G. 2011}}</w:instrText>
            </w:r>
            <w:r w:rsidRPr="007D089C">
              <w:rPr>
                <w:lang w:val="en-US"/>
              </w:rPr>
              <w:fldChar w:fldCharType="separate"/>
            </w:r>
            <w:r w:rsidR="00C77B76">
              <w:rPr>
                <w:lang w:val="en-US"/>
              </w:rPr>
              <w:t>(Madian et al., 2011)</w:t>
            </w:r>
            <w:r w:rsidRPr="007D089C">
              <w:rPr>
                <w:lang w:val="en-US"/>
              </w:rPr>
              <w:fldChar w:fldCharType="end"/>
            </w:r>
          </w:p>
          <w:p w14:paraId="02C3E8EF" w14:textId="0CBE6A4D" w:rsidR="00AA740C" w:rsidRPr="007D089C" w:rsidRDefault="00AA740C" w:rsidP="00C141DD">
            <w:pPr>
              <w:autoSpaceDE w:val="0"/>
              <w:autoSpaceDN w:val="0"/>
              <w:adjustRightInd w:val="0"/>
              <w:rPr>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RW.CITE{{2037 Al-Daghri,N.M. 2014}}</w:instrText>
            </w:r>
            <w:r w:rsidRPr="007D089C">
              <w:rPr>
                <w:rFonts w:ascii="Times-Roman" w:hAnsi="Times-Roman" w:cs="Times-Roman"/>
                <w:lang w:val="en-US"/>
              </w:rPr>
              <w:fldChar w:fldCharType="separate"/>
            </w:r>
            <w:r w:rsidR="00C77B76">
              <w:rPr>
                <w:rFonts w:ascii="Times-Roman" w:hAnsi="Times-Roman" w:cs="Times-Roman"/>
                <w:lang w:val="en-US"/>
              </w:rPr>
              <w:t>(Al-Daghri et al., 2014)</w:t>
            </w:r>
            <w:r w:rsidRPr="007D089C">
              <w:rPr>
                <w:rFonts w:ascii="Times-Roman" w:hAnsi="Times-Roman" w:cs="Times-Roman"/>
                <w:lang w:val="en-US"/>
              </w:rPr>
              <w:fldChar w:fldCharType="end"/>
            </w:r>
            <w:r w:rsidRPr="007D089C">
              <w:rPr>
                <w:rFonts w:ascii="Times-Roman" w:hAnsi="Times-Roman" w:cs="Times-Roman"/>
                <w:lang w:val="en-US"/>
              </w:rPr>
              <w:t xml:space="preserve">, </w:t>
            </w:r>
            <w:r w:rsidRPr="007D089C">
              <w:rPr>
                <w:lang w:val="en-US"/>
              </w:rPr>
              <w:fldChar w:fldCharType="begin"/>
            </w:r>
            <w:r w:rsidRPr="007D089C">
              <w:rPr>
                <w:rFonts w:ascii="Times New Roman" w:hAnsi="Times New Roman" w:cs="Times New Roman"/>
                <w:lang w:val="en-US"/>
              </w:rPr>
              <w:instrText>ADDIN RW.CITE{{2234 Cominetti,Ornella 2015}}</w:instrText>
            </w:r>
            <w:r w:rsidRPr="007D089C">
              <w:rPr>
                <w:lang w:val="en-US"/>
              </w:rPr>
              <w:fldChar w:fldCharType="separate"/>
            </w:r>
            <w:r w:rsidR="00C77B76">
              <w:rPr>
                <w:rFonts w:ascii="Times New Roman" w:hAnsi="Times New Roman" w:cs="Times New Roman"/>
                <w:lang w:val="en-US"/>
              </w:rPr>
              <w:t>(Cominetti et al., 2015)</w:t>
            </w:r>
            <w:r w:rsidRPr="007D089C">
              <w:rPr>
                <w:lang w:val="en-US"/>
              </w:rPr>
              <w:fldChar w:fldCharType="end"/>
            </w:r>
          </w:p>
          <w:p w14:paraId="30CBB958" w14:textId="35A9A860" w:rsidR="00AA740C" w:rsidRPr="007D089C" w:rsidRDefault="00AA740C" w:rsidP="00C141DD">
            <w:pPr>
              <w:autoSpaceDE w:val="0"/>
              <w:autoSpaceDN w:val="0"/>
              <w:adjustRightInd w:val="0"/>
              <w:rPr>
                <w:rFonts w:ascii="Times-Roman" w:hAnsi="Times-Roman" w:cs="Times-Roman"/>
                <w:b/>
                <w:sz w:val="28"/>
                <w:szCs w:val="28"/>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RW.CITE{{1670 Cole,R.N. 2013}}</w:instrText>
            </w:r>
            <w:r w:rsidRPr="007D089C">
              <w:rPr>
                <w:rFonts w:ascii="Times-Roman" w:hAnsi="Times-Roman" w:cs="Times-Roman"/>
                <w:lang w:val="en-US"/>
              </w:rPr>
              <w:fldChar w:fldCharType="separate"/>
            </w:r>
            <w:r w:rsidR="00C77B76">
              <w:rPr>
                <w:rFonts w:ascii="Times-Roman" w:hAnsi="Times-Roman" w:cs="Times-Roman"/>
                <w:lang w:val="en-US"/>
              </w:rPr>
              <w:t>(Cole et al., 2013)</w:t>
            </w:r>
            <w:r w:rsidRPr="007D089C">
              <w:rPr>
                <w:rFonts w:ascii="Times-Roman" w:hAnsi="Times-Roman" w:cs="Times-Roman"/>
                <w:lang w:val="en-US"/>
              </w:rPr>
              <w:fldChar w:fldCharType="end"/>
            </w:r>
          </w:p>
        </w:tc>
      </w:tr>
      <w:tr w:rsidR="00AA740C" w:rsidRPr="007D089C" w14:paraId="4242961A" w14:textId="77777777" w:rsidTr="00B40062">
        <w:tc>
          <w:tcPr>
            <w:tcW w:w="10201" w:type="dxa"/>
            <w:gridSpan w:val="2"/>
          </w:tcPr>
          <w:p w14:paraId="0E893F00" w14:textId="77777777"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b/>
                <w:lang w:val="en-US"/>
              </w:rPr>
              <w:t>Transplant</w:t>
            </w:r>
          </w:p>
        </w:tc>
      </w:tr>
      <w:tr w:rsidR="00AA740C" w:rsidRPr="007D089C" w14:paraId="5B6D3FDE" w14:textId="77777777" w:rsidTr="00B40062">
        <w:tc>
          <w:tcPr>
            <w:tcW w:w="4957" w:type="dxa"/>
          </w:tcPr>
          <w:p w14:paraId="0F8538A4" w14:textId="77777777"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t xml:space="preserve">Liver: </w:t>
            </w:r>
          </w:p>
          <w:p w14:paraId="04DAB337" w14:textId="77777777"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t xml:space="preserve">Renal allograft rejection: </w:t>
            </w:r>
          </w:p>
          <w:p w14:paraId="5519EAF8" w14:textId="77777777"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t xml:space="preserve">Heart/cardiac: </w:t>
            </w:r>
          </w:p>
          <w:p w14:paraId="5E580974" w14:textId="77777777"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t>Stem Cell:</w:t>
            </w:r>
          </w:p>
        </w:tc>
        <w:tc>
          <w:tcPr>
            <w:tcW w:w="5244" w:type="dxa"/>
          </w:tcPr>
          <w:p w14:paraId="726F8D6A" w14:textId="3965E91F"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RW.CITE{{2084 Parviainen,V. 2011}}</w:instrText>
            </w:r>
            <w:r w:rsidRPr="007D089C">
              <w:rPr>
                <w:rFonts w:ascii="Times-Roman" w:hAnsi="Times-Roman" w:cs="Times-Roman"/>
                <w:lang w:val="en-US"/>
              </w:rPr>
              <w:fldChar w:fldCharType="separate"/>
            </w:r>
            <w:r w:rsidR="00C77B76">
              <w:rPr>
                <w:rFonts w:ascii="Times-Roman" w:hAnsi="Times-Roman" w:cs="Times-Roman"/>
                <w:lang w:val="en-US"/>
              </w:rPr>
              <w:t>(Parviainen et al., 2011)</w:t>
            </w:r>
            <w:r w:rsidRPr="007D089C">
              <w:rPr>
                <w:rFonts w:ascii="Times-Roman" w:hAnsi="Times-Roman" w:cs="Times-Roman"/>
                <w:lang w:val="en-US"/>
              </w:rPr>
              <w:fldChar w:fldCharType="end"/>
            </w:r>
          </w:p>
          <w:p w14:paraId="3C911963" w14:textId="2E8568A9"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RW.CITE{{1429 Freue,G.V. 2010; 1440 Wu,D. 2011}}</w:instrText>
            </w:r>
            <w:r w:rsidRPr="007D089C">
              <w:rPr>
                <w:rFonts w:ascii="Times-Roman" w:hAnsi="Times-Roman" w:cs="Times-Roman"/>
                <w:lang w:val="en-US"/>
              </w:rPr>
              <w:fldChar w:fldCharType="separate"/>
            </w:r>
            <w:r w:rsidR="00C77B76">
              <w:rPr>
                <w:rFonts w:ascii="Times-Roman" w:hAnsi="Times-Roman" w:cs="Times-Roman"/>
                <w:lang w:val="en-US"/>
              </w:rPr>
              <w:t>(Freue et al., 2010; D. Wu et al., 2011)</w:t>
            </w:r>
            <w:r w:rsidRPr="007D089C">
              <w:rPr>
                <w:rFonts w:ascii="Times-Roman" w:hAnsi="Times-Roman" w:cs="Times-Roman"/>
                <w:lang w:val="en-US"/>
              </w:rPr>
              <w:fldChar w:fldCharType="end"/>
            </w:r>
          </w:p>
          <w:p w14:paraId="2587CACD" w14:textId="3EDB33F6"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RW.CITE{{2103 Lin,D. 2013; 2101 Hollander,Z. 2014}}</w:instrText>
            </w:r>
            <w:r w:rsidRPr="007D089C">
              <w:rPr>
                <w:rFonts w:ascii="Times-Roman" w:hAnsi="Times-Roman" w:cs="Times-Roman"/>
                <w:lang w:val="en-US"/>
              </w:rPr>
              <w:fldChar w:fldCharType="separate"/>
            </w:r>
            <w:r w:rsidR="00C77B76">
              <w:rPr>
                <w:rFonts w:ascii="Times-Roman" w:hAnsi="Times-Roman" w:cs="Times-Roman"/>
                <w:lang w:val="en-US"/>
              </w:rPr>
              <w:t>(Hollander et al., 2014; Lin et al., 2013)</w:t>
            </w:r>
            <w:r w:rsidRPr="007D089C">
              <w:rPr>
                <w:rFonts w:ascii="Times-Roman" w:hAnsi="Times-Roman" w:cs="Times-Roman"/>
                <w:lang w:val="en-US"/>
              </w:rPr>
              <w:fldChar w:fldCharType="end"/>
            </w:r>
          </w:p>
          <w:p w14:paraId="657BDA29" w14:textId="5874DEF2"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RW.CITE{{1623 Lv,M. 2013}}</w:instrText>
            </w:r>
            <w:r w:rsidRPr="007D089C">
              <w:rPr>
                <w:rFonts w:ascii="Times-Roman" w:hAnsi="Times-Roman" w:cs="Times-Roman"/>
                <w:lang w:val="en-US"/>
              </w:rPr>
              <w:fldChar w:fldCharType="separate"/>
            </w:r>
            <w:r w:rsidR="00C77B76">
              <w:rPr>
                <w:rFonts w:ascii="Times-Roman" w:hAnsi="Times-Roman" w:cs="Times-Roman"/>
                <w:lang w:val="en-US"/>
              </w:rPr>
              <w:t>(Lv et al., 2013)</w:t>
            </w:r>
            <w:r w:rsidRPr="007D089C">
              <w:rPr>
                <w:rFonts w:ascii="Times-Roman" w:hAnsi="Times-Roman" w:cs="Times-Roman"/>
                <w:lang w:val="en-US"/>
              </w:rPr>
              <w:fldChar w:fldCharType="end"/>
            </w:r>
            <w:r w:rsidRPr="007D089C">
              <w:rPr>
                <w:rFonts w:ascii="Times-Roman" w:hAnsi="Times-Roman" w:cs="Times-Roman"/>
                <w:lang w:val="en-US"/>
              </w:rPr>
              <w:fldChar w:fldCharType="begin"/>
            </w:r>
            <w:r w:rsidRPr="007D089C">
              <w:rPr>
                <w:rFonts w:ascii="Times-Roman" w:hAnsi="Times-Roman" w:cs="Times-Roman"/>
                <w:lang w:val="en-US"/>
              </w:rPr>
              <w:instrText>ADDIN RW.CITE{{1427 Ye,H. 2010}}</w:instrText>
            </w:r>
            <w:r w:rsidRPr="007D089C">
              <w:rPr>
                <w:rFonts w:ascii="Times-Roman" w:hAnsi="Times-Roman" w:cs="Times-Roman"/>
                <w:lang w:val="en-US"/>
              </w:rPr>
              <w:fldChar w:fldCharType="separate"/>
            </w:r>
            <w:r w:rsidR="00C77B76">
              <w:rPr>
                <w:rFonts w:ascii="Times-Roman" w:hAnsi="Times-Roman" w:cs="Times-Roman"/>
                <w:lang w:val="en-US"/>
              </w:rPr>
              <w:t>(Ye et al., 2010)</w:t>
            </w:r>
            <w:r w:rsidRPr="007D089C">
              <w:rPr>
                <w:rFonts w:ascii="Times-Roman" w:hAnsi="Times-Roman" w:cs="Times-Roman"/>
                <w:lang w:val="en-US"/>
              </w:rPr>
              <w:fldChar w:fldCharType="end"/>
            </w:r>
          </w:p>
        </w:tc>
      </w:tr>
      <w:tr w:rsidR="00AA740C" w:rsidRPr="007D089C" w14:paraId="028D583C" w14:textId="77777777" w:rsidTr="00B40062">
        <w:tc>
          <w:tcPr>
            <w:tcW w:w="4957" w:type="dxa"/>
          </w:tcPr>
          <w:p w14:paraId="093813D9" w14:textId="77777777" w:rsidR="00AA740C" w:rsidRPr="007D089C" w:rsidRDefault="00AA740C" w:rsidP="00C141DD">
            <w:pPr>
              <w:autoSpaceDE w:val="0"/>
              <w:autoSpaceDN w:val="0"/>
              <w:adjustRightInd w:val="0"/>
              <w:rPr>
                <w:rFonts w:ascii="Times-Roman" w:hAnsi="Times-Roman" w:cs="Times-Roman"/>
                <w:b/>
                <w:sz w:val="28"/>
                <w:szCs w:val="28"/>
                <w:lang w:val="en-US"/>
              </w:rPr>
            </w:pPr>
            <w:r w:rsidRPr="007D089C">
              <w:rPr>
                <w:rFonts w:ascii="Times-Roman" w:hAnsi="Times-Roman" w:cs="Times-Roman"/>
                <w:b/>
                <w:lang w:val="en-US"/>
              </w:rPr>
              <w:t>Diseases and afflictions of the brain</w:t>
            </w:r>
          </w:p>
        </w:tc>
        <w:tc>
          <w:tcPr>
            <w:tcW w:w="5244" w:type="dxa"/>
          </w:tcPr>
          <w:p w14:paraId="475E2A66" w14:textId="77777777" w:rsidR="00AA740C" w:rsidRPr="007D089C" w:rsidRDefault="00AA740C" w:rsidP="00C141DD">
            <w:pPr>
              <w:autoSpaceDE w:val="0"/>
              <w:autoSpaceDN w:val="0"/>
              <w:adjustRightInd w:val="0"/>
              <w:rPr>
                <w:rFonts w:ascii="Times-Roman" w:hAnsi="Times-Roman" w:cs="Times-Roman"/>
                <w:b/>
                <w:sz w:val="28"/>
                <w:szCs w:val="28"/>
                <w:lang w:val="en-US"/>
              </w:rPr>
            </w:pPr>
          </w:p>
        </w:tc>
      </w:tr>
      <w:tr w:rsidR="00AA740C" w:rsidRPr="007D089C" w14:paraId="4EFF371B" w14:textId="77777777" w:rsidTr="00B40062">
        <w:tc>
          <w:tcPr>
            <w:tcW w:w="4957" w:type="dxa"/>
          </w:tcPr>
          <w:p w14:paraId="037EACB9" w14:textId="6C9A4232"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t xml:space="preserve">Brain injury </w:t>
            </w:r>
            <w:r w:rsidR="00670428" w:rsidRPr="007D089C">
              <w:rPr>
                <w:rFonts w:ascii="Times-Roman" w:hAnsi="Times-Roman" w:cs="Times-Roman"/>
                <w:lang w:val="en-US"/>
              </w:rPr>
              <w:t>– human:</w:t>
            </w:r>
          </w:p>
          <w:p w14:paraId="2DB4EE28" w14:textId="77777777"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t>Brain injury -mouse model:</w:t>
            </w:r>
          </w:p>
          <w:p w14:paraId="112140CD" w14:textId="74EA639C"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t>Depression</w:t>
            </w:r>
            <w:r w:rsidR="00670428" w:rsidRPr="007D089C">
              <w:rPr>
                <w:rFonts w:ascii="Times-Roman" w:hAnsi="Times-Roman" w:cs="Times-Roman"/>
                <w:lang w:val="en-US"/>
              </w:rPr>
              <w:t>:</w:t>
            </w:r>
          </w:p>
          <w:p w14:paraId="43BFBF9E" w14:textId="0EC1A0C9"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t xml:space="preserve">Post stroke  </w:t>
            </w:r>
            <w:r w:rsidR="00670428" w:rsidRPr="007D089C">
              <w:rPr>
                <w:rFonts w:ascii="Times-Roman" w:hAnsi="Times-Roman" w:cs="Times-Roman"/>
                <w:lang w:val="en-US"/>
              </w:rPr>
              <w:t>depression:</w:t>
            </w:r>
          </w:p>
          <w:p w14:paraId="2E26E901" w14:textId="3541F0EC" w:rsidR="00AA740C" w:rsidRPr="007D089C" w:rsidRDefault="00FC7692" w:rsidP="00C141DD">
            <w:pPr>
              <w:autoSpaceDE w:val="0"/>
              <w:autoSpaceDN w:val="0"/>
              <w:adjustRightInd w:val="0"/>
              <w:rPr>
                <w:rFonts w:ascii="Times-Roman" w:hAnsi="Times-Roman" w:cs="Times-Roman"/>
                <w:lang w:val="en-US"/>
              </w:rPr>
            </w:pPr>
            <w:r w:rsidRPr="007D089C">
              <w:rPr>
                <w:rFonts w:ascii="Times-Roman" w:hAnsi="Times-Roman" w:cs="Times-Roman"/>
                <w:lang w:val="en-US"/>
              </w:rPr>
              <w:t>Alzheimer’s</w:t>
            </w:r>
            <w:r w:rsidR="00AA740C" w:rsidRPr="007D089C">
              <w:rPr>
                <w:rFonts w:ascii="Times-Roman" w:hAnsi="Times-Roman" w:cs="Times-Roman"/>
                <w:lang w:val="en-US"/>
              </w:rPr>
              <w:t xml:space="preserve"> vs. mild cognitive impairment</w:t>
            </w:r>
            <w:r w:rsidR="00670428" w:rsidRPr="007D089C">
              <w:rPr>
                <w:rFonts w:ascii="Times-Roman" w:hAnsi="Times-Roman" w:cs="Times-Roman"/>
                <w:lang w:val="en-US"/>
              </w:rPr>
              <w:t>:</w:t>
            </w:r>
          </w:p>
        </w:tc>
        <w:tc>
          <w:tcPr>
            <w:tcW w:w="5244" w:type="dxa"/>
          </w:tcPr>
          <w:p w14:paraId="25C58A01" w14:textId="2852E29C"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RW.CITE{{1462 Hergenroeder,G. 2008}}</w:instrText>
            </w:r>
            <w:r w:rsidRPr="007D089C">
              <w:rPr>
                <w:rFonts w:ascii="Times-Roman" w:hAnsi="Times-Roman" w:cs="Times-Roman"/>
                <w:lang w:val="en-US"/>
              </w:rPr>
              <w:fldChar w:fldCharType="separate"/>
            </w:r>
            <w:r w:rsidR="00C77B76">
              <w:rPr>
                <w:rFonts w:ascii="Times-Roman" w:hAnsi="Times-Roman" w:cs="Times-Roman"/>
                <w:lang w:val="en-US"/>
              </w:rPr>
              <w:t>(Hergenroeder et al., 2008)</w:t>
            </w:r>
            <w:r w:rsidRPr="007D089C">
              <w:rPr>
                <w:rFonts w:ascii="Times-Roman" w:hAnsi="Times-Roman" w:cs="Times-Roman"/>
                <w:lang w:val="en-US"/>
              </w:rPr>
              <w:fldChar w:fldCharType="end"/>
            </w:r>
            <w:r w:rsidRPr="007D089C">
              <w:rPr>
                <w:rFonts w:ascii="Times-Roman" w:hAnsi="Times-Roman" w:cs="Times-Roman"/>
                <w:lang w:val="en-US"/>
              </w:rPr>
              <w:t xml:space="preserve"> </w:t>
            </w:r>
          </w:p>
          <w:p w14:paraId="264C1C82" w14:textId="4BD9650B"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RW.CITE{{2124 Crawford,F. 2012}}</w:instrText>
            </w:r>
            <w:r w:rsidRPr="007D089C">
              <w:rPr>
                <w:rFonts w:ascii="Times-Roman" w:hAnsi="Times-Roman" w:cs="Times-Roman"/>
                <w:lang w:val="en-US"/>
              </w:rPr>
              <w:fldChar w:fldCharType="separate"/>
            </w:r>
            <w:r w:rsidR="00C77B76">
              <w:rPr>
                <w:rFonts w:ascii="Times-Roman" w:hAnsi="Times-Roman" w:cs="Times-Roman"/>
                <w:lang w:val="en-US"/>
              </w:rPr>
              <w:t>(Crawford et al., 2012)</w:t>
            </w:r>
            <w:r w:rsidRPr="007D089C">
              <w:rPr>
                <w:rFonts w:ascii="Times-Roman" w:hAnsi="Times-Roman" w:cs="Times-Roman"/>
                <w:lang w:val="en-US"/>
              </w:rPr>
              <w:fldChar w:fldCharType="end"/>
            </w:r>
          </w:p>
          <w:p w14:paraId="50EE8064" w14:textId="7EA35260"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RW.CITE{{2089 Xu,H.B. 2012}}</w:instrText>
            </w:r>
            <w:r w:rsidRPr="007D089C">
              <w:rPr>
                <w:rFonts w:ascii="Times-Roman" w:hAnsi="Times-Roman" w:cs="Times-Roman"/>
                <w:lang w:val="en-US"/>
              </w:rPr>
              <w:fldChar w:fldCharType="separate"/>
            </w:r>
            <w:r w:rsidR="00C77B76">
              <w:rPr>
                <w:rFonts w:ascii="Times-Roman" w:hAnsi="Times-Roman" w:cs="Times-Roman"/>
                <w:lang w:val="en-US"/>
              </w:rPr>
              <w:t>(H. B. Xu et al., 2012)</w:t>
            </w:r>
            <w:r w:rsidRPr="007D089C">
              <w:rPr>
                <w:rFonts w:ascii="Times-Roman" w:hAnsi="Times-Roman" w:cs="Times-Roman"/>
                <w:lang w:val="en-US"/>
              </w:rPr>
              <w:fldChar w:fldCharType="end"/>
            </w:r>
          </w:p>
          <w:p w14:paraId="68C05C02" w14:textId="353DA138"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RW.CITE{{2123 Zhan,Y. 2014}}</w:instrText>
            </w:r>
            <w:r w:rsidRPr="007D089C">
              <w:rPr>
                <w:rFonts w:ascii="Times-Roman" w:hAnsi="Times-Roman" w:cs="Times-Roman"/>
                <w:lang w:val="en-US"/>
              </w:rPr>
              <w:fldChar w:fldCharType="separate"/>
            </w:r>
            <w:r w:rsidR="00C77B76">
              <w:rPr>
                <w:rFonts w:ascii="Times-Roman" w:hAnsi="Times-Roman" w:cs="Times-Roman"/>
                <w:lang w:val="en-US"/>
              </w:rPr>
              <w:t>(Zhan et al., 2014)</w:t>
            </w:r>
            <w:r w:rsidRPr="007D089C">
              <w:rPr>
                <w:rFonts w:ascii="Times-Roman" w:hAnsi="Times-Roman" w:cs="Times-Roman"/>
                <w:lang w:val="en-US"/>
              </w:rPr>
              <w:fldChar w:fldCharType="end"/>
            </w:r>
          </w:p>
          <w:p w14:paraId="3696B735" w14:textId="047974AC"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RW.CITE{{2083 Song,F. 2014; 2130 Muenchhoff,J. 2015}}</w:instrText>
            </w:r>
            <w:r w:rsidRPr="007D089C">
              <w:rPr>
                <w:rFonts w:ascii="Times-Roman" w:hAnsi="Times-Roman" w:cs="Times-Roman"/>
                <w:lang w:val="en-US"/>
              </w:rPr>
              <w:fldChar w:fldCharType="separate"/>
            </w:r>
            <w:r w:rsidR="00C77B76">
              <w:rPr>
                <w:rFonts w:ascii="Times-Roman" w:hAnsi="Times-Roman" w:cs="Times-Roman"/>
                <w:lang w:val="en-US"/>
              </w:rPr>
              <w:t>(Muenchhoff et al., 2015; F. Song et al., 2014)</w:t>
            </w:r>
            <w:r w:rsidRPr="007D089C">
              <w:rPr>
                <w:rFonts w:ascii="Times-Roman" w:hAnsi="Times-Roman" w:cs="Times-Roman"/>
                <w:lang w:val="en-US"/>
              </w:rPr>
              <w:fldChar w:fldCharType="end"/>
            </w:r>
          </w:p>
        </w:tc>
      </w:tr>
      <w:tr w:rsidR="00AA740C" w:rsidRPr="007D089C" w14:paraId="2215B185" w14:textId="77777777" w:rsidTr="00B40062">
        <w:tc>
          <w:tcPr>
            <w:tcW w:w="4957" w:type="dxa"/>
          </w:tcPr>
          <w:p w14:paraId="2FF1F242" w14:textId="77777777" w:rsidR="00AA740C" w:rsidRPr="007D089C" w:rsidRDefault="00AA740C" w:rsidP="00C141DD">
            <w:pPr>
              <w:autoSpaceDE w:val="0"/>
              <w:autoSpaceDN w:val="0"/>
              <w:adjustRightInd w:val="0"/>
              <w:rPr>
                <w:rFonts w:ascii="Times-Roman" w:hAnsi="Times-Roman" w:cs="Times-Roman"/>
                <w:b/>
                <w:sz w:val="28"/>
                <w:szCs w:val="28"/>
                <w:lang w:val="en-US"/>
              </w:rPr>
            </w:pPr>
            <w:r w:rsidRPr="007D089C">
              <w:rPr>
                <w:rFonts w:ascii="Times-Roman" w:hAnsi="Times-Roman" w:cs="Times-Roman"/>
                <w:b/>
                <w:lang w:val="en-US"/>
              </w:rPr>
              <w:t>Environmental Exposure</w:t>
            </w:r>
          </w:p>
        </w:tc>
        <w:tc>
          <w:tcPr>
            <w:tcW w:w="5244" w:type="dxa"/>
          </w:tcPr>
          <w:p w14:paraId="6FE79395" w14:textId="77777777" w:rsidR="00AA740C" w:rsidRPr="007D089C" w:rsidRDefault="00AA740C" w:rsidP="00C141DD">
            <w:pPr>
              <w:autoSpaceDE w:val="0"/>
              <w:autoSpaceDN w:val="0"/>
              <w:adjustRightInd w:val="0"/>
              <w:rPr>
                <w:rFonts w:ascii="Times-Roman" w:hAnsi="Times-Roman" w:cs="Times-Roman"/>
                <w:b/>
                <w:sz w:val="28"/>
                <w:szCs w:val="28"/>
                <w:lang w:val="en-US"/>
              </w:rPr>
            </w:pPr>
          </w:p>
        </w:tc>
      </w:tr>
      <w:tr w:rsidR="00AA740C" w:rsidRPr="007D089C" w14:paraId="39024974" w14:textId="77777777" w:rsidTr="00B40062">
        <w:tc>
          <w:tcPr>
            <w:tcW w:w="4957" w:type="dxa"/>
          </w:tcPr>
          <w:p w14:paraId="3547EE7E" w14:textId="329E05E3"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t xml:space="preserve">Rat exposure to </w:t>
            </w:r>
            <w:r w:rsidR="00670428" w:rsidRPr="007D089C">
              <w:rPr>
                <w:rFonts w:ascii="Times-Roman" w:hAnsi="Times-Roman" w:cs="Times-Roman"/>
                <w:lang w:val="en-US"/>
              </w:rPr>
              <w:t>bisphenol and genistein:</w:t>
            </w:r>
          </w:p>
          <w:p w14:paraId="239533F0" w14:textId="73549BD2"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t>Occupational health: benzene</w:t>
            </w:r>
            <w:r w:rsidR="00670428" w:rsidRPr="007D089C">
              <w:rPr>
                <w:rFonts w:ascii="Times-Roman" w:hAnsi="Times-Roman" w:cs="Times-Roman"/>
                <w:lang w:val="en-US"/>
              </w:rPr>
              <w:t>:</w:t>
            </w:r>
            <w:r w:rsidRPr="007D089C">
              <w:rPr>
                <w:rFonts w:ascii="Times-Roman" w:hAnsi="Times-Roman" w:cs="Times-Roman"/>
                <w:lang w:val="en-US"/>
              </w:rPr>
              <w:t xml:space="preserve"> </w:t>
            </w:r>
          </w:p>
          <w:p w14:paraId="2DF641B3" w14:textId="0FEAB6A3"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t>Exposure to rare earth metals</w:t>
            </w:r>
            <w:r w:rsidR="00670428" w:rsidRPr="007D089C">
              <w:rPr>
                <w:rFonts w:ascii="Times-Roman" w:hAnsi="Times-Roman" w:cs="Times-Roman"/>
                <w:lang w:val="en-US"/>
              </w:rPr>
              <w:t>:</w:t>
            </w:r>
            <w:r w:rsidRPr="007D089C">
              <w:rPr>
                <w:rFonts w:ascii="Times-Roman" w:hAnsi="Times-Roman" w:cs="Times-Roman"/>
                <w:lang w:val="en-US"/>
              </w:rPr>
              <w:t xml:space="preserve"> </w:t>
            </w:r>
          </w:p>
        </w:tc>
        <w:tc>
          <w:tcPr>
            <w:tcW w:w="5244" w:type="dxa"/>
          </w:tcPr>
          <w:p w14:paraId="5B433CC1" w14:textId="6A6EFD86"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RW.CITE{{2126 Betancourt,A. 2014}}</w:instrText>
            </w:r>
            <w:r w:rsidRPr="007D089C">
              <w:rPr>
                <w:rFonts w:ascii="Times-Roman" w:hAnsi="Times-Roman" w:cs="Times-Roman"/>
                <w:lang w:val="en-US"/>
              </w:rPr>
              <w:fldChar w:fldCharType="separate"/>
            </w:r>
            <w:r w:rsidR="00C77B76">
              <w:rPr>
                <w:rFonts w:ascii="Times-Roman" w:hAnsi="Times-Roman" w:cs="Times-Roman"/>
                <w:lang w:val="en-US"/>
              </w:rPr>
              <w:t>(Betancourt et al., 2014)</w:t>
            </w:r>
            <w:r w:rsidRPr="007D089C">
              <w:rPr>
                <w:rFonts w:ascii="Times-Roman" w:hAnsi="Times-Roman" w:cs="Times-Roman"/>
                <w:lang w:val="en-US"/>
              </w:rPr>
              <w:fldChar w:fldCharType="end"/>
            </w:r>
          </w:p>
          <w:p w14:paraId="3D7E91F4" w14:textId="23E7BAF9"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RW.CITE{{2003 Huang,Z. 2012}}</w:instrText>
            </w:r>
            <w:r w:rsidRPr="007D089C">
              <w:rPr>
                <w:rFonts w:ascii="Times-Roman" w:hAnsi="Times-Roman" w:cs="Times-Roman"/>
                <w:lang w:val="en-US"/>
              </w:rPr>
              <w:fldChar w:fldCharType="separate"/>
            </w:r>
            <w:r w:rsidR="00C77B76">
              <w:rPr>
                <w:rFonts w:ascii="Times-Roman" w:hAnsi="Times-Roman" w:cs="Times-Roman"/>
                <w:lang w:val="en-US"/>
              </w:rPr>
              <w:t>(Z. Huang et al., 2012)</w:t>
            </w:r>
            <w:r w:rsidRPr="007D089C">
              <w:rPr>
                <w:rFonts w:ascii="Times-Roman" w:hAnsi="Times-Roman" w:cs="Times-Roman"/>
                <w:lang w:val="en-US"/>
              </w:rPr>
              <w:fldChar w:fldCharType="end"/>
            </w:r>
            <w:r w:rsidRPr="007D089C">
              <w:rPr>
                <w:rFonts w:ascii="Times-Roman" w:hAnsi="Times-Roman" w:cs="Times-Roman"/>
                <w:lang w:val="en-US"/>
              </w:rPr>
              <w:t xml:space="preserve"> </w:t>
            </w:r>
          </w:p>
          <w:p w14:paraId="3BB20F50" w14:textId="78BF6D90" w:rsidR="00AA740C" w:rsidRPr="007D089C" w:rsidRDefault="00AA740C" w:rsidP="00C141DD">
            <w:pPr>
              <w:autoSpaceDE w:val="0"/>
              <w:autoSpaceDN w:val="0"/>
              <w:adjustRightInd w:val="0"/>
              <w:rPr>
                <w:rFonts w:ascii="Times-Roman" w:hAnsi="Times-Roman" w:cs="Times-Roman"/>
                <w:lang w:val="en-US"/>
              </w:rPr>
            </w:pPr>
            <w:r w:rsidRPr="007D089C">
              <w:rPr>
                <w:rFonts w:ascii="Times-Roman" w:hAnsi="Times-Roman" w:cs="Times-Roman"/>
                <w:lang w:val="en-US"/>
              </w:rPr>
              <w:fldChar w:fldCharType="begin"/>
            </w:r>
            <w:r w:rsidRPr="007D089C">
              <w:rPr>
                <w:rFonts w:ascii="Times-Roman" w:hAnsi="Times-Roman" w:cs="Times-Roman"/>
                <w:lang w:val="en-US"/>
              </w:rPr>
              <w:instrText>ADDIN RW.CITE{{2131 Liu,H. 2015}}</w:instrText>
            </w:r>
            <w:r w:rsidRPr="007D089C">
              <w:rPr>
                <w:rFonts w:ascii="Times-Roman" w:hAnsi="Times-Roman" w:cs="Times-Roman"/>
                <w:lang w:val="en-US"/>
              </w:rPr>
              <w:fldChar w:fldCharType="separate"/>
            </w:r>
            <w:r w:rsidR="00C77B76">
              <w:rPr>
                <w:rFonts w:ascii="Times-Roman" w:hAnsi="Times-Roman" w:cs="Times-Roman"/>
                <w:lang w:val="en-US"/>
              </w:rPr>
              <w:t>(H. Liu et al., 2015)</w:t>
            </w:r>
            <w:r w:rsidRPr="007D089C">
              <w:rPr>
                <w:rFonts w:ascii="Times-Roman" w:hAnsi="Times-Roman" w:cs="Times-Roman"/>
                <w:lang w:val="en-US"/>
              </w:rPr>
              <w:fldChar w:fldCharType="end"/>
            </w:r>
          </w:p>
        </w:tc>
      </w:tr>
    </w:tbl>
    <w:p w14:paraId="27C8B55E" w14:textId="385EF2BC" w:rsidR="00E81C6A" w:rsidRDefault="00E81C6A" w:rsidP="00C141DD">
      <w:pPr>
        <w:rPr>
          <w:rFonts w:ascii="timesroman" w:hAnsi="timesroman"/>
          <w:b/>
          <w:lang w:val="en-US"/>
        </w:rPr>
      </w:pPr>
    </w:p>
    <w:p w14:paraId="2D92E952" w14:textId="77777777" w:rsidR="00E81C6A" w:rsidRDefault="00E81C6A">
      <w:pPr>
        <w:rPr>
          <w:rFonts w:ascii="timesroman" w:hAnsi="timesroman"/>
          <w:b/>
          <w:lang w:val="en-US"/>
        </w:rPr>
      </w:pPr>
      <w:r>
        <w:rPr>
          <w:rFonts w:ascii="timesroman" w:hAnsi="timesroman"/>
          <w:b/>
          <w:lang w:val="en-US"/>
        </w:rPr>
        <w:br w:type="page"/>
      </w:r>
    </w:p>
    <w:p w14:paraId="15F9AA5F" w14:textId="2346B514" w:rsidR="00E81C6A" w:rsidRDefault="00E81C6A" w:rsidP="00C141DD">
      <w:pPr>
        <w:rPr>
          <w:rFonts w:ascii="timesroman" w:hAnsi="timesroman"/>
          <w:b/>
          <w:lang w:val="en-US"/>
        </w:rPr>
      </w:pPr>
      <w:r>
        <w:rPr>
          <w:rFonts w:ascii="timesroman" w:hAnsi="timesroman"/>
          <w:b/>
          <w:lang w:val="en-US"/>
        </w:rPr>
        <w:t>Figure 1</w:t>
      </w:r>
    </w:p>
    <w:p w14:paraId="7A122B74" w14:textId="4AD58B34" w:rsidR="00E81C6A" w:rsidRDefault="00E81C6A" w:rsidP="00C141DD">
      <w:pPr>
        <w:rPr>
          <w:rFonts w:ascii="timesroman" w:hAnsi="timesroman"/>
          <w:b/>
          <w:lang w:val="en-US"/>
        </w:rPr>
      </w:pPr>
      <w:r>
        <w:rPr>
          <w:rFonts w:ascii="timesroman" w:hAnsi="timesroman"/>
          <w:b/>
          <w:noProof/>
          <w:lang w:val="fi-FI" w:eastAsia="fi-FI"/>
        </w:rPr>
        <w:drawing>
          <wp:inline distT="0" distB="0" distL="0" distR="0" wp14:anchorId="7D4A2872" wp14:editId="3B75A2E6">
            <wp:extent cx="5731510" cy="501396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Moulder_Figure_1.tif"/>
                    <pic:cNvPicPr/>
                  </pic:nvPicPr>
                  <pic:blipFill>
                    <a:blip r:embed="rId10">
                      <a:extLst>
                        <a:ext uri="{28A0092B-C50C-407E-A947-70E740481C1C}">
                          <a14:useLocalDpi xmlns:a14="http://schemas.microsoft.com/office/drawing/2010/main" val="0"/>
                        </a:ext>
                      </a:extLst>
                    </a:blip>
                    <a:stretch>
                      <a:fillRect/>
                    </a:stretch>
                  </pic:blipFill>
                  <pic:spPr>
                    <a:xfrm>
                      <a:off x="0" y="0"/>
                      <a:ext cx="5731510" cy="5013960"/>
                    </a:xfrm>
                    <a:prstGeom prst="rect">
                      <a:avLst/>
                    </a:prstGeom>
                  </pic:spPr>
                </pic:pic>
              </a:graphicData>
            </a:graphic>
          </wp:inline>
        </w:drawing>
      </w:r>
    </w:p>
    <w:p w14:paraId="2AF72181" w14:textId="77777777" w:rsidR="00E81C6A" w:rsidRDefault="00E81C6A" w:rsidP="00C141DD">
      <w:pPr>
        <w:rPr>
          <w:rFonts w:ascii="timesroman" w:hAnsi="timesroman"/>
          <w:b/>
          <w:lang w:val="en-US"/>
        </w:rPr>
      </w:pPr>
    </w:p>
    <w:p w14:paraId="36AA4378" w14:textId="77777777" w:rsidR="00E81C6A" w:rsidRDefault="00E81C6A" w:rsidP="00C141DD">
      <w:pPr>
        <w:rPr>
          <w:rFonts w:ascii="timesroman" w:hAnsi="timesroman"/>
          <w:b/>
          <w:lang w:val="en-US"/>
        </w:rPr>
      </w:pPr>
    </w:p>
    <w:p w14:paraId="044DC969" w14:textId="77777777" w:rsidR="00E81C6A" w:rsidRDefault="00E81C6A" w:rsidP="00C141DD">
      <w:pPr>
        <w:rPr>
          <w:rFonts w:ascii="timesroman" w:hAnsi="timesroman"/>
          <w:b/>
          <w:lang w:val="en-US"/>
        </w:rPr>
      </w:pPr>
    </w:p>
    <w:p w14:paraId="3734639D" w14:textId="77777777" w:rsidR="00E81C6A" w:rsidRDefault="00E81C6A" w:rsidP="00C141DD">
      <w:pPr>
        <w:rPr>
          <w:rFonts w:ascii="timesroman" w:hAnsi="timesroman"/>
          <w:b/>
          <w:lang w:val="en-US"/>
        </w:rPr>
      </w:pPr>
    </w:p>
    <w:p w14:paraId="52C55272" w14:textId="41FE40B9" w:rsidR="00E81C6A" w:rsidRDefault="00E81C6A" w:rsidP="00C141DD">
      <w:pPr>
        <w:rPr>
          <w:rFonts w:ascii="timesroman" w:hAnsi="timesroman"/>
          <w:b/>
          <w:lang w:val="en-US"/>
        </w:rPr>
      </w:pPr>
      <w:r>
        <w:rPr>
          <w:rFonts w:ascii="timesroman" w:hAnsi="timesroman"/>
          <w:b/>
          <w:noProof/>
          <w:lang w:val="fi-FI" w:eastAsia="fi-FI"/>
        </w:rPr>
        <w:drawing>
          <wp:inline distT="0" distB="0" distL="0" distR="0" wp14:anchorId="5205BDEA" wp14:editId="29523171">
            <wp:extent cx="5731510" cy="5656580"/>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Moulder_Figure_2.tif"/>
                    <pic:cNvPicPr/>
                  </pic:nvPicPr>
                  <pic:blipFill>
                    <a:blip r:embed="rId11">
                      <a:extLst>
                        <a:ext uri="{28A0092B-C50C-407E-A947-70E740481C1C}">
                          <a14:useLocalDpi xmlns:a14="http://schemas.microsoft.com/office/drawing/2010/main" val="0"/>
                        </a:ext>
                      </a:extLst>
                    </a:blip>
                    <a:stretch>
                      <a:fillRect/>
                    </a:stretch>
                  </pic:blipFill>
                  <pic:spPr>
                    <a:xfrm>
                      <a:off x="0" y="0"/>
                      <a:ext cx="5731510" cy="5656580"/>
                    </a:xfrm>
                    <a:prstGeom prst="rect">
                      <a:avLst/>
                    </a:prstGeom>
                  </pic:spPr>
                </pic:pic>
              </a:graphicData>
            </a:graphic>
          </wp:inline>
        </w:drawing>
      </w:r>
    </w:p>
    <w:p w14:paraId="2609A8FF" w14:textId="77777777" w:rsidR="00E81C6A" w:rsidRDefault="00E81C6A" w:rsidP="00C141DD">
      <w:pPr>
        <w:rPr>
          <w:rFonts w:ascii="timesroman" w:hAnsi="timesroman"/>
          <w:b/>
          <w:lang w:val="en-US"/>
        </w:rPr>
      </w:pPr>
    </w:p>
    <w:p w14:paraId="3D4E9B89" w14:textId="37DA447D" w:rsidR="00E81C6A" w:rsidRDefault="00E81C6A" w:rsidP="00E81C6A">
      <w:pPr>
        <w:rPr>
          <w:rFonts w:ascii="timesroman" w:hAnsi="timesroman"/>
          <w:b/>
          <w:lang w:val="en-US"/>
        </w:rPr>
      </w:pPr>
      <w:r>
        <w:rPr>
          <w:rFonts w:ascii="timesroman" w:hAnsi="timesroman"/>
          <w:b/>
          <w:lang w:val="en-US"/>
        </w:rPr>
        <w:t>Figure 2</w:t>
      </w:r>
    </w:p>
    <w:p w14:paraId="3CEB3307" w14:textId="77777777" w:rsidR="00E81C6A" w:rsidRDefault="00E81C6A" w:rsidP="00C141DD">
      <w:pPr>
        <w:rPr>
          <w:rFonts w:ascii="timesroman" w:hAnsi="timesroman"/>
          <w:b/>
          <w:lang w:val="en-US"/>
        </w:rPr>
      </w:pPr>
    </w:p>
    <w:p w14:paraId="2611649E" w14:textId="77777777" w:rsidR="00E81C6A" w:rsidRDefault="00E81C6A" w:rsidP="00C141DD">
      <w:pPr>
        <w:rPr>
          <w:rFonts w:ascii="timesroman" w:hAnsi="timesroman"/>
          <w:b/>
          <w:lang w:val="en-US"/>
        </w:rPr>
      </w:pPr>
    </w:p>
    <w:p w14:paraId="5BA5181A" w14:textId="77777777" w:rsidR="00E81C6A" w:rsidRDefault="00E81C6A" w:rsidP="00C141DD">
      <w:pPr>
        <w:rPr>
          <w:rFonts w:ascii="timesroman" w:hAnsi="timesroman"/>
          <w:b/>
          <w:lang w:val="en-US"/>
        </w:rPr>
      </w:pPr>
    </w:p>
    <w:p w14:paraId="679A72A3" w14:textId="77777777" w:rsidR="00E81C6A" w:rsidRDefault="00E81C6A" w:rsidP="00C141DD">
      <w:pPr>
        <w:rPr>
          <w:rFonts w:ascii="timesroman" w:hAnsi="timesroman"/>
          <w:b/>
          <w:lang w:val="en-US"/>
        </w:rPr>
      </w:pPr>
    </w:p>
    <w:p w14:paraId="2B2CC536" w14:textId="77777777" w:rsidR="00E81C6A" w:rsidRDefault="00E81C6A" w:rsidP="00C141DD">
      <w:pPr>
        <w:rPr>
          <w:rFonts w:ascii="timesroman" w:hAnsi="timesroman"/>
          <w:b/>
          <w:lang w:val="en-US"/>
        </w:rPr>
      </w:pPr>
    </w:p>
    <w:p w14:paraId="6F9674F7" w14:textId="77777777" w:rsidR="00E81C6A" w:rsidRDefault="00E81C6A" w:rsidP="00C141DD">
      <w:pPr>
        <w:rPr>
          <w:rFonts w:ascii="timesroman" w:hAnsi="timesroman"/>
          <w:b/>
          <w:lang w:val="en-US"/>
        </w:rPr>
      </w:pPr>
    </w:p>
    <w:p w14:paraId="084774F8" w14:textId="3F924B4E" w:rsidR="000074EB" w:rsidRDefault="00E81C6A" w:rsidP="00C141DD">
      <w:pPr>
        <w:rPr>
          <w:rFonts w:ascii="timesroman" w:hAnsi="timesroman"/>
          <w:b/>
          <w:lang w:val="en-US"/>
        </w:rPr>
      </w:pPr>
      <w:r>
        <w:rPr>
          <w:rFonts w:ascii="timesroman" w:hAnsi="timesroman"/>
          <w:b/>
          <w:noProof/>
          <w:lang w:val="fi-FI" w:eastAsia="fi-FI"/>
        </w:rPr>
        <w:drawing>
          <wp:inline distT="0" distB="0" distL="0" distR="0" wp14:anchorId="6A5FC1FB" wp14:editId="7A4AC3E1">
            <wp:extent cx="5731510" cy="3170555"/>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oulder_Figure_3x.tif"/>
                    <pic:cNvPicPr/>
                  </pic:nvPicPr>
                  <pic:blipFill>
                    <a:blip r:embed="rId12">
                      <a:extLst>
                        <a:ext uri="{28A0092B-C50C-407E-A947-70E740481C1C}">
                          <a14:useLocalDpi xmlns:a14="http://schemas.microsoft.com/office/drawing/2010/main" val="0"/>
                        </a:ext>
                      </a:extLst>
                    </a:blip>
                    <a:stretch>
                      <a:fillRect/>
                    </a:stretch>
                  </pic:blipFill>
                  <pic:spPr>
                    <a:xfrm>
                      <a:off x="0" y="0"/>
                      <a:ext cx="5731510" cy="3170555"/>
                    </a:xfrm>
                    <a:prstGeom prst="rect">
                      <a:avLst/>
                    </a:prstGeom>
                  </pic:spPr>
                </pic:pic>
              </a:graphicData>
            </a:graphic>
          </wp:inline>
        </w:drawing>
      </w:r>
    </w:p>
    <w:p w14:paraId="2149928A" w14:textId="77777777" w:rsidR="00E81C6A" w:rsidRDefault="00E81C6A" w:rsidP="00C141DD">
      <w:pPr>
        <w:rPr>
          <w:rFonts w:ascii="timesroman" w:hAnsi="timesroman"/>
          <w:b/>
          <w:lang w:val="en-US"/>
        </w:rPr>
      </w:pPr>
    </w:p>
    <w:p w14:paraId="1E877F18" w14:textId="77777777" w:rsidR="00E81C6A" w:rsidRDefault="00E81C6A" w:rsidP="00C141DD">
      <w:pPr>
        <w:rPr>
          <w:rFonts w:ascii="timesroman" w:hAnsi="timesroman"/>
          <w:b/>
          <w:lang w:val="en-US"/>
        </w:rPr>
      </w:pPr>
    </w:p>
    <w:p w14:paraId="4F236FB8" w14:textId="77777777" w:rsidR="00E81C6A" w:rsidRDefault="00E81C6A" w:rsidP="00C141DD">
      <w:pPr>
        <w:rPr>
          <w:rFonts w:ascii="timesroman" w:hAnsi="timesroman"/>
          <w:b/>
          <w:lang w:val="en-US"/>
        </w:rPr>
      </w:pPr>
    </w:p>
    <w:p w14:paraId="1D81C1EF" w14:textId="5351DEB4" w:rsidR="00E81C6A" w:rsidRPr="007D089C" w:rsidRDefault="00E81C6A" w:rsidP="00C141DD">
      <w:pPr>
        <w:rPr>
          <w:rFonts w:ascii="timesroman" w:hAnsi="timesroman"/>
          <w:b/>
          <w:lang w:val="en-US"/>
        </w:rPr>
      </w:pPr>
      <w:r>
        <w:rPr>
          <w:rFonts w:ascii="timesroman" w:hAnsi="timesroman"/>
          <w:b/>
          <w:lang w:val="en-US"/>
        </w:rPr>
        <w:t>Figure 3</w:t>
      </w:r>
    </w:p>
    <w:sectPr w:rsidR="00E81C6A" w:rsidRPr="007D089C" w:rsidSect="00ED49E4">
      <w:headerReference w:type="even" r:id="rId13"/>
      <w:headerReference w:type="default" r:id="rId14"/>
      <w:footerReference w:type="even" r:id="rId15"/>
      <w:footerReference w:type="default" r:id="rId16"/>
      <w:headerReference w:type="first" r:id="rId17"/>
      <w:footerReference w:type="firs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2FAC582" w14:textId="77777777" w:rsidR="0034199C" w:rsidRDefault="0034199C">
      <w:r>
        <w:separator/>
      </w:r>
    </w:p>
  </w:endnote>
  <w:endnote w:type="continuationSeparator" w:id="0">
    <w:p w14:paraId="19B8F538" w14:textId="77777777" w:rsidR="0034199C" w:rsidRDefault="003419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timesroman">
    <w:altName w:val="Times New Roman"/>
    <w:panose1 w:val="00000000000000000000"/>
    <w:charset w:val="00"/>
    <w:family w:val="roman"/>
    <w:notTrueType/>
    <w:pitch w:val="default"/>
  </w:font>
  <w:font w:name="AdvP49811">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88CC87" w14:textId="77777777" w:rsidR="00CE3A5E" w:rsidRDefault="00CE3A5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855BE5" w14:textId="77777777" w:rsidR="00CE3A5E" w:rsidRDefault="00CE3A5E">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06056D" w14:textId="77777777" w:rsidR="00CE3A5E" w:rsidRDefault="00CE3A5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59791B5" w14:textId="77777777" w:rsidR="0034199C" w:rsidRDefault="0034199C">
      <w:r>
        <w:separator/>
      </w:r>
    </w:p>
  </w:footnote>
  <w:footnote w:type="continuationSeparator" w:id="0">
    <w:p w14:paraId="120E76FD" w14:textId="77777777" w:rsidR="0034199C" w:rsidRDefault="0034199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860041" w14:textId="77777777" w:rsidR="00CE3A5E" w:rsidRPr="003E670D" w:rsidRDefault="00CE3A5E">
    <w:r>
      <w:fldChar w:fldCharType="begin"/>
    </w:r>
    <w:r>
      <w:instrText xml:space="preserve"> PAGE   \* MERGEFORMAT </w:instrText>
    </w:r>
    <w:r>
      <w:fldChar w:fldCharType="separate"/>
    </w:r>
    <w:r>
      <w:rPr>
        <w:noProof/>
      </w:rPr>
      <w:t>6</w:t>
    </w:r>
    <w:r>
      <w:rPr>
        <w:noProof/>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4F61B3" w14:textId="77777777" w:rsidR="00CE3A5E" w:rsidRDefault="00CE3A5E">
    <w:pPr>
      <w:pStyle w:val="Header"/>
    </w:pPr>
  </w:p>
  <w:p w14:paraId="5163B6EA" w14:textId="77777777" w:rsidR="00CE3A5E" w:rsidRDefault="00CE3A5E" w:rsidP="0065724F">
    <w:pPr>
      <w:pStyle w:val="Header"/>
      <w:spacing w:after="120" w:line="240" w:lineRule="atLeast"/>
      <w:rPr>
        <w:b w:val="0"/>
        <w:bCs w:val="0"/>
        <w:sz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1D2619" w14:textId="77777777" w:rsidR="00CE3A5E" w:rsidRDefault="00CE3A5E">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8556FD"/>
    <w:multiLevelType w:val="hybridMultilevel"/>
    <w:tmpl w:val="E77893CE"/>
    <w:lvl w:ilvl="0" w:tplc="BBF0965C">
      <w:start w:val="8"/>
      <w:numFmt w:val="bullet"/>
      <w:lvlText w:val="-"/>
      <w:lvlJc w:val="left"/>
      <w:pPr>
        <w:ind w:left="2580" w:hanging="360"/>
      </w:pPr>
      <w:rPr>
        <w:rFonts w:ascii="Times-Roman" w:eastAsiaTheme="minorHAnsi" w:hAnsi="Times-Roman" w:cs="Times-Roman" w:hint="default"/>
      </w:rPr>
    </w:lvl>
    <w:lvl w:ilvl="1" w:tplc="08090003" w:tentative="1">
      <w:start w:val="1"/>
      <w:numFmt w:val="bullet"/>
      <w:lvlText w:val="o"/>
      <w:lvlJc w:val="left"/>
      <w:pPr>
        <w:ind w:left="3300" w:hanging="360"/>
      </w:pPr>
      <w:rPr>
        <w:rFonts w:ascii="Courier New" w:hAnsi="Courier New" w:cs="Courier New" w:hint="default"/>
      </w:rPr>
    </w:lvl>
    <w:lvl w:ilvl="2" w:tplc="08090005" w:tentative="1">
      <w:start w:val="1"/>
      <w:numFmt w:val="bullet"/>
      <w:lvlText w:val=""/>
      <w:lvlJc w:val="left"/>
      <w:pPr>
        <w:ind w:left="4020" w:hanging="360"/>
      </w:pPr>
      <w:rPr>
        <w:rFonts w:ascii="Wingdings" w:hAnsi="Wingdings" w:hint="default"/>
      </w:rPr>
    </w:lvl>
    <w:lvl w:ilvl="3" w:tplc="08090001" w:tentative="1">
      <w:start w:val="1"/>
      <w:numFmt w:val="bullet"/>
      <w:lvlText w:val=""/>
      <w:lvlJc w:val="left"/>
      <w:pPr>
        <w:ind w:left="4740" w:hanging="360"/>
      </w:pPr>
      <w:rPr>
        <w:rFonts w:ascii="Symbol" w:hAnsi="Symbol" w:hint="default"/>
      </w:rPr>
    </w:lvl>
    <w:lvl w:ilvl="4" w:tplc="08090003" w:tentative="1">
      <w:start w:val="1"/>
      <w:numFmt w:val="bullet"/>
      <w:lvlText w:val="o"/>
      <w:lvlJc w:val="left"/>
      <w:pPr>
        <w:ind w:left="5460" w:hanging="360"/>
      </w:pPr>
      <w:rPr>
        <w:rFonts w:ascii="Courier New" w:hAnsi="Courier New" w:cs="Courier New" w:hint="default"/>
      </w:rPr>
    </w:lvl>
    <w:lvl w:ilvl="5" w:tplc="08090005" w:tentative="1">
      <w:start w:val="1"/>
      <w:numFmt w:val="bullet"/>
      <w:lvlText w:val=""/>
      <w:lvlJc w:val="left"/>
      <w:pPr>
        <w:ind w:left="6180" w:hanging="360"/>
      </w:pPr>
      <w:rPr>
        <w:rFonts w:ascii="Wingdings" w:hAnsi="Wingdings" w:hint="default"/>
      </w:rPr>
    </w:lvl>
    <w:lvl w:ilvl="6" w:tplc="08090001" w:tentative="1">
      <w:start w:val="1"/>
      <w:numFmt w:val="bullet"/>
      <w:lvlText w:val=""/>
      <w:lvlJc w:val="left"/>
      <w:pPr>
        <w:ind w:left="6900" w:hanging="360"/>
      </w:pPr>
      <w:rPr>
        <w:rFonts w:ascii="Symbol" w:hAnsi="Symbol" w:hint="default"/>
      </w:rPr>
    </w:lvl>
    <w:lvl w:ilvl="7" w:tplc="08090003" w:tentative="1">
      <w:start w:val="1"/>
      <w:numFmt w:val="bullet"/>
      <w:lvlText w:val="o"/>
      <w:lvlJc w:val="left"/>
      <w:pPr>
        <w:ind w:left="7620" w:hanging="360"/>
      </w:pPr>
      <w:rPr>
        <w:rFonts w:ascii="Courier New" w:hAnsi="Courier New" w:cs="Courier New" w:hint="default"/>
      </w:rPr>
    </w:lvl>
    <w:lvl w:ilvl="8" w:tplc="08090005" w:tentative="1">
      <w:start w:val="1"/>
      <w:numFmt w:val="bullet"/>
      <w:lvlText w:val=""/>
      <w:lvlJc w:val="left"/>
      <w:pPr>
        <w:ind w:left="8340" w:hanging="360"/>
      </w:pPr>
      <w:rPr>
        <w:rFonts w:ascii="Wingdings" w:hAnsi="Wingdings" w:hint="default"/>
      </w:rPr>
    </w:lvl>
  </w:abstractNum>
  <w:abstractNum w:abstractNumId="1" w15:restartNumberingAfterBreak="0">
    <w:nsid w:val="0F2B1A1C"/>
    <w:multiLevelType w:val="hybridMultilevel"/>
    <w:tmpl w:val="044062BC"/>
    <w:lvl w:ilvl="0" w:tplc="50424A8E">
      <w:start w:val="1"/>
      <w:numFmt w:val="bullet"/>
      <w:pStyle w:val="Listbullet"/>
      <w:lvlText w:val=""/>
      <w:lvlJc w:val="left"/>
      <w:pPr>
        <w:tabs>
          <w:tab w:val="num" w:pos="851"/>
        </w:tabs>
        <w:ind w:left="851" w:hanging="56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1460329"/>
    <w:multiLevelType w:val="multilevel"/>
    <w:tmpl w:val="E8860136"/>
    <w:lvl w:ilvl="0">
      <w:start w:val="1"/>
      <w:numFmt w:val="decimal"/>
      <w:pStyle w:val="Heading1"/>
      <w:lvlText w:val="%1"/>
      <w:lvlJc w:val="left"/>
      <w:pPr>
        <w:tabs>
          <w:tab w:val="num" w:pos="432"/>
        </w:tabs>
        <w:ind w:left="432" w:hanging="432"/>
      </w:pPr>
    </w:lvl>
    <w:lvl w:ilvl="1">
      <w:start w:val="1"/>
      <w:numFmt w:val="decimal"/>
      <w:pStyle w:val="Heading2"/>
      <w:lvlText w:val="%1.%2"/>
      <w:lvlJc w:val="left"/>
      <w:pPr>
        <w:tabs>
          <w:tab w:val="num" w:pos="576"/>
        </w:tabs>
        <w:ind w:left="576" w:hanging="576"/>
      </w:pPr>
      <w:rPr>
        <w:color w:val="auto"/>
      </w:rPr>
    </w:lvl>
    <w:lvl w:ilvl="2">
      <w:start w:val="1"/>
      <w:numFmt w:val="decimal"/>
      <w:pStyle w:val="Heading3"/>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 w15:restartNumberingAfterBreak="0">
    <w:nsid w:val="37044B77"/>
    <w:multiLevelType w:val="singleLevel"/>
    <w:tmpl w:val="DD3A9DE0"/>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39E95BC4"/>
    <w:multiLevelType w:val="hybridMultilevel"/>
    <w:tmpl w:val="E95C0CB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95765BC"/>
    <w:multiLevelType w:val="singleLevel"/>
    <w:tmpl w:val="702474CE"/>
    <w:lvl w:ilvl="0">
      <w:numFmt w:val="bullet"/>
      <w:lvlText w:val="-"/>
      <w:lvlJc w:val="left"/>
      <w:pPr>
        <w:tabs>
          <w:tab w:val="num" w:pos="861"/>
        </w:tabs>
        <w:ind w:left="861" w:hanging="435"/>
      </w:pPr>
      <w:rPr>
        <w:rFonts w:hint="default"/>
      </w:rPr>
    </w:lvl>
  </w:abstractNum>
  <w:abstractNum w:abstractNumId="6" w15:restartNumberingAfterBreak="0">
    <w:nsid w:val="5F5D4F83"/>
    <w:multiLevelType w:val="hybridMultilevel"/>
    <w:tmpl w:val="07B85FC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F6F6C56"/>
    <w:multiLevelType w:val="hybridMultilevel"/>
    <w:tmpl w:val="D3A03328"/>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4AF51DC"/>
    <w:multiLevelType w:val="hybridMultilevel"/>
    <w:tmpl w:val="AC54BF44"/>
    <w:lvl w:ilvl="0" w:tplc="3BF2377A">
      <w:start w:val="8"/>
      <w:numFmt w:val="bullet"/>
      <w:lvlText w:val="-"/>
      <w:lvlJc w:val="left"/>
      <w:pPr>
        <w:ind w:left="2700" w:hanging="360"/>
      </w:pPr>
      <w:rPr>
        <w:rFonts w:ascii="Times-Roman" w:eastAsiaTheme="minorHAnsi" w:hAnsi="Times-Roman" w:cs="Times-Roman" w:hint="default"/>
      </w:rPr>
    </w:lvl>
    <w:lvl w:ilvl="1" w:tplc="08090003" w:tentative="1">
      <w:start w:val="1"/>
      <w:numFmt w:val="bullet"/>
      <w:lvlText w:val="o"/>
      <w:lvlJc w:val="left"/>
      <w:pPr>
        <w:ind w:left="3420" w:hanging="360"/>
      </w:pPr>
      <w:rPr>
        <w:rFonts w:ascii="Courier New" w:hAnsi="Courier New" w:cs="Courier New" w:hint="default"/>
      </w:rPr>
    </w:lvl>
    <w:lvl w:ilvl="2" w:tplc="08090005" w:tentative="1">
      <w:start w:val="1"/>
      <w:numFmt w:val="bullet"/>
      <w:lvlText w:val=""/>
      <w:lvlJc w:val="left"/>
      <w:pPr>
        <w:ind w:left="4140" w:hanging="360"/>
      </w:pPr>
      <w:rPr>
        <w:rFonts w:ascii="Wingdings" w:hAnsi="Wingdings" w:hint="default"/>
      </w:rPr>
    </w:lvl>
    <w:lvl w:ilvl="3" w:tplc="08090001" w:tentative="1">
      <w:start w:val="1"/>
      <w:numFmt w:val="bullet"/>
      <w:lvlText w:val=""/>
      <w:lvlJc w:val="left"/>
      <w:pPr>
        <w:ind w:left="4860" w:hanging="360"/>
      </w:pPr>
      <w:rPr>
        <w:rFonts w:ascii="Symbol" w:hAnsi="Symbol" w:hint="default"/>
      </w:rPr>
    </w:lvl>
    <w:lvl w:ilvl="4" w:tplc="08090003" w:tentative="1">
      <w:start w:val="1"/>
      <w:numFmt w:val="bullet"/>
      <w:lvlText w:val="o"/>
      <w:lvlJc w:val="left"/>
      <w:pPr>
        <w:ind w:left="5580" w:hanging="360"/>
      </w:pPr>
      <w:rPr>
        <w:rFonts w:ascii="Courier New" w:hAnsi="Courier New" w:cs="Courier New" w:hint="default"/>
      </w:rPr>
    </w:lvl>
    <w:lvl w:ilvl="5" w:tplc="08090005" w:tentative="1">
      <w:start w:val="1"/>
      <w:numFmt w:val="bullet"/>
      <w:lvlText w:val=""/>
      <w:lvlJc w:val="left"/>
      <w:pPr>
        <w:ind w:left="6300" w:hanging="360"/>
      </w:pPr>
      <w:rPr>
        <w:rFonts w:ascii="Wingdings" w:hAnsi="Wingdings" w:hint="default"/>
      </w:rPr>
    </w:lvl>
    <w:lvl w:ilvl="6" w:tplc="08090001" w:tentative="1">
      <w:start w:val="1"/>
      <w:numFmt w:val="bullet"/>
      <w:lvlText w:val=""/>
      <w:lvlJc w:val="left"/>
      <w:pPr>
        <w:ind w:left="7020" w:hanging="360"/>
      </w:pPr>
      <w:rPr>
        <w:rFonts w:ascii="Symbol" w:hAnsi="Symbol" w:hint="default"/>
      </w:rPr>
    </w:lvl>
    <w:lvl w:ilvl="7" w:tplc="08090003" w:tentative="1">
      <w:start w:val="1"/>
      <w:numFmt w:val="bullet"/>
      <w:lvlText w:val="o"/>
      <w:lvlJc w:val="left"/>
      <w:pPr>
        <w:ind w:left="7740" w:hanging="360"/>
      </w:pPr>
      <w:rPr>
        <w:rFonts w:ascii="Courier New" w:hAnsi="Courier New" w:cs="Courier New" w:hint="default"/>
      </w:rPr>
    </w:lvl>
    <w:lvl w:ilvl="8" w:tplc="08090005" w:tentative="1">
      <w:start w:val="1"/>
      <w:numFmt w:val="bullet"/>
      <w:lvlText w:val=""/>
      <w:lvlJc w:val="left"/>
      <w:pPr>
        <w:ind w:left="8460" w:hanging="360"/>
      </w:pPr>
      <w:rPr>
        <w:rFonts w:ascii="Wingdings" w:hAnsi="Wingdings" w:hint="default"/>
      </w:rPr>
    </w:lvl>
  </w:abstractNum>
  <w:num w:numId="1">
    <w:abstractNumId w:val="1"/>
  </w:num>
  <w:num w:numId="2">
    <w:abstractNumId w:val="2"/>
  </w:num>
  <w:num w:numId="3">
    <w:abstractNumId w:val="2"/>
  </w:num>
  <w:num w:numId="4">
    <w:abstractNumId w:val="2"/>
  </w:num>
  <w:num w:numId="5">
    <w:abstractNumId w:val="1"/>
  </w:num>
  <w:num w:numId="6">
    <w:abstractNumId w:val="5"/>
  </w:num>
  <w:num w:numId="7">
    <w:abstractNumId w:val="3"/>
  </w:num>
  <w:num w:numId="8">
    <w:abstractNumId w:val="7"/>
  </w:num>
  <w:num w:numId="9">
    <w:abstractNumId w:val="4"/>
  </w:num>
  <w:num w:numId="10">
    <w:abstractNumId w:val="6"/>
  </w:num>
  <w:num w:numId="11">
    <w:abstractNumId w:val="8"/>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13F6"/>
    <w:rsid w:val="000074EB"/>
    <w:rsid w:val="00011DF0"/>
    <w:rsid w:val="000145F4"/>
    <w:rsid w:val="00022D9C"/>
    <w:rsid w:val="000300DB"/>
    <w:rsid w:val="00044198"/>
    <w:rsid w:val="000444A5"/>
    <w:rsid w:val="00051338"/>
    <w:rsid w:val="00053625"/>
    <w:rsid w:val="00090CFB"/>
    <w:rsid w:val="000D136C"/>
    <w:rsid w:val="000D2986"/>
    <w:rsid w:val="000D3184"/>
    <w:rsid w:val="000F11BA"/>
    <w:rsid w:val="000F5132"/>
    <w:rsid w:val="0010073D"/>
    <w:rsid w:val="00104444"/>
    <w:rsid w:val="00113FC6"/>
    <w:rsid w:val="00127DAF"/>
    <w:rsid w:val="00152A2B"/>
    <w:rsid w:val="00160881"/>
    <w:rsid w:val="001731EE"/>
    <w:rsid w:val="00176544"/>
    <w:rsid w:val="001862E0"/>
    <w:rsid w:val="001A5C9A"/>
    <w:rsid w:val="001B023F"/>
    <w:rsid w:val="001B1BD1"/>
    <w:rsid w:val="001C3E14"/>
    <w:rsid w:val="001D1FC3"/>
    <w:rsid w:val="001D4F6D"/>
    <w:rsid w:val="001E3221"/>
    <w:rsid w:val="001F72EF"/>
    <w:rsid w:val="00210115"/>
    <w:rsid w:val="00212D3D"/>
    <w:rsid w:val="002207ED"/>
    <w:rsid w:val="00222BAC"/>
    <w:rsid w:val="00222BEA"/>
    <w:rsid w:val="00223787"/>
    <w:rsid w:val="00227B35"/>
    <w:rsid w:val="00227F1F"/>
    <w:rsid w:val="00232957"/>
    <w:rsid w:val="002336CE"/>
    <w:rsid w:val="002356E8"/>
    <w:rsid w:val="00254358"/>
    <w:rsid w:val="00257479"/>
    <w:rsid w:val="00276C07"/>
    <w:rsid w:val="0028222B"/>
    <w:rsid w:val="0028337C"/>
    <w:rsid w:val="00287904"/>
    <w:rsid w:val="002A061E"/>
    <w:rsid w:val="002B519D"/>
    <w:rsid w:val="002C2CA4"/>
    <w:rsid w:val="002C53B8"/>
    <w:rsid w:val="002C7B4C"/>
    <w:rsid w:val="002D1B06"/>
    <w:rsid w:val="002D3729"/>
    <w:rsid w:val="002D4AA7"/>
    <w:rsid w:val="002E55F1"/>
    <w:rsid w:val="002F00C7"/>
    <w:rsid w:val="002F08F2"/>
    <w:rsid w:val="00301D42"/>
    <w:rsid w:val="00312E10"/>
    <w:rsid w:val="00314CF7"/>
    <w:rsid w:val="00314EBE"/>
    <w:rsid w:val="00330B1E"/>
    <w:rsid w:val="00334738"/>
    <w:rsid w:val="00335533"/>
    <w:rsid w:val="00335AF7"/>
    <w:rsid w:val="00336144"/>
    <w:rsid w:val="003413F6"/>
    <w:rsid w:val="0034199C"/>
    <w:rsid w:val="00342F69"/>
    <w:rsid w:val="00343DE7"/>
    <w:rsid w:val="00345906"/>
    <w:rsid w:val="00345E92"/>
    <w:rsid w:val="00354D92"/>
    <w:rsid w:val="00355E11"/>
    <w:rsid w:val="00356BBA"/>
    <w:rsid w:val="00357374"/>
    <w:rsid w:val="0036519A"/>
    <w:rsid w:val="00366C50"/>
    <w:rsid w:val="003805FF"/>
    <w:rsid w:val="00380E31"/>
    <w:rsid w:val="00390135"/>
    <w:rsid w:val="003A3689"/>
    <w:rsid w:val="003A65F3"/>
    <w:rsid w:val="003B14D0"/>
    <w:rsid w:val="003B619E"/>
    <w:rsid w:val="003B77BA"/>
    <w:rsid w:val="003C0B0F"/>
    <w:rsid w:val="003D2B0A"/>
    <w:rsid w:val="003D5C7A"/>
    <w:rsid w:val="003E16F5"/>
    <w:rsid w:val="003E3372"/>
    <w:rsid w:val="003E46CF"/>
    <w:rsid w:val="003F50AC"/>
    <w:rsid w:val="003F733D"/>
    <w:rsid w:val="0040212A"/>
    <w:rsid w:val="0042571F"/>
    <w:rsid w:val="004319F4"/>
    <w:rsid w:val="00432865"/>
    <w:rsid w:val="0043360D"/>
    <w:rsid w:val="004351CA"/>
    <w:rsid w:val="00437519"/>
    <w:rsid w:val="004376CC"/>
    <w:rsid w:val="00453DE0"/>
    <w:rsid w:val="0045505E"/>
    <w:rsid w:val="00461DA7"/>
    <w:rsid w:val="004677BE"/>
    <w:rsid w:val="004741B5"/>
    <w:rsid w:val="0048407A"/>
    <w:rsid w:val="00495A40"/>
    <w:rsid w:val="00496D43"/>
    <w:rsid w:val="004A040B"/>
    <w:rsid w:val="004A5E39"/>
    <w:rsid w:val="004B24EB"/>
    <w:rsid w:val="004B2DFD"/>
    <w:rsid w:val="004D2129"/>
    <w:rsid w:val="004E1DE9"/>
    <w:rsid w:val="004E2376"/>
    <w:rsid w:val="004E6DFE"/>
    <w:rsid w:val="004E727F"/>
    <w:rsid w:val="004E7580"/>
    <w:rsid w:val="004E775A"/>
    <w:rsid w:val="004F2840"/>
    <w:rsid w:val="004F29DA"/>
    <w:rsid w:val="004F2FD6"/>
    <w:rsid w:val="004F3096"/>
    <w:rsid w:val="00500D12"/>
    <w:rsid w:val="0050142C"/>
    <w:rsid w:val="00502C7C"/>
    <w:rsid w:val="00513332"/>
    <w:rsid w:val="00517642"/>
    <w:rsid w:val="00524AC8"/>
    <w:rsid w:val="00531976"/>
    <w:rsid w:val="00535B27"/>
    <w:rsid w:val="00563401"/>
    <w:rsid w:val="005679BF"/>
    <w:rsid w:val="00570C91"/>
    <w:rsid w:val="00571C57"/>
    <w:rsid w:val="00577CFE"/>
    <w:rsid w:val="00591556"/>
    <w:rsid w:val="005B2773"/>
    <w:rsid w:val="005C3230"/>
    <w:rsid w:val="005C7057"/>
    <w:rsid w:val="005F69BF"/>
    <w:rsid w:val="006007DF"/>
    <w:rsid w:val="00603BDA"/>
    <w:rsid w:val="00615054"/>
    <w:rsid w:val="0062215E"/>
    <w:rsid w:val="00625A7C"/>
    <w:rsid w:val="0063022D"/>
    <w:rsid w:val="00630708"/>
    <w:rsid w:val="0063171E"/>
    <w:rsid w:val="00633857"/>
    <w:rsid w:val="006420D4"/>
    <w:rsid w:val="00642663"/>
    <w:rsid w:val="00654A09"/>
    <w:rsid w:val="0065724F"/>
    <w:rsid w:val="0066765C"/>
    <w:rsid w:val="00670428"/>
    <w:rsid w:val="00674068"/>
    <w:rsid w:val="006905F8"/>
    <w:rsid w:val="006A511E"/>
    <w:rsid w:val="006B2CAE"/>
    <w:rsid w:val="006B35BC"/>
    <w:rsid w:val="006B54E7"/>
    <w:rsid w:val="006B7CEB"/>
    <w:rsid w:val="006C2EFA"/>
    <w:rsid w:val="006C3C0A"/>
    <w:rsid w:val="006C4C2F"/>
    <w:rsid w:val="006D1AE6"/>
    <w:rsid w:val="006D3C59"/>
    <w:rsid w:val="006D6AD7"/>
    <w:rsid w:val="006D6E5B"/>
    <w:rsid w:val="006E13EF"/>
    <w:rsid w:val="006E371C"/>
    <w:rsid w:val="006F45EE"/>
    <w:rsid w:val="00702EFE"/>
    <w:rsid w:val="007050DD"/>
    <w:rsid w:val="0071439B"/>
    <w:rsid w:val="007153AC"/>
    <w:rsid w:val="00715592"/>
    <w:rsid w:val="00715B32"/>
    <w:rsid w:val="00721DB6"/>
    <w:rsid w:val="007270D9"/>
    <w:rsid w:val="00757D88"/>
    <w:rsid w:val="00765DCC"/>
    <w:rsid w:val="0076727D"/>
    <w:rsid w:val="00770064"/>
    <w:rsid w:val="00777B9B"/>
    <w:rsid w:val="00782D48"/>
    <w:rsid w:val="0078438E"/>
    <w:rsid w:val="00786742"/>
    <w:rsid w:val="00791E3F"/>
    <w:rsid w:val="007B46AC"/>
    <w:rsid w:val="007C32B9"/>
    <w:rsid w:val="007D089C"/>
    <w:rsid w:val="007E2E6A"/>
    <w:rsid w:val="007F35EC"/>
    <w:rsid w:val="007F6946"/>
    <w:rsid w:val="008056FD"/>
    <w:rsid w:val="00820A00"/>
    <w:rsid w:val="0084124E"/>
    <w:rsid w:val="00851908"/>
    <w:rsid w:val="0085514D"/>
    <w:rsid w:val="00863341"/>
    <w:rsid w:val="008635D7"/>
    <w:rsid w:val="00865677"/>
    <w:rsid w:val="00866671"/>
    <w:rsid w:val="00877742"/>
    <w:rsid w:val="00882BD7"/>
    <w:rsid w:val="00883C70"/>
    <w:rsid w:val="00885CD8"/>
    <w:rsid w:val="00891C37"/>
    <w:rsid w:val="008A1029"/>
    <w:rsid w:val="008A222D"/>
    <w:rsid w:val="008A5686"/>
    <w:rsid w:val="008B55EC"/>
    <w:rsid w:val="008C0947"/>
    <w:rsid w:val="008C5241"/>
    <w:rsid w:val="008D254C"/>
    <w:rsid w:val="008E0FF6"/>
    <w:rsid w:val="008E2508"/>
    <w:rsid w:val="008F31AE"/>
    <w:rsid w:val="008F419B"/>
    <w:rsid w:val="008F62DC"/>
    <w:rsid w:val="009002BF"/>
    <w:rsid w:val="00933A76"/>
    <w:rsid w:val="00941A93"/>
    <w:rsid w:val="00944981"/>
    <w:rsid w:val="009461C1"/>
    <w:rsid w:val="00946A31"/>
    <w:rsid w:val="0094715D"/>
    <w:rsid w:val="00947A1F"/>
    <w:rsid w:val="0095491D"/>
    <w:rsid w:val="00956297"/>
    <w:rsid w:val="00956F64"/>
    <w:rsid w:val="00971FBC"/>
    <w:rsid w:val="00974904"/>
    <w:rsid w:val="00980C45"/>
    <w:rsid w:val="00986B89"/>
    <w:rsid w:val="00986CAE"/>
    <w:rsid w:val="00987871"/>
    <w:rsid w:val="00991544"/>
    <w:rsid w:val="009944FC"/>
    <w:rsid w:val="009A0387"/>
    <w:rsid w:val="009A2A8A"/>
    <w:rsid w:val="009B17B0"/>
    <w:rsid w:val="009B4860"/>
    <w:rsid w:val="009B53D5"/>
    <w:rsid w:val="009C26DC"/>
    <w:rsid w:val="009C4F1A"/>
    <w:rsid w:val="009D1B29"/>
    <w:rsid w:val="009E4735"/>
    <w:rsid w:val="009E59C7"/>
    <w:rsid w:val="009E6155"/>
    <w:rsid w:val="009F155E"/>
    <w:rsid w:val="009F599A"/>
    <w:rsid w:val="009F71C9"/>
    <w:rsid w:val="00A0188E"/>
    <w:rsid w:val="00A116A6"/>
    <w:rsid w:val="00A20BB8"/>
    <w:rsid w:val="00A35921"/>
    <w:rsid w:val="00A47763"/>
    <w:rsid w:val="00A65859"/>
    <w:rsid w:val="00A70049"/>
    <w:rsid w:val="00A733BF"/>
    <w:rsid w:val="00A76992"/>
    <w:rsid w:val="00A81F24"/>
    <w:rsid w:val="00A94359"/>
    <w:rsid w:val="00AA468F"/>
    <w:rsid w:val="00AA740C"/>
    <w:rsid w:val="00AB7A34"/>
    <w:rsid w:val="00AE2575"/>
    <w:rsid w:val="00AE49BD"/>
    <w:rsid w:val="00AE5CE2"/>
    <w:rsid w:val="00AF3276"/>
    <w:rsid w:val="00AF61A2"/>
    <w:rsid w:val="00B14A20"/>
    <w:rsid w:val="00B2456B"/>
    <w:rsid w:val="00B25D2E"/>
    <w:rsid w:val="00B2713B"/>
    <w:rsid w:val="00B33497"/>
    <w:rsid w:val="00B40062"/>
    <w:rsid w:val="00B43F04"/>
    <w:rsid w:val="00B4607F"/>
    <w:rsid w:val="00B466D7"/>
    <w:rsid w:val="00B473E0"/>
    <w:rsid w:val="00B53286"/>
    <w:rsid w:val="00B62307"/>
    <w:rsid w:val="00B62F3F"/>
    <w:rsid w:val="00B66ADC"/>
    <w:rsid w:val="00B67307"/>
    <w:rsid w:val="00B736CB"/>
    <w:rsid w:val="00B82825"/>
    <w:rsid w:val="00B83A8C"/>
    <w:rsid w:val="00B900CD"/>
    <w:rsid w:val="00B92C9C"/>
    <w:rsid w:val="00B95A33"/>
    <w:rsid w:val="00BA4411"/>
    <w:rsid w:val="00BA452B"/>
    <w:rsid w:val="00BB24B2"/>
    <w:rsid w:val="00BC12D9"/>
    <w:rsid w:val="00BC7013"/>
    <w:rsid w:val="00BC719B"/>
    <w:rsid w:val="00BD7945"/>
    <w:rsid w:val="00BE036B"/>
    <w:rsid w:val="00BF24AA"/>
    <w:rsid w:val="00BF29A6"/>
    <w:rsid w:val="00BF39BA"/>
    <w:rsid w:val="00BF3E89"/>
    <w:rsid w:val="00BF7174"/>
    <w:rsid w:val="00C029B7"/>
    <w:rsid w:val="00C07638"/>
    <w:rsid w:val="00C141DD"/>
    <w:rsid w:val="00C21757"/>
    <w:rsid w:val="00C27D92"/>
    <w:rsid w:val="00C31984"/>
    <w:rsid w:val="00C46BAC"/>
    <w:rsid w:val="00C5481A"/>
    <w:rsid w:val="00C62628"/>
    <w:rsid w:val="00C70947"/>
    <w:rsid w:val="00C77B76"/>
    <w:rsid w:val="00C80C46"/>
    <w:rsid w:val="00C81C7A"/>
    <w:rsid w:val="00C82148"/>
    <w:rsid w:val="00C96B60"/>
    <w:rsid w:val="00CA5F46"/>
    <w:rsid w:val="00CD3BFB"/>
    <w:rsid w:val="00CE0635"/>
    <w:rsid w:val="00CE124C"/>
    <w:rsid w:val="00CE20A6"/>
    <w:rsid w:val="00CE382D"/>
    <w:rsid w:val="00CE38AD"/>
    <w:rsid w:val="00CE3A5E"/>
    <w:rsid w:val="00CF7183"/>
    <w:rsid w:val="00D01D1B"/>
    <w:rsid w:val="00D02BBE"/>
    <w:rsid w:val="00D15D76"/>
    <w:rsid w:val="00D2767E"/>
    <w:rsid w:val="00D306BF"/>
    <w:rsid w:val="00D358A7"/>
    <w:rsid w:val="00D43F68"/>
    <w:rsid w:val="00D45DDC"/>
    <w:rsid w:val="00D74279"/>
    <w:rsid w:val="00D81B11"/>
    <w:rsid w:val="00D86E25"/>
    <w:rsid w:val="00D86F73"/>
    <w:rsid w:val="00D91693"/>
    <w:rsid w:val="00D917BC"/>
    <w:rsid w:val="00DA1944"/>
    <w:rsid w:val="00DA3EAA"/>
    <w:rsid w:val="00DA693D"/>
    <w:rsid w:val="00DB7246"/>
    <w:rsid w:val="00DD2EEF"/>
    <w:rsid w:val="00DE302F"/>
    <w:rsid w:val="00DF5D7B"/>
    <w:rsid w:val="00E16962"/>
    <w:rsid w:val="00E16D54"/>
    <w:rsid w:val="00E24871"/>
    <w:rsid w:val="00E40147"/>
    <w:rsid w:val="00E50495"/>
    <w:rsid w:val="00E5143D"/>
    <w:rsid w:val="00E531CE"/>
    <w:rsid w:val="00E55A9B"/>
    <w:rsid w:val="00E61AC6"/>
    <w:rsid w:val="00E623A4"/>
    <w:rsid w:val="00E62AD9"/>
    <w:rsid w:val="00E67D26"/>
    <w:rsid w:val="00E709FF"/>
    <w:rsid w:val="00E81C6A"/>
    <w:rsid w:val="00EA280E"/>
    <w:rsid w:val="00EA5204"/>
    <w:rsid w:val="00EA543D"/>
    <w:rsid w:val="00EA6093"/>
    <w:rsid w:val="00EB1BE8"/>
    <w:rsid w:val="00EC343F"/>
    <w:rsid w:val="00EC504A"/>
    <w:rsid w:val="00EC7217"/>
    <w:rsid w:val="00ED31C0"/>
    <w:rsid w:val="00ED49E4"/>
    <w:rsid w:val="00EE3FFB"/>
    <w:rsid w:val="00EE5C14"/>
    <w:rsid w:val="00EE73BD"/>
    <w:rsid w:val="00EF0CD1"/>
    <w:rsid w:val="00EF2590"/>
    <w:rsid w:val="00EF5283"/>
    <w:rsid w:val="00F177B6"/>
    <w:rsid w:val="00F21799"/>
    <w:rsid w:val="00F2211B"/>
    <w:rsid w:val="00F2419E"/>
    <w:rsid w:val="00F30A67"/>
    <w:rsid w:val="00F4141D"/>
    <w:rsid w:val="00F60068"/>
    <w:rsid w:val="00F64D47"/>
    <w:rsid w:val="00F661E7"/>
    <w:rsid w:val="00F66AC4"/>
    <w:rsid w:val="00F75971"/>
    <w:rsid w:val="00F80E2A"/>
    <w:rsid w:val="00F87BCE"/>
    <w:rsid w:val="00F90DA3"/>
    <w:rsid w:val="00F951C7"/>
    <w:rsid w:val="00F95EC0"/>
    <w:rsid w:val="00FA3517"/>
    <w:rsid w:val="00FA594A"/>
    <w:rsid w:val="00FB132F"/>
    <w:rsid w:val="00FB1C9C"/>
    <w:rsid w:val="00FB57DF"/>
    <w:rsid w:val="00FB67A5"/>
    <w:rsid w:val="00FC7692"/>
    <w:rsid w:val="00FD30B2"/>
    <w:rsid w:val="00FD4706"/>
    <w:rsid w:val="00FD48BD"/>
    <w:rsid w:val="00FD5A9C"/>
    <w:rsid w:val="00FE287C"/>
    <w:rsid w:val="00FE35E0"/>
    <w:rsid w:val="00FF145F"/>
  </w:rsids>
  <m:mathPr>
    <m:mathFont m:val="Cambria Math"/>
    <m:brkBin m:val="before"/>
    <m:brkBinSub m:val="--"/>
    <m:smallFrac m:val="0"/>
    <m:dispDef/>
    <m:lMargin m:val="0"/>
    <m:rMargin m:val="0"/>
    <m:defJc m:val="centerGroup"/>
    <m:wrapIndent m:val="1440"/>
    <m:intLim m:val="subSup"/>
    <m:naryLim m:val="undOvr"/>
  </m:mathPr>
  <w:themeFontLang w:val="fi-FI"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F16918A"/>
  <w15:docId w15:val="{0946D4CD-E673-4E33-8358-53FFF425D3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35D7"/>
    <w:rPr>
      <w:sz w:val="24"/>
      <w:szCs w:val="24"/>
      <w:lang w:eastAsia="en-GB"/>
    </w:rPr>
  </w:style>
  <w:style w:type="paragraph" w:styleId="Heading1">
    <w:name w:val="heading 1"/>
    <w:basedOn w:val="Normal"/>
    <w:next w:val="Basicfirst"/>
    <w:link w:val="Heading1Char"/>
    <w:uiPriority w:val="9"/>
    <w:qFormat/>
    <w:rsid w:val="00BA4411"/>
    <w:pPr>
      <w:keepNext/>
      <w:keepLines/>
      <w:pageBreakBefore/>
      <w:numPr>
        <w:numId w:val="4"/>
      </w:numPr>
      <w:spacing w:after="400" w:line="340" w:lineRule="atLeast"/>
      <w:outlineLvl w:val="0"/>
    </w:pPr>
    <w:rPr>
      <w:b/>
      <w:caps/>
      <w:kern w:val="28"/>
      <w:sz w:val="36"/>
      <w:lang w:val="en-US"/>
    </w:rPr>
  </w:style>
  <w:style w:type="paragraph" w:styleId="Heading2">
    <w:name w:val="heading 2"/>
    <w:basedOn w:val="Normal"/>
    <w:next w:val="Basicfirst"/>
    <w:link w:val="Heading2Char"/>
    <w:qFormat/>
    <w:rsid w:val="00BA4411"/>
    <w:pPr>
      <w:keepNext/>
      <w:keepLines/>
      <w:numPr>
        <w:ilvl w:val="1"/>
        <w:numId w:val="4"/>
      </w:numPr>
      <w:spacing w:before="680" w:after="340" w:line="340" w:lineRule="atLeast"/>
      <w:outlineLvl w:val="1"/>
    </w:pPr>
    <w:rPr>
      <w:b/>
      <w:bCs/>
      <w:sz w:val="28"/>
      <w:lang w:val="en-US"/>
    </w:rPr>
  </w:style>
  <w:style w:type="paragraph" w:styleId="Heading3">
    <w:name w:val="heading 3"/>
    <w:basedOn w:val="Normal"/>
    <w:next w:val="Basicfirst"/>
    <w:link w:val="Heading3Char"/>
    <w:uiPriority w:val="9"/>
    <w:qFormat/>
    <w:rsid w:val="00BA4411"/>
    <w:pPr>
      <w:keepNext/>
      <w:keepLines/>
      <w:numPr>
        <w:ilvl w:val="2"/>
        <w:numId w:val="4"/>
      </w:numPr>
      <w:spacing w:before="680" w:after="340" w:line="340" w:lineRule="atLeast"/>
      <w:outlineLvl w:val="2"/>
    </w:pPr>
    <w:rPr>
      <w:b/>
      <w:bCs/>
      <w:i/>
      <w:iCs/>
      <w:sz w:val="26"/>
      <w:lang w:val="en-US"/>
    </w:rPr>
  </w:style>
  <w:style w:type="paragraph" w:styleId="Heading4">
    <w:name w:val="heading 4"/>
    <w:basedOn w:val="Heading3"/>
    <w:next w:val="Basicfirst"/>
    <w:link w:val="Heading4Char"/>
    <w:rsid w:val="003413F6"/>
    <w:pPr>
      <w:numPr>
        <w:ilvl w:val="0"/>
        <w:numId w:val="0"/>
      </w:numPr>
      <w:tabs>
        <w:tab w:val="num" w:pos="851"/>
      </w:tabs>
      <w:ind w:left="851" w:hanging="851"/>
      <w:outlineLvl w:val="3"/>
    </w:pPr>
  </w:style>
  <w:style w:type="paragraph" w:styleId="Heading5">
    <w:name w:val="heading 5"/>
    <w:basedOn w:val="Heading3"/>
    <w:next w:val="Basicfirst"/>
    <w:link w:val="Heading5Char"/>
    <w:rsid w:val="003413F6"/>
    <w:pPr>
      <w:numPr>
        <w:ilvl w:val="0"/>
        <w:numId w:val="0"/>
      </w:numPr>
      <w:tabs>
        <w:tab w:val="num" w:pos="1008"/>
      </w:tabs>
      <w:ind w:left="1009" w:hanging="1009"/>
      <w:outlineLvl w:val="4"/>
    </w:pPr>
    <w:rPr>
      <w:bCs w:val="0"/>
    </w:rPr>
  </w:style>
  <w:style w:type="paragraph" w:styleId="Heading6">
    <w:name w:val="heading 6"/>
    <w:basedOn w:val="Normal"/>
    <w:next w:val="Normal"/>
    <w:link w:val="Heading6Char"/>
    <w:rsid w:val="003413F6"/>
    <w:pPr>
      <w:tabs>
        <w:tab w:val="num" w:pos="1152"/>
      </w:tabs>
      <w:spacing w:before="340" w:after="340"/>
      <w:ind w:left="1151" w:hanging="1151"/>
      <w:outlineLvl w:val="5"/>
    </w:pPr>
    <w:rPr>
      <w:i/>
      <w:sz w:val="26"/>
    </w:rPr>
  </w:style>
  <w:style w:type="paragraph" w:styleId="Heading7">
    <w:name w:val="heading 7"/>
    <w:basedOn w:val="Normal"/>
    <w:next w:val="Normal"/>
    <w:link w:val="Heading7Char"/>
    <w:rsid w:val="003413F6"/>
    <w:pPr>
      <w:tabs>
        <w:tab w:val="num" w:pos="1296"/>
      </w:tabs>
      <w:spacing w:before="240" w:after="60"/>
      <w:ind w:left="1296" w:hanging="1296"/>
      <w:outlineLvl w:val="6"/>
    </w:pPr>
    <w:rPr>
      <w:rFonts w:ascii="Arial" w:hAnsi="Arial"/>
      <w:sz w:val="20"/>
    </w:rPr>
  </w:style>
  <w:style w:type="paragraph" w:styleId="Heading8">
    <w:name w:val="heading 8"/>
    <w:basedOn w:val="Normal"/>
    <w:next w:val="Normal"/>
    <w:link w:val="Heading8Char"/>
    <w:rsid w:val="003413F6"/>
    <w:pPr>
      <w:tabs>
        <w:tab w:val="num" w:pos="1440"/>
      </w:tabs>
      <w:spacing w:before="240" w:after="60"/>
      <w:ind w:left="1440" w:hanging="1440"/>
      <w:outlineLvl w:val="7"/>
    </w:pPr>
    <w:rPr>
      <w:rFonts w:ascii="Arial" w:hAnsi="Arial"/>
      <w:i/>
      <w:sz w:val="20"/>
    </w:rPr>
  </w:style>
  <w:style w:type="paragraph" w:styleId="Heading9">
    <w:name w:val="heading 9"/>
    <w:basedOn w:val="Normal"/>
    <w:next w:val="Normal"/>
    <w:link w:val="Heading9Char"/>
    <w:rsid w:val="003413F6"/>
    <w:pPr>
      <w:tabs>
        <w:tab w:val="num" w:pos="1584"/>
      </w:tabs>
      <w:spacing w:before="240" w:after="60"/>
      <w:ind w:left="1584" w:hanging="1584"/>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icfirst">
    <w:name w:val="Basic first"/>
    <w:basedOn w:val="Basic"/>
    <w:next w:val="Basic"/>
    <w:qFormat/>
    <w:rsid w:val="00BA4411"/>
    <w:pPr>
      <w:ind w:firstLine="0"/>
    </w:pPr>
  </w:style>
  <w:style w:type="paragraph" w:customStyle="1" w:styleId="Basic">
    <w:name w:val="Basic"/>
    <w:basedOn w:val="Normal"/>
    <w:qFormat/>
    <w:rsid w:val="00BA4411"/>
    <w:pPr>
      <w:spacing w:line="340" w:lineRule="atLeast"/>
      <w:ind w:firstLine="284"/>
      <w:jc w:val="both"/>
    </w:pPr>
    <w:rPr>
      <w:sz w:val="26"/>
    </w:rPr>
  </w:style>
  <w:style w:type="character" w:customStyle="1" w:styleId="Heading1Char">
    <w:name w:val="Heading 1 Char"/>
    <w:basedOn w:val="DefaultParagraphFont"/>
    <w:link w:val="Heading1"/>
    <w:uiPriority w:val="9"/>
    <w:rsid w:val="00BA4411"/>
    <w:rPr>
      <w:b/>
      <w:caps/>
      <w:kern w:val="28"/>
      <w:sz w:val="36"/>
      <w:szCs w:val="24"/>
      <w:lang w:val="en-US" w:eastAsia="en-GB"/>
    </w:rPr>
  </w:style>
  <w:style w:type="character" w:customStyle="1" w:styleId="Heading2Char">
    <w:name w:val="Heading 2 Char"/>
    <w:basedOn w:val="DefaultParagraphFont"/>
    <w:link w:val="Heading2"/>
    <w:uiPriority w:val="99"/>
    <w:rsid w:val="00BA4411"/>
    <w:rPr>
      <w:b/>
      <w:bCs/>
      <w:sz w:val="28"/>
      <w:szCs w:val="24"/>
      <w:lang w:val="en-US" w:eastAsia="en-GB"/>
    </w:rPr>
  </w:style>
  <w:style w:type="character" w:customStyle="1" w:styleId="Heading3Char">
    <w:name w:val="Heading 3 Char"/>
    <w:basedOn w:val="DefaultParagraphFont"/>
    <w:link w:val="Heading3"/>
    <w:rsid w:val="00BA4411"/>
    <w:rPr>
      <w:b/>
      <w:bCs/>
      <w:i/>
      <w:iCs/>
      <w:sz w:val="26"/>
      <w:szCs w:val="24"/>
      <w:lang w:val="en-US" w:eastAsia="en-GB"/>
    </w:rPr>
  </w:style>
  <w:style w:type="character" w:customStyle="1" w:styleId="Heading4Char">
    <w:name w:val="Heading 4 Char"/>
    <w:basedOn w:val="DefaultParagraphFont"/>
    <w:link w:val="Heading4"/>
    <w:rsid w:val="003413F6"/>
    <w:rPr>
      <w:b/>
      <w:bCs/>
      <w:i/>
      <w:iCs/>
      <w:sz w:val="26"/>
      <w:szCs w:val="24"/>
      <w:lang w:val="en-US" w:eastAsia="en-GB"/>
    </w:rPr>
  </w:style>
  <w:style w:type="character" w:customStyle="1" w:styleId="Heading5Char">
    <w:name w:val="Heading 5 Char"/>
    <w:basedOn w:val="DefaultParagraphFont"/>
    <w:link w:val="Heading5"/>
    <w:rsid w:val="003413F6"/>
    <w:rPr>
      <w:b/>
      <w:i/>
      <w:iCs/>
      <w:sz w:val="26"/>
      <w:szCs w:val="24"/>
      <w:lang w:val="en-US" w:eastAsia="en-GB"/>
    </w:rPr>
  </w:style>
  <w:style w:type="character" w:customStyle="1" w:styleId="Heading6Char">
    <w:name w:val="Heading 6 Char"/>
    <w:basedOn w:val="DefaultParagraphFont"/>
    <w:link w:val="Heading6"/>
    <w:rsid w:val="003413F6"/>
    <w:rPr>
      <w:i/>
      <w:sz w:val="26"/>
      <w:szCs w:val="24"/>
      <w:lang w:eastAsia="en-GB"/>
    </w:rPr>
  </w:style>
  <w:style w:type="character" w:customStyle="1" w:styleId="Heading7Char">
    <w:name w:val="Heading 7 Char"/>
    <w:basedOn w:val="DefaultParagraphFont"/>
    <w:link w:val="Heading7"/>
    <w:rsid w:val="003413F6"/>
    <w:rPr>
      <w:rFonts w:ascii="Arial" w:hAnsi="Arial"/>
      <w:szCs w:val="24"/>
      <w:lang w:eastAsia="en-GB"/>
    </w:rPr>
  </w:style>
  <w:style w:type="character" w:customStyle="1" w:styleId="Heading8Char">
    <w:name w:val="Heading 8 Char"/>
    <w:basedOn w:val="DefaultParagraphFont"/>
    <w:link w:val="Heading8"/>
    <w:rsid w:val="003413F6"/>
    <w:rPr>
      <w:rFonts w:ascii="Arial" w:hAnsi="Arial"/>
      <w:i/>
      <w:szCs w:val="24"/>
      <w:lang w:eastAsia="en-GB"/>
    </w:rPr>
  </w:style>
  <w:style w:type="character" w:customStyle="1" w:styleId="Heading9Char">
    <w:name w:val="Heading 9 Char"/>
    <w:basedOn w:val="DefaultParagraphFont"/>
    <w:link w:val="Heading9"/>
    <w:rsid w:val="003413F6"/>
    <w:rPr>
      <w:rFonts w:ascii="Arial" w:hAnsi="Arial"/>
      <w:b/>
      <w:i/>
      <w:sz w:val="18"/>
      <w:szCs w:val="24"/>
      <w:lang w:eastAsia="en-GB"/>
    </w:rPr>
  </w:style>
  <w:style w:type="paragraph" w:customStyle="1" w:styleId="Listbullet">
    <w:name w:val="List (bullet)"/>
    <w:basedOn w:val="Normal"/>
    <w:qFormat/>
    <w:rsid w:val="00BA4411"/>
    <w:pPr>
      <w:numPr>
        <w:numId w:val="5"/>
      </w:numPr>
      <w:spacing w:line="340" w:lineRule="atLeast"/>
      <w:jc w:val="both"/>
    </w:pPr>
    <w:rPr>
      <w:sz w:val="26"/>
    </w:rPr>
  </w:style>
  <w:style w:type="paragraph" w:customStyle="1" w:styleId="Figurename">
    <w:name w:val="Figure name"/>
    <w:basedOn w:val="Normal"/>
    <w:next w:val="Basic"/>
    <w:qFormat/>
    <w:rsid w:val="00BA4411"/>
    <w:pPr>
      <w:keepLines/>
      <w:spacing w:before="340" w:after="340" w:line="340" w:lineRule="atLeast"/>
      <w:ind w:left="1418" w:hanging="1418"/>
    </w:pPr>
    <w:rPr>
      <w:bCs/>
      <w:sz w:val="26"/>
    </w:rPr>
  </w:style>
  <w:style w:type="paragraph" w:customStyle="1" w:styleId="Figure">
    <w:name w:val="Figure"/>
    <w:basedOn w:val="Normal"/>
    <w:next w:val="Figurename"/>
    <w:qFormat/>
    <w:rsid w:val="00BA4411"/>
    <w:pPr>
      <w:keepNext/>
      <w:spacing w:before="360" w:line="240" w:lineRule="atLeast"/>
      <w:jc w:val="both"/>
    </w:pPr>
    <w:rPr>
      <w:sz w:val="26"/>
    </w:rPr>
  </w:style>
  <w:style w:type="paragraph" w:customStyle="1" w:styleId="Textbox">
    <w:name w:val="Text box"/>
    <w:basedOn w:val="Normal"/>
    <w:qFormat/>
    <w:rsid w:val="00BA4411"/>
    <w:pPr>
      <w:keepLines/>
    </w:pPr>
    <w:rPr>
      <w:sz w:val="20"/>
      <w:lang w:val="en-US"/>
    </w:rPr>
  </w:style>
  <w:style w:type="paragraph" w:styleId="ListParagraph">
    <w:name w:val="List Paragraph"/>
    <w:basedOn w:val="Normal"/>
    <w:uiPriority w:val="34"/>
    <w:qFormat/>
    <w:rsid w:val="00BA4411"/>
    <w:pPr>
      <w:ind w:left="720"/>
      <w:contextualSpacing/>
    </w:pPr>
  </w:style>
  <w:style w:type="paragraph" w:styleId="TOCHeading">
    <w:name w:val="TOC Heading"/>
    <w:basedOn w:val="Heading1"/>
    <w:next w:val="Normal"/>
    <w:uiPriority w:val="39"/>
    <w:unhideWhenUsed/>
    <w:qFormat/>
    <w:rsid w:val="00BA4411"/>
    <w:pPr>
      <w:pageBreakBefore w:val="0"/>
      <w:numPr>
        <w:numId w:val="0"/>
      </w:numPr>
      <w:spacing w:before="480" w:after="0" w:line="276" w:lineRule="auto"/>
      <w:outlineLvl w:val="9"/>
    </w:pPr>
    <w:rPr>
      <w:rFonts w:asciiTheme="majorHAnsi" w:eastAsiaTheme="majorEastAsia" w:hAnsiTheme="majorHAnsi" w:cstheme="majorBidi"/>
      <w:bCs/>
      <w:caps w:val="0"/>
      <w:color w:val="365F91" w:themeColor="accent1" w:themeShade="BF"/>
      <w:kern w:val="0"/>
      <w:sz w:val="28"/>
      <w:szCs w:val="28"/>
      <w:lang w:eastAsia="ja-JP"/>
    </w:rPr>
  </w:style>
  <w:style w:type="paragraph" w:customStyle="1" w:styleId="Table">
    <w:name w:val="Table"/>
    <w:basedOn w:val="Normal"/>
    <w:rsid w:val="003413F6"/>
    <w:pPr>
      <w:keepNext/>
      <w:keepLines/>
    </w:pPr>
    <w:rPr>
      <w:sz w:val="26"/>
    </w:rPr>
  </w:style>
  <w:style w:type="paragraph" w:styleId="Header">
    <w:name w:val="header"/>
    <w:basedOn w:val="Normal"/>
    <w:next w:val="Basic"/>
    <w:link w:val="HeaderChar"/>
    <w:uiPriority w:val="99"/>
    <w:rsid w:val="003413F6"/>
    <w:pPr>
      <w:keepLines/>
      <w:tabs>
        <w:tab w:val="center" w:pos="4153"/>
        <w:tab w:val="right" w:pos="8306"/>
      </w:tabs>
      <w:spacing w:after="360" w:line="340" w:lineRule="atLeast"/>
    </w:pPr>
    <w:rPr>
      <w:b/>
      <w:bCs/>
      <w:sz w:val="28"/>
    </w:rPr>
  </w:style>
  <w:style w:type="character" w:customStyle="1" w:styleId="HeaderChar">
    <w:name w:val="Header Char"/>
    <w:basedOn w:val="DefaultParagraphFont"/>
    <w:link w:val="Header"/>
    <w:uiPriority w:val="99"/>
    <w:rsid w:val="003413F6"/>
    <w:rPr>
      <w:b/>
      <w:bCs/>
      <w:sz w:val="28"/>
      <w:szCs w:val="24"/>
      <w:lang w:eastAsia="en-GB"/>
    </w:rPr>
  </w:style>
  <w:style w:type="character" w:styleId="PageNumber">
    <w:name w:val="page number"/>
    <w:basedOn w:val="DefaultParagraphFont"/>
    <w:rsid w:val="003413F6"/>
  </w:style>
  <w:style w:type="paragraph" w:customStyle="1" w:styleId="Tablename">
    <w:name w:val="Table name"/>
    <w:basedOn w:val="Figurename"/>
    <w:next w:val="Basic"/>
    <w:rsid w:val="003413F6"/>
  </w:style>
  <w:style w:type="table" w:styleId="TableGrid">
    <w:name w:val="Table Grid"/>
    <w:basedOn w:val="TableNormal"/>
    <w:uiPriority w:val="59"/>
    <w:rsid w:val="003413F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nhideWhenUsed/>
    <w:rsid w:val="00883C70"/>
    <w:rPr>
      <w:rFonts w:ascii="Tahoma" w:hAnsi="Tahoma" w:cs="Tahoma"/>
      <w:sz w:val="16"/>
      <w:szCs w:val="16"/>
    </w:rPr>
  </w:style>
  <w:style w:type="character" w:customStyle="1" w:styleId="BalloonTextChar">
    <w:name w:val="Balloon Text Char"/>
    <w:basedOn w:val="DefaultParagraphFont"/>
    <w:link w:val="BalloonText"/>
    <w:rsid w:val="00883C70"/>
    <w:rPr>
      <w:rFonts w:ascii="Tahoma" w:hAnsi="Tahoma" w:cs="Tahoma"/>
      <w:sz w:val="16"/>
      <w:szCs w:val="16"/>
      <w:lang w:eastAsia="en-GB"/>
    </w:rPr>
  </w:style>
  <w:style w:type="character" w:styleId="CommentReference">
    <w:name w:val="annotation reference"/>
    <w:basedOn w:val="DefaultParagraphFont"/>
    <w:unhideWhenUsed/>
    <w:rsid w:val="00F30A67"/>
    <w:rPr>
      <w:sz w:val="16"/>
      <w:szCs w:val="16"/>
    </w:rPr>
  </w:style>
  <w:style w:type="paragraph" w:styleId="CommentText">
    <w:name w:val="annotation text"/>
    <w:basedOn w:val="Normal"/>
    <w:link w:val="CommentTextChar"/>
    <w:unhideWhenUsed/>
    <w:rsid w:val="00F30A67"/>
    <w:rPr>
      <w:sz w:val="20"/>
      <w:szCs w:val="20"/>
    </w:rPr>
  </w:style>
  <w:style w:type="character" w:customStyle="1" w:styleId="CommentTextChar">
    <w:name w:val="Comment Text Char"/>
    <w:basedOn w:val="DefaultParagraphFont"/>
    <w:link w:val="CommentText"/>
    <w:rsid w:val="00F30A67"/>
    <w:rPr>
      <w:lang w:eastAsia="en-GB"/>
    </w:rPr>
  </w:style>
  <w:style w:type="paragraph" w:customStyle="1" w:styleId="perus">
    <w:name w:val="(perus)"/>
    <w:basedOn w:val="Normal"/>
    <w:rsid w:val="006B35BC"/>
    <w:pPr>
      <w:spacing w:line="340" w:lineRule="atLeast"/>
      <w:jc w:val="both"/>
    </w:pPr>
    <w:rPr>
      <w:sz w:val="26"/>
    </w:rPr>
  </w:style>
  <w:style w:type="paragraph" w:customStyle="1" w:styleId="Normal0">
    <w:name w:val="[Normal]"/>
    <w:rsid w:val="004F29DA"/>
    <w:pPr>
      <w:widowControl w:val="0"/>
      <w:autoSpaceDE w:val="0"/>
      <w:autoSpaceDN w:val="0"/>
      <w:adjustRightInd w:val="0"/>
    </w:pPr>
    <w:rPr>
      <w:rFonts w:ascii="Arial" w:hAnsi="Arial" w:cs="Arial"/>
      <w:sz w:val="24"/>
      <w:szCs w:val="24"/>
    </w:rPr>
  </w:style>
  <w:style w:type="paragraph" w:styleId="NormalWeb">
    <w:name w:val="Normal (Web)"/>
    <w:basedOn w:val="Normal"/>
    <w:uiPriority w:val="99"/>
    <w:unhideWhenUsed/>
    <w:rsid w:val="00127DAF"/>
    <w:pPr>
      <w:spacing w:before="100" w:beforeAutospacing="1" w:after="100" w:afterAutospacing="1"/>
    </w:pPr>
    <w:rPr>
      <w:rFonts w:eastAsiaTheme="minorEastAsia"/>
    </w:rPr>
  </w:style>
  <w:style w:type="paragraph" w:styleId="Footer">
    <w:name w:val="footer"/>
    <w:basedOn w:val="Normal"/>
    <w:link w:val="FooterChar"/>
    <w:uiPriority w:val="99"/>
    <w:unhideWhenUsed/>
    <w:rsid w:val="0065724F"/>
    <w:pPr>
      <w:tabs>
        <w:tab w:val="center" w:pos="4513"/>
        <w:tab w:val="right" w:pos="9026"/>
      </w:tabs>
    </w:pPr>
  </w:style>
  <w:style w:type="character" w:customStyle="1" w:styleId="FooterChar">
    <w:name w:val="Footer Char"/>
    <w:basedOn w:val="DefaultParagraphFont"/>
    <w:link w:val="Footer"/>
    <w:uiPriority w:val="99"/>
    <w:rsid w:val="0065724F"/>
    <w:rPr>
      <w:sz w:val="24"/>
      <w:szCs w:val="24"/>
      <w:lang w:eastAsia="en-GB"/>
    </w:rPr>
  </w:style>
  <w:style w:type="paragraph" w:styleId="TOC2">
    <w:name w:val="toc 2"/>
    <w:basedOn w:val="Normal"/>
    <w:next w:val="Normal"/>
    <w:autoRedefine/>
    <w:uiPriority w:val="39"/>
    <w:unhideWhenUsed/>
    <w:rsid w:val="00BF7174"/>
    <w:pPr>
      <w:spacing w:after="100"/>
      <w:ind w:left="240"/>
    </w:pPr>
  </w:style>
  <w:style w:type="paragraph" w:styleId="TOC3">
    <w:name w:val="toc 3"/>
    <w:basedOn w:val="Normal"/>
    <w:next w:val="Normal"/>
    <w:autoRedefine/>
    <w:uiPriority w:val="39"/>
    <w:unhideWhenUsed/>
    <w:rsid w:val="00BF7174"/>
    <w:pPr>
      <w:spacing w:after="100"/>
      <w:ind w:left="480"/>
    </w:pPr>
  </w:style>
  <w:style w:type="character" w:styleId="Hyperlink">
    <w:name w:val="Hyperlink"/>
    <w:basedOn w:val="DefaultParagraphFont"/>
    <w:uiPriority w:val="99"/>
    <w:unhideWhenUsed/>
    <w:rsid w:val="00BF7174"/>
    <w:rPr>
      <w:color w:val="0000FF" w:themeColor="hyperlink"/>
      <w:u w:val="single"/>
    </w:rPr>
  </w:style>
  <w:style w:type="character" w:customStyle="1" w:styleId="style36">
    <w:name w:val="style36"/>
    <w:rsid w:val="007E2E6A"/>
  </w:style>
  <w:style w:type="character" w:customStyle="1" w:styleId="full">
    <w:name w:val="full"/>
    <w:basedOn w:val="DefaultParagraphFont"/>
    <w:rsid w:val="003F50AC"/>
  </w:style>
  <w:style w:type="paragraph" w:styleId="CommentSubject">
    <w:name w:val="annotation subject"/>
    <w:basedOn w:val="CommentText"/>
    <w:next w:val="CommentText"/>
    <w:link w:val="CommentSubjectChar"/>
    <w:rsid w:val="000074EB"/>
    <w:rPr>
      <w:b/>
      <w:bCs/>
      <w:lang w:eastAsia="en-US"/>
    </w:rPr>
  </w:style>
  <w:style w:type="character" w:customStyle="1" w:styleId="CommentSubjectChar">
    <w:name w:val="Comment Subject Char"/>
    <w:basedOn w:val="CommentTextChar"/>
    <w:link w:val="CommentSubject"/>
    <w:rsid w:val="000074EB"/>
    <w:rPr>
      <w:b/>
      <w:bCs/>
      <w:lang w:eastAsia="en-GB"/>
    </w:rPr>
  </w:style>
  <w:style w:type="character" w:customStyle="1" w:styleId="hlite1">
    <w:name w:val="hlite1"/>
    <w:basedOn w:val="DefaultParagraphFont"/>
    <w:rsid w:val="000074EB"/>
    <w:rPr>
      <w:shd w:val="clear" w:color="auto" w:fill="FFFF99"/>
    </w:rPr>
  </w:style>
  <w:style w:type="character" w:customStyle="1" w:styleId="st">
    <w:name w:val="st"/>
    <w:basedOn w:val="DefaultParagraphFont"/>
    <w:rsid w:val="000074EB"/>
  </w:style>
  <w:style w:type="character" w:styleId="Emphasis">
    <w:name w:val="Emphasis"/>
    <w:basedOn w:val="DefaultParagraphFont"/>
    <w:uiPriority w:val="20"/>
    <w:qFormat/>
    <w:rsid w:val="000074EB"/>
    <w:rPr>
      <w:i/>
      <w:iCs/>
    </w:rPr>
  </w:style>
  <w:style w:type="character" w:customStyle="1" w:styleId="hlfld-contribauthor">
    <w:name w:val="hlfld-contribauthor"/>
    <w:basedOn w:val="DefaultParagraphFont"/>
    <w:rsid w:val="000074EB"/>
  </w:style>
  <w:style w:type="character" w:customStyle="1" w:styleId="nlmx">
    <w:name w:val="nlm_x"/>
    <w:basedOn w:val="DefaultParagraphFont"/>
    <w:rsid w:val="000074EB"/>
  </w:style>
  <w:style w:type="character" w:customStyle="1" w:styleId="authorname">
    <w:name w:val="authorname"/>
    <w:basedOn w:val="DefaultParagraphFont"/>
    <w:rsid w:val="000074EB"/>
  </w:style>
  <w:style w:type="character" w:customStyle="1" w:styleId="apple-converted-space">
    <w:name w:val="apple-converted-space"/>
    <w:basedOn w:val="DefaultParagraphFont"/>
    <w:rsid w:val="000074EB"/>
  </w:style>
  <w:style w:type="paragraph" w:styleId="TOC1">
    <w:name w:val="toc 1"/>
    <w:basedOn w:val="Normal"/>
    <w:next w:val="Normal"/>
    <w:autoRedefine/>
    <w:uiPriority w:val="39"/>
    <w:unhideWhenUsed/>
    <w:rsid w:val="00227F1F"/>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8091360">
      <w:bodyDiv w:val="1"/>
      <w:marLeft w:val="0"/>
      <w:marRight w:val="0"/>
      <w:marTop w:val="0"/>
      <w:marBottom w:val="0"/>
      <w:divBdr>
        <w:top w:val="none" w:sz="0" w:space="0" w:color="auto"/>
        <w:left w:val="none" w:sz="0" w:space="0" w:color="auto"/>
        <w:bottom w:val="none" w:sz="0" w:space="0" w:color="auto"/>
        <w:right w:val="none" w:sz="0" w:space="0" w:color="auto"/>
      </w:divBdr>
    </w:div>
    <w:div w:id="42292503">
      <w:bodyDiv w:val="1"/>
      <w:marLeft w:val="0"/>
      <w:marRight w:val="0"/>
      <w:marTop w:val="0"/>
      <w:marBottom w:val="0"/>
      <w:divBdr>
        <w:top w:val="none" w:sz="0" w:space="0" w:color="auto"/>
        <w:left w:val="none" w:sz="0" w:space="0" w:color="auto"/>
        <w:bottom w:val="none" w:sz="0" w:space="0" w:color="auto"/>
        <w:right w:val="none" w:sz="0" w:space="0" w:color="auto"/>
      </w:divBdr>
    </w:div>
    <w:div w:id="60031511">
      <w:bodyDiv w:val="1"/>
      <w:marLeft w:val="0"/>
      <w:marRight w:val="0"/>
      <w:marTop w:val="0"/>
      <w:marBottom w:val="0"/>
      <w:divBdr>
        <w:top w:val="none" w:sz="0" w:space="0" w:color="auto"/>
        <w:left w:val="none" w:sz="0" w:space="0" w:color="auto"/>
        <w:bottom w:val="none" w:sz="0" w:space="0" w:color="auto"/>
        <w:right w:val="none" w:sz="0" w:space="0" w:color="auto"/>
      </w:divBdr>
    </w:div>
    <w:div w:id="95830077">
      <w:bodyDiv w:val="1"/>
      <w:marLeft w:val="0"/>
      <w:marRight w:val="0"/>
      <w:marTop w:val="0"/>
      <w:marBottom w:val="0"/>
      <w:divBdr>
        <w:top w:val="none" w:sz="0" w:space="0" w:color="auto"/>
        <w:left w:val="none" w:sz="0" w:space="0" w:color="auto"/>
        <w:bottom w:val="none" w:sz="0" w:space="0" w:color="auto"/>
        <w:right w:val="none" w:sz="0" w:space="0" w:color="auto"/>
      </w:divBdr>
    </w:div>
    <w:div w:id="111019145">
      <w:bodyDiv w:val="1"/>
      <w:marLeft w:val="0"/>
      <w:marRight w:val="0"/>
      <w:marTop w:val="0"/>
      <w:marBottom w:val="0"/>
      <w:divBdr>
        <w:top w:val="none" w:sz="0" w:space="0" w:color="auto"/>
        <w:left w:val="none" w:sz="0" w:space="0" w:color="auto"/>
        <w:bottom w:val="none" w:sz="0" w:space="0" w:color="auto"/>
        <w:right w:val="none" w:sz="0" w:space="0" w:color="auto"/>
      </w:divBdr>
    </w:div>
    <w:div w:id="133106606">
      <w:bodyDiv w:val="1"/>
      <w:marLeft w:val="0"/>
      <w:marRight w:val="0"/>
      <w:marTop w:val="0"/>
      <w:marBottom w:val="0"/>
      <w:divBdr>
        <w:top w:val="none" w:sz="0" w:space="0" w:color="auto"/>
        <w:left w:val="none" w:sz="0" w:space="0" w:color="auto"/>
        <w:bottom w:val="none" w:sz="0" w:space="0" w:color="auto"/>
        <w:right w:val="none" w:sz="0" w:space="0" w:color="auto"/>
      </w:divBdr>
    </w:div>
    <w:div w:id="138226960">
      <w:bodyDiv w:val="1"/>
      <w:marLeft w:val="0"/>
      <w:marRight w:val="0"/>
      <w:marTop w:val="0"/>
      <w:marBottom w:val="0"/>
      <w:divBdr>
        <w:top w:val="none" w:sz="0" w:space="0" w:color="auto"/>
        <w:left w:val="none" w:sz="0" w:space="0" w:color="auto"/>
        <w:bottom w:val="none" w:sz="0" w:space="0" w:color="auto"/>
        <w:right w:val="none" w:sz="0" w:space="0" w:color="auto"/>
      </w:divBdr>
    </w:div>
    <w:div w:id="139929314">
      <w:bodyDiv w:val="1"/>
      <w:marLeft w:val="0"/>
      <w:marRight w:val="0"/>
      <w:marTop w:val="0"/>
      <w:marBottom w:val="0"/>
      <w:divBdr>
        <w:top w:val="none" w:sz="0" w:space="0" w:color="auto"/>
        <w:left w:val="none" w:sz="0" w:space="0" w:color="auto"/>
        <w:bottom w:val="none" w:sz="0" w:space="0" w:color="auto"/>
        <w:right w:val="none" w:sz="0" w:space="0" w:color="auto"/>
      </w:divBdr>
    </w:div>
    <w:div w:id="157890424">
      <w:bodyDiv w:val="1"/>
      <w:marLeft w:val="0"/>
      <w:marRight w:val="0"/>
      <w:marTop w:val="0"/>
      <w:marBottom w:val="0"/>
      <w:divBdr>
        <w:top w:val="none" w:sz="0" w:space="0" w:color="auto"/>
        <w:left w:val="none" w:sz="0" w:space="0" w:color="auto"/>
        <w:bottom w:val="none" w:sz="0" w:space="0" w:color="auto"/>
        <w:right w:val="none" w:sz="0" w:space="0" w:color="auto"/>
      </w:divBdr>
    </w:div>
    <w:div w:id="208806634">
      <w:bodyDiv w:val="1"/>
      <w:marLeft w:val="0"/>
      <w:marRight w:val="0"/>
      <w:marTop w:val="0"/>
      <w:marBottom w:val="0"/>
      <w:divBdr>
        <w:top w:val="none" w:sz="0" w:space="0" w:color="auto"/>
        <w:left w:val="none" w:sz="0" w:space="0" w:color="auto"/>
        <w:bottom w:val="none" w:sz="0" w:space="0" w:color="auto"/>
        <w:right w:val="none" w:sz="0" w:space="0" w:color="auto"/>
      </w:divBdr>
    </w:div>
    <w:div w:id="254289128">
      <w:bodyDiv w:val="1"/>
      <w:marLeft w:val="0"/>
      <w:marRight w:val="0"/>
      <w:marTop w:val="0"/>
      <w:marBottom w:val="0"/>
      <w:divBdr>
        <w:top w:val="none" w:sz="0" w:space="0" w:color="auto"/>
        <w:left w:val="none" w:sz="0" w:space="0" w:color="auto"/>
        <w:bottom w:val="none" w:sz="0" w:space="0" w:color="auto"/>
        <w:right w:val="none" w:sz="0" w:space="0" w:color="auto"/>
      </w:divBdr>
    </w:div>
    <w:div w:id="408649254">
      <w:bodyDiv w:val="1"/>
      <w:marLeft w:val="0"/>
      <w:marRight w:val="0"/>
      <w:marTop w:val="0"/>
      <w:marBottom w:val="0"/>
      <w:divBdr>
        <w:top w:val="none" w:sz="0" w:space="0" w:color="auto"/>
        <w:left w:val="none" w:sz="0" w:space="0" w:color="auto"/>
        <w:bottom w:val="none" w:sz="0" w:space="0" w:color="auto"/>
        <w:right w:val="none" w:sz="0" w:space="0" w:color="auto"/>
      </w:divBdr>
    </w:div>
    <w:div w:id="480736394">
      <w:bodyDiv w:val="1"/>
      <w:marLeft w:val="0"/>
      <w:marRight w:val="0"/>
      <w:marTop w:val="0"/>
      <w:marBottom w:val="0"/>
      <w:divBdr>
        <w:top w:val="none" w:sz="0" w:space="0" w:color="auto"/>
        <w:left w:val="none" w:sz="0" w:space="0" w:color="auto"/>
        <w:bottom w:val="none" w:sz="0" w:space="0" w:color="auto"/>
        <w:right w:val="none" w:sz="0" w:space="0" w:color="auto"/>
      </w:divBdr>
    </w:div>
    <w:div w:id="532422861">
      <w:bodyDiv w:val="1"/>
      <w:marLeft w:val="0"/>
      <w:marRight w:val="0"/>
      <w:marTop w:val="0"/>
      <w:marBottom w:val="0"/>
      <w:divBdr>
        <w:top w:val="none" w:sz="0" w:space="0" w:color="auto"/>
        <w:left w:val="none" w:sz="0" w:space="0" w:color="auto"/>
        <w:bottom w:val="none" w:sz="0" w:space="0" w:color="auto"/>
        <w:right w:val="none" w:sz="0" w:space="0" w:color="auto"/>
      </w:divBdr>
    </w:div>
    <w:div w:id="543325911">
      <w:bodyDiv w:val="1"/>
      <w:marLeft w:val="0"/>
      <w:marRight w:val="0"/>
      <w:marTop w:val="0"/>
      <w:marBottom w:val="0"/>
      <w:divBdr>
        <w:top w:val="none" w:sz="0" w:space="0" w:color="auto"/>
        <w:left w:val="none" w:sz="0" w:space="0" w:color="auto"/>
        <w:bottom w:val="none" w:sz="0" w:space="0" w:color="auto"/>
        <w:right w:val="none" w:sz="0" w:space="0" w:color="auto"/>
      </w:divBdr>
    </w:div>
    <w:div w:id="544491429">
      <w:bodyDiv w:val="1"/>
      <w:marLeft w:val="0"/>
      <w:marRight w:val="0"/>
      <w:marTop w:val="0"/>
      <w:marBottom w:val="0"/>
      <w:divBdr>
        <w:top w:val="none" w:sz="0" w:space="0" w:color="auto"/>
        <w:left w:val="none" w:sz="0" w:space="0" w:color="auto"/>
        <w:bottom w:val="none" w:sz="0" w:space="0" w:color="auto"/>
        <w:right w:val="none" w:sz="0" w:space="0" w:color="auto"/>
      </w:divBdr>
    </w:div>
    <w:div w:id="583342346">
      <w:bodyDiv w:val="1"/>
      <w:marLeft w:val="0"/>
      <w:marRight w:val="0"/>
      <w:marTop w:val="0"/>
      <w:marBottom w:val="0"/>
      <w:divBdr>
        <w:top w:val="none" w:sz="0" w:space="0" w:color="auto"/>
        <w:left w:val="none" w:sz="0" w:space="0" w:color="auto"/>
        <w:bottom w:val="none" w:sz="0" w:space="0" w:color="auto"/>
        <w:right w:val="none" w:sz="0" w:space="0" w:color="auto"/>
      </w:divBdr>
    </w:div>
    <w:div w:id="600337883">
      <w:bodyDiv w:val="1"/>
      <w:marLeft w:val="0"/>
      <w:marRight w:val="0"/>
      <w:marTop w:val="0"/>
      <w:marBottom w:val="0"/>
      <w:divBdr>
        <w:top w:val="none" w:sz="0" w:space="0" w:color="auto"/>
        <w:left w:val="none" w:sz="0" w:space="0" w:color="auto"/>
        <w:bottom w:val="none" w:sz="0" w:space="0" w:color="auto"/>
        <w:right w:val="none" w:sz="0" w:space="0" w:color="auto"/>
      </w:divBdr>
    </w:div>
    <w:div w:id="603926133">
      <w:bodyDiv w:val="1"/>
      <w:marLeft w:val="0"/>
      <w:marRight w:val="0"/>
      <w:marTop w:val="0"/>
      <w:marBottom w:val="0"/>
      <w:divBdr>
        <w:top w:val="none" w:sz="0" w:space="0" w:color="auto"/>
        <w:left w:val="none" w:sz="0" w:space="0" w:color="auto"/>
        <w:bottom w:val="none" w:sz="0" w:space="0" w:color="auto"/>
        <w:right w:val="none" w:sz="0" w:space="0" w:color="auto"/>
      </w:divBdr>
    </w:div>
    <w:div w:id="619654608">
      <w:bodyDiv w:val="1"/>
      <w:marLeft w:val="0"/>
      <w:marRight w:val="0"/>
      <w:marTop w:val="0"/>
      <w:marBottom w:val="0"/>
      <w:divBdr>
        <w:top w:val="none" w:sz="0" w:space="0" w:color="auto"/>
        <w:left w:val="none" w:sz="0" w:space="0" w:color="auto"/>
        <w:bottom w:val="none" w:sz="0" w:space="0" w:color="auto"/>
        <w:right w:val="none" w:sz="0" w:space="0" w:color="auto"/>
      </w:divBdr>
    </w:div>
    <w:div w:id="690033983">
      <w:bodyDiv w:val="1"/>
      <w:marLeft w:val="0"/>
      <w:marRight w:val="0"/>
      <w:marTop w:val="0"/>
      <w:marBottom w:val="0"/>
      <w:divBdr>
        <w:top w:val="none" w:sz="0" w:space="0" w:color="auto"/>
        <w:left w:val="none" w:sz="0" w:space="0" w:color="auto"/>
        <w:bottom w:val="none" w:sz="0" w:space="0" w:color="auto"/>
        <w:right w:val="none" w:sz="0" w:space="0" w:color="auto"/>
      </w:divBdr>
    </w:div>
    <w:div w:id="707068804">
      <w:bodyDiv w:val="1"/>
      <w:marLeft w:val="0"/>
      <w:marRight w:val="0"/>
      <w:marTop w:val="0"/>
      <w:marBottom w:val="0"/>
      <w:divBdr>
        <w:top w:val="none" w:sz="0" w:space="0" w:color="auto"/>
        <w:left w:val="none" w:sz="0" w:space="0" w:color="auto"/>
        <w:bottom w:val="none" w:sz="0" w:space="0" w:color="auto"/>
        <w:right w:val="none" w:sz="0" w:space="0" w:color="auto"/>
      </w:divBdr>
    </w:div>
    <w:div w:id="728260225">
      <w:bodyDiv w:val="1"/>
      <w:marLeft w:val="0"/>
      <w:marRight w:val="0"/>
      <w:marTop w:val="0"/>
      <w:marBottom w:val="0"/>
      <w:divBdr>
        <w:top w:val="none" w:sz="0" w:space="0" w:color="auto"/>
        <w:left w:val="none" w:sz="0" w:space="0" w:color="auto"/>
        <w:bottom w:val="none" w:sz="0" w:space="0" w:color="auto"/>
        <w:right w:val="none" w:sz="0" w:space="0" w:color="auto"/>
      </w:divBdr>
    </w:div>
    <w:div w:id="765921644">
      <w:bodyDiv w:val="1"/>
      <w:marLeft w:val="0"/>
      <w:marRight w:val="0"/>
      <w:marTop w:val="0"/>
      <w:marBottom w:val="0"/>
      <w:divBdr>
        <w:top w:val="none" w:sz="0" w:space="0" w:color="auto"/>
        <w:left w:val="none" w:sz="0" w:space="0" w:color="auto"/>
        <w:bottom w:val="none" w:sz="0" w:space="0" w:color="auto"/>
        <w:right w:val="none" w:sz="0" w:space="0" w:color="auto"/>
      </w:divBdr>
    </w:div>
    <w:div w:id="853570153">
      <w:bodyDiv w:val="1"/>
      <w:marLeft w:val="0"/>
      <w:marRight w:val="0"/>
      <w:marTop w:val="0"/>
      <w:marBottom w:val="0"/>
      <w:divBdr>
        <w:top w:val="none" w:sz="0" w:space="0" w:color="auto"/>
        <w:left w:val="none" w:sz="0" w:space="0" w:color="auto"/>
        <w:bottom w:val="none" w:sz="0" w:space="0" w:color="auto"/>
        <w:right w:val="none" w:sz="0" w:space="0" w:color="auto"/>
      </w:divBdr>
    </w:div>
    <w:div w:id="914247289">
      <w:bodyDiv w:val="1"/>
      <w:marLeft w:val="0"/>
      <w:marRight w:val="0"/>
      <w:marTop w:val="0"/>
      <w:marBottom w:val="0"/>
      <w:divBdr>
        <w:top w:val="none" w:sz="0" w:space="0" w:color="auto"/>
        <w:left w:val="none" w:sz="0" w:space="0" w:color="auto"/>
        <w:bottom w:val="none" w:sz="0" w:space="0" w:color="auto"/>
        <w:right w:val="none" w:sz="0" w:space="0" w:color="auto"/>
      </w:divBdr>
    </w:div>
    <w:div w:id="955789034">
      <w:bodyDiv w:val="1"/>
      <w:marLeft w:val="0"/>
      <w:marRight w:val="0"/>
      <w:marTop w:val="0"/>
      <w:marBottom w:val="0"/>
      <w:divBdr>
        <w:top w:val="none" w:sz="0" w:space="0" w:color="auto"/>
        <w:left w:val="none" w:sz="0" w:space="0" w:color="auto"/>
        <w:bottom w:val="none" w:sz="0" w:space="0" w:color="auto"/>
        <w:right w:val="none" w:sz="0" w:space="0" w:color="auto"/>
      </w:divBdr>
    </w:div>
    <w:div w:id="970668314">
      <w:bodyDiv w:val="1"/>
      <w:marLeft w:val="0"/>
      <w:marRight w:val="0"/>
      <w:marTop w:val="0"/>
      <w:marBottom w:val="0"/>
      <w:divBdr>
        <w:top w:val="none" w:sz="0" w:space="0" w:color="auto"/>
        <w:left w:val="none" w:sz="0" w:space="0" w:color="auto"/>
        <w:bottom w:val="none" w:sz="0" w:space="0" w:color="auto"/>
        <w:right w:val="none" w:sz="0" w:space="0" w:color="auto"/>
      </w:divBdr>
    </w:div>
    <w:div w:id="1185440821">
      <w:bodyDiv w:val="1"/>
      <w:marLeft w:val="0"/>
      <w:marRight w:val="0"/>
      <w:marTop w:val="0"/>
      <w:marBottom w:val="0"/>
      <w:divBdr>
        <w:top w:val="none" w:sz="0" w:space="0" w:color="auto"/>
        <w:left w:val="none" w:sz="0" w:space="0" w:color="auto"/>
        <w:bottom w:val="none" w:sz="0" w:space="0" w:color="auto"/>
        <w:right w:val="none" w:sz="0" w:space="0" w:color="auto"/>
      </w:divBdr>
    </w:div>
    <w:div w:id="1197426476">
      <w:bodyDiv w:val="1"/>
      <w:marLeft w:val="0"/>
      <w:marRight w:val="0"/>
      <w:marTop w:val="0"/>
      <w:marBottom w:val="0"/>
      <w:divBdr>
        <w:top w:val="none" w:sz="0" w:space="0" w:color="auto"/>
        <w:left w:val="none" w:sz="0" w:space="0" w:color="auto"/>
        <w:bottom w:val="none" w:sz="0" w:space="0" w:color="auto"/>
        <w:right w:val="none" w:sz="0" w:space="0" w:color="auto"/>
      </w:divBdr>
    </w:div>
    <w:div w:id="1212885424">
      <w:bodyDiv w:val="1"/>
      <w:marLeft w:val="0"/>
      <w:marRight w:val="0"/>
      <w:marTop w:val="0"/>
      <w:marBottom w:val="0"/>
      <w:divBdr>
        <w:top w:val="none" w:sz="0" w:space="0" w:color="auto"/>
        <w:left w:val="none" w:sz="0" w:space="0" w:color="auto"/>
        <w:bottom w:val="none" w:sz="0" w:space="0" w:color="auto"/>
        <w:right w:val="none" w:sz="0" w:space="0" w:color="auto"/>
      </w:divBdr>
      <w:divsChild>
        <w:div w:id="1781291858">
          <w:marLeft w:val="0"/>
          <w:marRight w:val="0"/>
          <w:marTop w:val="0"/>
          <w:marBottom w:val="0"/>
          <w:divBdr>
            <w:top w:val="none" w:sz="0" w:space="0" w:color="auto"/>
            <w:left w:val="none" w:sz="0" w:space="0" w:color="auto"/>
            <w:bottom w:val="none" w:sz="0" w:space="0" w:color="auto"/>
            <w:right w:val="none" w:sz="0" w:space="0" w:color="auto"/>
          </w:divBdr>
        </w:div>
        <w:div w:id="15739198">
          <w:marLeft w:val="0"/>
          <w:marRight w:val="0"/>
          <w:marTop w:val="0"/>
          <w:marBottom w:val="0"/>
          <w:divBdr>
            <w:top w:val="none" w:sz="0" w:space="0" w:color="auto"/>
            <w:left w:val="none" w:sz="0" w:space="0" w:color="auto"/>
            <w:bottom w:val="none" w:sz="0" w:space="0" w:color="auto"/>
            <w:right w:val="none" w:sz="0" w:space="0" w:color="auto"/>
          </w:divBdr>
        </w:div>
      </w:divsChild>
    </w:div>
    <w:div w:id="1234658944">
      <w:bodyDiv w:val="1"/>
      <w:marLeft w:val="0"/>
      <w:marRight w:val="0"/>
      <w:marTop w:val="0"/>
      <w:marBottom w:val="0"/>
      <w:divBdr>
        <w:top w:val="none" w:sz="0" w:space="0" w:color="auto"/>
        <w:left w:val="none" w:sz="0" w:space="0" w:color="auto"/>
        <w:bottom w:val="none" w:sz="0" w:space="0" w:color="auto"/>
        <w:right w:val="none" w:sz="0" w:space="0" w:color="auto"/>
      </w:divBdr>
    </w:div>
    <w:div w:id="1336035663">
      <w:bodyDiv w:val="1"/>
      <w:marLeft w:val="0"/>
      <w:marRight w:val="0"/>
      <w:marTop w:val="0"/>
      <w:marBottom w:val="0"/>
      <w:divBdr>
        <w:top w:val="none" w:sz="0" w:space="0" w:color="auto"/>
        <w:left w:val="none" w:sz="0" w:space="0" w:color="auto"/>
        <w:bottom w:val="none" w:sz="0" w:space="0" w:color="auto"/>
        <w:right w:val="none" w:sz="0" w:space="0" w:color="auto"/>
      </w:divBdr>
    </w:div>
    <w:div w:id="1379431181">
      <w:bodyDiv w:val="1"/>
      <w:marLeft w:val="0"/>
      <w:marRight w:val="0"/>
      <w:marTop w:val="0"/>
      <w:marBottom w:val="0"/>
      <w:divBdr>
        <w:top w:val="none" w:sz="0" w:space="0" w:color="auto"/>
        <w:left w:val="none" w:sz="0" w:space="0" w:color="auto"/>
        <w:bottom w:val="none" w:sz="0" w:space="0" w:color="auto"/>
        <w:right w:val="none" w:sz="0" w:space="0" w:color="auto"/>
      </w:divBdr>
    </w:div>
    <w:div w:id="1403942833">
      <w:bodyDiv w:val="1"/>
      <w:marLeft w:val="0"/>
      <w:marRight w:val="0"/>
      <w:marTop w:val="0"/>
      <w:marBottom w:val="0"/>
      <w:divBdr>
        <w:top w:val="none" w:sz="0" w:space="0" w:color="auto"/>
        <w:left w:val="none" w:sz="0" w:space="0" w:color="auto"/>
        <w:bottom w:val="none" w:sz="0" w:space="0" w:color="auto"/>
        <w:right w:val="none" w:sz="0" w:space="0" w:color="auto"/>
      </w:divBdr>
    </w:div>
    <w:div w:id="1455559982">
      <w:bodyDiv w:val="1"/>
      <w:marLeft w:val="0"/>
      <w:marRight w:val="0"/>
      <w:marTop w:val="0"/>
      <w:marBottom w:val="0"/>
      <w:divBdr>
        <w:top w:val="none" w:sz="0" w:space="0" w:color="auto"/>
        <w:left w:val="none" w:sz="0" w:space="0" w:color="auto"/>
        <w:bottom w:val="none" w:sz="0" w:space="0" w:color="auto"/>
        <w:right w:val="none" w:sz="0" w:space="0" w:color="auto"/>
      </w:divBdr>
    </w:div>
    <w:div w:id="1460686942">
      <w:bodyDiv w:val="1"/>
      <w:marLeft w:val="0"/>
      <w:marRight w:val="0"/>
      <w:marTop w:val="0"/>
      <w:marBottom w:val="0"/>
      <w:divBdr>
        <w:top w:val="none" w:sz="0" w:space="0" w:color="auto"/>
        <w:left w:val="none" w:sz="0" w:space="0" w:color="auto"/>
        <w:bottom w:val="none" w:sz="0" w:space="0" w:color="auto"/>
        <w:right w:val="none" w:sz="0" w:space="0" w:color="auto"/>
      </w:divBdr>
    </w:div>
    <w:div w:id="1484733276">
      <w:bodyDiv w:val="1"/>
      <w:marLeft w:val="0"/>
      <w:marRight w:val="0"/>
      <w:marTop w:val="0"/>
      <w:marBottom w:val="0"/>
      <w:divBdr>
        <w:top w:val="none" w:sz="0" w:space="0" w:color="auto"/>
        <w:left w:val="none" w:sz="0" w:space="0" w:color="auto"/>
        <w:bottom w:val="none" w:sz="0" w:space="0" w:color="auto"/>
        <w:right w:val="none" w:sz="0" w:space="0" w:color="auto"/>
      </w:divBdr>
    </w:div>
    <w:div w:id="1514686302">
      <w:bodyDiv w:val="1"/>
      <w:marLeft w:val="0"/>
      <w:marRight w:val="0"/>
      <w:marTop w:val="0"/>
      <w:marBottom w:val="0"/>
      <w:divBdr>
        <w:top w:val="none" w:sz="0" w:space="0" w:color="auto"/>
        <w:left w:val="none" w:sz="0" w:space="0" w:color="auto"/>
        <w:bottom w:val="none" w:sz="0" w:space="0" w:color="auto"/>
        <w:right w:val="none" w:sz="0" w:space="0" w:color="auto"/>
      </w:divBdr>
    </w:div>
    <w:div w:id="1527910671">
      <w:bodyDiv w:val="1"/>
      <w:marLeft w:val="0"/>
      <w:marRight w:val="0"/>
      <w:marTop w:val="0"/>
      <w:marBottom w:val="0"/>
      <w:divBdr>
        <w:top w:val="none" w:sz="0" w:space="0" w:color="auto"/>
        <w:left w:val="none" w:sz="0" w:space="0" w:color="auto"/>
        <w:bottom w:val="none" w:sz="0" w:space="0" w:color="auto"/>
        <w:right w:val="none" w:sz="0" w:space="0" w:color="auto"/>
      </w:divBdr>
    </w:div>
    <w:div w:id="1538271979">
      <w:bodyDiv w:val="1"/>
      <w:marLeft w:val="0"/>
      <w:marRight w:val="0"/>
      <w:marTop w:val="0"/>
      <w:marBottom w:val="0"/>
      <w:divBdr>
        <w:top w:val="none" w:sz="0" w:space="0" w:color="auto"/>
        <w:left w:val="none" w:sz="0" w:space="0" w:color="auto"/>
        <w:bottom w:val="none" w:sz="0" w:space="0" w:color="auto"/>
        <w:right w:val="none" w:sz="0" w:space="0" w:color="auto"/>
      </w:divBdr>
    </w:div>
    <w:div w:id="1543908396">
      <w:bodyDiv w:val="1"/>
      <w:marLeft w:val="0"/>
      <w:marRight w:val="0"/>
      <w:marTop w:val="0"/>
      <w:marBottom w:val="0"/>
      <w:divBdr>
        <w:top w:val="none" w:sz="0" w:space="0" w:color="auto"/>
        <w:left w:val="none" w:sz="0" w:space="0" w:color="auto"/>
        <w:bottom w:val="none" w:sz="0" w:space="0" w:color="auto"/>
        <w:right w:val="none" w:sz="0" w:space="0" w:color="auto"/>
      </w:divBdr>
    </w:div>
    <w:div w:id="1575044594">
      <w:bodyDiv w:val="1"/>
      <w:marLeft w:val="0"/>
      <w:marRight w:val="0"/>
      <w:marTop w:val="0"/>
      <w:marBottom w:val="0"/>
      <w:divBdr>
        <w:top w:val="none" w:sz="0" w:space="0" w:color="auto"/>
        <w:left w:val="none" w:sz="0" w:space="0" w:color="auto"/>
        <w:bottom w:val="none" w:sz="0" w:space="0" w:color="auto"/>
        <w:right w:val="none" w:sz="0" w:space="0" w:color="auto"/>
      </w:divBdr>
    </w:div>
    <w:div w:id="1595550166">
      <w:bodyDiv w:val="1"/>
      <w:marLeft w:val="0"/>
      <w:marRight w:val="0"/>
      <w:marTop w:val="0"/>
      <w:marBottom w:val="0"/>
      <w:divBdr>
        <w:top w:val="none" w:sz="0" w:space="0" w:color="auto"/>
        <w:left w:val="none" w:sz="0" w:space="0" w:color="auto"/>
        <w:bottom w:val="none" w:sz="0" w:space="0" w:color="auto"/>
        <w:right w:val="none" w:sz="0" w:space="0" w:color="auto"/>
      </w:divBdr>
    </w:div>
    <w:div w:id="1608149238">
      <w:bodyDiv w:val="1"/>
      <w:marLeft w:val="0"/>
      <w:marRight w:val="0"/>
      <w:marTop w:val="0"/>
      <w:marBottom w:val="0"/>
      <w:divBdr>
        <w:top w:val="none" w:sz="0" w:space="0" w:color="auto"/>
        <w:left w:val="none" w:sz="0" w:space="0" w:color="auto"/>
        <w:bottom w:val="none" w:sz="0" w:space="0" w:color="auto"/>
        <w:right w:val="none" w:sz="0" w:space="0" w:color="auto"/>
      </w:divBdr>
    </w:div>
    <w:div w:id="1636256799">
      <w:bodyDiv w:val="1"/>
      <w:marLeft w:val="0"/>
      <w:marRight w:val="0"/>
      <w:marTop w:val="0"/>
      <w:marBottom w:val="0"/>
      <w:divBdr>
        <w:top w:val="none" w:sz="0" w:space="0" w:color="auto"/>
        <w:left w:val="none" w:sz="0" w:space="0" w:color="auto"/>
        <w:bottom w:val="none" w:sz="0" w:space="0" w:color="auto"/>
        <w:right w:val="none" w:sz="0" w:space="0" w:color="auto"/>
      </w:divBdr>
    </w:div>
    <w:div w:id="1639260605">
      <w:bodyDiv w:val="1"/>
      <w:marLeft w:val="0"/>
      <w:marRight w:val="0"/>
      <w:marTop w:val="0"/>
      <w:marBottom w:val="0"/>
      <w:divBdr>
        <w:top w:val="none" w:sz="0" w:space="0" w:color="auto"/>
        <w:left w:val="none" w:sz="0" w:space="0" w:color="auto"/>
        <w:bottom w:val="none" w:sz="0" w:space="0" w:color="auto"/>
        <w:right w:val="none" w:sz="0" w:space="0" w:color="auto"/>
      </w:divBdr>
    </w:div>
    <w:div w:id="1654875536">
      <w:bodyDiv w:val="1"/>
      <w:marLeft w:val="0"/>
      <w:marRight w:val="0"/>
      <w:marTop w:val="0"/>
      <w:marBottom w:val="0"/>
      <w:divBdr>
        <w:top w:val="none" w:sz="0" w:space="0" w:color="auto"/>
        <w:left w:val="none" w:sz="0" w:space="0" w:color="auto"/>
        <w:bottom w:val="none" w:sz="0" w:space="0" w:color="auto"/>
        <w:right w:val="none" w:sz="0" w:space="0" w:color="auto"/>
      </w:divBdr>
    </w:div>
    <w:div w:id="1698846160">
      <w:bodyDiv w:val="1"/>
      <w:marLeft w:val="0"/>
      <w:marRight w:val="0"/>
      <w:marTop w:val="0"/>
      <w:marBottom w:val="0"/>
      <w:divBdr>
        <w:top w:val="none" w:sz="0" w:space="0" w:color="auto"/>
        <w:left w:val="none" w:sz="0" w:space="0" w:color="auto"/>
        <w:bottom w:val="none" w:sz="0" w:space="0" w:color="auto"/>
        <w:right w:val="none" w:sz="0" w:space="0" w:color="auto"/>
      </w:divBdr>
    </w:div>
    <w:div w:id="1726952456">
      <w:bodyDiv w:val="1"/>
      <w:marLeft w:val="0"/>
      <w:marRight w:val="0"/>
      <w:marTop w:val="0"/>
      <w:marBottom w:val="0"/>
      <w:divBdr>
        <w:top w:val="none" w:sz="0" w:space="0" w:color="auto"/>
        <w:left w:val="none" w:sz="0" w:space="0" w:color="auto"/>
        <w:bottom w:val="none" w:sz="0" w:space="0" w:color="auto"/>
        <w:right w:val="none" w:sz="0" w:space="0" w:color="auto"/>
      </w:divBdr>
    </w:div>
    <w:div w:id="1793555309">
      <w:bodyDiv w:val="1"/>
      <w:marLeft w:val="0"/>
      <w:marRight w:val="0"/>
      <w:marTop w:val="0"/>
      <w:marBottom w:val="0"/>
      <w:divBdr>
        <w:top w:val="none" w:sz="0" w:space="0" w:color="auto"/>
        <w:left w:val="none" w:sz="0" w:space="0" w:color="auto"/>
        <w:bottom w:val="none" w:sz="0" w:space="0" w:color="auto"/>
        <w:right w:val="none" w:sz="0" w:space="0" w:color="auto"/>
      </w:divBdr>
    </w:div>
    <w:div w:id="1810050797">
      <w:bodyDiv w:val="1"/>
      <w:marLeft w:val="0"/>
      <w:marRight w:val="0"/>
      <w:marTop w:val="0"/>
      <w:marBottom w:val="0"/>
      <w:divBdr>
        <w:top w:val="none" w:sz="0" w:space="0" w:color="auto"/>
        <w:left w:val="none" w:sz="0" w:space="0" w:color="auto"/>
        <w:bottom w:val="none" w:sz="0" w:space="0" w:color="auto"/>
        <w:right w:val="none" w:sz="0" w:space="0" w:color="auto"/>
      </w:divBdr>
      <w:divsChild>
        <w:div w:id="1250701981">
          <w:marLeft w:val="0"/>
          <w:marRight w:val="0"/>
          <w:marTop w:val="0"/>
          <w:marBottom w:val="0"/>
          <w:divBdr>
            <w:top w:val="none" w:sz="0" w:space="0" w:color="auto"/>
            <w:left w:val="none" w:sz="0" w:space="0" w:color="auto"/>
            <w:bottom w:val="none" w:sz="0" w:space="0" w:color="auto"/>
            <w:right w:val="none" w:sz="0" w:space="0" w:color="auto"/>
          </w:divBdr>
        </w:div>
        <w:div w:id="953293367">
          <w:marLeft w:val="0"/>
          <w:marRight w:val="0"/>
          <w:marTop w:val="0"/>
          <w:marBottom w:val="0"/>
          <w:divBdr>
            <w:top w:val="none" w:sz="0" w:space="0" w:color="auto"/>
            <w:left w:val="none" w:sz="0" w:space="0" w:color="auto"/>
            <w:bottom w:val="none" w:sz="0" w:space="0" w:color="auto"/>
            <w:right w:val="none" w:sz="0" w:space="0" w:color="auto"/>
          </w:divBdr>
        </w:div>
        <w:div w:id="1090079985">
          <w:marLeft w:val="0"/>
          <w:marRight w:val="0"/>
          <w:marTop w:val="0"/>
          <w:marBottom w:val="0"/>
          <w:divBdr>
            <w:top w:val="none" w:sz="0" w:space="0" w:color="auto"/>
            <w:left w:val="none" w:sz="0" w:space="0" w:color="auto"/>
            <w:bottom w:val="none" w:sz="0" w:space="0" w:color="auto"/>
            <w:right w:val="none" w:sz="0" w:space="0" w:color="auto"/>
          </w:divBdr>
        </w:div>
        <w:div w:id="1368875186">
          <w:marLeft w:val="0"/>
          <w:marRight w:val="0"/>
          <w:marTop w:val="0"/>
          <w:marBottom w:val="0"/>
          <w:divBdr>
            <w:top w:val="none" w:sz="0" w:space="0" w:color="auto"/>
            <w:left w:val="none" w:sz="0" w:space="0" w:color="auto"/>
            <w:bottom w:val="none" w:sz="0" w:space="0" w:color="auto"/>
            <w:right w:val="none" w:sz="0" w:space="0" w:color="auto"/>
          </w:divBdr>
        </w:div>
        <w:div w:id="647133698">
          <w:marLeft w:val="0"/>
          <w:marRight w:val="0"/>
          <w:marTop w:val="0"/>
          <w:marBottom w:val="0"/>
          <w:divBdr>
            <w:top w:val="none" w:sz="0" w:space="0" w:color="auto"/>
            <w:left w:val="none" w:sz="0" w:space="0" w:color="auto"/>
            <w:bottom w:val="none" w:sz="0" w:space="0" w:color="auto"/>
            <w:right w:val="none" w:sz="0" w:space="0" w:color="auto"/>
          </w:divBdr>
        </w:div>
        <w:div w:id="1000618544">
          <w:marLeft w:val="0"/>
          <w:marRight w:val="0"/>
          <w:marTop w:val="0"/>
          <w:marBottom w:val="0"/>
          <w:divBdr>
            <w:top w:val="none" w:sz="0" w:space="0" w:color="auto"/>
            <w:left w:val="none" w:sz="0" w:space="0" w:color="auto"/>
            <w:bottom w:val="none" w:sz="0" w:space="0" w:color="auto"/>
            <w:right w:val="none" w:sz="0" w:space="0" w:color="auto"/>
          </w:divBdr>
        </w:div>
        <w:div w:id="1362435604">
          <w:marLeft w:val="0"/>
          <w:marRight w:val="0"/>
          <w:marTop w:val="0"/>
          <w:marBottom w:val="0"/>
          <w:divBdr>
            <w:top w:val="none" w:sz="0" w:space="0" w:color="auto"/>
            <w:left w:val="none" w:sz="0" w:space="0" w:color="auto"/>
            <w:bottom w:val="none" w:sz="0" w:space="0" w:color="auto"/>
            <w:right w:val="none" w:sz="0" w:space="0" w:color="auto"/>
          </w:divBdr>
        </w:div>
      </w:divsChild>
    </w:div>
    <w:div w:id="1890919276">
      <w:bodyDiv w:val="1"/>
      <w:marLeft w:val="0"/>
      <w:marRight w:val="0"/>
      <w:marTop w:val="0"/>
      <w:marBottom w:val="0"/>
      <w:divBdr>
        <w:top w:val="none" w:sz="0" w:space="0" w:color="auto"/>
        <w:left w:val="none" w:sz="0" w:space="0" w:color="auto"/>
        <w:bottom w:val="none" w:sz="0" w:space="0" w:color="auto"/>
        <w:right w:val="none" w:sz="0" w:space="0" w:color="auto"/>
      </w:divBdr>
    </w:div>
    <w:div w:id="1914974039">
      <w:bodyDiv w:val="1"/>
      <w:marLeft w:val="0"/>
      <w:marRight w:val="0"/>
      <w:marTop w:val="0"/>
      <w:marBottom w:val="0"/>
      <w:divBdr>
        <w:top w:val="none" w:sz="0" w:space="0" w:color="auto"/>
        <w:left w:val="none" w:sz="0" w:space="0" w:color="auto"/>
        <w:bottom w:val="none" w:sz="0" w:space="0" w:color="auto"/>
        <w:right w:val="none" w:sz="0" w:space="0" w:color="auto"/>
      </w:divBdr>
    </w:div>
    <w:div w:id="1920209240">
      <w:bodyDiv w:val="1"/>
      <w:marLeft w:val="0"/>
      <w:marRight w:val="0"/>
      <w:marTop w:val="0"/>
      <w:marBottom w:val="0"/>
      <w:divBdr>
        <w:top w:val="none" w:sz="0" w:space="0" w:color="auto"/>
        <w:left w:val="none" w:sz="0" w:space="0" w:color="auto"/>
        <w:bottom w:val="none" w:sz="0" w:space="0" w:color="auto"/>
        <w:right w:val="none" w:sz="0" w:space="0" w:color="auto"/>
      </w:divBdr>
    </w:div>
    <w:div w:id="1935285610">
      <w:bodyDiv w:val="1"/>
      <w:marLeft w:val="0"/>
      <w:marRight w:val="0"/>
      <w:marTop w:val="0"/>
      <w:marBottom w:val="0"/>
      <w:divBdr>
        <w:top w:val="none" w:sz="0" w:space="0" w:color="auto"/>
        <w:left w:val="none" w:sz="0" w:space="0" w:color="auto"/>
        <w:bottom w:val="none" w:sz="0" w:space="0" w:color="auto"/>
        <w:right w:val="none" w:sz="0" w:space="0" w:color="auto"/>
      </w:divBdr>
    </w:div>
    <w:div w:id="1936554731">
      <w:bodyDiv w:val="1"/>
      <w:marLeft w:val="0"/>
      <w:marRight w:val="0"/>
      <w:marTop w:val="0"/>
      <w:marBottom w:val="0"/>
      <w:divBdr>
        <w:top w:val="none" w:sz="0" w:space="0" w:color="auto"/>
        <w:left w:val="none" w:sz="0" w:space="0" w:color="auto"/>
        <w:bottom w:val="none" w:sz="0" w:space="0" w:color="auto"/>
        <w:right w:val="none" w:sz="0" w:space="0" w:color="auto"/>
      </w:divBdr>
    </w:div>
    <w:div w:id="1961953546">
      <w:bodyDiv w:val="1"/>
      <w:marLeft w:val="0"/>
      <w:marRight w:val="0"/>
      <w:marTop w:val="0"/>
      <w:marBottom w:val="0"/>
      <w:divBdr>
        <w:top w:val="none" w:sz="0" w:space="0" w:color="auto"/>
        <w:left w:val="none" w:sz="0" w:space="0" w:color="auto"/>
        <w:bottom w:val="none" w:sz="0" w:space="0" w:color="auto"/>
        <w:right w:val="none" w:sz="0" w:space="0" w:color="auto"/>
      </w:divBdr>
    </w:div>
    <w:div w:id="1974288906">
      <w:bodyDiv w:val="1"/>
      <w:marLeft w:val="0"/>
      <w:marRight w:val="0"/>
      <w:marTop w:val="0"/>
      <w:marBottom w:val="0"/>
      <w:divBdr>
        <w:top w:val="none" w:sz="0" w:space="0" w:color="auto"/>
        <w:left w:val="none" w:sz="0" w:space="0" w:color="auto"/>
        <w:bottom w:val="none" w:sz="0" w:space="0" w:color="auto"/>
        <w:right w:val="none" w:sz="0" w:space="0" w:color="auto"/>
      </w:divBdr>
    </w:div>
    <w:div w:id="1984584126">
      <w:bodyDiv w:val="1"/>
      <w:marLeft w:val="0"/>
      <w:marRight w:val="0"/>
      <w:marTop w:val="0"/>
      <w:marBottom w:val="0"/>
      <w:divBdr>
        <w:top w:val="none" w:sz="0" w:space="0" w:color="auto"/>
        <w:left w:val="none" w:sz="0" w:space="0" w:color="auto"/>
        <w:bottom w:val="none" w:sz="0" w:space="0" w:color="auto"/>
        <w:right w:val="none" w:sz="0" w:space="0" w:color="auto"/>
      </w:divBdr>
    </w:div>
    <w:div w:id="2001157608">
      <w:bodyDiv w:val="1"/>
      <w:marLeft w:val="0"/>
      <w:marRight w:val="0"/>
      <w:marTop w:val="0"/>
      <w:marBottom w:val="0"/>
      <w:divBdr>
        <w:top w:val="none" w:sz="0" w:space="0" w:color="auto"/>
        <w:left w:val="none" w:sz="0" w:space="0" w:color="auto"/>
        <w:bottom w:val="none" w:sz="0" w:space="0" w:color="auto"/>
        <w:right w:val="none" w:sz="0" w:space="0" w:color="auto"/>
      </w:divBdr>
    </w:div>
    <w:div w:id="2144225136">
      <w:bodyDiv w:val="1"/>
      <w:marLeft w:val="0"/>
      <w:marRight w:val="0"/>
      <w:marTop w:val="0"/>
      <w:marBottom w:val="0"/>
      <w:divBdr>
        <w:top w:val="none" w:sz="0" w:space="0" w:color="auto"/>
        <w:left w:val="none" w:sz="0" w:space="0" w:color="auto"/>
        <w:bottom w:val="none" w:sz="0" w:space="0" w:color="auto"/>
        <w:right w:val="none" w:sz="0" w:space="0" w:color="auto"/>
      </w:divBdr>
    </w:div>
    <w:div w:id="2145539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obmou@utu.fi"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tif"/><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ti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1.ti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dx.doi.org/10.1016/j.euprot.2013.08.001" TargetMode="Externa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EE927E-0E1C-4710-AE1E-C0A1275E05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78</Pages>
  <Words>19194</Words>
  <Characters>155479</Characters>
  <Application>Microsoft Office Word</Application>
  <DocSecurity>4</DocSecurity>
  <Lines>1295</Lines>
  <Paragraphs>348</Paragraphs>
  <ScaleCrop>false</ScaleCrop>
  <HeadingPairs>
    <vt:vector size="2" baseType="variant">
      <vt:variant>
        <vt:lpstr>Title</vt:lpstr>
      </vt:variant>
      <vt:variant>
        <vt:i4>1</vt:i4>
      </vt:variant>
    </vt:vector>
  </HeadingPairs>
  <TitlesOfParts>
    <vt:vector size="1" baseType="lpstr">
      <vt:lpstr>-</vt:lpstr>
    </vt:vector>
  </TitlesOfParts>
  <Company/>
  <LinksUpToDate>false</LinksUpToDate>
  <CharactersWithSpaces>174325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
  <dc:creator>rmoulder</dc:creator>
  <cp:keywords/>
  <cp:lastModifiedBy>Jari Herranen</cp:lastModifiedBy>
  <cp:revision>2</cp:revision>
  <cp:lastPrinted>2017-01-19T14:17:00Z</cp:lastPrinted>
  <dcterms:created xsi:type="dcterms:W3CDTF">2017-11-30T09:36:00Z</dcterms:created>
  <dcterms:modified xsi:type="dcterms:W3CDTF">2017-11-30T09:36:00Z</dcterms:modified>
</cp:coreProperties>
</file>