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BE2576" w14:textId="1891D8B5"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sz w:val="20"/>
          <w:szCs w:val="20"/>
          <w:lang w:val="en-US"/>
        </w:rPr>
      </w:pPr>
      <w:bookmarkStart w:id="0" w:name="_GoBack"/>
      <w:bookmarkEnd w:id="0"/>
      <w:r w:rsidRPr="006251D2">
        <w:rPr>
          <w:rFonts w:ascii="Times New Roman" w:hAnsi="Times New Roman" w:cs="Times New Roman"/>
          <w:b/>
          <w:sz w:val="20"/>
          <w:szCs w:val="20"/>
          <w:lang w:val="en-US"/>
        </w:rPr>
        <w:t xml:space="preserve">Efficacy of stabilization splint treatment on the oral-health related quality of life </w:t>
      </w:r>
      <w:r w:rsidRPr="006251D2">
        <w:rPr>
          <w:rFonts w:ascii="Times New Roman" w:hAnsi="Times New Roman" w:cs="Times New Roman"/>
          <w:b/>
          <w:sz w:val="20"/>
          <w:szCs w:val="20"/>
          <w:highlight w:val="yellow"/>
          <w:lang w:val="en-US"/>
        </w:rPr>
        <w:t xml:space="preserve">– </w:t>
      </w:r>
      <w:r w:rsidR="007D6375" w:rsidRPr="006251D2">
        <w:rPr>
          <w:rFonts w:ascii="Times New Roman" w:hAnsi="Times New Roman" w:cs="Times New Roman"/>
          <w:b/>
          <w:sz w:val="20"/>
          <w:szCs w:val="20"/>
          <w:highlight w:val="yellow"/>
          <w:lang w:val="en-US"/>
        </w:rPr>
        <w:t xml:space="preserve">a randomized controlled </w:t>
      </w:r>
      <w:r w:rsidRPr="006251D2">
        <w:rPr>
          <w:rFonts w:ascii="Times New Roman" w:hAnsi="Times New Roman" w:cs="Times New Roman"/>
          <w:b/>
          <w:sz w:val="20"/>
          <w:szCs w:val="20"/>
          <w:highlight w:val="yellow"/>
          <w:lang w:val="en-US"/>
        </w:rPr>
        <w:t>one</w:t>
      </w:r>
      <w:r w:rsidR="00C87E71" w:rsidRPr="006251D2">
        <w:rPr>
          <w:rFonts w:ascii="Times New Roman" w:hAnsi="Times New Roman" w:cs="Times New Roman"/>
          <w:b/>
          <w:sz w:val="20"/>
          <w:szCs w:val="20"/>
          <w:highlight w:val="yellow"/>
          <w:lang w:val="en-US"/>
        </w:rPr>
        <w:t>-</w:t>
      </w:r>
      <w:r w:rsidRPr="006251D2">
        <w:rPr>
          <w:rFonts w:ascii="Times New Roman" w:hAnsi="Times New Roman" w:cs="Times New Roman"/>
          <w:b/>
          <w:sz w:val="20"/>
          <w:szCs w:val="20"/>
          <w:highlight w:val="yellow"/>
          <w:lang w:val="en-US"/>
        </w:rPr>
        <w:t>year follow-up</w:t>
      </w:r>
      <w:r w:rsidR="00114433" w:rsidRPr="006251D2">
        <w:rPr>
          <w:rFonts w:ascii="Times New Roman" w:hAnsi="Times New Roman" w:cs="Times New Roman"/>
          <w:b/>
          <w:sz w:val="20"/>
          <w:szCs w:val="20"/>
          <w:highlight w:val="yellow"/>
          <w:lang w:val="en-US"/>
        </w:rPr>
        <w:t xml:space="preserve"> trial</w:t>
      </w:r>
      <w:r w:rsidR="007D6375" w:rsidRPr="006251D2">
        <w:rPr>
          <w:rFonts w:ascii="Times New Roman" w:hAnsi="Times New Roman" w:cs="Times New Roman"/>
          <w:b/>
          <w:sz w:val="20"/>
          <w:szCs w:val="20"/>
          <w:lang w:val="en-US"/>
        </w:rPr>
        <w:t xml:space="preserve"> </w:t>
      </w:r>
    </w:p>
    <w:p w14:paraId="3CB02D68" w14:textId="77777777"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color w:val="FF0000"/>
          <w:sz w:val="20"/>
          <w:szCs w:val="20"/>
          <w:u w:val="single"/>
          <w:lang w:val="en-US"/>
        </w:rPr>
      </w:pPr>
    </w:p>
    <w:p w14:paraId="4DCACD44" w14:textId="256D168F" w:rsidR="00D7094D" w:rsidRPr="006251D2" w:rsidRDefault="00D7094D" w:rsidP="007E1E18">
      <w:pPr>
        <w:widowControl w:val="0"/>
        <w:autoSpaceDE w:val="0"/>
        <w:autoSpaceDN w:val="0"/>
        <w:adjustRightInd w:val="0"/>
        <w:spacing w:after="240" w:line="480" w:lineRule="auto"/>
        <w:jc w:val="both"/>
        <w:rPr>
          <w:rFonts w:ascii="Times New Roman" w:hAnsi="Times New Roman" w:cs="Times New Roman"/>
          <w:sz w:val="20"/>
          <w:szCs w:val="20"/>
        </w:rPr>
      </w:pPr>
      <w:r w:rsidRPr="006251D2">
        <w:rPr>
          <w:rFonts w:ascii="Times New Roman" w:hAnsi="Times New Roman" w:cs="Times New Roman"/>
          <w:sz w:val="20"/>
          <w:szCs w:val="20"/>
        </w:rPr>
        <w:t>O. KOKKOLA*, A. L. SUOMINEN*</w:t>
      </w:r>
      <w:r w:rsidRPr="006251D2">
        <w:rPr>
          <w:rFonts w:ascii="Times New Roman" w:hAnsi="Times New Roman" w:cs="Times New Roman"/>
          <w:position w:val="13"/>
          <w:sz w:val="20"/>
          <w:szCs w:val="20"/>
        </w:rPr>
        <w:t>†</w:t>
      </w:r>
      <w:r w:rsidRPr="006251D2">
        <w:rPr>
          <w:rFonts w:ascii="Times New Roman" w:hAnsi="Times New Roman" w:cs="Times New Roman"/>
          <w:sz w:val="20"/>
          <w:szCs w:val="20"/>
        </w:rPr>
        <w:t>, V. QVINTUS*, R. MYLLYKANGAS*, S. LAHTI</w:t>
      </w:r>
      <w:r w:rsidRPr="006251D2">
        <w:rPr>
          <w:rFonts w:ascii="Times New Roman" w:hAnsi="Times New Roman" w:cs="Times New Roman"/>
          <w:position w:val="10"/>
          <w:sz w:val="20"/>
          <w:szCs w:val="20"/>
        </w:rPr>
        <w:t>¶</w:t>
      </w:r>
      <w:r w:rsidRPr="006251D2">
        <w:rPr>
          <w:rFonts w:ascii="Times New Roman" w:hAnsi="Times New Roman" w:cs="Times New Roman"/>
          <w:sz w:val="20"/>
          <w:szCs w:val="20"/>
        </w:rPr>
        <w:t>, M. TOLVANEN</w:t>
      </w:r>
      <w:r w:rsidRPr="006251D2">
        <w:rPr>
          <w:rFonts w:ascii="Times New Roman" w:hAnsi="Times New Roman" w:cs="Times New Roman"/>
          <w:position w:val="10"/>
          <w:sz w:val="20"/>
          <w:szCs w:val="20"/>
        </w:rPr>
        <w:t>¶</w:t>
      </w:r>
      <w:r w:rsidRPr="006251D2">
        <w:rPr>
          <w:rFonts w:ascii="Times New Roman" w:hAnsi="Times New Roman" w:cs="Times New Roman"/>
          <w:sz w:val="20"/>
          <w:szCs w:val="20"/>
        </w:rPr>
        <w:t xml:space="preserve"> &amp; K. SIPILÄ*</w:t>
      </w:r>
      <w:r w:rsidRPr="006251D2">
        <w:rPr>
          <w:rFonts w:ascii="Times New Roman" w:hAnsi="Times New Roman" w:cs="Times New Roman"/>
          <w:position w:val="13"/>
          <w:sz w:val="20"/>
          <w:szCs w:val="20"/>
        </w:rPr>
        <w:t>†‡§</w:t>
      </w:r>
    </w:p>
    <w:p w14:paraId="7831856A" w14:textId="77777777" w:rsidR="00D7094D" w:rsidRPr="006251D2" w:rsidRDefault="00D7094D" w:rsidP="007E1E18">
      <w:pPr>
        <w:widowControl w:val="0"/>
        <w:autoSpaceDE w:val="0"/>
        <w:autoSpaceDN w:val="0"/>
        <w:adjustRightInd w:val="0"/>
        <w:spacing w:after="240"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*Institute of Dentistry, University of Eastern Finland, Finland</w:t>
      </w:r>
    </w:p>
    <w:p w14:paraId="1ED819F0" w14:textId="77777777"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480" w:lineRule="auto"/>
        <w:jc w:val="both"/>
        <w:rPr>
          <w:rFonts w:ascii="Times New Roman" w:hAnsi="Times New Roman" w:cs="Times New Roman"/>
          <w:sz w:val="20"/>
          <w:szCs w:val="20"/>
          <w:lang w:val="en-US"/>
        </w:rPr>
      </w:pPr>
      <w:r w:rsidRPr="006251D2">
        <w:rPr>
          <w:rFonts w:ascii="Times New Roman" w:hAnsi="Times New Roman" w:cs="Times New Roman"/>
          <w:position w:val="13"/>
          <w:sz w:val="20"/>
          <w:szCs w:val="20"/>
          <w:lang w:val="en-US"/>
        </w:rPr>
        <w:t>†</w:t>
      </w:r>
      <w:r w:rsidRPr="006251D2">
        <w:rPr>
          <w:rFonts w:ascii="Times New Roman" w:hAnsi="Times New Roman" w:cs="Times New Roman"/>
          <w:sz w:val="20"/>
          <w:szCs w:val="20"/>
          <w:lang w:val="en-US"/>
        </w:rPr>
        <w:t>Oral and Maxillofacial Department, Kuopio University Hospital, Finland</w:t>
      </w:r>
    </w:p>
    <w:p w14:paraId="43445CA7" w14:textId="04F71AAD" w:rsidR="00A343F9" w:rsidRPr="006251D2" w:rsidRDefault="00D7094D" w:rsidP="00A343F9">
      <w:pPr>
        <w:spacing w:line="360" w:lineRule="auto"/>
        <w:rPr>
          <w:rFonts w:ascii="Times New Roman" w:hAnsi="Times New Roman" w:cs="Times New Roman"/>
          <w:sz w:val="20"/>
          <w:szCs w:val="20"/>
          <w:lang w:val="en-US"/>
        </w:rPr>
      </w:pPr>
      <w:r w:rsidRPr="006251D2">
        <w:rPr>
          <w:rFonts w:ascii="Times New Roman" w:hAnsi="Times New Roman" w:cs="Times New Roman"/>
          <w:position w:val="13"/>
          <w:sz w:val="20"/>
          <w:szCs w:val="20"/>
          <w:lang w:val="en-US"/>
        </w:rPr>
        <w:t>‡</w:t>
      </w:r>
      <w:r w:rsidR="00A343F9" w:rsidRPr="006251D2">
        <w:rPr>
          <w:rFonts w:ascii="Times New Roman" w:hAnsi="Times New Roman" w:cs="Times New Roman"/>
          <w:sz w:val="20"/>
          <w:szCs w:val="20"/>
          <w:lang w:val="en-US"/>
        </w:rPr>
        <w:t xml:space="preserve"> Research Unit of Oral Health Sciences, University of Oulu, Finland </w:t>
      </w:r>
    </w:p>
    <w:p w14:paraId="30A354C0" w14:textId="1FB4A026" w:rsidR="00A343F9" w:rsidRPr="006251D2" w:rsidRDefault="00A343F9" w:rsidP="00A343F9">
      <w:pPr>
        <w:spacing w:line="36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 </w:t>
      </w:r>
    </w:p>
    <w:p w14:paraId="1FF11A42" w14:textId="4C830F39"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480" w:lineRule="auto"/>
        <w:jc w:val="both"/>
        <w:rPr>
          <w:rFonts w:ascii="Times New Roman" w:hAnsi="Times New Roman" w:cs="Times New Roman"/>
          <w:sz w:val="20"/>
          <w:szCs w:val="20"/>
          <w:lang w:val="en-US"/>
        </w:rPr>
      </w:pPr>
      <w:r w:rsidRPr="006251D2">
        <w:rPr>
          <w:rFonts w:ascii="Times New Roman" w:hAnsi="Times New Roman" w:cs="Times New Roman"/>
          <w:position w:val="13"/>
          <w:sz w:val="20"/>
          <w:szCs w:val="20"/>
          <w:lang w:val="en-US"/>
        </w:rPr>
        <w:t>§</w:t>
      </w:r>
      <w:r w:rsidRPr="006251D2">
        <w:rPr>
          <w:rFonts w:ascii="Times New Roman" w:hAnsi="Times New Roman" w:cs="Times New Roman"/>
          <w:sz w:val="20"/>
          <w:szCs w:val="20"/>
          <w:lang w:val="en-US"/>
        </w:rPr>
        <w:t>Oral and Maxillofacial Department, Medical Research Center Oulu, Oulu University Hospital, Finland </w:t>
      </w:r>
    </w:p>
    <w:p w14:paraId="7F89124A" w14:textId="77777777" w:rsidR="00D7094D" w:rsidRPr="006251D2" w:rsidRDefault="00D7094D" w:rsidP="007E1E18">
      <w:pPr>
        <w:widowControl w:val="0"/>
        <w:autoSpaceDE w:val="0"/>
        <w:autoSpaceDN w:val="0"/>
        <w:adjustRightInd w:val="0"/>
        <w:spacing w:after="240" w:line="480" w:lineRule="auto"/>
        <w:jc w:val="both"/>
        <w:rPr>
          <w:rFonts w:ascii="Times New Roman" w:hAnsi="Times New Roman" w:cs="Times New Roman"/>
          <w:sz w:val="20"/>
          <w:szCs w:val="20"/>
          <w:lang w:val="en-US"/>
        </w:rPr>
      </w:pPr>
      <w:r w:rsidRPr="006251D2">
        <w:rPr>
          <w:rFonts w:ascii="Times New Roman" w:hAnsi="Times New Roman" w:cs="Times New Roman"/>
          <w:position w:val="10"/>
          <w:sz w:val="20"/>
          <w:szCs w:val="20"/>
          <w:lang w:val="en-US"/>
        </w:rPr>
        <w:t>¶</w:t>
      </w:r>
      <w:r w:rsidRPr="006251D2">
        <w:rPr>
          <w:rFonts w:ascii="Times New Roman" w:hAnsi="Times New Roman" w:cs="Times New Roman"/>
          <w:sz w:val="20"/>
          <w:szCs w:val="20"/>
          <w:lang w:val="en-US"/>
        </w:rPr>
        <w:t>Department of Community Dentistry, Institute of Dentistry, University of Turku, Turku, Finland.</w:t>
      </w:r>
    </w:p>
    <w:p w14:paraId="488FA98D" w14:textId="7FECDCD5"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 xml:space="preserve">Correspondence: Prof. K. Sipilä, </w:t>
      </w:r>
      <w:r w:rsidR="00D65E13">
        <w:rPr>
          <w:rFonts w:ascii="Times New Roman" w:hAnsi="Times New Roman" w:cs="Times New Roman"/>
          <w:sz w:val="20"/>
          <w:szCs w:val="20"/>
          <w:lang w:val="en-US"/>
        </w:rPr>
        <w:t>Research Unit of Oral Health Sciences</w:t>
      </w:r>
      <w:r w:rsidRPr="006251D2">
        <w:rPr>
          <w:rFonts w:ascii="Times New Roman" w:hAnsi="Times New Roman" w:cs="Times New Roman"/>
          <w:sz w:val="20"/>
          <w:szCs w:val="20"/>
          <w:lang w:val="en-US"/>
        </w:rPr>
        <w:t xml:space="preserve">, University of </w:t>
      </w:r>
      <w:r w:rsidR="00D65E13">
        <w:rPr>
          <w:rFonts w:ascii="Times New Roman" w:hAnsi="Times New Roman" w:cs="Times New Roman"/>
          <w:sz w:val="20"/>
          <w:szCs w:val="20"/>
          <w:lang w:val="en-US"/>
        </w:rPr>
        <w:t xml:space="preserve">Oulu, </w:t>
      </w:r>
      <w:r w:rsidRPr="006251D2">
        <w:rPr>
          <w:rFonts w:ascii="Times New Roman" w:hAnsi="Times New Roman" w:cs="Times New Roman"/>
          <w:sz w:val="20"/>
          <w:szCs w:val="20"/>
          <w:lang w:val="en-US"/>
        </w:rPr>
        <w:t xml:space="preserve">Box </w:t>
      </w:r>
      <w:r w:rsidR="00D65E13">
        <w:rPr>
          <w:rFonts w:ascii="Times New Roman" w:hAnsi="Times New Roman" w:cs="Times New Roman"/>
          <w:sz w:val="20"/>
          <w:szCs w:val="20"/>
          <w:lang w:val="en-US"/>
        </w:rPr>
        <w:t>5281</w:t>
      </w:r>
      <w:r w:rsidRPr="006251D2">
        <w:rPr>
          <w:rFonts w:ascii="Times New Roman" w:hAnsi="Times New Roman" w:cs="Times New Roman"/>
          <w:sz w:val="20"/>
          <w:szCs w:val="20"/>
          <w:lang w:val="en-US"/>
        </w:rPr>
        <w:t>, FIN-</w:t>
      </w:r>
      <w:r w:rsidR="00D65E13">
        <w:rPr>
          <w:rFonts w:ascii="Times New Roman" w:hAnsi="Times New Roman" w:cs="Times New Roman"/>
          <w:sz w:val="20"/>
          <w:szCs w:val="20"/>
          <w:lang w:val="en-US"/>
        </w:rPr>
        <w:t>90014 University of Oulu</w:t>
      </w:r>
      <w:r w:rsidRPr="006251D2">
        <w:rPr>
          <w:rFonts w:ascii="Times New Roman" w:hAnsi="Times New Roman" w:cs="Times New Roman"/>
          <w:sz w:val="20"/>
          <w:szCs w:val="20"/>
          <w:lang w:val="en-US"/>
        </w:rPr>
        <w:t>, Finland</w:t>
      </w:r>
    </w:p>
    <w:p w14:paraId="4A686C0D" w14:textId="0CE8AA9C"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tel. (358)50-</w:t>
      </w:r>
      <w:r w:rsidR="00D65E13">
        <w:rPr>
          <w:rFonts w:ascii="Times New Roman" w:hAnsi="Times New Roman" w:cs="Times New Roman"/>
          <w:sz w:val="20"/>
          <w:szCs w:val="20"/>
          <w:lang w:val="en-US"/>
        </w:rPr>
        <w:t>3596888</w:t>
      </w:r>
      <w:r w:rsidRPr="006251D2">
        <w:rPr>
          <w:rFonts w:ascii="Times New Roman" w:hAnsi="Times New Roman" w:cs="Times New Roman"/>
          <w:sz w:val="20"/>
          <w:szCs w:val="20"/>
          <w:lang w:val="en-US"/>
        </w:rPr>
        <w:t>, e-mail: kirsi.sipila@</w:t>
      </w:r>
      <w:r w:rsidR="00D65E13">
        <w:rPr>
          <w:rFonts w:ascii="Times New Roman" w:hAnsi="Times New Roman" w:cs="Times New Roman"/>
          <w:sz w:val="20"/>
          <w:szCs w:val="20"/>
          <w:lang w:val="en-US"/>
        </w:rPr>
        <w:t>oulu.fi</w:t>
      </w:r>
    </w:p>
    <w:p w14:paraId="230602CB" w14:textId="77777777" w:rsidR="00D7094D" w:rsidRPr="006251D2" w:rsidRDefault="00D7094D"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Running title: Splint treatment in temporomandibular disorders</w:t>
      </w:r>
    </w:p>
    <w:p w14:paraId="32594B81"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9CED505" w14:textId="77777777" w:rsidR="005B7056" w:rsidRPr="006251D2" w:rsidRDefault="005B7056" w:rsidP="007E1E18">
      <w:pPr>
        <w:spacing w:line="480" w:lineRule="auto"/>
        <w:jc w:val="both"/>
        <w:rPr>
          <w:rFonts w:ascii="Times New Roman" w:hAnsi="Times New Roman" w:cs="Times New Roman"/>
          <w:b/>
          <w:color w:val="000000"/>
          <w:sz w:val="20"/>
          <w:szCs w:val="20"/>
          <w:lang w:val="en-US"/>
        </w:rPr>
      </w:pPr>
      <w:r w:rsidRPr="006251D2">
        <w:rPr>
          <w:rFonts w:ascii="Times New Roman" w:hAnsi="Times New Roman" w:cs="Times New Roman"/>
          <w:b/>
          <w:color w:val="000000"/>
          <w:sz w:val="20"/>
          <w:szCs w:val="20"/>
          <w:lang w:val="en-US"/>
        </w:rPr>
        <w:br w:type="page"/>
      </w:r>
    </w:p>
    <w:p w14:paraId="26B2672F" w14:textId="611ABCEE" w:rsidR="00E93B9A" w:rsidRPr="006251D2" w:rsidRDefault="005B7056" w:rsidP="007E1E18">
      <w:pPr>
        <w:spacing w:line="480" w:lineRule="auto"/>
        <w:jc w:val="both"/>
        <w:rPr>
          <w:rFonts w:ascii="Times New Roman" w:hAnsi="Times New Roman" w:cs="Times New Roman"/>
          <w:b/>
          <w:color w:val="000000"/>
          <w:sz w:val="20"/>
          <w:szCs w:val="20"/>
          <w:lang w:val="en-US"/>
        </w:rPr>
      </w:pPr>
      <w:r w:rsidRPr="006251D2">
        <w:rPr>
          <w:rFonts w:ascii="Times New Roman" w:hAnsi="Times New Roman" w:cs="Times New Roman"/>
          <w:b/>
          <w:color w:val="000000"/>
          <w:sz w:val="20"/>
          <w:szCs w:val="20"/>
          <w:lang w:val="en-US"/>
        </w:rPr>
        <w:lastRenderedPageBreak/>
        <w:t>Summary</w:t>
      </w:r>
    </w:p>
    <w:p w14:paraId="252D4F51" w14:textId="77777777" w:rsidR="00E93B9A" w:rsidRPr="006251D2" w:rsidRDefault="00E93B9A" w:rsidP="007E1E18">
      <w:pPr>
        <w:spacing w:line="480" w:lineRule="auto"/>
        <w:jc w:val="both"/>
        <w:rPr>
          <w:rFonts w:ascii="Times New Roman" w:hAnsi="Times New Roman" w:cs="Times New Roman"/>
          <w:b/>
          <w:color w:val="000000"/>
          <w:sz w:val="20"/>
          <w:szCs w:val="20"/>
          <w:lang w:val="en-US"/>
        </w:rPr>
      </w:pPr>
    </w:p>
    <w:p w14:paraId="1660E635" w14:textId="2DF5E16A" w:rsidR="00E93B9A" w:rsidRPr="006251D2" w:rsidRDefault="00E93B9A" w:rsidP="007E1E18">
      <w:pPr>
        <w:spacing w:line="480" w:lineRule="auto"/>
        <w:jc w:val="both"/>
        <w:rPr>
          <w:rFonts w:ascii="Times New Roman" w:hAnsi="Times New Roman" w:cs="Times New Roman"/>
          <w:color w:val="000000"/>
          <w:sz w:val="20"/>
          <w:szCs w:val="20"/>
          <w:lang w:val="en-US"/>
        </w:rPr>
      </w:pPr>
      <w:r w:rsidRPr="006251D2">
        <w:rPr>
          <w:rFonts w:ascii="Times New Roman" w:hAnsi="Times New Roman" w:cs="Times New Roman"/>
          <w:color w:val="000000"/>
          <w:sz w:val="20"/>
          <w:szCs w:val="20"/>
          <w:lang w:val="en-US"/>
        </w:rPr>
        <w:t xml:space="preserve">The aim of this randomized controlled trial was to assess the efficacy of stabilization splint treatment on the </w:t>
      </w:r>
      <w:r w:rsidRPr="006251D2">
        <w:rPr>
          <w:rFonts w:ascii="Times New Roman" w:hAnsi="Times New Roman" w:cs="Times New Roman"/>
          <w:sz w:val="20"/>
          <w:szCs w:val="20"/>
          <w:lang w:val="en-US"/>
        </w:rPr>
        <w:t xml:space="preserve">oral health-related quality of life (OHRQoL) </w:t>
      </w:r>
      <w:r w:rsidRPr="006251D2">
        <w:rPr>
          <w:rFonts w:ascii="Times New Roman" w:hAnsi="Times New Roman" w:cs="Times New Roman"/>
          <w:color w:val="000000"/>
          <w:sz w:val="20"/>
          <w:szCs w:val="20"/>
          <w:lang w:val="en-US"/>
        </w:rPr>
        <w:t>during a one-year follow-up.</w:t>
      </w:r>
      <w:r w:rsidR="00473431" w:rsidRPr="006251D2">
        <w:rPr>
          <w:rFonts w:ascii="Times New Roman" w:hAnsi="Times New Roman" w:cs="Times New Roman"/>
          <w:color w:val="000000"/>
          <w:sz w:val="20"/>
          <w:szCs w:val="20"/>
          <w:lang w:val="en-US"/>
        </w:rPr>
        <w:t xml:space="preserve"> </w:t>
      </w:r>
      <w:r w:rsidR="006C07E2" w:rsidRPr="006251D2">
        <w:rPr>
          <w:rFonts w:ascii="Times New Roman" w:hAnsi="Times New Roman" w:cs="Times New Roman"/>
          <w:color w:val="000000"/>
          <w:sz w:val="20"/>
          <w:szCs w:val="20"/>
          <w:lang w:val="en-US"/>
        </w:rPr>
        <w:t>Originally, t</w:t>
      </w:r>
      <w:r w:rsidRPr="006251D2">
        <w:rPr>
          <w:rFonts w:ascii="Times New Roman" w:hAnsi="Times New Roman" w:cs="Times New Roman"/>
          <w:sz w:val="20"/>
          <w:szCs w:val="20"/>
          <w:lang w:val="en-US"/>
        </w:rPr>
        <w:t>he sample consisted of 80 patients (18 men, 62 women) with temporomandibular disorders (TMD) who had been referred to the Oral and Maxillofacial Department, Oulu University Hospital, Finland, for treatment.</w:t>
      </w:r>
      <w:r w:rsidRPr="006251D2">
        <w:rPr>
          <w:rFonts w:ascii="Times New Roman" w:hAnsi="Times New Roman" w:cs="Times New Roman"/>
          <w:iCs/>
          <w:sz w:val="20"/>
          <w:szCs w:val="20"/>
          <w:lang w:val="en-US"/>
        </w:rPr>
        <w:t xml:space="preserve"> Patients were randomly designated into splint (</w:t>
      </w:r>
      <w:r w:rsidRPr="006251D2">
        <w:rPr>
          <w:rFonts w:ascii="Times New Roman" w:hAnsi="Times New Roman" w:cs="Times New Roman"/>
          <w:i/>
          <w:iCs/>
          <w:sz w:val="20"/>
          <w:szCs w:val="20"/>
          <w:lang w:val="en-US"/>
        </w:rPr>
        <w:t>n</w:t>
      </w:r>
      <w:r w:rsidRPr="006251D2">
        <w:rPr>
          <w:rFonts w:ascii="Times New Roman" w:hAnsi="Times New Roman" w:cs="Times New Roman"/>
          <w:iCs/>
          <w:sz w:val="20"/>
          <w:szCs w:val="20"/>
          <w:lang w:val="en-US"/>
        </w:rPr>
        <w:t xml:space="preserve"> = 39) and control group (</w:t>
      </w:r>
      <w:r w:rsidRPr="006251D2">
        <w:rPr>
          <w:rFonts w:ascii="Times New Roman" w:hAnsi="Times New Roman" w:cs="Times New Roman"/>
          <w:i/>
          <w:iCs/>
          <w:sz w:val="20"/>
          <w:szCs w:val="20"/>
          <w:lang w:val="en-US"/>
        </w:rPr>
        <w:t>n</w:t>
      </w:r>
      <w:r w:rsidRPr="006251D2">
        <w:rPr>
          <w:rFonts w:ascii="Times New Roman" w:hAnsi="Times New Roman" w:cs="Times New Roman"/>
          <w:iCs/>
          <w:sz w:val="20"/>
          <w:szCs w:val="20"/>
          <w:lang w:val="en-US"/>
        </w:rPr>
        <w:t xml:space="preserve"> = 41). Patients in the splint group were treated with a stabilization splint. Additionally, patients in both groups received counseling and instructions on masticatory muscle exercises. </w:t>
      </w:r>
      <w:r w:rsidR="00093A77" w:rsidRPr="006251D2">
        <w:rPr>
          <w:rFonts w:ascii="Times New Roman" w:hAnsi="Times New Roman" w:cs="Times New Roman"/>
          <w:sz w:val="20"/>
          <w:szCs w:val="20"/>
          <w:lang w:val="en-US"/>
        </w:rPr>
        <w:t>T</w:t>
      </w:r>
      <w:r w:rsidRPr="006251D2">
        <w:rPr>
          <w:rFonts w:ascii="Times New Roman" w:hAnsi="Times New Roman" w:cs="Times New Roman"/>
          <w:sz w:val="20"/>
          <w:szCs w:val="20"/>
          <w:lang w:val="en-US"/>
        </w:rPr>
        <w:t>he patients filled in the Oral</w:t>
      </w:r>
      <w:r w:rsidRPr="006251D2">
        <w:rPr>
          <w:rFonts w:ascii="Times New Roman" w:hAnsi="Times New Roman" w:cs="Times New Roman"/>
          <w:iCs/>
          <w:sz w:val="20"/>
          <w:szCs w:val="20"/>
          <w:lang w:val="en-US"/>
        </w:rPr>
        <w:t xml:space="preserve"> Health Impact Profile-14 (OHIP-14) questionnaire </w:t>
      </w:r>
      <w:r w:rsidRPr="006251D2">
        <w:rPr>
          <w:rFonts w:ascii="Times New Roman" w:hAnsi="Times New Roman" w:cs="Times New Roman"/>
          <w:sz w:val="20"/>
          <w:szCs w:val="20"/>
          <w:lang w:val="en-US"/>
        </w:rPr>
        <w:t xml:space="preserve">before treatment and at 3 months, 6 months and 1 year. </w:t>
      </w:r>
      <w:r w:rsidR="00093A77" w:rsidRPr="006251D2">
        <w:rPr>
          <w:rFonts w:ascii="Times New Roman" w:hAnsi="Times New Roman" w:cs="Times New Roman"/>
          <w:sz w:val="20"/>
          <w:szCs w:val="20"/>
          <w:lang w:val="en-US"/>
        </w:rPr>
        <w:t xml:space="preserve">At total, </w:t>
      </w:r>
      <w:r w:rsidR="006C07E2" w:rsidRPr="006251D2">
        <w:rPr>
          <w:rFonts w:ascii="Times New Roman" w:hAnsi="Times New Roman" w:cs="Times New Roman"/>
          <w:sz w:val="20"/>
          <w:szCs w:val="20"/>
          <w:lang w:val="en-US"/>
        </w:rPr>
        <w:t xml:space="preserve">67 patients </w:t>
      </w:r>
      <w:r w:rsidR="006C07E2" w:rsidRPr="006251D2">
        <w:rPr>
          <w:rFonts w:ascii="Times New Roman" w:hAnsi="Times New Roman" w:cs="Times New Roman"/>
          <w:sz w:val="20"/>
          <w:szCs w:val="20"/>
          <w:lang w:val="en-US"/>
        </w:rPr>
        <w:lastRenderedPageBreak/>
        <w:t>(</w:t>
      </w:r>
      <w:r w:rsidR="00093A77" w:rsidRPr="006251D2">
        <w:rPr>
          <w:rFonts w:ascii="Times New Roman" w:hAnsi="Times New Roman" w:cs="Times New Roman"/>
          <w:sz w:val="20"/>
          <w:szCs w:val="20"/>
          <w:lang w:val="en-US"/>
        </w:rPr>
        <w:t xml:space="preserve">35 in the splint group vs. 32 in the </w:t>
      </w:r>
      <w:r w:rsidR="006C07E2" w:rsidRPr="006251D2">
        <w:rPr>
          <w:rFonts w:ascii="Times New Roman" w:hAnsi="Times New Roman" w:cs="Times New Roman"/>
          <w:sz w:val="20"/>
          <w:szCs w:val="20"/>
          <w:lang w:val="en-US"/>
        </w:rPr>
        <w:t>control group</w:t>
      </w:r>
      <w:r w:rsidR="00093A77" w:rsidRPr="006251D2">
        <w:rPr>
          <w:rFonts w:ascii="Times New Roman" w:hAnsi="Times New Roman" w:cs="Times New Roman"/>
          <w:sz w:val="20"/>
          <w:szCs w:val="20"/>
          <w:lang w:val="en-US"/>
        </w:rPr>
        <w:t xml:space="preserve">) completed the questionnaire </w:t>
      </w:r>
      <w:r w:rsidR="006C07E2" w:rsidRPr="006251D2">
        <w:rPr>
          <w:rFonts w:ascii="Times New Roman" w:hAnsi="Times New Roman" w:cs="Times New Roman"/>
          <w:sz w:val="20"/>
          <w:szCs w:val="20"/>
          <w:lang w:val="en-US"/>
        </w:rPr>
        <w:t>at baseline</w:t>
      </w:r>
      <w:r w:rsidR="00093A77" w:rsidRPr="006251D2">
        <w:rPr>
          <w:rFonts w:ascii="Times New Roman" w:hAnsi="Times New Roman" w:cs="Times New Roman"/>
          <w:sz w:val="20"/>
          <w:szCs w:val="20"/>
          <w:lang w:val="en-US"/>
        </w:rPr>
        <w:t>.</w:t>
      </w:r>
      <w:r w:rsidR="006C07E2"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The outcome variables were OHIP prevalence, OHIP severity and OHIP extent. Linear mixed-effect regression model was used to analyze factors associated with change in OHIP severity during the one-year follow-up, taking into account treatment time, age, gender, and group status.</w:t>
      </w:r>
      <w:r w:rsidR="00473431" w:rsidRPr="006251D2">
        <w:rPr>
          <w:rFonts w:ascii="Times New Roman" w:hAnsi="Times New Roman" w:cs="Times New Roman"/>
          <w:color w:val="000000"/>
          <w:sz w:val="20"/>
          <w:szCs w:val="20"/>
          <w:lang w:val="en-US"/>
        </w:rPr>
        <w:t xml:space="preserve"> </w:t>
      </w:r>
      <w:r w:rsidRPr="006251D2">
        <w:rPr>
          <w:rFonts w:ascii="Times New Roman" w:hAnsi="Times New Roman" w:cs="Times New Roman"/>
          <w:iCs/>
          <w:sz w:val="20"/>
          <w:szCs w:val="20"/>
          <w:lang w:val="en-US"/>
        </w:rPr>
        <w:t>OHIP prevalence, severity and extent decreased in both groups during the follow-up. According to linear mixed-effect regression, decrease in OHIP severity did not associate significantly with group status.</w:t>
      </w:r>
      <w:r w:rsidRPr="006251D2">
        <w:rPr>
          <w:rFonts w:ascii="Times New Roman" w:hAnsi="Times New Roman" w:cs="Times New Roman"/>
          <w:color w:val="000000"/>
          <w:sz w:val="20"/>
          <w:szCs w:val="20"/>
          <w:lang w:val="en-US"/>
        </w:rPr>
        <w:t xml:space="preserve"> </w:t>
      </w:r>
      <w:r w:rsidRPr="006251D2">
        <w:rPr>
          <w:rFonts w:ascii="Times New Roman" w:hAnsi="Times New Roman" w:cs="Times New Roman"/>
          <w:sz w:val="20"/>
          <w:szCs w:val="20"/>
          <w:lang w:val="en-US"/>
        </w:rPr>
        <w:t>Compared to masticatory muscle exercises and counseling alone, stabilization splint treatment was not more beneficial on self-perceived OHRQoL among TMD patients over a one-year follow up.</w:t>
      </w:r>
    </w:p>
    <w:p w14:paraId="13147A9B" w14:textId="77777777" w:rsidR="00473431" w:rsidRPr="006251D2" w:rsidRDefault="00473431" w:rsidP="007E1E18">
      <w:pPr>
        <w:spacing w:line="480" w:lineRule="auto"/>
        <w:jc w:val="both"/>
        <w:rPr>
          <w:rFonts w:ascii="Times New Roman" w:hAnsi="Times New Roman" w:cs="Times New Roman"/>
          <w:sz w:val="20"/>
          <w:szCs w:val="20"/>
          <w:lang w:val="en-US"/>
        </w:rPr>
      </w:pPr>
    </w:p>
    <w:p w14:paraId="14C64078" w14:textId="77777777" w:rsidR="00473431" w:rsidRPr="006251D2" w:rsidRDefault="00473431"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Keywords: temporomandibular disorders, TMD, oral health-related quality of life, treatment, stabilization splint, RCT </w:t>
      </w:r>
    </w:p>
    <w:p w14:paraId="46426DE4" w14:textId="77777777" w:rsidR="00473431" w:rsidRPr="006251D2" w:rsidRDefault="00473431" w:rsidP="007E1E18">
      <w:pPr>
        <w:spacing w:line="480" w:lineRule="auto"/>
        <w:jc w:val="both"/>
        <w:rPr>
          <w:rFonts w:ascii="Times New Roman" w:hAnsi="Times New Roman" w:cs="Times New Roman"/>
          <w:sz w:val="20"/>
          <w:szCs w:val="20"/>
          <w:lang w:val="en-US"/>
        </w:rPr>
        <w:sectPr w:rsidR="00473431" w:rsidRPr="006251D2" w:rsidSect="007E1E18">
          <w:headerReference w:type="even" r:id="rId8"/>
          <w:pgSz w:w="11900" w:h="16840"/>
          <w:pgMar w:top="1418" w:right="1418" w:bottom="1418" w:left="1418" w:header="709" w:footer="709" w:gutter="0"/>
          <w:cols w:space="708"/>
          <w:docGrid w:linePitch="360"/>
        </w:sectPr>
      </w:pPr>
    </w:p>
    <w:p w14:paraId="1146E3E9" w14:textId="77777777" w:rsidR="0067154F" w:rsidRPr="006251D2" w:rsidRDefault="0067154F"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lastRenderedPageBreak/>
        <w:br w:type="page"/>
      </w:r>
    </w:p>
    <w:p w14:paraId="1E6C47A3" w14:textId="4FF8A7B6" w:rsidR="00E93B9A" w:rsidRPr="006251D2" w:rsidRDefault="005B7056"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lastRenderedPageBreak/>
        <w:t>Introduction</w:t>
      </w:r>
    </w:p>
    <w:p w14:paraId="3B04FD86"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b/>
          <w:bCs/>
          <w:sz w:val="20"/>
          <w:szCs w:val="20"/>
          <w:lang w:val="en-US"/>
        </w:rPr>
      </w:pPr>
    </w:p>
    <w:p w14:paraId="497ED831" w14:textId="0CCBC142"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Temporomandibular disorders (TMD) can be described as different forms of dysfunction</w:t>
      </w:r>
      <w:r w:rsidRPr="006251D2">
        <w:rPr>
          <w:rFonts w:ascii="Times New Roman" w:hAnsi="Times New Roman" w:cs="Times New Roman"/>
          <w:b/>
          <w:bCs/>
          <w:sz w:val="20"/>
          <w:szCs w:val="20"/>
          <w:lang w:val="en-US"/>
        </w:rPr>
        <w:t xml:space="preserve"> </w:t>
      </w:r>
      <w:r w:rsidRPr="006251D2">
        <w:rPr>
          <w:rFonts w:ascii="Times New Roman" w:hAnsi="Times New Roman" w:cs="Times New Roman"/>
          <w:sz w:val="20"/>
          <w:szCs w:val="20"/>
          <w:lang w:val="en-US"/>
        </w:rPr>
        <w:t>and pain in the masticatory system, i.e., structures related to masticatory muscles, temporomandibular joints (TMJs) or both. Reduced jaw mobility, muscle or TMJ pain and TMJ sounds (clicking, crepitation) are the most common signs and symptoms of TMD.</w:t>
      </w:r>
      <w:r w:rsidRPr="006251D2">
        <w:rPr>
          <w:rFonts w:ascii="Times New Roman" w:hAnsi="Times New Roman" w:cs="Times New Roman"/>
          <w:b/>
          <w:bCs/>
          <w:sz w:val="20"/>
          <w:szCs w:val="20"/>
          <w:lang w:val="en-US"/>
        </w:rPr>
        <w:t xml:space="preserve"> </w:t>
      </w:r>
      <w:r w:rsidRPr="006251D2">
        <w:rPr>
          <w:rFonts w:ascii="Times New Roman" w:hAnsi="Times New Roman" w:cs="Times New Roman"/>
          <w:sz w:val="20"/>
          <w:szCs w:val="20"/>
          <w:highlight w:val="yellow"/>
          <w:lang w:val="en-US"/>
        </w:rPr>
        <w:t>Even though the etiology of TMD is not fully understood, it is known to be multifactorial.  (1)</w:t>
      </w:r>
    </w:p>
    <w:p w14:paraId="2238B9D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753DAE50" w14:textId="39FCBAFD"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TMD are very common among the population (2–4). The prevalence rate of symptoms varies from 25 to 50% while the prevalence of clinical signs varies from 40 to 90% (3). The risk for TMD signs and symptoms is higher among women than men. There is also a difference in the prevalence of TMD between age groups: young and middle-age adults suffer more often from pain </w:t>
      </w:r>
      <w:r w:rsidRPr="006251D2">
        <w:rPr>
          <w:rFonts w:ascii="Times New Roman" w:hAnsi="Times New Roman" w:cs="Times New Roman"/>
          <w:sz w:val="20"/>
          <w:szCs w:val="20"/>
          <w:lang w:val="en-US"/>
        </w:rPr>
        <w:lastRenderedPageBreak/>
        <w:t>and other symptoms of TMD as compared to children, adolescents and the elderly (3–4)</w:t>
      </w:r>
      <w:r w:rsidR="00722069" w:rsidRPr="006251D2">
        <w:rPr>
          <w:rFonts w:ascii="Times New Roman" w:hAnsi="Times New Roman" w:cs="Times New Roman"/>
          <w:sz w:val="20"/>
          <w:szCs w:val="20"/>
          <w:lang w:val="en-US"/>
        </w:rPr>
        <w:t>.</w:t>
      </w:r>
    </w:p>
    <w:p w14:paraId="5A552B05"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106057AE" w14:textId="0D232CF6"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Stabilization splint (SS) is an oral appliance which is one of the most commonly used noninvasive treatment methods for TMD (1). Some short-term randomized controlled trials (RCTs) have found evidence of the pain-relieving effect of SS versus other treatment methods or no treatment on TMD pain, both of arthrogeneous and myogenous origin (</w:t>
      </w:r>
      <w:r w:rsidR="004D01DA" w:rsidRPr="006251D2">
        <w:rPr>
          <w:rFonts w:ascii="Times New Roman" w:hAnsi="Times New Roman" w:cs="Times New Roman"/>
          <w:sz w:val="20"/>
          <w:szCs w:val="20"/>
          <w:lang w:val="en-US"/>
        </w:rPr>
        <w:t>5–7</w:t>
      </w:r>
      <w:r w:rsidRPr="006251D2">
        <w:rPr>
          <w:rFonts w:ascii="Times New Roman" w:hAnsi="Times New Roman" w:cs="Times New Roman"/>
          <w:sz w:val="20"/>
          <w:szCs w:val="20"/>
          <w:lang w:val="en-US"/>
        </w:rPr>
        <w:t>). On the other hand, some studies have shown that there is only a small or no additional benefit on TMD pain relief with SS treatment versus placebo, control splints (</w:t>
      </w:r>
      <w:r w:rsidRPr="006251D2">
        <w:rPr>
          <w:rFonts w:ascii="Times New Roman" w:hAnsi="Times New Roman" w:cs="Times New Roman"/>
          <w:iCs/>
          <w:sz w:val="20"/>
          <w:szCs w:val="20"/>
          <w:lang w:val="en-US"/>
        </w:rPr>
        <w:t xml:space="preserve">e.g. </w:t>
      </w:r>
      <w:r w:rsidRPr="006251D2">
        <w:rPr>
          <w:rFonts w:ascii="Times New Roman" w:hAnsi="Times New Roman" w:cs="Times New Roman"/>
          <w:sz w:val="20"/>
          <w:szCs w:val="20"/>
          <w:lang w:val="en-US"/>
        </w:rPr>
        <w:t>non-occluding splint) or other treatment methods (</w:t>
      </w:r>
      <w:r w:rsidRPr="006251D2">
        <w:rPr>
          <w:rFonts w:ascii="Times New Roman" w:hAnsi="Times New Roman" w:cs="Times New Roman"/>
          <w:iCs/>
          <w:sz w:val="20"/>
          <w:szCs w:val="20"/>
          <w:lang w:val="en-US"/>
        </w:rPr>
        <w:t xml:space="preserve">e.g. </w:t>
      </w:r>
      <w:r w:rsidRPr="006251D2">
        <w:rPr>
          <w:rFonts w:ascii="Times New Roman" w:hAnsi="Times New Roman" w:cs="Times New Roman"/>
          <w:sz w:val="20"/>
          <w:szCs w:val="20"/>
          <w:lang w:val="en-US"/>
        </w:rPr>
        <w:t>acupuncture, counseling, masticatory muscle exercises) (</w:t>
      </w:r>
      <w:r w:rsidR="004D01DA" w:rsidRPr="006251D2">
        <w:rPr>
          <w:rFonts w:ascii="Times New Roman" w:hAnsi="Times New Roman" w:cs="Times New Roman"/>
          <w:sz w:val="20"/>
          <w:szCs w:val="20"/>
          <w:lang w:val="en-US"/>
        </w:rPr>
        <w:t>8–10</w:t>
      </w:r>
      <w:r w:rsidRPr="006251D2">
        <w:rPr>
          <w:rFonts w:ascii="Times New Roman" w:hAnsi="Times New Roman" w:cs="Times New Roman"/>
          <w:sz w:val="20"/>
          <w:szCs w:val="20"/>
          <w:lang w:val="en-US"/>
        </w:rPr>
        <w:t xml:space="preserve">). </w:t>
      </w:r>
    </w:p>
    <w:p w14:paraId="5B10612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1E6C4F84" w14:textId="583CB9FD" w:rsidR="00E93B9A" w:rsidRPr="006251D2" w:rsidRDefault="00E93B9A" w:rsidP="007E1E18">
      <w:pPr>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The most severe outcome of chronic pain, as TMD-related pain conditions most often are, is a decreased or deterioration of the quality of life. Previous studies with patient samples have pointed out the substantial negative impact of TMD on the oral health-related quality of life (OHRQoL) (</w:t>
      </w:r>
      <w:r w:rsidR="004D01DA" w:rsidRPr="006251D2">
        <w:rPr>
          <w:rFonts w:ascii="Times New Roman" w:hAnsi="Times New Roman" w:cs="Times New Roman"/>
          <w:sz w:val="20"/>
          <w:szCs w:val="20"/>
          <w:lang w:val="en-US"/>
        </w:rPr>
        <w:t>11–14</w:t>
      </w:r>
      <w:r w:rsidRPr="006251D2">
        <w:rPr>
          <w:rFonts w:ascii="Times New Roman" w:hAnsi="Times New Roman" w:cs="Times New Roman"/>
          <w:sz w:val="20"/>
          <w:szCs w:val="20"/>
          <w:lang w:val="en-US"/>
        </w:rPr>
        <w:t>). TMD may associate with OHRQoL through multiple ways, such as pain, depression and somatization and frequent dental attendance (</w:t>
      </w:r>
      <w:r w:rsidR="004D01DA" w:rsidRPr="006251D2">
        <w:rPr>
          <w:rFonts w:ascii="Times New Roman" w:hAnsi="Times New Roman" w:cs="Times New Roman"/>
          <w:sz w:val="20"/>
          <w:szCs w:val="20"/>
          <w:lang w:val="en-US"/>
        </w:rPr>
        <w:t>15–17</w:t>
      </w:r>
      <w:r w:rsidRPr="006251D2">
        <w:rPr>
          <w:rFonts w:ascii="Times New Roman" w:hAnsi="Times New Roman" w:cs="Times New Roman"/>
          <w:sz w:val="20"/>
          <w:szCs w:val="20"/>
          <w:lang w:val="en-US"/>
        </w:rPr>
        <w:t xml:space="preserve">). One of the most commonly used instruments to evaluate OHRQoL is the Oral Health Impact Profile (OHIP), which has seven </w:t>
      </w:r>
      <w:r w:rsidR="006C07E2" w:rsidRPr="006251D2">
        <w:rPr>
          <w:rFonts w:ascii="Times New Roman" w:hAnsi="Times New Roman" w:cs="Times New Roman"/>
          <w:sz w:val="20"/>
          <w:szCs w:val="20"/>
          <w:lang w:val="en-US"/>
        </w:rPr>
        <w:t>d</w:t>
      </w:r>
      <w:r w:rsidRPr="006251D2">
        <w:rPr>
          <w:rFonts w:ascii="Times New Roman" w:hAnsi="Times New Roman" w:cs="Times New Roman"/>
          <w:sz w:val="20"/>
          <w:szCs w:val="20"/>
          <w:lang w:val="en-US"/>
        </w:rPr>
        <w:t>imensions: functional limitation, physical pain, psychological discomfort, physical disability, psychological disability, social disability and handicap</w:t>
      </w:r>
      <w:r w:rsidRPr="006251D2" w:rsidDel="008C3CFE">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w:t>
      </w:r>
      <w:r w:rsidR="004D01DA" w:rsidRPr="006251D2">
        <w:rPr>
          <w:rFonts w:ascii="Times New Roman" w:hAnsi="Times New Roman" w:cs="Times New Roman"/>
          <w:sz w:val="20"/>
          <w:szCs w:val="20"/>
          <w:lang w:val="en-US"/>
        </w:rPr>
        <w:t>18</w:t>
      </w:r>
      <w:r w:rsidRPr="006251D2">
        <w:rPr>
          <w:rFonts w:ascii="Times New Roman" w:hAnsi="Times New Roman" w:cs="Times New Roman"/>
          <w:sz w:val="20"/>
          <w:szCs w:val="20"/>
          <w:lang w:val="en-US"/>
        </w:rPr>
        <w:t>). All these dimensions are based on the conceptual model of oral health (</w:t>
      </w:r>
      <w:r w:rsidR="004D01DA" w:rsidRPr="006251D2">
        <w:rPr>
          <w:rFonts w:ascii="Times New Roman" w:hAnsi="Times New Roman" w:cs="Times New Roman"/>
          <w:sz w:val="20"/>
          <w:szCs w:val="20"/>
          <w:lang w:val="en-US"/>
        </w:rPr>
        <w:t>19</w:t>
      </w:r>
      <w:r w:rsidRPr="006251D2">
        <w:rPr>
          <w:rFonts w:ascii="Times New Roman" w:hAnsi="Times New Roman" w:cs="Times New Roman"/>
          <w:sz w:val="20"/>
          <w:szCs w:val="20"/>
          <w:lang w:val="en-US"/>
        </w:rPr>
        <w:t xml:space="preserve">). </w:t>
      </w:r>
    </w:p>
    <w:p w14:paraId="3C334AD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16CA729F" w14:textId="2D00CB8F" w:rsidR="00E93B9A" w:rsidRPr="006251D2" w:rsidRDefault="00E93B9A" w:rsidP="007D6375">
      <w:pPr>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More RCTs are needed to evaluate the outcome of the</w:t>
      </w:r>
      <w:r w:rsidR="00D841CB" w:rsidRPr="006251D2">
        <w:rPr>
          <w:rFonts w:ascii="Times New Roman" w:hAnsi="Times New Roman" w:cs="Times New Roman"/>
          <w:sz w:val="20"/>
          <w:szCs w:val="20"/>
          <w:lang w:val="en-US"/>
        </w:rPr>
        <w:t xml:space="preserve"> </w:t>
      </w:r>
      <w:r w:rsidR="00D841CB" w:rsidRPr="006251D2">
        <w:rPr>
          <w:rFonts w:ascii="Times New Roman" w:hAnsi="Times New Roman" w:cs="Times New Roman"/>
          <w:sz w:val="20"/>
          <w:szCs w:val="20"/>
          <w:highlight w:val="yellow"/>
          <w:lang w:val="en-US"/>
        </w:rPr>
        <w:t>SS</w:t>
      </w:r>
      <w:r w:rsidRPr="006251D2">
        <w:rPr>
          <w:rFonts w:ascii="Times New Roman" w:hAnsi="Times New Roman" w:cs="Times New Roman"/>
          <w:sz w:val="20"/>
          <w:szCs w:val="20"/>
          <w:highlight w:val="yellow"/>
          <w:lang w:val="en-US"/>
        </w:rPr>
        <w:t xml:space="preserve"> treatment</w:t>
      </w:r>
      <w:r w:rsidRPr="006251D2">
        <w:rPr>
          <w:rFonts w:ascii="Times New Roman" w:hAnsi="Times New Roman" w:cs="Times New Roman"/>
          <w:sz w:val="20"/>
          <w:szCs w:val="20"/>
          <w:lang w:val="en-US"/>
        </w:rPr>
        <w:t xml:space="preserve"> methods used for TMD. To gather </w:t>
      </w:r>
      <w:r w:rsidR="00DE06EF" w:rsidRPr="006251D2">
        <w:rPr>
          <w:rFonts w:ascii="Times New Roman" w:hAnsi="Times New Roman" w:cs="Times New Roman"/>
          <w:sz w:val="20"/>
          <w:szCs w:val="20"/>
          <w:lang w:val="en-US"/>
        </w:rPr>
        <w:t>reliable, high</w:t>
      </w:r>
      <w:r w:rsidRPr="006251D2">
        <w:rPr>
          <w:rFonts w:ascii="Times New Roman" w:hAnsi="Times New Roman" w:cs="Times New Roman"/>
          <w:sz w:val="20"/>
          <w:szCs w:val="20"/>
          <w:lang w:val="en-US"/>
        </w:rPr>
        <w:t xml:space="preserve">-quality evidence on the efficacy of </w:t>
      </w:r>
      <w:r w:rsidRPr="006251D2">
        <w:rPr>
          <w:rFonts w:ascii="Times New Roman" w:hAnsi="Times New Roman" w:cs="Times New Roman"/>
          <w:sz w:val="20"/>
          <w:szCs w:val="20"/>
          <w:lang w:val="en-US"/>
        </w:rPr>
        <w:lastRenderedPageBreak/>
        <w:t>the treatment of TMD, the patient’s point of view should be assessed (</w:t>
      </w:r>
      <w:r w:rsidR="0009036B" w:rsidRPr="006251D2">
        <w:rPr>
          <w:rFonts w:ascii="Times New Roman" w:hAnsi="Times New Roman" w:cs="Times New Roman"/>
          <w:sz w:val="20"/>
          <w:szCs w:val="20"/>
          <w:lang w:val="en-US"/>
        </w:rPr>
        <w:t>21</w:t>
      </w:r>
      <w:r w:rsidRPr="006251D2">
        <w:rPr>
          <w:rFonts w:ascii="Times New Roman" w:hAnsi="Times New Roman" w:cs="Times New Roman"/>
          <w:sz w:val="20"/>
          <w:szCs w:val="20"/>
          <w:lang w:val="en-US"/>
        </w:rPr>
        <w:t>). Most studies concerning the efficacy of SS therapy on TMD have used the intensity of pain (</w:t>
      </w:r>
      <w:r w:rsidR="0009036B" w:rsidRPr="006251D2">
        <w:rPr>
          <w:rFonts w:ascii="Times New Roman" w:hAnsi="Times New Roman" w:cs="Times New Roman"/>
          <w:sz w:val="20"/>
          <w:szCs w:val="20"/>
          <w:lang w:val="en-US"/>
        </w:rPr>
        <w:t>21</w:t>
      </w:r>
      <w:r w:rsidRPr="006251D2">
        <w:rPr>
          <w:rFonts w:ascii="Times New Roman" w:hAnsi="Times New Roman" w:cs="Times New Roman"/>
          <w:sz w:val="20"/>
          <w:szCs w:val="20"/>
          <w:lang w:val="en-US"/>
        </w:rPr>
        <w:t>) as the main outcome variable</w:t>
      </w:r>
      <w:r w:rsidRPr="006251D2">
        <w:rPr>
          <w:rFonts w:ascii="Times New Roman" w:hAnsi="Times New Roman" w:cs="Times New Roman"/>
          <w:sz w:val="20"/>
          <w:szCs w:val="20"/>
          <w:highlight w:val="yellow"/>
          <w:lang w:val="en-US"/>
        </w:rPr>
        <w:t xml:space="preserve">. </w:t>
      </w:r>
      <w:r w:rsidR="00D841CB" w:rsidRPr="006251D2">
        <w:rPr>
          <w:rFonts w:ascii="Times New Roman" w:hAnsi="Times New Roman" w:cs="Times New Roman"/>
          <w:sz w:val="20"/>
          <w:szCs w:val="20"/>
          <w:highlight w:val="yellow"/>
          <w:lang w:val="en-US"/>
        </w:rPr>
        <w:t>It has been shown that OHRQoL gives more information about the impact of the oral condition or disease on patient’s everyday life and its quality as compared to clinical measures of disease or mere pain intensity (19–20). Thus, it is reasonable to use OHRQoL as outcome measure when evaluating the efficacy of SS in treatment of TMD. In the literature</w:t>
      </w:r>
      <w:r w:rsidR="00D841CB" w:rsidRPr="006251D2">
        <w:rPr>
          <w:rFonts w:ascii="Times New Roman" w:hAnsi="Times New Roman" w:cs="Times New Roman"/>
          <w:sz w:val="20"/>
          <w:szCs w:val="20"/>
          <w:lang w:val="en-US"/>
        </w:rPr>
        <w:t>, e</w:t>
      </w:r>
      <w:r w:rsidRPr="006251D2">
        <w:rPr>
          <w:rFonts w:ascii="Times New Roman" w:hAnsi="Times New Roman" w:cs="Times New Roman"/>
          <w:sz w:val="20"/>
          <w:szCs w:val="20"/>
          <w:lang w:val="en-US"/>
        </w:rPr>
        <w:t xml:space="preserve">vidence concerning the efficacy of SS treatment on OHRQoL perceived by the TMD patients is still scarce. </w:t>
      </w:r>
      <w:r w:rsidR="00D841CB" w:rsidRPr="006251D2">
        <w:rPr>
          <w:rFonts w:ascii="Times New Roman" w:hAnsi="Times New Roman" w:cs="Times New Roman"/>
          <w:sz w:val="20"/>
          <w:szCs w:val="20"/>
          <w:highlight w:val="yellow"/>
          <w:lang w:val="en-US"/>
        </w:rPr>
        <w:t xml:space="preserve">Based on the previous studies, it can be hypothesized that OHRQoL improves during </w:t>
      </w:r>
      <w:r w:rsidR="00DC61BE" w:rsidRPr="006251D2">
        <w:rPr>
          <w:rFonts w:ascii="Times New Roman" w:hAnsi="Times New Roman" w:cs="Times New Roman"/>
          <w:sz w:val="20"/>
          <w:szCs w:val="20"/>
          <w:highlight w:val="yellow"/>
          <w:lang w:val="en-US"/>
        </w:rPr>
        <w:t>the</w:t>
      </w:r>
      <w:r w:rsidR="00D841CB" w:rsidRPr="006251D2">
        <w:rPr>
          <w:rFonts w:ascii="Times New Roman" w:hAnsi="Times New Roman" w:cs="Times New Roman"/>
          <w:sz w:val="20"/>
          <w:szCs w:val="20"/>
          <w:highlight w:val="yellow"/>
          <w:lang w:val="en-US"/>
        </w:rPr>
        <w:t xml:space="preserve"> treatment in TMD patients, and that SS have no beneficial effect on OHRQoL as compared to mere masticatory muscle exercises.</w:t>
      </w:r>
      <w:r w:rsidR="00D841CB"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The aim of this RCT was to evaluate the effectiveness of SS therapy on the OHRQoL among TMD patients during a one-year follow-up</w:t>
      </w:r>
      <w:r w:rsidR="00DC61BE" w:rsidRPr="006251D2">
        <w:rPr>
          <w:rFonts w:ascii="Times New Roman" w:hAnsi="Times New Roman" w:cs="Times New Roman"/>
          <w:sz w:val="20"/>
          <w:szCs w:val="20"/>
          <w:lang w:val="en-US"/>
        </w:rPr>
        <w:t xml:space="preserve">, </w:t>
      </w:r>
      <w:r w:rsidR="00DC61BE" w:rsidRPr="006251D2">
        <w:rPr>
          <w:rFonts w:ascii="Times New Roman" w:hAnsi="Times New Roman" w:cs="Times New Roman"/>
          <w:sz w:val="20"/>
          <w:szCs w:val="20"/>
          <w:highlight w:val="yellow"/>
          <w:lang w:val="en-US"/>
        </w:rPr>
        <w:t>based on RCT</w:t>
      </w:r>
      <w:r w:rsidRPr="006251D2">
        <w:rPr>
          <w:rFonts w:ascii="Times New Roman" w:hAnsi="Times New Roman" w:cs="Times New Roman"/>
          <w:sz w:val="20"/>
          <w:szCs w:val="20"/>
          <w:highlight w:val="yellow"/>
          <w:lang w:val="en-US"/>
        </w:rPr>
        <w:t>.</w:t>
      </w:r>
    </w:p>
    <w:p w14:paraId="6F9BFBC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3B749444" w14:textId="77777777" w:rsidR="004D7430" w:rsidRPr="006251D2" w:rsidRDefault="004D7430"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br w:type="page"/>
      </w:r>
    </w:p>
    <w:p w14:paraId="4E17D099" w14:textId="241457AF" w:rsidR="00E93B9A" w:rsidRPr="006251D2" w:rsidRDefault="005B7056"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lastRenderedPageBreak/>
        <w:t>Materials and methods</w:t>
      </w:r>
    </w:p>
    <w:p w14:paraId="02AA516E"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b/>
          <w:bCs/>
          <w:sz w:val="20"/>
          <w:szCs w:val="20"/>
          <w:lang w:val="en-US"/>
        </w:rPr>
      </w:pPr>
    </w:p>
    <w:p w14:paraId="5B02A640" w14:textId="2AD18C98"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i/>
          <w:iCs/>
          <w:sz w:val="20"/>
          <w:szCs w:val="20"/>
          <w:lang w:val="en-US"/>
        </w:rPr>
      </w:pPr>
      <w:r w:rsidRPr="006251D2">
        <w:rPr>
          <w:rFonts w:ascii="Times New Roman" w:hAnsi="Times New Roman" w:cs="Times New Roman"/>
          <w:i/>
          <w:iCs/>
          <w:sz w:val="20"/>
          <w:szCs w:val="20"/>
          <w:lang w:val="en-US"/>
        </w:rPr>
        <w:t>Design of the study</w:t>
      </w:r>
    </w:p>
    <w:p w14:paraId="0FB0D56C"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iCs/>
          <w:sz w:val="20"/>
          <w:szCs w:val="20"/>
          <w:lang w:val="en-US"/>
        </w:rPr>
      </w:pPr>
    </w:p>
    <w:p w14:paraId="0DF8577F" w14:textId="2A5B475C"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The sample of the</w:t>
      </w:r>
      <w:r w:rsidR="000E1341" w:rsidRPr="006251D2">
        <w:rPr>
          <w:rFonts w:ascii="Times New Roman" w:hAnsi="Times New Roman" w:cs="Times New Roman"/>
          <w:sz w:val="20"/>
          <w:szCs w:val="20"/>
          <w:lang w:val="en-US"/>
        </w:rPr>
        <w:t xml:space="preserve"> </w:t>
      </w:r>
      <w:r w:rsidR="000E1341" w:rsidRPr="006251D2">
        <w:rPr>
          <w:rFonts w:ascii="Times New Roman" w:hAnsi="Times New Roman" w:cs="Times New Roman"/>
          <w:sz w:val="20"/>
          <w:szCs w:val="20"/>
          <w:highlight w:val="yellow"/>
          <w:lang w:val="en-US"/>
        </w:rPr>
        <w:t>present RCT</w:t>
      </w:r>
      <w:r w:rsidRPr="006251D2">
        <w:rPr>
          <w:rFonts w:ascii="Times New Roman" w:hAnsi="Times New Roman" w:cs="Times New Roman"/>
          <w:sz w:val="20"/>
          <w:szCs w:val="20"/>
          <w:lang w:val="en-US"/>
        </w:rPr>
        <w:t xml:space="preserve"> study consisted originally of 80 patients (18 men/62 women) who had been referred to the Oral and Maxillofacial Department, Oulu University Hospital, Finland, for treatment of TMD-related facial pain. The patients were examined between March 2008 and </w:t>
      </w:r>
      <w:r w:rsidRPr="006251D2">
        <w:rPr>
          <w:rFonts w:ascii="Times New Roman" w:hAnsi="Times New Roman" w:cs="Times New Roman"/>
          <w:bCs/>
          <w:sz w:val="20"/>
          <w:szCs w:val="20"/>
          <w:lang w:val="en-US"/>
        </w:rPr>
        <w:t xml:space="preserve">August 2010. </w:t>
      </w:r>
      <w:r w:rsidRPr="006251D2">
        <w:rPr>
          <w:rFonts w:ascii="Times New Roman" w:hAnsi="Times New Roman" w:cs="Times New Roman"/>
          <w:sz w:val="20"/>
          <w:szCs w:val="20"/>
          <w:lang w:val="en-US"/>
        </w:rPr>
        <w:t>The inclusion criteria for the study were as follows: (1) clinically diagnosed TMD according to the Research Diagnostic Criteria for Temporomandibular Disorders (RDC/TMD) (24), (2) minimum 20 years of age, and (3) lack of long-term general diseases, like rheumatoid arthritis, that may affect the TMJs or the masticatory muscles (</w:t>
      </w:r>
      <w:r w:rsidR="000869EA" w:rsidRPr="006251D2">
        <w:rPr>
          <w:rFonts w:ascii="Times New Roman" w:hAnsi="Times New Roman" w:cs="Times New Roman"/>
          <w:sz w:val="20"/>
          <w:szCs w:val="20"/>
          <w:lang w:val="en-US"/>
        </w:rPr>
        <w:t>10</w:t>
      </w:r>
      <w:r w:rsidRPr="006251D2">
        <w:rPr>
          <w:rFonts w:ascii="Times New Roman" w:hAnsi="Times New Roman" w:cs="Times New Roman"/>
          <w:sz w:val="20"/>
          <w:szCs w:val="20"/>
          <w:lang w:val="en-US"/>
        </w:rPr>
        <w:t>).</w:t>
      </w:r>
    </w:p>
    <w:p w14:paraId="0B414CA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632647E8" w14:textId="2C2791B1"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Using computer-generated random numbers, the patients were randomly assigned to two sub-groups: splint group and control group (Fig. 1). Patients in the splint group (</w:t>
      </w:r>
      <w:r w:rsidRPr="006251D2">
        <w:rPr>
          <w:rFonts w:ascii="Times New Roman" w:hAnsi="Times New Roman" w:cs="Times New Roman"/>
          <w:i/>
          <w:sz w:val="20"/>
          <w:szCs w:val="20"/>
          <w:lang w:val="en-US"/>
        </w:rPr>
        <w:t>n</w:t>
      </w:r>
      <w:r w:rsidRPr="006251D2">
        <w:rPr>
          <w:rFonts w:ascii="Times New Roman" w:hAnsi="Times New Roman" w:cs="Times New Roman"/>
          <w:sz w:val="20"/>
          <w:szCs w:val="20"/>
          <w:lang w:val="en-US"/>
        </w:rPr>
        <w:t xml:space="preserve"> = 39) received SS treatment, counseling and instructions on masticatory muscle home exercises. The control group (</w:t>
      </w:r>
      <w:r w:rsidRPr="006251D2">
        <w:rPr>
          <w:rFonts w:ascii="Times New Roman" w:hAnsi="Times New Roman" w:cs="Times New Roman"/>
          <w:i/>
          <w:sz w:val="20"/>
          <w:szCs w:val="20"/>
          <w:lang w:val="en-US"/>
        </w:rPr>
        <w:t>n</w:t>
      </w:r>
      <w:r w:rsidRPr="006251D2">
        <w:rPr>
          <w:rFonts w:ascii="Times New Roman" w:hAnsi="Times New Roman" w:cs="Times New Roman"/>
          <w:sz w:val="20"/>
          <w:szCs w:val="20"/>
          <w:lang w:val="en-US"/>
        </w:rPr>
        <w:t xml:space="preserve"> = 41) were counseled and instructed on masticatory muscle home exercises without the SS treatment. </w:t>
      </w:r>
      <w:r w:rsidRPr="006251D2">
        <w:rPr>
          <w:rFonts w:ascii="Times New Roman" w:hAnsi="Times New Roman" w:cs="Times New Roman"/>
          <w:bCs/>
          <w:sz w:val="20"/>
          <w:szCs w:val="20"/>
          <w:lang w:val="en-US"/>
        </w:rPr>
        <w:t>The mean age of the patients in the splint group was 42.6 years (SD 13.4 years)</w:t>
      </w:r>
      <w:r w:rsidRPr="006251D2">
        <w:rPr>
          <w:rFonts w:ascii="Times New Roman" w:hAnsi="Times New Roman" w:cs="Times New Roman"/>
          <w:sz w:val="20"/>
          <w:szCs w:val="20"/>
          <w:lang w:val="en-US"/>
        </w:rPr>
        <w:t xml:space="preserve"> </w:t>
      </w:r>
      <w:r w:rsidRPr="006251D2">
        <w:rPr>
          <w:rFonts w:ascii="Times New Roman" w:hAnsi="Times New Roman" w:cs="Times New Roman"/>
          <w:bCs/>
          <w:sz w:val="20"/>
          <w:szCs w:val="20"/>
          <w:lang w:val="en-US"/>
        </w:rPr>
        <w:t>and in the control group 44.0 years (SD 13.1 years). The gender distributions were 83.8% women versus 16.2% men in the splint group and 73.2% women versus 26.8% men in the control group</w:t>
      </w:r>
      <w:r w:rsidRPr="006251D2">
        <w:rPr>
          <w:rFonts w:ascii="Times New Roman" w:hAnsi="Times New Roman" w:cs="Times New Roman"/>
          <w:bCs/>
          <w:sz w:val="20"/>
          <w:szCs w:val="20"/>
          <w:highlight w:val="yellow"/>
          <w:lang w:val="en-US"/>
        </w:rPr>
        <w:t xml:space="preserve">. </w:t>
      </w:r>
      <w:r w:rsidR="000D1904" w:rsidRPr="006251D2">
        <w:rPr>
          <w:rFonts w:ascii="Times New Roman" w:hAnsi="Times New Roman" w:cs="Times New Roman"/>
          <w:bCs/>
          <w:sz w:val="20"/>
          <w:szCs w:val="20"/>
          <w:highlight w:val="yellow"/>
          <w:lang w:val="en-US"/>
        </w:rPr>
        <w:t>A thorough description of the material is presented in a previous publication</w:t>
      </w:r>
      <w:r w:rsidR="000D1904" w:rsidRPr="006251D2">
        <w:rPr>
          <w:rFonts w:ascii="Times New Roman" w:hAnsi="Times New Roman" w:cs="Times New Roman"/>
          <w:bCs/>
          <w:sz w:val="20"/>
          <w:szCs w:val="20"/>
          <w:lang w:val="en-US"/>
        </w:rPr>
        <w:t xml:space="preserve"> </w:t>
      </w:r>
      <w:r w:rsidRPr="006251D2">
        <w:rPr>
          <w:rFonts w:ascii="Times New Roman" w:hAnsi="Times New Roman" w:cs="Times New Roman"/>
          <w:sz w:val="20"/>
          <w:szCs w:val="20"/>
          <w:lang w:val="en-US"/>
        </w:rPr>
        <w:t>(</w:t>
      </w:r>
      <w:r w:rsidR="000869EA" w:rsidRPr="006251D2">
        <w:rPr>
          <w:rFonts w:ascii="Times New Roman" w:hAnsi="Times New Roman" w:cs="Times New Roman"/>
          <w:sz w:val="20"/>
          <w:szCs w:val="20"/>
          <w:lang w:val="en-US"/>
        </w:rPr>
        <w:t>10</w:t>
      </w:r>
      <w:r w:rsidRPr="006251D2">
        <w:rPr>
          <w:rFonts w:ascii="Times New Roman" w:hAnsi="Times New Roman" w:cs="Times New Roman"/>
          <w:sz w:val="20"/>
          <w:szCs w:val="20"/>
          <w:lang w:val="en-US"/>
        </w:rPr>
        <w:t>).</w:t>
      </w:r>
    </w:p>
    <w:p w14:paraId="4EA173AF"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iCs/>
          <w:sz w:val="20"/>
          <w:szCs w:val="20"/>
          <w:lang w:val="en-US"/>
        </w:rPr>
      </w:pPr>
    </w:p>
    <w:p w14:paraId="22DFE9B3" w14:textId="440B6C0D"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i/>
          <w:iCs/>
          <w:sz w:val="20"/>
          <w:szCs w:val="20"/>
          <w:lang w:val="en-US"/>
        </w:rPr>
      </w:pPr>
      <w:r w:rsidRPr="006251D2">
        <w:rPr>
          <w:rFonts w:ascii="Times New Roman" w:hAnsi="Times New Roman" w:cs="Times New Roman"/>
          <w:i/>
          <w:iCs/>
          <w:sz w:val="20"/>
          <w:szCs w:val="20"/>
          <w:lang w:val="en-US"/>
        </w:rPr>
        <w:t>Data collection</w:t>
      </w:r>
    </w:p>
    <w:p w14:paraId="03154BC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iCs/>
          <w:sz w:val="20"/>
          <w:szCs w:val="20"/>
          <w:lang w:val="en-US"/>
        </w:rPr>
      </w:pPr>
    </w:p>
    <w:p w14:paraId="6309ADCB" w14:textId="26F201D9" w:rsidR="00E93B9A" w:rsidRPr="006251D2" w:rsidRDefault="004D5ED0"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highlight w:val="yellow"/>
          <w:lang w:val="en-US"/>
        </w:rPr>
        <w:lastRenderedPageBreak/>
        <w:t xml:space="preserve">The primary outcome was OHRQoL. </w:t>
      </w:r>
      <w:r w:rsidR="00E93B9A" w:rsidRPr="006251D2">
        <w:rPr>
          <w:rFonts w:ascii="Times New Roman" w:hAnsi="Times New Roman" w:cs="Times New Roman"/>
          <w:sz w:val="20"/>
          <w:szCs w:val="20"/>
          <w:highlight w:val="yellow"/>
          <w:lang w:val="en-US"/>
        </w:rPr>
        <w:t>A</w:t>
      </w:r>
      <w:r w:rsidR="00E93B9A" w:rsidRPr="006251D2">
        <w:rPr>
          <w:rFonts w:ascii="Times New Roman" w:hAnsi="Times New Roman" w:cs="Times New Roman"/>
          <w:sz w:val="20"/>
          <w:szCs w:val="20"/>
          <w:lang w:val="en-US"/>
        </w:rPr>
        <w:t xml:space="preserve">ll patients in both groups were clinically examined, and information on OHRQoL, using a Finnish translation of the 14-item Oral Health Impact Profile (OHIP-14), was collected at four time points: before treatment (baseline), and 3 months, 6 months and 1 year after the baseline. The number of patients who completed the questionnaire was as follows: 67 patients (control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32, splint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35) at baseline, and 39 (control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19, splint group </w:t>
      </w:r>
      <w:r w:rsidR="00E93B9A" w:rsidRPr="006251D2">
        <w:rPr>
          <w:rFonts w:ascii="Times New Roman" w:hAnsi="Times New Roman" w:cs="Times New Roman"/>
          <w:i/>
          <w:sz w:val="20"/>
          <w:szCs w:val="20"/>
          <w:lang w:val="en-US"/>
        </w:rPr>
        <w:t xml:space="preserve">n </w:t>
      </w:r>
      <w:r w:rsidR="00E93B9A" w:rsidRPr="006251D2">
        <w:rPr>
          <w:rFonts w:ascii="Times New Roman" w:hAnsi="Times New Roman" w:cs="Times New Roman"/>
          <w:sz w:val="20"/>
          <w:szCs w:val="20"/>
          <w:lang w:val="en-US"/>
        </w:rPr>
        <w:t xml:space="preserve">= 20) at 3 months, 35 (control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13, splint group </w:t>
      </w:r>
      <w:r w:rsidR="00E93B9A" w:rsidRPr="006251D2">
        <w:rPr>
          <w:rFonts w:ascii="Times New Roman" w:hAnsi="Times New Roman" w:cs="Times New Roman"/>
          <w:i/>
          <w:sz w:val="20"/>
          <w:szCs w:val="20"/>
          <w:lang w:val="en-US"/>
        </w:rPr>
        <w:t xml:space="preserve">n </w:t>
      </w:r>
      <w:r w:rsidR="00E93B9A" w:rsidRPr="006251D2">
        <w:rPr>
          <w:rFonts w:ascii="Times New Roman" w:hAnsi="Times New Roman" w:cs="Times New Roman"/>
          <w:sz w:val="20"/>
          <w:szCs w:val="20"/>
          <w:lang w:val="en-US"/>
        </w:rPr>
        <w:t xml:space="preserve">= 22) at 6 months, and 43 (control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14, splint group </w:t>
      </w:r>
      <w:r w:rsidR="00E93B9A" w:rsidRPr="006251D2">
        <w:rPr>
          <w:rFonts w:ascii="Times New Roman" w:hAnsi="Times New Roman" w:cs="Times New Roman"/>
          <w:i/>
          <w:sz w:val="20"/>
          <w:szCs w:val="20"/>
          <w:lang w:val="en-US"/>
        </w:rPr>
        <w:t>n</w:t>
      </w:r>
      <w:r w:rsidR="00E93B9A" w:rsidRPr="006251D2">
        <w:rPr>
          <w:rFonts w:ascii="Times New Roman" w:hAnsi="Times New Roman" w:cs="Times New Roman"/>
          <w:sz w:val="20"/>
          <w:szCs w:val="20"/>
          <w:lang w:val="en-US"/>
        </w:rPr>
        <w:t xml:space="preserve"> = 29) at one-year follow-up. All the data collections were performed by the same dentist specialized in stomatognathic physiology (KS) who was not aware of the group status of the patients. </w:t>
      </w:r>
    </w:p>
    <w:p w14:paraId="055D390B"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6461FB83" w14:textId="61DCAD5B" w:rsidR="00E93B9A" w:rsidRPr="006251D2" w:rsidRDefault="00E93B9A" w:rsidP="007E1E18">
      <w:pPr>
        <w:pStyle w:val="BodyText"/>
        <w:spacing w:after="0" w:line="480" w:lineRule="auto"/>
        <w:jc w:val="both"/>
        <w:rPr>
          <w:rFonts w:ascii="Times New Roman" w:hAnsi="Times New Roman" w:cs="Times New Roman"/>
          <w:sz w:val="20"/>
          <w:szCs w:val="20"/>
        </w:rPr>
      </w:pPr>
      <w:r w:rsidRPr="006251D2">
        <w:rPr>
          <w:rFonts w:ascii="Times New Roman" w:hAnsi="Times New Roman" w:cs="Times New Roman"/>
          <w:sz w:val="20"/>
          <w:szCs w:val="20"/>
        </w:rPr>
        <w:t xml:space="preserve">The Finnish version of the OHIP-14 has been used earlier in a nationally representative survey to obtain population estimates for prevalence, extent </w:t>
      </w:r>
      <w:r w:rsidRPr="006251D2">
        <w:rPr>
          <w:rFonts w:ascii="Times New Roman" w:hAnsi="Times New Roman" w:cs="Times New Roman"/>
          <w:sz w:val="20"/>
          <w:szCs w:val="20"/>
        </w:rPr>
        <w:lastRenderedPageBreak/>
        <w:t>and severity (</w:t>
      </w:r>
      <w:r w:rsidR="000869EA" w:rsidRPr="006251D2">
        <w:rPr>
          <w:rFonts w:ascii="Times New Roman" w:hAnsi="Times New Roman" w:cs="Times New Roman"/>
          <w:sz w:val="20"/>
          <w:szCs w:val="20"/>
        </w:rPr>
        <w:t>23</w:t>
      </w:r>
      <w:r w:rsidRPr="006251D2">
        <w:rPr>
          <w:rFonts w:ascii="Times New Roman" w:hAnsi="Times New Roman" w:cs="Times New Roman"/>
          <w:sz w:val="20"/>
          <w:szCs w:val="20"/>
        </w:rPr>
        <w:t>). The frequency of each impact was asked during the preceding month on an ordinal five-point scale. The responses were coded as follows: 0=’never’, 1=’hardly ever’, 2=’occasionally’, 3=’fairly often’ and 4=’very often’. Higher OHIP scores indicate worse and lower scores indicate better OHRQoL. For cases with one or two missing OHIP items, values were imputed using the item’s sample mean. In the case of more than two missing values the response was excluded from the study. Three outcome variables of OHIP were formed. The OHIP prevalence was evaluated as the percentage of participants reporting one or more items as ‘</w:t>
      </w:r>
      <w:r w:rsidRPr="006251D2">
        <w:rPr>
          <w:rFonts w:ascii="Times New Roman" w:hAnsi="Times New Roman" w:cs="Times New Roman"/>
          <w:iCs/>
          <w:sz w:val="20"/>
          <w:szCs w:val="20"/>
        </w:rPr>
        <w:t xml:space="preserve">fairly often’ and ‘very often’ (FoVo), and ‘occasionally’, ‘fairly often’ and ‘very often’ (OFoVo). The </w:t>
      </w:r>
      <w:r w:rsidRPr="006251D2">
        <w:rPr>
          <w:rFonts w:ascii="Times New Roman" w:hAnsi="Times New Roman" w:cs="Times New Roman"/>
          <w:sz w:val="20"/>
          <w:szCs w:val="20"/>
        </w:rPr>
        <w:t xml:space="preserve">OHIP </w:t>
      </w:r>
      <w:r w:rsidR="00717F7A" w:rsidRPr="006251D2">
        <w:rPr>
          <w:rFonts w:ascii="Times New Roman" w:hAnsi="Times New Roman" w:cs="Times New Roman"/>
          <w:sz w:val="20"/>
          <w:szCs w:val="20"/>
        </w:rPr>
        <w:t xml:space="preserve">FoVo and OFoVo </w:t>
      </w:r>
      <w:r w:rsidRPr="006251D2">
        <w:rPr>
          <w:rFonts w:ascii="Times New Roman" w:hAnsi="Times New Roman" w:cs="Times New Roman"/>
          <w:sz w:val="20"/>
          <w:szCs w:val="20"/>
        </w:rPr>
        <w:t>extent</w:t>
      </w:r>
      <w:r w:rsidR="00717F7A" w:rsidRPr="006251D2">
        <w:rPr>
          <w:rFonts w:ascii="Times New Roman" w:hAnsi="Times New Roman" w:cs="Times New Roman"/>
          <w:sz w:val="20"/>
          <w:szCs w:val="20"/>
        </w:rPr>
        <w:t xml:space="preserve"> scores</w:t>
      </w:r>
      <w:r w:rsidRPr="006251D2">
        <w:rPr>
          <w:rFonts w:ascii="Times New Roman" w:hAnsi="Times New Roman" w:cs="Times New Roman"/>
          <w:sz w:val="20"/>
          <w:szCs w:val="20"/>
        </w:rPr>
        <w:t xml:space="preserve"> w</w:t>
      </w:r>
      <w:r w:rsidR="00717F7A" w:rsidRPr="006251D2">
        <w:rPr>
          <w:rFonts w:ascii="Times New Roman" w:hAnsi="Times New Roman" w:cs="Times New Roman"/>
          <w:sz w:val="20"/>
          <w:szCs w:val="20"/>
        </w:rPr>
        <w:t>ere</w:t>
      </w:r>
      <w:r w:rsidRPr="006251D2">
        <w:rPr>
          <w:rFonts w:ascii="Times New Roman" w:hAnsi="Times New Roman" w:cs="Times New Roman"/>
          <w:sz w:val="20"/>
          <w:szCs w:val="20"/>
        </w:rPr>
        <w:t xml:space="preserve"> calculated as the sum</w:t>
      </w:r>
      <w:r w:rsidR="00717F7A" w:rsidRPr="006251D2">
        <w:rPr>
          <w:rFonts w:ascii="Times New Roman" w:hAnsi="Times New Roman" w:cs="Times New Roman"/>
          <w:sz w:val="20"/>
          <w:szCs w:val="20"/>
        </w:rPr>
        <w:t>s</w:t>
      </w:r>
      <w:r w:rsidRPr="006251D2">
        <w:rPr>
          <w:rFonts w:ascii="Times New Roman" w:hAnsi="Times New Roman" w:cs="Times New Roman"/>
          <w:sz w:val="20"/>
          <w:szCs w:val="20"/>
        </w:rPr>
        <w:t xml:space="preserve"> of ordinal responses on items reported </w:t>
      </w:r>
      <w:r w:rsidR="00717F7A" w:rsidRPr="006251D2">
        <w:rPr>
          <w:rFonts w:ascii="Times New Roman" w:hAnsi="Times New Roman" w:cs="Times New Roman"/>
          <w:sz w:val="20"/>
          <w:szCs w:val="20"/>
        </w:rPr>
        <w:t>FoVo or OFoVo</w:t>
      </w:r>
      <w:r w:rsidRPr="006251D2">
        <w:rPr>
          <w:rFonts w:ascii="Times New Roman" w:hAnsi="Times New Roman" w:cs="Times New Roman"/>
          <w:sz w:val="20"/>
          <w:szCs w:val="20"/>
        </w:rPr>
        <w:t xml:space="preserve"> (range 0–14). </w:t>
      </w:r>
      <w:r w:rsidR="00717F7A" w:rsidRPr="006251D2">
        <w:rPr>
          <w:rFonts w:ascii="Times New Roman" w:hAnsi="Times New Roman" w:cs="Times New Roman"/>
          <w:iCs/>
          <w:sz w:val="20"/>
          <w:szCs w:val="20"/>
        </w:rPr>
        <w:t>The OHIP severity score was calculated by summing the ordinal values for 14 items (range 0–56).</w:t>
      </w:r>
    </w:p>
    <w:p w14:paraId="1DFACA5A"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3931988A" w14:textId="487C4D18"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i/>
          <w:iCs/>
          <w:sz w:val="20"/>
          <w:szCs w:val="20"/>
          <w:lang w:val="en-US"/>
        </w:rPr>
      </w:pPr>
      <w:r w:rsidRPr="006251D2">
        <w:rPr>
          <w:rFonts w:ascii="Times New Roman" w:hAnsi="Times New Roman" w:cs="Times New Roman"/>
          <w:i/>
          <w:iCs/>
          <w:sz w:val="20"/>
          <w:szCs w:val="20"/>
          <w:lang w:val="en-US"/>
        </w:rPr>
        <w:t>Treatment procedures</w:t>
      </w:r>
    </w:p>
    <w:p w14:paraId="3EB5C8AA"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iCs/>
          <w:sz w:val="20"/>
          <w:szCs w:val="20"/>
          <w:highlight w:val="yellow"/>
          <w:lang w:val="en-US"/>
        </w:rPr>
      </w:pPr>
    </w:p>
    <w:p w14:paraId="5EDFF620" w14:textId="091C7244"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The stabilization splints were made of heat-cured acrylic by the same dental technician. The occlusion of the splint was defined in the centric relation occlusion using wax (Astynax</w:t>
      </w:r>
      <w:r w:rsidRPr="006251D2">
        <w:rPr>
          <w:rFonts w:ascii="Times New Roman" w:hAnsi="Times New Roman" w:cs="Times New Roman"/>
          <w:b/>
          <w:color w:val="000000"/>
          <w:sz w:val="20"/>
          <w:szCs w:val="20"/>
          <w:lang w:val="en-US"/>
        </w:rPr>
        <w:t xml:space="preserve"> ®</w:t>
      </w:r>
      <w:r w:rsidRPr="006251D2">
        <w:rPr>
          <w:rFonts w:ascii="Times New Roman" w:hAnsi="Times New Roman" w:cs="Times New Roman"/>
          <w:color w:val="000000"/>
          <w:sz w:val="20"/>
          <w:szCs w:val="20"/>
          <w:lang w:val="en-US"/>
        </w:rPr>
        <w:t>).</w:t>
      </w:r>
      <w:r w:rsidRPr="006251D2">
        <w:rPr>
          <w:rFonts w:ascii="Times New Roman" w:hAnsi="Times New Roman" w:cs="Times New Roman"/>
          <w:b/>
          <w:color w:val="000000"/>
          <w:sz w:val="20"/>
          <w:szCs w:val="20"/>
          <w:lang w:val="en-US"/>
        </w:rPr>
        <w:t xml:space="preserve"> </w:t>
      </w:r>
      <w:r w:rsidRPr="006251D2">
        <w:rPr>
          <w:rFonts w:ascii="Times New Roman" w:hAnsi="Times New Roman" w:cs="Times New Roman"/>
          <w:color w:val="000000"/>
          <w:sz w:val="20"/>
          <w:szCs w:val="20"/>
          <w:lang w:val="en-US"/>
        </w:rPr>
        <w:t>The patients were instructed to use the splint every night during the study.</w:t>
      </w:r>
      <w:r w:rsidR="00AE56EE" w:rsidRPr="006251D2">
        <w:rPr>
          <w:rFonts w:ascii="Times New Roman" w:hAnsi="Times New Roman" w:cs="Times New Roman"/>
          <w:color w:val="000000"/>
          <w:sz w:val="20"/>
          <w:szCs w:val="20"/>
          <w:lang w:val="en-US"/>
        </w:rPr>
        <w:t xml:space="preserve"> </w:t>
      </w:r>
      <w:r w:rsidR="00AE56EE" w:rsidRPr="006251D2">
        <w:rPr>
          <w:rFonts w:ascii="Times New Roman" w:eastAsia="Times New Roman" w:hAnsi="Times New Roman" w:cs="Times New Roman"/>
          <w:sz w:val="20"/>
          <w:szCs w:val="20"/>
          <w:highlight w:val="yellow"/>
          <w:lang w:val="en-US" w:eastAsia="fi-FI"/>
        </w:rPr>
        <w:t xml:space="preserve">Night-time splint use is generally recommended based on </w:t>
      </w:r>
      <w:r w:rsidR="005B32C9" w:rsidRPr="006251D2">
        <w:rPr>
          <w:rFonts w:ascii="Times New Roman" w:eastAsia="Times New Roman" w:hAnsi="Times New Roman" w:cs="Times New Roman"/>
          <w:sz w:val="20"/>
          <w:szCs w:val="20"/>
          <w:highlight w:val="yellow"/>
          <w:lang w:val="en-US" w:eastAsia="fi-FI"/>
        </w:rPr>
        <w:t xml:space="preserve">Finnish </w:t>
      </w:r>
      <w:r w:rsidR="00AE56EE" w:rsidRPr="006251D2">
        <w:rPr>
          <w:rFonts w:ascii="Times New Roman" w:eastAsia="Times New Roman" w:hAnsi="Times New Roman" w:cs="Times New Roman"/>
          <w:sz w:val="20"/>
          <w:szCs w:val="20"/>
          <w:highlight w:val="yellow"/>
          <w:lang w:val="en-US" w:eastAsia="fi-FI"/>
        </w:rPr>
        <w:t>Current Care Quidelines. Day-time use is in most cases impossible due to working at day-time.</w:t>
      </w:r>
      <w:r w:rsidRPr="006251D2">
        <w:rPr>
          <w:rFonts w:ascii="Times New Roman" w:hAnsi="Times New Roman" w:cs="Times New Roman"/>
          <w:color w:val="000000"/>
          <w:sz w:val="20"/>
          <w:szCs w:val="20"/>
          <w:lang w:val="en-US"/>
        </w:rPr>
        <w:t xml:space="preserve"> </w:t>
      </w:r>
      <w:r w:rsidRPr="006251D2">
        <w:rPr>
          <w:rFonts w:ascii="Times New Roman" w:hAnsi="Times New Roman" w:cs="Times New Roman"/>
          <w:sz w:val="20"/>
          <w:szCs w:val="20"/>
          <w:lang w:val="en-US"/>
        </w:rPr>
        <w:t>All the patients in both groups</w:t>
      </w:r>
      <w:r w:rsidR="001E270E" w:rsidRPr="006251D2">
        <w:rPr>
          <w:rFonts w:ascii="Times New Roman" w:hAnsi="Times New Roman" w:cs="Times New Roman"/>
          <w:sz w:val="20"/>
          <w:szCs w:val="20"/>
          <w:lang w:val="en-US"/>
        </w:rPr>
        <w:t xml:space="preserve"> </w:t>
      </w:r>
      <w:r w:rsidR="001E270E" w:rsidRPr="006251D2">
        <w:rPr>
          <w:rFonts w:ascii="Times New Roman" w:hAnsi="Times New Roman" w:cs="Times New Roman"/>
          <w:sz w:val="20"/>
          <w:szCs w:val="20"/>
          <w:highlight w:val="yellow"/>
          <w:lang w:val="en-US"/>
        </w:rPr>
        <w:t>(except for those having TMJ clicking)</w:t>
      </w:r>
      <w:r w:rsidRPr="006251D2">
        <w:rPr>
          <w:rFonts w:ascii="Times New Roman" w:hAnsi="Times New Roman" w:cs="Times New Roman"/>
          <w:sz w:val="20"/>
          <w:szCs w:val="20"/>
          <w:lang w:val="en-US"/>
        </w:rPr>
        <w:t xml:space="preserve"> were instructed to perform a standardized program for masticatory muscle exercises as described by Carlsson and Magnusson (</w:t>
      </w:r>
      <w:r w:rsidR="000869EA" w:rsidRPr="006251D2">
        <w:rPr>
          <w:rFonts w:ascii="Times New Roman" w:hAnsi="Times New Roman" w:cs="Times New Roman"/>
          <w:sz w:val="20"/>
          <w:szCs w:val="20"/>
          <w:lang w:val="en-US"/>
        </w:rPr>
        <w:t>24</w:t>
      </w:r>
      <w:r w:rsidRPr="006251D2">
        <w:rPr>
          <w:rFonts w:ascii="Times New Roman" w:hAnsi="Times New Roman" w:cs="Times New Roman"/>
          <w:sz w:val="20"/>
          <w:szCs w:val="20"/>
          <w:lang w:val="en-US"/>
        </w:rPr>
        <w:t xml:space="preserve">). At the beginning of the training program, active mouth openings, laterotrusive movements and protrusive movements were performed. The mandible was held in the maximal positions for a few seconds </w:t>
      </w:r>
      <w:r w:rsidRPr="006251D2">
        <w:rPr>
          <w:rFonts w:ascii="Times New Roman" w:hAnsi="Times New Roman" w:cs="Times New Roman"/>
          <w:sz w:val="20"/>
          <w:szCs w:val="20"/>
          <w:lang w:val="en-US"/>
        </w:rPr>
        <w:lastRenderedPageBreak/>
        <w:t>on each movement.  Thereafter, these movements were made towards resistance (using the patient’s own fingers). After jaw exercises, the patients were suggested to open the jaw wide, stretching it with fingers a few times for 10–20 s. These movements were repeated 7–10 times per training session, and the sessions were performed 2–3 times per day</w:t>
      </w:r>
      <w:r w:rsidRPr="006251D2">
        <w:rPr>
          <w:rFonts w:ascii="Times New Roman" w:hAnsi="Times New Roman" w:cs="Times New Roman"/>
          <w:sz w:val="20"/>
          <w:szCs w:val="20"/>
          <w:highlight w:val="yellow"/>
          <w:lang w:val="en-US"/>
        </w:rPr>
        <w:t xml:space="preserve">. </w:t>
      </w:r>
      <w:r w:rsidR="001E270E" w:rsidRPr="006251D2">
        <w:rPr>
          <w:rFonts w:ascii="Times New Roman" w:hAnsi="Times New Roman" w:cs="Times New Roman"/>
          <w:sz w:val="20"/>
          <w:szCs w:val="20"/>
          <w:highlight w:val="yellow"/>
          <w:lang w:val="en-US"/>
        </w:rPr>
        <w:t>Patients with jaw hypermobility were instructed to press the tongue against the palatinum, during the opening. Patients having TMJ clicking were instructed to make opening movements from the anterior jaw position (where clicking was noted) to maximum mouth opening. The movements were repeated 30 times per day.</w:t>
      </w:r>
      <w:r w:rsidR="001E270E"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The patients received written instructions, and the movements were also demonstrated by the dentist before the treatment, and reprised if necessary.</w:t>
      </w:r>
    </w:p>
    <w:p w14:paraId="50F217B2" w14:textId="77777777"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p>
    <w:p w14:paraId="7283DAFB" w14:textId="130F2B4A"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The instructions for masticatory muscle exercises were given by the same </w:t>
      </w:r>
      <w:r w:rsidRPr="006251D2">
        <w:rPr>
          <w:rFonts w:ascii="Times New Roman" w:hAnsi="Times New Roman" w:cs="Times New Roman"/>
          <w:sz w:val="20"/>
          <w:szCs w:val="20"/>
          <w:lang w:val="en-US"/>
        </w:rPr>
        <w:lastRenderedPageBreak/>
        <w:t>dentist (KS) at the first visit. At every examination, the patients were reminded to use the splint and/or to perform the exercises on a regular basis. The stabilization splint treatments were performed by two other dentists who were instructed on the treatment method. This study was approved by the ethical committee of Oulu University Hospital</w:t>
      </w:r>
      <w:r w:rsidR="00A63A4E" w:rsidRPr="006251D2">
        <w:rPr>
          <w:rFonts w:ascii="Times New Roman" w:hAnsi="Times New Roman" w:cs="Times New Roman"/>
          <w:sz w:val="20"/>
          <w:szCs w:val="20"/>
          <w:lang w:val="en-US"/>
        </w:rPr>
        <w:t xml:space="preserve"> </w:t>
      </w:r>
      <w:r w:rsidR="00A63A4E" w:rsidRPr="006251D2">
        <w:rPr>
          <w:rFonts w:ascii="Times New Roman" w:hAnsi="Times New Roman" w:cs="Times New Roman"/>
          <w:sz w:val="20"/>
          <w:szCs w:val="20"/>
          <w:highlight w:val="yellow"/>
          <w:lang w:val="en-US"/>
        </w:rPr>
        <w:t>(statement 29/2007)</w:t>
      </w:r>
      <w:r w:rsidR="00A63A4E" w:rsidRPr="006251D2">
        <w:rPr>
          <w:rFonts w:ascii="Times New Roman" w:hAnsi="Times New Roman" w:cs="Times New Roman"/>
          <w:sz w:val="20"/>
          <w:szCs w:val="20"/>
          <w:lang w:val="en-US"/>
        </w:rPr>
        <w:t xml:space="preserve">. </w:t>
      </w:r>
      <w:r w:rsidR="000E1341" w:rsidRPr="006251D2">
        <w:rPr>
          <w:rFonts w:ascii="Times New Roman" w:hAnsi="Times New Roman" w:cs="Times New Roman"/>
          <w:sz w:val="20"/>
          <w:szCs w:val="20"/>
          <w:highlight w:val="yellow"/>
          <w:lang w:val="en-US"/>
        </w:rPr>
        <w:t xml:space="preserve">The study </w:t>
      </w:r>
      <w:r w:rsidR="00A94C4D" w:rsidRPr="006251D2">
        <w:rPr>
          <w:rFonts w:ascii="Times New Roman" w:hAnsi="Times New Roman" w:cs="Times New Roman"/>
          <w:sz w:val="20"/>
          <w:szCs w:val="20"/>
          <w:highlight w:val="yellow"/>
          <w:lang w:val="en-US"/>
        </w:rPr>
        <w:t xml:space="preserve">is reported in line with CONSORT </w:t>
      </w:r>
      <w:r w:rsidR="000E1341" w:rsidRPr="006251D2">
        <w:rPr>
          <w:rFonts w:ascii="Times New Roman" w:hAnsi="Times New Roman" w:cs="Times New Roman"/>
          <w:sz w:val="20"/>
          <w:szCs w:val="20"/>
          <w:highlight w:val="yellow"/>
          <w:lang w:val="en-US"/>
        </w:rPr>
        <w:t>guidelines.</w:t>
      </w:r>
    </w:p>
    <w:p w14:paraId="050C2FDC" w14:textId="77777777" w:rsidR="00A94C4D" w:rsidRPr="006251D2" w:rsidRDefault="00A94C4D" w:rsidP="007E1E18">
      <w:pPr>
        <w:widowControl w:val="0"/>
        <w:autoSpaceDE w:val="0"/>
        <w:autoSpaceDN w:val="0"/>
        <w:adjustRightInd w:val="0"/>
        <w:spacing w:line="480" w:lineRule="auto"/>
        <w:jc w:val="both"/>
        <w:rPr>
          <w:rFonts w:ascii="Times New Roman" w:hAnsi="Times New Roman" w:cs="Times New Roman"/>
          <w:sz w:val="20"/>
          <w:szCs w:val="20"/>
          <w:lang w:val="en-US"/>
        </w:rPr>
      </w:pPr>
    </w:p>
    <w:p w14:paraId="4774CEC9" w14:textId="77777777" w:rsidR="00E93B9A" w:rsidRPr="006251D2" w:rsidRDefault="00E93B9A" w:rsidP="007E1E18">
      <w:pPr>
        <w:pStyle w:val="CommentText"/>
        <w:spacing w:line="480" w:lineRule="auto"/>
        <w:jc w:val="both"/>
        <w:rPr>
          <w:rFonts w:ascii="Times New Roman" w:hAnsi="Times New Roman" w:cs="Times New Roman"/>
          <w:lang w:val="en-US"/>
        </w:rPr>
      </w:pPr>
    </w:p>
    <w:p w14:paraId="425D55F0" w14:textId="40F3C2A1" w:rsidR="004D7430" w:rsidRPr="006251D2" w:rsidRDefault="00E93B9A" w:rsidP="00717F7A">
      <w:pPr>
        <w:pStyle w:val="CommentText"/>
        <w:spacing w:line="480" w:lineRule="auto"/>
        <w:jc w:val="both"/>
        <w:rPr>
          <w:rFonts w:ascii="Times New Roman" w:hAnsi="Times New Roman" w:cs="Times New Roman"/>
          <w:lang w:val="en-US"/>
        </w:rPr>
      </w:pPr>
      <w:r w:rsidRPr="006251D2">
        <w:rPr>
          <w:rFonts w:ascii="Times New Roman" w:hAnsi="Times New Roman" w:cs="Times New Roman"/>
          <w:highlight w:val="yellow"/>
          <w:lang w:val="en-US"/>
        </w:rPr>
        <w:t xml:space="preserve">The </w:t>
      </w:r>
      <w:r w:rsidR="004D5ED0" w:rsidRPr="006251D2">
        <w:rPr>
          <w:rFonts w:ascii="Times New Roman" w:hAnsi="Times New Roman" w:cs="Times New Roman"/>
          <w:highlight w:val="yellow"/>
          <w:lang w:val="en-US"/>
        </w:rPr>
        <w:t>flow chart of the study</w:t>
      </w:r>
      <w:r w:rsidRPr="006251D2">
        <w:rPr>
          <w:rFonts w:ascii="Times New Roman" w:hAnsi="Times New Roman" w:cs="Times New Roman"/>
          <w:lang w:val="en-US"/>
        </w:rPr>
        <w:t xml:space="preserve"> is presented in Figure 1. Some patients were referred to other treatment, switched groups or dropped out due to missed visits during the trial. The time the patients had remained in their original groups was included in the follow-up. Two patients in the splint group dropped out of the trial; one did not attend any of the check-ups and the other was offered other treatment, i.e., orthognathic surgery. In addition, during </w:t>
      </w:r>
      <w:r w:rsidRPr="006251D2">
        <w:rPr>
          <w:rFonts w:ascii="Times New Roman" w:hAnsi="Times New Roman" w:cs="Times New Roman"/>
          <w:lang w:val="en-US"/>
        </w:rPr>
        <w:lastRenderedPageBreak/>
        <w:t xml:space="preserve">the one-year follow-up, altogether 16 patients interrupted their attendance in the trial or did not show up for their follow-up appointment. Sixteen controls were transferred from the control group to the splint group because of their symptoms and need of treatment. Thirteen patients (10 patients in the splint group and three in the control group) were treated with arthrocentesis of the TMJ during the study. </w:t>
      </w:r>
    </w:p>
    <w:p w14:paraId="3F7A7BD6" w14:textId="77777777" w:rsidR="00717F7A" w:rsidRPr="006251D2" w:rsidRDefault="00717F7A" w:rsidP="00717F7A">
      <w:pPr>
        <w:pStyle w:val="CommentText"/>
        <w:spacing w:line="480" w:lineRule="auto"/>
        <w:jc w:val="both"/>
        <w:rPr>
          <w:rFonts w:ascii="Times New Roman" w:hAnsi="Times New Roman" w:cs="Times New Roman"/>
          <w:lang w:val="en-US"/>
        </w:rPr>
      </w:pPr>
    </w:p>
    <w:p w14:paraId="63F788CD" w14:textId="5E8C2B13"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iCs/>
          <w:sz w:val="20"/>
          <w:szCs w:val="20"/>
          <w:lang w:val="en-US"/>
        </w:rPr>
      </w:pPr>
      <w:r w:rsidRPr="006251D2">
        <w:rPr>
          <w:rFonts w:ascii="Times New Roman" w:hAnsi="Times New Roman" w:cs="Times New Roman"/>
          <w:b/>
          <w:iCs/>
          <w:sz w:val="20"/>
          <w:szCs w:val="20"/>
          <w:lang w:val="en-US"/>
        </w:rPr>
        <w:t>Statistical analyses</w:t>
      </w:r>
    </w:p>
    <w:p w14:paraId="2A4808C6"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iCs/>
          <w:sz w:val="20"/>
          <w:szCs w:val="20"/>
          <w:lang w:val="en-US"/>
        </w:rPr>
      </w:pPr>
    </w:p>
    <w:p w14:paraId="288567C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OHIP prevalence, severity and extent were calculated for both study groups at every follow-up time point. Statistical significances between the groups in OHIP prevalence were analyzed using chi-square test, in OHIP severity using Student’s t-test, and in OHIP extent using Mann-Whitney U Test. Linear mixed-effect regression model was used to analyze factors associated with </w:t>
      </w:r>
      <w:r w:rsidRPr="006251D2">
        <w:rPr>
          <w:rFonts w:ascii="Times New Roman" w:hAnsi="Times New Roman" w:cs="Times New Roman"/>
          <w:sz w:val="20"/>
          <w:szCs w:val="20"/>
          <w:lang w:val="en-US"/>
        </w:rPr>
        <w:lastRenderedPageBreak/>
        <w:t xml:space="preserve">change in OHIP severity during the one-year follow-up, taking into account treatment time (one year vs. baseline, 3 months and 6 months), age, gender, and group status (splint vs. control group). The data were analyzed using SPSS software, version 22.0. </w:t>
      </w:r>
    </w:p>
    <w:p w14:paraId="02FB3264" w14:textId="77777777" w:rsidR="00D30BCC"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p>
    <w:p w14:paraId="2A193B06" w14:textId="77777777" w:rsidR="00D30BCC"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br w:type="page"/>
      </w:r>
    </w:p>
    <w:p w14:paraId="719C164B" w14:textId="075D8739" w:rsidR="00E93B9A"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lastRenderedPageBreak/>
        <w:t>Results</w:t>
      </w:r>
    </w:p>
    <w:p w14:paraId="79C8CA5E" w14:textId="77777777" w:rsidR="00D30BCC"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
          <w:bCs/>
          <w:sz w:val="20"/>
          <w:szCs w:val="20"/>
          <w:lang w:val="en-US"/>
        </w:rPr>
      </w:pPr>
    </w:p>
    <w:p w14:paraId="0C10383B" w14:textId="34B34146" w:rsidR="00E93B9A" w:rsidRPr="006251D2" w:rsidRDefault="0087611C" w:rsidP="007E1E18">
      <w:pPr>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highlight w:val="yellow"/>
          <w:lang w:val="en-US"/>
        </w:rPr>
        <w:t xml:space="preserve">A drop-out analysis </w:t>
      </w:r>
      <w:r w:rsidR="00690F16" w:rsidRPr="006251D2">
        <w:rPr>
          <w:rFonts w:ascii="Times New Roman" w:hAnsi="Times New Roman" w:cs="Times New Roman"/>
          <w:sz w:val="20"/>
          <w:szCs w:val="20"/>
          <w:highlight w:val="yellow"/>
          <w:lang w:val="en-US"/>
        </w:rPr>
        <w:t xml:space="preserve">showed no significant differences in </w:t>
      </w:r>
      <w:r w:rsidRPr="006251D2">
        <w:rPr>
          <w:rFonts w:ascii="Times New Roman" w:hAnsi="Times New Roman" w:cs="Times New Roman"/>
          <w:sz w:val="20"/>
          <w:szCs w:val="20"/>
          <w:highlight w:val="yellow"/>
          <w:lang w:val="en-US"/>
        </w:rPr>
        <w:t xml:space="preserve">age, gender, OHRQoL </w:t>
      </w:r>
      <w:r w:rsidR="00690F16" w:rsidRPr="006251D2">
        <w:rPr>
          <w:rFonts w:ascii="Times New Roman" w:hAnsi="Times New Roman" w:cs="Times New Roman"/>
          <w:sz w:val="20"/>
          <w:szCs w:val="20"/>
          <w:highlight w:val="yellow"/>
          <w:lang w:val="en-US"/>
        </w:rPr>
        <w:t xml:space="preserve">or </w:t>
      </w:r>
      <w:r w:rsidRPr="006251D2">
        <w:rPr>
          <w:rFonts w:ascii="Times New Roman" w:hAnsi="Times New Roman" w:cs="Times New Roman"/>
          <w:sz w:val="20"/>
          <w:szCs w:val="20"/>
          <w:highlight w:val="yellow"/>
          <w:lang w:val="en-US"/>
        </w:rPr>
        <w:t>facial pain intensity at baseline</w:t>
      </w:r>
      <w:r w:rsidR="00690F16" w:rsidRPr="006251D2">
        <w:rPr>
          <w:rFonts w:ascii="Times New Roman" w:hAnsi="Times New Roman" w:cs="Times New Roman"/>
          <w:sz w:val="20"/>
          <w:szCs w:val="20"/>
          <w:highlight w:val="yellow"/>
          <w:lang w:val="en-US"/>
        </w:rPr>
        <w:t xml:space="preserve"> between those who had dropped out vs. those who had stayed in the study group during the follow-up (Table 1). </w:t>
      </w:r>
      <w:r w:rsidRPr="006251D2">
        <w:rPr>
          <w:rFonts w:ascii="Times New Roman" w:hAnsi="Times New Roman" w:cs="Times New Roman"/>
          <w:sz w:val="20"/>
          <w:szCs w:val="20"/>
          <w:highlight w:val="yellow"/>
          <w:lang w:val="en-US"/>
        </w:rPr>
        <w:t xml:space="preserve"> </w:t>
      </w:r>
      <w:r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OHIP prevalence</w:t>
      </w:r>
      <w:r w:rsidR="00717F7A" w:rsidRPr="006251D2">
        <w:rPr>
          <w:rFonts w:ascii="Times New Roman" w:hAnsi="Times New Roman" w:cs="Times New Roman"/>
          <w:sz w:val="20"/>
          <w:szCs w:val="20"/>
          <w:lang w:val="en-US"/>
        </w:rPr>
        <w:t xml:space="preserve"> and extent scores with both</w:t>
      </w:r>
      <w:r w:rsidR="00E93B9A" w:rsidRPr="006251D2">
        <w:rPr>
          <w:rFonts w:ascii="Times New Roman" w:hAnsi="Times New Roman" w:cs="Times New Roman"/>
          <w:sz w:val="20"/>
          <w:szCs w:val="20"/>
          <w:lang w:val="en-US"/>
        </w:rPr>
        <w:t xml:space="preserve"> OFoVo and FoVo</w:t>
      </w:r>
      <w:r w:rsidR="00717F7A" w:rsidRPr="006251D2">
        <w:rPr>
          <w:rFonts w:ascii="Times New Roman" w:hAnsi="Times New Roman" w:cs="Times New Roman"/>
          <w:sz w:val="20"/>
          <w:szCs w:val="20"/>
          <w:lang w:val="en-US"/>
        </w:rPr>
        <w:t xml:space="preserve"> cut-points and</w:t>
      </w:r>
      <w:r w:rsidR="00E93B9A" w:rsidRPr="006251D2">
        <w:rPr>
          <w:rFonts w:ascii="Times New Roman" w:hAnsi="Times New Roman" w:cs="Times New Roman"/>
          <w:sz w:val="20"/>
          <w:szCs w:val="20"/>
          <w:lang w:val="en-US"/>
        </w:rPr>
        <w:t xml:space="preserve"> OHIP severity for both groups in all follow-up periods are presented in </w:t>
      </w:r>
      <w:r w:rsidR="00E93B9A" w:rsidRPr="006251D2">
        <w:rPr>
          <w:rFonts w:ascii="Times New Roman" w:hAnsi="Times New Roman" w:cs="Times New Roman"/>
          <w:sz w:val="20"/>
          <w:szCs w:val="20"/>
          <w:highlight w:val="yellow"/>
          <w:lang w:val="en-US"/>
        </w:rPr>
        <w:t xml:space="preserve">Table </w:t>
      </w:r>
      <w:r w:rsidR="00690F16" w:rsidRPr="006251D2">
        <w:rPr>
          <w:rFonts w:ascii="Times New Roman" w:hAnsi="Times New Roman" w:cs="Times New Roman"/>
          <w:sz w:val="20"/>
          <w:szCs w:val="20"/>
          <w:highlight w:val="yellow"/>
          <w:lang w:val="en-US"/>
        </w:rPr>
        <w:t>2</w:t>
      </w:r>
      <w:r w:rsidR="00E93B9A" w:rsidRPr="006251D2">
        <w:rPr>
          <w:rFonts w:ascii="Times New Roman" w:hAnsi="Times New Roman" w:cs="Times New Roman"/>
          <w:sz w:val="20"/>
          <w:szCs w:val="20"/>
          <w:lang w:val="en-US"/>
        </w:rPr>
        <w:t xml:space="preserve">. There were no statistically significant differences between the groups in any of the OHIP variables during the study. </w:t>
      </w:r>
    </w:p>
    <w:p w14:paraId="6549E202" w14:textId="77777777" w:rsidR="00E93B9A" w:rsidRPr="006251D2" w:rsidRDefault="00E93B9A" w:rsidP="007E1E18">
      <w:pPr>
        <w:spacing w:line="480" w:lineRule="auto"/>
        <w:jc w:val="both"/>
        <w:rPr>
          <w:rFonts w:ascii="Times New Roman" w:hAnsi="Times New Roman" w:cs="Times New Roman"/>
          <w:sz w:val="20"/>
          <w:szCs w:val="20"/>
          <w:lang w:val="en-US"/>
        </w:rPr>
      </w:pPr>
    </w:p>
    <w:p w14:paraId="5E7057DE" w14:textId="6EA7F5B1" w:rsidR="00E93B9A" w:rsidRPr="006251D2" w:rsidRDefault="00E93B9A" w:rsidP="007E1E18">
      <w:pPr>
        <w:spacing w:line="480" w:lineRule="auto"/>
        <w:jc w:val="both"/>
        <w:rPr>
          <w:rFonts w:ascii="Times New Roman" w:hAnsi="Times New Roman" w:cs="Times New Roman"/>
          <w:color w:val="000000" w:themeColor="text1"/>
          <w:sz w:val="20"/>
          <w:szCs w:val="20"/>
          <w:lang w:val="en-US"/>
        </w:rPr>
      </w:pPr>
      <w:r w:rsidRPr="006251D2">
        <w:rPr>
          <w:rFonts w:ascii="Times New Roman" w:hAnsi="Times New Roman" w:cs="Times New Roman"/>
          <w:color w:val="000000" w:themeColor="text1"/>
          <w:sz w:val="20"/>
          <w:szCs w:val="20"/>
          <w:lang w:val="en-US"/>
        </w:rPr>
        <w:t xml:space="preserve">The percentage distribution of the </w:t>
      </w:r>
      <w:r w:rsidR="00717F7A" w:rsidRPr="006251D2">
        <w:rPr>
          <w:rFonts w:ascii="Times New Roman" w:hAnsi="Times New Roman" w:cs="Times New Roman"/>
          <w:color w:val="000000" w:themeColor="text1"/>
          <w:sz w:val="20"/>
          <w:szCs w:val="20"/>
          <w:lang w:val="en-US"/>
        </w:rPr>
        <w:t xml:space="preserve">OFoVo </w:t>
      </w:r>
      <w:r w:rsidRPr="006251D2">
        <w:rPr>
          <w:rFonts w:ascii="Times New Roman" w:hAnsi="Times New Roman" w:cs="Times New Roman"/>
          <w:color w:val="000000" w:themeColor="text1"/>
          <w:sz w:val="20"/>
          <w:szCs w:val="20"/>
          <w:lang w:val="en-US"/>
        </w:rPr>
        <w:t xml:space="preserve">responses for each OHIP-14 item can be seen in Figure 2 (at baseline for the total study sample). The items in the physical pain dimension were reported most frequently (painful aching 74.6% and uncomfortable eating any foods 71.7%). More than half of the </w:t>
      </w:r>
      <w:r w:rsidRPr="006251D2">
        <w:rPr>
          <w:rFonts w:ascii="Times New Roman" w:hAnsi="Times New Roman" w:cs="Times New Roman"/>
          <w:color w:val="000000" w:themeColor="text1"/>
          <w:sz w:val="20"/>
          <w:szCs w:val="20"/>
          <w:lang w:val="en-US"/>
        </w:rPr>
        <w:lastRenderedPageBreak/>
        <w:t xml:space="preserve">patients reported the items in the psychological discomfort dimension (been self-conscious 53.7% and felt tense 55.2%) and the item in the psychological disability dimension (difficult to relax 53.7%). After one-year follow-up, the results were as follows: the items in the physical pain dimension (painful aching 67.4% and uncomfortable eating any foods 53.5%) and the items of the psychological discomfort dimension (been self-conscious 41.9% and felt tense 41.9%). Last, the item of psychological disability dimension (difficult to relax) was reported by 32.6% of the patients after one year of follow-up; this item exhibited the most considerable change from baseline to one-year follow-up. </w:t>
      </w:r>
      <w:r w:rsidR="00690F16" w:rsidRPr="006251D2">
        <w:rPr>
          <w:rFonts w:ascii="Times New Roman" w:hAnsi="Times New Roman" w:cs="Times New Roman"/>
          <w:color w:val="000000" w:themeColor="text1"/>
          <w:sz w:val="20"/>
          <w:szCs w:val="20"/>
          <w:highlight w:val="yellow"/>
          <w:lang w:val="en-US"/>
        </w:rPr>
        <w:t>(Fig. 3)</w:t>
      </w:r>
    </w:p>
    <w:p w14:paraId="16E7C421" w14:textId="77777777" w:rsidR="00E93B9A" w:rsidRPr="006251D2" w:rsidRDefault="00E93B9A" w:rsidP="007E1E18">
      <w:pPr>
        <w:spacing w:line="480" w:lineRule="auto"/>
        <w:jc w:val="both"/>
        <w:rPr>
          <w:rFonts w:ascii="Times New Roman" w:hAnsi="Times New Roman" w:cs="Times New Roman"/>
          <w:color w:val="000000" w:themeColor="text1"/>
          <w:sz w:val="20"/>
          <w:szCs w:val="20"/>
          <w:lang w:val="en-US"/>
        </w:rPr>
      </w:pPr>
    </w:p>
    <w:p w14:paraId="545BEFB8" w14:textId="4EB849D9" w:rsidR="00E93B9A" w:rsidRPr="006251D2" w:rsidRDefault="00E93B9A" w:rsidP="007E1E18">
      <w:pPr>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According to linear mixed-effect regression, time point was the only factor that associated statistically significantly with OHIP severity scores, which </w:t>
      </w:r>
      <w:r w:rsidRPr="006251D2">
        <w:rPr>
          <w:rFonts w:ascii="Times New Roman" w:hAnsi="Times New Roman" w:cs="Times New Roman"/>
          <w:sz w:val="20"/>
          <w:szCs w:val="20"/>
          <w:lang w:val="en-US"/>
        </w:rPr>
        <w:lastRenderedPageBreak/>
        <w:t xml:space="preserve">were highest at baseline. Group status was not associated with the change or rate of change of OHIP severity </w:t>
      </w:r>
      <w:r w:rsidRPr="006251D2">
        <w:rPr>
          <w:rFonts w:ascii="Times New Roman" w:hAnsi="Times New Roman" w:cs="Times New Roman"/>
          <w:sz w:val="20"/>
          <w:szCs w:val="20"/>
          <w:highlight w:val="yellow"/>
          <w:lang w:val="en-US"/>
        </w:rPr>
        <w:t xml:space="preserve">(Table </w:t>
      </w:r>
      <w:r w:rsidR="00690F16" w:rsidRPr="006251D2">
        <w:rPr>
          <w:rFonts w:ascii="Times New Roman" w:hAnsi="Times New Roman" w:cs="Times New Roman"/>
          <w:sz w:val="20"/>
          <w:szCs w:val="20"/>
          <w:highlight w:val="yellow"/>
          <w:lang w:val="en-US"/>
        </w:rPr>
        <w:t>3</w:t>
      </w:r>
      <w:r w:rsidRPr="006251D2">
        <w:rPr>
          <w:rFonts w:ascii="Times New Roman" w:hAnsi="Times New Roman" w:cs="Times New Roman"/>
          <w:sz w:val="20"/>
          <w:szCs w:val="20"/>
          <w:highlight w:val="yellow"/>
          <w:lang w:val="en-US"/>
        </w:rPr>
        <w:t>).</w:t>
      </w:r>
      <w:r w:rsidRPr="006251D2">
        <w:rPr>
          <w:rFonts w:ascii="Times New Roman" w:hAnsi="Times New Roman" w:cs="Times New Roman"/>
          <w:sz w:val="20"/>
          <w:szCs w:val="20"/>
          <w:lang w:val="en-US"/>
        </w:rPr>
        <w:t xml:space="preserve"> </w:t>
      </w:r>
    </w:p>
    <w:p w14:paraId="6608357E" w14:textId="77777777" w:rsidR="00E93B9A" w:rsidRPr="006251D2" w:rsidRDefault="00E93B9A" w:rsidP="007E1E18">
      <w:pPr>
        <w:spacing w:line="480" w:lineRule="auto"/>
        <w:jc w:val="both"/>
        <w:outlineLvl w:val="0"/>
        <w:rPr>
          <w:rFonts w:ascii="Times New Roman" w:hAnsi="Times New Roman" w:cs="Times New Roman"/>
          <w:sz w:val="20"/>
          <w:szCs w:val="20"/>
          <w:lang w:val="en-US"/>
        </w:rPr>
      </w:pPr>
    </w:p>
    <w:p w14:paraId="21F5D434" w14:textId="77777777" w:rsidR="00D30BCC" w:rsidRPr="006251D2" w:rsidRDefault="00D30BCC" w:rsidP="007E1E18">
      <w:pPr>
        <w:spacing w:line="480" w:lineRule="auto"/>
        <w:jc w:val="both"/>
        <w:outlineLvl w:val="0"/>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br w:type="page"/>
      </w:r>
    </w:p>
    <w:p w14:paraId="63F8FFD5" w14:textId="6C0BF654" w:rsidR="00E93B9A" w:rsidRPr="006251D2" w:rsidRDefault="00D30BCC" w:rsidP="007E1E18">
      <w:pPr>
        <w:spacing w:line="480" w:lineRule="auto"/>
        <w:jc w:val="both"/>
        <w:outlineLvl w:val="0"/>
        <w:rPr>
          <w:rFonts w:ascii="Times New Roman" w:hAnsi="Times New Roman" w:cs="Times New Roman"/>
          <w:b/>
          <w:bCs/>
          <w:sz w:val="20"/>
          <w:szCs w:val="20"/>
          <w:lang w:val="en-US"/>
        </w:rPr>
      </w:pPr>
      <w:r w:rsidRPr="006251D2">
        <w:rPr>
          <w:rFonts w:ascii="Times New Roman" w:hAnsi="Times New Roman" w:cs="Times New Roman"/>
          <w:b/>
          <w:bCs/>
          <w:sz w:val="20"/>
          <w:szCs w:val="20"/>
          <w:lang w:val="en-US"/>
        </w:rPr>
        <w:lastRenderedPageBreak/>
        <w:t>Discussion</w:t>
      </w:r>
    </w:p>
    <w:p w14:paraId="627B7F25" w14:textId="77777777" w:rsidR="00E93B9A" w:rsidRPr="006251D2" w:rsidRDefault="00E93B9A" w:rsidP="007E1E18">
      <w:pPr>
        <w:spacing w:after="120" w:line="480" w:lineRule="auto"/>
        <w:jc w:val="both"/>
        <w:rPr>
          <w:rFonts w:ascii="Times New Roman" w:hAnsi="Times New Roman" w:cs="Times New Roman"/>
          <w:sz w:val="20"/>
          <w:szCs w:val="20"/>
          <w:lang w:val="en-US"/>
        </w:rPr>
      </w:pPr>
    </w:p>
    <w:p w14:paraId="11447F54" w14:textId="3C9626DC" w:rsidR="007B4AED" w:rsidRPr="006251D2" w:rsidRDefault="00E93B9A" w:rsidP="007E1E18">
      <w:pPr>
        <w:widowControl w:val="0"/>
        <w:autoSpaceDE w:val="0"/>
        <w:autoSpaceDN w:val="0"/>
        <w:adjustRightInd w:val="0"/>
        <w:spacing w:line="480" w:lineRule="auto"/>
        <w:jc w:val="both"/>
        <w:rPr>
          <w:rFonts w:ascii="Times New Roman" w:hAnsi="Times New Roman" w:cs="Times New Roman"/>
          <w:bCs/>
          <w:sz w:val="20"/>
          <w:szCs w:val="20"/>
          <w:lang w:val="en-US"/>
        </w:rPr>
      </w:pPr>
      <w:r w:rsidRPr="006251D2">
        <w:rPr>
          <w:rFonts w:ascii="Times New Roman" w:hAnsi="Times New Roman" w:cs="Times New Roman"/>
          <w:bCs/>
          <w:sz w:val="20"/>
          <w:szCs w:val="20"/>
          <w:lang w:val="en-US"/>
        </w:rPr>
        <w:t>The results of this RCT showed that during treatment, OHRQoL decreased among TMD patients during the one-year follow-up. The</w:t>
      </w:r>
      <w:r w:rsidRPr="006251D2">
        <w:rPr>
          <w:rFonts w:ascii="Times New Roman" w:hAnsi="Times New Roman" w:cs="Times New Roman"/>
          <w:sz w:val="20"/>
          <w:szCs w:val="20"/>
          <w:lang w:val="en-US"/>
        </w:rPr>
        <w:t xml:space="preserve"> SS treatment did not offer significant benefit on OHRQoL compared with masticatory muscle exercises alone, as </w:t>
      </w:r>
      <w:r w:rsidRPr="006251D2">
        <w:rPr>
          <w:rFonts w:ascii="Times New Roman" w:hAnsi="Times New Roman" w:cs="Times New Roman"/>
          <w:bCs/>
          <w:sz w:val="20"/>
          <w:szCs w:val="20"/>
          <w:lang w:val="en-US"/>
        </w:rPr>
        <w:t>no statistically significant differences</w:t>
      </w:r>
      <w:r w:rsidR="006816C0" w:rsidRPr="006251D2">
        <w:rPr>
          <w:rFonts w:ascii="Times New Roman" w:hAnsi="Times New Roman" w:cs="Times New Roman"/>
          <w:sz w:val="20"/>
          <w:szCs w:val="20"/>
          <w:lang w:val="en-US"/>
        </w:rPr>
        <w:t xml:space="preserve"> </w:t>
      </w:r>
      <w:r w:rsidRPr="006251D2">
        <w:rPr>
          <w:rFonts w:ascii="Times New Roman" w:hAnsi="Times New Roman" w:cs="Times New Roman"/>
          <w:bCs/>
          <w:sz w:val="20"/>
          <w:szCs w:val="20"/>
          <w:lang w:val="en-US"/>
        </w:rPr>
        <w:t>were shown between the splint group and the control group in any of the OHIP variables.</w:t>
      </w:r>
      <w:r w:rsidR="006816C0" w:rsidRPr="006251D2">
        <w:rPr>
          <w:rFonts w:ascii="Times New Roman" w:hAnsi="Times New Roman" w:cs="Times New Roman"/>
          <w:bCs/>
          <w:sz w:val="20"/>
          <w:szCs w:val="20"/>
          <w:lang w:val="en-US"/>
        </w:rPr>
        <w:t xml:space="preserve"> </w:t>
      </w:r>
      <w:r w:rsidR="006816C0" w:rsidRPr="006251D2">
        <w:rPr>
          <w:rFonts w:ascii="Times New Roman" w:hAnsi="Times New Roman" w:cs="Times New Roman"/>
          <w:bCs/>
          <w:sz w:val="20"/>
          <w:szCs w:val="20"/>
          <w:highlight w:val="yellow"/>
          <w:lang w:val="en-US"/>
        </w:rPr>
        <w:t>Additionally, the group status did not associate with the OHIP-14 severity based on linear mixed effects model.</w:t>
      </w:r>
      <w:r w:rsidRPr="006251D2">
        <w:rPr>
          <w:rFonts w:ascii="Times New Roman" w:hAnsi="Times New Roman" w:cs="Times New Roman"/>
          <w:bCs/>
          <w:sz w:val="20"/>
          <w:szCs w:val="20"/>
          <w:lang w:val="en-US"/>
        </w:rPr>
        <w:t xml:space="preserve"> </w:t>
      </w:r>
      <w:r w:rsidR="007B4AED" w:rsidRPr="006251D2">
        <w:rPr>
          <w:rFonts w:ascii="Times New Roman" w:hAnsi="Times New Roman" w:cs="Times New Roman"/>
          <w:bCs/>
          <w:sz w:val="20"/>
          <w:szCs w:val="20"/>
          <w:highlight w:val="yellow"/>
          <w:lang w:val="en-US"/>
        </w:rPr>
        <w:t xml:space="preserve">The lack of </w:t>
      </w:r>
      <w:r w:rsidR="003747F9" w:rsidRPr="006251D2">
        <w:rPr>
          <w:rFonts w:ascii="Times New Roman" w:hAnsi="Times New Roman" w:cs="Times New Roman"/>
          <w:bCs/>
          <w:sz w:val="20"/>
          <w:szCs w:val="20"/>
          <w:highlight w:val="yellow"/>
          <w:lang w:val="en-US"/>
        </w:rPr>
        <w:t xml:space="preserve">statistical </w:t>
      </w:r>
      <w:r w:rsidR="007B4AED" w:rsidRPr="006251D2">
        <w:rPr>
          <w:rFonts w:ascii="Times New Roman" w:hAnsi="Times New Roman" w:cs="Times New Roman"/>
          <w:bCs/>
          <w:sz w:val="20"/>
          <w:szCs w:val="20"/>
          <w:highlight w:val="yellow"/>
          <w:lang w:val="en-US"/>
        </w:rPr>
        <w:t>differences</w:t>
      </w:r>
      <w:r w:rsidR="0055491B" w:rsidRPr="006251D2">
        <w:rPr>
          <w:rFonts w:ascii="Times New Roman" w:hAnsi="Times New Roman" w:cs="Times New Roman"/>
          <w:bCs/>
          <w:sz w:val="20"/>
          <w:szCs w:val="20"/>
          <w:highlight w:val="yellow"/>
          <w:lang w:val="en-US"/>
        </w:rPr>
        <w:t xml:space="preserve"> between the groups</w:t>
      </w:r>
      <w:r w:rsidR="00C627CB" w:rsidRPr="006251D2">
        <w:rPr>
          <w:rFonts w:ascii="Times New Roman" w:hAnsi="Times New Roman" w:cs="Times New Roman"/>
          <w:bCs/>
          <w:sz w:val="20"/>
          <w:szCs w:val="20"/>
          <w:highlight w:val="yellow"/>
          <w:lang w:val="en-US"/>
        </w:rPr>
        <w:t xml:space="preserve"> after one-year follow-up</w:t>
      </w:r>
      <w:r w:rsidR="0055491B" w:rsidRPr="006251D2">
        <w:rPr>
          <w:rFonts w:ascii="Times New Roman" w:hAnsi="Times New Roman" w:cs="Times New Roman"/>
          <w:bCs/>
          <w:sz w:val="20"/>
          <w:szCs w:val="20"/>
          <w:highlight w:val="yellow"/>
          <w:lang w:val="en-US"/>
        </w:rPr>
        <w:t xml:space="preserve"> can be </w:t>
      </w:r>
      <w:r w:rsidR="003747F9" w:rsidRPr="006251D2">
        <w:rPr>
          <w:rFonts w:ascii="Times New Roman" w:hAnsi="Times New Roman" w:cs="Times New Roman"/>
          <w:bCs/>
          <w:sz w:val="20"/>
          <w:szCs w:val="20"/>
          <w:highlight w:val="yellow"/>
          <w:lang w:val="en-US"/>
        </w:rPr>
        <w:t>due to that both</w:t>
      </w:r>
      <w:r w:rsidR="000565EB" w:rsidRPr="006251D2">
        <w:rPr>
          <w:rFonts w:ascii="Times New Roman" w:hAnsi="Times New Roman" w:cs="Times New Roman"/>
          <w:bCs/>
          <w:sz w:val="20"/>
          <w:szCs w:val="20"/>
          <w:highlight w:val="yellow"/>
          <w:lang w:val="en-US"/>
        </w:rPr>
        <w:t xml:space="preserve"> methods</w:t>
      </w:r>
      <w:r w:rsidR="003747F9" w:rsidRPr="006251D2">
        <w:rPr>
          <w:rFonts w:ascii="Times New Roman" w:hAnsi="Times New Roman" w:cs="Times New Roman"/>
          <w:bCs/>
          <w:sz w:val="20"/>
          <w:szCs w:val="20"/>
          <w:highlight w:val="yellow"/>
          <w:lang w:val="en-US"/>
        </w:rPr>
        <w:t>, the SS treatment and masticatory muscle exercise</w:t>
      </w:r>
      <w:r w:rsidR="000565EB" w:rsidRPr="006251D2">
        <w:rPr>
          <w:rFonts w:ascii="Times New Roman" w:hAnsi="Times New Roman" w:cs="Times New Roman"/>
          <w:bCs/>
          <w:sz w:val="20"/>
          <w:szCs w:val="20"/>
          <w:highlight w:val="yellow"/>
          <w:lang w:val="en-US"/>
        </w:rPr>
        <w:t>,</w:t>
      </w:r>
      <w:r w:rsidR="003747F9" w:rsidRPr="006251D2">
        <w:rPr>
          <w:rFonts w:ascii="Times New Roman" w:hAnsi="Times New Roman" w:cs="Times New Roman"/>
          <w:bCs/>
          <w:sz w:val="20"/>
          <w:szCs w:val="20"/>
          <w:highlight w:val="yellow"/>
          <w:lang w:val="en-US"/>
        </w:rPr>
        <w:t xml:space="preserve"> alone are effective</w:t>
      </w:r>
      <w:r w:rsidR="00F61DEF" w:rsidRPr="006251D2">
        <w:rPr>
          <w:rFonts w:ascii="Times New Roman" w:hAnsi="Times New Roman" w:cs="Times New Roman"/>
          <w:bCs/>
          <w:sz w:val="20"/>
          <w:szCs w:val="20"/>
          <w:highlight w:val="yellow"/>
          <w:lang w:val="en-US"/>
        </w:rPr>
        <w:t>.</w:t>
      </w:r>
      <w:r w:rsidR="003B2C64" w:rsidRPr="006251D2">
        <w:rPr>
          <w:rFonts w:ascii="Times New Roman" w:hAnsi="Times New Roman" w:cs="Times New Roman"/>
          <w:bCs/>
          <w:sz w:val="20"/>
          <w:szCs w:val="20"/>
          <w:highlight w:val="yellow"/>
          <w:lang w:val="en-US"/>
        </w:rPr>
        <w:t xml:space="preserve"> </w:t>
      </w:r>
      <w:r w:rsidR="00DE23E1" w:rsidRPr="006251D2">
        <w:rPr>
          <w:rFonts w:ascii="Times New Roman" w:hAnsi="Times New Roman" w:cs="Times New Roman"/>
          <w:bCs/>
          <w:sz w:val="20"/>
          <w:szCs w:val="20"/>
          <w:highlight w:val="yellow"/>
          <w:lang w:val="en-US"/>
        </w:rPr>
        <w:t>One possible explanation could also be the placebo effect</w:t>
      </w:r>
      <w:r w:rsidR="003B2C64" w:rsidRPr="006251D2">
        <w:rPr>
          <w:rFonts w:ascii="Times New Roman" w:hAnsi="Times New Roman" w:cs="Times New Roman"/>
          <w:bCs/>
          <w:sz w:val="20"/>
          <w:szCs w:val="20"/>
          <w:highlight w:val="yellow"/>
          <w:lang w:val="en-US"/>
        </w:rPr>
        <w:t>.</w:t>
      </w:r>
      <w:r w:rsidR="00F61DEF" w:rsidRPr="006251D2">
        <w:rPr>
          <w:rFonts w:ascii="Times New Roman" w:hAnsi="Times New Roman" w:cs="Times New Roman"/>
          <w:bCs/>
          <w:sz w:val="20"/>
          <w:szCs w:val="20"/>
          <w:highlight w:val="yellow"/>
          <w:lang w:val="en-US"/>
        </w:rPr>
        <w:t xml:space="preserve"> </w:t>
      </w:r>
      <w:r w:rsidR="000565EB" w:rsidRPr="006251D2">
        <w:rPr>
          <w:rFonts w:ascii="Times New Roman" w:hAnsi="Times New Roman" w:cs="Times New Roman"/>
          <w:bCs/>
          <w:sz w:val="20"/>
          <w:szCs w:val="20"/>
          <w:highlight w:val="yellow"/>
          <w:lang w:val="en-US"/>
        </w:rPr>
        <w:t xml:space="preserve">There were </w:t>
      </w:r>
      <w:r w:rsidR="00F61DEF" w:rsidRPr="006251D2">
        <w:rPr>
          <w:rFonts w:ascii="Times New Roman" w:hAnsi="Times New Roman" w:cs="Times New Roman"/>
          <w:bCs/>
          <w:sz w:val="20"/>
          <w:szCs w:val="20"/>
          <w:highlight w:val="yellow"/>
          <w:lang w:val="en-US"/>
        </w:rPr>
        <w:t xml:space="preserve">several </w:t>
      </w:r>
      <w:r w:rsidR="000565EB" w:rsidRPr="006251D2">
        <w:rPr>
          <w:rFonts w:ascii="Times New Roman" w:hAnsi="Times New Roman" w:cs="Times New Roman"/>
          <w:bCs/>
          <w:sz w:val="20"/>
          <w:szCs w:val="20"/>
          <w:highlight w:val="yellow"/>
          <w:lang w:val="en-US"/>
        </w:rPr>
        <w:t>patients who were referred to other treatment, switched groups or dropped out due to missed visits</w:t>
      </w:r>
      <w:r w:rsidR="00F61DEF" w:rsidRPr="006251D2">
        <w:rPr>
          <w:rFonts w:ascii="Times New Roman" w:hAnsi="Times New Roman" w:cs="Times New Roman"/>
          <w:bCs/>
          <w:sz w:val="20"/>
          <w:szCs w:val="20"/>
          <w:highlight w:val="yellow"/>
          <w:lang w:val="en-US"/>
        </w:rPr>
        <w:t>, which may also have affected on the results</w:t>
      </w:r>
      <w:r w:rsidR="000565EB" w:rsidRPr="006251D2">
        <w:rPr>
          <w:rFonts w:ascii="Times New Roman" w:hAnsi="Times New Roman" w:cs="Times New Roman"/>
          <w:bCs/>
          <w:sz w:val="20"/>
          <w:szCs w:val="20"/>
          <w:highlight w:val="yellow"/>
          <w:lang w:val="en-US"/>
        </w:rPr>
        <w:t>.</w:t>
      </w:r>
      <w:r w:rsidR="00F61DEF" w:rsidRPr="006251D2">
        <w:rPr>
          <w:rFonts w:ascii="Times New Roman" w:hAnsi="Times New Roman" w:cs="Times New Roman"/>
          <w:bCs/>
          <w:sz w:val="20"/>
          <w:szCs w:val="20"/>
          <w:lang w:val="en-US"/>
        </w:rPr>
        <w:t xml:space="preserve"> </w:t>
      </w:r>
    </w:p>
    <w:p w14:paraId="6E9D4B62" w14:textId="77777777"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p>
    <w:p w14:paraId="2361E2BE" w14:textId="749A601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r w:rsidRPr="006251D2">
        <w:rPr>
          <w:rFonts w:ascii="Times New Roman" w:hAnsi="Times New Roman" w:cs="Times New Roman"/>
          <w:bCs/>
          <w:sz w:val="20"/>
          <w:szCs w:val="20"/>
          <w:lang w:val="en-US"/>
        </w:rPr>
        <w:t xml:space="preserve">This </w:t>
      </w:r>
      <w:r w:rsidRPr="006251D2">
        <w:rPr>
          <w:rFonts w:ascii="Times New Roman" w:hAnsi="Times New Roman" w:cs="Times New Roman"/>
          <w:bCs/>
          <w:sz w:val="20"/>
          <w:szCs w:val="20"/>
          <w:highlight w:val="yellow"/>
          <w:lang w:val="en-US"/>
        </w:rPr>
        <w:t>RCT</w:t>
      </w:r>
      <w:r w:rsidRPr="006251D2">
        <w:rPr>
          <w:rFonts w:ascii="Times New Roman" w:hAnsi="Times New Roman" w:cs="Times New Roman"/>
          <w:bCs/>
          <w:sz w:val="20"/>
          <w:szCs w:val="20"/>
          <w:lang w:val="en-US"/>
        </w:rPr>
        <w:t xml:space="preserve"> is a novel</w:t>
      </w:r>
      <w:r w:rsidRPr="006251D2">
        <w:rPr>
          <w:rFonts w:ascii="Times New Roman" w:hAnsi="Times New Roman" w:cs="Times New Roman"/>
          <w:bCs/>
          <w:color w:val="FF0000"/>
          <w:sz w:val="20"/>
          <w:szCs w:val="20"/>
          <w:lang w:val="en-US"/>
        </w:rPr>
        <w:t xml:space="preserve"> </w:t>
      </w:r>
      <w:r w:rsidRPr="006251D2">
        <w:rPr>
          <w:rFonts w:ascii="Times New Roman" w:hAnsi="Times New Roman" w:cs="Times New Roman"/>
          <w:bCs/>
          <w:sz w:val="20"/>
          <w:szCs w:val="20"/>
          <w:lang w:val="en-US"/>
        </w:rPr>
        <w:t xml:space="preserve">study in this area: to our knowledge, there are no previous </w:t>
      </w:r>
      <w:r w:rsidRPr="006251D2">
        <w:rPr>
          <w:rFonts w:ascii="Times New Roman" w:hAnsi="Times New Roman" w:cs="Times New Roman"/>
          <w:bCs/>
          <w:sz w:val="20"/>
          <w:szCs w:val="20"/>
          <w:highlight w:val="yellow"/>
          <w:lang w:val="en-US"/>
        </w:rPr>
        <w:t>RCT</w:t>
      </w:r>
      <w:r w:rsidR="006816C0" w:rsidRPr="006251D2">
        <w:rPr>
          <w:rFonts w:ascii="Times New Roman" w:hAnsi="Times New Roman" w:cs="Times New Roman"/>
          <w:bCs/>
          <w:sz w:val="20"/>
          <w:szCs w:val="20"/>
          <w:highlight w:val="yellow"/>
          <w:lang w:val="en-US"/>
        </w:rPr>
        <w:t>s</w:t>
      </w:r>
      <w:r w:rsidRPr="006251D2">
        <w:rPr>
          <w:rFonts w:ascii="Times New Roman" w:hAnsi="Times New Roman" w:cs="Times New Roman"/>
          <w:bCs/>
          <w:sz w:val="20"/>
          <w:szCs w:val="20"/>
          <w:lang w:val="en-US"/>
        </w:rPr>
        <w:t xml:space="preserve"> on the impact of TMD treatment in relation to OHRQL. Alajbeg et al. (</w:t>
      </w:r>
      <w:r w:rsidR="006A45D1" w:rsidRPr="006251D2">
        <w:rPr>
          <w:rFonts w:ascii="Times New Roman" w:hAnsi="Times New Roman" w:cs="Times New Roman"/>
          <w:bCs/>
          <w:sz w:val="20"/>
          <w:szCs w:val="20"/>
          <w:lang w:val="en-US"/>
        </w:rPr>
        <w:t>25</w:t>
      </w:r>
      <w:r w:rsidRPr="006251D2">
        <w:rPr>
          <w:rFonts w:ascii="Times New Roman" w:hAnsi="Times New Roman" w:cs="Times New Roman"/>
          <w:bCs/>
          <w:sz w:val="20"/>
          <w:szCs w:val="20"/>
          <w:lang w:val="en-US"/>
        </w:rPr>
        <w:t xml:space="preserve">) conducted a pilot study evaluating the changes in pain intensity and self-perceived OHRQoL among thirty TMD patients during SS treatment.  They hypothesized that the treatment response is different depending on the clinical subtypes of TMD pain (myogenous or TMJ origin) or pain chronicity (acute or chronic pain). In contrast to our study, the follow-up time was shorter (6 months) and there no control group. </w:t>
      </w:r>
      <w:r w:rsidRPr="006251D2">
        <w:rPr>
          <w:rFonts w:ascii="Times New Roman" w:hAnsi="Times New Roman" w:cs="Times New Roman"/>
          <w:bCs/>
          <w:sz w:val="20"/>
          <w:szCs w:val="20"/>
          <w:highlight w:val="yellow"/>
          <w:lang w:val="en-US"/>
        </w:rPr>
        <w:t>The results</w:t>
      </w:r>
      <w:r w:rsidR="00B96537" w:rsidRPr="006251D2">
        <w:rPr>
          <w:rFonts w:ascii="Times New Roman" w:hAnsi="Times New Roman" w:cs="Times New Roman"/>
          <w:bCs/>
          <w:sz w:val="20"/>
          <w:szCs w:val="20"/>
          <w:highlight w:val="yellow"/>
          <w:lang w:val="en-US"/>
        </w:rPr>
        <w:t xml:space="preserve"> by Alajbeg (25)</w:t>
      </w:r>
      <w:r w:rsidRPr="006251D2">
        <w:rPr>
          <w:rFonts w:ascii="Times New Roman" w:hAnsi="Times New Roman" w:cs="Times New Roman"/>
          <w:bCs/>
          <w:sz w:val="20"/>
          <w:szCs w:val="20"/>
          <w:lang w:val="en-US"/>
        </w:rPr>
        <w:t xml:space="preserve"> showed that during the 6-month SS therapy there were statistically significant changes in pain intensity, as evaluated with VAS (Visual Analog</w:t>
      </w:r>
      <w:r w:rsidR="00DE1438" w:rsidRPr="006251D2">
        <w:rPr>
          <w:rFonts w:ascii="Times New Roman" w:hAnsi="Times New Roman" w:cs="Times New Roman"/>
          <w:bCs/>
          <w:sz w:val="20"/>
          <w:szCs w:val="20"/>
          <w:lang w:val="en-US"/>
        </w:rPr>
        <w:t>ue</w:t>
      </w:r>
      <w:r w:rsidRPr="006251D2">
        <w:rPr>
          <w:rFonts w:ascii="Times New Roman" w:hAnsi="Times New Roman" w:cs="Times New Roman"/>
          <w:bCs/>
          <w:sz w:val="20"/>
          <w:szCs w:val="20"/>
          <w:lang w:val="en-US"/>
        </w:rPr>
        <w:t xml:space="preserve"> Scale) and in OHRQoL, as evaluated with OHIP-14. However, </w:t>
      </w:r>
      <w:r w:rsidR="0001446C" w:rsidRPr="006251D2">
        <w:rPr>
          <w:rFonts w:ascii="Times New Roman" w:hAnsi="Times New Roman" w:cs="Times New Roman"/>
          <w:bCs/>
          <w:sz w:val="20"/>
          <w:szCs w:val="20"/>
          <w:highlight w:val="yellow"/>
          <w:lang w:val="en-US"/>
        </w:rPr>
        <w:t>they reported that</w:t>
      </w:r>
      <w:r w:rsidR="0001446C" w:rsidRPr="006251D2">
        <w:rPr>
          <w:rFonts w:ascii="Times New Roman" w:hAnsi="Times New Roman" w:cs="Times New Roman"/>
          <w:bCs/>
          <w:sz w:val="20"/>
          <w:szCs w:val="20"/>
          <w:lang w:val="en-US"/>
        </w:rPr>
        <w:t xml:space="preserve"> </w:t>
      </w:r>
      <w:r w:rsidRPr="006251D2">
        <w:rPr>
          <w:rFonts w:ascii="Times New Roman" w:hAnsi="Times New Roman" w:cs="Times New Roman"/>
          <w:bCs/>
          <w:sz w:val="20"/>
          <w:szCs w:val="20"/>
          <w:lang w:val="en-US"/>
        </w:rPr>
        <w:t xml:space="preserve">pain type (acute or chronic) or TMD pain subtype (muscular or joint) showed no significant differences in improvement rates. More </w:t>
      </w:r>
      <w:r w:rsidRPr="006251D2">
        <w:rPr>
          <w:rFonts w:ascii="Times New Roman" w:hAnsi="Times New Roman" w:cs="Times New Roman"/>
          <w:bCs/>
          <w:sz w:val="20"/>
          <w:szCs w:val="20"/>
          <w:highlight w:val="yellow"/>
          <w:lang w:val="en-US"/>
        </w:rPr>
        <w:t>RCT</w:t>
      </w:r>
      <w:r w:rsidR="0001446C" w:rsidRPr="006251D2">
        <w:rPr>
          <w:rFonts w:ascii="Times New Roman" w:hAnsi="Times New Roman" w:cs="Times New Roman"/>
          <w:bCs/>
          <w:sz w:val="20"/>
          <w:szCs w:val="20"/>
          <w:highlight w:val="yellow"/>
          <w:lang w:val="en-US"/>
        </w:rPr>
        <w:t>s</w:t>
      </w:r>
      <w:r w:rsidRPr="006251D2">
        <w:rPr>
          <w:rFonts w:ascii="Times New Roman" w:hAnsi="Times New Roman" w:cs="Times New Roman"/>
          <w:bCs/>
          <w:sz w:val="20"/>
          <w:szCs w:val="20"/>
          <w:lang w:val="en-US"/>
        </w:rPr>
        <w:t xml:space="preserve"> are </w:t>
      </w:r>
      <w:r w:rsidRPr="006251D2">
        <w:rPr>
          <w:rFonts w:ascii="Times New Roman" w:hAnsi="Times New Roman" w:cs="Times New Roman"/>
          <w:bCs/>
          <w:sz w:val="20"/>
          <w:szCs w:val="20"/>
          <w:lang w:val="en-US"/>
        </w:rPr>
        <w:lastRenderedPageBreak/>
        <w:t>needed considering the effect of SS therapy in relation to OHRQoL.</w:t>
      </w:r>
    </w:p>
    <w:p w14:paraId="7D445B7A"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p>
    <w:p w14:paraId="4F0038E9" w14:textId="3F7E18BC"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bCs/>
          <w:sz w:val="20"/>
          <w:szCs w:val="20"/>
          <w:lang w:val="en-US"/>
        </w:rPr>
        <w:t>A cross-sectional study (</w:t>
      </w:r>
      <w:r w:rsidR="000869EA" w:rsidRPr="006251D2">
        <w:rPr>
          <w:rFonts w:ascii="Times New Roman" w:hAnsi="Times New Roman" w:cs="Times New Roman"/>
          <w:bCs/>
          <w:sz w:val="20"/>
          <w:szCs w:val="20"/>
          <w:lang w:val="en-US"/>
        </w:rPr>
        <w:t>23</w:t>
      </w:r>
      <w:r w:rsidRPr="006251D2">
        <w:rPr>
          <w:rFonts w:ascii="Times New Roman" w:hAnsi="Times New Roman" w:cs="Times New Roman"/>
          <w:bCs/>
          <w:sz w:val="20"/>
          <w:szCs w:val="20"/>
          <w:lang w:val="en-US"/>
        </w:rPr>
        <w:t>), as part of the comprehensive nationwide Health 2000 Survey in Finland, investigated the prevalence and severity of OHRQoL</w:t>
      </w:r>
      <w:r w:rsidRPr="006251D2" w:rsidDel="00B0267F">
        <w:rPr>
          <w:rFonts w:ascii="Times New Roman" w:hAnsi="Times New Roman" w:cs="Times New Roman"/>
          <w:bCs/>
          <w:sz w:val="20"/>
          <w:szCs w:val="20"/>
          <w:lang w:val="en-US"/>
        </w:rPr>
        <w:t xml:space="preserve"> </w:t>
      </w:r>
      <w:r w:rsidRPr="006251D2">
        <w:rPr>
          <w:rFonts w:ascii="Times New Roman" w:hAnsi="Times New Roman" w:cs="Times New Roman"/>
          <w:bCs/>
          <w:sz w:val="20"/>
          <w:szCs w:val="20"/>
          <w:lang w:val="en-US"/>
        </w:rPr>
        <w:t xml:space="preserve">(as evaluated using OHIP-14) among Finnish adult population aged 30 years or over. Based on the study, the OHIP prevalence levels were 35.1% for OFoVo and 10.3% for FoVo, and the mean OHIP severity was 4.02 (95% CI 3.83–4.21). These levels are considerably lower than those in the present study, thus indicating that the OHRQoL among TMD patients </w:t>
      </w:r>
      <w:r w:rsidRPr="006251D2">
        <w:rPr>
          <w:rFonts w:ascii="Times New Roman" w:hAnsi="Times New Roman" w:cs="Times New Roman"/>
          <w:sz w:val="20"/>
          <w:szCs w:val="20"/>
          <w:lang w:val="en-US"/>
        </w:rPr>
        <w:t>is much poorer than among general adult population in Finland. Additionally, based on the present study, the OHIP values did not achieve the same levels as in normal population during either of the treatments (the SS treatment or mere counseling and masticatory muscle exercises).</w:t>
      </w:r>
      <w:r w:rsidR="002C6D2D"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The results of the present study support the earlier findings on OHRQoL among TMD patients (</w:t>
      </w:r>
      <w:r w:rsidR="000869EA" w:rsidRPr="006251D2">
        <w:rPr>
          <w:rFonts w:ascii="Times New Roman" w:hAnsi="Times New Roman" w:cs="Times New Roman"/>
          <w:sz w:val="20"/>
          <w:szCs w:val="20"/>
          <w:lang w:val="en-US"/>
        </w:rPr>
        <w:t>11–</w:t>
      </w:r>
      <w:r w:rsidR="000869EA" w:rsidRPr="006251D2">
        <w:rPr>
          <w:rFonts w:ascii="Times New Roman" w:hAnsi="Times New Roman" w:cs="Times New Roman"/>
          <w:sz w:val="20"/>
          <w:szCs w:val="20"/>
          <w:lang w:val="en-US"/>
        </w:rPr>
        <w:lastRenderedPageBreak/>
        <w:t>12</w:t>
      </w:r>
      <w:r w:rsidRPr="006251D2">
        <w:rPr>
          <w:rFonts w:ascii="Times New Roman" w:hAnsi="Times New Roman" w:cs="Times New Roman"/>
          <w:sz w:val="20"/>
          <w:szCs w:val="20"/>
          <w:lang w:val="en-US"/>
        </w:rPr>
        <w:t xml:space="preserve">, </w:t>
      </w:r>
      <w:r w:rsidR="000869EA" w:rsidRPr="006251D2">
        <w:rPr>
          <w:rFonts w:ascii="Times New Roman" w:hAnsi="Times New Roman" w:cs="Times New Roman"/>
          <w:sz w:val="20"/>
          <w:szCs w:val="20"/>
          <w:lang w:val="en-US"/>
        </w:rPr>
        <w:t>15–16</w:t>
      </w:r>
      <w:r w:rsidRPr="006251D2">
        <w:rPr>
          <w:rFonts w:ascii="Times New Roman" w:hAnsi="Times New Roman" w:cs="Times New Roman"/>
          <w:sz w:val="20"/>
          <w:szCs w:val="20"/>
          <w:lang w:val="en-US"/>
        </w:rPr>
        <w:t xml:space="preserve">). </w:t>
      </w:r>
      <w:r w:rsidRPr="006251D2">
        <w:rPr>
          <w:rFonts w:ascii="Times New Roman" w:hAnsi="Times New Roman" w:cs="Times New Roman"/>
          <w:bCs/>
          <w:sz w:val="20"/>
          <w:szCs w:val="20"/>
          <w:lang w:val="en-US"/>
        </w:rPr>
        <w:t>Papagianni et al. (</w:t>
      </w:r>
      <w:r w:rsidR="00843534" w:rsidRPr="006251D2">
        <w:rPr>
          <w:rFonts w:ascii="Times New Roman" w:hAnsi="Times New Roman" w:cs="Times New Roman"/>
          <w:bCs/>
          <w:sz w:val="20"/>
          <w:szCs w:val="20"/>
          <w:lang w:val="en-US"/>
        </w:rPr>
        <w:t>26</w:t>
      </w:r>
      <w:r w:rsidRPr="006251D2">
        <w:rPr>
          <w:rFonts w:ascii="Times New Roman" w:hAnsi="Times New Roman" w:cs="Times New Roman"/>
          <w:bCs/>
          <w:sz w:val="20"/>
          <w:szCs w:val="20"/>
          <w:lang w:val="en-US"/>
        </w:rPr>
        <w:t xml:space="preserve">) have pointed out that TMD pain seems to have a more significant impact on patients’ everyday life than tooth wear or edentulousness. </w:t>
      </w:r>
      <w:r w:rsidRPr="006251D2">
        <w:rPr>
          <w:rFonts w:ascii="Times New Roman" w:hAnsi="Times New Roman" w:cs="Times New Roman"/>
          <w:sz w:val="20"/>
          <w:szCs w:val="20"/>
          <w:lang w:val="en-US"/>
        </w:rPr>
        <w:t>Almoznino et al. (</w:t>
      </w:r>
      <w:r w:rsidR="00843534" w:rsidRPr="006251D2">
        <w:rPr>
          <w:rFonts w:ascii="Times New Roman" w:hAnsi="Times New Roman" w:cs="Times New Roman"/>
          <w:sz w:val="20"/>
          <w:szCs w:val="20"/>
          <w:lang w:val="en-US"/>
        </w:rPr>
        <w:t>14</w:t>
      </w:r>
      <w:r w:rsidRPr="006251D2">
        <w:rPr>
          <w:rFonts w:ascii="Times New Roman" w:hAnsi="Times New Roman" w:cs="Times New Roman"/>
          <w:sz w:val="20"/>
          <w:szCs w:val="20"/>
          <w:lang w:val="en-US"/>
        </w:rPr>
        <w:t>) have shown that TMD patients suffer more from impaired OHRQoL compared to controls. According to their study, TMD patients showed worse scores in OHIP-14 in the following domains: physical pain, psychological discomfort, physical disability and psychological disability. The mean OHIP-14 severity was 12.50 ± 8.14 in the TMD group and 9.58 ± 10.00 in the control group. Similar OHIP profiles were also seen in our study. Physical pain (painful aching and uncomfortable eating any foods) was the most frequently reported OHIP dimension in the total study sample, psychological discomfort (been self-conscious and felt tense) being the second most frequently reported. These results support the bio-psychosocial model in the background of TMD (</w:t>
      </w:r>
      <w:r w:rsidR="00843534" w:rsidRPr="006251D2">
        <w:rPr>
          <w:rFonts w:ascii="Times New Roman" w:hAnsi="Times New Roman" w:cs="Times New Roman"/>
          <w:sz w:val="20"/>
          <w:szCs w:val="20"/>
          <w:lang w:val="en-US"/>
        </w:rPr>
        <w:t>27</w:t>
      </w:r>
      <w:r w:rsidRPr="006251D2">
        <w:rPr>
          <w:rFonts w:ascii="Times New Roman" w:hAnsi="Times New Roman" w:cs="Times New Roman"/>
          <w:sz w:val="20"/>
          <w:szCs w:val="20"/>
          <w:lang w:val="en-US"/>
        </w:rPr>
        <w:t xml:space="preserve">). Also, TMD associate with impaired OHRQoL through multiple ways, linked with depression </w:t>
      </w:r>
      <w:r w:rsidRPr="006251D2">
        <w:rPr>
          <w:rFonts w:ascii="Times New Roman" w:hAnsi="Times New Roman" w:cs="Times New Roman"/>
          <w:sz w:val="20"/>
          <w:szCs w:val="20"/>
          <w:lang w:val="en-US"/>
        </w:rPr>
        <w:lastRenderedPageBreak/>
        <w:t>and somatization</w:t>
      </w:r>
      <w:r w:rsidRPr="006251D2" w:rsidDel="00A23308">
        <w:rPr>
          <w:rFonts w:ascii="Times New Roman" w:hAnsi="Times New Roman" w:cs="Times New Roman"/>
          <w:bCs/>
          <w:sz w:val="20"/>
          <w:szCs w:val="20"/>
          <w:lang w:val="en-US"/>
        </w:rPr>
        <w:t xml:space="preserve"> </w:t>
      </w:r>
      <w:r w:rsidRPr="006251D2">
        <w:rPr>
          <w:rFonts w:ascii="Times New Roman" w:hAnsi="Times New Roman" w:cs="Times New Roman"/>
          <w:bCs/>
          <w:sz w:val="20"/>
          <w:szCs w:val="20"/>
          <w:lang w:val="en-US"/>
        </w:rPr>
        <w:t>(</w:t>
      </w:r>
      <w:r w:rsidR="00843534" w:rsidRPr="006251D2">
        <w:rPr>
          <w:rFonts w:ascii="Times New Roman" w:hAnsi="Times New Roman" w:cs="Times New Roman"/>
          <w:bCs/>
          <w:sz w:val="20"/>
          <w:szCs w:val="20"/>
          <w:lang w:val="en-US"/>
        </w:rPr>
        <w:t>14</w:t>
      </w:r>
      <w:r w:rsidR="00843534" w:rsidRPr="006251D2">
        <w:rPr>
          <w:rFonts w:ascii="Times New Roman" w:hAnsi="Times New Roman" w:cs="Times New Roman"/>
          <w:sz w:val="20"/>
          <w:szCs w:val="20"/>
          <w:lang w:val="en-US"/>
        </w:rPr>
        <w:t>–15</w:t>
      </w:r>
      <w:r w:rsidRPr="006251D2">
        <w:rPr>
          <w:rFonts w:ascii="Times New Roman" w:hAnsi="Times New Roman" w:cs="Times New Roman"/>
          <w:bCs/>
          <w:sz w:val="20"/>
          <w:szCs w:val="20"/>
          <w:lang w:val="en-US"/>
        </w:rPr>
        <w:t xml:space="preserve">). </w:t>
      </w:r>
      <w:r w:rsidRPr="006251D2">
        <w:rPr>
          <w:rFonts w:ascii="Times New Roman" w:hAnsi="Times New Roman" w:cs="Times New Roman"/>
          <w:sz w:val="20"/>
          <w:szCs w:val="20"/>
          <w:lang w:val="en-US"/>
        </w:rPr>
        <w:t>Further clinical trials with more individualized treatment programs that also take the psychosocial aspects into account are needed.</w:t>
      </w:r>
    </w:p>
    <w:p w14:paraId="5694149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p>
    <w:p w14:paraId="09E7C04D" w14:textId="0A5181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r w:rsidRPr="006251D2">
        <w:rPr>
          <w:rFonts w:ascii="Times New Roman" w:hAnsi="Times New Roman" w:cs="Times New Roman"/>
          <w:bCs/>
          <w:sz w:val="20"/>
          <w:szCs w:val="20"/>
          <w:lang w:val="en-US"/>
        </w:rPr>
        <w:t>Other studies have reported changes in OHRQoL among patients with malocclusion and TMD during occlusal rehabilitation. Silvola et al. (</w:t>
      </w:r>
      <w:r w:rsidR="00E82900" w:rsidRPr="006251D2">
        <w:rPr>
          <w:rFonts w:ascii="Times New Roman" w:hAnsi="Times New Roman" w:cs="Times New Roman"/>
          <w:bCs/>
          <w:sz w:val="20"/>
          <w:szCs w:val="20"/>
          <w:lang w:val="en-US"/>
        </w:rPr>
        <w:t>28</w:t>
      </w:r>
      <w:r w:rsidRPr="006251D2">
        <w:rPr>
          <w:rFonts w:ascii="Times New Roman" w:hAnsi="Times New Roman" w:cs="Times New Roman"/>
          <w:bCs/>
          <w:sz w:val="20"/>
          <w:szCs w:val="20"/>
          <w:lang w:val="en-US"/>
        </w:rPr>
        <w:t>) found that during treatment (orthodontic or surgical-orthodontic), the mean OHIP severity (</w:t>
      </w:r>
      <w:r w:rsidRPr="006251D2">
        <w:rPr>
          <w:rFonts w:ascii="Times New Roman" w:hAnsi="Times New Roman" w:cs="Times New Roman"/>
          <w:bCs/>
          <w:i/>
          <w:sz w:val="20"/>
          <w:szCs w:val="20"/>
          <w:lang w:val="en-US"/>
        </w:rPr>
        <w:t>n</w:t>
      </w:r>
      <w:r w:rsidRPr="006251D2">
        <w:rPr>
          <w:rFonts w:ascii="Times New Roman" w:hAnsi="Times New Roman" w:cs="Times New Roman"/>
          <w:bCs/>
          <w:sz w:val="20"/>
          <w:szCs w:val="20"/>
          <w:lang w:val="en-US"/>
        </w:rPr>
        <w:t xml:space="preserve"> = 51) decreased from 17.6 (baseline) to 4.1 (after treatment). This is considerably lower compared to the corresponding values found in the present study after treatment. On the other hand, the OHIP prevalence for FoVo was 70.6 % before and 9.8% after the orthodontic or surgical-orthodontic treatment. </w:t>
      </w:r>
      <w:r w:rsidR="00EA54AD" w:rsidRPr="006251D2">
        <w:rPr>
          <w:rFonts w:ascii="Times New Roman" w:hAnsi="Times New Roman" w:cs="Times New Roman"/>
          <w:bCs/>
          <w:sz w:val="20"/>
          <w:szCs w:val="20"/>
          <w:highlight w:val="yellow"/>
          <w:lang w:val="en-US"/>
        </w:rPr>
        <w:t xml:space="preserve">In the present study, </w:t>
      </w:r>
      <w:r w:rsidR="005010C1" w:rsidRPr="006251D2">
        <w:rPr>
          <w:rFonts w:ascii="Times New Roman" w:hAnsi="Times New Roman" w:cs="Times New Roman"/>
          <w:bCs/>
          <w:sz w:val="20"/>
          <w:szCs w:val="20"/>
          <w:highlight w:val="yellow"/>
          <w:lang w:val="en-US"/>
        </w:rPr>
        <w:t>t</w:t>
      </w:r>
      <w:r w:rsidRPr="006251D2">
        <w:rPr>
          <w:rFonts w:ascii="Times New Roman" w:hAnsi="Times New Roman" w:cs="Times New Roman"/>
          <w:bCs/>
          <w:sz w:val="20"/>
          <w:szCs w:val="20"/>
          <w:highlight w:val="yellow"/>
          <w:lang w:val="en-US"/>
        </w:rPr>
        <w:t>he most significant changes in the mean scores of OHIP-14 dimensions were observed in psychological discomfort and physical pain dimensions</w:t>
      </w:r>
      <w:r w:rsidR="00EA54AD" w:rsidRPr="006251D2">
        <w:rPr>
          <w:rFonts w:ascii="Times New Roman" w:hAnsi="Times New Roman" w:cs="Times New Roman"/>
          <w:bCs/>
          <w:sz w:val="20"/>
          <w:szCs w:val="20"/>
          <w:highlight w:val="yellow"/>
          <w:lang w:val="en-US"/>
        </w:rPr>
        <w:t>,</w:t>
      </w:r>
      <w:r w:rsidR="00510003" w:rsidRPr="006251D2">
        <w:rPr>
          <w:rFonts w:ascii="Times New Roman" w:hAnsi="Times New Roman" w:cs="Times New Roman"/>
          <w:bCs/>
          <w:sz w:val="20"/>
          <w:szCs w:val="20"/>
          <w:highlight w:val="yellow"/>
          <w:lang w:val="en-US"/>
        </w:rPr>
        <w:t xml:space="preserve"> thus indicating that besides pain and </w:t>
      </w:r>
      <w:r w:rsidR="00D0548D" w:rsidRPr="006251D2">
        <w:rPr>
          <w:rFonts w:ascii="Times New Roman" w:hAnsi="Times New Roman" w:cs="Times New Roman"/>
          <w:bCs/>
          <w:sz w:val="20"/>
          <w:szCs w:val="20"/>
          <w:highlight w:val="yellow"/>
          <w:lang w:val="en-US"/>
        </w:rPr>
        <w:lastRenderedPageBreak/>
        <w:t>discomfort</w:t>
      </w:r>
      <w:r w:rsidR="00510003" w:rsidRPr="006251D2">
        <w:rPr>
          <w:rFonts w:ascii="Times New Roman" w:hAnsi="Times New Roman" w:cs="Times New Roman"/>
          <w:bCs/>
          <w:sz w:val="20"/>
          <w:szCs w:val="20"/>
          <w:highlight w:val="yellow"/>
          <w:lang w:val="en-US"/>
        </w:rPr>
        <w:t>, psychological problems, such as poor self-consciousness, feeling tense and difficulty to relax, are strongly linked with symptomatology of TMD patients</w:t>
      </w:r>
      <w:r w:rsidR="00347630" w:rsidRPr="006251D2">
        <w:rPr>
          <w:rFonts w:ascii="Times New Roman" w:hAnsi="Times New Roman" w:cs="Times New Roman"/>
          <w:bCs/>
          <w:sz w:val="20"/>
          <w:szCs w:val="20"/>
          <w:highlight w:val="yellow"/>
          <w:lang w:val="en-US"/>
        </w:rPr>
        <w:t>, and may also relieve the most during the treatment. These</w:t>
      </w:r>
      <w:r w:rsidR="003E5774" w:rsidRPr="006251D2">
        <w:rPr>
          <w:rFonts w:ascii="Times New Roman" w:hAnsi="Times New Roman" w:cs="Times New Roman"/>
          <w:bCs/>
          <w:sz w:val="20"/>
          <w:szCs w:val="20"/>
          <w:highlight w:val="yellow"/>
          <w:lang w:val="en-US"/>
        </w:rPr>
        <w:t xml:space="preserve"> change</w:t>
      </w:r>
      <w:r w:rsidR="00347630" w:rsidRPr="006251D2">
        <w:rPr>
          <w:rFonts w:ascii="Times New Roman" w:hAnsi="Times New Roman" w:cs="Times New Roman"/>
          <w:bCs/>
          <w:sz w:val="20"/>
          <w:szCs w:val="20"/>
          <w:highlight w:val="yellow"/>
          <w:lang w:val="en-US"/>
        </w:rPr>
        <w:t>s</w:t>
      </w:r>
      <w:r w:rsidR="003E5774" w:rsidRPr="006251D2">
        <w:rPr>
          <w:rFonts w:ascii="Times New Roman" w:hAnsi="Times New Roman" w:cs="Times New Roman"/>
          <w:bCs/>
          <w:sz w:val="20"/>
          <w:szCs w:val="20"/>
          <w:highlight w:val="yellow"/>
          <w:lang w:val="en-US"/>
        </w:rPr>
        <w:t xml:space="preserve"> may be </w:t>
      </w:r>
      <w:r w:rsidR="00EA54AD" w:rsidRPr="006251D2">
        <w:rPr>
          <w:rFonts w:ascii="Times New Roman" w:hAnsi="Times New Roman" w:cs="Times New Roman"/>
          <w:bCs/>
          <w:sz w:val="20"/>
          <w:szCs w:val="20"/>
          <w:highlight w:val="yellow"/>
          <w:lang w:val="en-US"/>
        </w:rPr>
        <w:t xml:space="preserve">due to the </w:t>
      </w:r>
      <w:r w:rsidR="003E5774" w:rsidRPr="006251D2">
        <w:rPr>
          <w:rFonts w:ascii="Times New Roman" w:hAnsi="Times New Roman" w:cs="Times New Roman"/>
          <w:bCs/>
          <w:sz w:val="20"/>
          <w:szCs w:val="20"/>
          <w:highlight w:val="yellow"/>
          <w:lang w:val="en-US"/>
        </w:rPr>
        <w:t>actual effect of the treatment received,</w:t>
      </w:r>
      <w:r w:rsidR="00E97040" w:rsidRPr="006251D2">
        <w:rPr>
          <w:rFonts w:ascii="Times New Roman" w:hAnsi="Times New Roman" w:cs="Times New Roman"/>
          <w:bCs/>
          <w:sz w:val="20"/>
          <w:szCs w:val="20"/>
          <w:highlight w:val="yellow"/>
          <w:lang w:val="en-US"/>
        </w:rPr>
        <w:t xml:space="preserve"> the </w:t>
      </w:r>
      <w:r w:rsidR="00EA54AD" w:rsidRPr="006251D2">
        <w:rPr>
          <w:rFonts w:ascii="Times New Roman" w:hAnsi="Times New Roman" w:cs="Times New Roman"/>
          <w:bCs/>
          <w:sz w:val="20"/>
          <w:szCs w:val="20"/>
          <w:highlight w:val="yellow"/>
          <w:lang w:val="en-US"/>
        </w:rPr>
        <w:t>placebo effect, or</w:t>
      </w:r>
      <w:r w:rsidR="00347630" w:rsidRPr="006251D2">
        <w:rPr>
          <w:rFonts w:ascii="Times New Roman" w:hAnsi="Times New Roman" w:cs="Times New Roman"/>
          <w:bCs/>
          <w:sz w:val="20"/>
          <w:szCs w:val="20"/>
          <w:highlight w:val="yellow"/>
          <w:lang w:val="en-US"/>
        </w:rPr>
        <w:t xml:space="preserve"> </w:t>
      </w:r>
      <w:r w:rsidR="003E5774" w:rsidRPr="006251D2">
        <w:rPr>
          <w:rFonts w:ascii="Times New Roman" w:hAnsi="Times New Roman" w:cs="Times New Roman"/>
          <w:bCs/>
          <w:sz w:val="20"/>
          <w:szCs w:val="20"/>
          <w:highlight w:val="yellow"/>
          <w:lang w:val="en-US"/>
        </w:rPr>
        <w:t xml:space="preserve">possibly due </w:t>
      </w:r>
      <w:r w:rsidR="00EA54AD" w:rsidRPr="006251D2">
        <w:rPr>
          <w:rFonts w:ascii="Times New Roman" w:hAnsi="Times New Roman" w:cs="Times New Roman"/>
          <w:bCs/>
          <w:sz w:val="20"/>
          <w:szCs w:val="20"/>
          <w:highlight w:val="yellow"/>
          <w:lang w:val="en-US"/>
        </w:rPr>
        <w:t>fluctuation in stress condition</w:t>
      </w:r>
      <w:r w:rsidR="003E5774" w:rsidRPr="006251D2">
        <w:rPr>
          <w:rFonts w:ascii="Times New Roman" w:hAnsi="Times New Roman" w:cs="Times New Roman"/>
          <w:bCs/>
          <w:sz w:val="20"/>
          <w:szCs w:val="20"/>
          <w:highlight w:val="yellow"/>
          <w:lang w:val="en-US"/>
        </w:rPr>
        <w:t xml:space="preserve"> during the follow-up</w:t>
      </w:r>
      <w:r w:rsidR="0083443C" w:rsidRPr="006251D2">
        <w:rPr>
          <w:rFonts w:ascii="Times New Roman" w:hAnsi="Times New Roman" w:cs="Times New Roman"/>
          <w:bCs/>
          <w:sz w:val="20"/>
          <w:szCs w:val="20"/>
          <w:highlight w:val="yellow"/>
          <w:lang w:val="en-US"/>
        </w:rPr>
        <w:t>.</w:t>
      </w:r>
    </w:p>
    <w:p w14:paraId="1AC907B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p>
    <w:p w14:paraId="7CDB48E7" w14:textId="4E625346" w:rsidR="00D0548D" w:rsidRPr="006251D2" w:rsidRDefault="00E93B9A" w:rsidP="008D6E78">
      <w:pPr>
        <w:spacing w:after="100" w:line="480" w:lineRule="auto"/>
        <w:rPr>
          <w:rFonts w:ascii="Times New Roman" w:eastAsia="Times New Roman" w:hAnsi="Times New Roman" w:cs="Times New Roman"/>
          <w:i/>
          <w:sz w:val="20"/>
          <w:szCs w:val="20"/>
          <w:lang w:val="en-US" w:eastAsia="fi-FI"/>
        </w:rPr>
      </w:pPr>
      <w:r w:rsidRPr="006251D2">
        <w:rPr>
          <w:rFonts w:ascii="Times New Roman" w:hAnsi="Times New Roman" w:cs="Times New Roman"/>
          <w:bCs/>
          <w:sz w:val="20"/>
          <w:szCs w:val="20"/>
          <w:lang w:val="en-US"/>
        </w:rPr>
        <w:t>The study design and a relatively long follow-up time were the strengths of this RCT. The instruments used, i.e. RDC/TMD criteria and OHIP-14, are valid and standardized in the assessment of TMD and OHRLQoL. OHIP-14 has been shown to have good reliability, validity and precision (</w:t>
      </w:r>
      <w:r w:rsidR="00843534" w:rsidRPr="006251D2">
        <w:rPr>
          <w:rFonts w:ascii="Times New Roman" w:hAnsi="Times New Roman" w:cs="Times New Roman"/>
          <w:bCs/>
          <w:sz w:val="20"/>
          <w:szCs w:val="20"/>
          <w:lang w:val="en-US"/>
        </w:rPr>
        <w:t>29</w:t>
      </w:r>
      <w:r w:rsidRPr="006251D2">
        <w:rPr>
          <w:rFonts w:ascii="Times New Roman" w:hAnsi="Times New Roman" w:cs="Times New Roman"/>
          <w:bCs/>
          <w:sz w:val="20"/>
          <w:szCs w:val="20"/>
          <w:lang w:val="en-US"/>
        </w:rPr>
        <w:t xml:space="preserve">). </w:t>
      </w:r>
      <w:r w:rsidR="00D0548D" w:rsidRPr="006251D2">
        <w:rPr>
          <w:rFonts w:ascii="Times New Roman" w:hAnsi="Times New Roman" w:cs="Times New Roman"/>
          <w:bCs/>
          <w:sz w:val="20"/>
          <w:szCs w:val="20"/>
          <w:highlight w:val="yellow"/>
          <w:lang w:val="en-US"/>
        </w:rPr>
        <w:t>While The RDC/TMD Axis II criteria used in the assessment of pain chronicity and psychosocial factors  are TMD</w:t>
      </w:r>
      <w:r w:rsidR="0064136A" w:rsidRPr="006251D2">
        <w:rPr>
          <w:rFonts w:ascii="Times New Roman" w:hAnsi="Times New Roman" w:cs="Times New Roman"/>
          <w:bCs/>
          <w:sz w:val="20"/>
          <w:szCs w:val="20"/>
          <w:highlight w:val="yellow"/>
          <w:lang w:val="en-US"/>
        </w:rPr>
        <w:t>/chronic pain</w:t>
      </w:r>
      <w:r w:rsidR="00D0548D" w:rsidRPr="006251D2">
        <w:rPr>
          <w:rFonts w:ascii="Times New Roman" w:hAnsi="Times New Roman" w:cs="Times New Roman"/>
          <w:bCs/>
          <w:sz w:val="20"/>
          <w:szCs w:val="20"/>
          <w:highlight w:val="yellow"/>
          <w:lang w:val="en-US"/>
        </w:rPr>
        <w:t xml:space="preserve">-specific, </w:t>
      </w:r>
      <w:r w:rsidR="00D0548D" w:rsidRPr="006251D2">
        <w:rPr>
          <w:rFonts w:ascii="Times New Roman" w:eastAsia="Times New Roman" w:hAnsi="Times New Roman" w:cs="Times New Roman"/>
          <w:sz w:val="20"/>
          <w:szCs w:val="20"/>
          <w:highlight w:val="yellow"/>
          <w:lang w:val="en-US" w:eastAsia="fi-FI"/>
        </w:rPr>
        <w:t>OHIP is</w:t>
      </w:r>
      <w:r w:rsidR="0064136A" w:rsidRPr="006251D2">
        <w:rPr>
          <w:rFonts w:ascii="Times New Roman" w:eastAsia="Times New Roman" w:hAnsi="Times New Roman" w:cs="Times New Roman"/>
          <w:sz w:val="20"/>
          <w:szCs w:val="20"/>
          <w:highlight w:val="yellow"/>
          <w:lang w:val="en-US" w:eastAsia="fi-FI"/>
        </w:rPr>
        <w:t xml:space="preserve"> a</w:t>
      </w:r>
      <w:r w:rsidR="00D0548D" w:rsidRPr="006251D2">
        <w:rPr>
          <w:rFonts w:ascii="Times New Roman" w:eastAsia="Times New Roman" w:hAnsi="Times New Roman" w:cs="Times New Roman"/>
          <w:sz w:val="20"/>
          <w:szCs w:val="20"/>
          <w:highlight w:val="yellow"/>
          <w:lang w:val="en-US" w:eastAsia="fi-FI"/>
        </w:rPr>
        <w:t xml:space="preserve"> more generic way for assessing aspects of oral health-related quality of life (such as functional limitation and psychosocial discomfort and disability</w:t>
      </w:r>
      <w:r w:rsidR="0064136A" w:rsidRPr="006251D2">
        <w:rPr>
          <w:rFonts w:ascii="Times New Roman" w:eastAsia="Times New Roman" w:hAnsi="Times New Roman" w:cs="Times New Roman"/>
          <w:sz w:val="20"/>
          <w:szCs w:val="20"/>
          <w:highlight w:val="yellow"/>
          <w:lang w:val="en-US" w:eastAsia="fi-FI"/>
        </w:rPr>
        <w:t>)</w:t>
      </w:r>
      <w:r w:rsidR="00D0548D" w:rsidRPr="006251D2">
        <w:rPr>
          <w:rFonts w:ascii="Times New Roman" w:eastAsia="Times New Roman" w:hAnsi="Times New Roman" w:cs="Times New Roman"/>
          <w:sz w:val="20"/>
          <w:szCs w:val="20"/>
          <w:highlight w:val="yellow"/>
          <w:lang w:val="en-US" w:eastAsia="fi-FI"/>
        </w:rPr>
        <w:t xml:space="preserve">. As </w:t>
      </w:r>
      <w:r w:rsidR="00D0548D" w:rsidRPr="006251D2">
        <w:rPr>
          <w:rFonts w:ascii="Times New Roman" w:eastAsia="Times New Roman" w:hAnsi="Times New Roman" w:cs="Times New Roman"/>
          <w:sz w:val="20"/>
          <w:szCs w:val="20"/>
          <w:highlight w:val="yellow"/>
          <w:lang w:val="en-US" w:eastAsia="fi-FI"/>
        </w:rPr>
        <w:lastRenderedPageBreak/>
        <w:t>population level information is available for OHIP-14, comparison of the results provide important information in the assessment of treatment response.</w:t>
      </w:r>
    </w:p>
    <w:p w14:paraId="6F9AA33C" w14:textId="48B11AB7" w:rsidR="00A12A04" w:rsidRPr="006251D2" w:rsidRDefault="00A12A04" w:rsidP="008D6E78">
      <w:pPr>
        <w:spacing w:after="100" w:line="480" w:lineRule="auto"/>
        <w:rPr>
          <w:rFonts w:ascii="Times New Roman" w:eastAsia="Times New Roman" w:hAnsi="Times New Roman" w:cs="Times New Roman"/>
          <w:sz w:val="20"/>
          <w:szCs w:val="20"/>
          <w:lang w:val="en-US" w:eastAsia="fi-FI"/>
        </w:rPr>
      </w:pPr>
    </w:p>
    <w:p w14:paraId="6FBBF29F" w14:textId="4B6879DD"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r w:rsidRPr="006251D2">
        <w:rPr>
          <w:rFonts w:ascii="Times New Roman" w:hAnsi="Times New Roman" w:cs="Times New Roman"/>
          <w:bCs/>
          <w:sz w:val="20"/>
          <w:szCs w:val="20"/>
          <w:lang w:val="en-US"/>
        </w:rPr>
        <w:t xml:space="preserve">The limitations of the study were the changes in group status and the lack of OHIP-14 data due to missing completed questionnaires (Fig. 1). </w:t>
      </w:r>
      <w:r w:rsidR="00103168" w:rsidRPr="006251D2">
        <w:rPr>
          <w:rFonts w:ascii="Times New Roman" w:hAnsi="Times New Roman" w:cs="Times New Roman"/>
          <w:bCs/>
          <w:sz w:val="20"/>
          <w:szCs w:val="20"/>
          <w:lang w:val="en-US"/>
        </w:rPr>
        <w:t>A</w:t>
      </w:r>
      <w:r w:rsidRPr="006251D2">
        <w:rPr>
          <w:rFonts w:ascii="Times New Roman" w:hAnsi="Times New Roman" w:cs="Times New Roman"/>
          <w:bCs/>
          <w:sz w:val="20"/>
          <w:szCs w:val="20"/>
          <w:lang w:val="en-US"/>
        </w:rPr>
        <w:t>dditional RCT studies with larger patient samples and more individualized treatments are needed to evaluate the treatment outcome of TMD. Changes in group status due to drop-outs and switching groups often cause problems during a long follow-up period, as was the case in the present study. The power of the data was naturally impaired by these changes, which is why the treatment time of each patient was considered in the analysis. It should also be noted that it is difficult to control the use of the splint as well performing the masticatory muscle exercises, especially during a long follow-up.</w:t>
      </w:r>
    </w:p>
    <w:p w14:paraId="1857C02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bCs/>
          <w:sz w:val="20"/>
          <w:szCs w:val="20"/>
          <w:lang w:val="en-US"/>
        </w:rPr>
      </w:pPr>
    </w:p>
    <w:p w14:paraId="7972DAA6" w14:textId="118749A0" w:rsidR="00E93B9A" w:rsidRPr="006251D2" w:rsidRDefault="00B05825"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highlight w:val="yellow"/>
          <w:lang w:val="en-US"/>
        </w:rPr>
        <w:t>The present study results showed that neither age</w:t>
      </w:r>
      <w:r w:rsidR="00AE56DA" w:rsidRPr="006251D2">
        <w:rPr>
          <w:rFonts w:ascii="Times New Roman" w:hAnsi="Times New Roman" w:cs="Times New Roman"/>
          <w:sz w:val="20"/>
          <w:szCs w:val="20"/>
          <w:highlight w:val="yellow"/>
          <w:lang w:val="en-US"/>
        </w:rPr>
        <w:t xml:space="preserve">, gender, nor </w:t>
      </w:r>
      <w:r w:rsidRPr="006251D2">
        <w:rPr>
          <w:rFonts w:ascii="Times New Roman" w:hAnsi="Times New Roman" w:cs="Times New Roman"/>
          <w:sz w:val="20"/>
          <w:szCs w:val="20"/>
          <w:highlight w:val="yellow"/>
          <w:lang w:val="en-US"/>
        </w:rPr>
        <w:t xml:space="preserve">the group status did associate with the OHIP severity, </w:t>
      </w:r>
      <w:r w:rsidR="00D7213E" w:rsidRPr="006251D2">
        <w:rPr>
          <w:rFonts w:ascii="Times New Roman" w:hAnsi="Times New Roman" w:cs="Times New Roman"/>
          <w:sz w:val="20"/>
          <w:szCs w:val="20"/>
          <w:highlight w:val="yellow"/>
          <w:lang w:val="en-US"/>
        </w:rPr>
        <w:t>t</w:t>
      </w:r>
      <w:r w:rsidRPr="006251D2">
        <w:rPr>
          <w:rFonts w:ascii="Times New Roman" w:hAnsi="Times New Roman" w:cs="Times New Roman"/>
          <w:sz w:val="20"/>
          <w:szCs w:val="20"/>
          <w:highlight w:val="yellow"/>
          <w:lang w:val="en-US"/>
        </w:rPr>
        <w:t>he only associating variable with the OHIP-14 severity over one-year follow-up was the time point, i.e. the baseline.</w:t>
      </w:r>
      <w:r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One of the characteristics of the TMD signs and symptoms is fluctuation, which may at least partly also explain the variations in the OHIP values in the present study. In an earlier study with the same sample, the VAS on pain intensity also fluctuated during the treatment in the same manner (</w:t>
      </w:r>
      <w:r w:rsidR="00843534" w:rsidRPr="006251D2">
        <w:rPr>
          <w:rFonts w:ascii="Times New Roman" w:hAnsi="Times New Roman" w:cs="Times New Roman"/>
          <w:sz w:val="20"/>
          <w:szCs w:val="20"/>
          <w:lang w:val="en-US"/>
        </w:rPr>
        <w:t>30</w:t>
      </w:r>
      <w:r w:rsidR="00E93B9A" w:rsidRPr="006251D2">
        <w:rPr>
          <w:rFonts w:ascii="Times New Roman" w:hAnsi="Times New Roman" w:cs="Times New Roman"/>
          <w:sz w:val="20"/>
          <w:szCs w:val="20"/>
          <w:lang w:val="en-US"/>
        </w:rPr>
        <w:t xml:space="preserve">). On the other hand, the fluctuation of TMD pain may also be linked with the changes among the OHIP items. </w:t>
      </w:r>
      <w:r w:rsidR="00145A6D" w:rsidRPr="006251D2">
        <w:rPr>
          <w:rFonts w:ascii="Times New Roman" w:eastAsia="Times New Roman" w:hAnsi="Times New Roman" w:cs="Times New Roman"/>
          <w:sz w:val="20"/>
          <w:szCs w:val="20"/>
          <w:highlight w:val="yellow"/>
          <w:lang w:val="en-US" w:eastAsia="fi-FI"/>
        </w:rPr>
        <w:t>In addition, the fact that patients in both the groups received counseling, enrolled in a study in the perception of receiving treatment may have had a “white coat” or placebo</w:t>
      </w:r>
      <w:r w:rsidR="008D6E78" w:rsidRPr="006251D2">
        <w:rPr>
          <w:rFonts w:ascii="Times New Roman" w:eastAsia="Times New Roman" w:hAnsi="Times New Roman" w:cs="Times New Roman"/>
          <w:sz w:val="20"/>
          <w:szCs w:val="20"/>
          <w:highlight w:val="yellow"/>
          <w:lang w:val="en-US" w:eastAsia="fi-FI"/>
        </w:rPr>
        <w:t xml:space="preserve"> effect</w:t>
      </w:r>
      <w:r w:rsidR="003A0B2F" w:rsidRPr="006251D2">
        <w:rPr>
          <w:rFonts w:ascii="Times New Roman" w:eastAsia="Times New Roman" w:hAnsi="Times New Roman" w:cs="Times New Roman"/>
          <w:sz w:val="20"/>
          <w:szCs w:val="20"/>
          <w:highlight w:val="yellow"/>
          <w:lang w:val="en-US" w:eastAsia="fi-FI"/>
        </w:rPr>
        <w:t>.</w:t>
      </w:r>
    </w:p>
    <w:p w14:paraId="3CBB942B" w14:textId="77777777" w:rsidR="00D30BCC"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r w:rsidRPr="006251D2">
        <w:rPr>
          <w:rFonts w:ascii="Times New Roman" w:hAnsi="Times New Roman" w:cs="Times New Roman"/>
          <w:b/>
          <w:sz w:val="20"/>
          <w:szCs w:val="20"/>
          <w:lang w:val="en-US"/>
        </w:rPr>
        <w:br w:type="page"/>
      </w:r>
    </w:p>
    <w:p w14:paraId="463B0DA3" w14:textId="427279E8" w:rsidR="00E93B9A" w:rsidRPr="006251D2" w:rsidRDefault="00D30BCC"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r w:rsidRPr="006251D2">
        <w:rPr>
          <w:rFonts w:ascii="Times New Roman" w:hAnsi="Times New Roman" w:cs="Times New Roman"/>
          <w:b/>
          <w:sz w:val="20"/>
          <w:szCs w:val="20"/>
          <w:lang w:val="en-US"/>
        </w:rPr>
        <w:lastRenderedPageBreak/>
        <w:t>Conclusion</w:t>
      </w:r>
    </w:p>
    <w:p w14:paraId="6286FF7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outlineLvl w:val="0"/>
        <w:rPr>
          <w:rFonts w:ascii="Times New Roman" w:hAnsi="Times New Roman" w:cs="Times New Roman"/>
          <w:sz w:val="20"/>
          <w:szCs w:val="20"/>
          <w:lang w:val="en-US"/>
        </w:rPr>
      </w:pPr>
    </w:p>
    <w:p w14:paraId="7002EBCA" w14:textId="3B35808D"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Based on the present RCT, SS treatment did not show any beneficial effect on self-perceived </w:t>
      </w:r>
      <w:r w:rsidRPr="006251D2">
        <w:rPr>
          <w:rFonts w:ascii="Times New Roman" w:hAnsi="Times New Roman" w:cs="Times New Roman"/>
          <w:bCs/>
          <w:sz w:val="20"/>
          <w:szCs w:val="20"/>
          <w:lang w:val="en-US"/>
        </w:rPr>
        <w:t>OHRQoL compared to mere counseling and masticatory muscle exercises</w:t>
      </w:r>
      <w:r w:rsidRPr="006251D2">
        <w:rPr>
          <w:rFonts w:ascii="Times New Roman" w:hAnsi="Times New Roman" w:cs="Times New Roman"/>
          <w:sz w:val="20"/>
          <w:szCs w:val="20"/>
          <w:lang w:val="en-US"/>
        </w:rPr>
        <w:t xml:space="preserve"> as OHRQoL</w:t>
      </w:r>
      <w:r w:rsidR="00192A4B" w:rsidRPr="006251D2">
        <w:rPr>
          <w:rFonts w:ascii="Times New Roman" w:hAnsi="Times New Roman" w:cs="Times New Roman"/>
          <w:sz w:val="20"/>
          <w:szCs w:val="20"/>
          <w:lang w:val="en-US"/>
        </w:rPr>
        <w:t>.</w:t>
      </w:r>
      <w:r w:rsidRPr="006251D2">
        <w:rPr>
          <w:rFonts w:ascii="Times New Roman" w:hAnsi="Times New Roman" w:cs="Times New Roman"/>
          <w:sz w:val="20"/>
          <w:szCs w:val="20"/>
          <w:lang w:val="en-US"/>
        </w:rPr>
        <w:t xml:space="preserve"> improved during the one-year follow-up regardless of the treatment received</w:t>
      </w:r>
      <w:r w:rsidR="00817F0C" w:rsidRPr="006251D2">
        <w:rPr>
          <w:rFonts w:ascii="Times New Roman" w:hAnsi="Times New Roman" w:cs="Times New Roman"/>
          <w:sz w:val="20"/>
          <w:szCs w:val="20"/>
          <w:highlight w:val="yellow"/>
          <w:lang w:val="en-US"/>
        </w:rPr>
        <w:t>, thus supporting our hypothesis</w:t>
      </w:r>
      <w:r w:rsidRPr="006251D2">
        <w:rPr>
          <w:rFonts w:ascii="Times New Roman" w:hAnsi="Times New Roman" w:cs="Times New Roman"/>
          <w:sz w:val="20"/>
          <w:szCs w:val="20"/>
          <w:lang w:val="en-US"/>
        </w:rPr>
        <w:t xml:space="preserve">. </w:t>
      </w:r>
      <w:r w:rsidR="00817F0C" w:rsidRPr="006251D2">
        <w:rPr>
          <w:rFonts w:ascii="Times New Roman" w:hAnsi="Times New Roman" w:cs="Times New Roman"/>
          <w:sz w:val="20"/>
          <w:szCs w:val="20"/>
          <w:highlight w:val="yellow"/>
          <w:lang w:val="en-US"/>
        </w:rPr>
        <w:t>Of the OHIP dimensions, psychological discomfort and physical pain decreased during the follow-up.</w:t>
      </w:r>
      <w:r w:rsidR="00817F0C"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Further studies with larger samples are needed to evaluate the effect of SS treatment on OHRQoL among TMD patients.</w:t>
      </w:r>
    </w:p>
    <w:p w14:paraId="3B1C9EBE" w14:textId="77777777" w:rsidR="00E93B9A" w:rsidRPr="006251D2" w:rsidRDefault="00E93B9A" w:rsidP="007E1E18">
      <w:pPr>
        <w:spacing w:line="480" w:lineRule="auto"/>
        <w:jc w:val="both"/>
        <w:rPr>
          <w:rFonts w:ascii="Times New Roman" w:hAnsi="Times New Roman" w:cs="Times New Roman"/>
          <w:sz w:val="20"/>
          <w:szCs w:val="20"/>
          <w:lang w:val="en-US"/>
        </w:rPr>
      </w:pPr>
    </w:p>
    <w:p w14:paraId="5402AA53" w14:textId="67B3BDAE"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r w:rsidRPr="006251D2">
        <w:rPr>
          <w:rFonts w:ascii="Times New Roman" w:hAnsi="Times New Roman" w:cs="Times New Roman"/>
          <w:sz w:val="20"/>
          <w:szCs w:val="20"/>
          <w:lang w:val="en-US"/>
        </w:rPr>
        <w:br w:type="page"/>
      </w:r>
      <w:r w:rsidRPr="006251D2">
        <w:rPr>
          <w:rFonts w:ascii="Times New Roman" w:hAnsi="Times New Roman" w:cs="Times New Roman"/>
          <w:b/>
          <w:sz w:val="20"/>
          <w:szCs w:val="20"/>
          <w:lang w:val="en-US"/>
        </w:rPr>
        <w:lastRenderedPageBreak/>
        <w:t>A</w:t>
      </w:r>
      <w:r w:rsidR="00D30BCC" w:rsidRPr="006251D2">
        <w:rPr>
          <w:rFonts w:ascii="Times New Roman" w:hAnsi="Times New Roman" w:cs="Times New Roman"/>
          <w:b/>
          <w:sz w:val="20"/>
          <w:szCs w:val="20"/>
          <w:lang w:val="en-US"/>
        </w:rPr>
        <w:t>cknowledgements</w:t>
      </w:r>
    </w:p>
    <w:p w14:paraId="054D210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p>
    <w:p w14:paraId="7AF99C9A"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r w:rsidRPr="006251D2">
        <w:rPr>
          <w:rFonts w:ascii="Times New Roman" w:hAnsi="Times New Roman" w:cs="Times New Roman"/>
          <w:sz w:val="20"/>
          <w:szCs w:val="20"/>
          <w:lang w:val="en-US"/>
        </w:rPr>
        <w:t>This study has been approved by the Ethical Committee of Northern Ostrobothnia Hospital District.</w:t>
      </w:r>
    </w:p>
    <w:p w14:paraId="54F9B89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p>
    <w:p w14:paraId="0B2AF0B1" w14:textId="289C2AEF"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r w:rsidRPr="006251D2">
        <w:rPr>
          <w:rFonts w:ascii="Times New Roman" w:hAnsi="Times New Roman" w:cs="Times New Roman"/>
          <w:b/>
          <w:sz w:val="20"/>
          <w:szCs w:val="20"/>
          <w:lang w:val="en-US"/>
        </w:rPr>
        <w:t>C</w:t>
      </w:r>
      <w:r w:rsidR="004D7430" w:rsidRPr="006251D2">
        <w:rPr>
          <w:rFonts w:ascii="Times New Roman" w:hAnsi="Times New Roman" w:cs="Times New Roman"/>
          <w:b/>
          <w:sz w:val="20"/>
          <w:szCs w:val="20"/>
          <w:lang w:val="en-US"/>
        </w:rPr>
        <w:t>onflict of int</w:t>
      </w:r>
      <w:r w:rsidR="00D30BCC" w:rsidRPr="006251D2">
        <w:rPr>
          <w:rFonts w:ascii="Times New Roman" w:hAnsi="Times New Roman" w:cs="Times New Roman"/>
          <w:b/>
          <w:sz w:val="20"/>
          <w:szCs w:val="20"/>
          <w:lang w:val="en-US"/>
        </w:rPr>
        <w:t>erests</w:t>
      </w:r>
    </w:p>
    <w:p w14:paraId="0960717F"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p>
    <w:p w14:paraId="53EEDBA5"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r w:rsidRPr="006251D2">
        <w:rPr>
          <w:rFonts w:ascii="Times New Roman" w:hAnsi="Times New Roman" w:cs="Times New Roman"/>
          <w:sz w:val="20"/>
          <w:szCs w:val="20"/>
          <w:lang w:val="en-US"/>
        </w:rPr>
        <w:t>No conflict of interests is declared.</w:t>
      </w:r>
    </w:p>
    <w:p w14:paraId="0D6D1FD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p>
    <w:p w14:paraId="2E6C0960" w14:textId="77DA2182"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r w:rsidRPr="006251D2">
        <w:rPr>
          <w:rFonts w:ascii="Times New Roman" w:hAnsi="Times New Roman" w:cs="Times New Roman"/>
          <w:b/>
          <w:sz w:val="20"/>
          <w:szCs w:val="20"/>
          <w:lang w:val="en-US"/>
        </w:rPr>
        <w:t>F</w:t>
      </w:r>
      <w:r w:rsidR="00D30BCC" w:rsidRPr="006251D2">
        <w:rPr>
          <w:rFonts w:ascii="Times New Roman" w:hAnsi="Times New Roman" w:cs="Times New Roman"/>
          <w:b/>
          <w:sz w:val="20"/>
          <w:szCs w:val="20"/>
          <w:lang w:val="en-US"/>
        </w:rPr>
        <w:t>unding</w:t>
      </w:r>
    </w:p>
    <w:p w14:paraId="01B0622C"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b/>
          <w:sz w:val="20"/>
          <w:szCs w:val="20"/>
          <w:lang w:val="en-US"/>
        </w:rPr>
      </w:pPr>
    </w:p>
    <w:p w14:paraId="66B2F19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outlineLvl w:val="0"/>
        <w:rPr>
          <w:rFonts w:ascii="Times New Roman" w:hAnsi="Times New Roman" w:cs="Times New Roman"/>
          <w:sz w:val="20"/>
          <w:szCs w:val="20"/>
          <w:lang w:val="en-US"/>
        </w:rPr>
      </w:pPr>
      <w:r w:rsidRPr="006251D2">
        <w:rPr>
          <w:rFonts w:ascii="Times New Roman" w:hAnsi="Times New Roman" w:cs="Times New Roman"/>
          <w:sz w:val="20"/>
          <w:szCs w:val="20"/>
          <w:lang w:val="en-US"/>
        </w:rPr>
        <w:t>This research was funded by the Academy of Finland and the Dental Society Apollonia.</w:t>
      </w:r>
    </w:p>
    <w:p w14:paraId="79EB5C96" w14:textId="426420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br w:type="page"/>
      </w:r>
      <w:r w:rsidRPr="006251D2">
        <w:rPr>
          <w:rFonts w:ascii="Times New Roman" w:hAnsi="Times New Roman" w:cs="Times New Roman"/>
          <w:b/>
          <w:sz w:val="20"/>
          <w:szCs w:val="20"/>
          <w:lang w:val="en-US"/>
        </w:rPr>
        <w:lastRenderedPageBreak/>
        <w:t>R</w:t>
      </w:r>
      <w:r w:rsidR="000C1EEB" w:rsidRPr="006251D2">
        <w:rPr>
          <w:rFonts w:ascii="Times New Roman" w:hAnsi="Times New Roman" w:cs="Times New Roman"/>
          <w:b/>
          <w:sz w:val="20"/>
          <w:szCs w:val="20"/>
          <w:lang w:val="en-US"/>
        </w:rPr>
        <w:t>eferences</w:t>
      </w:r>
    </w:p>
    <w:p w14:paraId="554BEDD0"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b/>
          <w:sz w:val="20"/>
          <w:szCs w:val="20"/>
          <w:lang w:val="en-US"/>
        </w:rPr>
      </w:pPr>
    </w:p>
    <w:p w14:paraId="5CEF2033" w14:textId="77777777" w:rsidR="00E93B9A" w:rsidRPr="006251D2" w:rsidRDefault="00E93B9A" w:rsidP="007E1E18">
      <w:pPr>
        <w:widowControl w:val="0"/>
        <w:tabs>
          <w:tab w:val="left" w:pos="20"/>
          <w:tab w:val="left" w:pos="347"/>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1. Okeson JP. Management of temporomandibular disorders and occlusion. St Louis (MO): Mosby; 2013. </w:t>
      </w:r>
    </w:p>
    <w:p w14:paraId="5CB323FC"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F78641F" w14:textId="0CA71F29"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2. LeResche, L. Epidemiology of temporomandibular disorders: implications for the investigation of etiologic factors. </w:t>
      </w:r>
      <w:r w:rsidRPr="006251D2">
        <w:rPr>
          <w:rFonts w:ascii="Times New Roman" w:hAnsi="Times New Roman" w:cs="Times New Roman"/>
          <w:i/>
          <w:iCs/>
          <w:sz w:val="20"/>
          <w:szCs w:val="20"/>
          <w:lang w:val="en-US"/>
        </w:rPr>
        <w:t xml:space="preserve">Critical </w:t>
      </w:r>
      <w:r w:rsidR="00220257" w:rsidRPr="006251D2">
        <w:rPr>
          <w:rFonts w:ascii="Times New Roman" w:hAnsi="Times New Roman" w:cs="Times New Roman"/>
          <w:i/>
          <w:iCs/>
          <w:sz w:val="20"/>
          <w:szCs w:val="20"/>
          <w:lang w:val="en-US"/>
        </w:rPr>
        <w:t>R</w:t>
      </w:r>
      <w:r w:rsidRPr="006251D2">
        <w:rPr>
          <w:rFonts w:ascii="Times New Roman" w:hAnsi="Times New Roman" w:cs="Times New Roman"/>
          <w:i/>
          <w:iCs/>
          <w:sz w:val="20"/>
          <w:szCs w:val="20"/>
          <w:lang w:val="en-US"/>
        </w:rPr>
        <w:t xml:space="preserve">eviews in </w:t>
      </w:r>
      <w:r w:rsidR="00220257" w:rsidRPr="006251D2">
        <w:rPr>
          <w:rFonts w:ascii="Times New Roman" w:hAnsi="Times New Roman" w:cs="Times New Roman"/>
          <w:i/>
          <w:iCs/>
          <w:sz w:val="20"/>
          <w:szCs w:val="20"/>
          <w:lang w:val="en-US"/>
        </w:rPr>
        <w:t>O</w:t>
      </w:r>
      <w:r w:rsidRPr="006251D2">
        <w:rPr>
          <w:rFonts w:ascii="Times New Roman" w:hAnsi="Times New Roman" w:cs="Times New Roman"/>
          <w:i/>
          <w:iCs/>
          <w:sz w:val="20"/>
          <w:szCs w:val="20"/>
          <w:lang w:val="en-US"/>
        </w:rPr>
        <w:t xml:space="preserve">ral </w:t>
      </w:r>
      <w:r w:rsidR="00220257" w:rsidRPr="006251D2">
        <w:rPr>
          <w:rFonts w:ascii="Times New Roman" w:hAnsi="Times New Roman" w:cs="Times New Roman"/>
          <w:i/>
          <w:iCs/>
          <w:sz w:val="20"/>
          <w:szCs w:val="20"/>
          <w:lang w:val="en-US"/>
        </w:rPr>
        <w:t>B</w:t>
      </w:r>
      <w:r w:rsidRPr="006251D2">
        <w:rPr>
          <w:rFonts w:ascii="Times New Roman" w:hAnsi="Times New Roman" w:cs="Times New Roman"/>
          <w:i/>
          <w:iCs/>
          <w:sz w:val="20"/>
          <w:szCs w:val="20"/>
          <w:lang w:val="en-US"/>
        </w:rPr>
        <w:t xml:space="preserve">iology </w:t>
      </w:r>
      <w:r w:rsidR="00220257" w:rsidRPr="006251D2">
        <w:rPr>
          <w:rFonts w:ascii="Times New Roman" w:hAnsi="Times New Roman" w:cs="Times New Roman"/>
          <w:i/>
          <w:iCs/>
          <w:sz w:val="20"/>
          <w:szCs w:val="20"/>
          <w:lang w:val="en-US"/>
        </w:rPr>
        <w:t>&amp; M</w:t>
      </w:r>
      <w:r w:rsidRPr="006251D2">
        <w:rPr>
          <w:rFonts w:ascii="Times New Roman" w:hAnsi="Times New Roman" w:cs="Times New Roman"/>
          <w:i/>
          <w:iCs/>
          <w:sz w:val="20"/>
          <w:szCs w:val="20"/>
          <w:lang w:val="en-US"/>
        </w:rPr>
        <w:t>edicine</w:t>
      </w:r>
      <w:r w:rsidR="00010CAF" w:rsidRPr="006251D2">
        <w:rPr>
          <w:rFonts w:ascii="Times New Roman" w:hAnsi="Times New Roman" w:cs="Times New Roman"/>
          <w:iCs/>
          <w:sz w:val="20"/>
          <w:szCs w:val="20"/>
          <w:lang w:val="en-US"/>
        </w:rPr>
        <w:t>.</w:t>
      </w:r>
      <w:r w:rsidRPr="006251D2">
        <w:rPr>
          <w:rFonts w:ascii="Times New Roman" w:hAnsi="Times New Roman" w:cs="Times New Roman"/>
          <w:iCs/>
          <w:sz w:val="20"/>
          <w:szCs w:val="20"/>
          <w:lang w:val="en-US"/>
        </w:rPr>
        <w:t xml:space="preserve"> </w:t>
      </w:r>
      <w:r w:rsidRPr="006251D2">
        <w:rPr>
          <w:rFonts w:ascii="Times New Roman" w:hAnsi="Times New Roman" w:cs="Times New Roman"/>
          <w:sz w:val="20"/>
          <w:szCs w:val="20"/>
          <w:lang w:val="en-US"/>
        </w:rPr>
        <w:t>1997;</w:t>
      </w:r>
      <w:r w:rsidR="00220257"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 xml:space="preserve">8:291–305. </w:t>
      </w:r>
    </w:p>
    <w:p w14:paraId="28A5D07B"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7C3BC2A4" w14:textId="6798A476"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3. Carlsson GE. Epidemiology and treatment need for temporomandibular disorders. </w:t>
      </w:r>
      <w:r w:rsidRPr="006251D2">
        <w:rPr>
          <w:rFonts w:ascii="Times New Roman" w:hAnsi="Times New Roman" w:cs="Times New Roman"/>
          <w:i/>
          <w:sz w:val="20"/>
          <w:szCs w:val="20"/>
          <w:lang w:val="en-US"/>
        </w:rPr>
        <w:t>J Orofac Pain</w:t>
      </w:r>
      <w:r w:rsidRPr="006251D2">
        <w:rPr>
          <w:rFonts w:ascii="Times New Roman" w:hAnsi="Times New Roman" w:cs="Times New Roman"/>
          <w:sz w:val="20"/>
          <w:szCs w:val="20"/>
          <w:lang w:val="en-US"/>
        </w:rPr>
        <w:t>. 1999;</w:t>
      </w:r>
      <w:r w:rsidR="007645E0"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13:</w:t>
      </w:r>
      <w:r w:rsidR="007645E0"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 xml:space="preserve">232– 237. </w:t>
      </w:r>
    </w:p>
    <w:p w14:paraId="1BA7041E" w14:textId="77777777"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p>
    <w:p w14:paraId="7155B429" w14:textId="2668C3EB" w:rsidR="00E93B9A" w:rsidRPr="006251D2" w:rsidRDefault="00E93B9A" w:rsidP="007E1E18">
      <w:pPr>
        <w:widowControl w:val="0"/>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4. Kuttila M, Niemi PM, Kuttila S, Alanen P, Le Bell Y. TMD treatment need in relation to age, gender, stress, and diagnostic subgroup. </w:t>
      </w:r>
      <w:r w:rsidRPr="006251D2">
        <w:rPr>
          <w:rFonts w:ascii="Times New Roman" w:hAnsi="Times New Roman" w:cs="Times New Roman"/>
          <w:i/>
          <w:sz w:val="20"/>
          <w:szCs w:val="20"/>
          <w:lang w:val="en-US"/>
        </w:rPr>
        <w:t xml:space="preserve">J Orofac </w:t>
      </w:r>
      <w:r w:rsidRPr="006251D2">
        <w:rPr>
          <w:rFonts w:ascii="Times New Roman" w:hAnsi="Times New Roman" w:cs="Times New Roman"/>
          <w:i/>
          <w:sz w:val="20"/>
          <w:szCs w:val="20"/>
          <w:lang w:val="en-US"/>
        </w:rPr>
        <w:lastRenderedPageBreak/>
        <w:t>Pain</w:t>
      </w:r>
      <w:r w:rsidRPr="006251D2">
        <w:rPr>
          <w:rFonts w:ascii="Times New Roman" w:hAnsi="Times New Roman" w:cs="Times New Roman"/>
          <w:sz w:val="20"/>
          <w:szCs w:val="20"/>
          <w:lang w:val="en-US"/>
        </w:rPr>
        <w:t>. 1998;</w:t>
      </w:r>
      <w:r w:rsidR="007645E0"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12:</w:t>
      </w:r>
      <w:r w:rsidR="007645E0" w:rsidRPr="006251D2">
        <w:rPr>
          <w:rFonts w:ascii="Times New Roman" w:hAnsi="Times New Roman" w:cs="Times New Roman"/>
          <w:sz w:val="20"/>
          <w:szCs w:val="20"/>
          <w:lang w:val="en-US"/>
        </w:rPr>
        <w:t xml:space="preserve"> </w:t>
      </w:r>
      <w:r w:rsidRPr="006251D2">
        <w:rPr>
          <w:rFonts w:ascii="Times New Roman" w:hAnsi="Times New Roman" w:cs="Times New Roman"/>
          <w:sz w:val="20"/>
          <w:szCs w:val="20"/>
          <w:lang w:val="en-US"/>
        </w:rPr>
        <w:t xml:space="preserve">67–74. </w:t>
      </w:r>
    </w:p>
    <w:p w14:paraId="23749D1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4BBC22B9" w14:textId="612EF0F2"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eastAsia="Times New Roman" w:hAnsi="Times New Roman" w:cs="Times New Roman"/>
          <w:sz w:val="20"/>
          <w:szCs w:val="20"/>
          <w:lang w:val="en-US"/>
        </w:rPr>
      </w:pPr>
      <w:r w:rsidRPr="006251D2">
        <w:rPr>
          <w:rFonts w:ascii="Times New Roman" w:hAnsi="Times New Roman" w:cs="Times New Roman"/>
          <w:sz w:val="20"/>
          <w:szCs w:val="20"/>
          <w:lang w:val="en-US"/>
        </w:rPr>
        <w:t>5.</w:t>
      </w:r>
      <w:r w:rsidR="00E93B9A" w:rsidRPr="006251D2">
        <w:rPr>
          <w:rFonts w:ascii="Times New Roman" w:hAnsi="Times New Roman" w:cs="Times New Roman"/>
          <w:sz w:val="20"/>
          <w:szCs w:val="20"/>
          <w:lang w:val="en-US"/>
        </w:rPr>
        <w:t xml:space="preserve"> Kuttila M, Le Bell Y, Savolainen-Niemi E, Kuttila, S, Alanen P. Efficiency of occlusal appliance therapy in secondary otalgia and temporomandibular disorders. </w:t>
      </w:r>
      <w:r w:rsidR="00E93B9A" w:rsidRPr="006251D2">
        <w:rPr>
          <w:rFonts w:ascii="Times New Roman" w:hAnsi="Times New Roman" w:cs="Times New Roman"/>
          <w:i/>
          <w:sz w:val="20"/>
          <w:szCs w:val="20"/>
          <w:lang w:val="en-US"/>
        </w:rPr>
        <w:t>Acta Odontol Scand</w:t>
      </w:r>
      <w:r w:rsidR="00E93B9A" w:rsidRPr="006251D2">
        <w:rPr>
          <w:rFonts w:ascii="Times New Roman" w:hAnsi="Times New Roman" w:cs="Times New Roman"/>
          <w:sz w:val="20"/>
          <w:szCs w:val="20"/>
          <w:lang w:val="en-US"/>
        </w:rPr>
        <w:t>. 2002;</w:t>
      </w:r>
      <w:r w:rsidR="00CC1CF2"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60:248–</w:t>
      </w:r>
      <w:r w:rsidR="007645E0" w:rsidRPr="006251D2">
        <w:rPr>
          <w:rFonts w:ascii="Times New Roman" w:hAnsi="Times New Roman" w:cs="Times New Roman"/>
          <w:sz w:val="20"/>
          <w:szCs w:val="20"/>
          <w:lang w:val="en-US"/>
        </w:rPr>
        <w:t>2</w:t>
      </w:r>
      <w:r w:rsidR="00E93B9A" w:rsidRPr="006251D2">
        <w:rPr>
          <w:rFonts w:ascii="Times New Roman" w:hAnsi="Times New Roman" w:cs="Times New Roman"/>
          <w:sz w:val="20"/>
          <w:szCs w:val="20"/>
          <w:lang w:val="en-US"/>
        </w:rPr>
        <w:t xml:space="preserve">54. </w:t>
      </w:r>
    </w:p>
    <w:p w14:paraId="0B8CEE1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3896F539" w14:textId="4E4DB4C6" w:rsidR="00E93B9A" w:rsidRPr="006251D2" w:rsidRDefault="00DA324F" w:rsidP="007E1E18">
      <w:pPr>
        <w:widowControl w:val="0"/>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6.</w:t>
      </w:r>
      <w:r w:rsidR="00E93B9A" w:rsidRPr="006251D2">
        <w:rPr>
          <w:rFonts w:ascii="Times New Roman" w:hAnsi="Times New Roman" w:cs="Times New Roman"/>
          <w:sz w:val="20"/>
          <w:szCs w:val="20"/>
          <w:lang w:val="en-US"/>
        </w:rPr>
        <w:t xml:space="preserve"> Ekberg E, Vallon D, Nilner M. The Efficacy </w:t>
      </w:r>
      <w:r w:rsidR="00CC1CF2" w:rsidRPr="006251D2">
        <w:rPr>
          <w:rFonts w:ascii="Times New Roman" w:hAnsi="Times New Roman" w:cs="Times New Roman"/>
          <w:sz w:val="20"/>
          <w:szCs w:val="20"/>
          <w:lang w:val="en-US"/>
        </w:rPr>
        <w:t>O</w:t>
      </w:r>
      <w:r w:rsidR="00E93B9A" w:rsidRPr="006251D2">
        <w:rPr>
          <w:rFonts w:ascii="Times New Roman" w:hAnsi="Times New Roman" w:cs="Times New Roman"/>
          <w:sz w:val="20"/>
          <w:szCs w:val="20"/>
          <w:lang w:val="en-US"/>
        </w:rPr>
        <w:t xml:space="preserve">f Appliance Therapy </w:t>
      </w:r>
      <w:r w:rsidR="00CC1CF2" w:rsidRPr="006251D2">
        <w:rPr>
          <w:rFonts w:ascii="Times New Roman" w:hAnsi="Times New Roman" w:cs="Times New Roman"/>
          <w:sz w:val="20"/>
          <w:szCs w:val="20"/>
          <w:lang w:val="en-US"/>
        </w:rPr>
        <w:t>I</w:t>
      </w:r>
      <w:r w:rsidR="00E93B9A" w:rsidRPr="006251D2">
        <w:rPr>
          <w:rFonts w:ascii="Times New Roman" w:hAnsi="Times New Roman" w:cs="Times New Roman"/>
          <w:sz w:val="20"/>
          <w:szCs w:val="20"/>
          <w:lang w:val="en-US"/>
        </w:rPr>
        <w:t xml:space="preserve">n Patients </w:t>
      </w:r>
      <w:r w:rsidR="00CC1CF2" w:rsidRPr="006251D2">
        <w:rPr>
          <w:rFonts w:ascii="Times New Roman" w:hAnsi="Times New Roman" w:cs="Times New Roman"/>
          <w:sz w:val="20"/>
          <w:szCs w:val="20"/>
          <w:lang w:val="en-US"/>
        </w:rPr>
        <w:t>W</w:t>
      </w:r>
      <w:r w:rsidR="00E93B9A" w:rsidRPr="006251D2">
        <w:rPr>
          <w:rFonts w:ascii="Times New Roman" w:hAnsi="Times New Roman" w:cs="Times New Roman"/>
          <w:sz w:val="20"/>
          <w:szCs w:val="20"/>
          <w:lang w:val="en-US"/>
        </w:rPr>
        <w:t xml:space="preserve">ith Temporomandibular Disorders </w:t>
      </w:r>
      <w:r w:rsidR="00CC1CF2" w:rsidRPr="006251D2">
        <w:rPr>
          <w:rFonts w:ascii="Times New Roman" w:hAnsi="Times New Roman" w:cs="Times New Roman"/>
          <w:sz w:val="20"/>
          <w:szCs w:val="20"/>
          <w:lang w:val="en-US"/>
        </w:rPr>
        <w:t>O</w:t>
      </w:r>
      <w:r w:rsidR="00E93B9A" w:rsidRPr="006251D2">
        <w:rPr>
          <w:rFonts w:ascii="Times New Roman" w:hAnsi="Times New Roman" w:cs="Times New Roman"/>
          <w:sz w:val="20"/>
          <w:szCs w:val="20"/>
          <w:lang w:val="en-US"/>
        </w:rPr>
        <w:t xml:space="preserve">f Mainly Myogenous Origin. A Randomized, Controlled, Short-Term Trial. </w:t>
      </w:r>
      <w:r w:rsidR="00E93B9A" w:rsidRPr="006251D2">
        <w:rPr>
          <w:rFonts w:ascii="Times New Roman" w:hAnsi="Times New Roman" w:cs="Times New Roman"/>
          <w:i/>
          <w:sz w:val="20"/>
          <w:szCs w:val="20"/>
          <w:lang w:val="en-US"/>
        </w:rPr>
        <w:t>J Orofac Pain</w:t>
      </w:r>
      <w:r w:rsidR="00E93B9A" w:rsidRPr="006251D2">
        <w:rPr>
          <w:rFonts w:ascii="Times New Roman" w:hAnsi="Times New Roman" w:cs="Times New Roman"/>
          <w:sz w:val="20"/>
          <w:szCs w:val="20"/>
          <w:lang w:val="en-US"/>
        </w:rPr>
        <w:t>.</w:t>
      </w:r>
      <w:r w:rsidR="00CC1CF2" w:rsidRPr="006251D2">
        <w:rPr>
          <w:rFonts w:ascii="Times New Roman" w:hAnsi="Times New Roman" w:cs="Times New Roman"/>
          <w:sz w:val="20"/>
          <w:szCs w:val="20"/>
          <w:lang w:val="en-US"/>
        </w:rPr>
        <w:t xml:space="preserve"> </w:t>
      </w:r>
      <w:r w:rsidR="00E93B9A" w:rsidRPr="006251D2">
        <w:rPr>
          <w:rStyle w:val="highlight"/>
          <w:rFonts w:ascii="Times New Roman" w:eastAsia="Times New Roman" w:hAnsi="Times New Roman" w:cs="Times New Roman"/>
          <w:color w:val="000000"/>
          <w:sz w:val="20"/>
          <w:szCs w:val="20"/>
          <w:lang w:val="en-US"/>
        </w:rPr>
        <w:t>2003</w:t>
      </w:r>
      <w:r w:rsidR="00E93B9A" w:rsidRPr="006251D2">
        <w:rPr>
          <w:rFonts w:ascii="Times New Roman" w:eastAsia="Times New Roman" w:hAnsi="Times New Roman" w:cs="Times New Roman"/>
          <w:color w:val="000000"/>
          <w:sz w:val="20"/>
          <w:szCs w:val="20"/>
          <w:shd w:val="clear" w:color="auto" w:fill="FFFFFF"/>
          <w:lang w:val="en-US"/>
        </w:rPr>
        <w:t>;</w:t>
      </w:r>
      <w:r w:rsidR="00CC1CF2" w:rsidRPr="006251D2">
        <w:rPr>
          <w:rFonts w:ascii="Times New Roman" w:eastAsia="Times New Roman" w:hAnsi="Times New Roman" w:cs="Times New Roman"/>
          <w:color w:val="000000"/>
          <w:sz w:val="20"/>
          <w:szCs w:val="20"/>
          <w:shd w:val="clear" w:color="auto" w:fill="FFFFFF"/>
          <w:lang w:val="en-US"/>
        </w:rPr>
        <w:t xml:space="preserve"> </w:t>
      </w:r>
      <w:r w:rsidR="00E93B9A" w:rsidRPr="006251D2">
        <w:rPr>
          <w:rFonts w:ascii="Times New Roman" w:eastAsia="Times New Roman" w:hAnsi="Times New Roman" w:cs="Times New Roman"/>
          <w:color w:val="000000"/>
          <w:sz w:val="20"/>
          <w:szCs w:val="20"/>
          <w:shd w:val="clear" w:color="auto" w:fill="FFFFFF"/>
          <w:lang w:val="en-US"/>
        </w:rPr>
        <w:t>17:133</w:t>
      </w:r>
      <w:r w:rsidR="00E93B9A" w:rsidRPr="006251D2">
        <w:rPr>
          <w:rFonts w:ascii="Times New Roman" w:hAnsi="Times New Roman" w:cs="Times New Roman"/>
          <w:sz w:val="20"/>
          <w:szCs w:val="20"/>
          <w:lang w:val="en-US"/>
        </w:rPr>
        <w:t>–</w:t>
      </w:r>
      <w:r w:rsidR="007645E0" w:rsidRPr="006251D2">
        <w:rPr>
          <w:rFonts w:ascii="Times New Roman" w:hAnsi="Times New Roman" w:cs="Times New Roman"/>
          <w:sz w:val="20"/>
          <w:szCs w:val="20"/>
          <w:lang w:val="en-US"/>
        </w:rPr>
        <w:t>13</w:t>
      </w:r>
      <w:r w:rsidR="00E93B9A" w:rsidRPr="006251D2">
        <w:rPr>
          <w:rFonts w:ascii="Times New Roman" w:eastAsia="Times New Roman" w:hAnsi="Times New Roman" w:cs="Times New Roman"/>
          <w:color w:val="000000"/>
          <w:sz w:val="20"/>
          <w:szCs w:val="20"/>
          <w:shd w:val="clear" w:color="auto" w:fill="FFFFFF"/>
          <w:lang w:val="en-US"/>
        </w:rPr>
        <w:t>9.</w:t>
      </w:r>
    </w:p>
    <w:p w14:paraId="124A51C5"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482F9FAC" w14:textId="6CBCEDB2"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7</w:t>
      </w:r>
      <w:r w:rsidR="0068709C" w:rsidRPr="006251D2">
        <w:rPr>
          <w:rFonts w:ascii="Times New Roman" w:hAnsi="Times New Roman" w:cs="Times New Roman"/>
          <w:sz w:val="20"/>
          <w:szCs w:val="20"/>
          <w:lang w:val="en-US"/>
        </w:rPr>
        <w:t>.</w:t>
      </w:r>
      <w:r w:rsidR="00E93B9A" w:rsidRPr="006251D2">
        <w:rPr>
          <w:rFonts w:ascii="Times New Roman" w:hAnsi="Times New Roman" w:cs="Times New Roman"/>
          <w:sz w:val="20"/>
          <w:szCs w:val="20"/>
          <w:lang w:val="en-US"/>
        </w:rPr>
        <w:t xml:space="preserve"> Ekberg E, Vallon D, Nilner M. Occlusal appliance therapy in patients with temporomandibular disorders: A double-blind controlled study in a short-term perspective. </w:t>
      </w:r>
      <w:r w:rsidR="00E93B9A" w:rsidRPr="006251D2">
        <w:rPr>
          <w:rFonts w:ascii="Times New Roman" w:hAnsi="Times New Roman" w:cs="Times New Roman"/>
          <w:i/>
          <w:iCs/>
          <w:sz w:val="20"/>
          <w:szCs w:val="20"/>
          <w:lang w:val="en-US"/>
        </w:rPr>
        <w:t>Acta Odontol Scand</w:t>
      </w:r>
      <w:r w:rsidR="00E93B9A" w:rsidRPr="006251D2">
        <w:rPr>
          <w:rFonts w:ascii="Times New Roman" w:hAnsi="Times New Roman" w:cs="Times New Roman"/>
          <w:iCs/>
          <w:sz w:val="20"/>
          <w:szCs w:val="20"/>
          <w:lang w:val="en-US"/>
        </w:rPr>
        <w:t>. 1998;</w:t>
      </w:r>
      <w:r w:rsidR="00CC1CF2"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56:122–128.</w:t>
      </w:r>
    </w:p>
    <w:p w14:paraId="660D70A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2CA7E1CE" w14:textId="64519874"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8.</w:t>
      </w:r>
      <w:r w:rsidR="00E93B9A" w:rsidRPr="006251D2">
        <w:rPr>
          <w:rFonts w:ascii="Times New Roman" w:hAnsi="Times New Roman" w:cs="Times New Roman"/>
          <w:sz w:val="20"/>
          <w:szCs w:val="20"/>
          <w:lang w:val="en-US"/>
        </w:rPr>
        <w:t xml:space="preserve"> List T, Axelsson S. Management of TMD: evidence from systematic reviews and meta-analyses.  </w:t>
      </w:r>
      <w:r w:rsidR="00E93B9A" w:rsidRPr="006251D2">
        <w:rPr>
          <w:rFonts w:ascii="Times New Roman" w:hAnsi="Times New Roman" w:cs="Times New Roman"/>
          <w:i/>
          <w:iCs/>
          <w:sz w:val="20"/>
          <w:szCs w:val="20"/>
          <w:lang w:val="en-US"/>
        </w:rPr>
        <w:t>J Oral Rehabil</w:t>
      </w:r>
      <w:r w:rsidR="00E93B9A" w:rsidRPr="006251D2">
        <w:rPr>
          <w:rFonts w:ascii="Times New Roman" w:hAnsi="Times New Roman" w:cs="Times New Roman"/>
          <w:iCs/>
          <w:sz w:val="20"/>
          <w:szCs w:val="20"/>
          <w:lang w:val="en-US"/>
        </w:rPr>
        <w:t>. 2010;</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37:430–451.</w:t>
      </w:r>
    </w:p>
    <w:p w14:paraId="3F8E7095"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681C850" w14:textId="13C4586E"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9.</w:t>
      </w:r>
      <w:r w:rsidR="00E93B9A" w:rsidRPr="006251D2">
        <w:rPr>
          <w:rFonts w:ascii="Times New Roman" w:hAnsi="Times New Roman" w:cs="Times New Roman"/>
          <w:sz w:val="20"/>
          <w:szCs w:val="20"/>
          <w:lang w:val="en-US"/>
        </w:rPr>
        <w:t xml:space="preserve"> Al-Ani Z, Gray RJ, Davies SJ, Sloan P, Glenny AM. Stabilization splint therapy for the treatment of temporomandibular myofascial pain: a systematic review. </w:t>
      </w:r>
      <w:r w:rsidR="00E93B9A" w:rsidRPr="006251D2">
        <w:rPr>
          <w:rFonts w:ascii="Times New Roman" w:hAnsi="Times New Roman" w:cs="Times New Roman"/>
          <w:i/>
          <w:iCs/>
          <w:sz w:val="20"/>
          <w:szCs w:val="20"/>
          <w:lang w:val="en-US"/>
        </w:rPr>
        <w:t>J Dent Educ</w:t>
      </w:r>
      <w:r w:rsidR="00E93B9A" w:rsidRPr="006251D2">
        <w:rPr>
          <w:rFonts w:ascii="Times New Roman" w:hAnsi="Times New Roman" w:cs="Times New Roman"/>
          <w:iCs/>
          <w:sz w:val="20"/>
          <w:szCs w:val="20"/>
          <w:lang w:val="en-US"/>
        </w:rPr>
        <w:t>. 2005</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69:1242–1250.</w:t>
      </w:r>
    </w:p>
    <w:p w14:paraId="4BEE8A24"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19366232" w14:textId="25CEE985"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10.</w:t>
      </w:r>
      <w:r w:rsidR="00E93B9A" w:rsidRPr="006251D2">
        <w:rPr>
          <w:rFonts w:ascii="Times New Roman" w:hAnsi="Times New Roman" w:cs="Times New Roman"/>
          <w:sz w:val="20"/>
          <w:szCs w:val="20"/>
          <w:lang w:val="en-US"/>
        </w:rPr>
        <w:t xml:space="preserve"> Niemelä K, Korpela M, Raustia A, Ylöstalo P, Sipilä K. Efficacy of stabilization splint treatment on temporomandibular disorders. </w:t>
      </w:r>
      <w:r w:rsidR="00E93B9A" w:rsidRPr="006251D2">
        <w:rPr>
          <w:rFonts w:ascii="Times New Roman" w:hAnsi="Times New Roman" w:cs="Times New Roman"/>
          <w:i/>
          <w:iCs/>
          <w:sz w:val="20"/>
          <w:szCs w:val="20"/>
          <w:lang w:val="en-US"/>
        </w:rPr>
        <w:t>J Oral Rehabil</w:t>
      </w:r>
      <w:r w:rsidR="00E93B9A" w:rsidRPr="006251D2">
        <w:rPr>
          <w:rFonts w:ascii="Times New Roman" w:hAnsi="Times New Roman" w:cs="Times New Roman"/>
          <w:iCs/>
          <w:sz w:val="20"/>
          <w:szCs w:val="20"/>
          <w:lang w:val="en-US"/>
        </w:rPr>
        <w:t>. 2012</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39:799–804.</w:t>
      </w:r>
    </w:p>
    <w:p w14:paraId="5661C6D8"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00162C88" w14:textId="3713EFB3"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11.</w:t>
      </w:r>
      <w:r w:rsidR="00E93B9A" w:rsidRPr="006251D2">
        <w:rPr>
          <w:rFonts w:ascii="Times New Roman" w:hAnsi="Times New Roman" w:cs="Times New Roman"/>
          <w:sz w:val="20"/>
          <w:szCs w:val="20"/>
          <w:lang w:val="en-US"/>
        </w:rPr>
        <w:t xml:space="preserve"> Dahlstrom L, Carlsson GE. Temporomandibular disorders and oral health-related quality of life. A systematic review.</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i/>
          <w:iCs/>
          <w:sz w:val="20"/>
          <w:szCs w:val="20"/>
          <w:lang w:val="en-US"/>
        </w:rPr>
        <w:t>Acta Odontol Scand</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iCs/>
          <w:sz w:val="20"/>
          <w:szCs w:val="20"/>
          <w:lang w:val="en-US"/>
        </w:rPr>
        <w:lastRenderedPageBreak/>
        <w:t>2010;</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68:80–85.</w:t>
      </w:r>
    </w:p>
    <w:p w14:paraId="6DB70BA2"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224648D4" w14:textId="55A5433D"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12.</w:t>
      </w:r>
      <w:r w:rsidR="00E93B9A" w:rsidRPr="006251D2">
        <w:rPr>
          <w:rFonts w:ascii="Times New Roman" w:hAnsi="Times New Roman" w:cs="Times New Roman"/>
          <w:sz w:val="20"/>
          <w:szCs w:val="20"/>
          <w:lang w:val="en-US"/>
        </w:rPr>
        <w:t xml:space="preserve"> Rener-Sitar K, Celebic A, Mehulic K, Petricevic N. Factors related to oral health related quality of life in TMD patients. </w:t>
      </w:r>
      <w:r w:rsidR="00E93B9A" w:rsidRPr="006251D2">
        <w:rPr>
          <w:rFonts w:ascii="Times New Roman" w:hAnsi="Times New Roman" w:cs="Times New Roman"/>
          <w:i/>
          <w:iCs/>
          <w:sz w:val="20"/>
          <w:szCs w:val="20"/>
          <w:lang w:val="en-US"/>
        </w:rPr>
        <w:t>Coll Antropol</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2013;</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37:407–413.</w:t>
      </w:r>
    </w:p>
    <w:p w14:paraId="7D64C1C2"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1D6A1A07" w14:textId="53E10C26"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eastAsia="Times New Roman" w:hAnsi="Times New Roman" w:cs="Times New Roman"/>
          <w:color w:val="000000"/>
          <w:sz w:val="20"/>
          <w:szCs w:val="20"/>
          <w:shd w:val="clear" w:color="auto" w:fill="FFFFFF"/>
          <w:lang w:val="en-US"/>
        </w:rPr>
      </w:pPr>
      <w:r w:rsidRPr="006251D2">
        <w:rPr>
          <w:rFonts w:ascii="Times New Roman" w:hAnsi="Times New Roman" w:cs="Times New Roman"/>
          <w:sz w:val="20"/>
          <w:szCs w:val="20"/>
          <w:lang w:val="en-US"/>
        </w:rPr>
        <w:t>13.</w:t>
      </w:r>
      <w:r w:rsidR="00EC049B" w:rsidRPr="006251D2">
        <w:rPr>
          <w:rFonts w:ascii="Times New Roman" w:hAnsi="Times New Roman" w:cs="Times New Roman"/>
          <w:sz w:val="20"/>
          <w:szCs w:val="20"/>
          <w:lang w:val="en-US"/>
        </w:rPr>
        <w:t xml:space="preserve"> </w:t>
      </w:r>
      <w:r w:rsidR="00E93B9A" w:rsidRPr="006251D2">
        <w:rPr>
          <w:rFonts w:ascii="Times New Roman" w:eastAsia="Times New Roman" w:hAnsi="Times New Roman" w:cs="Times New Roman"/>
          <w:color w:val="000000"/>
          <w:sz w:val="20"/>
          <w:szCs w:val="20"/>
          <w:lang w:val="en-US"/>
        </w:rPr>
        <w:t xml:space="preserve">Bayat M, Abbasi AJ, Noorbala AA, Mohebbi SZ, Moharrami M, Yekaninejad MS. Oral health-related quality of life in patients with temporomandibular disorders: A case-control study considering psychological aspects. </w:t>
      </w:r>
      <w:r w:rsidR="00E93B9A" w:rsidRPr="006251D2">
        <w:rPr>
          <w:rStyle w:val="apple-converted-space"/>
          <w:rFonts w:ascii="Times New Roman" w:eastAsia="Times New Roman" w:hAnsi="Times New Roman" w:cs="Times New Roman"/>
          <w:i/>
          <w:color w:val="000000"/>
          <w:sz w:val="20"/>
          <w:szCs w:val="20"/>
          <w:shd w:val="clear" w:color="auto" w:fill="FFFFFF"/>
          <w:lang w:val="en-US"/>
        </w:rPr>
        <w:t>Int J Dent Hyg</w:t>
      </w:r>
      <w:r w:rsidR="00E93B9A" w:rsidRPr="006251D2">
        <w:rPr>
          <w:rStyle w:val="apple-converted-space"/>
          <w:rFonts w:ascii="Times New Roman" w:eastAsia="Times New Roman" w:hAnsi="Times New Roman" w:cs="Times New Roman"/>
          <w:color w:val="000000"/>
          <w:sz w:val="20"/>
          <w:szCs w:val="20"/>
          <w:shd w:val="clear" w:color="auto" w:fill="FFFFFF"/>
          <w:lang w:val="en-US"/>
        </w:rPr>
        <w:t xml:space="preserve">. </w:t>
      </w:r>
      <w:r w:rsidR="00E93B9A" w:rsidRPr="006251D2">
        <w:rPr>
          <w:rFonts w:ascii="Times New Roman" w:eastAsia="Times New Roman" w:hAnsi="Times New Roman" w:cs="Times New Roman"/>
          <w:color w:val="000000"/>
          <w:sz w:val="20"/>
          <w:szCs w:val="20"/>
          <w:shd w:val="clear" w:color="auto" w:fill="FFFFFF"/>
          <w:lang w:val="en-US"/>
        </w:rPr>
        <w:t>2017. Doi: 10.1111/idh.12266</w:t>
      </w:r>
    </w:p>
    <w:p w14:paraId="0A753D6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4EC1A7D5" w14:textId="690F30A2"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14.</w:t>
      </w:r>
      <w:r w:rsidR="00E93B9A" w:rsidRPr="006251D2">
        <w:rPr>
          <w:rFonts w:ascii="Times New Roman" w:hAnsi="Times New Roman" w:cs="Times New Roman"/>
          <w:sz w:val="20"/>
          <w:szCs w:val="20"/>
          <w:lang w:val="en-US"/>
        </w:rPr>
        <w:t xml:space="preserve"> Almoznino G, Zini A, Zakuto A, Sharav Y, Haviv Y, Avraham H, Chweidan H, Noam Y, Benoliel R. Oral Health-Related Quality of Life in Patients with Temporomandibular Disorders. </w:t>
      </w:r>
      <w:r w:rsidR="00E93B9A" w:rsidRPr="006251D2">
        <w:rPr>
          <w:rFonts w:ascii="Times New Roman" w:hAnsi="Times New Roman" w:cs="Times New Roman"/>
          <w:i/>
          <w:iCs/>
          <w:sz w:val="20"/>
          <w:szCs w:val="20"/>
          <w:lang w:val="en-US"/>
        </w:rPr>
        <w:t>J Oral Facial Pain Headache</w:t>
      </w:r>
      <w:r w:rsidR="00E93B9A" w:rsidRPr="006251D2">
        <w:rPr>
          <w:rFonts w:ascii="Times New Roman" w:hAnsi="Times New Roman" w:cs="Times New Roman"/>
          <w:iCs/>
          <w:sz w:val="20"/>
          <w:szCs w:val="20"/>
          <w:lang w:val="en-US"/>
        </w:rPr>
        <w:t>.</w:t>
      </w:r>
      <w:r w:rsidR="00F85D02" w:rsidRPr="006251D2">
        <w:rPr>
          <w:rFonts w:ascii="Times New Roman" w:hAnsi="Times New Roman" w:cs="Times New Roman"/>
          <w:i/>
          <w:iCs/>
          <w:sz w:val="20"/>
          <w:szCs w:val="20"/>
          <w:lang w:val="en-US"/>
        </w:rPr>
        <w:t xml:space="preserve"> </w:t>
      </w:r>
      <w:r w:rsidR="00E93B9A" w:rsidRPr="006251D2">
        <w:rPr>
          <w:rFonts w:ascii="Times New Roman" w:hAnsi="Times New Roman" w:cs="Times New Roman"/>
          <w:sz w:val="20"/>
          <w:szCs w:val="20"/>
          <w:lang w:val="en-US"/>
        </w:rPr>
        <w:t>2015;</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lastRenderedPageBreak/>
        <w:t>29:231–241.</w:t>
      </w:r>
    </w:p>
    <w:p w14:paraId="7650632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04F9BC86" w14:textId="10C857E4"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15. </w:t>
      </w:r>
      <w:r w:rsidR="00E93B9A" w:rsidRPr="006251D2">
        <w:rPr>
          <w:rFonts w:ascii="Times New Roman" w:hAnsi="Times New Roman" w:cs="Times New Roman"/>
          <w:sz w:val="20"/>
          <w:szCs w:val="20"/>
          <w:lang w:val="en-US"/>
        </w:rPr>
        <w:t xml:space="preserve">Miettinen O, Lahti S, Sipila K. Psychosocial aspects of temporomandibular disorders and oral health-related quality-of-life. </w:t>
      </w:r>
      <w:r w:rsidR="00E93B9A" w:rsidRPr="006251D2">
        <w:rPr>
          <w:rFonts w:ascii="Times New Roman" w:hAnsi="Times New Roman" w:cs="Times New Roman"/>
          <w:i/>
          <w:iCs/>
          <w:sz w:val="20"/>
          <w:szCs w:val="20"/>
          <w:lang w:val="en-US"/>
        </w:rPr>
        <w:t>Acta Odontol Scand</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2010</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70:331–336.</w:t>
      </w:r>
    </w:p>
    <w:p w14:paraId="7BC207D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DB4A969" w14:textId="3AC1466D"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16.</w:t>
      </w:r>
      <w:r w:rsidR="00E93B9A" w:rsidRPr="006251D2">
        <w:rPr>
          <w:rFonts w:ascii="Times New Roman" w:hAnsi="Times New Roman" w:cs="Times New Roman"/>
          <w:sz w:val="20"/>
          <w:szCs w:val="20"/>
          <w:lang w:val="en-US"/>
        </w:rPr>
        <w:t xml:space="preserve"> John MT, Reissmann DR, Schierz O, Wassell RW. Oral health-related quality of life in patients with temporomandibular disorders. </w:t>
      </w:r>
      <w:r w:rsidR="00E93B9A" w:rsidRPr="006251D2">
        <w:rPr>
          <w:rFonts w:ascii="Times New Roman" w:hAnsi="Times New Roman" w:cs="Times New Roman"/>
          <w:i/>
          <w:iCs/>
          <w:sz w:val="20"/>
          <w:szCs w:val="20"/>
          <w:lang w:val="en-US"/>
        </w:rPr>
        <w:t>J Orofac Pain</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2007;</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 xml:space="preserve">21:46–54. </w:t>
      </w:r>
    </w:p>
    <w:p w14:paraId="76D4125C"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40D13EDF" w14:textId="63A418A7"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17.</w:t>
      </w:r>
      <w:r w:rsidR="00E93B9A" w:rsidRPr="006251D2">
        <w:rPr>
          <w:rFonts w:ascii="Times New Roman" w:hAnsi="Times New Roman" w:cs="Times New Roman"/>
          <w:sz w:val="20"/>
          <w:szCs w:val="20"/>
          <w:lang w:val="en-US"/>
        </w:rPr>
        <w:t xml:space="preserve"> Zheng J, Wong MC, Lam CL. Key factors associated with oral health-related quality of life (OHRQOL) in Hong Kong Chinese adults with orofacial pain. </w:t>
      </w:r>
      <w:r w:rsidR="00E93B9A" w:rsidRPr="006251D2">
        <w:rPr>
          <w:rFonts w:ascii="Times New Roman" w:hAnsi="Times New Roman" w:cs="Times New Roman"/>
          <w:i/>
          <w:iCs/>
          <w:sz w:val="20"/>
          <w:szCs w:val="20"/>
          <w:lang w:val="en-US"/>
        </w:rPr>
        <w:t>J Dent</w:t>
      </w:r>
      <w:r w:rsidR="00E93B9A" w:rsidRPr="006251D2">
        <w:rPr>
          <w:rFonts w:ascii="Times New Roman" w:hAnsi="Times New Roman" w:cs="Times New Roman"/>
          <w:iCs/>
          <w:sz w:val="20"/>
          <w:szCs w:val="20"/>
          <w:lang w:val="en-US"/>
        </w:rPr>
        <w:t>. 2011;</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 xml:space="preserve">39:564–571. </w:t>
      </w:r>
    </w:p>
    <w:p w14:paraId="3665B6C5"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77218186" w14:textId="5DB42A20"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18.</w:t>
      </w:r>
      <w:r w:rsidR="00E93B9A" w:rsidRPr="006251D2">
        <w:rPr>
          <w:rFonts w:ascii="Times New Roman" w:hAnsi="Times New Roman" w:cs="Times New Roman"/>
          <w:sz w:val="20"/>
          <w:szCs w:val="20"/>
          <w:lang w:val="en-US"/>
        </w:rPr>
        <w:t xml:space="preserve"> Slade GD, Spencer AJ. Development and evaluation of the Oral Health Impact Profile. </w:t>
      </w:r>
      <w:r w:rsidR="00E93B9A" w:rsidRPr="006251D2">
        <w:rPr>
          <w:rFonts w:ascii="Times New Roman" w:hAnsi="Times New Roman" w:cs="Times New Roman"/>
          <w:i/>
          <w:iCs/>
          <w:sz w:val="20"/>
          <w:szCs w:val="20"/>
          <w:lang w:val="en-US"/>
        </w:rPr>
        <w:t>Community Dent Health</w:t>
      </w:r>
      <w:r w:rsidR="00E93B9A" w:rsidRPr="006251D2">
        <w:rPr>
          <w:rFonts w:ascii="Times New Roman" w:hAnsi="Times New Roman" w:cs="Times New Roman"/>
          <w:iCs/>
          <w:sz w:val="20"/>
          <w:szCs w:val="20"/>
          <w:lang w:val="en-US"/>
        </w:rPr>
        <w:t>. 1994;</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11:3–11.</w:t>
      </w:r>
    </w:p>
    <w:p w14:paraId="5B72E95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626E8B97" w14:textId="23DBF11F"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19.</w:t>
      </w:r>
      <w:r w:rsidR="00E93B9A" w:rsidRPr="006251D2">
        <w:rPr>
          <w:rFonts w:ascii="Times New Roman" w:hAnsi="Times New Roman" w:cs="Times New Roman"/>
          <w:sz w:val="20"/>
          <w:szCs w:val="20"/>
          <w:lang w:val="en-US"/>
        </w:rPr>
        <w:t xml:space="preserve"> Locker D. Measuring oral health: a conceptual framework. </w:t>
      </w:r>
      <w:r w:rsidR="00E93B9A" w:rsidRPr="006251D2">
        <w:rPr>
          <w:rFonts w:ascii="Times New Roman" w:hAnsi="Times New Roman" w:cs="Times New Roman"/>
          <w:i/>
          <w:iCs/>
          <w:sz w:val="20"/>
          <w:szCs w:val="20"/>
          <w:lang w:val="en-US"/>
        </w:rPr>
        <w:t>Community Dent Health</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1988;</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5:3–18.</w:t>
      </w:r>
    </w:p>
    <w:p w14:paraId="45EE09A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7F537CA" w14:textId="67828C2E"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20.</w:t>
      </w:r>
      <w:r w:rsidR="00E93B9A" w:rsidRPr="006251D2">
        <w:rPr>
          <w:rFonts w:ascii="Times New Roman" w:hAnsi="Times New Roman" w:cs="Times New Roman"/>
          <w:sz w:val="20"/>
          <w:szCs w:val="20"/>
          <w:lang w:val="en-US"/>
        </w:rPr>
        <w:t xml:space="preserve"> Allen PF. Assessment of oral health related quality of life. </w:t>
      </w:r>
      <w:r w:rsidR="00E93B9A" w:rsidRPr="006251D2">
        <w:rPr>
          <w:rFonts w:ascii="Times New Roman" w:hAnsi="Times New Roman" w:cs="Times New Roman"/>
          <w:i/>
          <w:iCs/>
          <w:sz w:val="20"/>
          <w:szCs w:val="20"/>
          <w:lang w:val="en-US"/>
        </w:rPr>
        <w:t>Health Qual Life Outcomes</w:t>
      </w:r>
      <w:r w:rsidR="00E93B9A" w:rsidRPr="006251D2">
        <w:rPr>
          <w:rFonts w:ascii="Times New Roman" w:hAnsi="Times New Roman" w:cs="Times New Roman"/>
          <w:iCs/>
          <w:sz w:val="20"/>
          <w:szCs w:val="20"/>
          <w:lang w:val="en-US"/>
        </w:rPr>
        <w:t>. 2003;</w:t>
      </w:r>
      <w:r w:rsidR="00EC049B"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1:40.</w:t>
      </w:r>
    </w:p>
    <w:p w14:paraId="756A1E57"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031AE745" w14:textId="67768210"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21.</w:t>
      </w:r>
      <w:r w:rsidR="00E93B9A" w:rsidRPr="006251D2">
        <w:rPr>
          <w:rFonts w:ascii="Times New Roman" w:hAnsi="Times New Roman" w:cs="Times New Roman"/>
          <w:sz w:val="20"/>
          <w:szCs w:val="20"/>
          <w:lang w:val="en-US"/>
        </w:rPr>
        <w:t xml:space="preserve"> Moufti MA, Wassell RW, Meechan JG, Allen PF, John MT, Steele JG. The Oral Health Impact Profile: ranking of items for temporomandibular disorders. </w:t>
      </w:r>
      <w:r w:rsidR="00E93B9A" w:rsidRPr="006251D2">
        <w:rPr>
          <w:rFonts w:ascii="Times New Roman" w:hAnsi="Times New Roman" w:cs="Times New Roman"/>
          <w:i/>
          <w:iCs/>
          <w:sz w:val="20"/>
          <w:szCs w:val="20"/>
          <w:lang w:val="en-US"/>
        </w:rPr>
        <w:t>Eur J Oral Sci</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2011;</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119:169–174.</w:t>
      </w:r>
    </w:p>
    <w:p w14:paraId="3A26F8B1"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041F61BE" w14:textId="2A189864"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22.</w:t>
      </w:r>
      <w:r w:rsidR="00E93B9A" w:rsidRPr="006251D2">
        <w:rPr>
          <w:rFonts w:ascii="Times New Roman" w:hAnsi="Times New Roman" w:cs="Times New Roman"/>
          <w:sz w:val="20"/>
          <w:szCs w:val="20"/>
          <w:lang w:val="en-US"/>
        </w:rPr>
        <w:t xml:space="preserve"> Dworkin SF, LeResche L. Research diagnostic criteria for temporomandibular disorders: Review, criteria, examinations and specifications, critique. </w:t>
      </w:r>
      <w:r w:rsidR="00E93B9A" w:rsidRPr="006251D2">
        <w:rPr>
          <w:rFonts w:ascii="Times New Roman" w:hAnsi="Times New Roman" w:cs="Times New Roman"/>
          <w:i/>
          <w:sz w:val="20"/>
          <w:szCs w:val="20"/>
          <w:lang w:val="en-US"/>
        </w:rPr>
        <w:t>J Craniomandib Disord</w:t>
      </w:r>
      <w:r w:rsidR="00E93B9A" w:rsidRPr="006251D2">
        <w:rPr>
          <w:rFonts w:ascii="Times New Roman" w:hAnsi="Times New Roman" w:cs="Times New Roman"/>
          <w:sz w:val="20"/>
          <w:szCs w:val="20"/>
          <w:lang w:val="en-US"/>
        </w:rPr>
        <w:t>. 1992;</w:t>
      </w:r>
      <w:r w:rsidR="00EC049B"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6:301–355.</w:t>
      </w:r>
    </w:p>
    <w:p w14:paraId="42F56C6C"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C4D4020" w14:textId="20BEFE58"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23.</w:t>
      </w:r>
      <w:r w:rsidR="00E93B9A" w:rsidRPr="006251D2">
        <w:rPr>
          <w:rFonts w:ascii="Times New Roman" w:hAnsi="Times New Roman" w:cs="Times New Roman"/>
          <w:sz w:val="20"/>
          <w:szCs w:val="20"/>
          <w:lang w:val="en-US"/>
        </w:rPr>
        <w:t xml:space="preserve"> Lahti S, Suominen-Taipale L, Hausen H. Oral health impacts among adults in Finland: competing effects of age, number of teeth, and removable dentures. </w:t>
      </w:r>
      <w:r w:rsidR="00E93B9A" w:rsidRPr="006251D2">
        <w:rPr>
          <w:rFonts w:ascii="Times New Roman" w:hAnsi="Times New Roman" w:cs="Times New Roman"/>
          <w:i/>
          <w:sz w:val="20"/>
          <w:szCs w:val="20"/>
          <w:lang w:val="en-US"/>
        </w:rPr>
        <w:t>Eur J Oral Sci</w:t>
      </w:r>
      <w:r w:rsidR="00E93B9A" w:rsidRPr="006251D2">
        <w:rPr>
          <w:rFonts w:ascii="Times New Roman" w:hAnsi="Times New Roman" w:cs="Times New Roman"/>
          <w:sz w:val="20"/>
          <w:szCs w:val="20"/>
          <w:lang w:val="en-US"/>
        </w:rPr>
        <w:t>.</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2008;</w:t>
      </w:r>
      <w:r w:rsidR="00931A50"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116:260–266.</w:t>
      </w:r>
    </w:p>
    <w:p w14:paraId="1AA2041D"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4848302" w14:textId="562121EF"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24.</w:t>
      </w:r>
      <w:r w:rsidR="00E93B9A" w:rsidRPr="006251D2">
        <w:rPr>
          <w:rFonts w:ascii="Times New Roman" w:hAnsi="Times New Roman" w:cs="Times New Roman"/>
          <w:sz w:val="20"/>
          <w:szCs w:val="20"/>
          <w:lang w:val="en-US"/>
        </w:rPr>
        <w:t xml:space="preserve"> Carlsson GE, Magnusson T. Treatment modalities. In: Bywaters LC, ed. </w:t>
      </w:r>
      <w:r w:rsidR="00E93B9A" w:rsidRPr="006251D2">
        <w:rPr>
          <w:rFonts w:ascii="Times New Roman" w:hAnsi="Times New Roman" w:cs="Times New Roman"/>
          <w:i/>
          <w:sz w:val="20"/>
          <w:szCs w:val="20"/>
          <w:lang w:val="en-US"/>
        </w:rPr>
        <w:t>Management of temporomandibular disorders in the general dental practice</w:t>
      </w:r>
      <w:r w:rsidR="00E93B9A" w:rsidRPr="006251D2">
        <w:rPr>
          <w:rFonts w:ascii="Times New Roman" w:hAnsi="Times New Roman" w:cs="Times New Roman"/>
          <w:sz w:val="20"/>
          <w:szCs w:val="20"/>
          <w:lang w:val="en-US"/>
        </w:rPr>
        <w:t>. Chicago, IL: Quintessence; 1999:</w:t>
      </w:r>
      <w:r w:rsidR="00931A50"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93–103.</w:t>
      </w:r>
    </w:p>
    <w:p w14:paraId="7AA2BF96"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09CD1DB" w14:textId="2100310A"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25.</w:t>
      </w:r>
      <w:r w:rsidR="00E93B9A" w:rsidRPr="006251D2">
        <w:rPr>
          <w:rFonts w:ascii="Times New Roman" w:hAnsi="Times New Roman" w:cs="Times New Roman"/>
          <w:sz w:val="20"/>
          <w:szCs w:val="20"/>
          <w:lang w:val="en-US"/>
        </w:rPr>
        <w:t xml:space="preserve"> Alajbeg IZ, Gikic M, Valentic-Peruzovic M. 2014. Changes in pain in</w:t>
      </w:r>
      <w:r w:rsidR="00E93B9A" w:rsidRPr="006251D2">
        <w:rPr>
          <w:rFonts w:ascii="Times New Roman" w:hAnsi="Times New Roman" w:cs="Times New Roman"/>
          <w:sz w:val="20"/>
          <w:szCs w:val="20"/>
          <w:lang w:val="en-US"/>
        </w:rPr>
        <w:lastRenderedPageBreak/>
        <w:t xml:space="preserve">tensity and oral health-related quality of life in patients with temporomandibular disorders during stabilization splint therapy—a pilot study. </w:t>
      </w:r>
      <w:r w:rsidR="00E93B9A" w:rsidRPr="006251D2">
        <w:rPr>
          <w:rFonts w:ascii="Times New Roman" w:hAnsi="Times New Roman" w:cs="Times New Roman"/>
          <w:i/>
          <w:iCs/>
          <w:sz w:val="20"/>
          <w:szCs w:val="20"/>
          <w:lang w:val="en-US"/>
        </w:rPr>
        <w:t>Acta Clin Croat</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2014;</w:t>
      </w:r>
      <w:r w:rsidR="00931A50"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53:7–16.</w:t>
      </w:r>
    </w:p>
    <w:p w14:paraId="2B2B9BD9"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43068CC7" w14:textId="34916E41"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rPr>
      </w:pPr>
      <w:r w:rsidRPr="006251D2">
        <w:rPr>
          <w:rFonts w:ascii="Times New Roman" w:hAnsi="Times New Roman" w:cs="Times New Roman"/>
          <w:sz w:val="20"/>
          <w:szCs w:val="20"/>
          <w:lang w:val="en-US"/>
        </w:rPr>
        <w:t>26.</w:t>
      </w:r>
      <w:r w:rsidR="00E93B9A" w:rsidRPr="006251D2">
        <w:rPr>
          <w:rFonts w:ascii="Times New Roman" w:hAnsi="Times New Roman" w:cs="Times New Roman"/>
          <w:sz w:val="20"/>
          <w:szCs w:val="20"/>
          <w:lang w:val="en-US"/>
        </w:rPr>
        <w:t xml:space="preserve"> Papagianni, CE, van der Meulen MJ, Naeije M, Lobbezoo F. Oral health-related quality of life in patients with tooth wear. </w:t>
      </w:r>
      <w:r w:rsidR="00E93B9A" w:rsidRPr="006251D2">
        <w:rPr>
          <w:rFonts w:ascii="Times New Roman" w:hAnsi="Times New Roman" w:cs="Times New Roman"/>
          <w:i/>
          <w:iCs/>
          <w:sz w:val="20"/>
          <w:szCs w:val="20"/>
        </w:rPr>
        <w:t>J Oral Rehabil</w:t>
      </w:r>
      <w:r w:rsidR="00E93B9A" w:rsidRPr="006251D2">
        <w:rPr>
          <w:rFonts w:ascii="Times New Roman" w:hAnsi="Times New Roman" w:cs="Times New Roman"/>
          <w:iCs/>
          <w:sz w:val="20"/>
          <w:szCs w:val="20"/>
        </w:rPr>
        <w:t xml:space="preserve">. </w:t>
      </w:r>
      <w:r w:rsidR="00E93B9A" w:rsidRPr="006251D2">
        <w:rPr>
          <w:rFonts w:ascii="Times New Roman" w:hAnsi="Times New Roman" w:cs="Times New Roman"/>
          <w:sz w:val="20"/>
          <w:szCs w:val="20"/>
        </w:rPr>
        <w:t>2013;</w:t>
      </w:r>
      <w:r w:rsidR="004B5547" w:rsidRPr="006251D2">
        <w:rPr>
          <w:rFonts w:ascii="Times New Roman" w:hAnsi="Times New Roman" w:cs="Times New Roman"/>
          <w:sz w:val="20"/>
          <w:szCs w:val="20"/>
        </w:rPr>
        <w:t xml:space="preserve"> </w:t>
      </w:r>
      <w:r w:rsidR="00E93B9A" w:rsidRPr="006251D2">
        <w:rPr>
          <w:rFonts w:ascii="Times New Roman" w:hAnsi="Times New Roman" w:cs="Times New Roman"/>
          <w:sz w:val="20"/>
          <w:szCs w:val="20"/>
        </w:rPr>
        <w:t>40:185–190.</w:t>
      </w:r>
    </w:p>
    <w:p w14:paraId="6D5389EE"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rPr>
      </w:pPr>
    </w:p>
    <w:p w14:paraId="38DF4EEC" w14:textId="74A5F8D9" w:rsidR="00E93B9A" w:rsidRPr="006251D2" w:rsidRDefault="00DA324F" w:rsidP="007E1E18">
      <w:pPr>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rPr>
        <w:t>27.</w:t>
      </w:r>
      <w:r w:rsidR="00E93B9A" w:rsidRPr="006251D2">
        <w:rPr>
          <w:rFonts w:ascii="Times New Roman" w:hAnsi="Times New Roman" w:cs="Times New Roman"/>
          <w:sz w:val="20"/>
          <w:szCs w:val="20"/>
        </w:rPr>
        <w:t xml:space="preserve"> Suvinen TI, Reade PC, Kemppainen P, Könönen M, Dworkin SF. </w:t>
      </w:r>
      <w:r w:rsidR="00E93B9A" w:rsidRPr="006251D2">
        <w:rPr>
          <w:rFonts w:ascii="Times New Roman" w:hAnsi="Times New Roman" w:cs="Times New Roman"/>
          <w:sz w:val="20"/>
          <w:szCs w:val="20"/>
          <w:lang w:val="en-US"/>
        </w:rPr>
        <w:t xml:space="preserve">Review of aetiological concepts of temporomandibular pain disorders: towards a biopsychosocial model for integration of physical disorder factors with psychological and psychosocial illness impact factors. </w:t>
      </w:r>
      <w:r w:rsidR="00E93B9A" w:rsidRPr="006251D2">
        <w:rPr>
          <w:rFonts w:ascii="Times New Roman" w:hAnsi="Times New Roman" w:cs="Times New Roman"/>
          <w:i/>
          <w:sz w:val="20"/>
          <w:szCs w:val="20"/>
          <w:lang w:val="en-US"/>
        </w:rPr>
        <w:t>Eur J Pain</w:t>
      </w:r>
      <w:r w:rsidR="00E93B9A" w:rsidRPr="006251D2">
        <w:rPr>
          <w:rFonts w:ascii="Times New Roman" w:hAnsi="Times New Roman" w:cs="Times New Roman"/>
          <w:sz w:val="20"/>
          <w:szCs w:val="20"/>
          <w:lang w:val="en-US"/>
        </w:rPr>
        <w:t>. 2005;</w:t>
      </w:r>
      <w:r w:rsidR="00CC1CF2"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9:613-633.</w:t>
      </w:r>
    </w:p>
    <w:p w14:paraId="69E37718"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565CB8DF" w14:textId="67F23481" w:rsidR="00E93B9A" w:rsidRPr="006251D2" w:rsidRDefault="00DA324F" w:rsidP="007E1E18">
      <w:pPr>
        <w:pStyle w:val="p1"/>
        <w:spacing w:line="480" w:lineRule="auto"/>
        <w:rPr>
          <w:rFonts w:ascii="Times New Roman" w:hAnsi="Times New Roman"/>
          <w:sz w:val="20"/>
          <w:szCs w:val="20"/>
          <w:lang w:val="en-US"/>
        </w:rPr>
      </w:pPr>
      <w:r w:rsidRPr="006251D2">
        <w:rPr>
          <w:rFonts w:ascii="Times New Roman" w:hAnsi="Times New Roman"/>
          <w:sz w:val="20"/>
          <w:szCs w:val="20"/>
          <w:lang w:val="en-US"/>
        </w:rPr>
        <w:lastRenderedPageBreak/>
        <w:t>28.</w:t>
      </w:r>
      <w:r w:rsidR="00E93B9A" w:rsidRPr="006251D2">
        <w:rPr>
          <w:rFonts w:ascii="Times New Roman" w:hAnsi="Times New Roman"/>
          <w:sz w:val="20"/>
          <w:szCs w:val="20"/>
          <w:lang w:val="en-US"/>
        </w:rPr>
        <w:t xml:space="preserve"> Silvola AS, Rusanen J, Tolvanen M, Pirttiniemi P, Lahti S. Occlusal characteristics and quality of life before and after treatment of severe malocclusion. </w:t>
      </w:r>
      <w:r w:rsidR="00E93B9A" w:rsidRPr="006251D2">
        <w:rPr>
          <w:rFonts w:ascii="Times New Roman" w:hAnsi="Times New Roman"/>
          <w:i/>
          <w:sz w:val="20"/>
          <w:szCs w:val="20"/>
          <w:lang w:val="en-US"/>
        </w:rPr>
        <w:t>Eur J Orthod</w:t>
      </w:r>
      <w:r w:rsidR="00E93B9A" w:rsidRPr="006251D2">
        <w:rPr>
          <w:rFonts w:ascii="Times New Roman" w:hAnsi="Times New Roman"/>
          <w:sz w:val="20"/>
          <w:szCs w:val="20"/>
          <w:lang w:val="en-US"/>
        </w:rPr>
        <w:t>. 2012;</w:t>
      </w:r>
      <w:r w:rsidR="00CC1CF2" w:rsidRPr="006251D2">
        <w:rPr>
          <w:rFonts w:ascii="Times New Roman" w:hAnsi="Times New Roman"/>
          <w:sz w:val="20"/>
          <w:szCs w:val="20"/>
          <w:lang w:val="en-US"/>
        </w:rPr>
        <w:t xml:space="preserve"> </w:t>
      </w:r>
      <w:r w:rsidR="00E93B9A" w:rsidRPr="006251D2">
        <w:rPr>
          <w:rFonts w:ascii="Times New Roman" w:hAnsi="Times New Roman"/>
          <w:sz w:val="20"/>
          <w:szCs w:val="20"/>
          <w:lang w:val="en-US"/>
        </w:rPr>
        <w:t>34:704</w:t>
      </w:r>
      <w:r w:rsidR="00E93B9A" w:rsidRPr="006251D2">
        <w:rPr>
          <w:rFonts w:ascii="Times New Roman" w:hAnsi="Times New Roman"/>
          <w:sz w:val="20"/>
          <w:szCs w:val="20"/>
          <w:lang w:val="en-US" w:eastAsia="en-US"/>
        </w:rPr>
        <w:t>–</w:t>
      </w:r>
      <w:r w:rsidR="00E93B9A" w:rsidRPr="006251D2">
        <w:rPr>
          <w:rFonts w:ascii="Times New Roman" w:hAnsi="Times New Roman"/>
          <w:sz w:val="20"/>
          <w:szCs w:val="20"/>
          <w:lang w:val="en-US"/>
        </w:rPr>
        <w:t>709.</w:t>
      </w:r>
    </w:p>
    <w:p w14:paraId="3E2D2518"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64F4DAA4" w14:textId="2366CA00" w:rsidR="00E93B9A" w:rsidRPr="006251D2" w:rsidRDefault="00DA324F"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29.</w:t>
      </w:r>
      <w:r w:rsidR="00E93B9A" w:rsidRPr="006251D2">
        <w:rPr>
          <w:rFonts w:ascii="Times New Roman" w:hAnsi="Times New Roman" w:cs="Times New Roman"/>
          <w:sz w:val="20"/>
          <w:szCs w:val="20"/>
          <w:lang w:val="en-US"/>
        </w:rPr>
        <w:t xml:space="preserve"> Slade GD. Derivation and validation of short-form oral health impact profile. </w:t>
      </w:r>
      <w:r w:rsidR="00E93B9A" w:rsidRPr="006251D2">
        <w:rPr>
          <w:rFonts w:ascii="Times New Roman" w:hAnsi="Times New Roman" w:cs="Times New Roman"/>
          <w:i/>
          <w:iCs/>
          <w:sz w:val="20"/>
          <w:szCs w:val="20"/>
          <w:lang w:val="en-US"/>
        </w:rPr>
        <w:t>Community Dent Oral Epidemiol</w:t>
      </w:r>
      <w:r w:rsidR="00E93B9A" w:rsidRPr="006251D2">
        <w:rPr>
          <w:rFonts w:ascii="Times New Roman" w:hAnsi="Times New Roman" w:cs="Times New Roman"/>
          <w:iCs/>
          <w:sz w:val="20"/>
          <w:szCs w:val="20"/>
          <w:lang w:val="en-US"/>
        </w:rPr>
        <w:t xml:space="preserve">. </w:t>
      </w:r>
      <w:r w:rsidR="00E93B9A" w:rsidRPr="006251D2">
        <w:rPr>
          <w:rFonts w:ascii="Times New Roman" w:hAnsi="Times New Roman" w:cs="Times New Roman"/>
          <w:sz w:val="20"/>
          <w:szCs w:val="20"/>
          <w:lang w:val="en-US"/>
        </w:rPr>
        <w:t>1997;</w:t>
      </w:r>
      <w:r w:rsidR="004B5547" w:rsidRPr="006251D2">
        <w:rPr>
          <w:rFonts w:ascii="Times New Roman" w:hAnsi="Times New Roman" w:cs="Times New Roman"/>
          <w:sz w:val="20"/>
          <w:szCs w:val="20"/>
          <w:lang w:val="en-US"/>
        </w:rPr>
        <w:t xml:space="preserve"> </w:t>
      </w:r>
      <w:r w:rsidR="00E93B9A" w:rsidRPr="006251D2">
        <w:rPr>
          <w:rFonts w:ascii="Times New Roman" w:hAnsi="Times New Roman" w:cs="Times New Roman"/>
          <w:sz w:val="20"/>
          <w:szCs w:val="20"/>
          <w:lang w:val="en-US"/>
        </w:rPr>
        <w:t>25:284–290.</w:t>
      </w:r>
    </w:p>
    <w:p w14:paraId="2074A603" w14:textId="77777777" w:rsidR="00E93B9A" w:rsidRPr="006251D2" w:rsidRDefault="00E93B9A" w:rsidP="007E1E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jc w:val="both"/>
        <w:rPr>
          <w:rFonts w:ascii="Times New Roman" w:hAnsi="Times New Roman" w:cs="Times New Roman"/>
          <w:sz w:val="20"/>
          <w:szCs w:val="20"/>
          <w:lang w:val="en-US"/>
        </w:rPr>
      </w:pPr>
    </w:p>
    <w:p w14:paraId="7DD88A85" w14:textId="1C29C16D" w:rsidR="00E93B9A" w:rsidRPr="006251D2" w:rsidRDefault="00DA324F" w:rsidP="007E1E18">
      <w:pPr>
        <w:spacing w:line="480" w:lineRule="auto"/>
        <w:jc w:val="both"/>
        <w:rPr>
          <w:rFonts w:ascii="Times New Roman" w:eastAsia="Times New Roman" w:hAnsi="Times New Roman" w:cs="Times New Roman"/>
          <w:color w:val="000000"/>
          <w:sz w:val="20"/>
          <w:szCs w:val="20"/>
          <w:lang w:val="en-US"/>
        </w:rPr>
      </w:pPr>
      <w:r w:rsidRPr="006251D2">
        <w:rPr>
          <w:rFonts w:ascii="Times New Roman" w:eastAsia="Times New Roman" w:hAnsi="Times New Roman" w:cs="Times New Roman"/>
          <w:color w:val="000000"/>
          <w:sz w:val="20"/>
          <w:szCs w:val="20"/>
          <w:lang w:val="en-US"/>
        </w:rPr>
        <w:t>30.</w:t>
      </w:r>
      <w:r w:rsidR="00E93B9A" w:rsidRPr="006251D2">
        <w:rPr>
          <w:rFonts w:ascii="Times New Roman" w:eastAsia="Times New Roman" w:hAnsi="Times New Roman" w:cs="Times New Roman"/>
          <w:color w:val="000000"/>
          <w:sz w:val="20"/>
          <w:szCs w:val="20"/>
          <w:lang w:val="en-US"/>
        </w:rPr>
        <w:t xml:space="preserve"> Qvintus V, Suominen AL, Huttunen J, Raustia A, Ylöstalo P, Sipila K. Efficacy of stabilisation splint treatment on facial pain - 1-year follow-up. </w:t>
      </w:r>
      <w:r w:rsidR="00E93B9A" w:rsidRPr="006251D2">
        <w:rPr>
          <w:rFonts w:ascii="Times New Roman" w:hAnsi="Times New Roman" w:cs="Times New Roman"/>
          <w:i/>
          <w:iCs/>
          <w:sz w:val="20"/>
          <w:szCs w:val="20"/>
          <w:lang w:val="en-US"/>
        </w:rPr>
        <w:t>J Oral Rehabil</w:t>
      </w:r>
      <w:r w:rsidR="00E93B9A" w:rsidRPr="006251D2">
        <w:rPr>
          <w:rFonts w:ascii="Times New Roman" w:hAnsi="Times New Roman" w:cs="Times New Roman"/>
          <w:iCs/>
          <w:sz w:val="20"/>
          <w:szCs w:val="20"/>
          <w:lang w:val="en-US"/>
        </w:rPr>
        <w:t xml:space="preserve">. </w:t>
      </w:r>
      <w:r w:rsidR="00E93B9A" w:rsidRPr="006251D2">
        <w:rPr>
          <w:rStyle w:val="apple-converted-space"/>
          <w:rFonts w:ascii="Times New Roman" w:eastAsia="Times New Roman" w:hAnsi="Times New Roman" w:cs="Times New Roman"/>
          <w:iCs/>
          <w:color w:val="000000"/>
          <w:sz w:val="20"/>
          <w:szCs w:val="20"/>
          <w:lang w:val="en-US"/>
        </w:rPr>
        <w:t>2015</w:t>
      </w:r>
      <w:r w:rsidR="00E93B9A" w:rsidRPr="006251D2">
        <w:rPr>
          <w:rFonts w:ascii="Times New Roman" w:eastAsia="Times New Roman" w:hAnsi="Times New Roman" w:cs="Times New Roman"/>
          <w:color w:val="000000"/>
          <w:sz w:val="20"/>
          <w:szCs w:val="20"/>
          <w:lang w:val="en-US"/>
        </w:rPr>
        <w:t>;</w:t>
      </w:r>
      <w:r w:rsidR="004B5547" w:rsidRPr="006251D2">
        <w:rPr>
          <w:rFonts w:ascii="Times New Roman" w:eastAsia="Times New Roman" w:hAnsi="Times New Roman" w:cs="Times New Roman"/>
          <w:color w:val="000000"/>
          <w:sz w:val="20"/>
          <w:szCs w:val="20"/>
          <w:lang w:val="en-US"/>
        </w:rPr>
        <w:t xml:space="preserve"> </w:t>
      </w:r>
      <w:r w:rsidR="00E93B9A" w:rsidRPr="006251D2">
        <w:rPr>
          <w:rFonts w:ascii="Times New Roman" w:eastAsia="Times New Roman" w:hAnsi="Times New Roman" w:cs="Times New Roman"/>
          <w:color w:val="000000"/>
          <w:sz w:val="20"/>
          <w:szCs w:val="20"/>
          <w:lang w:val="en-US"/>
        </w:rPr>
        <w:t>42:439</w:t>
      </w:r>
      <w:r w:rsidR="00E93B9A" w:rsidRPr="006251D2">
        <w:rPr>
          <w:rFonts w:ascii="Times New Roman" w:hAnsi="Times New Roman" w:cs="Times New Roman"/>
          <w:sz w:val="20"/>
          <w:szCs w:val="20"/>
          <w:lang w:val="en-US"/>
        </w:rPr>
        <w:t>–</w:t>
      </w:r>
      <w:r w:rsidR="00E93B9A" w:rsidRPr="006251D2">
        <w:rPr>
          <w:rFonts w:ascii="Times New Roman" w:eastAsia="Times New Roman" w:hAnsi="Times New Roman" w:cs="Times New Roman"/>
          <w:color w:val="000000"/>
          <w:sz w:val="20"/>
          <w:szCs w:val="20"/>
          <w:lang w:val="en-US"/>
        </w:rPr>
        <w:t>446.</w:t>
      </w:r>
    </w:p>
    <w:p w14:paraId="56C976DA" w14:textId="77777777" w:rsidR="003B02CE" w:rsidRPr="006251D2" w:rsidRDefault="003B02CE" w:rsidP="007E1E18">
      <w:pPr>
        <w:spacing w:line="480" w:lineRule="auto"/>
        <w:jc w:val="both"/>
        <w:rPr>
          <w:rFonts w:ascii="Times New Roman" w:eastAsia="Times New Roman" w:hAnsi="Times New Roman" w:cs="Times New Roman"/>
          <w:color w:val="000000"/>
          <w:sz w:val="20"/>
          <w:szCs w:val="20"/>
          <w:lang w:val="en-US"/>
        </w:rPr>
      </w:pPr>
    </w:p>
    <w:p w14:paraId="09E2E43C" w14:textId="1E0B4BA4" w:rsidR="00E93B9A" w:rsidRPr="006251D2" w:rsidRDefault="00E93B9A" w:rsidP="007E1E18">
      <w:pPr>
        <w:spacing w:line="480" w:lineRule="auto"/>
        <w:jc w:val="both"/>
        <w:rPr>
          <w:rFonts w:ascii="Times New Roman" w:hAnsi="Times New Roman" w:cs="Times New Roman"/>
          <w:sz w:val="20"/>
          <w:szCs w:val="20"/>
          <w:lang w:val="en-US"/>
        </w:rPr>
        <w:sectPr w:rsidR="00E93B9A" w:rsidRPr="006251D2" w:rsidSect="007E1E18">
          <w:headerReference w:type="default" r:id="rId9"/>
          <w:type w:val="continuous"/>
          <w:pgSz w:w="11900" w:h="16840"/>
          <w:pgMar w:top="1417" w:right="1134" w:bottom="1417" w:left="1134" w:header="709" w:footer="709" w:gutter="0"/>
          <w:pgNumType w:start="0"/>
          <w:cols w:space="708"/>
          <w:docGrid w:linePitch="360"/>
        </w:sectPr>
      </w:pPr>
    </w:p>
    <w:p w14:paraId="050E0E6A" w14:textId="4B632E00" w:rsidR="00D7094D" w:rsidRPr="006251D2" w:rsidRDefault="00A55694"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lastRenderedPageBreak/>
        <w:t>Tables</w:t>
      </w:r>
    </w:p>
    <w:p w14:paraId="36E8959C" w14:textId="13C052D2" w:rsidR="00280547" w:rsidRPr="006251D2" w:rsidRDefault="00280547" w:rsidP="007E1E18">
      <w:pPr>
        <w:spacing w:line="480" w:lineRule="auto"/>
        <w:jc w:val="both"/>
        <w:rPr>
          <w:rFonts w:ascii="Times New Roman" w:hAnsi="Times New Roman" w:cs="Times New Roman"/>
          <w:b/>
          <w:sz w:val="20"/>
          <w:szCs w:val="20"/>
          <w:lang w:val="en-US"/>
        </w:rPr>
      </w:pPr>
    </w:p>
    <w:p w14:paraId="3941226A" w14:textId="4F365102" w:rsidR="00280547" w:rsidRPr="006251D2" w:rsidRDefault="00280547" w:rsidP="00280547">
      <w:pPr>
        <w:widowControl w:val="0"/>
        <w:autoSpaceDE w:val="0"/>
        <w:autoSpaceDN w:val="0"/>
        <w:adjustRightInd w:val="0"/>
        <w:spacing w:line="360" w:lineRule="auto"/>
        <w:jc w:val="both"/>
        <w:rPr>
          <w:rFonts w:ascii="Times New Roman" w:hAnsi="Times New Roman" w:cs="Times New Roman"/>
          <w:sz w:val="20"/>
          <w:szCs w:val="20"/>
          <w:lang w:val="en-US"/>
        </w:rPr>
      </w:pPr>
      <w:r w:rsidRPr="006251D2">
        <w:rPr>
          <w:rFonts w:ascii="Times New Roman" w:hAnsi="Times New Roman" w:cs="Times New Roman"/>
          <w:sz w:val="20"/>
          <w:szCs w:val="20"/>
          <w:highlight w:val="yellow"/>
          <w:lang w:val="en-US"/>
        </w:rPr>
        <w:t xml:space="preserve">Table 1.  Comparison between patients who dropped-out and stayed in their original groups </w:t>
      </w:r>
      <w:r w:rsidR="00C656E4" w:rsidRPr="006251D2">
        <w:rPr>
          <w:rFonts w:ascii="Times New Roman" w:hAnsi="Times New Roman" w:cs="Times New Roman"/>
          <w:sz w:val="20"/>
          <w:szCs w:val="20"/>
          <w:highlight w:val="yellow"/>
          <w:lang w:val="en-US"/>
        </w:rPr>
        <w:t xml:space="preserve">(splint vs. control groups) </w:t>
      </w:r>
      <w:r w:rsidRPr="006251D2">
        <w:rPr>
          <w:rFonts w:ascii="Times New Roman" w:hAnsi="Times New Roman" w:cs="Times New Roman"/>
          <w:sz w:val="20"/>
          <w:szCs w:val="20"/>
          <w:highlight w:val="yellow"/>
          <w:lang w:val="en-US"/>
        </w:rPr>
        <w:t>according to Oral Health Related Quality of Life (OHRQoL) and gender, age and facial pain VAS-scale in splint and control groups at baseline.</w:t>
      </w:r>
    </w:p>
    <w:p w14:paraId="12D205A4" w14:textId="77777777" w:rsidR="00280547" w:rsidRPr="006251D2" w:rsidRDefault="00280547" w:rsidP="00280547">
      <w:pPr>
        <w:rPr>
          <w:rFonts w:ascii="Times New Roman" w:hAnsi="Times New Roman" w:cs="Times New Roman"/>
          <w:sz w:val="20"/>
          <w:szCs w:val="20"/>
          <w:lang w:val="en-US"/>
        </w:rPr>
      </w:pPr>
    </w:p>
    <w:p w14:paraId="1E2F22D9" w14:textId="77777777" w:rsidR="00280547" w:rsidRPr="006251D2" w:rsidRDefault="00280547" w:rsidP="00280547">
      <w:pPr>
        <w:rPr>
          <w:rFonts w:ascii="Times New Roman" w:hAnsi="Times New Roman" w:cs="Times New Roman"/>
          <w:sz w:val="20"/>
          <w:szCs w:val="20"/>
          <w:lang w:val="en-US"/>
        </w:rPr>
      </w:pPr>
    </w:p>
    <w:tbl>
      <w:tblPr>
        <w:tblStyle w:val="TableGrid"/>
        <w:tblW w:w="0" w:type="auto"/>
        <w:tblInd w:w="-289"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802"/>
        <w:gridCol w:w="1132"/>
        <w:gridCol w:w="1132"/>
        <w:gridCol w:w="1130"/>
        <w:gridCol w:w="1132"/>
        <w:gridCol w:w="1132"/>
        <w:gridCol w:w="1130"/>
        <w:gridCol w:w="766"/>
      </w:tblGrid>
      <w:tr w:rsidR="00280547" w:rsidRPr="006251D2" w14:paraId="44E9D7DB" w14:textId="77777777" w:rsidTr="006251D2">
        <w:tc>
          <w:tcPr>
            <w:tcW w:w="1802" w:type="dxa"/>
            <w:vMerge w:val="restart"/>
            <w:tcBorders>
              <w:top w:val="single" w:sz="4" w:space="0" w:color="auto"/>
              <w:bottom w:val="single" w:sz="4" w:space="0" w:color="auto"/>
            </w:tcBorders>
          </w:tcPr>
          <w:p w14:paraId="11589023" w14:textId="77777777" w:rsidR="00280547" w:rsidRPr="006251D2" w:rsidRDefault="00280547" w:rsidP="007D6375">
            <w:pPr>
              <w:rPr>
                <w:rFonts w:ascii="Times New Roman" w:hAnsi="Times New Roman" w:cs="Times New Roman"/>
                <w:sz w:val="20"/>
                <w:szCs w:val="20"/>
                <w:lang w:val="en-US"/>
              </w:rPr>
            </w:pPr>
            <w:r w:rsidRPr="006251D2">
              <w:rPr>
                <w:rFonts w:ascii="Times New Roman" w:hAnsi="Times New Roman" w:cs="Times New Roman"/>
                <w:sz w:val="20"/>
                <w:szCs w:val="20"/>
                <w:lang w:val="en-US"/>
              </w:rPr>
              <w:t>Baseline</w:t>
            </w:r>
          </w:p>
        </w:tc>
        <w:tc>
          <w:tcPr>
            <w:tcW w:w="3394" w:type="dxa"/>
            <w:gridSpan w:val="3"/>
            <w:tcBorders>
              <w:top w:val="single" w:sz="4" w:space="0" w:color="auto"/>
              <w:bottom w:val="single" w:sz="4" w:space="0" w:color="auto"/>
            </w:tcBorders>
          </w:tcPr>
          <w:p w14:paraId="0D9E5620"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Drop-outs</w:t>
            </w:r>
          </w:p>
        </w:tc>
        <w:tc>
          <w:tcPr>
            <w:tcW w:w="3394" w:type="dxa"/>
            <w:gridSpan w:val="3"/>
            <w:tcBorders>
              <w:top w:val="single" w:sz="4" w:space="0" w:color="auto"/>
              <w:bottom w:val="single" w:sz="4" w:space="0" w:color="auto"/>
            </w:tcBorders>
          </w:tcPr>
          <w:p w14:paraId="0E5AC113" w14:textId="21D8D726"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Stayed</w:t>
            </w:r>
          </w:p>
        </w:tc>
        <w:tc>
          <w:tcPr>
            <w:tcW w:w="715" w:type="dxa"/>
            <w:vMerge w:val="restart"/>
            <w:tcBorders>
              <w:top w:val="single" w:sz="4" w:space="0" w:color="auto"/>
              <w:bottom w:val="single" w:sz="4" w:space="0" w:color="auto"/>
            </w:tcBorders>
          </w:tcPr>
          <w:p w14:paraId="4AADB943" w14:textId="77777777" w:rsidR="00280547" w:rsidRPr="006251D2" w:rsidRDefault="00280547" w:rsidP="007D6375">
            <w:pPr>
              <w:jc w:val="center"/>
              <w:rPr>
                <w:rFonts w:ascii="Times New Roman" w:hAnsi="Times New Roman" w:cs="Times New Roman"/>
                <w:sz w:val="20"/>
                <w:szCs w:val="20"/>
              </w:rPr>
            </w:pPr>
          </w:p>
          <w:p w14:paraId="05A9247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p*</w:t>
            </w:r>
          </w:p>
        </w:tc>
      </w:tr>
      <w:tr w:rsidR="006251D2" w:rsidRPr="006251D2" w14:paraId="5B1B67D3" w14:textId="77777777" w:rsidTr="006251D2">
        <w:tc>
          <w:tcPr>
            <w:tcW w:w="1802" w:type="dxa"/>
            <w:vMerge/>
            <w:tcBorders>
              <w:top w:val="single" w:sz="4" w:space="0" w:color="auto"/>
            </w:tcBorders>
          </w:tcPr>
          <w:p w14:paraId="5A0ABD7B" w14:textId="77777777" w:rsidR="00280547" w:rsidRPr="006251D2" w:rsidRDefault="00280547" w:rsidP="007D6375">
            <w:pPr>
              <w:rPr>
                <w:rFonts w:ascii="Times New Roman" w:hAnsi="Times New Roman" w:cs="Times New Roman"/>
                <w:sz w:val="20"/>
                <w:szCs w:val="20"/>
              </w:rPr>
            </w:pPr>
          </w:p>
        </w:tc>
        <w:tc>
          <w:tcPr>
            <w:tcW w:w="1132" w:type="dxa"/>
            <w:tcBorders>
              <w:top w:val="single" w:sz="4" w:space="0" w:color="auto"/>
            </w:tcBorders>
          </w:tcPr>
          <w:p w14:paraId="6913F81D" w14:textId="21E84FD5"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S</w:t>
            </w:r>
            <w:r w:rsidR="00280547" w:rsidRPr="006251D2">
              <w:rPr>
                <w:rFonts w:ascii="Times New Roman" w:hAnsi="Times New Roman" w:cs="Times New Roman"/>
                <w:sz w:val="20"/>
                <w:szCs w:val="20"/>
              </w:rPr>
              <w:t>plint</w:t>
            </w:r>
          </w:p>
          <w:p w14:paraId="3E2267F9"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(n=8)</w:t>
            </w:r>
          </w:p>
        </w:tc>
        <w:tc>
          <w:tcPr>
            <w:tcW w:w="1132" w:type="dxa"/>
            <w:tcBorders>
              <w:top w:val="single" w:sz="4" w:space="0" w:color="auto"/>
            </w:tcBorders>
          </w:tcPr>
          <w:p w14:paraId="48FB8377" w14:textId="535F3AAA"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C</w:t>
            </w:r>
            <w:r w:rsidR="00280547" w:rsidRPr="006251D2">
              <w:rPr>
                <w:rFonts w:ascii="Times New Roman" w:hAnsi="Times New Roman" w:cs="Times New Roman"/>
                <w:sz w:val="20"/>
                <w:szCs w:val="20"/>
              </w:rPr>
              <w:t>ontrol</w:t>
            </w:r>
          </w:p>
          <w:p w14:paraId="73EF350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(n=19)</w:t>
            </w:r>
          </w:p>
        </w:tc>
        <w:tc>
          <w:tcPr>
            <w:tcW w:w="1130" w:type="dxa"/>
            <w:tcBorders>
              <w:top w:val="single" w:sz="4" w:space="0" w:color="auto"/>
            </w:tcBorders>
          </w:tcPr>
          <w:p w14:paraId="3AD36F92" w14:textId="4637D4EB"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T</w:t>
            </w:r>
            <w:r w:rsidR="00280547" w:rsidRPr="006251D2">
              <w:rPr>
                <w:rFonts w:ascii="Times New Roman" w:hAnsi="Times New Roman" w:cs="Times New Roman"/>
                <w:sz w:val="20"/>
                <w:szCs w:val="20"/>
              </w:rPr>
              <w:t>otal</w:t>
            </w:r>
          </w:p>
          <w:p w14:paraId="5C6BF5E6"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(n=27)</w:t>
            </w:r>
          </w:p>
        </w:tc>
        <w:tc>
          <w:tcPr>
            <w:tcW w:w="1132" w:type="dxa"/>
            <w:tcBorders>
              <w:top w:val="single" w:sz="4" w:space="0" w:color="auto"/>
            </w:tcBorders>
          </w:tcPr>
          <w:p w14:paraId="34C56BCC" w14:textId="170A6825"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S</w:t>
            </w:r>
            <w:r w:rsidR="00280547" w:rsidRPr="006251D2">
              <w:rPr>
                <w:rFonts w:ascii="Times New Roman" w:hAnsi="Times New Roman" w:cs="Times New Roman"/>
                <w:sz w:val="20"/>
                <w:szCs w:val="20"/>
              </w:rPr>
              <w:t>plint</w:t>
            </w:r>
          </w:p>
          <w:p w14:paraId="14C53286"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(n=27)</w:t>
            </w:r>
          </w:p>
        </w:tc>
        <w:tc>
          <w:tcPr>
            <w:tcW w:w="1132" w:type="dxa"/>
            <w:tcBorders>
              <w:top w:val="single" w:sz="4" w:space="0" w:color="auto"/>
            </w:tcBorders>
          </w:tcPr>
          <w:p w14:paraId="6C30081B" w14:textId="4B73D294"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C</w:t>
            </w:r>
            <w:r w:rsidR="00280547" w:rsidRPr="006251D2">
              <w:rPr>
                <w:rFonts w:ascii="Times New Roman" w:hAnsi="Times New Roman" w:cs="Times New Roman"/>
                <w:sz w:val="20"/>
                <w:szCs w:val="20"/>
              </w:rPr>
              <w:t>ontrol</w:t>
            </w:r>
          </w:p>
          <w:p w14:paraId="09B3F450"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(n=13)</w:t>
            </w:r>
          </w:p>
        </w:tc>
        <w:tc>
          <w:tcPr>
            <w:tcW w:w="1130" w:type="dxa"/>
            <w:tcBorders>
              <w:top w:val="single" w:sz="4" w:space="0" w:color="auto"/>
            </w:tcBorders>
          </w:tcPr>
          <w:p w14:paraId="57B06851" w14:textId="169F8778" w:rsidR="00280547" w:rsidRPr="006251D2" w:rsidRDefault="00C656E4" w:rsidP="007D6375">
            <w:pPr>
              <w:jc w:val="center"/>
              <w:rPr>
                <w:rFonts w:ascii="Times New Roman" w:hAnsi="Times New Roman" w:cs="Times New Roman"/>
                <w:sz w:val="20"/>
                <w:szCs w:val="20"/>
              </w:rPr>
            </w:pPr>
            <w:r w:rsidRPr="006251D2">
              <w:rPr>
                <w:rFonts w:ascii="Times New Roman" w:hAnsi="Times New Roman" w:cs="Times New Roman"/>
                <w:sz w:val="20"/>
                <w:szCs w:val="20"/>
              </w:rPr>
              <w:t>T</w:t>
            </w:r>
            <w:r w:rsidR="00280547" w:rsidRPr="006251D2">
              <w:rPr>
                <w:rFonts w:ascii="Times New Roman" w:hAnsi="Times New Roman" w:cs="Times New Roman"/>
                <w:sz w:val="20"/>
                <w:szCs w:val="20"/>
              </w:rPr>
              <w:t>otal</w:t>
            </w:r>
          </w:p>
          <w:p w14:paraId="259EE1AA"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(n=40)</w:t>
            </w:r>
          </w:p>
        </w:tc>
        <w:tc>
          <w:tcPr>
            <w:tcW w:w="715" w:type="dxa"/>
            <w:vMerge/>
            <w:tcBorders>
              <w:top w:val="single" w:sz="4" w:space="0" w:color="auto"/>
            </w:tcBorders>
          </w:tcPr>
          <w:p w14:paraId="5B44025C" w14:textId="77777777" w:rsidR="00280547" w:rsidRPr="006251D2" w:rsidRDefault="00280547" w:rsidP="007D6375">
            <w:pPr>
              <w:jc w:val="center"/>
              <w:rPr>
                <w:rFonts w:ascii="Times New Roman" w:hAnsi="Times New Roman" w:cs="Times New Roman"/>
                <w:sz w:val="20"/>
                <w:szCs w:val="20"/>
              </w:rPr>
            </w:pPr>
          </w:p>
        </w:tc>
      </w:tr>
      <w:tr w:rsidR="00280547" w:rsidRPr="006251D2" w14:paraId="090E255F" w14:textId="77777777" w:rsidTr="006251D2">
        <w:tc>
          <w:tcPr>
            <w:tcW w:w="1802" w:type="dxa"/>
          </w:tcPr>
          <w:p w14:paraId="456AF2C7"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Gender (% of women)</w:t>
            </w:r>
          </w:p>
        </w:tc>
        <w:tc>
          <w:tcPr>
            <w:tcW w:w="1132" w:type="dxa"/>
          </w:tcPr>
          <w:p w14:paraId="32F09010"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75.0</w:t>
            </w:r>
          </w:p>
        </w:tc>
        <w:tc>
          <w:tcPr>
            <w:tcW w:w="1132" w:type="dxa"/>
          </w:tcPr>
          <w:p w14:paraId="51D3927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68.4</w:t>
            </w:r>
          </w:p>
        </w:tc>
        <w:tc>
          <w:tcPr>
            <w:tcW w:w="1130" w:type="dxa"/>
          </w:tcPr>
          <w:p w14:paraId="3CA8066D"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70.4</w:t>
            </w:r>
          </w:p>
        </w:tc>
        <w:tc>
          <w:tcPr>
            <w:tcW w:w="1132" w:type="dxa"/>
          </w:tcPr>
          <w:p w14:paraId="150B59D8"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81.5</w:t>
            </w:r>
          </w:p>
        </w:tc>
        <w:tc>
          <w:tcPr>
            <w:tcW w:w="1132" w:type="dxa"/>
          </w:tcPr>
          <w:p w14:paraId="6F826990"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84.6</w:t>
            </w:r>
          </w:p>
        </w:tc>
        <w:tc>
          <w:tcPr>
            <w:tcW w:w="1130" w:type="dxa"/>
          </w:tcPr>
          <w:p w14:paraId="7918BF0E"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82.5</w:t>
            </w:r>
          </w:p>
        </w:tc>
        <w:tc>
          <w:tcPr>
            <w:tcW w:w="715" w:type="dxa"/>
          </w:tcPr>
          <w:p w14:paraId="45668521" w14:textId="77777777" w:rsidR="00280547" w:rsidRPr="006251D2" w:rsidRDefault="00280547" w:rsidP="006251D2">
            <w:pPr>
              <w:rPr>
                <w:rFonts w:ascii="Times New Roman" w:hAnsi="Times New Roman" w:cs="Times New Roman"/>
                <w:sz w:val="20"/>
                <w:szCs w:val="20"/>
              </w:rPr>
            </w:pPr>
            <w:r w:rsidRPr="006251D2">
              <w:rPr>
                <w:rFonts w:ascii="Times New Roman" w:hAnsi="Times New Roman" w:cs="Times New Roman"/>
                <w:sz w:val="20"/>
                <w:szCs w:val="20"/>
              </w:rPr>
              <w:t>.243</w:t>
            </w:r>
          </w:p>
        </w:tc>
      </w:tr>
      <w:tr w:rsidR="00280547" w:rsidRPr="006251D2" w14:paraId="7E32168A" w14:textId="77777777" w:rsidTr="006251D2">
        <w:tc>
          <w:tcPr>
            <w:tcW w:w="1802" w:type="dxa"/>
          </w:tcPr>
          <w:p w14:paraId="7EBC73F1"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Age (years, mean SD)</w:t>
            </w:r>
          </w:p>
        </w:tc>
        <w:tc>
          <w:tcPr>
            <w:tcW w:w="1132" w:type="dxa"/>
          </w:tcPr>
          <w:p w14:paraId="1EB8DADD"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47.0(14.8)</w:t>
            </w:r>
          </w:p>
        </w:tc>
        <w:tc>
          <w:tcPr>
            <w:tcW w:w="1132" w:type="dxa"/>
          </w:tcPr>
          <w:p w14:paraId="34B122E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41.0(13.4)</w:t>
            </w:r>
          </w:p>
        </w:tc>
        <w:tc>
          <w:tcPr>
            <w:tcW w:w="1130" w:type="dxa"/>
          </w:tcPr>
          <w:p w14:paraId="0A95EBB7"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42.8(13.8)</w:t>
            </w:r>
          </w:p>
        </w:tc>
        <w:tc>
          <w:tcPr>
            <w:tcW w:w="1132" w:type="dxa"/>
          </w:tcPr>
          <w:p w14:paraId="34808A7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41.2(12.8)</w:t>
            </w:r>
          </w:p>
        </w:tc>
        <w:tc>
          <w:tcPr>
            <w:tcW w:w="1132" w:type="dxa"/>
          </w:tcPr>
          <w:p w14:paraId="424DFAC2"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50.9(9.9)</w:t>
            </w:r>
          </w:p>
        </w:tc>
        <w:tc>
          <w:tcPr>
            <w:tcW w:w="1130" w:type="dxa"/>
          </w:tcPr>
          <w:p w14:paraId="4499CF66"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44.4(12.6)</w:t>
            </w:r>
          </w:p>
        </w:tc>
        <w:tc>
          <w:tcPr>
            <w:tcW w:w="715" w:type="dxa"/>
          </w:tcPr>
          <w:p w14:paraId="5BB65D9C"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.664**</w:t>
            </w:r>
          </w:p>
        </w:tc>
      </w:tr>
      <w:tr w:rsidR="00280547" w:rsidRPr="006251D2" w14:paraId="17623A36" w14:textId="77777777" w:rsidTr="006251D2">
        <w:tc>
          <w:tcPr>
            <w:tcW w:w="1802" w:type="dxa"/>
          </w:tcPr>
          <w:p w14:paraId="6297A969"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OHIP ofovo</w:t>
            </w:r>
            <w:r w:rsidRPr="006251D2">
              <w:rPr>
                <w:rFonts w:ascii="Times New Roman" w:hAnsi="Times New Roman" w:cs="Times New Roman"/>
                <w:sz w:val="20"/>
                <w:szCs w:val="20"/>
                <w:vertAlign w:val="superscript"/>
              </w:rPr>
              <w:t xml:space="preserve">a </w:t>
            </w:r>
            <w:r w:rsidRPr="006251D2">
              <w:rPr>
                <w:rFonts w:ascii="Times New Roman" w:hAnsi="Times New Roman" w:cs="Times New Roman"/>
                <w:sz w:val="20"/>
                <w:szCs w:val="20"/>
              </w:rPr>
              <w:t>prevalence (%)</w:t>
            </w:r>
          </w:p>
        </w:tc>
        <w:tc>
          <w:tcPr>
            <w:tcW w:w="1132" w:type="dxa"/>
          </w:tcPr>
          <w:p w14:paraId="6F4B15F5"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87.5</w:t>
            </w:r>
          </w:p>
        </w:tc>
        <w:tc>
          <w:tcPr>
            <w:tcW w:w="1132" w:type="dxa"/>
          </w:tcPr>
          <w:p w14:paraId="2E9638AA"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94.7</w:t>
            </w:r>
          </w:p>
        </w:tc>
        <w:tc>
          <w:tcPr>
            <w:tcW w:w="1130" w:type="dxa"/>
          </w:tcPr>
          <w:p w14:paraId="54089185"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92.6</w:t>
            </w:r>
          </w:p>
        </w:tc>
        <w:tc>
          <w:tcPr>
            <w:tcW w:w="1132" w:type="dxa"/>
          </w:tcPr>
          <w:p w14:paraId="67C38B42"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96.3</w:t>
            </w:r>
          </w:p>
        </w:tc>
        <w:tc>
          <w:tcPr>
            <w:tcW w:w="1132" w:type="dxa"/>
          </w:tcPr>
          <w:p w14:paraId="53C24B0D"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84.6</w:t>
            </w:r>
          </w:p>
        </w:tc>
        <w:tc>
          <w:tcPr>
            <w:tcW w:w="1130" w:type="dxa"/>
          </w:tcPr>
          <w:p w14:paraId="5FC61706"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92.5</w:t>
            </w:r>
          </w:p>
        </w:tc>
        <w:tc>
          <w:tcPr>
            <w:tcW w:w="715" w:type="dxa"/>
          </w:tcPr>
          <w:p w14:paraId="4D6E3132" w14:textId="77777777" w:rsidR="00280547" w:rsidRPr="006251D2" w:rsidRDefault="00280547" w:rsidP="006251D2">
            <w:pPr>
              <w:rPr>
                <w:rFonts w:ascii="Times New Roman" w:hAnsi="Times New Roman" w:cs="Times New Roman"/>
                <w:sz w:val="20"/>
                <w:szCs w:val="20"/>
              </w:rPr>
            </w:pPr>
            <w:r w:rsidRPr="006251D2">
              <w:rPr>
                <w:rFonts w:ascii="Times New Roman" w:hAnsi="Times New Roman" w:cs="Times New Roman"/>
                <w:sz w:val="20"/>
                <w:szCs w:val="20"/>
              </w:rPr>
              <w:t>.989</w:t>
            </w:r>
          </w:p>
        </w:tc>
      </w:tr>
      <w:tr w:rsidR="00280547" w:rsidRPr="006251D2" w14:paraId="13C908B5" w14:textId="77777777" w:rsidTr="006251D2">
        <w:tc>
          <w:tcPr>
            <w:tcW w:w="1802" w:type="dxa"/>
          </w:tcPr>
          <w:p w14:paraId="2E5FE470"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OHIP fovo</w:t>
            </w:r>
            <w:r w:rsidRPr="006251D2">
              <w:rPr>
                <w:rFonts w:ascii="Times New Roman" w:hAnsi="Times New Roman" w:cs="Times New Roman"/>
                <w:sz w:val="20"/>
                <w:szCs w:val="20"/>
                <w:vertAlign w:val="superscript"/>
              </w:rPr>
              <w:t>a</w:t>
            </w:r>
            <w:r w:rsidRPr="006251D2">
              <w:rPr>
                <w:rFonts w:ascii="Times New Roman" w:hAnsi="Times New Roman" w:cs="Times New Roman"/>
                <w:sz w:val="20"/>
                <w:szCs w:val="20"/>
              </w:rPr>
              <w:t xml:space="preserve"> prevalence (%)</w:t>
            </w:r>
          </w:p>
        </w:tc>
        <w:tc>
          <w:tcPr>
            <w:tcW w:w="1132" w:type="dxa"/>
          </w:tcPr>
          <w:p w14:paraId="2FCB66B8"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62.5</w:t>
            </w:r>
          </w:p>
        </w:tc>
        <w:tc>
          <w:tcPr>
            <w:tcW w:w="1132" w:type="dxa"/>
          </w:tcPr>
          <w:p w14:paraId="29306601"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73.7</w:t>
            </w:r>
          </w:p>
        </w:tc>
        <w:tc>
          <w:tcPr>
            <w:tcW w:w="1130" w:type="dxa"/>
          </w:tcPr>
          <w:p w14:paraId="40C600F1"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70.4</w:t>
            </w:r>
          </w:p>
        </w:tc>
        <w:tc>
          <w:tcPr>
            <w:tcW w:w="1132" w:type="dxa"/>
          </w:tcPr>
          <w:p w14:paraId="071EE975"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88.9</w:t>
            </w:r>
          </w:p>
        </w:tc>
        <w:tc>
          <w:tcPr>
            <w:tcW w:w="1132" w:type="dxa"/>
          </w:tcPr>
          <w:p w14:paraId="47EEE10E"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61.5</w:t>
            </w:r>
          </w:p>
        </w:tc>
        <w:tc>
          <w:tcPr>
            <w:tcW w:w="1130" w:type="dxa"/>
          </w:tcPr>
          <w:p w14:paraId="323CAEBA"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80.0</w:t>
            </w:r>
          </w:p>
        </w:tc>
        <w:tc>
          <w:tcPr>
            <w:tcW w:w="715" w:type="dxa"/>
          </w:tcPr>
          <w:p w14:paraId="5D07EAD6" w14:textId="77777777" w:rsidR="00280547" w:rsidRPr="006251D2" w:rsidRDefault="00280547" w:rsidP="006251D2">
            <w:pPr>
              <w:rPr>
                <w:rFonts w:ascii="Times New Roman" w:hAnsi="Times New Roman" w:cs="Times New Roman"/>
                <w:sz w:val="20"/>
                <w:szCs w:val="20"/>
              </w:rPr>
            </w:pPr>
            <w:r w:rsidRPr="006251D2">
              <w:rPr>
                <w:rFonts w:ascii="Times New Roman" w:hAnsi="Times New Roman" w:cs="Times New Roman"/>
                <w:sz w:val="20"/>
                <w:szCs w:val="20"/>
              </w:rPr>
              <w:t>.365</w:t>
            </w:r>
          </w:p>
        </w:tc>
      </w:tr>
      <w:tr w:rsidR="00280547" w:rsidRPr="006251D2" w14:paraId="59875C6B" w14:textId="77777777" w:rsidTr="006251D2">
        <w:tc>
          <w:tcPr>
            <w:tcW w:w="1802" w:type="dxa"/>
          </w:tcPr>
          <w:p w14:paraId="225FCFFD"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OHIP ofovo</w:t>
            </w:r>
            <w:r w:rsidRPr="006251D2">
              <w:rPr>
                <w:rFonts w:ascii="Times New Roman" w:hAnsi="Times New Roman" w:cs="Times New Roman"/>
                <w:sz w:val="20"/>
                <w:szCs w:val="20"/>
                <w:vertAlign w:val="superscript"/>
              </w:rPr>
              <w:t xml:space="preserve">b </w:t>
            </w:r>
            <w:r w:rsidRPr="006251D2">
              <w:rPr>
                <w:rFonts w:ascii="Times New Roman" w:hAnsi="Times New Roman" w:cs="Times New Roman"/>
                <w:sz w:val="20"/>
                <w:szCs w:val="20"/>
              </w:rPr>
              <w:t xml:space="preserve">extent </w:t>
            </w:r>
          </w:p>
        </w:tc>
        <w:tc>
          <w:tcPr>
            <w:tcW w:w="1132" w:type="dxa"/>
          </w:tcPr>
          <w:p w14:paraId="50BAD448"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4.8(4.3)</w:t>
            </w:r>
          </w:p>
        </w:tc>
        <w:tc>
          <w:tcPr>
            <w:tcW w:w="1132" w:type="dxa"/>
          </w:tcPr>
          <w:p w14:paraId="2A6EB0EA"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5.0(3.2)</w:t>
            </w:r>
          </w:p>
        </w:tc>
        <w:tc>
          <w:tcPr>
            <w:tcW w:w="1130" w:type="dxa"/>
          </w:tcPr>
          <w:p w14:paraId="7385C3EA"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4.9(3.5)</w:t>
            </w:r>
          </w:p>
        </w:tc>
        <w:tc>
          <w:tcPr>
            <w:tcW w:w="1132" w:type="dxa"/>
          </w:tcPr>
          <w:p w14:paraId="6DB9F013"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5.8(3.2)</w:t>
            </w:r>
          </w:p>
        </w:tc>
        <w:tc>
          <w:tcPr>
            <w:tcW w:w="1132" w:type="dxa"/>
          </w:tcPr>
          <w:p w14:paraId="113C03B7"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5.4(3.9)</w:t>
            </w:r>
          </w:p>
        </w:tc>
        <w:tc>
          <w:tcPr>
            <w:tcW w:w="1130" w:type="dxa"/>
          </w:tcPr>
          <w:p w14:paraId="46672BDE"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5.7(3.4)</w:t>
            </w:r>
          </w:p>
        </w:tc>
        <w:tc>
          <w:tcPr>
            <w:tcW w:w="715" w:type="dxa"/>
          </w:tcPr>
          <w:p w14:paraId="7F0AB9D0"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.372**</w:t>
            </w:r>
          </w:p>
        </w:tc>
      </w:tr>
      <w:tr w:rsidR="00280547" w:rsidRPr="006251D2" w14:paraId="2BEB3558" w14:textId="77777777" w:rsidTr="006251D2">
        <w:tc>
          <w:tcPr>
            <w:tcW w:w="1802" w:type="dxa"/>
          </w:tcPr>
          <w:p w14:paraId="38F15874"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OHIP fovo</w:t>
            </w:r>
            <w:r w:rsidRPr="006251D2">
              <w:rPr>
                <w:rFonts w:ascii="Times New Roman" w:hAnsi="Times New Roman" w:cs="Times New Roman"/>
                <w:sz w:val="20"/>
                <w:szCs w:val="20"/>
                <w:vertAlign w:val="superscript"/>
              </w:rPr>
              <w:t>b</w:t>
            </w:r>
            <w:r w:rsidRPr="006251D2">
              <w:rPr>
                <w:rFonts w:ascii="Times New Roman" w:hAnsi="Times New Roman" w:cs="Times New Roman"/>
                <w:sz w:val="20"/>
                <w:szCs w:val="20"/>
              </w:rPr>
              <w:t xml:space="preserve"> extent</w:t>
            </w:r>
          </w:p>
        </w:tc>
        <w:tc>
          <w:tcPr>
            <w:tcW w:w="1132" w:type="dxa"/>
          </w:tcPr>
          <w:p w14:paraId="1DDB1CFB"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3.6(3.9)</w:t>
            </w:r>
          </w:p>
        </w:tc>
        <w:tc>
          <w:tcPr>
            <w:tcW w:w="1132" w:type="dxa"/>
          </w:tcPr>
          <w:p w14:paraId="79F37D8E"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2.8(2.8)</w:t>
            </w:r>
          </w:p>
        </w:tc>
        <w:tc>
          <w:tcPr>
            <w:tcW w:w="1130" w:type="dxa"/>
          </w:tcPr>
          <w:p w14:paraId="0D24AF85"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3.1(3.1)</w:t>
            </w:r>
          </w:p>
        </w:tc>
        <w:tc>
          <w:tcPr>
            <w:tcW w:w="1132" w:type="dxa"/>
          </w:tcPr>
          <w:p w14:paraId="536E2967"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2.9(2.4)</w:t>
            </w:r>
          </w:p>
        </w:tc>
        <w:tc>
          <w:tcPr>
            <w:tcW w:w="1132" w:type="dxa"/>
          </w:tcPr>
          <w:p w14:paraId="44373513"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2.7(3.0)</w:t>
            </w:r>
          </w:p>
        </w:tc>
        <w:tc>
          <w:tcPr>
            <w:tcW w:w="1130" w:type="dxa"/>
          </w:tcPr>
          <w:p w14:paraId="14FBFFE2"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2.8(2.6)</w:t>
            </w:r>
          </w:p>
        </w:tc>
        <w:tc>
          <w:tcPr>
            <w:tcW w:w="715" w:type="dxa"/>
          </w:tcPr>
          <w:p w14:paraId="22943CBF"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.974**</w:t>
            </w:r>
          </w:p>
        </w:tc>
      </w:tr>
      <w:tr w:rsidR="00280547" w:rsidRPr="006251D2" w14:paraId="318D4045" w14:textId="77777777" w:rsidTr="006251D2">
        <w:tc>
          <w:tcPr>
            <w:tcW w:w="1802" w:type="dxa"/>
            <w:tcBorders>
              <w:bottom w:val="single" w:sz="4" w:space="0" w:color="auto"/>
            </w:tcBorders>
          </w:tcPr>
          <w:p w14:paraId="796A2F28" w14:textId="77777777" w:rsidR="00280547" w:rsidRPr="006251D2" w:rsidRDefault="00280547" w:rsidP="007D6375">
            <w:pPr>
              <w:rPr>
                <w:rFonts w:ascii="Times New Roman" w:hAnsi="Times New Roman" w:cs="Times New Roman"/>
                <w:sz w:val="20"/>
                <w:szCs w:val="20"/>
              </w:rPr>
            </w:pPr>
            <w:r w:rsidRPr="006251D2">
              <w:rPr>
                <w:rFonts w:ascii="Times New Roman" w:hAnsi="Times New Roman" w:cs="Times New Roman"/>
                <w:sz w:val="20"/>
                <w:szCs w:val="20"/>
              </w:rPr>
              <w:t>OHIP severity</w:t>
            </w:r>
            <w:r w:rsidRPr="006251D2">
              <w:rPr>
                <w:rFonts w:ascii="Times New Roman" w:hAnsi="Times New Roman" w:cs="Times New Roman"/>
                <w:sz w:val="20"/>
                <w:szCs w:val="20"/>
                <w:vertAlign w:val="superscript"/>
              </w:rPr>
              <w:t xml:space="preserve">c </w:t>
            </w:r>
            <w:r w:rsidRPr="006251D2">
              <w:rPr>
                <w:rFonts w:ascii="Times New Roman" w:hAnsi="Times New Roman" w:cs="Times New Roman"/>
                <w:sz w:val="20"/>
                <w:szCs w:val="20"/>
              </w:rPr>
              <w:t>(mean SD)</w:t>
            </w:r>
          </w:p>
        </w:tc>
        <w:tc>
          <w:tcPr>
            <w:tcW w:w="1132" w:type="dxa"/>
            <w:tcBorders>
              <w:bottom w:val="single" w:sz="4" w:space="0" w:color="auto"/>
            </w:tcBorders>
          </w:tcPr>
          <w:p w14:paraId="79A00897"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16.3(14.7)</w:t>
            </w:r>
          </w:p>
        </w:tc>
        <w:tc>
          <w:tcPr>
            <w:tcW w:w="1132" w:type="dxa"/>
            <w:tcBorders>
              <w:bottom w:val="single" w:sz="4" w:space="0" w:color="auto"/>
            </w:tcBorders>
          </w:tcPr>
          <w:p w14:paraId="0B767AD3"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15.7(10.8)</w:t>
            </w:r>
          </w:p>
        </w:tc>
        <w:tc>
          <w:tcPr>
            <w:tcW w:w="1130" w:type="dxa"/>
            <w:tcBorders>
              <w:bottom w:val="single" w:sz="4" w:space="0" w:color="auto"/>
            </w:tcBorders>
          </w:tcPr>
          <w:p w14:paraId="5B52AEC4"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15.9(11.8)</w:t>
            </w:r>
          </w:p>
        </w:tc>
        <w:tc>
          <w:tcPr>
            <w:tcW w:w="1132" w:type="dxa"/>
            <w:tcBorders>
              <w:bottom w:val="single" w:sz="4" w:space="0" w:color="auto"/>
            </w:tcBorders>
          </w:tcPr>
          <w:p w14:paraId="0E07854D"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17.9(9.8)</w:t>
            </w:r>
          </w:p>
        </w:tc>
        <w:tc>
          <w:tcPr>
            <w:tcW w:w="1132" w:type="dxa"/>
            <w:tcBorders>
              <w:bottom w:val="single" w:sz="4" w:space="0" w:color="auto"/>
            </w:tcBorders>
          </w:tcPr>
          <w:p w14:paraId="51918442"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16.2(12.0)</w:t>
            </w:r>
          </w:p>
        </w:tc>
        <w:tc>
          <w:tcPr>
            <w:tcW w:w="1130" w:type="dxa"/>
            <w:tcBorders>
              <w:bottom w:val="single" w:sz="4" w:space="0" w:color="auto"/>
            </w:tcBorders>
          </w:tcPr>
          <w:p w14:paraId="568BB509"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17.4(10.5)</w:t>
            </w:r>
          </w:p>
        </w:tc>
        <w:tc>
          <w:tcPr>
            <w:tcW w:w="715" w:type="dxa"/>
            <w:tcBorders>
              <w:bottom w:val="single" w:sz="4" w:space="0" w:color="auto"/>
            </w:tcBorders>
          </w:tcPr>
          <w:p w14:paraId="48AD0B09" w14:textId="77777777" w:rsidR="00280547" w:rsidRPr="006251D2" w:rsidRDefault="00280547" w:rsidP="007D6375">
            <w:pPr>
              <w:jc w:val="center"/>
              <w:rPr>
                <w:rFonts w:ascii="Times New Roman" w:hAnsi="Times New Roman" w:cs="Times New Roman"/>
                <w:sz w:val="20"/>
                <w:szCs w:val="20"/>
              </w:rPr>
            </w:pPr>
            <w:r w:rsidRPr="006251D2">
              <w:rPr>
                <w:rFonts w:ascii="Times New Roman" w:hAnsi="Times New Roman" w:cs="Times New Roman"/>
                <w:sz w:val="20"/>
                <w:szCs w:val="20"/>
              </w:rPr>
              <w:t>.486**</w:t>
            </w:r>
          </w:p>
        </w:tc>
      </w:tr>
      <w:tr w:rsidR="00280547" w:rsidRPr="006251D2" w14:paraId="274D4226" w14:textId="77777777" w:rsidTr="006251D2">
        <w:tc>
          <w:tcPr>
            <w:tcW w:w="1802" w:type="dxa"/>
            <w:tcBorders>
              <w:top w:val="single" w:sz="4" w:space="0" w:color="auto"/>
              <w:bottom w:val="single" w:sz="4" w:space="0" w:color="auto"/>
            </w:tcBorders>
          </w:tcPr>
          <w:p w14:paraId="12E77567" w14:textId="77777777" w:rsidR="00280547" w:rsidRPr="006251D2" w:rsidRDefault="00280547" w:rsidP="007D6375">
            <w:pPr>
              <w:rPr>
                <w:rFonts w:ascii="Times New Roman" w:hAnsi="Times New Roman" w:cs="Times New Roman"/>
                <w:sz w:val="20"/>
                <w:szCs w:val="20"/>
                <w:lang w:val="en-US"/>
              </w:rPr>
            </w:pPr>
            <w:r w:rsidRPr="006251D2">
              <w:rPr>
                <w:rFonts w:ascii="Times New Roman" w:hAnsi="Times New Roman" w:cs="Times New Roman"/>
                <w:sz w:val="20"/>
                <w:szCs w:val="20"/>
                <w:lang w:val="en-US"/>
              </w:rPr>
              <w:t>Facial pain VAS (mean SD)</w:t>
            </w:r>
          </w:p>
        </w:tc>
        <w:tc>
          <w:tcPr>
            <w:tcW w:w="1132" w:type="dxa"/>
            <w:tcBorders>
              <w:top w:val="single" w:sz="4" w:space="0" w:color="auto"/>
              <w:bottom w:val="single" w:sz="4" w:space="0" w:color="auto"/>
            </w:tcBorders>
          </w:tcPr>
          <w:p w14:paraId="548FBE31"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3.4(3.2)</w:t>
            </w:r>
          </w:p>
        </w:tc>
        <w:tc>
          <w:tcPr>
            <w:tcW w:w="1132" w:type="dxa"/>
            <w:tcBorders>
              <w:top w:val="single" w:sz="4" w:space="0" w:color="auto"/>
              <w:bottom w:val="single" w:sz="4" w:space="0" w:color="auto"/>
            </w:tcBorders>
          </w:tcPr>
          <w:p w14:paraId="29804C79"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4.3(2.4)</w:t>
            </w:r>
          </w:p>
        </w:tc>
        <w:tc>
          <w:tcPr>
            <w:tcW w:w="1130" w:type="dxa"/>
            <w:tcBorders>
              <w:top w:val="single" w:sz="4" w:space="0" w:color="auto"/>
              <w:bottom w:val="single" w:sz="4" w:space="0" w:color="auto"/>
            </w:tcBorders>
          </w:tcPr>
          <w:p w14:paraId="3A027C4C"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4.0(2.6)</w:t>
            </w:r>
          </w:p>
        </w:tc>
        <w:tc>
          <w:tcPr>
            <w:tcW w:w="1132" w:type="dxa"/>
            <w:tcBorders>
              <w:top w:val="single" w:sz="4" w:space="0" w:color="auto"/>
              <w:bottom w:val="single" w:sz="4" w:space="0" w:color="auto"/>
            </w:tcBorders>
          </w:tcPr>
          <w:p w14:paraId="0C674E3F"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5.6(2.6)</w:t>
            </w:r>
          </w:p>
        </w:tc>
        <w:tc>
          <w:tcPr>
            <w:tcW w:w="1132" w:type="dxa"/>
            <w:tcBorders>
              <w:top w:val="single" w:sz="4" w:space="0" w:color="auto"/>
              <w:bottom w:val="single" w:sz="4" w:space="0" w:color="auto"/>
            </w:tcBorders>
          </w:tcPr>
          <w:p w14:paraId="72318A2B"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3.9(2.6)</w:t>
            </w:r>
          </w:p>
        </w:tc>
        <w:tc>
          <w:tcPr>
            <w:tcW w:w="1130" w:type="dxa"/>
            <w:tcBorders>
              <w:top w:val="single" w:sz="4" w:space="0" w:color="auto"/>
              <w:bottom w:val="single" w:sz="4" w:space="0" w:color="auto"/>
            </w:tcBorders>
          </w:tcPr>
          <w:p w14:paraId="718E982B"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5.1(2.7)</w:t>
            </w:r>
          </w:p>
        </w:tc>
        <w:tc>
          <w:tcPr>
            <w:tcW w:w="715" w:type="dxa"/>
            <w:tcBorders>
              <w:top w:val="single" w:sz="4" w:space="0" w:color="auto"/>
              <w:bottom w:val="single" w:sz="4" w:space="0" w:color="auto"/>
            </w:tcBorders>
          </w:tcPr>
          <w:p w14:paraId="06708FE7" w14:textId="77777777" w:rsidR="00280547" w:rsidRPr="006251D2" w:rsidRDefault="00280547" w:rsidP="007D6375">
            <w:pPr>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.142**</w:t>
            </w:r>
          </w:p>
        </w:tc>
      </w:tr>
    </w:tbl>
    <w:p w14:paraId="59EF6C3E" w14:textId="77777777" w:rsidR="00280547" w:rsidRPr="006251D2" w:rsidRDefault="00280547" w:rsidP="00280547">
      <w:pPr>
        <w:contextualSpacing/>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a</w:t>
      </w:r>
      <w:r w:rsidRPr="006251D2">
        <w:rPr>
          <w:rFonts w:ascii="Times New Roman" w:hAnsi="Times New Roman" w:cs="Times New Roman"/>
          <w:sz w:val="20"/>
          <w:szCs w:val="20"/>
          <w:lang w:val="en-US"/>
        </w:rPr>
        <w:t>percentage of the subjects reporting at least one OHIP-14 impact</w:t>
      </w:r>
    </w:p>
    <w:p w14:paraId="51186874" w14:textId="77777777" w:rsidR="00280547" w:rsidRPr="006251D2" w:rsidRDefault="00280547" w:rsidP="00280547">
      <w:pPr>
        <w:contextualSpacing/>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b</w:t>
      </w:r>
      <w:r w:rsidRPr="006251D2">
        <w:rPr>
          <w:rFonts w:ascii="Times New Roman" w:hAnsi="Times New Roman" w:cs="Times New Roman"/>
          <w:sz w:val="20"/>
          <w:szCs w:val="20"/>
          <w:lang w:val="en-US"/>
        </w:rPr>
        <w:t>number of OHIP-14 impacts reported (range 0-14)</w:t>
      </w:r>
    </w:p>
    <w:p w14:paraId="306C137E" w14:textId="77777777" w:rsidR="00280547" w:rsidRPr="006251D2" w:rsidRDefault="00280547" w:rsidP="00280547">
      <w:pPr>
        <w:contextualSpacing/>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c</w:t>
      </w:r>
      <w:r w:rsidRPr="006251D2">
        <w:rPr>
          <w:rFonts w:ascii="Times New Roman" w:hAnsi="Times New Roman" w:cs="Times New Roman"/>
          <w:sz w:val="20"/>
          <w:szCs w:val="20"/>
          <w:lang w:val="en-US"/>
        </w:rPr>
        <w:t>the sum of OHIP-14 impacts reported (range 0-56)</w:t>
      </w:r>
    </w:p>
    <w:p w14:paraId="3D348B16" w14:textId="77777777" w:rsidR="00280547" w:rsidRPr="006251D2" w:rsidRDefault="00280547" w:rsidP="00280547">
      <w:pPr>
        <w:contextualSpacing/>
        <w:rPr>
          <w:rFonts w:ascii="Times New Roman" w:hAnsi="Times New Roman" w:cs="Times New Roman"/>
          <w:sz w:val="20"/>
          <w:szCs w:val="20"/>
          <w:lang w:val="en-US"/>
        </w:rPr>
      </w:pPr>
      <w:r w:rsidRPr="006251D2">
        <w:rPr>
          <w:rFonts w:ascii="Times New Roman" w:hAnsi="Times New Roman" w:cs="Times New Roman"/>
          <w:sz w:val="20"/>
          <w:szCs w:val="20"/>
          <w:lang w:val="en-US"/>
        </w:rPr>
        <w:t>*between total values by chi-square statistics or Fisher’s Exact Test</w:t>
      </w:r>
    </w:p>
    <w:p w14:paraId="23C89B51" w14:textId="77777777" w:rsidR="00280547" w:rsidRPr="006251D2" w:rsidRDefault="00280547" w:rsidP="00280547">
      <w:pPr>
        <w:contextualSpacing/>
        <w:rPr>
          <w:rFonts w:ascii="Times New Roman" w:hAnsi="Times New Roman" w:cs="Times New Roman"/>
          <w:sz w:val="20"/>
          <w:szCs w:val="20"/>
          <w:lang w:val="en-US"/>
        </w:rPr>
      </w:pPr>
      <w:r w:rsidRPr="006251D2">
        <w:rPr>
          <w:rFonts w:ascii="Times New Roman" w:hAnsi="Times New Roman" w:cs="Times New Roman"/>
          <w:sz w:val="20"/>
          <w:szCs w:val="20"/>
          <w:lang w:val="en-US"/>
        </w:rPr>
        <w:t>**by Mann-Whitney U Test</w:t>
      </w:r>
    </w:p>
    <w:p w14:paraId="54361143" w14:textId="77777777" w:rsidR="00280547" w:rsidRPr="006251D2" w:rsidRDefault="00280547" w:rsidP="007E1E18">
      <w:pPr>
        <w:spacing w:line="480" w:lineRule="auto"/>
        <w:jc w:val="both"/>
        <w:rPr>
          <w:rFonts w:ascii="Times New Roman" w:hAnsi="Times New Roman" w:cs="Times New Roman"/>
          <w:b/>
          <w:sz w:val="20"/>
          <w:szCs w:val="20"/>
          <w:lang w:val="en-US"/>
        </w:rPr>
      </w:pPr>
    </w:p>
    <w:p w14:paraId="090545D0" w14:textId="77777777" w:rsidR="006251D2" w:rsidRDefault="006251D2" w:rsidP="00A55694">
      <w:pPr>
        <w:widowControl w:val="0"/>
        <w:autoSpaceDE w:val="0"/>
        <w:autoSpaceDN w:val="0"/>
        <w:adjustRightInd w:val="0"/>
        <w:spacing w:line="360" w:lineRule="auto"/>
        <w:jc w:val="both"/>
        <w:rPr>
          <w:rFonts w:ascii="Times New Roman" w:hAnsi="Times New Roman" w:cs="Times New Roman"/>
          <w:iCs/>
          <w:sz w:val="20"/>
          <w:szCs w:val="20"/>
          <w:lang w:val="en-US"/>
        </w:rPr>
      </w:pPr>
    </w:p>
    <w:p w14:paraId="707D2931" w14:textId="77777777" w:rsidR="006251D2" w:rsidRDefault="006251D2" w:rsidP="00A55694">
      <w:pPr>
        <w:widowControl w:val="0"/>
        <w:autoSpaceDE w:val="0"/>
        <w:autoSpaceDN w:val="0"/>
        <w:adjustRightInd w:val="0"/>
        <w:spacing w:line="360" w:lineRule="auto"/>
        <w:jc w:val="both"/>
        <w:rPr>
          <w:rFonts w:ascii="Times New Roman" w:hAnsi="Times New Roman" w:cs="Times New Roman"/>
          <w:iCs/>
          <w:sz w:val="20"/>
          <w:szCs w:val="20"/>
          <w:lang w:val="en-US"/>
        </w:rPr>
      </w:pPr>
    </w:p>
    <w:p w14:paraId="44679F6D" w14:textId="77777777" w:rsidR="006251D2" w:rsidRDefault="006251D2" w:rsidP="00A55694">
      <w:pPr>
        <w:widowControl w:val="0"/>
        <w:autoSpaceDE w:val="0"/>
        <w:autoSpaceDN w:val="0"/>
        <w:adjustRightInd w:val="0"/>
        <w:spacing w:line="360" w:lineRule="auto"/>
        <w:jc w:val="both"/>
        <w:rPr>
          <w:rFonts w:ascii="Times New Roman" w:hAnsi="Times New Roman" w:cs="Times New Roman"/>
          <w:iCs/>
          <w:sz w:val="20"/>
          <w:szCs w:val="20"/>
          <w:lang w:val="en-US"/>
        </w:rPr>
      </w:pPr>
    </w:p>
    <w:p w14:paraId="21C694F9" w14:textId="77777777" w:rsidR="006251D2" w:rsidRDefault="006251D2" w:rsidP="00A55694">
      <w:pPr>
        <w:widowControl w:val="0"/>
        <w:autoSpaceDE w:val="0"/>
        <w:autoSpaceDN w:val="0"/>
        <w:adjustRightInd w:val="0"/>
        <w:spacing w:line="360" w:lineRule="auto"/>
        <w:jc w:val="both"/>
        <w:rPr>
          <w:rFonts w:ascii="Times New Roman" w:hAnsi="Times New Roman" w:cs="Times New Roman"/>
          <w:iCs/>
          <w:sz w:val="20"/>
          <w:szCs w:val="20"/>
          <w:lang w:val="en-US"/>
        </w:rPr>
      </w:pPr>
    </w:p>
    <w:p w14:paraId="7629BFEA" w14:textId="77777777" w:rsidR="006251D2" w:rsidRDefault="006251D2" w:rsidP="00A55694">
      <w:pPr>
        <w:widowControl w:val="0"/>
        <w:autoSpaceDE w:val="0"/>
        <w:autoSpaceDN w:val="0"/>
        <w:adjustRightInd w:val="0"/>
        <w:spacing w:line="360" w:lineRule="auto"/>
        <w:jc w:val="both"/>
        <w:rPr>
          <w:rFonts w:ascii="Times New Roman" w:hAnsi="Times New Roman" w:cs="Times New Roman"/>
          <w:iCs/>
          <w:sz w:val="20"/>
          <w:szCs w:val="20"/>
          <w:lang w:val="en-US"/>
        </w:rPr>
      </w:pPr>
    </w:p>
    <w:p w14:paraId="5BDFD0B9" w14:textId="5A4DCFCD" w:rsidR="000658BD" w:rsidRPr="006251D2" w:rsidRDefault="00A55694" w:rsidP="00A55694">
      <w:pPr>
        <w:widowControl w:val="0"/>
        <w:autoSpaceDE w:val="0"/>
        <w:autoSpaceDN w:val="0"/>
        <w:adjustRightInd w:val="0"/>
        <w:spacing w:line="360" w:lineRule="auto"/>
        <w:jc w:val="both"/>
        <w:rPr>
          <w:rFonts w:ascii="Times New Roman" w:hAnsi="Times New Roman" w:cs="Times New Roman"/>
          <w:sz w:val="20"/>
          <w:szCs w:val="20"/>
          <w:lang w:val="en-US"/>
        </w:rPr>
      </w:pPr>
      <w:r w:rsidRPr="006251D2">
        <w:rPr>
          <w:rFonts w:ascii="Times New Roman" w:hAnsi="Times New Roman" w:cs="Times New Roman"/>
          <w:iCs/>
          <w:sz w:val="20"/>
          <w:szCs w:val="20"/>
          <w:lang w:val="en-US"/>
        </w:rPr>
        <w:t xml:space="preserve">Table </w:t>
      </w:r>
      <w:r w:rsidR="0087611C" w:rsidRPr="006251D2">
        <w:rPr>
          <w:rFonts w:ascii="Times New Roman" w:hAnsi="Times New Roman" w:cs="Times New Roman"/>
          <w:iCs/>
          <w:sz w:val="20"/>
          <w:szCs w:val="20"/>
          <w:lang w:val="en-US"/>
        </w:rPr>
        <w:t>2</w:t>
      </w:r>
      <w:r w:rsidRPr="006251D2">
        <w:rPr>
          <w:rFonts w:ascii="Times New Roman" w:hAnsi="Times New Roman" w:cs="Times New Roman"/>
          <w:iCs/>
          <w:sz w:val="20"/>
          <w:szCs w:val="20"/>
          <w:lang w:val="en-US"/>
        </w:rPr>
        <w:t>.</w:t>
      </w:r>
      <w:r w:rsidRPr="006251D2">
        <w:rPr>
          <w:rFonts w:ascii="Times New Roman" w:hAnsi="Times New Roman" w:cs="Times New Roman"/>
          <w:sz w:val="20"/>
          <w:szCs w:val="20"/>
          <w:lang w:val="en-US"/>
        </w:rPr>
        <w:t xml:space="preserve"> The Oral Health Impact Profile (OHIP-14) prevalences and means (standard deviation, SD) of OHIP severity and extent in splint and control groups at different follow-ups including impacts occurring ‘fairly often’ or ‘very often’ (FoVo) and ‘occasionally’, ‘fairly often’ or ‘very often’ (OFoVo).</w:t>
      </w:r>
    </w:p>
    <w:tbl>
      <w:tblPr>
        <w:tblStyle w:val="TableGrid"/>
        <w:tblpPr w:leftFromText="142" w:rightFromText="142" w:vertAnchor="text" w:horzAnchor="margin" w:tblpY="1"/>
        <w:tblW w:w="1494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26"/>
        <w:gridCol w:w="828"/>
        <w:gridCol w:w="873"/>
        <w:gridCol w:w="828"/>
        <w:gridCol w:w="828"/>
        <w:gridCol w:w="972"/>
        <w:gridCol w:w="828"/>
        <w:gridCol w:w="961"/>
        <w:gridCol w:w="1001"/>
        <w:gridCol w:w="819"/>
        <w:gridCol w:w="915"/>
        <w:gridCol w:w="928"/>
        <w:gridCol w:w="850"/>
        <w:gridCol w:w="992"/>
        <w:gridCol w:w="993"/>
        <w:gridCol w:w="806"/>
      </w:tblGrid>
      <w:tr w:rsidR="001B7915" w:rsidRPr="006251D2" w14:paraId="110009A9" w14:textId="77777777" w:rsidTr="000658BD">
        <w:trPr>
          <w:trHeight w:val="480"/>
        </w:trPr>
        <w:tc>
          <w:tcPr>
            <w:tcW w:w="1526" w:type="dxa"/>
            <w:vMerge w:val="restart"/>
          </w:tcPr>
          <w:p w14:paraId="2797BA4B"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Time point</w:t>
            </w:r>
          </w:p>
        </w:tc>
        <w:tc>
          <w:tcPr>
            <w:tcW w:w="5157" w:type="dxa"/>
            <w:gridSpan w:val="6"/>
          </w:tcPr>
          <w:p w14:paraId="02D28845" w14:textId="77777777" w:rsidR="001B7915" w:rsidRPr="006251D2" w:rsidRDefault="001B7915" w:rsidP="000658BD">
            <w:pPr>
              <w:jc w:val="center"/>
              <w:rPr>
                <w:rFonts w:ascii="Times New Roman" w:hAnsi="Times New Roman" w:cs="Times New Roman"/>
                <w:sz w:val="20"/>
                <w:szCs w:val="20"/>
                <w:vertAlign w:val="superscript"/>
              </w:rPr>
            </w:pPr>
            <w:r w:rsidRPr="006251D2">
              <w:rPr>
                <w:rFonts w:ascii="Times New Roman" w:hAnsi="Times New Roman" w:cs="Times New Roman"/>
                <w:sz w:val="20"/>
                <w:szCs w:val="20"/>
              </w:rPr>
              <w:t>Prevalence</w:t>
            </w:r>
            <w:r w:rsidRPr="006251D2">
              <w:rPr>
                <w:rFonts w:ascii="Times New Roman" w:hAnsi="Times New Roman" w:cs="Times New Roman"/>
                <w:sz w:val="20"/>
                <w:szCs w:val="20"/>
                <w:vertAlign w:val="superscript"/>
              </w:rPr>
              <w:t>a</w:t>
            </w:r>
            <w:r w:rsidRPr="006251D2">
              <w:rPr>
                <w:rFonts w:ascii="Times New Roman" w:hAnsi="Times New Roman" w:cs="Times New Roman"/>
                <w:sz w:val="20"/>
                <w:szCs w:val="20"/>
              </w:rPr>
              <w:t xml:space="preserve"> (%)</w:t>
            </w:r>
          </w:p>
        </w:tc>
        <w:tc>
          <w:tcPr>
            <w:tcW w:w="5474" w:type="dxa"/>
            <w:gridSpan w:val="6"/>
          </w:tcPr>
          <w:p w14:paraId="61C27B4F" w14:textId="77777777" w:rsidR="001B7915" w:rsidRPr="006251D2" w:rsidRDefault="001B7915" w:rsidP="000658BD">
            <w:pPr>
              <w:jc w:val="center"/>
              <w:rPr>
                <w:rFonts w:ascii="Times New Roman" w:hAnsi="Times New Roman" w:cs="Times New Roman"/>
                <w:sz w:val="20"/>
                <w:szCs w:val="20"/>
                <w:vertAlign w:val="superscript"/>
              </w:rPr>
            </w:pPr>
            <w:r w:rsidRPr="006251D2">
              <w:rPr>
                <w:rFonts w:ascii="Times New Roman" w:hAnsi="Times New Roman" w:cs="Times New Roman"/>
                <w:sz w:val="20"/>
                <w:szCs w:val="20"/>
              </w:rPr>
              <w:t>Extent</w:t>
            </w:r>
            <w:r w:rsidRPr="006251D2">
              <w:rPr>
                <w:rFonts w:ascii="Times New Roman" w:hAnsi="Times New Roman" w:cs="Times New Roman"/>
                <w:sz w:val="20"/>
                <w:szCs w:val="20"/>
                <w:vertAlign w:val="superscript"/>
              </w:rPr>
              <w:t>b</w:t>
            </w:r>
          </w:p>
          <w:p w14:paraId="7D016109" w14:textId="77777777" w:rsidR="001B7915" w:rsidRPr="006251D2" w:rsidRDefault="001B7915" w:rsidP="000658BD">
            <w:pPr>
              <w:jc w:val="center"/>
              <w:rPr>
                <w:rFonts w:ascii="Times New Roman" w:hAnsi="Times New Roman" w:cs="Times New Roman"/>
                <w:sz w:val="20"/>
                <w:szCs w:val="20"/>
                <w:vertAlign w:val="superscript"/>
              </w:rPr>
            </w:pPr>
            <w:r w:rsidRPr="006251D2">
              <w:rPr>
                <w:rFonts w:ascii="Times New Roman" w:hAnsi="Times New Roman" w:cs="Times New Roman"/>
                <w:sz w:val="20"/>
                <w:szCs w:val="20"/>
              </w:rPr>
              <w:t>mean (SD)</w:t>
            </w:r>
          </w:p>
        </w:tc>
        <w:tc>
          <w:tcPr>
            <w:tcW w:w="2791" w:type="dxa"/>
            <w:gridSpan w:val="3"/>
            <w:vMerge w:val="restart"/>
          </w:tcPr>
          <w:p w14:paraId="38F4973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Severity</w:t>
            </w:r>
            <w:r w:rsidRPr="006251D2">
              <w:rPr>
                <w:rFonts w:ascii="Times New Roman" w:hAnsi="Times New Roman" w:cs="Times New Roman"/>
                <w:sz w:val="20"/>
                <w:szCs w:val="20"/>
                <w:vertAlign w:val="superscript"/>
              </w:rPr>
              <w:t>c</w:t>
            </w:r>
          </w:p>
          <w:p w14:paraId="1A5A306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mean (SD)</w:t>
            </w:r>
          </w:p>
        </w:tc>
      </w:tr>
      <w:tr w:rsidR="001B7915" w:rsidRPr="006251D2" w14:paraId="667F2400" w14:textId="77777777" w:rsidTr="000658BD">
        <w:tc>
          <w:tcPr>
            <w:tcW w:w="1526" w:type="dxa"/>
            <w:vMerge/>
          </w:tcPr>
          <w:p w14:paraId="497F3FE2" w14:textId="77777777" w:rsidR="001B7915" w:rsidRPr="006251D2" w:rsidRDefault="001B7915" w:rsidP="000658BD">
            <w:pPr>
              <w:rPr>
                <w:rFonts w:ascii="Times New Roman" w:hAnsi="Times New Roman" w:cs="Times New Roman"/>
                <w:sz w:val="20"/>
                <w:szCs w:val="20"/>
              </w:rPr>
            </w:pPr>
          </w:p>
        </w:tc>
        <w:tc>
          <w:tcPr>
            <w:tcW w:w="2529" w:type="dxa"/>
            <w:gridSpan w:val="3"/>
          </w:tcPr>
          <w:p w14:paraId="31C2906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OFoVo</w:t>
            </w:r>
          </w:p>
          <w:p w14:paraId="10299376" w14:textId="77777777" w:rsidR="001B7915" w:rsidRPr="006251D2" w:rsidRDefault="001B7915" w:rsidP="000658BD">
            <w:pPr>
              <w:jc w:val="center"/>
              <w:rPr>
                <w:rFonts w:ascii="Times New Roman" w:hAnsi="Times New Roman" w:cs="Times New Roman"/>
                <w:sz w:val="20"/>
                <w:szCs w:val="20"/>
              </w:rPr>
            </w:pPr>
          </w:p>
        </w:tc>
        <w:tc>
          <w:tcPr>
            <w:tcW w:w="2628" w:type="dxa"/>
            <w:gridSpan w:val="3"/>
          </w:tcPr>
          <w:p w14:paraId="260ACE8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FoVo</w:t>
            </w:r>
          </w:p>
        </w:tc>
        <w:tc>
          <w:tcPr>
            <w:tcW w:w="2781" w:type="dxa"/>
            <w:gridSpan w:val="3"/>
          </w:tcPr>
          <w:p w14:paraId="07A15DB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OFoVo</w:t>
            </w:r>
          </w:p>
        </w:tc>
        <w:tc>
          <w:tcPr>
            <w:tcW w:w="2693" w:type="dxa"/>
            <w:gridSpan w:val="3"/>
          </w:tcPr>
          <w:p w14:paraId="5495256C"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FoVo</w:t>
            </w:r>
          </w:p>
        </w:tc>
        <w:tc>
          <w:tcPr>
            <w:tcW w:w="2791" w:type="dxa"/>
            <w:gridSpan w:val="3"/>
            <w:vMerge/>
          </w:tcPr>
          <w:p w14:paraId="78C9884E" w14:textId="77777777" w:rsidR="001B7915" w:rsidRPr="006251D2" w:rsidRDefault="001B7915" w:rsidP="000658BD">
            <w:pPr>
              <w:jc w:val="center"/>
              <w:rPr>
                <w:rFonts w:ascii="Times New Roman" w:hAnsi="Times New Roman" w:cs="Times New Roman"/>
                <w:sz w:val="20"/>
                <w:szCs w:val="20"/>
              </w:rPr>
            </w:pPr>
          </w:p>
        </w:tc>
      </w:tr>
      <w:tr w:rsidR="001B7915" w:rsidRPr="006251D2" w14:paraId="52967207" w14:textId="77777777" w:rsidTr="000658BD">
        <w:trPr>
          <w:trHeight w:val="63"/>
        </w:trPr>
        <w:tc>
          <w:tcPr>
            <w:tcW w:w="1526" w:type="dxa"/>
            <w:vMerge/>
            <w:tcBorders>
              <w:bottom w:val="single" w:sz="4" w:space="0" w:color="auto"/>
            </w:tcBorders>
          </w:tcPr>
          <w:p w14:paraId="36950405" w14:textId="77777777" w:rsidR="001B7915" w:rsidRPr="006251D2" w:rsidRDefault="001B7915" w:rsidP="000658BD">
            <w:pPr>
              <w:rPr>
                <w:rFonts w:ascii="Times New Roman" w:hAnsi="Times New Roman" w:cs="Times New Roman"/>
                <w:sz w:val="20"/>
                <w:szCs w:val="20"/>
              </w:rPr>
            </w:pPr>
          </w:p>
        </w:tc>
        <w:tc>
          <w:tcPr>
            <w:tcW w:w="828" w:type="dxa"/>
            <w:tcBorders>
              <w:bottom w:val="single" w:sz="4" w:space="0" w:color="auto"/>
            </w:tcBorders>
          </w:tcPr>
          <w:p w14:paraId="0DC7FC8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Splint</w:t>
            </w:r>
          </w:p>
        </w:tc>
        <w:tc>
          <w:tcPr>
            <w:tcW w:w="873" w:type="dxa"/>
            <w:tcBorders>
              <w:bottom w:val="single" w:sz="4" w:space="0" w:color="auto"/>
            </w:tcBorders>
          </w:tcPr>
          <w:p w14:paraId="4C2E7551"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Control</w:t>
            </w:r>
          </w:p>
        </w:tc>
        <w:tc>
          <w:tcPr>
            <w:tcW w:w="828" w:type="dxa"/>
            <w:tcBorders>
              <w:bottom w:val="single" w:sz="4" w:space="0" w:color="auto"/>
            </w:tcBorders>
          </w:tcPr>
          <w:p w14:paraId="2D5794D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p*</w:t>
            </w:r>
          </w:p>
        </w:tc>
        <w:tc>
          <w:tcPr>
            <w:tcW w:w="828" w:type="dxa"/>
            <w:tcBorders>
              <w:bottom w:val="single" w:sz="4" w:space="0" w:color="auto"/>
            </w:tcBorders>
          </w:tcPr>
          <w:p w14:paraId="13F50173"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Splint</w:t>
            </w:r>
          </w:p>
        </w:tc>
        <w:tc>
          <w:tcPr>
            <w:tcW w:w="972" w:type="dxa"/>
            <w:tcBorders>
              <w:bottom w:val="single" w:sz="4" w:space="0" w:color="auto"/>
            </w:tcBorders>
          </w:tcPr>
          <w:p w14:paraId="3945655B"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Control</w:t>
            </w:r>
          </w:p>
        </w:tc>
        <w:tc>
          <w:tcPr>
            <w:tcW w:w="828" w:type="dxa"/>
            <w:tcBorders>
              <w:bottom w:val="single" w:sz="4" w:space="0" w:color="auto"/>
            </w:tcBorders>
          </w:tcPr>
          <w:p w14:paraId="364E1FF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p*</w:t>
            </w:r>
          </w:p>
        </w:tc>
        <w:tc>
          <w:tcPr>
            <w:tcW w:w="961" w:type="dxa"/>
            <w:tcBorders>
              <w:bottom w:val="single" w:sz="4" w:space="0" w:color="auto"/>
            </w:tcBorders>
          </w:tcPr>
          <w:p w14:paraId="6E2CFA4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Splint</w:t>
            </w:r>
          </w:p>
        </w:tc>
        <w:tc>
          <w:tcPr>
            <w:tcW w:w="1001" w:type="dxa"/>
            <w:tcBorders>
              <w:bottom w:val="single" w:sz="4" w:space="0" w:color="auto"/>
            </w:tcBorders>
          </w:tcPr>
          <w:p w14:paraId="4E8A74CC"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Control</w:t>
            </w:r>
          </w:p>
        </w:tc>
        <w:tc>
          <w:tcPr>
            <w:tcW w:w="819" w:type="dxa"/>
            <w:tcBorders>
              <w:bottom w:val="single" w:sz="4" w:space="0" w:color="auto"/>
            </w:tcBorders>
          </w:tcPr>
          <w:p w14:paraId="30AF8B7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p**</w:t>
            </w:r>
          </w:p>
        </w:tc>
        <w:tc>
          <w:tcPr>
            <w:tcW w:w="915" w:type="dxa"/>
            <w:tcBorders>
              <w:bottom w:val="single" w:sz="4" w:space="0" w:color="auto"/>
            </w:tcBorders>
          </w:tcPr>
          <w:p w14:paraId="5985B6B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Splint</w:t>
            </w:r>
          </w:p>
        </w:tc>
        <w:tc>
          <w:tcPr>
            <w:tcW w:w="928" w:type="dxa"/>
            <w:tcBorders>
              <w:bottom w:val="single" w:sz="4" w:space="0" w:color="auto"/>
            </w:tcBorders>
          </w:tcPr>
          <w:p w14:paraId="79BF283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Control</w:t>
            </w:r>
          </w:p>
        </w:tc>
        <w:tc>
          <w:tcPr>
            <w:tcW w:w="850" w:type="dxa"/>
            <w:tcBorders>
              <w:bottom w:val="single" w:sz="4" w:space="0" w:color="auto"/>
            </w:tcBorders>
          </w:tcPr>
          <w:p w14:paraId="3577172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p**</w:t>
            </w:r>
          </w:p>
        </w:tc>
        <w:tc>
          <w:tcPr>
            <w:tcW w:w="992" w:type="dxa"/>
            <w:tcBorders>
              <w:bottom w:val="single" w:sz="4" w:space="0" w:color="auto"/>
            </w:tcBorders>
          </w:tcPr>
          <w:p w14:paraId="34C11EF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Splint</w:t>
            </w:r>
          </w:p>
        </w:tc>
        <w:tc>
          <w:tcPr>
            <w:tcW w:w="993" w:type="dxa"/>
            <w:tcBorders>
              <w:bottom w:val="single" w:sz="4" w:space="0" w:color="auto"/>
            </w:tcBorders>
          </w:tcPr>
          <w:p w14:paraId="6FCCFE9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Control</w:t>
            </w:r>
          </w:p>
        </w:tc>
        <w:tc>
          <w:tcPr>
            <w:tcW w:w="806" w:type="dxa"/>
            <w:tcBorders>
              <w:bottom w:val="single" w:sz="4" w:space="0" w:color="auto"/>
            </w:tcBorders>
          </w:tcPr>
          <w:p w14:paraId="264F7DB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p***</w:t>
            </w:r>
          </w:p>
        </w:tc>
      </w:tr>
      <w:tr w:rsidR="00B169DC" w:rsidRPr="006251D2" w14:paraId="0D5AF233" w14:textId="77777777" w:rsidTr="000658BD">
        <w:trPr>
          <w:trHeight w:val="690"/>
        </w:trPr>
        <w:tc>
          <w:tcPr>
            <w:tcW w:w="1526" w:type="dxa"/>
            <w:tcBorders>
              <w:top w:val="single" w:sz="4" w:space="0" w:color="auto"/>
              <w:bottom w:val="nil"/>
            </w:tcBorders>
          </w:tcPr>
          <w:p w14:paraId="70A1583F"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Baseline</w:t>
            </w:r>
          </w:p>
          <w:p w14:paraId="78C363B1" w14:textId="21E7A219" w:rsidR="001B7915" w:rsidRPr="006251D2" w:rsidRDefault="001B7915" w:rsidP="000658BD">
            <w:pPr>
              <w:tabs>
                <w:tab w:val="left" w:pos="1308"/>
              </w:tabs>
              <w:rPr>
                <w:rFonts w:ascii="Times New Roman" w:hAnsi="Times New Roman" w:cs="Times New Roman"/>
                <w:sz w:val="20"/>
                <w:szCs w:val="20"/>
              </w:rPr>
            </w:pPr>
            <w:r w:rsidRPr="006251D2">
              <w:rPr>
                <w:rFonts w:ascii="Times New Roman" w:hAnsi="Times New Roman" w:cs="Times New Roman"/>
                <w:sz w:val="20"/>
                <w:szCs w:val="20"/>
              </w:rPr>
              <w:t>(</w:t>
            </w:r>
            <w:r w:rsidRPr="006251D2">
              <w:rPr>
                <w:rFonts w:ascii="Times New Roman" w:hAnsi="Times New Roman" w:cs="Times New Roman"/>
                <w:i/>
                <w:sz w:val="20"/>
                <w:szCs w:val="20"/>
              </w:rPr>
              <w:t xml:space="preserve">n </w:t>
            </w:r>
            <w:r w:rsidRPr="006251D2">
              <w:rPr>
                <w:rFonts w:ascii="Times New Roman" w:hAnsi="Times New Roman" w:cs="Times New Roman"/>
                <w:sz w:val="20"/>
                <w:szCs w:val="20"/>
              </w:rPr>
              <w:t>= 67)</w:t>
            </w:r>
            <w:r w:rsidR="00B169DC" w:rsidRPr="006251D2">
              <w:rPr>
                <w:rFonts w:ascii="Times New Roman" w:hAnsi="Times New Roman" w:cs="Times New Roman"/>
                <w:sz w:val="20"/>
                <w:szCs w:val="20"/>
              </w:rPr>
              <w:tab/>
            </w:r>
          </w:p>
          <w:p w14:paraId="7AD47269" w14:textId="77777777" w:rsidR="001B7915" w:rsidRPr="006251D2" w:rsidRDefault="001B7915" w:rsidP="000658BD">
            <w:pPr>
              <w:rPr>
                <w:rFonts w:ascii="Times New Roman" w:hAnsi="Times New Roman" w:cs="Times New Roman"/>
                <w:sz w:val="20"/>
                <w:szCs w:val="20"/>
              </w:rPr>
            </w:pPr>
          </w:p>
        </w:tc>
        <w:tc>
          <w:tcPr>
            <w:tcW w:w="828" w:type="dxa"/>
            <w:tcBorders>
              <w:top w:val="single" w:sz="4" w:space="0" w:color="auto"/>
              <w:bottom w:val="nil"/>
            </w:tcBorders>
          </w:tcPr>
          <w:p w14:paraId="41DE62D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94.3</w:t>
            </w:r>
          </w:p>
        </w:tc>
        <w:tc>
          <w:tcPr>
            <w:tcW w:w="873" w:type="dxa"/>
            <w:tcBorders>
              <w:top w:val="single" w:sz="4" w:space="0" w:color="auto"/>
              <w:bottom w:val="nil"/>
            </w:tcBorders>
          </w:tcPr>
          <w:p w14:paraId="77991D4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90.6</w:t>
            </w:r>
          </w:p>
        </w:tc>
        <w:tc>
          <w:tcPr>
            <w:tcW w:w="828" w:type="dxa"/>
            <w:tcBorders>
              <w:top w:val="single" w:sz="4" w:space="0" w:color="auto"/>
              <w:bottom w:val="nil"/>
            </w:tcBorders>
          </w:tcPr>
          <w:p w14:paraId="390F50C4" w14:textId="33942A16" w:rsidR="001B7915" w:rsidRPr="006251D2" w:rsidRDefault="001B7915" w:rsidP="000658BD">
            <w:pPr>
              <w:tabs>
                <w:tab w:val="left" w:pos="504"/>
              </w:tabs>
              <w:jc w:val="center"/>
              <w:rPr>
                <w:rFonts w:ascii="Times New Roman" w:hAnsi="Times New Roman" w:cs="Times New Roman"/>
                <w:sz w:val="20"/>
                <w:szCs w:val="20"/>
              </w:rPr>
            </w:pPr>
            <w:r w:rsidRPr="006251D2">
              <w:rPr>
                <w:rFonts w:ascii="Times New Roman" w:hAnsi="Times New Roman" w:cs="Times New Roman"/>
                <w:sz w:val="20"/>
                <w:szCs w:val="20"/>
              </w:rPr>
              <w:t>0.569</w:t>
            </w:r>
          </w:p>
        </w:tc>
        <w:tc>
          <w:tcPr>
            <w:tcW w:w="828" w:type="dxa"/>
            <w:tcBorders>
              <w:top w:val="single" w:sz="4" w:space="0" w:color="auto"/>
              <w:bottom w:val="nil"/>
            </w:tcBorders>
          </w:tcPr>
          <w:p w14:paraId="438D31BB"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82.9</w:t>
            </w:r>
          </w:p>
        </w:tc>
        <w:tc>
          <w:tcPr>
            <w:tcW w:w="972" w:type="dxa"/>
            <w:tcBorders>
              <w:top w:val="single" w:sz="4" w:space="0" w:color="auto"/>
              <w:bottom w:val="nil"/>
            </w:tcBorders>
          </w:tcPr>
          <w:p w14:paraId="18832261"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68.6</w:t>
            </w:r>
          </w:p>
        </w:tc>
        <w:tc>
          <w:tcPr>
            <w:tcW w:w="828" w:type="dxa"/>
            <w:tcBorders>
              <w:top w:val="single" w:sz="4" w:space="0" w:color="auto"/>
              <w:bottom w:val="nil"/>
            </w:tcBorders>
          </w:tcPr>
          <w:p w14:paraId="00CD30E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0.176</w:t>
            </w:r>
          </w:p>
        </w:tc>
        <w:tc>
          <w:tcPr>
            <w:tcW w:w="961" w:type="dxa"/>
            <w:tcBorders>
              <w:top w:val="single" w:sz="4" w:space="0" w:color="auto"/>
              <w:bottom w:val="nil"/>
            </w:tcBorders>
          </w:tcPr>
          <w:p w14:paraId="6BF1B2F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5.54</w:t>
            </w:r>
          </w:p>
          <w:p w14:paraId="326C7611"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(3.48)</w:t>
            </w:r>
          </w:p>
        </w:tc>
        <w:tc>
          <w:tcPr>
            <w:tcW w:w="1001" w:type="dxa"/>
            <w:tcBorders>
              <w:top w:val="single" w:sz="4" w:space="0" w:color="auto"/>
              <w:bottom w:val="nil"/>
            </w:tcBorders>
          </w:tcPr>
          <w:p w14:paraId="6CCB223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5.16</w:t>
            </w:r>
          </w:p>
          <w:p w14:paraId="47ECFAA3"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(3.46)</w:t>
            </w:r>
          </w:p>
        </w:tc>
        <w:tc>
          <w:tcPr>
            <w:tcW w:w="819" w:type="dxa"/>
            <w:tcBorders>
              <w:top w:val="single" w:sz="4" w:space="0" w:color="auto"/>
              <w:bottom w:val="nil"/>
            </w:tcBorders>
          </w:tcPr>
          <w:p w14:paraId="136800D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0.627</w:t>
            </w:r>
          </w:p>
        </w:tc>
        <w:tc>
          <w:tcPr>
            <w:tcW w:w="915" w:type="dxa"/>
            <w:tcBorders>
              <w:top w:val="single" w:sz="4" w:space="0" w:color="auto"/>
              <w:bottom w:val="nil"/>
            </w:tcBorders>
          </w:tcPr>
          <w:p w14:paraId="35A07ED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3.06</w:t>
            </w:r>
          </w:p>
          <w:p w14:paraId="692E0C9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(2.78)</w:t>
            </w:r>
          </w:p>
        </w:tc>
        <w:tc>
          <w:tcPr>
            <w:tcW w:w="928" w:type="dxa"/>
            <w:tcBorders>
              <w:top w:val="single" w:sz="4" w:space="0" w:color="auto"/>
              <w:bottom w:val="nil"/>
            </w:tcBorders>
          </w:tcPr>
          <w:p w14:paraId="4219289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2.78</w:t>
            </w:r>
          </w:p>
          <w:p w14:paraId="5A383D0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(2.81)</w:t>
            </w:r>
          </w:p>
        </w:tc>
        <w:tc>
          <w:tcPr>
            <w:tcW w:w="850" w:type="dxa"/>
            <w:tcBorders>
              <w:top w:val="single" w:sz="4" w:space="0" w:color="auto"/>
              <w:bottom w:val="nil"/>
            </w:tcBorders>
          </w:tcPr>
          <w:p w14:paraId="2F979BA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0.576</w:t>
            </w:r>
          </w:p>
        </w:tc>
        <w:tc>
          <w:tcPr>
            <w:tcW w:w="992" w:type="dxa"/>
            <w:tcBorders>
              <w:top w:val="single" w:sz="4" w:space="0" w:color="auto"/>
              <w:bottom w:val="nil"/>
            </w:tcBorders>
          </w:tcPr>
          <w:p w14:paraId="32FA8C5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17.57</w:t>
            </w:r>
          </w:p>
          <w:p w14:paraId="50E5B393"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(10.89)</w:t>
            </w:r>
          </w:p>
        </w:tc>
        <w:tc>
          <w:tcPr>
            <w:tcW w:w="993" w:type="dxa"/>
            <w:tcBorders>
              <w:top w:val="single" w:sz="4" w:space="0" w:color="auto"/>
              <w:bottom w:val="nil"/>
            </w:tcBorders>
          </w:tcPr>
          <w:p w14:paraId="4D154843"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15.94</w:t>
            </w:r>
          </w:p>
          <w:p w14:paraId="448203F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(11.14)</w:t>
            </w:r>
          </w:p>
        </w:tc>
        <w:tc>
          <w:tcPr>
            <w:tcW w:w="806" w:type="dxa"/>
            <w:tcBorders>
              <w:top w:val="single" w:sz="4" w:space="0" w:color="auto"/>
              <w:bottom w:val="nil"/>
            </w:tcBorders>
          </w:tcPr>
          <w:p w14:paraId="3CFE930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0.546</w:t>
            </w:r>
          </w:p>
        </w:tc>
      </w:tr>
      <w:tr w:rsidR="00B169DC" w:rsidRPr="006251D2" w14:paraId="5FA88A25" w14:textId="77777777" w:rsidTr="000658BD">
        <w:trPr>
          <w:trHeight w:val="690"/>
        </w:trPr>
        <w:tc>
          <w:tcPr>
            <w:tcW w:w="1526" w:type="dxa"/>
            <w:tcBorders>
              <w:top w:val="nil"/>
            </w:tcBorders>
          </w:tcPr>
          <w:p w14:paraId="750A37A9"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3 months after</w:t>
            </w:r>
          </w:p>
          <w:p w14:paraId="1F6707C0" w14:textId="0B6099D5"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w:t>
            </w:r>
            <w:r w:rsidRPr="006251D2">
              <w:rPr>
                <w:rFonts w:ascii="Times New Roman" w:hAnsi="Times New Roman" w:cs="Times New Roman"/>
                <w:i/>
                <w:sz w:val="20"/>
                <w:szCs w:val="20"/>
              </w:rPr>
              <w:t xml:space="preserve">n </w:t>
            </w:r>
            <w:r w:rsidRPr="006251D2">
              <w:rPr>
                <w:rFonts w:ascii="Times New Roman" w:hAnsi="Times New Roman" w:cs="Times New Roman"/>
                <w:sz w:val="20"/>
                <w:szCs w:val="20"/>
              </w:rPr>
              <w:t>= 39)</w:t>
            </w:r>
          </w:p>
        </w:tc>
        <w:tc>
          <w:tcPr>
            <w:tcW w:w="828" w:type="dxa"/>
            <w:tcBorders>
              <w:top w:val="nil"/>
            </w:tcBorders>
          </w:tcPr>
          <w:p w14:paraId="142E7F99" w14:textId="7C8ED0BB" w:rsidR="001B7915" w:rsidRPr="006251D2" w:rsidRDefault="001B7915" w:rsidP="000658BD">
            <w:pPr>
              <w:tabs>
                <w:tab w:val="left" w:pos="492"/>
              </w:tabs>
              <w:jc w:val="center"/>
              <w:rPr>
                <w:rFonts w:ascii="Times New Roman" w:hAnsi="Times New Roman" w:cs="Times New Roman"/>
                <w:sz w:val="20"/>
                <w:szCs w:val="20"/>
              </w:rPr>
            </w:pPr>
            <w:r w:rsidRPr="006251D2">
              <w:rPr>
                <w:rFonts w:ascii="Times New Roman" w:hAnsi="Times New Roman" w:cs="Times New Roman"/>
                <w:sz w:val="20"/>
                <w:szCs w:val="20"/>
              </w:rPr>
              <w:t>85.0</w:t>
            </w:r>
          </w:p>
        </w:tc>
        <w:tc>
          <w:tcPr>
            <w:tcW w:w="873" w:type="dxa"/>
            <w:tcBorders>
              <w:top w:val="nil"/>
            </w:tcBorders>
          </w:tcPr>
          <w:p w14:paraId="2CC9B508"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78.8</w:t>
            </w:r>
          </w:p>
        </w:tc>
        <w:tc>
          <w:tcPr>
            <w:tcW w:w="828" w:type="dxa"/>
            <w:tcBorders>
              <w:top w:val="nil"/>
            </w:tcBorders>
          </w:tcPr>
          <w:p w14:paraId="20743EF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0.662</w:t>
            </w:r>
          </w:p>
        </w:tc>
        <w:tc>
          <w:tcPr>
            <w:tcW w:w="828" w:type="dxa"/>
            <w:tcBorders>
              <w:top w:val="nil"/>
            </w:tcBorders>
          </w:tcPr>
          <w:p w14:paraId="6069556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50.0</w:t>
            </w:r>
          </w:p>
        </w:tc>
        <w:tc>
          <w:tcPr>
            <w:tcW w:w="972" w:type="dxa"/>
            <w:tcBorders>
              <w:top w:val="nil"/>
            </w:tcBorders>
          </w:tcPr>
          <w:p w14:paraId="03EDCE1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47.4</w:t>
            </w:r>
          </w:p>
        </w:tc>
        <w:tc>
          <w:tcPr>
            <w:tcW w:w="828" w:type="dxa"/>
            <w:tcBorders>
              <w:top w:val="nil"/>
            </w:tcBorders>
          </w:tcPr>
          <w:p w14:paraId="3B0DB98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0.869</w:t>
            </w:r>
          </w:p>
        </w:tc>
        <w:tc>
          <w:tcPr>
            <w:tcW w:w="961" w:type="dxa"/>
            <w:tcBorders>
              <w:top w:val="nil"/>
            </w:tcBorders>
          </w:tcPr>
          <w:p w14:paraId="6161847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3.70</w:t>
            </w:r>
          </w:p>
          <w:p w14:paraId="7524C7A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(83.13)</w:t>
            </w:r>
          </w:p>
        </w:tc>
        <w:tc>
          <w:tcPr>
            <w:tcW w:w="1001" w:type="dxa"/>
            <w:tcBorders>
              <w:top w:val="nil"/>
            </w:tcBorders>
          </w:tcPr>
          <w:p w14:paraId="42B71F1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4.89</w:t>
            </w:r>
          </w:p>
          <w:p w14:paraId="0631C2A1"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(4.08)</w:t>
            </w:r>
          </w:p>
        </w:tc>
        <w:tc>
          <w:tcPr>
            <w:tcW w:w="819" w:type="dxa"/>
            <w:tcBorders>
              <w:top w:val="nil"/>
            </w:tcBorders>
          </w:tcPr>
          <w:p w14:paraId="46860A86" w14:textId="6247EAAE" w:rsidR="001B7915" w:rsidRPr="006251D2" w:rsidRDefault="001B7915" w:rsidP="000658BD">
            <w:pPr>
              <w:tabs>
                <w:tab w:val="left" w:pos="444"/>
              </w:tabs>
              <w:jc w:val="center"/>
              <w:rPr>
                <w:rFonts w:ascii="Times New Roman" w:hAnsi="Times New Roman" w:cs="Times New Roman"/>
                <w:sz w:val="20"/>
                <w:szCs w:val="20"/>
              </w:rPr>
            </w:pPr>
            <w:r w:rsidRPr="006251D2">
              <w:rPr>
                <w:rFonts w:ascii="Times New Roman" w:hAnsi="Times New Roman" w:cs="Times New Roman"/>
                <w:sz w:val="20"/>
                <w:szCs w:val="20"/>
              </w:rPr>
              <w:t>0.478</w:t>
            </w:r>
          </w:p>
        </w:tc>
        <w:tc>
          <w:tcPr>
            <w:tcW w:w="915" w:type="dxa"/>
            <w:tcBorders>
              <w:top w:val="nil"/>
            </w:tcBorders>
          </w:tcPr>
          <w:p w14:paraId="22B21F8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1.65</w:t>
            </w:r>
          </w:p>
          <w:p w14:paraId="266F936C"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(1.90)</w:t>
            </w:r>
          </w:p>
        </w:tc>
        <w:tc>
          <w:tcPr>
            <w:tcW w:w="928" w:type="dxa"/>
            <w:tcBorders>
              <w:top w:val="nil"/>
            </w:tcBorders>
          </w:tcPr>
          <w:p w14:paraId="7B58D9F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1.95</w:t>
            </w:r>
          </w:p>
          <w:p w14:paraId="1AB00F5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(2.64)</w:t>
            </w:r>
          </w:p>
        </w:tc>
        <w:tc>
          <w:tcPr>
            <w:tcW w:w="850" w:type="dxa"/>
            <w:tcBorders>
              <w:top w:val="nil"/>
            </w:tcBorders>
          </w:tcPr>
          <w:p w14:paraId="0A27C44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0.967</w:t>
            </w:r>
          </w:p>
        </w:tc>
        <w:tc>
          <w:tcPr>
            <w:tcW w:w="992" w:type="dxa"/>
            <w:tcBorders>
              <w:top w:val="nil"/>
            </w:tcBorders>
          </w:tcPr>
          <w:p w14:paraId="0B5764B8"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12.05</w:t>
            </w:r>
          </w:p>
          <w:p w14:paraId="32BF9A2C"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(8.84)</w:t>
            </w:r>
          </w:p>
        </w:tc>
        <w:tc>
          <w:tcPr>
            <w:tcW w:w="993" w:type="dxa"/>
            <w:tcBorders>
              <w:top w:val="nil"/>
            </w:tcBorders>
          </w:tcPr>
          <w:p w14:paraId="03D46D7B"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14.84</w:t>
            </w:r>
          </w:p>
          <w:p w14:paraId="0778AEE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(11.63)</w:t>
            </w:r>
          </w:p>
        </w:tc>
        <w:tc>
          <w:tcPr>
            <w:tcW w:w="806" w:type="dxa"/>
            <w:tcBorders>
              <w:top w:val="nil"/>
            </w:tcBorders>
          </w:tcPr>
          <w:p w14:paraId="2147EF0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0.403</w:t>
            </w:r>
          </w:p>
        </w:tc>
      </w:tr>
      <w:tr w:rsidR="000658BD" w:rsidRPr="006251D2" w14:paraId="10F66199" w14:textId="77777777" w:rsidTr="000658BD">
        <w:trPr>
          <w:trHeight w:val="690"/>
        </w:trPr>
        <w:tc>
          <w:tcPr>
            <w:tcW w:w="1526" w:type="dxa"/>
          </w:tcPr>
          <w:p w14:paraId="5FC8A1A7"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6 months after</w:t>
            </w:r>
          </w:p>
          <w:p w14:paraId="2EEE794F"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w:t>
            </w:r>
            <w:r w:rsidRPr="006251D2">
              <w:rPr>
                <w:rFonts w:ascii="Times New Roman" w:hAnsi="Times New Roman" w:cs="Times New Roman"/>
                <w:i/>
                <w:sz w:val="20"/>
                <w:szCs w:val="20"/>
              </w:rPr>
              <w:t>n</w:t>
            </w:r>
            <w:r w:rsidRPr="006251D2">
              <w:rPr>
                <w:rFonts w:ascii="Times New Roman" w:hAnsi="Times New Roman" w:cs="Times New Roman"/>
                <w:sz w:val="20"/>
                <w:szCs w:val="20"/>
              </w:rPr>
              <w:t xml:space="preserve"> = 35)</w:t>
            </w:r>
          </w:p>
          <w:p w14:paraId="0DB085EC" w14:textId="77777777" w:rsidR="001B7915" w:rsidRPr="006251D2" w:rsidRDefault="001B7915" w:rsidP="000658BD">
            <w:pPr>
              <w:rPr>
                <w:rFonts w:ascii="Times New Roman" w:hAnsi="Times New Roman" w:cs="Times New Roman"/>
                <w:sz w:val="20"/>
                <w:szCs w:val="20"/>
              </w:rPr>
            </w:pPr>
          </w:p>
        </w:tc>
        <w:tc>
          <w:tcPr>
            <w:tcW w:w="828" w:type="dxa"/>
          </w:tcPr>
          <w:p w14:paraId="6BA0DA5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81.8</w:t>
            </w:r>
          </w:p>
        </w:tc>
        <w:tc>
          <w:tcPr>
            <w:tcW w:w="873" w:type="dxa"/>
          </w:tcPr>
          <w:p w14:paraId="5942F4CB"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76.9</w:t>
            </w:r>
          </w:p>
        </w:tc>
        <w:tc>
          <w:tcPr>
            <w:tcW w:w="828" w:type="dxa"/>
          </w:tcPr>
          <w:p w14:paraId="799D655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0.726</w:t>
            </w:r>
          </w:p>
        </w:tc>
        <w:tc>
          <w:tcPr>
            <w:tcW w:w="828" w:type="dxa"/>
          </w:tcPr>
          <w:p w14:paraId="3CEB103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59.1</w:t>
            </w:r>
          </w:p>
        </w:tc>
        <w:tc>
          <w:tcPr>
            <w:tcW w:w="972" w:type="dxa"/>
          </w:tcPr>
          <w:p w14:paraId="6040B03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46.2</w:t>
            </w:r>
          </w:p>
        </w:tc>
        <w:tc>
          <w:tcPr>
            <w:tcW w:w="828" w:type="dxa"/>
          </w:tcPr>
          <w:p w14:paraId="69BAB7E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0.458</w:t>
            </w:r>
          </w:p>
        </w:tc>
        <w:tc>
          <w:tcPr>
            <w:tcW w:w="961" w:type="dxa"/>
          </w:tcPr>
          <w:p w14:paraId="03C8A52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5.09</w:t>
            </w:r>
          </w:p>
          <w:p w14:paraId="4374EB2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(4.39)</w:t>
            </w:r>
          </w:p>
        </w:tc>
        <w:tc>
          <w:tcPr>
            <w:tcW w:w="1001" w:type="dxa"/>
          </w:tcPr>
          <w:p w14:paraId="641F582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3.69</w:t>
            </w:r>
          </w:p>
          <w:p w14:paraId="2185ADE8"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(3.43)</w:t>
            </w:r>
          </w:p>
        </w:tc>
        <w:tc>
          <w:tcPr>
            <w:tcW w:w="819" w:type="dxa"/>
          </w:tcPr>
          <w:p w14:paraId="1E1604C3"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0.408</w:t>
            </w:r>
          </w:p>
        </w:tc>
        <w:tc>
          <w:tcPr>
            <w:tcW w:w="915" w:type="dxa"/>
          </w:tcPr>
          <w:p w14:paraId="0FC6A786"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2.41</w:t>
            </w:r>
          </w:p>
          <w:p w14:paraId="531567F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(3.17)</w:t>
            </w:r>
          </w:p>
        </w:tc>
        <w:tc>
          <w:tcPr>
            <w:tcW w:w="928" w:type="dxa"/>
          </w:tcPr>
          <w:p w14:paraId="6B8CDD9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1.08</w:t>
            </w:r>
          </w:p>
          <w:p w14:paraId="161D0D2C"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(1.50)</w:t>
            </w:r>
          </w:p>
        </w:tc>
        <w:tc>
          <w:tcPr>
            <w:tcW w:w="850" w:type="dxa"/>
          </w:tcPr>
          <w:p w14:paraId="5276DFD9" w14:textId="26DA25A2" w:rsidR="001B7915" w:rsidRPr="006251D2" w:rsidRDefault="001B7915" w:rsidP="000658BD">
            <w:pPr>
              <w:tabs>
                <w:tab w:val="left" w:pos="516"/>
              </w:tabs>
              <w:jc w:val="center"/>
              <w:rPr>
                <w:rFonts w:ascii="Times New Roman" w:hAnsi="Times New Roman" w:cs="Times New Roman"/>
                <w:sz w:val="20"/>
                <w:szCs w:val="20"/>
              </w:rPr>
            </w:pPr>
            <w:r w:rsidRPr="006251D2">
              <w:rPr>
                <w:rFonts w:ascii="Times New Roman" w:hAnsi="Times New Roman" w:cs="Times New Roman"/>
                <w:sz w:val="20"/>
                <w:szCs w:val="20"/>
              </w:rPr>
              <w:t>0.287</w:t>
            </w:r>
          </w:p>
        </w:tc>
        <w:tc>
          <w:tcPr>
            <w:tcW w:w="992" w:type="dxa"/>
          </w:tcPr>
          <w:p w14:paraId="186E621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15.95</w:t>
            </w:r>
          </w:p>
          <w:p w14:paraId="5DB5DBD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(13.05)</w:t>
            </w:r>
          </w:p>
        </w:tc>
        <w:tc>
          <w:tcPr>
            <w:tcW w:w="993" w:type="dxa"/>
          </w:tcPr>
          <w:p w14:paraId="7BF21F3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11.46</w:t>
            </w:r>
          </w:p>
          <w:p w14:paraId="12A48E9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(9.02)</w:t>
            </w:r>
          </w:p>
        </w:tc>
        <w:tc>
          <w:tcPr>
            <w:tcW w:w="806" w:type="dxa"/>
          </w:tcPr>
          <w:p w14:paraId="54B077F2"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0.282</w:t>
            </w:r>
          </w:p>
        </w:tc>
      </w:tr>
      <w:tr w:rsidR="000658BD" w:rsidRPr="006251D2" w14:paraId="5B2A1FB5" w14:textId="77777777" w:rsidTr="000658BD">
        <w:trPr>
          <w:trHeight w:val="690"/>
        </w:trPr>
        <w:tc>
          <w:tcPr>
            <w:tcW w:w="1526" w:type="dxa"/>
          </w:tcPr>
          <w:p w14:paraId="570AE686"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1 year after</w:t>
            </w:r>
          </w:p>
          <w:p w14:paraId="583A8882" w14:textId="77777777" w:rsidR="001B7915" w:rsidRPr="006251D2" w:rsidRDefault="001B7915" w:rsidP="000658BD">
            <w:pPr>
              <w:rPr>
                <w:rFonts w:ascii="Times New Roman" w:hAnsi="Times New Roman" w:cs="Times New Roman"/>
                <w:sz w:val="20"/>
                <w:szCs w:val="20"/>
              </w:rPr>
            </w:pPr>
            <w:r w:rsidRPr="006251D2">
              <w:rPr>
                <w:rFonts w:ascii="Times New Roman" w:hAnsi="Times New Roman" w:cs="Times New Roman"/>
                <w:sz w:val="20"/>
                <w:szCs w:val="20"/>
              </w:rPr>
              <w:t>(</w:t>
            </w:r>
            <w:r w:rsidRPr="006251D2">
              <w:rPr>
                <w:rFonts w:ascii="Times New Roman" w:hAnsi="Times New Roman" w:cs="Times New Roman"/>
                <w:i/>
                <w:sz w:val="20"/>
                <w:szCs w:val="20"/>
              </w:rPr>
              <w:t>n</w:t>
            </w:r>
            <w:r w:rsidRPr="006251D2">
              <w:rPr>
                <w:rFonts w:ascii="Times New Roman" w:hAnsi="Times New Roman" w:cs="Times New Roman"/>
                <w:sz w:val="20"/>
                <w:szCs w:val="20"/>
              </w:rPr>
              <w:t xml:space="preserve"> = 43)</w:t>
            </w:r>
          </w:p>
          <w:p w14:paraId="5893B74C" w14:textId="77777777" w:rsidR="001B7915" w:rsidRPr="006251D2" w:rsidRDefault="001B7915" w:rsidP="000658BD">
            <w:pPr>
              <w:rPr>
                <w:rFonts w:ascii="Times New Roman" w:hAnsi="Times New Roman" w:cs="Times New Roman"/>
                <w:sz w:val="20"/>
                <w:szCs w:val="20"/>
              </w:rPr>
            </w:pPr>
          </w:p>
        </w:tc>
        <w:tc>
          <w:tcPr>
            <w:tcW w:w="828" w:type="dxa"/>
          </w:tcPr>
          <w:p w14:paraId="2DEAB2A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86.2</w:t>
            </w:r>
          </w:p>
        </w:tc>
        <w:tc>
          <w:tcPr>
            <w:tcW w:w="873" w:type="dxa"/>
          </w:tcPr>
          <w:p w14:paraId="2642B92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78.6</w:t>
            </w:r>
          </w:p>
        </w:tc>
        <w:tc>
          <w:tcPr>
            <w:tcW w:w="828" w:type="dxa"/>
          </w:tcPr>
          <w:p w14:paraId="1C75830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0.525</w:t>
            </w:r>
          </w:p>
        </w:tc>
        <w:tc>
          <w:tcPr>
            <w:tcW w:w="828" w:type="dxa"/>
          </w:tcPr>
          <w:p w14:paraId="4072E5AF"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51.7</w:t>
            </w:r>
          </w:p>
        </w:tc>
        <w:tc>
          <w:tcPr>
            <w:tcW w:w="972" w:type="dxa"/>
          </w:tcPr>
          <w:p w14:paraId="0C59345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64.3</w:t>
            </w:r>
          </w:p>
        </w:tc>
        <w:tc>
          <w:tcPr>
            <w:tcW w:w="828" w:type="dxa"/>
          </w:tcPr>
          <w:p w14:paraId="1F63EE9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0.437</w:t>
            </w:r>
          </w:p>
        </w:tc>
        <w:tc>
          <w:tcPr>
            <w:tcW w:w="961" w:type="dxa"/>
          </w:tcPr>
          <w:p w14:paraId="579291E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4.14</w:t>
            </w:r>
          </w:p>
          <w:p w14:paraId="2CF54814"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(3.85)</w:t>
            </w:r>
          </w:p>
        </w:tc>
        <w:tc>
          <w:tcPr>
            <w:tcW w:w="1001" w:type="dxa"/>
          </w:tcPr>
          <w:p w14:paraId="64CEDA1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3.50</w:t>
            </w:r>
          </w:p>
          <w:p w14:paraId="6E9197B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(3.53)</w:t>
            </w:r>
          </w:p>
        </w:tc>
        <w:tc>
          <w:tcPr>
            <w:tcW w:w="819" w:type="dxa"/>
          </w:tcPr>
          <w:p w14:paraId="155498E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0.555</w:t>
            </w:r>
          </w:p>
        </w:tc>
        <w:tc>
          <w:tcPr>
            <w:tcW w:w="915" w:type="dxa"/>
          </w:tcPr>
          <w:p w14:paraId="40A7BE3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1.72</w:t>
            </w:r>
          </w:p>
          <w:p w14:paraId="7E39F097"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(2.43)</w:t>
            </w:r>
          </w:p>
        </w:tc>
        <w:tc>
          <w:tcPr>
            <w:tcW w:w="928" w:type="dxa"/>
          </w:tcPr>
          <w:p w14:paraId="31188F4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1.86</w:t>
            </w:r>
          </w:p>
          <w:p w14:paraId="163D0AF5"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(2.21)</w:t>
            </w:r>
          </w:p>
        </w:tc>
        <w:tc>
          <w:tcPr>
            <w:tcW w:w="850" w:type="dxa"/>
          </w:tcPr>
          <w:p w14:paraId="4FD8487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0.624</w:t>
            </w:r>
          </w:p>
        </w:tc>
        <w:tc>
          <w:tcPr>
            <w:tcW w:w="992" w:type="dxa"/>
          </w:tcPr>
          <w:p w14:paraId="7378D13A"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13.17</w:t>
            </w:r>
          </w:p>
          <w:p w14:paraId="7CFF8AF0"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(10.68)</w:t>
            </w:r>
          </w:p>
        </w:tc>
        <w:tc>
          <w:tcPr>
            <w:tcW w:w="993" w:type="dxa"/>
          </w:tcPr>
          <w:p w14:paraId="03A7A7FE"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11.86</w:t>
            </w:r>
          </w:p>
          <w:p w14:paraId="51E4787D"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(9.75)</w:t>
            </w:r>
          </w:p>
        </w:tc>
        <w:tc>
          <w:tcPr>
            <w:tcW w:w="806" w:type="dxa"/>
          </w:tcPr>
          <w:p w14:paraId="28F50769" w14:textId="77777777" w:rsidR="001B7915" w:rsidRPr="006251D2" w:rsidRDefault="001B7915" w:rsidP="000658BD">
            <w:pPr>
              <w:jc w:val="center"/>
              <w:rPr>
                <w:rFonts w:ascii="Times New Roman" w:hAnsi="Times New Roman" w:cs="Times New Roman"/>
                <w:sz w:val="20"/>
                <w:szCs w:val="20"/>
              </w:rPr>
            </w:pPr>
            <w:r w:rsidRPr="006251D2">
              <w:rPr>
                <w:rFonts w:ascii="Times New Roman" w:hAnsi="Times New Roman" w:cs="Times New Roman"/>
                <w:sz w:val="20"/>
                <w:szCs w:val="20"/>
              </w:rPr>
              <w:t>0.699</w:t>
            </w:r>
          </w:p>
        </w:tc>
      </w:tr>
    </w:tbl>
    <w:p w14:paraId="073303D5" w14:textId="77777777" w:rsidR="00A55694" w:rsidRPr="006251D2" w:rsidRDefault="00A55694" w:rsidP="00A55694">
      <w:pPr>
        <w:ind w:left="1304"/>
        <w:rPr>
          <w:rFonts w:ascii="Times New Roman" w:hAnsi="Times New Roman" w:cs="Times New Roman"/>
          <w:sz w:val="20"/>
          <w:szCs w:val="20"/>
          <w:vertAlign w:val="superscript"/>
          <w:lang w:val="en-US"/>
        </w:rPr>
      </w:pPr>
    </w:p>
    <w:p w14:paraId="4B26A8BE" w14:textId="77777777" w:rsidR="00A55694" w:rsidRPr="006251D2" w:rsidRDefault="00A55694" w:rsidP="00DC43DF">
      <w:pPr>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a</w:t>
      </w:r>
      <w:r w:rsidRPr="006251D2">
        <w:rPr>
          <w:rFonts w:ascii="Times New Roman" w:hAnsi="Times New Roman" w:cs="Times New Roman"/>
          <w:sz w:val="20"/>
          <w:szCs w:val="20"/>
          <w:lang w:val="en-US"/>
        </w:rPr>
        <w:t>percentage of the subjects reporting at least one OHIP-14 impact</w:t>
      </w:r>
    </w:p>
    <w:p w14:paraId="25245ADD" w14:textId="77777777" w:rsidR="00A55694" w:rsidRPr="006251D2" w:rsidRDefault="00A55694" w:rsidP="00DC43DF">
      <w:pPr>
        <w:contextualSpacing/>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b</w:t>
      </w:r>
      <w:r w:rsidRPr="006251D2">
        <w:rPr>
          <w:rFonts w:ascii="Times New Roman" w:hAnsi="Times New Roman" w:cs="Times New Roman"/>
          <w:sz w:val="20"/>
          <w:szCs w:val="20"/>
          <w:lang w:val="en-US"/>
        </w:rPr>
        <w:t>number of OHIP-14 impacts reported (range 0-14)</w:t>
      </w:r>
    </w:p>
    <w:p w14:paraId="7EBEA1F4" w14:textId="77777777" w:rsidR="00A55694" w:rsidRPr="006251D2" w:rsidRDefault="00A55694" w:rsidP="00DC43DF">
      <w:pPr>
        <w:contextualSpacing/>
        <w:rPr>
          <w:rFonts w:ascii="Times New Roman" w:hAnsi="Times New Roman" w:cs="Times New Roman"/>
          <w:sz w:val="20"/>
          <w:szCs w:val="20"/>
          <w:lang w:val="en-US"/>
        </w:rPr>
      </w:pPr>
      <w:r w:rsidRPr="006251D2">
        <w:rPr>
          <w:rFonts w:ascii="Times New Roman" w:hAnsi="Times New Roman" w:cs="Times New Roman"/>
          <w:sz w:val="20"/>
          <w:szCs w:val="20"/>
          <w:vertAlign w:val="superscript"/>
          <w:lang w:val="en-US"/>
        </w:rPr>
        <w:t>c</w:t>
      </w:r>
      <w:r w:rsidRPr="006251D2">
        <w:rPr>
          <w:rFonts w:ascii="Times New Roman" w:hAnsi="Times New Roman" w:cs="Times New Roman"/>
          <w:sz w:val="20"/>
          <w:szCs w:val="20"/>
          <w:lang w:val="en-US"/>
        </w:rPr>
        <w:t>the sum of OHIP-14 impacts reported (range 0-56)</w:t>
      </w:r>
    </w:p>
    <w:p w14:paraId="72580D64" w14:textId="77777777" w:rsidR="00A55694" w:rsidRPr="006251D2" w:rsidRDefault="00A55694" w:rsidP="00DC43DF">
      <w:pPr>
        <w:contextualSpacing/>
        <w:rPr>
          <w:rFonts w:ascii="Times New Roman" w:hAnsi="Times New Roman" w:cs="Times New Roman"/>
          <w:sz w:val="20"/>
          <w:szCs w:val="20"/>
          <w:lang w:val="en-US"/>
        </w:rPr>
      </w:pPr>
      <w:r w:rsidRPr="006251D2">
        <w:rPr>
          <w:rFonts w:ascii="Times New Roman" w:hAnsi="Times New Roman" w:cs="Times New Roman"/>
          <w:sz w:val="20"/>
          <w:szCs w:val="20"/>
          <w:lang w:val="en-US"/>
        </w:rPr>
        <w:t>*by chi-square statistics</w:t>
      </w:r>
    </w:p>
    <w:p w14:paraId="3706A9FE" w14:textId="77777777" w:rsidR="00A55694" w:rsidRPr="006251D2" w:rsidRDefault="00A55694" w:rsidP="00DC43DF">
      <w:pPr>
        <w:contextualSpacing/>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**by Mann-Whitney U Test</w:t>
      </w:r>
    </w:p>
    <w:p w14:paraId="15B44812" w14:textId="77777777" w:rsidR="00A55694" w:rsidRPr="006251D2" w:rsidRDefault="00A55694" w:rsidP="00DC43DF">
      <w:pPr>
        <w:contextualSpacing/>
        <w:rPr>
          <w:rFonts w:ascii="Times New Roman" w:hAnsi="Times New Roman" w:cs="Times New Roman"/>
          <w:sz w:val="20"/>
          <w:szCs w:val="20"/>
          <w:lang w:val="en-US"/>
        </w:rPr>
      </w:pPr>
      <w:r w:rsidRPr="006251D2">
        <w:rPr>
          <w:rFonts w:ascii="Times New Roman" w:hAnsi="Times New Roman" w:cs="Times New Roman"/>
          <w:sz w:val="20"/>
          <w:szCs w:val="20"/>
          <w:lang w:val="en-US"/>
        </w:rPr>
        <w:t>***by Student’s t-test</w:t>
      </w:r>
    </w:p>
    <w:p w14:paraId="403DA95D" w14:textId="77777777" w:rsidR="00A55694" w:rsidRPr="006251D2" w:rsidRDefault="00A55694" w:rsidP="00A55694">
      <w:pPr>
        <w:ind w:left="5980"/>
        <w:jc w:val="center"/>
        <w:rPr>
          <w:rFonts w:ascii="Times New Roman" w:hAnsi="Times New Roman" w:cs="Times New Roman"/>
          <w:sz w:val="20"/>
          <w:szCs w:val="20"/>
          <w:lang w:val="en-US"/>
        </w:rPr>
      </w:pPr>
    </w:p>
    <w:p w14:paraId="5D65B4CF" w14:textId="5E0D77C0" w:rsidR="00A55694" w:rsidRPr="006251D2" w:rsidRDefault="00A55694"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br w:type="page"/>
      </w:r>
    </w:p>
    <w:p w14:paraId="0E2D5426" w14:textId="6FA84C1C" w:rsidR="00A55694" w:rsidRPr="006251D2" w:rsidRDefault="00A55694" w:rsidP="00E211F1">
      <w:pPr>
        <w:widowControl w:val="0"/>
        <w:autoSpaceDE w:val="0"/>
        <w:autoSpaceDN w:val="0"/>
        <w:adjustRightInd w:val="0"/>
        <w:spacing w:line="36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lastRenderedPageBreak/>
        <w:t xml:space="preserve">Table </w:t>
      </w:r>
      <w:r w:rsidR="0087611C" w:rsidRPr="006251D2">
        <w:rPr>
          <w:rFonts w:ascii="Times New Roman" w:hAnsi="Times New Roman" w:cs="Times New Roman"/>
          <w:sz w:val="20"/>
          <w:szCs w:val="20"/>
          <w:lang w:val="en-US"/>
        </w:rPr>
        <w:t>3</w:t>
      </w:r>
      <w:r w:rsidRPr="006251D2">
        <w:rPr>
          <w:rFonts w:ascii="Times New Roman" w:hAnsi="Times New Roman" w:cs="Times New Roman"/>
          <w:sz w:val="20"/>
          <w:szCs w:val="20"/>
          <w:lang w:val="en-US"/>
        </w:rPr>
        <w:t xml:space="preserve">.  Linear mixed effects models for the association between gender, age, group status and follow-up time point and Oral Health Impact Profile (OHIP-14) severity over one-year follow-up. </w:t>
      </w:r>
    </w:p>
    <w:tbl>
      <w:tblPr>
        <w:tblStyle w:val="TableGrid"/>
        <w:tblpPr w:leftFromText="141" w:rightFromText="141" w:vertAnchor="text" w:horzAnchor="page" w:tblpX="2977" w:tblpY="104"/>
        <w:tblW w:w="996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76"/>
        <w:gridCol w:w="1276"/>
        <w:gridCol w:w="1418"/>
        <w:gridCol w:w="992"/>
        <w:gridCol w:w="1161"/>
        <w:gridCol w:w="1575"/>
        <w:gridCol w:w="1164"/>
      </w:tblGrid>
      <w:tr w:rsidR="00A55694" w:rsidRPr="00D65E13" w14:paraId="411ECF3E" w14:textId="77777777" w:rsidTr="000658BD">
        <w:tc>
          <w:tcPr>
            <w:tcW w:w="2376" w:type="dxa"/>
            <w:vMerge w:val="restart"/>
            <w:tcBorders>
              <w:top w:val="single" w:sz="4" w:space="0" w:color="auto"/>
            </w:tcBorders>
          </w:tcPr>
          <w:p w14:paraId="7C01F125" w14:textId="77777777" w:rsidR="00A55694" w:rsidRPr="006251D2" w:rsidRDefault="00A55694" w:rsidP="000658BD">
            <w:pPr>
              <w:spacing w:line="48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Baseline predictors</w:t>
            </w:r>
          </w:p>
        </w:tc>
        <w:tc>
          <w:tcPr>
            <w:tcW w:w="3686" w:type="dxa"/>
            <w:gridSpan w:val="3"/>
            <w:tcBorders>
              <w:top w:val="single" w:sz="4" w:space="0" w:color="auto"/>
              <w:bottom w:val="nil"/>
            </w:tcBorders>
          </w:tcPr>
          <w:p w14:paraId="718D133F"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Model with main effects</w:t>
            </w:r>
          </w:p>
        </w:tc>
        <w:tc>
          <w:tcPr>
            <w:tcW w:w="3900" w:type="dxa"/>
            <w:gridSpan w:val="3"/>
            <w:tcBorders>
              <w:top w:val="single" w:sz="4" w:space="0" w:color="auto"/>
              <w:bottom w:val="nil"/>
            </w:tcBorders>
          </w:tcPr>
          <w:p w14:paraId="4C284D00"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Model with main effects and interaction</w:t>
            </w:r>
          </w:p>
        </w:tc>
      </w:tr>
      <w:tr w:rsidR="00A55694" w:rsidRPr="006251D2" w14:paraId="2BF2FF8C" w14:textId="77777777" w:rsidTr="00DC43DF">
        <w:tc>
          <w:tcPr>
            <w:tcW w:w="2376" w:type="dxa"/>
            <w:vMerge/>
            <w:tcBorders>
              <w:bottom w:val="single" w:sz="4" w:space="0" w:color="auto"/>
            </w:tcBorders>
          </w:tcPr>
          <w:p w14:paraId="560159FC" w14:textId="77777777" w:rsidR="00A55694" w:rsidRPr="006251D2" w:rsidRDefault="00A55694" w:rsidP="000658BD">
            <w:pPr>
              <w:spacing w:line="480" w:lineRule="auto"/>
              <w:jc w:val="both"/>
              <w:rPr>
                <w:rFonts w:ascii="Times New Roman" w:hAnsi="Times New Roman" w:cs="Times New Roman"/>
                <w:sz w:val="20"/>
                <w:szCs w:val="20"/>
                <w:lang w:val="en-US"/>
              </w:rPr>
            </w:pPr>
          </w:p>
        </w:tc>
        <w:tc>
          <w:tcPr>
            <w:tcW w:w="1276" w:type="dxa"/>
            <w:tcBorders>
              <w:top w:val="nil"/>
              <w:bottom w:val="single" w:sz="4" w:space="0" w:color="auto"/>
            </w:tcBorders>
          </w:tcPr>
          <w:p w14:paraId="0CE5F7EF"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Coefficient</w:t>
            </w:r>
          </w:p>
        </w:tc>
        <w:tc>
          <w:tcPr>
            <w:tcW w:w="1418" w:type="dxa"/>
            <w:tcBorders>
              <w:top w:val="nil"/>
              <w:bottom w:val="single" w:sz="4" w:space="0" w:color="auto"/>
            </w:tcBorders>
          </w:tcPr>
          <w:p w14:paraId="6D654810"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95%CI</w:t>
            </w:r>
          </w:p>
        </w:tc>
        <w:tc>
          <w:tcPr>
            <w:tcW w:w="992" w:type="dxa"/>
            <w:tcBorders>
              <w:top w:val="nil"/>
              <w:bottom w:val="single" w:sz="4" w:space="0" w:color="auto"/>
            </w:tcBorders>
          </w:tcPr>
          <w:p w14:paraId="618A8F83"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p-value</w:t>
            </w:r>
          </w:p>
        </w:tc>
        <w:tc>
          <w:tcPr>
            <w:tcW w:w="1161" w:type="dxa"/>
            <w:tcBorders>
              <w:top w:val="nil"/>
              <w:bottom w:val="single" w:sz="4" w:space="0" w:color="auto"/>
            </w:tcBorders>
          </w:tcPr>
          <w:p w14:paraId="1BB07E9E"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Coefficient</w:t>
            </w:r>
          </w:p>
        </w:tc>
        <w:tc>
          <w:tcPr>
            <w:tcW w:w="1575" w:type="dxa"/>
            <w:tcBorders>
              <w:top w:val="nil"/>
              <w:bottom w:val="single" w:sz="4" w:space="0" w:color="auto"/>
            </w:tcBorders>
          </w:tcPr>
          <w:p w14:paraId="5CF627B2"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95%CI</w:t>
            </w:r>
          </w:p>
        </w:tc>
        <w:tc>
          <w:tcPr>
            <w:tcW w:w="1164" w:type="dxa"/>
            <w:tcBorders>
              <w:top w:val="nil"/>
              <w:bottom w:val="single" w:sz="4" w:space="0" w:color="auto"/>
            </w:tcBorders>
          </w:tcPr>
          <w:p w14:paraId="6A5DCF9F"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p-value</w:t>
            </w:r>
          </w:p>
        </w:tc>
      </w:tr>
      <w:tr w:rsidR="00A55694" w:rsidRPr="006251D2" w14:paraId="08BA6F86" w14:textId="77777777" w:rsidTr="00DC43DF">
        <w:trPr>
          <w:trHeight w:val="539"/>
        </w:trPr>
        <w:tc>
          <w:tcPr>
            <w:tcW w:w="2376" w:type="dxa"/>
            <w:tcBorders>
              <w:top w:val="single" w:sz="4" w:space="0" w:color="auto"/>
              <w:left w:val="nil"/>
              <w:bottom w:val="nil"/>
              <w:right w:val="nil"/>
            </w:tcBorders>
          </w:tcPr>
          <w:p w14:paraId="24427035"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Gender (ref. male)</w:t>
            </w:r>
          </w:p>
        </w:tc>
        <w:tc>
          <w:tcPr>
            <w:tcW w:w="1276" w:type="dxa"/>
            <w:tcBorders>
              <w:top w:val="single" w:sz="4" w:space="0" w:color="auto"/>
              <w:left w:val="nil"/>
              <w:bottom w:val="nil"/>
              <w:right w:val="nil"/>
            </w:tcBorders>
          </w:tcPr>
          <w:p w14:paraId="23D76CA2"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single" w:sz="4" w:space="0" w:color="auto"/>
              <w:left w:val="nil"/>
              <w:bottom w:val="nil"/>
              <w:right w:val="nil"/>
            </w:tcBorders>
          </w:tcPr>
          <w:p w14:paraId="1A6F525A"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single" w:sz="4" w:space="0" w:color="auto"/>
              <w:left w:val="nil"/>
              <w:bottom w:val="nil"/>
              <w:right w:val="nil"/>
            </w:tcBorders>
          </w:tcPr>
          <w:p w14:paraId="3BB715D2"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single" w:sz="4" w:space="0" w:color="auto"/>
              <w:left w:val="nil"/>
              <w:bottom w:val="nil"/>
              <w:right w:val="nil"/>
            </w:tcBorders>
          </w:tcPr>
          <w:p w14:paraId="79CCEBEF"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575" w:type="dxa"/>
            <w:tcBorders>
              <w:top w:val="single" w:sz="4" w:space="0" w:color="auto"/>
              <w:left w:val="nil"/>
              <w:bottom w:val="nil"/>
              <w:right w:val="nil"/>
            </w:tcBorders>
          </w:tcPr>
          <w:p w14:paraId="45841713"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4" w:type="dxa"/>
            <w:tcBorders>
              <w:top w:val="single" w:sz="4" w:space="0" w:color="auto"/>
              <w:left w:val="nil"/>
              <w:bottom w:val="nil"/>
              <w:right w:val="nil"/>
            </w:tcBorders>
          </w:tcPr>
          <w:p w14:paraId="7776196D" w14:textId="77777777" w:rsidR="00A55694" w:rsidRPr="006251D2" w:rsidRDefault="00A55694" w:rsidP="000658BD">
            <w:pPr>
              <w:spacing w:line="480" w:lineRule="auto"/>
              <w:jc w:val="center"/>
              <w:rPr>
                <w:rFonts w:ascii="Times New Roman" w:hAnsi="Times New Roman" w:cs="Times New Roman"/>
                <w:sz w:val="20"/>
                <w:szCs w:val="20"/>
                <w:lang w:val="en-US"/>
              </w:rPr>
            </w:pPr>
          </w:p>
        </w:tc>
      </w:tr>
      <w:tr w:rsidR="00A55694" w:rsidRPr="006251D2" w14:paraId="560AF4AD" w14:textId="77777777" w:rsidTr="00DC43DF">
        <w:tc>
          <w:tcPr>
            <w:tcW w:w="2376" w:type="dxa"/>
            <w:tcBorders>
              <w:top w:val="nil"/>
              <w:left w:val="nil"/>
              <w:bottom w:val="nil"/>
              <w:right w:val="nil"/>
            </w:tcBorders>
          </w:tcPr>
          <w:p w14:paraId="73552425"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Female</w:t>
            </w:r>
          </w:p>
        </w:tc>
        <w:tc>
          <w:tcPr>
            <w:tcW w:w="1276" w:type="dxa"/>
            <w:tcBorders>
              <w:top w:val="nil"/>
              <w:left w:val="nil"/>
              <w:bottom w:val="nil"/>
              <w:right w:val="nil"/>
            </w:tcBorders>
          </w:tcPr>
          <w:p w14:paraId="24588FB0"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-4.41</w:t>
            </w:r>
          </w:p>
        </w:tc>
        <w:tc>
          <w:tcPr>
            <w:tcW w:w="1418" w:type="dxa"/>
            <w:tcBorders>
              <w:top w:val="nil"/>
              <w:left w:val="nil"/>
              <w:bottom w:val="nil"/>
              <w:right w:val="nil"/>
            </w:tcBorders>
          </w:tcPr>
          <w:p w14:paraId="748D0A4E"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-10.30–1.48</w:t>
            </w:r>
          </w:p>
        </w:tc>
        <w:tc>
          <w:tcPr>
            <w:tcW w:w="992" w:type="dxa"/>
            <w:tcBorders>
              <w:top w:val="nil"/>
              <w:left w:val="nil"/>
              <w:bottom w:val="nil"/>
              <w:right w:val="nil"/>
            </w:tcBorders>
          </w:tcPr>
          <w:p w14:paraId="61D15B74"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0.140</w:t>
            </w:r>
          </w:p>
        </w:tc>
        <w:tc>
          <w:tcPr>
            <w:tcW w:w="1161" w:type="dxa"/>
            <w:tcBorders>
              <w:top w:val="nil"/>
              <w:left w:val="nil"/>
              <w:bottom w:val="nil"/>
              <w:right w:val="nil"/>
            </w:tcBorders>
          </w:tcPr>
          <w:p w14:paraId="37AE5A91"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-4.22</w:t>
            </w:r>
          </w:p>
        </w:tc>
        <w:tc>
          <w:tcPr>
            <w:tcW w:w="1575" w:type="dxa"/>
            <w:tcBorders>
              <w:top w:val="nil"/>
              <w:left w:val="nil"/>
              <w:bottom w:val="nil"/>
              <w:right w:val="nil"/>
            </w:tcBorders>
          </w:tcPr>
          <w:p w14:paraId="36D535F5"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-10.08–1.63</w:t>
            </w:r>
          </w:p>
        </w:tc>
        <w:tc>
          <w:tcPr>
            <w:tcW w:w="1164" w:type="dxa"/>
            <w:tcBorders>
              <w:top w:val="nil"/>
              <w:left w:val="nil"/>
              <w:bottom w:val="nil"/>
              <w:right w:val="nil"/>
            </w:tcBorders>
          </w:tcPr>
          <w:p w14:paraId="2C83C435"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0.155</w:t>
            </w:r>
          </w:p>
        </w:tc>
      </w:tr>
      <w:tr w:rsidR="00A55694" w:rsidRPr="006251D2" w14:paraId="468609CD" w14:textId="77777777" w:rsidTr="00DC43DF">
        <w:tc>
          <w:tcPr>
            <w:tcW w:w="2376" w:type="dxa"/>
            <w:tcBorders>
              <w:top w:val="nil"/>
              <w:left w:val="nil"/>
              <w:bottom w:val="nil"/>
              <w:right w:val="nil"/>
            </w:tcBorders>
          </w:tcPr>
          <w:p w14:paraId="7D597F5D"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Age</w:t>
            </w:r>
          </w:p>
        </w:tc>
        <w:tc>
          <w:tcPr>
            <w:tcW w:w="1276" w:type="dxa"/>
            <w:tcBorders>
              <w:top w:val="nil"/>
              <w:left w:val="nil"/>
              <w:bottom w:val="nil"/>
              <w:right w:val="nil"/>
            </w:tcBorders>
          </w:tcPr>
          <w:p w14:paraId="6D780FEA"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0.05 </w:t>
            </w:r>
          </w:p>
        </w:tc>
        <w:tc>
          <w:tcPr>
            <w:tcW w:w="1418" w:type="dxa"/>
            <w:tcBorders>
              <w:top w:val="nil"/>
              <w:left w:val="nil"/>
              <w:bottom w:val="nil"/>
              <w:right w:val="nil"/>
            </w:tcBorders>
          </w:tcPr>
          <w:p w14:paraId="32076B09"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-0.13–0.23</w:t>
            </w:r>
          </w:p>
        </w:tc>
        <w:tc>
          <w:tcPr>
            <w:tcW w:w="992" w:type="dxa"/>
            <w:tcBorders>
              <w:top w:val="nil"/>
              <w:left w:val="nil"/>
              <w:bottom w:val="nil"/>
              <w:right w:val="nil"/>
            </w:tcBorders>
          </w:tcPr>
          <w:p w14:paraId="61A208D1"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0.590</w:t>
            </w:r>
          </w:p>
        </w:tc>
        <w:tc>
          <w:tcPr>
            <w:tcW w:w="1161" w:type="dxa"/>
            <w:tcBorders>
              <w:top w:val="nil"/>
              <w:left w:val="nil"/>
              <w:bottom w:val="nil"/>
              <w:right w:val="nil"/>
            </w:tcBorders>
          </w:tcPr>
          <w:p w14:paraId="20391DE2"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0.051</w:t>
            </w:r>
          </w:p>
        </w:tc>
        <w:tc>
          <w:tcPr>
            <w:tcW w:w="1575" w:type="dxa"/>
            <w:tcBorders>
              <w:top w:val="nil"/>
              <w:left w:val="nil"/>
              <w:bottom w:val="nil"/>
              <w:right w:val="nil"/>
            </w:tcBorders>
          </w:tcPr>
          <w:p w14:paraId="4A3C266A"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-0.13–0.23</w:t>
            </w:r>
          </w:p>
        </w:tc>
        <w:tc>
          <w:tcPr>
            <w:tcW w:w="1164" w:type="dxa"/>
            <w:tcBorders>
              <w:top w:val="nil"/>
              <w:left w:val="nil"/>
              <w:bottom w:val="nil"/>
              <w:right w:val="nil"/>
            </w:tcBorders>
          </w:tcPr>
          <w:p w14:paraId="009A9D02"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0.586</w:t>
            </w:r>
          </w:p>
        </w:tc>
      </w:tr>
      <w:tr w:rsidR="00A55694" w:rsidRPr="006251D2" w14:paraId="381D4BA9" w14:textId="77777777" w:rsidTr="00DC43DF">
        <w:tc>
          <w:tcPr>
            <w:tcW w:w="2376" w:type="dxa"/>
            <w:tcBorders>
              <w:top w:val="nil"/>
              <w:left w:val="nil"/>
              <w:bottom w:val="nil"/>
              <w:right w:val="nil"/>
            </w:tcBorders>
          </w:tcPr>
          <w:p w14:paraId="1F32E088"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Group (ref. control)</w:t>
            </w:r>
          </w:p>
        </w:tc>
        <w:tc>
          <w:tcPr>
            <w:tcW w:w="1276" w:type="dxa"/>
            <w:tcBorders>
              <w:top w:val="nil"/>
              <w:left w:val="nil"/>
              <w:bottom w:val="nil"/>
              <w:right w:val="nil"/>
            </w:tcBorders>
          </w:tcPr>
          <w:p w14:paraId="7DDC854A"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nil"/>
              <w:right w:val="nil"/>
            </w:tcBorders>
          </w:tcPr>
          <w:p w14:paraId="0FF25774"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nil"/>
              <w:right w:val="nil"/>
            </w:tcBorders>
          </w:tcPr>
          <w:p w14:paraId="5F11C273"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nil"/>
              <w:right w:val="nil"/>
            </w:tcBorders>
          </w:tcPr>
          <w:p w14:paraId="475D904A"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575" w:type="dxa"/>
            <w:tcBorders>
              <w:top w:val="nil"/>
              <w:left w:val="nil"/>
              <w:bottom w:val="nil"/>
              <w:right w:val="nil"/>
            </w:tcBorders>
          </w:tcPr>
          <w:p w14:paraId="6B7550E7"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4" w:type="dxa"/>
            <w:tcBorders>
              <w:top w:val="nil"/>
              <w:left w:val="nil"/>
              <w:bottom w:val="nil"/>
              <w:right w:val="nil"/>
            </w:tcBorders>
          </w:tcPr>
          <w:p w14:paraId="0EADAEF3" w14:textId="77777777" w:rsidR="00A55694" w:rsidRPr="006251D2" w:rsidRDefault="00A55694" w:rsidP="000658BD">
            <w:pPr>
              <w:spacing w:line="480" w:lineRule="auto"/>
              <w:jc w:val="center"/>
              <w:rPr>
                <w:rFonts w:ascii="Times New Roman" w:hAnsi="Times New Roman" w:cs="Times New Roman"/>
                <w:sz w:val="20"/>
                <w:szCs w:val="20"/>
                <w:lang w:val="en-US"/>
              </w:rPr>
            </w:pPr>
          </w:p>
        </w:tc>
      </w:tr>
      <w:tr w:rsidR="00A55694" w:rsidRPr="006251D2" w14:paraId="2D0F56A4" w14:textId="77777777" w:rsidTr="00DC43DF">
        <w:trPr>
          <w:trHeight w:val="498"/>
        </w:trPr>
        <w:tc>
          <w:tcPr>
            <w:tcW w:w="2376" w:type="dxa"/>
            <w:tcBorders>
              <w:top w:val="nil"/>
              <w:left w:val="nil"/>
              <w:bottom w:val="nil"/>
              <w:right w:val="nil"/>
            </w:tcBorders>
          </w:tcPr>
          <w:p w14:paraId="56EC72C0"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Splint</w:t>
            </w:r>
          </w:p>
        </w:tc>
        <w:tc>
          <w:tcPr>
            <w:tcW w:w="1276" w:type="dxa"/>
            <w:tcBorders>
              <w:top w:val="nil"/>
              <w:left w:val="nil"/>
              <w:bottom w:val="nil"/>
              <w:right w:val="nil"/>
            </w:tcBorders>
          </w:tcPr>
          <w:p w14:paraId="47FB2038"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1.67</w:t>
            </w:r>
          </w:p>
        </w:tc>
        <w:tc>
          <w:tcPr>
            <w:tcW w:w="1418" w:type="dxa"/>
            <w:tcBorders>
              <w:top w:val="nil"/>
              <w:left w:val="nil"/>
              <w:bottom w:val="nil"/>
              <w:right w:val="nil"/>
            </w:tcBorders>
          </w:tcPr>
          <w:p w14:paraId="080FD07A"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-3.13–6.47</w:t>
            </w:r>
          </w:p>
        </w:tc>
        <w:tc>
          <w:tcPr>
            <w:tcW w:w="992" w:type="dxa"/>
            <w:tcBorders>
              <w:top w:val="nil"/>
              <w:left w:val="nil"/>
              <w:bottom w:val="nil"/>
              <w:right w:val="nil"/>
            </w:tcBorders>
          </w:tcPr>
          <w:p w14:paraId="61BD7A69"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0.490</w:t>
            </w:r>
          </w:p>
        </w:tc>
        <w:tc>
          <w:tcPr>
            <w:tcW w:w="1161" w:type="dxa"/>
            <w:tcBorders>
              <w:top w:val="nil"/>
              <w:left w:val="nil"/>
              <w:bottom w:val="nil"/>
              <w:right w:val="nil"/>
            </w:tcBorders>
          </w:tcPr>
          <w:p w14:paraId="3D0E00C9"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1.85</w:t>
            </w:r>
          </w:p>
        </w:tc>
        <w:tc>
          <w:tcPr>
            <w:tcW w:w="1575" w:type="dxa"/>
            <w:tcBorders>
              <w:top w:val="nil"/>
              <w:left w:val="nil"/>
              <w:bottom w:val="nil"/>
              <w:right w:val="nil"/>
            </w:tcBorders>
          </w:tcPr>
          <w:p w14:paraId="5D40F569"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-4.19–7.89</w:t>
            </w:r>
          </w:p>
        </w:tc>
        <w:tc>
          <w:tcPr>
            <w:tcW w:w="1164" w:type="dxa"/>
            <w:tcBorders>
              <w:top w:val="nil"/>
              <w:left w:val="nil"/>
              <w:bottom w:val="nil"/>
              <w:right w:val="nil"/>
            </w:tcBorders>
          </w:tcPr>
          <w:p w14:paraId="2013A78C"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0.546</w:t>
            </w:r>
          </w:p>
        </w:tc>
      </w:tr>
      <w:tr w:rsidR="00A55694" w:rsidRPr="006251D2" w14:paraId="43E832CA" w14:textId="77777777" w:rsidTr="00DC43DF">
        <w:tc>
          <w:tcPr>
            <w:tcW w:w="2376" w:type="dxa"/>
            <w:tcBorders>
              <w:top w:val="nil"/>
              <w:left w:val="nil"/>
              <w:bottom w:val="nil"/>
              <w:right w:val="nil"/>
            </w:tcBorders>
          </w:tcPr>
          <w:p w14:paraId="407B8E92"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Time point (ref. 1 year)</w:t>
            </w:r>
          </w:p>
        </w:tc>
        <w:tc>
          <w:tcPr>
            <w:tcW w:w="1276" w:type="dxa"/>
            <w:tcBorders>
              <w:top w:val="nil"/>
              <w:left w:val="nil"/>
              <w:bottom w:val="nil"/>
              <w:right w:val="nil"/>
            </w:tcBorders>
          </w:tcPr>
          <w:p w14:paraId="5F194B55"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nil"/>
              <w:right w:val="nil"/>
            </w:tcBorders>
          </w:tcPr>
          <w:p w14:paraId="686BE2FA"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nil"/>
              <w:right w:val="nil"/>
            </w:tcBorders>
          </w:tcPr>
          <w:p w14:paraId="0DEF8EA1"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nil"/>
              <w:right w:val="nil"/>
            </w:tcBorders>
          </w:tcPr>
          <w:p w14:paraId="3A3F68FE"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575" w:type="dxa"/>
            <w:tcBorders>
              <w:top w:val="nil"/>
              <w:left w:val="nil"/>
              <w:bottom w:val="nil"/>
              <w:right w:val="nil"/>
            </w:tcBorders>
          </w:tcPr>
          <w:p w14:paraId="2DAB9C16"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4" w:type="dxa"/>
            <w:tcBorders>
              <w:top w:val="nil"/>
              <w:left w:val="nil"/>
              <w:bottom w:val="nil"/>
              <w:right w:val="nil"/>
            </w:tcBorders>
          </w:tcPr>
          <w:p w14:paraId="2B8FBA3B" w14:textId="77777777" w:rsidR="00A55694" w:rsidRPr="006251D2" w:rsidRDefault="00A55694" w:rsidP="000658BD">
            <w:pPr>
              <w:spacing w:line="480" w:lineRule="auto"/>
              <w:jc w:val="center"/>
              <w:rPr>
                <w:rFonts w:ascii="Times New Roman" w:hAnsi="Times New Roman" w:cs="Times New Roman"/>
                <w:sz w:val="20"/>
                <w:szCs w:val="20"/>
                <w:lang w:val="en-US"/>
              </w:rPr>
            </w:pPr>
          </w:p>
        </w:tc>
      </w:tr>
      <w:tr w:rsidR="00A55694" w:rsidRPr="006251D2" w14:paraId="65ED7BDB" w14:textId="77777777" w:rsidTr="00DC43DF">
        <w:tc>
          <w:tcPr>
            <w:tcW w:w="2376" w:type="dxa"/>
            <w:tcBorders>
              <w:top w:val="nil"/>
              <w:left w:val="nil"/>
              <w:bottom w:val="nil"/>
              <w:right w:val="nil"/>
            </w:tcBorders>
          </w:tcPr>
          <w:p w14:paraId="3DF1428E"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Baseline</w:t>
            </w:r>
          </w:p>
        </w:tc>
        <w:tc>
          <w:tcPr>
            <w:tcW w:w="1276" w:type="dxa"/>
            <w:tcBorders>
              <w:top w:val="nil"/>
              <w:left w:val="nil"/>
              <w:bottom w:val="nil"/>
              <w:right w:val="nil"/>
            </w:tcBorders>
          </w:tcPr>
          <w:p w14:paraId="6B930CE3"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4.54</w:t>
            </w:r>
          </w:p>
        </w:tc>
        <w:tc>
          <w:tcPr>
            <w:tcW w:w="1418" w:type="dxa"/>
            <w:tcBorders>
              <w:top w:val="nil"/>
              <w:left w:val="nil"/>
              <w:bottom w:val="nil"/>
              <w:right w:val="nil"/>
            </w:tcBorders>
          </w:tcPr>
          <w:p w14:paraId="03624F5D"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2.11–6.98</w:t>
            </w:r>
          </w:p>
        </w:tc>
        <w:tc>
          <w:tcPr>
            <w:tcW w:w="992" w:type="dxa"/>
            <w:tcBorders>
              <w:top w:val="nil"/>
              <w:left w:val="nil"/>
              <w:bottom w:val="nil"/>
              <w:right w:val="nil"/>
            </w:tcBorders>
          </w:tcPr>
          <w:p w14:paraId="6D8B4FAA"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0.000</w:t>
            </w:r>
          </w:p>
        </w:tc>
        <w:tc>
          <w:tcPr>
            <w:tcW w:w="1161" w:type="dxa"/>
            <w:tcBorders>
              <w:top w:val="nil"/>
              <w:left w:val="nil"/>
              <w:bottom w:val="nil"/>
              <w:right w:val="nil"/>
            </w:tcBorders>
          </w:tcPr>
          <w:p w14:paraId="147C2565"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4.58</w:t>
            </w:r>
          </w:p>
        </w:tc>
        <w:tc>
          <w:tcPr>
            <w:tcW w:w="1575" w:type="dxa"/>
            <w:tcBorders>
              <w:top w:val="nil"/>
              <w:left w:val="nil"/>
              <w:bottom w:val="nil"/>
              <w:right w:val="nil"/>
            </w:tcBorders>
          </w:tcPr>
          <w:p w14:paraId="79B3583F"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0.39–8.76</w:t>
            </w:r>
          </w:p>
        </w:tc>
        <w:tc>
          <w:tcPr>
            <w:tcW w:w="1164" w:type="dxa"/>
            <w:tcBorders>
              <w:top w:val="nil"/>
              <w:left w:val="nil"/>
              <w:bottom w:val="nil"/>
              <w:right w:val="nil"/>
            </w:tcBorders>
          </w:tcPr>
          <w:p w14:paraId="704D70CE"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0.032</w:t>
            </w:r>
          </w:p>
        </w:tc>
      </w:tr>
      <w:tr w:rsidR="00A55694" w:rsidRPr="006251D2" w14:paraId="57C60A64" w14:textId="77777777" w:rsidTr="00DC43DF">
        <w:tc>
          <w:tcPr>
            <w:tcW w:w="2376" w:type="dxa"/>
            <w:tcBorders>
              <w:top w:val="nil"/>
              <w:left w:val="nil"/>
              <w:bottom w:val="nil"/>
              <w:right w:val="nil"/>
            </w:tcBorders>
          </w:tcPr>
          <w:p w14:paraId="62B5657C"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3 months</w:t>
            </w:r>
          </w:p>
        </w:tc>
        <w:tc>
          <w:tcPr>
            <w:tcW w:w="1276" w:type="dxa"/>
            <w:tcBorders>
              <w:top w:val="nil"/>
              <w:left w:val="nil"/>
              <w:bottom w:val="nil"/>
              <w:right w:val="nil"/>
            </w:tcBorders>
          </w:tcPr>
          <w:p w14:paraId="64033996"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0.55</w:t>
            </w:r>
          </w:p>
        </w:tc>
        <w:tc>
          <w:tcPr>
            <w:tcW w:w="1418" w:type="dxa"/>
            <w:tcBorders>
              <w:top w:val="nil"/>
              <w:left w:val="nil"/>
              <w:bottom w:val="nil"/>
              <w:right w:val="nil"/>
            </w:tcBorders>
          </w:tcPr>
          <w:p w14:paraId="6AC50CC7"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-2.19–3.28</w:t>
            </w:r>
          </w:p>
        </w:tc>
        <w:tc>
          <w:tcPr>
            <w:tcW w:w="992" w:type="dxa"/>
            <w:tcBorders>
              <w:top w:val="nil"/>
              <w:left w:val="nil"/>
              <w:bottom w:val="nil"/>
              <w:right w:val="nil"/>
            </w:tcBorders>
          </w:tcPr>
          <w:p w14:paraId="24880D9B"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0.692</w:t>
            </w:r>
          </w:p>
        </w:tc>
        <w:tc>
          <w:tcPr>
            <w:tcW w:w="1161" w:type="dxa"/>
            <w:tcBorders>
              <w:top w:val="nil"/>
              <w:left w:val="nil"/>
              <w:bottom w:val="nil"/>
              <w:right w:val="nil"/>
            </w:tcBorders>
          </w:tcPr>
          <w:p w14:paraId="127EA896"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1.46</w:t>
            </w:r>
          </w:p>
        </w:tc>
        <w:tc>
          <w:tcPr>
            <w:tcW w:w="1575" w:type="dxa"/>
            <w:tcBorders>
              <w:top w:val="nil"/>
              <w:left w:val="nil"/>
              <w:bottom w:val="nil"/>
              <w:right w:val="nil"/>
            </w:tcBorders>
          </w:tcPr>
          <w:p w14:paraId="20163B97"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-2.99–5.91</w:t>
            </w:r>
          </w:p>
        </w:tc>
        <w:tc>
          <w:tcPr>
            <w:tcW w:w="1164" w:type="dxa"/>
            <w:tcBorders>
              <w:top w:val="nil"/>
              <w:left w:val="nil"/>
              <w:bottom w:val="nil"/>
              <w:right w:val="nil"/>
            </w:tcBorders>
          </w:tcPr>
          <w:p w14:paraId="0FF8D312"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0.516</w:t>
            </w:r>
          </w:p>
        </w:tc>
      </w:tr>
      <w:tr w:rsidR="00A55694" w:rsidRPr="006251D2" w14:paraId="6A44E903" w14:textId="77777777" w:rsidTr="00DC43DF">
        <w:tc>
          <w:tcPr>
            <w:tcW w:w="2376" w:type="dxa"/>
            <w:tcBorders>
              <w:top w:val="nil"/>
              <w:left w:val="nil"/>
              <w:bottom w:val="nil"/>
              <w:right w:val="nil"/>
            </w:tcBorders>
          </w:tcPr>
          <w:p w14:paraId="638988A6"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6 months</w:t>
            </w:r>
          </w:p>
        </w:tc>
        <w:tc>
          <w:tcPr>
            <w:tcW w:w="1276" w:type="dxa"/>
            <w:tcBorders>
              <w:top w:val="nil"/>
              <w:left w:val="nil"/>
              <w:bottom w:val="nil"/>
              <w:right w:val="nil"/>
            </w:tcBorders>
          </w:tcPr>
          <w:p w14:paraId="2E4C3ED8"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0.35</w:t>
            </w:r>
          </w:p>
        </w:tc>
        <w:tc>
          <w:tcPr>
            <w:tcW w:w="1418" w:type="dxa"/>
            <w:tcBorders>
              <w:top w:val="nil"/>
              <w:left w:val="nil"/>
              <w:bottom w:val="nil"/>
              <w:right w:val="nil"/>
            </w:tcBorders>
          </w:tcPr>
          <w:p w14:paraId="3E13A595"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-2.41–3.11</w:t>
            </w:r>
          </w:p>
        </w:tc>
        <w:tc>
          <w:tcPr>
            <w:tcW w:w="992" w:type="dxa"/>
            <w:tcBorders>
              <w:top w:val="nil"/>
              <w:left w:val="nil"/>
              <w:bottom w:val="nil"/>
              <w:right w:val="nil"/>
            </w:tcBorders>
          </w:tcPr>
          <w:p w14:paraId="12C4190D"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0.801</w:t>
            </w:r>
          </w:p>
        </w:tc>
        <w:tc>
          <w:tcPr>
            <w:tcW w:w="1161" w:type="dxa"/>
            <w:tcBorders>
              <w:top w:val="nil"/>
              <w:left w:val="nil"/>
              <w:bottom w:val="nil"/>
              <w:right w:val="nil"/>
            </w:tcBorders>
          </w:tcPr>
          <w:p w14:paraId="0801CBFC"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-2.78</w:t>
            </w:r>
          </w:p>
        </w:tc>
        <w:tc>
          <w:tcPr>
            <w:tcW w:w="1575" w:type="dxa"/>
            <w:tcBorders>
              <w:top w:val="nil"/>
              <w:left w:val="nil"/>
              <w:bottom w:val="nil"/>
              <w:right w:val="nil"/>
            </w:tcBorders>
          </w:tcPr>
          <w:p w14:paraId="47FB483B"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-5.02–4.46</w:t>
            </w:r>
          </w:p>
        </w:tc>
        <w:tc>
          <w:tcPr>
            <w:tcW w:w="1164" w:type="dxa"/>
            <w:tcBorders>
              <w:top w:val="nil"/>
              <w:left w:val="nil"/>
              <w:bottom w:val="nil"/>
              <w:right w:val="nil"/>
            </w:tcBorders>
          </w:tcPr>
          <w:p w14:paraId="0E0ED66E"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0.908</w:t>
            </w:r>
          </w:p>
        </w:tc>
      </w:tr>
      <w:tr w:rsidR="00A55694" w:rsidRPr="00D65E13" w14:paraId="6FED31E5" w14:textId="77777777" w:rsidTr="00DC43DF">
        <w:tc>
          <w:tcPr>
            <w:tcW w:w="2376" w:type="dxa"/>
            <w:tcBorders>
              <w:top w:val="nil"/>
              <w:left w:val="nil"/>
              <w:bottom w:val="nil"/>
              <w:right w:val="nil"/>
            </w:tcBorders>
          </w:tcPr>
          <w:p w14:paraId="70AC1AFD"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Group*time (ref. I year)</w:t>
            </w:r>
          </w:p>
        </w:tc>
        <w:tc>
          <w:tcPr>
            <w:tcW w:w="1276" w:type="dxa"/>
            <w:tcBorders>
              <w:top w:val="nil"/>
              <w:left w:val="nil"/>
              <w:bottom w:val="nil"/>
              <w:right w:val="nil"/>
            </w:tcBorders>
          </w:tcPr>
          <w:p w14:paraId="15944244"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nil"/>
              <w:right w:val="nil"/>
            </w:tcBorders>
          </w:tcPr>
          <w:p w14:paraId="73BEE2F9"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nil"/>
              <w:right w:val="nil"/>
            </w:tcBorders>
          </w:tcPr>
          <w:p w14:paraId="7D16541A"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nil"/>
              <w:right w:val="nil"/>
            </w:tcBorders>
          </w:tcPr>
          <w:p w14:paraId="5CA56E24"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575" w:type="dxa"/>
            <w:tcBorders>
              <w:top w:val="nil"/>
              <w:left w:val="nil"/>
              <w:bottom w:val="nil"/>
              <w:right w:val="nil"/>
            </w:tcBorders>
          </w:tcPr>
          <w:p w14:paraId="517F4F4B"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4" w:type="dxa"/>
            <w:tcBorders>
              <w:top w:val="nil"/>
              <w:left w:val="nil"/>
              <w:bottom w:val="nil"/>
              <w:right w:val="nil"/>
            </w:tcBorders>
          </w:tcPr>
          <w:p w14:paraId="1C11BF86" w14:textId="77777777" w:rsidR="00A55694" w:rsidRPr="006251D2" w:rsidRDefault="00A55694" w:rsidP="000658BD">
            <w:pPr>
              <w:spacing w:line="480" w:lineRule="auto"/>
              <w:jc w:val="center"/>
              <w:rPr>
                <w:rFonts w:ascii="Times New Roman" w:hAnsi="Times New Roman" w:cs="Times New Roman"/>
                <w:sz w:val="20"/>
                <w:szCs w:val="20"/>
                <w:lang w:val="en-US"/>
              </w:rPr>
            </w:pPr>
          </w:p>
        </w:tc>
      </w:tr>
      <w:tr w:rsidR="00A55694" w:rsidRPr="006251D2" w14:paraId="0EDA1F30" w14:textId="77777777" w:rsidTr="00DC43DF">
        <w:tc>
          <w:tcPr>
            <w:tcW w:w="2376" w:type="dxa"/>
            <w:tcBorders>
              <w:top w:val="nil"/>
              <w:left w:val="nil"/>
              <w:bottom w:val="nil"/>
              <w:right w:val="nil"/>
            </w:tcBorders>
          </w:tcPr>
          <w:p w14:paraId="79A02390"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Splint group*baseline</w:t>
            </w:r>
          </w:p>
        </w:tc>
        <w:tc>
          <w:tcPr>
            <w:tcW w:w="1276" w:type="dxa"/>
            <w:tcBorders>
              <w:top w:val="nil"/>
              <w:left w:val="nil"/>
              <w:bottom w:val="nil"/>
              <w:right w:val="nil"/>
            </w:tcBorders>
          </w:tcPr>
          <w:p w14:paraId="0F813171"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nil"/>
              <w:right w:val="nil"/>
            </w:tcBorders>
          </w:tcPr>
          <w:p w14:paraId="6A5285B4"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nil"/>
              <w:right w:val="nil"/>
            </w:tcBorders>
          </w:tcPr>
          <w:p w14:paraId="7AE0396E"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nil"/>
              <w:right w:val="nil"/>
            </w:tcBorders>
          </w:tcPr>
          <w:p w14:paraId="07083883"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&lt;0.01</w:t>
            </w:r>
          </w:p>
        </w:tc>
        <w:tc>
          <w:tcPr>
            <w:tcW w:w="1575" w:type="dxa"/>
            <w:tcBorders>
              <w:top w:val="nil"/>
              <w:left w:val="nil"/>
              <w:bottom w:val="nil"/>
              <w:right w:val="nil"/>
            </w:tcBorders>
          </w:tcPr>
          <w:p w14:paraId="616C9D54"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-5.18–5.19</w:t>
            </w:r>
          </w:p>
        </w:tc>
        <w:tc>
          <w:tcPr>
            <w:tcW w:w="1164" w:type="dxa"/>
            <w:tcBorders>
              <w:top w:val="nil"/>
              <w:left w:val="nil"/>
              <w:bottom w:val="nil"/>
              <w:right w:val="nil"/>
            </w:tcBorders>
          </w:tcPr>
          <w:p w14:paraId="1EDC9202"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0.999</w:t>
            </w:r>
          </w:p>
        </w:tc>
      </w:tr>
      <w:tr w:rsidR="00A55694" w:rsidRPr="006251D2" w14:paraId="2D09209D" w14:textId="77777777" w:rsidTr="00DC43DF">
        <w:tc>
          <w:tcPr>
            <w:tcW w:w="2376" w:type="dxa"/>
            <w:tcBorders>
              <w:top w:val="nil"/>
              <w:left w:val="nil"/>
              <w:bottom w:val="nil"/>
              <w:right w:val="nil"/>
            </w:tcBorders>
          </w:tcPr>
          <w:p w14:paraId="60EB1A59"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Splint group*3 months</w:t>
            </w:r>
          </w:p>
        </w:tc>
        <w:tc>
          <w:tcPr>
            <w:tcW w:w="1276" w:type="dxa"/>
            <w:tcBorders>
              <w:top w:val="nil"/>
              <w:left w:val="nil"/>
              <w:bottom w:val="nil"/>
              <w:right w:val="nil"/>
            </w:tcBorders>
          </w:tcPr>
          <w:p w14:paraId="365EC517"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nil"/>
              <w:right w:val="nil"/>
            </w:tcBorders>
          </w:tcPr>
          <w:p w14:paraId="6CBBC763"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nil"/>
              <w:right w:val="nil"/>
            </w:tcBorders>
          </w:tcPr>
          <w:p w14:paraId="7ADD1E77"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nil"/>
              <w:right w:val="nil"/>
            </w:tcBorders>
          </w:tcPr>
          <w:p w14:paraId="0FE6C507"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-1.60</w:t>
            </w:r>
          </w:p>
        </w:tc>
        <w:tc>
          <w:tcPr>
            <w:tcW w:w="1575" w:type="dxa"/>
            <w:tcBorders>
              <w:top w:val="nil"/>
              <w:left w:val="nil"/>
              <w:bottom w:val="nil"/>
              <w:right w:val="nil"/>
            </w:tcBorders>
          </w:tcPr>
          <w:p w14:paraId="23215285"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-7.32–4.12</w:t>
            </w:r>
          </w:p>
        </w:tc>
        <w:tc>
          <w:tcPr>
            <w:tcW w:w="1164" w:type="dxa"/>
            <w:tcBorders>
              <w:top w:val="nil"/>
              <w:left w:val="nil"/>
              <w:bottom w:val="nil"/>
              <w:right w:val="nil"/>
            </w:tcBorders>
          </w:tcPr>
          <w:p w14:paraId="50677BE7"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0.580</w:t>
            </w:r>
          </w:p>
        </w:tc>
      </w:tr>
      <w:tr w:rsidR="00A55694" w:rsidRPr="006251D2" w14:paraId="23303903" w14:textId="77777777" w:rsidTr="00DC43DF">
        <w:tc>
          <w:tcPr>
            <w:tcW w:w="2376" w:type="dxa"/>
            <w:tcBorders>
              <w:top w:val="nil"/>
              <w:left w:val="nil"/>
              <w:bottom w:val="single" w:sz="4" w:space="0" w:color="auto"/>
              <w:right w:val="nil"/>
            </w:tcBorders>
          </w:tcPr>
          <w:p w14:paraId="5234FCC1" w14:textId="77777777" w:rsidR="00A55694" w:rsidRPr="006251D2" w:rsidRDefault="00A55694" w:rsidP="000658BD">
            <w:pPr>
              <w:spacing w:line="480" w:lineRule="auto"/>
              <w:rPr>
                <w:rFonts w:ascii="Times New Roman" w:hAnsi="Times New Roman" w:cs="Times New Roman"/>
                <w:sz w:val="20"/>
                <w:szCs w:val="20"/>
                <w:lang w:val="en-US"/>
              </w:rPr>
            </w:pPr>
            <w:r w:rsidRPr="006251D2">
              <w:rPr>
                <w:rFonts w:ascii="Times New Roman" w:hAnsi="Times New Roman" w:cs="Times New Roman"/>
                <w:sz w:val="20"/>
                <w:szCs w:val="20"/>
                <w:lang w:val="en-US"/>
              </w:rPr>
              <w:t>Splint group*6 months</w:t>
            </w:r>
          </w:p>
        </w:tc>
        <w:tc>
          <w:tcPr>
            <w:tcW w:w="1276" w:type="dxa"/>
            <w:tcBorders>
              <w:top w:val="nil"/>
              <w:left w:val="nil"/>
              <w:bottom w:val="single" w:sz="4" w:space="0" w:color="auto"/>
              <w:right w:val="nil"/>
            </w:tcBorders>
          </w:tcPr>
          <w:p w14:paraId="55D14A29"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418" w:type="dxa"/>
            <w:tcBorders>
              <w:top w:val="nil"/>
              <w:left w:val="nil"/>
              <w:bottom w:val="single" w:sz="4" w:space="0" w:color="auto"/>
              <w:right w:val="nil"/>
            </w:tcBorders>
          </w:tcPr>
          <w:p w14:paraId="5916DCC3"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992" w:type="dxa"/>
            <w:tcBorders>
              <w:top w:val="nil"/>
              <w:left w:val="nil"/>
              <w:bottom w:val="single" w:sz="4" w:space="0" w:color="auto"/>
              <w:right w:val="nil"/>
            </w:tcBorders>
          </w:tcPr>
          <w:p w14:paraId="5D2004D2" w14:textId="77777777" w:rsidR="00A55694" w:rsidRPr="006251D2" w:rsidRDefault="00A55694" w:rsidP="000658BD">
            <w:pPr>
              <w:spacing w:line="480" w:lineRule="auto"/>
              <w:jc w:val="center"/>
              <w:rPr>
                <w:rFonts w:ascii="Times New Roman" w:hAnsi="Times New Roman" w:cs="Times New Roman"/>
                <w:sz w:val="20"/>
                <w:szCs w:val="20"/>
                <w:lang w:val="en-US"/>
              </w:rPr>
            </w:pPr>
          </w:p>
        </w:tc>
        <w:tc>
          <w:tcPr>
            <w:tcW w:w="1161" w:type="dxa"/>
            <w:tcBorders>
              <w:top w:val="nil"/>
              <w:left w:val="nil"/>
              <w:bottom w:val="single" w:sz="4" w:space="0" w:color="auto"/>
              <w:right w:val="nil"/>
            </w:tcBorders>
          </w:tcPr>
          <w:p w14:paraId="3065E048"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0.96</w:t>
            </w:r>
          </w:p>
        </w:tc>
        <w:tc>
          <w:tcPr>
            <w:tcW w:w="1575" w:type="dxa"/>
            <w:tcBorders>
              <w:top w:val="nil"/>
              <w:left w:val="nil"/>
              <w:bottom w:val="single" w:sz="4" w:space="0" w:color="auto"/>
              <w:right w:val="nil"/>
            </w:tcBorders>
          </w:tcPr>
          <w:p w14:paraId="4F59E486"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-4.91–6.83</w:t>
            </w:r>
          </w:p>
        </w:tc>
        <w:tc>
          <w:tcPr>
            <w:tcW w:w="1164" w:type="dxa"/>
            <w:tcBorders>
              <w:top w:val="nil"/>
              <w:left w:val="nil"/>
              <w:bottom w:val="single" w:sz="4" w:space="0" w:color="auto"/>
              <w:right w:val="nil"/>
            </w:tcBorders>
          </w:tcPr>
          <w:p w14:paraId="46A0D5A0" w14:textId="77777777" w:rsidR="00A55694" w:rsidRPr="006251D2" w:rsidRDefault="00A55694" w:rsidP="000658BD">
            <w:pPr>
              <w:spacing w:line="480" w:lineRule="auto"/>
              <w:jc w:val="center"/>
              <w:rPr>
                <w:rFonts w:ascii="Times New Roman" w:hAnsi="Times New Roman" w:cs="Times New Roman"/>
                <w:sz w:val="20"/>
                <w:szCs w:val="20"/>
                <w:lang w:val="en-US"/>
              </w:rPr>
            </w:pPr>
            <w:r w:rsidRPr="006251D2">
              <w:rPr>
                <w:rFonts w:ascii="Times New Roman" w:hAnsi="Times New Roman" w:cs="Times New Roman"/>
                <w:sz w:val="20"/>
                <w:szCs w:val="20"/>
                <w:lang w:val="en-US"/>
              </w:rPr>
              <w:t>0.746</w:t>
            </w:r>
          </w:p>
        </w:tc>
      </w:tr>
    </w:tbl>
    <w:p w14:paraId="0C07F26C" w14:textId="77777777" w:rsidR="00A55694" w:rsidRPr="006251D2" w:rsidRDefault="00A55694" w:rsidP="00A55694">
      <w:pPr>
        <w:rPr>
          <w:rFonts w:ascii="Times New Roman" w:hAnsi="Times New Roman" w:cs="Times New Roman"/>
          <w:sz w:val="20"/>
          <w:szCs w:val="20"/>
        </w:rPr>
      </w:pPr>
    </w:p>
    <w:p w14:paraId="582FBDD8" w14:textId="1D2D2760" w:rsidR="00A55694" w:rsidRPr="006251D2" w:rsidRDefault="00A55694"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br w:type="page"/>
      </w:r>
    </w:p>
    <w:p w14:paraId="04AA733F" w14:textId="77777777" w:rsidR="00FD31D9" w:rsidRPr="006251D2" w:rsidRDefault="00FD31D9" w:rsidP="007E1E18">
      <w:pPr>
        <w:spacing w:line="480" w:lineRule="auto"/>
        <w:jc w:val="both"/>
        <w:rPr>
          <w:rFonts w:ascii="Times New Roman" w:hAnsi="Times New Roman" w:cs="Times New Roman"/>
          <w:b/>
          <w:sz w:val="20"/>
          <w:szCs w:val="20"/>
          <w:lang w:val="en-US"/>
        </w:rPr>
        <w:sectPr w:rsidR="00FD31D9" w:rsidRPr="006251D2" w:rsidSect="000658BD">
          <w:pgSz w:w="16840" w:h="11900" w:orient="landscape"/>
          <w:pgMar w:top="1417" w:right="1134" w:bottom="1417" w:left="1134" w:header="709" w:footer="709" w:gutter="0"/>
          <w:cols w:space="708"/>
          <w:docGrid w:linePitch="360"/>
        </w:sectPr>
      </w:pPr>
    </w:p>
    <w:p w14:paraId="684C5B46" w14:textId="1EC19CD6" w:rsidR="00A55694" w:rsidRPr="006251D2" w:rsidRDefault="00A55694" w:rsidP="007E1E18">
      <w:pPr>
        <w:spacing w:line="480" w:lineRule="auto"/>
        <w:jc w:val="both"/>
        <w:rPr>
          <w:rFonts w:ascii="Times New Roman" w:hAnsi="Times New Roman" w:cs="Times New Roman"/>
          <w:b/>
          <w:sz w:val="20"/>
          <w:szCs w:val="20"/>
          <w:lang w:val="en-US"/>
        </w:rPr>
      </w:pPr>
      <w:r w:rsidRPr="006251D2">
        <w:rPr>
          <w:rFonts w:ascii="Times New Roman" w:hAnsi="Times New Roman" w:cs="Times New Roman"/>
          <w:b/>
          <w:sz w:val="20"/>
          <w:szCs w:val="20"/>
          <w:lang w:val="en-US"/>
        </w:rPr>
        <w:lastRenderedPageBreak/>
        <w:t>Figure legends</w:t>
      </w:r>
    </w:p>
    <w:p w14:paraId="30A0EC51" w14:textId="3BA197A8" w:rsidR="00A55694" w:rsidRDefault="00A55694" w:rsidP="00A556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sz w:val="20"/>
          <w:szCs w:val="20"/>
          <w:lang w:val="en-US"/>
        </w:rPr>
      </w:pPr>
      <w:r w:rsidRPr="006251D2">
        <w:rPr>
          <w:rFonts w:ascii="Times New Roman" w:hAnsi="Times New Roman" w:cs="Times New Roman"/>
          <w:sz w:val="20"/>
          <w:szCs w:val="20"/>
          <w:lang w:val="en-US"/>
        </w:rPr>
        <w:t xml:space="preserve">Figure 1. Flow chart </w:t>
      </w:r>
      <w:r w:rsidRPr="00310506">
        <w:rPr>
          <w:rFonts w:ascii="Times New Roman" w:hAnsi="Times New Roman" w:cs="Times New Roman"/>
          <w:sz w:val="20"/>
          <w:szCs w:val="20"/>
          <w:highlight w:val="yellow"/>
          <w:lang w:val="en-US"/>
        </w:rPr>
        <w:t xml:space="preserve">of the </w:t>
      </w:r>
      <w:r w:rsidR="00310506" w:rsidRPr="00310506">
        <w:rPr>
          <w:rFonts w:ascii="Times New Roman" w:hAnsi="Times New Roman" w:cs="Times New Roman"/>
          <w:sz w:val="20"/>
          <w:szCs w:val="20"/>
          <w:highlight w:val="yellow"/>
          <w:lang w:val="en-US"/>
        </w:rPr>
        <w:t>study</w:t>
      </w:r>
      <w:r w:rsidRPr="006251D2">
        <w:rPr>
          <w:rFonts w:ascii="Times New Roman" w:hAnsi="Times New Roman" w:cs="Times New Roman"/>
          <w:sz w:val="20"/>
          <w:szCs w:val="20"/>
          <w:lang w:val="en-US"/>
        </w:rPr>
        <w:t xml:space="preserve">. The numbers surrounded by medium grey circles describe the missing patients of the OHIP-14 data from the questionnaire. Sixteen patients in the control group switched to the splint group during the study. One patient was referred for surgical treatment, one did not attend any follow-ups. Sixteen others dropped out during the trial. </w:t>
      </w:r>
    </w:p>
    <w:p w14:paraId="5EF68D73" w14:textId="77777777" w:rsidR="00310506" w:rsidRPr="006251D2" w:rsidRDefault="00310506" w:rsidP="00A5569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Times New Roman" w:hAnsi="Times New Roman" w:cs="Times New Roman"/>
          <w:b/>
          <w:sz w:val="20"/>
          <w:szCs w:val="20"/>
          <w:lang w:val="en-US"/>
        </w:rPr>
      </w:pPr>
    </w:p>
    <w:p w14:paraId="42665B29" w14:textId="77777777" w:rsidR="00A55694" w:rsidRPr="006251D2" w:rsidRDefault="00A55694" w:rsidP="007E1E18">
      <w:pPr>
        <w:spacing w:line="480" w:lineRule="auto"/>
        <w:jc w:val="both"/>
        <w:rPr>
          <w:rFonts w:ascii="Times New Roman" w:hAnsi="Times New Roman" w:cs="Times New Roman"/>
          <w:b/>
          <w:sz w:val="20"/>
          <w:szCs w:val="20"/>
          <w:lang w:val="en-US"/>
        </w:rPr>
      </w:pPr>
    </w:p>
    <w:p w14:paraId="7F6867A4" w14:textId="5B8FC0A3" w:rsidR="00A55694" w:rsidRPr="006251D2" w:rsidRDefault="00A55694" w:rsidP="00A55694">
      <w:pPr>
        <w:spacing w:line="480" w:lineRule="auto"/>
        <w:jc w:val="both"/>
        <w:rPr>
          <w:rFonts w:ascii="Times New Roman" w:hAnsi="Times New Roman" w:cs="Times New Roman"/>
          <w:color w:val="000000" w:themeColor="text1"/>
          <w:sz w:val="20"/>
          <w:szCs w:val="20"/>
          <w:lang w:val="en-US"/>
        </w:rPr>
      </w:pPr>
      <w:r w:rsidRPr="006251D2">
        <w:rPr>
          <w:rFonts w:ascii="Times New Roman" w:hAnsi="Times New Roman" w:cs="Times New Roman"/>
          <w:sz w:val="20"/>
          <w:szCs w:val="20"/>
          <w:lang w:val="en-US"/>
        </w:rPr>
        <w:t xml:space="preserve">Figure 2. </w:t>
      </w:r>
      <w:r w:rsidRPr="006251D2">
        <w:rPr>
          <w:rFonts w:ascii="Times New Roman" w:hAnsi="Times New Roman" w:cs="Times New Roman"/>
          <w:color w:val="000000" w:themeColor="text1"/>
          <w:sz w:val="20"/>
          <w:szCs w:val="20"/>
          <w:lang w:val="en-US"/>
        </w:rPr>
        <w:t>Percentage distribution of</w:t>
      </w:r>
      <w:r w:rsidR="00450AFD" w:rsidRPr="006251D2">
        <w:rPr>
          <w:rFonts w:ascii="Times New Roman" w:hAnsi="Times New Roman" w:cs="Times New Roman"/>
          <w:color w:val="000000" w:themeColor="text1"/>
          <w:sz w:val="20"/>
          <w:szCs w:val="20"/>
          <w:lang w:val="en-US"/>
        </w:rPr>
        <w:t xml:space="preserve"> </w:t>
      </w:r>
      <w:r w:rsidR="00450AFD" w:rsidRPr="006251D2">
        <w:rPr>
          <w:rFonts w:ascii="Times New Roman" w:hAnsi="Times New Roman" w:cs="Times New Roman"/>
          <w:color w:val="000000" w:themeColor="text1"/>
          <w:sz w:val="20"/>
          <w:szCs w:val="20"/>
          <w:highlight w:val="yellow"/>
          <w:lang w:val="en-US"/>
        </w:rPr>
        <w:t>patients scoring</w:t>
      </w:r>
      <w:r w:rsidRPr="006251D2">
        <w:rPr>
          <w:rFonts w:ascii="Times New Roman" w:hAnsi="Times New Roman" w:cs="Times New Roman"/>
          <w:color w:val="000000" w:themeColor="text1"/>
          <w:sz w:val="20"/>
          <w:szCs w:val="20"/>
          <w:lang w:val="en-US"/>
        </w:rPr>
        <w:t xml:space="preserve"> ‘occasionally’, ‘fairly often’ and ‘very often’ (OFoVo) responses to each OHIP-14 item at baseline for the total study population (</w:t>
      </w:r>
      <w:r w:rsidRPr="006251D2">
        <w:rPr>
          <w:rFonts w:ascii="Times New Roman" w:hAnsi="Times New Roman" w:cs="Times New Roman"/>
          <w:i/>
          <w:color w:val="000000" w:themeColor="text1"/>
          <w:sz w:val="20"/>
          <w:szCs w:val="20"/>
          <w:lang w:val="en-US"/>
        </w:rPr>
        <w:t>n</w:t>
      </w:r>
      <w:r w:rsidRPr="006251D2">
        <w:rPr>
          <w:rFonts w:ascii="Times New Roman" w:hAnsi="Times New Roman" w:cs="Times New Roman"/>
          <w:color w:val="000000" w:themeColor="text1"/>
          <w:sz w:val="20"/>
          <w:szCs w:val="20"/>
          <w:lang w:val="en-US"/>
        </w:rPr>
        <w:t xml:space="preserve"> = 6</w:t>
      </w:r>
      <w:r w:rsidRPr="006251D2">
        <w:rPr>
          <w:rFonts w:ascii="Times New Roman" w:hAnsi="Times New Roman" w:cs="Times New Roman"/>
          <w:color w:val="000000" w:themeColor="text1"/>
          <w:sz w:val="20"/>
          <w:szCs w:val="20"/>
          <w:lang w:val="en-US"/>
        </w:rPr>
        <w:softHyphen/>
      </w:r>
      <w:r w:rsidRPr="006251D2">
        <w:rPr>
          <w:rFonts w:ascii="Times New Roman" w:hAnsi="Times New Roman" w:cs="Times New Roman"/>
          <w:color w:val="000000" w:themeColor="text1"/>
          <w:sz w:val="20"/>
          <w:szCs w:val="20"/>
          <w:lang w:val="en-US"/>
        </w:rPr>
        <w:softHyphen/>
        <w:t>7).</w:t>
      </w:r>
    </w:p>
    <w:p w14:paraId="4A170951" w14:textId="77777777" w:rsidR="004B69AD" w:rsidRPr="006251D2" w:rsidRDefault="004B69AD" w:rsidP="00A55694">
      <w:pPr>
        <w:spacing w:line="480" w:lineRule="auto"/>
        <w:jc w:val="both"/>
        <w:rPr>
          <w:rFonts w:ascii="Times New Roman" w:hAnsi="Times New Roman" w:cs="Times New Roman"/>
          <w:color w:val="000000" w:themeColor="text1"/>
          <w:sz w:val="20"/>
          <w:szCs w:val="20"/>
          <w:lang w:val="en-US"/>
        </w:rPr>
      </w:pPr>
    </w:p>
    <w:p w14:paraId="651DDE79" w14:textId="71C3F215" w:rsidR="004B69AD" w:rsidRPr="006251D2" w:rsidRDefault="004B69AD" w:rsidP="004B69AD">
      <w:pPr>
        <w:spacing w:line="480" w:lineRule="auto"/>
        <w:jc w:val="both"/>
        <w:rPr>
          <w:rFonts w:ascii="Times New Roman" w:hAnsi="Times New Roman" w:cs="Times New Roman"/>
          <w:color w:val="000000" w:themeColor="text1"/>
          <w:sz w:val="20"/>
          <w:szCs w:val="20"/>
          <w:lang w:val="en-US"/>
        </w:rPr>
      </w:pPr>
      <w:r w:rsidRPr="006251D2">
        <w:rPr>
          <w:rFonts w:ascii="Times New Roman" w:hAnsi="Times New Roman" w:cs="Times New Roman"/>
          <w:sz w:val="20"/>
          <w:szCs w:val="20"/>
          <w:highlight w:val="yellow"/>
          <w:lang w:val="en-US"/>
        </w:rPr>
        <w:t xml:space="preserve">Figure 3. </w:t>
      </w:r>
      <w:r w:rsidRPr="006251D2">
        <w:rPr>
          <w:rFonts w:ascii="Times New Roman" w:hAnsi="Times New Roman" w:cs="Times New Roman"/>
          <w:color w:val="000000" w:themeColor="text1"/>
          <w:sz w:val="20"/>
          <w:szCs w:val="20"/>
          <w:highlight w:val="yellow"/>
          <w:lang w:val="en-US"/>
        </w:rPr>
        <w:t>Percentage distribution of patients scoring ‘occasionally’, ‘fairly often’ and ‘very often’ (OFoVo) responses to each OHIP-14 item after one-year follow-up for the total study population (</w:t>
      </w:r>
      <w:r w:rsidRPr="006251D2">
        <w:rPr>
          <w:rFonts w:ascii="Times New Roman" w:hAnsi="Times New Roman" w:cs="Times New Roman"/>
          <w:i/>
          <w:color w:val="000000" w:themeColor="text1"/>
          <w:sz w:val="20"/>
          <w:szCs w:val="20"/>
          <w:highlight w:val="yellow"/>
          <w:lang w:val="en-US"/>
        </w:rPr>
        <w:t>n</w:t>
      </w:r>
      <w:r w:rsidR="00727170" w:rsidRPr="006251D2">
        <w:rPr>
          <w:rFonts w:ascii="Times New Roman" w:hAnsi="Times New Roman" w:cs="Times New Roman"/>
          <w:color w:val="000000" w:themeColor="text1"/>
          <w:sz w:val="20"/>
          <w:szCs w:val="20"/>
          <w:highlight w:val="yellow"/>
          <w:lang w:val="en-US"/>
        </w:rPr>
        <w:t xml:space="preserve"> = </w:t>
      </w:r>
      <w:r w:rsidRPr="006251D2">
        <w:rPr>
          <w:rFonts w:ascii="Times New Roman" w:hAnsi="Times New Roman" w:cs="Times New Roman"/>
          <w:color w:val="000000" w:themeColor="text1"/>
          <w:sz w:val="20"/>
          <w:szCs w:val="20"/>
          <w:highlight w:val="yellow"/>
          <w:lang w:val="en-US"/>
        </w:rPr>
        <w:t>43).</w:t>
      </w:r>
    </w:p>
    <w:p w14:paraId="2896B49F" w14:textId="77777777" w:rsidR="00A55694" w:rsidRPr="006251D2" w:rsidRDefault="00A55694" w:rsidP="007E1E18">
      <w:pPr>
        <w:spacing w:line="480" w:lineRule="auto"/>
        <w:jc w:val="both"/>
        <w:rPr>
          <w:rFonts w:ascii="Times New Roman" w:hAnsi="Times New Roman" w:cs="Times New Roman"/>
          <w:b/>
          <w:sz w:val="20"/>
          <w:szCs w:val="20"/>
          <w:lang w:val="en-US"/>
        </w:rPr>
      </w:pPr>
    </w:p>
    <w:sectPr w:rsidR="00A55694" w:rsidRPr="006251D2" w:rsidSect="00FD31D9">
      <w:pgSz w:w="11900" w:h="16820"/>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251DED" w14:textId="77777777" w:rsidR="005268CF" w:rsidRDefault="005268CF" w:rsidP="005B7056">
      <w:r>
        <w:separator/>
      </w:r>
    </w:p>
  </w:endnote>
  <w:endnote w:type="continuationSeparator" w:id="0">
    <w:p w14:paraId="22604D70" w14:textId="77777777" w:rsidR="005268CF" w:rsidRDefault="005268CF" w:rsidP="005B70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3EFB06" w14:textId="77777777" w:rsidR="005268CF" w:rsidRDefault="005268CF" w:rsidP="005B7056">
      <w:r>
        <w:separator/>
      </w:r>
    </w:p>
  </w:footnote>
  <w:footnote w:type="continuationSeparator" w:id="0">
    <w:p w14:paraId="534A00D3" w14:textId="77777777" w:rsidR="005268CF" w:rsidRDefault="005268CF" w:rsidP="005B70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769E52" w14:textId="77777777" w:rsidR="007D6375" w:rsidRDefault="007D6375" w:rsidP="00103168">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2A4B562" w14:textId="77777777" w:rsidR="007D6375" w:rsidRDefault="007D6375" w:rsidP="00103168">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3CF6BB5" w14:textId="77777777" w:rsidR="007D6375" w:rsidRDefault="007D6375" w:rsidP="00103168">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2763E94E" w14:textId="77777777" w:rsidR="007D6375" w:rsidRDefault="007D6375" w:rsidP="00103168">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3EFA140D" w14:textId="77777777" w:rsidR="007D6375" w:rsidRDefault="007D6375" w:rsidP="00103168">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9F7BB9" w14:textId="77777777" w:rsidR="007D6375" w:rsidRDefault="007D6375" w:rsidP="00103168">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05126"/>
    <w:multiLevelType w:val="multilevel"/>
    <w:tmpl w:val="AFCE0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oNotDisplayPageBoundaries/>
  <w:trackRevisions/>
  <w:defaultTabStop w:val="1304"/>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B9A"/>
    <w:rsid w:val="00007595"/>
    <w:rsid w:val="00010916"/>
    <w:rsid w:val="00010CAF"/>
    <w:rsid w:val="0001446C"/>
    <w:rsid w:val="00030B22"/>
    <w:rsid w:val="000565EB"/>
    <w:rsid w:val="00064AE4"/>
    <w:rsid w:val="000658BD"/>
    <w:rsid w:val="00075C5F"/>
    <w:rsid w:val="00082DA5"/>
    <w:rsid w:val="000869EA"/>
    <w:rsid w:val="0009036B"/>
    <w:rsid w:val="00093A77"/>
    <w:rsid w:val="000C1EEB"/>
    <w:rsid w:val="000D1904"/>
    <w:rsid w:val="000D1E5C"/>
    <w:rsid w:val="000E1341"/>
    <w:rsid w:val="00103168"/>
    <w:rsid w:val="001077F4"/>
    <w:rsid w:val="00112C5A"/>
    <w:rsid w:val="00114433"/>
    <w:rsid w:val="00116405"/>
    <w:rsid w:val="00131B66"/>
    <w:rsid w:val="00141995"/>
    <w:rsid w:val="00145A6D"/>
    <w:rsid w:val="00192A4B"/>
    <w:rsid w:val="001B492A"/>
    <w:rsid w:val="001B7915"/>
    <w:rsid w:val="001E270E"/>
    <w:rsid w:val="001E53ED"/>
    <w:rsid w:val="001F055D"/>
    <w:rsid w:val="001F3629"/>
    <w:rsid w:val="002169E5"/>
    <w:rsid w:val="00220257"/>
    <w:rsid w:val="00245833"/>
    <w:rsid w:val="00250563"/>
    <w:rsid w:val="00280547"/>
    <w:rsid w:val="002B4CA6"/>
    <w:rsid w:val="002C6D2D"/>
    <w:rsid w:val="002E4ED1"/>
    <w:rsid w:val="00306E71"/>
    <w:rsid w:val="00310506"/>
    <w:rsid w:val="00315B72"/>
    <w:rsid w:val="0033007F"/>
    <w:rsid w:val="003344ED"/>
    <w:rsid w:val="0033543F"/>
    <w:rsid w:val="00345760"/>
    <w:rsid w:val="00347630"/>
    <w:rsid w:val="00354622"/>
    <w:rsid w:val="003747F9"/>
    <w:rsid w:val="00385E87"/>
    <w:rsid w:val="00386D69"/>
    <w:rsid w:val="003A0B2F"/>
    <w:rsid w:val="003A6388"/>
    <w:rsid w:val="003B02CE"/>
    <w:rsid w:val="003B2C64"/>
    <w:rsid w:val="003E5774"/>
    <w:rsid w:val="004138AD"/>
    <w:rsid w:val="00450AFD"/>
    <w:rsid w:val="00456899"/>
    <w:rsid w:val="00470EAA"/>
    <w:rsid w:val="00473431"/>
    <w:rsid w:val="004B5099"/>
    <w:rsid w:val="004B5547"/>
    <w:rsid w:val="004B69AD"/>
    <w:rsid w:val="004D01DA"/>
    <w:rsid w:val="004D5ED0"/>
    <w:rsid w:val="004D7430"/>
    <w:rsid w:val="005010C1"/>
    <w:rsid w:val="00510003"/>
    <w:rsid w:val="0051671F"/>
    <w:rsid w:val="00520D8B"/>
    <w:rsid w:val="005268CF"/>
    <w:rsid w:val="00552DAE"/>
    <w:rsid w:val="00552F77"/>
    <w:rsid w:val="0055491B"/>
    <w:rsid w:val="00575EF1"/>
    <w:rsid w:val="0059010E"/>
    <w:rsid w:val="005B32C9"/>
    <w:rsid w:val="005B7056"/>
    <w:rsid w:val="005D1678"/>
    <w:rsid w:val="005E6E82"/>
    <w:rsid w:val="00602C93"/>
    <w:rsid w:val="006251D2"/>
    <w:rsid w:val="006277FB"/>
    <w:rsid w:val="006313C6"/>
    <w:rsid w:val="0064136A"/>
    <w:rsid w:val="00642512"/>
    <w:rsid w:val="0067154F"/>
    <w:rsid w:val="0067645B"/>
    <w:rsid w:val="006816C0"/>
    <w:rsid w:val="0068709C"/>
    <w:rsid w:val="00690F16"/>
    <w:rsid w:val="006A45D1"/>
    <w:rsid w:val="006B13EB"/>
    <w:rsid w:val="006B193D"/>
    <w:rsid w:val="006B2291"/>
    <w:rsid w:val="006C07E2"/>
    <w:rsid w:val="00717F7A"/>
    <w:rsid w:val="00722069"/>
    <w:rsid w:val="00727170"/>
    <w:rsid w:val="0074447B"/>
    <w:rsid w:val="007604CD"/>
    <w:rsid w:val="00763002"/>
    <w:rsid w:val="007645E0"/>
    <w:rsid w:val="00765AA2"/>
    <w:rsid w:val="007B2F8E"/>
    <w:rsid w:val="007B44C1"/>
    <w:rsid w:val="007B4AED"/>
    <w:rsid w:val="007D0588"/>
    <w:rsid w:val="007D6375"/>
    <w:rsid w:val="007E1E18"/>
    <w:rsid w:val="0081371A"/>
    <w:rsid w:val="00817F0C"/>
    <w:rsid w:val="00832F3C"/>
    <w:rsid w:val="0083443C"/>
    <w:rsid w:val="00843534"/>
    <w:rsid w:val="0087611C"/>
    <w:rsid w:val="00897D68"/>
    <w:rsid w:val="008D6E78"/>
    <w:rsid w:val="00920A6A"/>
    <w:rsid w:val="00931A50"/>
    <w:rsid w:val="00947A5A"/>
    <w:rsid w:val="00951246"/>
    <w:rsid w:val="00954381"/>
    <w:rsid w:val="00A12A04"/>
    <w:rsid w:val="00A343F9"/>
    <w:rsid w:val="00A55694"/>
    <w:rsid w:val="00A63A4E"/>
    <w:rsid w:val="00A65E95"/>
    <w:rsid w:val="00A8311C"/>
    <w:rsid w:val="00A94C4D"/>
    <w:rsid w:val="00AA13CB"/>
    <w:rsid w:val="00AD36C3"/>
    <w:rsid w:val="00AE356B"/>
    <w:rsid w:val="00AE56DA"/>
    <w:rsid w:val="00AE56EE"/>
    <w:rsid w:val="00B05825"/>
    <w:rsid w:val="00B169DC"/>
    <w:rsid w:val="00B4344A"/>
    <w:rsid w:val="00B461CF"/>
    <w:rsid w:val="00B5124C"/>
    <w:rsid w:val="00B946DC"/>
    <w:rsid w:val="00B96537"/>
    <w:rsid w:val="00BA092E"/>
    <w:rsid w:val="00BB07D0"/>
    <w:rsid w:val="00BC55DF"/>
    <w:rsid w:val="00BF2D52"/>
    <w:rsid w:val="00C14ECD"/>
    <w:rsid w:val="00C61B83"/>
    <w:rsid w:val="00C623D6"/>
    <w:rsid w:val="00C627CB"/>
    <w:rsid w:val="00C656E4"/>
    <w:rsid w:val="00C87E71"/>
    <w:rsid w:val="00CC1CF2"/>
    <w:rsid w:val="00D02722"/>
    <w:rsid w:val="00D0548D"/>
    <w:rsid w:val="00D30BCC"/>
    <w:rsid w:val="00D41318"/>
    <w:rsid w:val="00D5500A"/>
    <w:rsid w:val="00D65E13"/>
    <w:rsid w:val="00D7094D"/>
    <w:rsid w:val="00D7213E"/>
    <w:rsid w:val="00D841CB"/>
    <w:rsid w:val="00D84EDF"/>
    <w:rsid w:val="00D94CC3"/>
    <w:rsid w:val="00DA324F"/>
    <w:rsid w:val="00DC43DF"/>
    <w:rsid w:val="00DC61BE"/>
    <w:rsid w:val="00DD7EE2"/>
    <w:rsid w:val="00DE06EF"/>
    <w:rsid w:val="00DE1438"/>
    <w:rsid w:val="00DE23E1"/>
    <w:rsid w:val="00DF7A7F"/>
    <w:rsid w:val="00E15F7B"/>
    <w:rsid w:val="00E211F1"/>
    <w:rsid w:val="00E228A5"/>
    <w:rsid w:val="00E647F4"/>
    <w:rsid w:val="00E808D6"/>
    <w:rsid w:val="00E82900"/>
    <w:rsid w:val="00E9391D"/>
    <w:rsid w:val="00E93B9A"/>
    <w:rsid w:val="00E97040"/>
    <w:rsid w:val="00EA54AD"/>
    <w:rsid w:val="00EC049B"/>
    <w:rsid w:val="00EF2501"/>
    <w:rsid w:val="00EF6F09"/>
    <w:rsid w:val="00F531AA"/>
    <w:rsid w:val="00F61C3B"/>
    <w:rsid w:val="00F61DEF"/>
    <w:rsid w:val="00F62D54"/>
    <w:rsid w:val="00F62F71"/>
    <w:rsid w:val="00F85D02"/>
    <w:rsid w:val="00FC2D0D"/>
    <w:rsid w:val="00FD31D9"/>
    <w:rsid w:val="00FD33A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2C4CAB"/>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3B9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3B9A"/>
    <w:pPr>
      <w:tabs>
        <w:tab w:val="center" w:pos="4819"/>
        <w:tab w:val="right" w:pos="9638"/>
      </w:tabs>
    </w:pPr>
  </w:style>
  <w:style w:type="character" w:customStyle="1" w:styleId="HeaderChar">
    <w:name w:val="Header Char"/>
    <w:basedOn w:val="DefaultParagraphFont"/>
    <w:link w:val="Header"/>
    <w:uiPriority w:val="99"/>
    <w:rsid w:val="00E93B9A"/>
  </w:style>
  <w:style w:type="character" w:styleId="PageNumber">
    <w:name w:val="page number"/>
    <w:basedOn w:val="DefaultParagraphFont"/>
    <w:uiPriority w:val="99"/>
    <w:semiHidden/>
    <w:unhideWhenUsed/>
    <w:rsid w:val="00E93B9A"/>
  </w:style>
  <w:style w:type="paragraph" w:styleId="CommentText">
    <w:name w:val="annotation text"/>
    <w:basedOn w:val="Normal"/>
    <w:link w:val="CommentTextChar"/>
    <w:uiPriority w:val="99"/>
    <w:unhideWhenUsed/>
    <w:rsid w:val="00E93B9A"/>
    <w:rPr>
      <w:rFonts w:eastAsiaTheme="minorEastAsia"/>
      <w:sz w:val="20"/>
      <w:szCs w:val="20"/>
      <w:lang w:eastAsia="fi-FI"/>
    </w:rPr>
  </w:style>
  <w:style w:type="character" w:customStyle="1" w:styleId="CommentTextChar">
    <w:name w:val="Comment Text Char"/>
    <w:basedOn w:val="DefaultParagraphFont"/>
    <w:link w:val="CommentText"/>
    <w:uiPriority w:val="99"/>
    <w:rsid w:val="00E93B9A"/>
    <w:rPr>
      <w:rFonts w:eastAsiaTheme="minorEastAsia"/>
      <w:sz w:val="20"/>
      <w:szCs w:val="20"/>
      <w:lang w:eastAsia="fi-FI"/>
    </w:rPr>
  </w:style>
  <w:style w:type="paragraph" w:customStyle="1" w:styleId="p1">
    <w:name w:val="p1"/>
    <w:basedOn w:val="Normal"/>
    <w:rsid w:val="00E93B9A"/>
    <w:pPr>
      <w:jc w:val="both"/>
    </w:pPr>
    <w:rPr>
      <w:rFonts w:ascii="Helvetica" w:eastAsiaTheme="minorEastAsia" w:hAnsi="Helvetica" w:cs="Times New Roman"/>
      <w:sz w:val="17"/>
      <w:szCs w:val="17"/>
      <w:lang w:eastAsia="fi-FI"/>
    </w:rPr>
  </w:style>
  <w:style w:type="paragraph" w:styleId="BodyText">
    <w:name w:val="Body Text"/>
    <w:basedOn w:val="Normal"/>
    <w:link w:val="BodyTextChar"/>
    <w:unhideWhenUsed/>
    <w:rsid w:val="00E93B9A"/>
    <w:pPr>
      <w:spacing w:after="120" w:line="259" w:lineRule="auto"/>
    </w:pPr>
    <w:rPr>
      <w:rFonts w:eastAsiaTheme="minorEastAsia"/>
      <w:sz w:val="22"/>
      <w:szCs w:val="22"/>
      <w:lang w:val="en-US"/>
    </w:rPr>
  </w:style>
  <w:style w:type="character" w:customStyle="1" w:styleId="BodyTextChar">
    <w:name w:val="Body Text Char"/>
    <w:basedOn w:val="DefaultParagraphFont"/>
    <w:link w:val="BodyText"/>
    <w:rsid w:val="00E93B9A"/>
    <w:rPr>
      <w:rFonts w:eastAsiaTheme="minorEastAsia"/>
      <w:sz w:val="22"/>
      <w:szCs w:val="22"/>
      <w:lang w:val="en-US"/>
    </w:rPr>
  </w:style>
  <w:style w:type="character" w:customStyle="1" w:styleId="apple-converted-space">
    <w:name w:val="apple-converted-space"/>
    <w:basedOn w:val="DefaultParagraphFont"/>
    <w:rsid w:val="00E93B9A"/>
  </w:style>
  <w:style w:type="character" w:customStyle="1" w:styleId="highlight">
    <w:name w:val="highlight"/>
    <w:basedOn w:val="DefaultParagraphFont"/>
    <w:rsid w:val="00E93B9A"/>
  </w:style>
  <w:style w:type="paragraph" w:customStyle="1" w:styleId="Leipteksti1">
    <w:name w:val="Leipäteksti1"/>
    <w:rsid w:val="00E93B9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lang w:val="en-US" w:eastAsia="fi-FI"/>
    </w:rPr>
  </w:style>
  <w:style w:type="table" w:styleId="TableGrid">
    <w:name w:val="Table Grid"/>
    <w:basedOn w:val="TableNormal"/>
    <w:uiPriority w:val="39"/>
    <w:rsid w:val="00E93B9A"/>
    <w:rPr>
      <w:rFonts w:eastAsiaTheme="minorEastAsia"/>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5B7056"/>
    <w:pPr>
      <w:tabs>
        <w:tab w:val="center" w:pos="4819"/>
        <w:tab w:val="right" w:pos="9638"/>
      </w:tabs>
    </w:pPr>
  </w:style>
  <w:style w:type="character" w:customStyle="1" w:styleId="FooterChar">
    <w:name w:val="Footer Char"/>
    <w:basedOn w:val="DefaultParagraphFont"/>
    <w:link w:val="Footer"/>
    <w:uiPriority w:val="99"/>
    <w:rsid w:val="005B7056"/>
  </w:style>
  <w:style w:type="paragraph" w:styleId="DocumentMap">
    <w:name w:val="Document Map"/>
    <w:basedOn w:val="Normal"/>
    <w:link w:val="DocumentMapChar"/>
    <w:uiPriority w:val="99"/>
    <w:semiHidden/>
    <w:unhideWhenUsed/>
    <w:rsid w:val="00F61C3B"/>
    <w:rPr>
      <w:rFonts w:ascii="Times New Roman" w:hAnsi="Times New Roman" w:cs="Times New Roman"/>
    </w:rPr>
  </w:style>
  <w:style w:type="character" w:customStyle="1" w:styleId="DocumentMapChar">
    <w:name w:val="Document Map Char"/>
    <w:basedOn w:val="DefaultParagraphFont"/>
    <w:link w:val="DocumentMap"/>
    <w:uiPriority w:val="99"/>
    <w:semiHidden/>
    <w:rsid w:val="00F61C3B"/>
    <w:rPr>
      <w:rFonts w:ascii="Times New Roman" w:hAnsi="Times New Roman" w:cs="Times New Roman"/>
    </w:rPr>
  </w:style>
  <w:style w:type="paragraph" w:styleId="BalloonText">
    <w:name w:val="Balloon Text"/>
    <w:basedOn w:val="Normal"/>
    <w:link w:val="BalloonTextChar"/>
    <w:uiPriority w:val="99"/>
    <w:semiHidden/>
    <w:unhideWhenUsed/>
    <w:rsid w:val="00F61C3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61C3B"/>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F61C3B"/>
    <w:rPr>
      <w:sz w:val="18"/>
      <w:szCs w:val="18"/>
    </w:rPr>
  </w:style>
  <w:style w:type="paragraph" w:styleId="CommentSubject">
    <w:name w:val="annotation subject"/>
    <w:basedOn w:val="CommentText"/>
    <w:next w:val="CommentText"/>
    <w:link w:val="CommentSubjectChar"/>
    <w:uiPriority w:val="99"/>
    <w:semiHidden/>
    <w:unhideWhenUsed/>
    <w:rsid w:val="00F61C3B"/>
    <w:rPr>
      <w:rFonts w:eastAsiaTheme="minorHAnsi"/>
      <w:b/>
      <w:bCs/>
      <w:lang w:eastAsia="en-US"/>
    </w:rPr>
  </w:style>
  <w:style w:type="character" w:customStyle="1" w:styleId="CommentSubjectChar">
    <w:name w:val="Comment Subject Char"/>
    <w:basedOn w:val="CommentTextChar"/>
    <w:link w:val="CommentSubject"/>
    <w:uiPriority w:val="99"/>
    <w:semiHidden/>
    <w:rsid w:val="00F61C3B"/>
    <w:rPr>
      <w:rFonts w:eastAsiaTheme="minorEastAsia"/>
      <w:b/>
      <w:bCs/>
      <w:sz w:val="20"/>
      <w:szCs w:val="20"/>
      <w:lang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3D7D5-0D91-4EC8-831A-B65B31CFD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3602</Words>
  <Characters>29177</Characters>
  <Application>Microsoft Office Word</Application>
  <DocSecurity>0</DocSecurity>
  <Lines>243</Lines>
  <Paragraphs>65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32714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Outi Kokkola</dc:creator>
  <cp:lastModifiedBy>Kimmo Niukko</cp:lastModifiedBy>
  <cp:revision>2</cp:revision>
  <dcterms:created xsi:type="dcterms:W3CDTF">2018-12-19T08:33:00Z</dcterms:created>
  <dcterms:modified xsi:type="dcterms:W3CDTF">2018-12-19T08:33:00Z</dcterms:modified>
</cp:coreProperties>
</file>