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704BBD" w14:textId="77777777" w:rsidR="00046276" w:rsidRPr="00046276" w:rsidRDefault="00A83984" w:rsidP="00637624">
      <w:pPr>
        <w:pStyle w:val="Title"/>
        <w:spacing w:line="360" w:lineRule="auto"/>
        <w:rPr>
          <w:rFonts w:ascii="Times New Roman" w:hAnsi="Times New Roman" w:cs="Times New Roman"/>
          <w:sz w:val="36"/>
          <w:szCs w:val="36"/>
          <w:lang w:val="fi-FI"/>
        </w:rPr>
      </w:pPr>
      <w:bookmarkStart w:id="0" w:name="_GoBack"/>
      <w:bookmarkEnd w:id="0"/>
      <w:r w:rsidRPr="00046276">
        <w:rPr>
          <w:rFonts w:ascii="Times New Roman" w:hAnsi="Times New Roman" w:cs="Times New Roman"/>
          <w:sz w:val="36"/>
          <w:szCs w:val="36"/>
          <w:lang w:val="fi-FI"/>
        </w:rPr>
        <w:t xml:space="preserve">Tieteellisten julkaisujen verkkohuomio ja sen vaikutukset – ”pintahörinää” vai yhteiskunnallista ja tieteellistä vaikuttavuutta? </w:t>
      </w:r>
    </w:p>
    <w:p w14:paraId="2C362E4D" w14:textId="28164729" w:rsidR="00A83984" w:rsidRPr="00046276" w:rsidRDefault="00A83984" w:rsidP="00637624">
      <w:pPr>
        <w:pStyle w:val="Title"/>
        <w:spacing w:line="360" w:lineRule="auto"/>
        <w:rPr>
          <w:rFonts w:ascii="Times New Roman" w:hAnsi="Times New Roman" w:cs="Times New Roman"/>
          <w:sz w:val="28"/>
          <w:szCs w:val="28"/>
          <w:lang w:val="fi-FI"/>
        </w:rPr>
      </w:pPr>
      <w:r w:rsidRPr="00046276">
        <w:rPr>
          <w:rFonts w:ascii="Times New Roman" w:hAnsi="Times New Roman" w:cs="Times New Roman"/>
          <w:sz w:val="28"/>
          <w:szCs w:val="28"/>
          <w:lang w:val="fi-FI"/>
        </w:rPr>
        <w:t xml:space="preserve">Kyselytutkimus tutkijoille artikkelien verkkohuomioon vaikuttavista tekijöistä ja huomion </w:t>
      </w:r>
      <w:r w:rsidR="00993CEC" w:rsidRPr="00046276">
        <w:rPr>
          <w:rFonts w:ascii="Times New Roman" w:hAnsi="Times New Roman" w:cs="Times New Roman"/>
          <w:sz w:val="28"/>
          <w:szCs w:val="28"/>
          <w:lang w:val="fi-FI"/>
        </w:rPr>
        <w:t>merkityksistä</w:t>
      </w:r>
    </w:p>
    <w:p w14:paraId="446B31D9" w14:textId="77777777" w:rsidR="002740D2" w:rsidRDefault="002740D2" w:rsidP="00637624">
      <w:pPr>
        <w:spacing w:line="360" w:lineRule="auto"/>
        <w:rPr>
          <w:rFonts w:cs="Times New Roman"/>
          <w:sz w:val="22"/>
          <w:lang w:val="fi-FI"/>
        </w:rPr>
      </w:pPr>
    </w:p>
    <w:p w14:paraId="5F643735" w14:textId="77777777" w:rsidR="002740D2" w:rsidRDefault="002740D2" w:rsidP="00637624">
      <w:pPr>
        <w:spacing w:line="360" w:lineRule="auto"/>
        <w:rPr>
          <w:rFonts w:cs="Times New Roman"/>
          <w:sz w:val="22"/>
          <w:lang w:val="fi-FI"/>
        </w:rPr>
      </w:pPr>
    </w:p>
    <w:p w14:paraId="22A6E33E" w14:textId="77777777" w:rsidR="002740D2" w:rsidRDefault="002740D2" w:rsidP="00637624">
      <w:pPr>
        <w:spacing w:line="360" w:lineRule="auto"/>
        <w:rPr>
          <w:rFonts w:cs="Times New Roman"/>
          <w:sz w:val="22"/>
          <w:lang w:val="fi-FI"/>
        </w:rPr>
      </w:pPr>
    </w:p>
    <w:p w14:paraId="77688614" w14:textId="77777777" w:rsidR="002740D2" w:rsidRDefault="002740D2" w:rsidP="00637624">
      <w:pPr>
        <w:spacing w:line="360" w:lineRule="auto"/>
        <w:rPr>
          <w:rFonts w:cs="Times New Roman"/>
          <w:sz w:val="22"/>
          <w:lang w:val="fi-FI"/>
        </w:rPr>
      </w:pPr>
    </w:p>
    <w:p w14:paraId="7FECB52F" w14:textId="77777777" w:rsidR="002740D2" w:rsidRDefault="002740D2" w:rsidP="00637624">
      <w:pPr>
        <w:spacing w:line="360" w:lineRule="auto"/>
        <w:rPr>
          <w:rFonts w:cs="Times New Roman"/>
          <w:sz w:val="22"/>
          <w:lang w:val="fi-FI"/>
        </w:rPr>
      </w:pPr>
    </w:p>
    <w:p w14:paraId="36EFB919" w14:textId="77777777" w:rsidR="002740D2" w:rsidRDefault="002740D2" w:rsidP="00637624">
      <w:pPr>
        <w:spacing w:line="360" w:lineRule="auto"/>
        <w:rPr>
          <w:rFonts w:cs="Times New Roman"/>
          <w:sz w:val="22"/>
          <w:lang w:val="fi-FI"/>
        </w:rPr>
      </w:pPr>
    </w:p>
    <w:p w14:paraId="259CB2A6" w14:textId="77777777" w:rsidR="002740D2" w:rsidRDefault="002740D2" w:rsidP="00637624">
      <w:pPr>
        <w:spacing w:line="360" w:lineRule="auto"/>
        <w:rPr>
          <w:rFonts w:cs="Times New Roman"/>
          <w:sz w:val="22"/>
          <w:lang w:val="fi-FI"/>
        </w:rPr>
      </w:pPr>
    </w:p>
    <w:p w14:paraId="077E577C" w14:textId="77777777" w:rsidR="002740D2" w:rsidRDefault="002740D2" w:rsidP="00637624">
      <w:pPr>
        <w:spacing w:line="360" w:lineRule="auto"/>
        <w:rPr>
          <w:rFonts w:cs="Times New Roman"/>
          <w:sz w:val="22"/>
          <w:lang w:val="fi-FI"/>
        </w:rPr>
      </w:pPr>
    </w:p>
    <w:p w14:paraId="14EEE6F9" w14:textId="77777777" w:rsidR="002740D2" w:rsidRDefault="002740D2" w:rsidP="00637624">
      <w:pPr>
        <w:spacing w:line="360" w:lineRule="auto"/>
        <w:rPr>
          <w:rFonts w:cs="Times New Roman"/>
          <w:sz w:val="22"/>
          <w:lang w:val="fi-FI"/>
        </w:rPr>
      </w:pPr>
    </w:p>
    <w:p w14:paraId="2C1F9767" w14:textId="77777777" w:rsidR="002740D2" w:rsidRDefault="002740D2" w:rsidP="00637624">
      <w:pPr>
        <w:spacing w:line="360" w:lineRule="auto"/>
        <w:rPr>
          <w:rFonts w:cs="Times New Roman"/>
          <w:sz w:val="22"/>
          <w:lang w:val="fi-FI"/>
        </w:rPr>
      </w:pPr>
    </w:p>
    <w:p w14:paraId="5300260E" w14:textId="77777777" w:rsidR="002740D2" w:rsidRDefault="002740D2" w:rsidP="00637624">
      <w:pPr>
        <w:spacing w:line="360" w:lineRule="auto"/>
        <w:rPr>
          <w:rFonts w:cs="Times New Roman"/>
          <w:sz w:val="22"/>
          <w:lang w:val="fi-FI"/>
        </w:rPr>
      </w:pPr>
    </w:p>
    <w:p w14:paraId="47C0C68B" w14:textId="77777777" w:rsidR="002740D2" w:rsidRDefault="002740D2" w:rsidP="00637624">
      <w:pPr>
        <w:spacing w:line="360" w:lineRule="auto"/>
        <w:rPr>
          <w:rFonts w:cs="Times New Roman"/>
          <w:sz w:val="22"/>
          <w:lang w:val="fi-FI"/>
        </w:rPr>
      </w:pPr>
    </w:p>
    <w:p w14:paraId="498DAC12" w14:textId="77777777" w:rsidR="002740D2" w:rsidRDefault="002740D2" w:rsidP="00637624">
      <w:pPr>
        <w:spacing w:line="360" w:lineRule="auto"/>
        <w:rPr>
          <w:rFonts w:cs="Times New Roman"/>
          <w:sz w:val="22"/>
          <w:lang w:val="fi-FI"/>
        </w:rPr>
      </w:pPr>
    </w:p>
    <w:p w14:paraId="03B1E4E4" w14:textId="701CF93B" w:rsidR="002740D2" w:rsidRDefault="002740D2" w:rsidP="00637624">
      <w:pPr>
        <w:spacing w:line="360" w:lineRule="auto"/>
        <w:rPr>
          <w:rFonts w:cs="Times New Roman"/>
          <w:sz w:val="22"/>
          <w:lang w:val="fi-FI"/>
        </w:rPr>
      </w:pPr>
      <w:r>
        <w:rPr>
          <w:rFonts w:cs="Times New Roman"/>
          <w:sz w:val="22"/>
          <w:lang w:val="fi-FI"/>
        </w:rPr>
        <w:t>VTM Julia Vainio</w:t>
      </w:r>
      <w:r>
        <w:rPr>
          <w:rFonts w:cs="Times New Roman"/>
          <w:sz w:val="22"/>
          <w:lang w:val="fi-FI"/>
        </w:rPr>
        <w:br/>
        <w:t>projektitutkija, Turun yliopiston koulutussosiologian tutkimuskeskus, RUSE</w:t>
      </w:r>
      <w:r>
        <w:rPr>
          <w:rFonts w:cs="Times New Roman"/>
          <w:sz w:val="22"/>
          <w:lang w:val="fi-FI"/>
        </w:rPr>
        <w:br/>
      </w:r>
      <w:hyperlink r:id="rId8" w:history="1">
        <w:r w:rsidRPr="00703B15">
          <w:rPr>
            <w:rStyle w:val="Hyperlink"/>
            <w:rFonts w:cs="Times New Roman"/>
            <w:sz w:val="22"/>
            <w:lang w:val="fi-FI"/>
          </w:rPr>
          <w:t>jukava@live.com</w:t>
        </w:r>
      </w:hyperlink>
    </w:p>
    <w:p w14:paraId="392E2ABE" w14:textId="7B148AA8" w:rsidR="002740D2" w:rsidRDefault="002740D2" w:rsidP="00637624">
      <w:pPr>
        <w:spacing w:line="360" w:lineRule="auto"/>
        <w:rPr>
          <w:rFonts w:cs="Times New Roman"/>
          <w:sz w:val="22"/>
          <w:lang w:val="fi-FI"/>
        </w:rPr>
      </w:pPr>
      <w:r>
        <w:rPr>
          <w:rFonts w:cs="Times New Roman"/>
          <w:sz w:val="22"/>
          <w:lang w:val="fi-FI"/>
        </w:rPr>
        <w:t>Kim Holmberg</w:t>
      </w:r>
      <w:r>
        <w:rPr>
          <w:rFonts w:cs="Times New Roman"/>
          <w:sz w:val="22"/>
          <w:lang w:val="fi-FI"/>
        </w:rPr>
        <w:br/>
        <w:t>tutkijatohtori, Turun yliopiston koulutussosiologian tutkimuskeskus, RUSE</w:t>
      </w:r>
      <w:r>
        <w:rPr>
          <w:rFonts w:cs="Times New Roman"/>
          <w:sz w:val="22"/>
          <w:lang w:val="fi-FI"/>
        </w:rPr>
        <w:br/>
      </w:r>
      <w:hyperlink r:id="rId9" w:history="1">
        <w:r w:rsidRPr="00703B15">
          <w:rPr>
            <w:rStyle w:val="Hyperlink"/>
            <w:rFonts w:cs="Times New Roman"/>
            <w:sz w:val="22"/>
            <w:lang w:val="fi-FI"/>
          </w:rPr>
          <w:t>kijohol@utu.fi</w:t>
        </w:r>
      </w:hyperlink>
      <w:r>
        <w:rPr>
          <w:rFonts w:cs="Times New Roman"/>
          <w:sz w:val="22"/>
          <w:lang w:val="fi-FI"/>
        </w:rPr>
        <w:br w:type="page"/>
      </w:r>
    </w:p>
    <w:p w14:paraId="291C796E" w14:textId="77777777" w:rsidR="00A83984" w:rsidRPr="00637624" w:rsidRDefault="00A83984" w:rsidP="00637624">
      <w:pPr>
        <w:spacing w:line="360" w:lineRule="auto"/>
        <w:rPr>
          <w:rFonts w:cs="Times New Roman"/>
          <w:sz w:val="22"/>
          <w:lang w:val="fi-FI"/>
        </w:rPr>
      </w:pPr>
    </w:p>
    <w:p w14:paraId="7006B0B9" w14:textId="77777777" w:rsidR="008C00AF" w:rsidRPr="00E8768B" w:rsidRDefault="008C00AF" w:rsidP="00637624">
      <w:pPr>
        <w:spacing w:before="240" w:line="360" w:lineRule="auto"/>
        <w:rPr>
          <w:rFonts w:cs="Times New Roman"/>
          <w:sz w:val="26"/>
          <w:szCs w:val="26"/>
          <w:lang w:val="fi-FI"/>
        </w:rPr>
      </w:pPr>
      <w:r w:rsidRPr="00E8768B">
        <w:rPr>
          <w:rFonts w:cs="Times New Roman"/>
          <w:sz w:val="26"/>
          <w:szCs w:val="26"/>
          <w:lang w:val="fi-FI"/>
        </w:rPr>
        <w:t>Laadullinen sisällönanalyysi altmetriikan avuksi</w:t>
      </w:r>
    </w:p>
    <w:p w14:paraId="065435B2" w14:textId="0101B1F6" w:rsidR="007B73F4" w:rsidRPr="00637624" w:rsidRDefault="00D05C76" w:rsidP="00637624">
      <w:pPr>
        <w:spacing w:before="240" w:line="360" w:lineRule="auto"/>
        <w:rPr>
          <w:rFonts w:cs="Times New Roman"/>
          <w:sz w:val="22"/>
          <w:lang w:val="fi-FI"/>
        </w:rPr>
      </w:pPr>
      <w:r w:rsidRPr="00637624">
        <w:rPr>
          <w:rFonts w:cs="Times New Roman"/>
          <w:i/>
          <w:sz w:val="22"/>
          <w:lang w:val="fi-FI"/>
        </w:rPr>
        <w:t>”Ihmiset tunnistavat hyvän tutkimuksen, kun näkevät sen, ja mahdollisesti tällöin sana leviää.”</w:t>
      </w:r>
      <w:r w:rsidR="007B73F4" w:rsidRPr="00637624">
        <w:rPr>
          <w:rFonts w:cs="Times New Roman"/>
          <w:sz w:val="22"/>
          <w:lang w:val="fi-FI"/>
        </w:rPr>
        <w:br/>
      </w:r>
      <w:r w:rsidR="007B73F4" w:rsidRPr="00637624">
        <w:rPr>
          <w:rFonts w:cs="Times New Roman"/>
          <w:sz w:val="22"/>
          <w:lang w:val="fi-FI"/>
        </w:rPr>
        <w:tab/>
      </w:r>
      <w:r w:rsidR="007B73F4" w:rsidRPr="00637624">
        <w:rPr>
          <w:rFonts w:cs="Times New Roman"/>
          <w:sz w:val="22"/>
          <w:lang w:val="fi-FI"/>
        </w:rPr>
        <w:tab/>
      </w:r>
      <w:r w:rsidR="007B73F4" w:rsidRPr="00637624">
        <w:rPr>
          <w:rFonts w:cs="Times New Roman"/>
          <w:sz w:val="22"/>
          <w:lang w:val="fi-FI"/>
        </w:rPr>
        <w:tab/>
      </w:r>
      <w:r w:rsidR="007B73F4" w:rsidRPr="00637624">
        <w:rPr>
          <w:rFonts w:cs="Times New Roman"/>
          <w:sz w:val="22"/>
          <w:lang w:val="fi-FI"/>
        </w:rPr>
        <w:tab/>
      </w:r>
      <w:r w:rsidR="007B73F4" w:rsidRPr="00637624">
        <w:rPr>
          <w:rFonts w:cs="Times New Roman"/>
          <w:sz w:val="22"/>
          <w:lang w:val="fi-FI"/>
        </w:rPr>
        <w:tab/>
      </w:r>
      <w:r w:rsidR="007B73F4" w:rsidRPr="00637624">
        <w:rPr>
          <w:rFonts w:cs="Times New Roman"/>
          <w:sz w:val="22"/>
          <w:lang w:val="fi-FI"/>
        </w:rPr>
        <w:tab/>
      </w:r>
      <w:r w:rsidR="007B73F4" w:rsidRPr="00637624">
        <w:rPr>
          <w:rFonts w:cs="Times New Roman"/>
          <w:sz w:val="22"/>
          <w:lang w:val="fi-FI"/>
        </w:rPr>
        <w:tab/>
        <w:t>Vastaaja ID0</w:t>
      </w:r>
      <w:r w:rsidRPr="00637624">
        <w:rPr>
          <w:rFonts w:cs="Times New Roman"/>
          <w:sz w:val="22"/>
          <w:lang w:val="fi-FI"/>
        </w:rPr>
        <w:t>94 kysymykseen Mendeley 2</w:t>
      </w:r>
    </w:p>
    <w:p w14:paraId="00BC71A2" w14:textId="4187B5AA" w:rsidR="00AD3C99" w:rsidRPr="00637624" w:rsidRDefault="00BD145C" w:rsidP="00637624">
      <w:pPr>
        <w:spacing w:before="240" w:line="360" w:lineRule="auto"/>
        <w:rPr>
          <w:rFonts w:cs="Times New Roman"/>
          <w:sz w:val="22"/>
          <w:lang w:val="fi-FI"/>
        </w:rPr>
      </w:pPr>
      <w:r w:rsidRPr="00637624">
        <w:rPr>
          <w:rFonts w:cs="Times New Roman"/>
          <w:sz w:val="22"/>
          <w:lang w:val="fi-FI"/>
        </w:rPr>
        <w:t>Altmetriikka on 2000–luvulla kehit</w:t>
      </w:r>
      <w:r w:rsidR="002B23D2" w:rsidRPr="00637624">
        <w:rPr>
          <w:rFonts w:cs="Times New Roman"/>
          <w:sz w:val="22"/>
          <w:lang w:val="fi-FI"/>
        </w:rPr>
        <w:t>etty tieteen vaikuttavuutta tutkiva ala</w:t>
      </w:r>
      <w:r w:rsidRPr="00637624">
        <w:rPr>
          <w:rFonts w:cs="Times New Roman"/>
          <w:sz w:val="22"/>
          <w:lang w:val="fi-FI"/>
        </w:rPr>
        <w:t xml:space="preserve">. Sen tarkoituksena on tieteellisten julkaisujen </w:t>
      </w:r>
      <w:r w:rsidR="002B23D2" w:rsidRPr="00637624">
        <w:rPr>
          <w:rFonts w:cs="Times New Roman"/>
          <w:sz w:val="22"/>
          <w:lang w:val="fi-FI"/>
        </w:rPr>
        <w:t>eri verkkopalveluissa</w:t>
      </w:r>
      <w:r w:rsidRPr="00637624">
        <w:rPr>
          <w:rFonts w:cs="Times New Roman"/>
          <w:sz w:val="22"/>
          <w:lang w:val="fi-FI"/>
        </w:rPr>
        <w:t xml:space="preserve"> saama</w:t>
      </w:r>
      <w:r w:rsidR="002B23D2" w:rsidRPr="00637624">
        <w:rPr>
          <w:rFonts w:cs="Times New Roman"/>
          <w:sz w:val="22"/>
          <w:lang w:val="fi-FI"/>
        </w:rPr>
        <w:t>n</w:t>
      </w:r>
      <w:r w:rsidRPr="00637624">
        <w:rPr>
          <w:rFonts w:cs="Times New Roman"/>
          <w:sz w:val="22"/>
          <w:lang w:val="fi-FI"/>
        </w:rPr>
        <w:t xml:space="preserve"> huomi</w:t>
      </w:r>
      <w:r w:rsidR="002B23D2" w:rsidRPr="00637624">
        <w:rPr>
          <w:rFonts w:cs="Times New Roman"/>
          <w:sz w:val="22"/>
          <w:lang w:val="fi-FI"/>
        </w:rPr>
        <w:t>on mittaaminen</w:t>
      </w:r>
      <w:r w:rsidRPr="00637624">
        <w:rPr>
          <w:rFonts w:cs="Times New Roman"/>
          <w:sz w:val="22"/>
          <w:lang w:val="fi-FI"/>
        </w:rPr>
        <w:t xml:space="preserve"> </w:t>
      </w:r>
      <w:r w:rsidR="003F0BC8" w:rsidRPr="00637624">
        <w:rPr>
          <w:rFonts w:cs="Times New Roman"/>
          <w:sz w:val="22"/>
          <w:lang w:val="fi-FI"/>
        </w:rPr>
        <w:t xml:space="preserve">ja </w:t>
      </w:r>
      <w:r w:rsidR="002B23D2" w:rsidRPr="00637624">
        <w:rPr>
          <w:rFonts w:cs="Times New Roman"/>
          <w:sz w:val="22"/>
          <w:lang w:val="fi-FI"/>
        </w:rPr>
        <w:t>huomion mahdollisen yhteiskunnallisen vaikuttavuuden analysoiminen</w:t>
      </w:r>
      <w:r w:rsidRPr="00637624">
        <w:rPr>
          <w:rFonts w:cs="Times New Roman"/>
          <w:sz w:val="22"/>
          <w:lang w:val="fi-FI"/>
        </w:rPr>
        <w:t xml:space="preserve">. </w:t>
      </w:r>
      <w:r w:rsidR="002B23D2" w:rsidRPr="00637624">
        <w:rPr>
          <w:rFonts w:cs="Times New Roman"/>
          <w:sz w:val="22"/>
          <w:lang w:val="fi-FI"/>
        </w:rPr>
        <w:t>Altmetristä t</w:t>
      </w:r>
      <w:r w:rsidRPr="00637624">
        <w:rPr>
          <w:rFonts w:cs="Times New Roman"/>
          <w:sz w:val="22"/>
          <w:lang w:val="fi-FI"/>
        </w:rPr>
        <w:t>utkimusta on edistetty ennen kaikkea määrällisen tutkimuksen keinoin, kuten esimerkiksi vertailemalla artikkelien viittausmääriä niiden</w:t>
      </w:r>
      <w:r w:rsidR="003F0BC8" w:rsidRPr="00637624">
        <w:rPr>
          <w:rFonts w:cs="Times New Roman"/>
          <w:sz w:val="22"/>
          <w:lang w:val="fi-FI"/>
        </w:rPr>
        <w:t xml:space="preserve"> saamiin</w:t>
      </w:r>
      <w:r w:rsidRPr="00637624">
        <w:rPr>
          <w:rFonts w:cs="Times New Roman"/>
          <w:sz w:val="22"/>
          <w:lang w:val="fi-FI"/>
        </w:rPr>
        <w:t xml:space="preserve"> Wikipedia-mainintoihin </w:t>
      </w:r>
      <w:r w:rsidR="003F0BC8" w:rsidRPr="00637624">
        <w:rPr>
          <w:rFonts w:cs="Times New Roman"/>
          <w:sz w:val="22"/>
          <w:lang w:val="fi-FI"/>
        </w:rPr>
        <w:fldChar w:fldCharType="begin" w:fldLock="1"/>
      </w:r>
      <w:r w:rsidR="003F0BC8" w:rsidRPr="00637624">
        <w:rPr>
          <w:rFonts w:cs="Times New Roman"/>
          <w:sz w:val="22"/>
          <w:lang w:val="fi-FI"/>
        </w:rPr>
        <w:instrText>ADDIN CSL_CITATION { "citationItems" : [ { "id" : "ITEM-1", "itemData" : { "abstract" : "Science blogs, Twitter commentary, and comments on journal websites represent an immediate response to journal articles, and may help in identifying relevant publications. However, the use of these media for establishing paper impact is not well studied. Using Wikipedia as a proxy for other social media, we explore the correlation between inclusion of a journal article in Wikipedia, and article impact as measured by citation count. We start by cataloging features of PubMed articles cited in Wikipedia. We find that Wikipedia pages referencing the most journal articles are about disorders and diseases, while the most referenced articles in Wikipedia are about genomics. We note that journal articles in Wikipedia have significantly higher citation counts than an equivalent random article subset. We also observe that articles are included in Wikipedia soon after publication. Our data suggest that social media may represent a largely untapped post-publication review resource for assessing paper impact.", "author" : [ { "dropping-particle" : "", "family" : "Evans", "given" : "Perry", "non-dropping-particle" : "", "parse-names" : false, "suffix" : "" }, { "dropping-particle" : "", "family" : "Krauthammer", "given" : "Michael", "non-dropping-particle" : "", "parse-names" : false, "suffix" : "" } ], "container-title" : "AMIA ... Annual Symposium proceedings / AMIA Symposium. AMIA Symposium", "id" : "ITEM-1", "issue" : "January", "issued" : { "date-parts" : [ [ "2011" ] ] }, "page" : "374-81", "title" : "Exploring the use of social media to measure journal article impact.", "type" : "article-journal", "volume" : "2011" }, "uris" : [ "http://www.mendeley.com/documents/?uuid=8cb49710-c657-4604-a25b-0a06ec43e59d" ] } ], "mendeley" : { "formattedCitation" : "(Evans &amp; Krauthammer, 2011)", "plainTextFormattedCitation" : "(Evans &amp; Krauthammer, 2011)", "previouslyFormattedCitation" : "(Evans &amp; Krauthammer, 2011)" }, "properties" : { "noteIndex" : 0 }, "schema" : "https://github.com/citation-style-language/schema/raw/master/csl-citation.json" }</w:instrText>
      </w:r>
      <w:r w:rsidR="003F0BC8" w:rsidRPr="00637624">
        <w:rPr>
          <w:rFonts w:cs="Times New Roman"/>
          <w:sz w:val="22"/>
          <w:lang w:val="fi-FI"/>
        </w:rPr>
        <w:fldChar w:fldCharType="separate"/>
      </w:r>
      <w:r w:rsidR="003F0BC8" w:rsidRPr="00637624">
        <w:rPr>
          <w:rFonts w:cs="Times New Roman"/>
          <w:noProof/>
          <w:sz w:val="22"/>
          <w:lang w:val="fi-FI"/>
        </w:rPr>
        <w:t>(Evans &amp; Krauthammer, 2011)</w:t>
      </w:r>
      <w:r w:rsidR="003F0BC8" w:rsidRPr="00637624">
        <w:rPr>
          <w:rFonts w:cs="Times New Roman"/>
          <w:sz w:val="22"/>
          <w:lang w:val="fi-FI"/>
        </w:rPr>
        <w:fldChar w:fldCharType="end"/>
      </w:r>
      <w:r w:rsidRPr="00637624">
        <w:rPr>
          <w:rFonts w:cs="Times New Roman"/>
          <w:sz w:val="22"/>
          <w:lang w:val="fi-FI"/>
        </w:rPr>
        <w:t xml:space="preserve"> </w:t>
      </w:r>
      <w:r w:rsidR="003F0BC8" w:rsidRPr="00637624">
        <w:rPr>
          <w:rFonts w:cs="Times New Roman"/>
          <w:sz w:val="22"/>
          <w:lang w:val="fi-FI"/>
        </w:rPr>
        <w:t>tai tutkimalla tieteellistä viestintää mikro</w:t>
      </w:r>
      <w:r w:rsidR="00335166">
        <w:rPr>
          <w:rFonts w:cs="Times New Roman"/>
          <w:sz w:val="22"/>
          <w:lang w:val="fi-FI"/>
        </w:rPr>
        <w:t>blogi</w:t>
      </w:r>
      <w:r w:rsidR="003F0BC8" w:rsidRPr="00637624">
        <w:rPr>
          <w:rFonts w:cs="Times New Roman"/>
          <w:sz w:val="22"/>
          <w:lang w:val="fi-FI"/>
        </w:rPr>
        <w:t xml:space="preserve">palvelu Twitterissä </w:t>
      </w:r>
      <w:r w:rsidR="003F0BC8" w:rsidRPr="00637624">
        <w:rPr>
          <w:rFonts w:cs="Times New Roman"/>
          <w:sz w:val="22"/>
          <w:lang w:val="fi-FI"/>
        </w:rPr>
        <w:fldChar w:fldCharType="begin" w:fldLock="1"/>
      </w:r>
      <w:r w:rsidR="001B7668">
        <w:rPr>
          <w:rFonts w:cs="Times New Roman"/>
          <w:sz w:val="22"/>
          <w:lang w:val="fi-FI"/>
        </w:rPr>
        <w:instrText>ADDIN CSL_CITATION { "citationItems" : [ { "id" : "ITEM-1", "itemData" : { "abstract" : "The paper reports on a major international survey, covering 2,000 researchers, which investigated the use of social media in the research workflow. The topic is the second to emerge from the Charleston Observatory, the research adjunct of the popular annual Charleston Conference (http://www.katina.info/conference/). The study shows that social media have found serious application at all points of the research lifecycle, from identifying research opportunities to disseminating findings at the end. The three most popular social media tools in a research setting were those for collaborative authoring, conferencing, and scheduling meetings. The most popular brands used tend to be mainstream anchor technologies or 'household brands', such as Twitter. Age is a poor predictor of social media use in a research context, and humanities and social science scholars avail themselves most of social media. Journals, conference proceedings, and edited books remain the core traditional means of disseminating research, with institutional repositories highly valued as well, but social media have become important complementary channels for disseminating and discovering research.", "author" : [ { "dropping-particle" : "", "family" : "Rowlands", "given" : "Ian", "non-dropping-particle" : "", "parse-names" : false, "suffix" : "" }, { "dropping-particle" : "", "family" : "Nicholas", "given" : "David", "non-dropping-particle" : "", "parse-names" : false, "suffix" : "" }, { "dropping-particle" : "", "family" : "Russell", "given" : "Bill", "non-dropping-particle" : "", "parse-names" : false, "suffix" : "" }, { "dropping-particle" : "", "family" : "Canty", "given" : "Nicholas", "non-dropping-particle" : "", "parse-names" : false, "suffix" : "" }, { "dropping-particle" : "", "family" : "Watkinson", "given" : "Anthony", "non-dropping-particle" : "", "parse-names" : false, "suffix" : "" } ], "container-title" : "Learned Publishing", "id" : "ITEM-1", "issue" : "3", "issued" : { "date-parts" : [ [ "2011", "7" ] ] }, "page" : "183-195", "title" : "Social media use in the research workflow", "type" : "article-journal", "volume" : "24" }, "uris" : [ "http://www.mendeley.com/documents/?uuid=d4158dc4-ad4d-4db9-914f-cb4643ea9c5b" ] }, { "id" : "ITEM-2", "itemData" : { "DOI" : "10.1007/s11192-014-1229-3", "abstract" : "This paper investigates disciplinary differences in how researchers use the microblogging site Twitter. Tweets from selected researchers in ten disciplines (astro-physics, biochemistry, digital humanities, economics, history of science, cheminformatics, cognitive science, drug discovery, social network analysis, and sociology) were collected and analyzed both statistically and qualitatively. The researchers tended to share more links and retweet more than the average Twitter users in earlier research and there were clear disciplinary differences in how they used Twitter. Biochemists retweeted substantially more than researchers in the other disciplines. Researchers in digital humanities and cognitive science used Twitter more for conversations, while researchers in economics shared the most links. Finally, whilst researchers in biochemistry, astrophysics, cheminformatics and digital humanities seemed to use Twitter for scholarly communication, scientific use of Twitter in economics, sociology and history of science appeared to be marginal.", "author" : [ { "dropping-particle" : "", "family" : "Holmberg", "given" : "Kim", "non-dropping-particle" : "", "parse-names" : false, "suffix" : "" }, { "dropping-particle" : "", "family" : "Thelwall", "given" : "Mike", "non-dropping-particle" : "", "parse-names" : false, "suffix" : "" } ], "id" : "ITEM-2", "issued" : { "date-parts" : [ [ "2014" ] ] }, "title" : "Disciplinary differences in Twitter scholarly communication", "type" : "article-journal" }, "uris" : [ "http://www.mendeley.com/documents/?uuid=193c0464-3c97-3cd8-a460-e948c867d53d" ] }, { "id" : "ITEM-3", "itemData" : { "abstract" : "Altmetric measurements derived from the social web are increasingly advocated and used as early indicators of article impact and usefulness. Nevertheless, there is a lack of systematic scientific evidence that altmetrics are valid proxies of either impact or utility although a few case studies have reported medium correlations between specific altmetrics and citation rates for individual journals or fields. To fill this gap, this study compares 11 altmetrics with Web of Science citations for 76 to 208,739 PubMed articles with at least one altmetric mention in each case and up to 1,891 journals per metric. It also introduces a simple sign test to overcome biases caused by different citation and usage windows. Statistically significant associations were found between higher metric scores and higher citations for articles with positive altmetric scores in all cases with sufficient evidence (Twitter, Facebook wall posts, research highlights, blogs, mainstream media and forums) except perhaps for Google+ posts. Evidence was insufficient for LinkedIn, Pinterest, question and answer sites, and Reddit, and no conclusions should be drawn about articles with zero altmetric scores or the strength of any correlation between altmetrics and citations. Nevertheless, comparisons between citations and metric values for articles published at different times, even within the same year, can remove or reverse this association and so publishers and scientometricians should consider the effect of time when using altmetrics to rank articles. Finally, the coverage of all the altmetrics except for Twitter seems to be low and so it is not clear if they are prevalent enough to be useful in practice.", "author" : [ { "dropping-particle" : "", "family" : "Thelwall", "given" : "Mike", "non-dropping-particle" : "", "parse-names" : false, "suffix" : "" }, { "dropping-particle" : "", "family" : "Haustein", "given" : "Stefanie", "non-dropping-particle"</w:instrText>
      </w:r>
      <w:r w:rsidR="001B7668" w:rsidRPr="00DC0796">
        <w:rPr>
          <w:rFonts w:cs="Times New Roman"/>
          <w:sz w:val="22"/>
        </w:rPr>
        <w:instrText xml:space="preserve"> : "", "parse-names" : false, "suffix" : "" }, { "dropping-particle" : "", "family" : "Larivi\u00e8re", "given" : "Vincent", "non-dropping-particle" : "", "parse-names" : false, "suffix" : "" }, { "dropping-particle" : "", "family" : "Sugimoto", "given" : "Cassidy R.", "non-dropping-particle" : "", "parse-names" : false, "suffix" : "" } ], "container-title" : "PLoS ONE", "id" : "ITEM-3", "issue" : "5", "issued" : { "date-parts" : [ [ "2013", "5", "28" ] ] }, "title" : "Do Altmetrics Work? Twitter and Ten Other Social Web Services", "type" : "article-journal", "volume" : "8" }, "uris" : [ "http://www.mendeley.com/documents/?uuid=6b10d3ce-644b-4b80-84a4-cd16b7a50979" ] } ], "mendeley" : { "formattedCitation" : "(Holmberg &amp; Thelwall, 2014; Rowlands, Nicholas, Russell, Canty, &amp; Watkinson, 2011; Thelwall, Haustein, Larivi\u00e8re, &amp; Sugimoto, 2013)", "manualFormatting" : "(ks. mm. Holmberg &amp; Thelwall, 2014; Rowlands, Nicholas, Russell, Canty &amp; Watkinson, 2011; Thelwall, Haustein, Larivi\u00e8re &amp; Sugimoto, 2013)", "plainTextFormattedCitation" : "(Holmberg &amp; Thelwall, 2014; Rowlands, Nicholas, Russell, Canty, &amp; Watkinson, 2011; Thelwall, Haustein, Larivi\u00e8re, &amp; Sugimoto, 2013)", "previouslyFormattedCitation" : "(Holmberg &amp; Thelwall, 2014; Rowlands, Nicholas, Russell, Canty, &amp; Watkinson, 2011; Thelwall, Haustein, Larivi\u00e8re, &amp; Sugimoto, 2013)" }, "properties" : { "noteIndex" : 0 }, "schema" : "https://github.com/citation-style-language/schema/raw/master/csl-citation.json" }</w:instrText>
      </w:r>
      <w:r w:rsidR="003F0BC8" w:rsidRPr="00637624">
        <w:rPr>
          <w:rFonts w:cs="Times New Roman"/>
          <w:sz w:val="22"/>
          <w:lang w:val="fi-FI"/>
        </w:rPr>
        <w:fldChar w:fldCharType="separate"/>
      </w:r>
      <w:r w:rsidR="003F0BC8" w:rsidRPr="00637624">
        <w:rPr>
          <w:rFonts w:cs="Times New Roman"/>
          <w:noProof/>
          <w:sz w:val="22"/>
        </w:rPr>
        <w:t>(ks. mm. Holmberg &amp; Thelwall, 2014; Row</w:t>
      </w:r>
      <w:r w:rsidR="00E8768B">
        <w:rPr>
          <w:rFonts w:cs="Times New Roman"/>
          <w:noProof/>
          <w:sz w:val="22"/>
        </w:rPr>
        <w:t>lands, Nicholas, Russell, Canty</w:t>
      </w:r>
      <w:r w:rsidR="003F0BC8" w:rsidRPr="00637624">
        <w:rPr>
          <w:rFonts w:cs="Times New Roman"/>
          <w:noProof/>
          <w:sz w:val="22"/>
        </w:rPr>
        <w:t xml:space="preserve"> &amp; Watkinson, 2011</w:t>
      </w:r>
      <w:r w:rsidR="00E8768B">
        <w:rPr>
          <w:rFonts w:cs="Times New Roman"/>
          <w:noProof/>
          <w:sz w:val="22"/>
        </w:rPr>
        <w:t>; Thelwall, Haustein, Larivière</w:t>
      </w:r>
      <w:r w:rsidR="003F0BC8" w:rsidRPr="00637624">
        <w:rPr>
          <w:rFonts w:cs="Times New Roman"/>
          <w:noProof/>
          <w:sz w:val="22"/>
        </w:rPr>
        <w:t xml:space="preserve"> &amp; Sugimoto, 2013)</w:t>
      </w:r>
      <w:r w:rsidR="003F0BC8" w:rsidRPr="00637624">
        <w:rPr>
          <w:rFonts w:cs="Times New Roman"/>
          <w:sz w:val="22"/>
          <w:lang w:val="fi-FI"/>
        </w:rPr>
        <w:fldChar w:fldCharType="end"/>
      </w:r>
      <w:r w:rsidR="003F0BC8" w:rsidRPr="00637624">
        <w:rPr>
          <w:rFonts w:cs="Times New Roman"/>
          <w:sz w:val="22"/>
        </w:rPr>
        <w:t xml:space="preserve">. </w:t>
      </w:r>
      <w:r w:rsidR="002B23D2" w:rsidRPr="00637624">
        <w:rPr>
          <w:rFonts w:cs="Times New Roman"/>
          <w:sz w:val="22"/>
          <w:lang w:val="fi-FI"/>
        </w:rPr>
        <w:t xml:space="preserve">Tutkijat ja tutkimusrahoittajat voivat </w:t>
      </w:r>
      <w:r w:rsidR="00335166">
        <w:rPr>
          <w:rFonts w:cs="Times New Roman"/>
          <w:sz w:val="22"/>
          <w:lang w:val="fi-FI"/>
        </w:rPr>
        <w:t>altmetriikan avulla</w:t>
      </w:r>
      <w:r w:rsidR="002B23D2" w:rsidRPr="00637624">
        <w:rPr>
          <w:rFonts w:cs="Times New Roman"/>
          <w:sz w:val="22"/>
          <w:lang w:val="fi-FI"/>
        </w:rPr>
        <w:t xml:space="preserve"> mahdollisesti tarkastella tutkimuksensa etenemistä niin akateemisen maailman keskusteluissa kuin akateemisen maailman ulkopuolellakin </w:t>
      </w:r>
      <w:r w:rsidR="002B23D2" w:rsidRPr="00637624">
        <w:rPr>
          <w:rFonts w:cs="Times New Roman"/>
          <w:sz w:val="22"/>
          <w:lang w:val="fi-FI"/>
        </w:rPr>
        <w:fldChar w:fldCharType="begin" w:fldLock="1"/>
      </w:r>
      <w:r w:rsidR="00637624">
        <w:rPr>
          <w:rFonts w:cs="Times New Roman"/>
          <w:sz w:val="22"/>
          <w:lang w:val="fi-FI"/>
        </w:rPr>
        <w:instrText>ADDIN CSL_CITATION { "citationItems" : [ { "id" : "ITEM-1", "itemData" : { "abstract" : "Altmetrics, or alternative metrics, are forging a new way to capture the impact of not only articles, but also scholarly or research \"products\" by tracking them when they are mentioned online, such as in blogs or social media platforms. While altmetrics have a lot of potential, there are also some limitations preventing their full acceptance alongside traditional citation metrics. This column will explain the basics of altmetrics and altmetric tools, discuss some of the ways they can be used in libraries, and explore some possible concerns with this new metric. A list of resources for additional information is also included.", "author" : [ { "dropping-particle" : "", "family" : "Brigham", "given" : "Tara J", "non-dropping-particle" : "", "parse-names" : false, "suffix" : "" } ], "container-title" : "Medical reference services quarterly", "id" : "ITEM-1", "issue" : "4", "issued" : { "date-parts" : [ [ "2014" ] ] }, "page" : "438-47", "title" : "An introduction to altmetrics.", "type" : "article-journal", "volume" : "33" }, "uris" : [ "http://www.mendeley.com/documents/?uuid=c1973377-efac-4758-92a0-0497757b2c90" ] } ], "mendeley" : { "formattedCitation" : "(Brigham, 2014)", "plainTextFormattedCitation" : "(Brigham, 2014)", "previouslyFormattedCitation" : "(Brigham, 2014)" }, "properties" : { "noteIndex" : 0 }, "schema" : "https://github.com/citation-style-language/schema/raw/master/csl-citation.json" }</w:instrText>
      </w:r>
      <w:r w:rsidR="002B23D2" w:rsidRPr="00637624">
        <w:rPr>
          <w:rFonts w:cs="Times New Roman"/>
          <w:sz w:val="22"/>
          <w:lang w:val="fi-FI"/>
        </w:rPr>
        <w:fldChar w:fldCharType="separate"/>
      </w:r>
      <w:r w:rsidR="002B23D2" w:rsidRPr="00637624">
        <w:rPr>
          <w:rFonts w:cs="Times New Roman"/>
          <w:noProof/>
          <w:sz w:val="22"/>
          <w:lang w:val="fi-FI"/>
        </w:rPr>
        <w:t>(Brigham, 2014)</w:t>
      </w:r>
      <w:r w:rsidR="002B23D2" w:rsidRPr="00637624">
        <w:rPr>
          <w:rFonts w:cs="Times New Roman"/>
          <w:sz w:val="22"/>
          <w:lang w:val="fi-FI"/>
        </w:rPr>
        <w:fldChar w:fldCharType="end"/>
      </w:r>
      <w:r w:rsidR="002B23D2" w:rsidRPr="00637624">
        <w:rPr>
          <w:rFonts w:cs="Times New Roman"/>
          <w:sz w:val="22"/>
          <w:lang w:val="fi-FI"/>
        </w:rPr>
        <w:t>.</w:t>
      </w:r>
    </w:p>
    <w:p w14:paraId="2F4106A9" w14:textId="47595AEF" w:rsidR="00027E2C" w:rsidRDefault="00027E2C" w:rsidP="00637624">
      <w:pPr>
        <w:spacing w:before="240" w:line="360" w:lineRule="auto"/>
        <w:rPr>
          <w:rFonts w:cs="Times New Roman"/>
          <w:sz w:val="22"/>
          <w:lang w:val="fi-FI"/>
        </w:rPr>
      </w:pPr>
      <w:r w:rsidRPr="00637624">
        <w:rPr>
          <w:rFonts w:cs="Times New Roman"/>
          <w:sz w:val="22"/>
          <w:lang w:val="fi-FI"/>
        </w:rPr>
        <w:t xml:space="preserve">Tutkimuksen tavoite </w:t>
      </w:r>
      <w:r w:rsidR="00303A13" w:rsidRPr="00637624">
        <w:rPr>
          <w:rFonts w:cs="Times New Roman"/>
          <w:sz w:val="22"/>
          <w:lang w:val="fi-FI"/>
        </w:rPr>
        <w:t xml:space="preserve">on </w:t>
      </w:r>
      <w:r w:rsidRPr="00637624">
        <w:rPr>
          <w:rFonts w:cs="Times New Roman"/>
          <w:sz w:val="22"/>
          <w:lang w:val="fi-FI"/>
        </w:rPr>
        <w:t xml:space="preserve">kolminainen. </w:t>
      </w:r>
      <w:r w:rsidR="00831C0F" w:rsidRPr="00637624">
        <w:rPr>
          <w:rFonts w:cs="Times New Roman"/>
          <w:sz w:val="22"/>
          <w:lang w:val="fi-FI"/>
        </w:rPr>
        <w:t>Tutkimuksen teon merkittävin motivaatio</w:t>
      </w:r>
      <w:r w:rsidRPr="00637624">
        <w:rPr>
          <w:rFonts w:cs="Times New Roman"/>
          <w:sz w:val="22"/>
          <w:lang w:val="fi-FI"/>
        </w:rPr>
        <w:t xml:space="preserve"> on tuoda uusi </w:t>
      </w:r>
      <w:r w:rsidR="00831C0F" w:rsidRPr="00637624">
        <w:rPr>
          <w:rFonts w:cs="Times New Roman"/>
          <w:sz w:val="22"/>
          <w:lang w:val="fi-FI"/>
        </w:rPr>
        <w:t xml:space="preserve">laadullisen tutkimuksen </w:t>
      </w:r>
      <w:r w:rsidRPr="00637624">
        <w:rPr>
          <w:rFonts w:cs="Times New Roman"/>
          <w:sz w:val="22"/>
          <w:lang w:val="fi-FI"/>
        </w:rPr>
        <w:t>näkökulma</w:t>
      </w:r>
      <w:r w:rsidR="00831C0F" w:rsidRPr="00637624">
        <w:rPr>
          <w:rFonts w:cs="Times New Roman"/>
          <w:sz w:val="22"/>
          <w:lang w:val="fi-FI"/>
        </w:rPr>
        <w:t xml:space="preserve"> määrällisen tutkimuksen hallitsemalle</w:t>
      </w:r>
      <w:r w:rsidRPr="00637624">
        <w:rPr>
          <w:rFonts w:cs="Times New Roman"/>
          <w:sz w:val="22"/>
          <w:lang w:val="fi-FI"/>
        </w:rPr>
        <w:t xml:space="preserve"> </w:t>
      </w:r>
      <w:r w:rsidR="00831C0F" w:rsidRPr="00637624">
        <w:rPr>
          <w:rFonts w:cs="Times New Roman"/>
          <w:sz w:val="22"/>
          <w:lang w:val="fi-FI"/>
        </w:rPr>
        <w:t xml:space="preserve">altmetriikan </w:t>
      </w:r>
      <w:r w:rsidR="00084D08" w:rsidRPr="00637624">
        <w:rPr>
          <w:rFonts w:cs="Times New Roman"/>
          <w:sz w:val="22"/>
          <w:lang w:val="fi-FI"/>
        </w:rPr>
        <w:t xml:space="preserve">kentälle. Alalla ei ole vielä toistaiseksi julkaistu tutkimuksia, jotka tarkastelisivat artikkelien </w:t>
      </w:r>
      <w:r w:rsidR="00500618" w:rsidRPr="00637624">
        <w:rPr>
          <w:rFonts w:cs="Times New Roman"/>
          <w:sz w:val="22"/>
          <w:lang w:val="fi-FI"/>
        </w:rPr>
        <w:t xml:space="preserve">saamaa </w:t>
      </w:r>
      <w:r w:rsidR="00084D08" w:rsidRPr="00637624">
        <w:rPr>
          <w:rFonts w:cs="Times New Roman"/>
          <w:sz w:val="22"/>
          <w:lang w:val="fi-FI"/>
        </w:rPr>
        <w:t xml:space="preserve">verkkohuomiota niiden kirjoittaneiden tutkijoiden </w:t>
      </w:r>
      <w:r w:rsidR="003B603B" w:rsidRPr="00637624">
        <w:rPr>
          <w:rFonts w:cs="Times New Roman"/>
          <w:sz w:val="22"/>
          <w:lang w:val="fi-FI"/>
        </w:rPr>
        <w:t>omasta</w:t>
      </w:r>
      <w:r w:rsidR="00084D08" w:rsidRPr="00637624">
        <w:rPr>
          <w:rFonts w:cs="Times New Roman"/>
          <w:sz w:val="22"/>
          <w:lang w:val="fi-FI"/>
        </w:rPr>
        <w:t xml:space="preserve"> näkökulmasta</w:t>
      </w:r>
      <w:r w:rsidR="00500618" w:rsidRPr="00637624">
        <w:rPr>
          <w:rFonts w:cs="Times New Roman"/>
          <w:sz w:val="22"/>
          <w:lang w:val="fi-FI"/>
        </w:rPr>
        <w:t xml:space="preserve">. </w:t>
      </w:r>
      <w:r w:rsidR="00040FB4" w:rsidRPr="00637624">
        <w:rPr>
          <w:rFonts w:cs="Times New Roman"/>
          <w:sz w:val="22"/>
          <w:lang w:val="fi-FI"/>
        </w:rPr>
        <w:t>Toisena tavoitteena</w:t>
      </w:r>
      <w:r w:rsidRPr="00637624">
        <w:rPr>
          <w:rFonts w:cs="Times New Roman"/>
          <w:sz w:val="22"/>
          <w:lang w:val="fi-FI"/>
        </w:rPr>
        <w:t xml:space="preserve"> </w:t>
      </w:r>
      <w:r w:rsidR="00303A13" w:rsidRPr="00637624">
        <w:rPr>
          <w:rFonts w:cs="Times New Roman"/>
          <w:sz w:val="22"/>
          <w:lang w:val="fi-FI"/>
        </w:rPr>
        <w:t xml:space="preserve">on </w:t>
      </w:r>
      <w:r w:rsidRPr="00637624">
        <w:rPr>
          <w:rFonts w:cs="Times New Roman"/>
          <w:sz w:val="22"/>
          <w:lang w:val="fi-FI"/>
        </w:rPr>
        <w:t>selvittää</w:t>
      </w:r>
      <w:r w:rsidR="00831C0F" w:rsidRPr="00637624">
        <w:rPr>
          <w:rFonts w:cs="Times New Roman"/>
          <w:sz w:val="22"/>
          <w:lang w:val="fi-FI"/>
        </w:rPr>
        <w:t>,</w:t>
      </w:r>
      <w:r w:rsidRPr="00637624">
        <w:rPr>
          <w:rFonts w:cs="Times New Roman"/>
          <w:sz w:val="22"/>
          <w:lang w:val="fi-FI"/>
        </w:rPr>
        <w:t xml:space="preserve"> mitkä tekijät tutkijoiden mielestä vaikuttivat heidän artikkelinsa menestymiseen eri verkkopalveluissa. </w:t>
      </w:r>
      <w:r w:rsidR="00040FB4" w:rsidRPr="00637624">
        <w:rPr>
          <w:rFonts w:cs="Times New Roman"/>
          <w:sz w:val="22"/>
          <w:lang w:val="fi-FI"/>
        </w:rPr>
        <w:t>Kolmanneksi</w:t>
      </w:r>
      <w:r w:rsidRPr="00637624">
        <w:rPr>
          <w:rFonts w:cs="Times New Roman"/>
          <w:sz w:val="22"/>
          <w:lang w:val="fi-FI"/>
        </w:rPr>
        <w:t xml:space="preserve"> haluttiin kartoittaa tutkijoiden mielipiteitä sen suhteen, kertooko kyseinen verkkohuomio </w:t>
      </w:r>
      <w:r w:rsidR="00040FB4" w:rsidRPr="00637624">
        <w:rPr>
          <w:rFonts w:cs="Times New Roman"/>
          <w:sz w:val="22"/>
          <w:lang w:val="fi-FI"/>
        </w:rPr>
        <w:t xml:space="preserve">heidän mielestään </w:t>
      </w:r>
      <w:r w:rsidRPr="00637624">
        <w:rPr>
          <w:rFonts w:cs="Times New Roman"/>
          <w:sz w:val="22"/>
          <w:lang w:val="fi-FI"/>
        </w:rPr>
        <w:t>jotain artikkelin yhteiskunnallisesta tai tieteellisestä vaikuttavuudesta.</w:t>
      </w:r>
      <w:r w:rsidR="006377CA" w:rsidRPr="00637624">
        <w:rPr>
          <w:rFonts w:cs="Times New Roman"/>
          <w:sz w:val="22"/>
          <w:lang w:val="fi-FI"/>
        </w:rPr>
        <w:t xml:space="preserve"> </w:t>
      </w:r>
      <w:r w:rsidR="00831F55">
        <w:rPr>
          <w:rFonts w:cs="Times New Roman"/>
          <w:sz w:val="22"/>
          <w:lang w:val="fi-FI"/>
        </w:rPr>
        <w:t>Tutkimuksen tavoitteet voidaankin tiivistää seuraaviin kahteen tutkimuskysymykseen:</w:t>
      </w:r>
    </w:p>
    <w:p w14:paraId="3A0E0818" w14:textId="5865D376" w:rsidR="00831F55" w:rsidRDefault="00831F55" w:rsidP="00265287">
      <w:pPr>
        <w:pStyle w:val="ListParagraph"/>
        <w:numPr>
          <w:ilvl w:val="0"/>
          <w:numId w:val="2"/>
        </w:numPr>
        <w:spacing w:before="240" w:line="360" w:lineRule="auto"/>
        <w:rPr>
          <w:rFonts w:cs="Times New Roman"/>
          <w:sz w:val="22"/>
          <w:lang w:val="fi-FI"/>
        </w:rPr>
      </w:pPr>
      <w:r>
        <w:rPr>
          <w:rFonts w:cs="Times New Roman"/>
          <w:sz w:val="22"/>
          <w:lang w:val="fi-FI"/>
        </w:rPr>
        <w:t xml:space="preserve">Mitkä tekijät vaikuttavat </w:t>
      </w:r>
      <w:r w:rsidR="00293C9E">
        <w:rPr>
          <w:rFonts w:cs="Times New Roman"/>
          <w:sz w:val="22"/>
          <w:lang w:val="fi-FI"/>
        </w:rPr>
        <w:t xml:space="preserve">artikkelin tekijöiden mielestä </w:t>
      </w:r>
      <w:r>
        <w:rPr>
          <w:rFonts w:cs="Times New Roman"/>
          <w:sz w:val="22"/>
          <w:lang w:val="fi-FI"/>
        </w:rPr>
        <w:t>tieteellisten artikkelien saaman huomion määrään Twitterissä ja Mendeleyssä?</w:t>
      </w:r>
    </w:p>
    <w:p w14:paraId="422F4693" w14:textId="63AC8E6A" w:rsidR="00831F55" w:rsidRPr="00265287" w:rsidRDefault="00831F55" w:rsidP="00265287">
      <w:pPr>
        <w:pStyle w:val="ListParagraph"/>
        <w:numPr>
          <w:ilvl w:val="0"/>
          <w:numId w:val="2"/>
        </w:numPr>
        <w:spacing w:before="240" w:line="360" w:lineRule="auto"/>
        <w:rPr>
          <w:rFonts w:eastAsia="Times New Roman" w:cs="Times New Roman"/>
          <w:sz w:val="22"/>
          <w:lang w:val="fi-FI"/>
        </w:rPr>
      </w:pPr>
      <w:r w:rsidRPr="00265287">
        <w:rPr>
          <w:rFonts w:eastAsia="Times New Roman" w:cs="Times New Roman"/>
          <w:sz w:val="22"/>
          <w:lang w:val="fi-FI"/>
        </w:rPr>
        <w:t>Kertooko kyseinen verkkohuomio</w:t>
      </w:r>
      <w:r w:rsidR="00293C9E">
        <w:rPr>
          <w:rFonts w:eastAsia="Times New Roman" w:cs="Times New Roman"/>
          <w:sz w:val="22"/>
          <w:lang w:val="fi-FI"/>
        </w:rPr>
        <w:t xml:space="preserve"> artikkelien tekijöiden mielestä</w:t>
      </w:r>
      <w:r w:rsidRPr="00265287">
        <w:rPr>
          <w:rFonts w:eastAsia="Times New Roman" w:cs="Times New Roman"/>
          <w:sz w:val="22"/>
          <w:lang w:val="fi-FI"/>
        </w:rPr>
        <w:t xml:space="preserve"> jotain artikkelien yhteiskunnallisesta tai tieteellisestä vaikuttavuudesta?</w:t>
      </w:r>
    </w:p>
    <w:p w14:paraId="014403C1" w14:textId="49E4AF42" w:rsidR="00596454" w:rsidRPr="00E8768B" w:rsidRDefault="0021428F" w:rsidP="00637624">
      <w:pPr>
        <w:spacing w:line="360" w:lineRule="auto"/>
        <w:rPr>
          <w:rFonts w:cs="Times New Roman"/>
          <w:sz w:val="26"/>
          <w:szCs w:val="26"/>
          <w:lang w:val="fi-FI"/>
        </w:rPr>
      </w:pPr>
      <w:r w:rsidRPr="00E8768B">
        <w:rPr>
          <w:rFonts w:cs="Times New Roman"/>
          <w:sz w:val="26"/>
          <w:szCs w:val="26"/>
          <w:lang w:val="fi-FI"/>
        </w:rPr>
        <w:t>Kyselytutkimuksen rakenteesta ja valitusta metodista</w:t>
      </w:r>
    </w:p>
    <w:p w14:paraId="31DEF78F" w14:textId="1F51719E" w:rsidR="00E63F5B" w:rsidRPr="00265287" w:rsidRDefault="00E63F5B" w:rsidP="00265287">
      <w:pPr>
        <w:spacing w:line="360" w:lineRule="auto"/>
        <w:rPr>
          <w:rFonts w:eastAsia="Times New Roman" w:cs="Times New Roman"/>
          <w:sz w:val="22"/>
          <w:lang w:val="fi-FI"/>
        </w:rPr>
      </w:pPr>
      <w:r w:rsidRPr="00265287">
        <w:rPr>
          <w:rFonts w:eastAsia="Times New Roman" w:cs="Times New Roman"/>
          <w:sz w:val="22"/>
          <w:lang w:val="fi-FI"/>
        </w:rPr>
        <w:t xml:space="preserve">Tutkimuksessa käytetty data saatiin hakemalla kansallisesta VIRTA-julkaisutietopalvelusta vuosina 2012–2014 julkaistut tieteelliset artikkelit, joiden kirjoittajaryhmässä oli mukana vähintään yksi suomalaisinstituutiossa artikkelin kirjoittamishetkellä työskennellyt henkilö. </w:t>
      </w:r>
      <w:r w:rsidR="00335166" w:rsidRPr="00265287">
        <w:rPr>
          <w:rFonts w:eastAsia="Times New Roman" w:cs="Times New Roman"/>
          <w:sz w:val="22"/>
          <w:lang w:val="fi-FI"/>
        </w:rPr>
        <w:t>Altmetriset maininnat sisältävä data saatiin tutkimuskäyttöön Altmetric LLP yritykseltä</w:t>
      </w:r>
      <w:r w:rsidR="000A4D6F" w:rsidRPr="00265287">
        <w:rPr>
          <w:rFonts w:eastAsia="Times New Roman" w:cs="Times New Roman"/>
          <w:sz w:val="22"/>
          <w:lang w:val="fi-FI"/>
        </w:rPr>
        <w:t>,</w:t>
      </w:r>
      <w:r w:rsidR="00335166" w:rsidRPr="00265287">
        <w:rPr>
          <w:rFonts w:eastAsia="Times New Roman" w:cs="Times New Roman"/>
          <w:sz w:val="22"/>
          <w:lang w:val="fi-FI"/>
        </w:rPr>
        <w:t xml:space="preserve"> joka kerää mainintoja tieteellisistä artikkeleista muun muassa </w:t>
      </w:r>
      <w:r w:rsidR="00335166" w:rsidRPr="00265287">
        <w:rPr>
          <w:rFonts w:eastAsia="Times New Roman" w:cs="Times New Roman"/>
          <w:sz w:val="22"/>
          <w:lang w:val="fi-FI"/>
        </w:rPr>
        <w:lastRenderedPageBreak/>
        <w:t xml:space="preserve">Twitteristä, Facebookista, blogeista, uutissivustoilta, Wikipediasta, ja monesta muusta verkkopalvelusta. </w:t>
      </w:r>
      <w:r w:rsidR="00C749C5" w:rsidRPr="00265287">
        <w:rPr>
          <w:rFonts w:eastAsia="Times New Roman" w:cs="Times New Roman"/>
          <w:sz w:val="22"/>
          <w:lang w:val="fi-FI"/>
        </w:rPr>
        <w:t>Verkkopalveluissa julkaistuista viesteistä maininnat tieteellisistä artikkeleista tunnistetaan useimmiten yksilöllisten tunnisteiden</w:t>
      </w:r>
      <w:r w:rsidR="355DDF72" w:rsidRPr="00265287">
        <w:rPr>
          <w:rFonts w:eastAsia="Times New Roman" w:cs="Times New Roman"/>
          <w:sz w:val="22"/>
          <w:lang w:val="fi-FI"/>
        </w:rPr>
        <w:t>,</w:t>
      </w:r>
      <w:r w:rsidR="00C749C5" w:rsidRPr="00265287">
        <w:rPr>
          <w:rFonts w:eastAsia="Times New Roman" w:cs="Times New Roman"/>
          <w:sz w:val="22"/>
          <w:lang w:val="fi-FI"/>
        </w:rPr>
        <w:t xml:space="preserve"> kuten DOI</w:t>
      </w:r>
      <w:r w:rsidR="355DDF72" w:rsidRPr="00265287">
        <w:rPr>
          <w:rFonts w:eastAsia="Times New Roman" w:cs="Times New Roman"/>
          <w:sz w:val="22"/>
          <w:lang w:val="fi-FI"/>
        </w:rPr>
        <w:t>:n</w:t>
      </w:r>
      <w:r w:rsidR="00C749C5" w:rsidRPr="00265287">
        <w:rPr>
          <w:rFonts w:eastAsia="Times New Roman" w:cs="Times New Roman"/>
          <w:sz w:val="22"/>
          <w:lang w:val="fi-FI"/>
        </w:rPr>
        <w:t xml:space="preserve"> ja PubMedID</w:t>
      </w:r>
      <w:r w:rsidR="355DDF72" w:rsidRPr="00265287">
        <w:rPr>
          <w:rFonts w:eastAsia="Times New Roman" w:cs="Times New Roman"/>
          <w:sz w:val="22"/>
          <w:lang w:val="fi-FI"/>
        </w:rPr>
        <w:t>:n</w:t>
      </w:r>
      <w:r w:rsidR="00C749C5" w:rsidRPr="00265287">
        <w:rPr>
          <w:rFonts w:eastAsia="Times New Roman" w:cs="Times New Roman"/>
          <w:sz w:val="22"/>
          <w:lang w:val="fi-FI"/>
        </w:rPr>
        <w:t xml:space="preserve"> perusteella, mutta Altmetric käyttää </w:t>
      </w:r>
      <w:r w:rsidR="355DDF72" w:rsidRPr="00265287">
        <w:rPr>
          <w:rFonts w:eastAsia="Times New Roman" w:cs="Times New Roman"/>
          <w:sz w:val="22"/>
          <w:lang w:val="fi-FI"/>
        </w:rPr>
        <w:t xml:space="preserve">lisäksi </w:t>
      </w:r>
      <w:r w:rsidR="00C749C5" w:rsidRPr="00265287">
        <w:rPr>
          <w:rFonts w:eastAsia="Times New Roman" w:cs="Times New Roman"/>
          <w:sz w:val="22"/>
          <w:lang w:val="fi-FI"/>
        </w:rPr>
        <w:t>myös tarkoitukseen kehitettyjä tekstintunnistu</w:t>
      </w:r>
      <w:r w:rsidR="00722016" w:rsidRPr="00265287">
        <w:rPr>
          <w:rFonts w:eastAsia="Times New Roman" w:cs="Times New Roman"/>
          <w:sz w:val="22"/>
          <w:lang w:val="fi-FI"/>
        </w:rPr>
        <w:t>salgoritmeja</w:t>
      </w:r>
      <w:r w:rsidR="00C749C5" w:rsidRPr="00265287">
        <w:rPr>
          <w:rFonts w:eastAsia="Times New Roman" w:cs="Times New Roman"/>
          <w:sz w:val="22"/>
          <w:lang w:val="fi-FI"/>
        </w:rPr>
        <w:t xml:space="preserve">. On kuitenkin mahdotonta arvioida miten suuri osa kaikista </w:t>
      </w:r>
      <w:r w:rsidR="00722016" w:rsidRPr="00265287">
        <w:rPr>
          <w:rFonts w:eastAsia="Times New Roman" w:cs="Times New Roman"/>
          <w:sz w:val="22"/>
          <w:lang w:val="fi-FI"/>
        </w:rPr>
        <w:t xml:space="preserve">tietyn verkkopalvelun </w:t>
      </w:r>
      <w:r w:rsidR="00C749C5" w:rsidRPr="00265287">
        <w:rPr>
          <w:rFonts w:eastAsia="Times New Roman" w:cs="Times New Roman"/>
          <w:sz w:val="22"/>
          <w:lang w:val="fi-FI"/>
        </w:rPr>
        <w:t>viesteistä</w:t>
      </w:r>
      <w:r w:rsidR="355DDF72" w:rsidRPr="00265287">
        <w:rPr>
          <w:rFonts w:eastAsia="Times New Roman" w:cs="Times New Roman"/>
          <w:sz w:val="22"/>
          <w:lang w:val="fi-FI"/>
        </w:rPr>
        <w:t>,</w:t>
      </w:r>
      <w:r w:rsidR="00C749C5" w:rsidRPr="00265287">
        <w:rPr>
          <w:rFonts w:eastAsia="Times New Roman" w:cs="Times New Roman"/>
          <w:sz w:val="22"/>
          <w:lang w:val="fi-FI"/>
        </w:rPr>
        <w:t xml:space="preserve"> jotka käsittelevät tieteellisiä artikkeleita</w:t>
      </w:r>
      <w:r w:rsidR="355DDF72" w:rsidRPr="00265287">
        <w:rPr>
          <w:rFonts w:eastAsia="Times New Roman" w:cs="Times New Roman"/>
          <w:sz w:val="22"/>
          <w:lang w:val="fi-FI"/>
        </w:rPr>
        <w:t>,</w:t>
      </w:r>
      <w:r w:rsidR="00C749C5" w:rsidRPr="00265287">
        <w:rPr>
          <w:rFonts w:eastAsia="Times New Roman" w:cs="Times New Roman"/>
          <w:sz w:val="22"/>
          <w:lang w:val="fi-FI"/>
        </w:rPr>
        <w:t xml:space="preserve"> pystytään näillä menetelmillä tunnistamaan</w:t>
      </w:r>
      <w:r w:rsidR="00722016" w:rsidRPr="00265287">
        <w:rPr>
          <w:rFonts w:eastAsia="Times New Roman" w:cs="Times New Roman"/>
          <w:sz w:val="22"/>
          <w:lang w:val="fi-FI"/>
        </w:rPr>
        <w:t>; poikkeuksena Mendeley, CiteULike ja Wikipedia</w:t>
      </w:r>
      <w:r w:rsidR="355DDF72" w:rsidRPr="00265287">
        <w:rPr>
          <w:rFonts w:eastAsia="Times New Roman" w:cs="Times New Roman"/>
          <w:sz w:val="22"/>
          <w:lang w:val="fi-FI"/>
        </w:rPr>
        <w:t>,</w:t>
      </w:r>
      <w:r w:rsidR="00722016" w:rsidRPr="00265287">
        <w:rPr>
          <w:rFonts w:eastAsia="Times New Roman" w:cs="Times New Roman"/>
          <w:sz w:val="22"/>
          <w:lang w:val="fi-FI"/>
        </w:rPr>
        <w:t xml:space="preserve"> joiden tietokannat on hyödynnetty kokonaisuudessaan. </w:t>
      </w:r>
      <w:r w:rsidRPr="00265287">
        <w:rPr>
          <w:rFonts w:eastAsia="Times New Roman" w:cs="Times New Roman"/>
          <w:sz w:val="22"/>
          <w:lang w:val="fi-FI"/>
        </w:rPr>
        <w:t xml:space="preserve">Hyödyntämällä artikkelien yksilöllisiä DOI-tunnuksia etsimme </w:t>
      </w:r>
      <w:r w:rsidR="00335166" w:rsidRPr="00265287">
        <w:rPr>
          <w:rFonts w:eastAsia="Times New Roman" w:cs="Times New Roman"/>
          <w:sz w:val="22"/>
          <w:lang w:val="fi-FI"/>
        </w:rPr>
        <w:t xml:space="preserve">VIRTA-tietokannasta haettujen </w:t>
      </w:r>
      <w:r w:rsidRPr="00265287">
        <w:rPr>
          <w:rFonts w:eastAsia="Times New Roman" w:cs="Times New Roman"/>
          <w:sz w:val="22"/>
          <w:lang w:val="fi-FI"/>
        </w:rPr>
        <w:t>artikkelien altmetriset tiedot Altmetric</w:t>
      </w:r>
      <w:r w:rsidR="00335166" w:rsidRPr="00265287">
        <w:rPr>
          <w:rFonts w:eastAsia="Times New Roman" w:cs="Times New Roman"/>
          <w:sz w:val="22"/>
          <w:lang w:val="fi-FI"/>
        </w:rPr>
        <w:t xml:space="preserve"> LLP</w:t>
      </w:r>
      <w:r w:rsidR="60CAD1BF" w:rsidRPr="00265287">
        <w:rPr>
          <w:rFonts w:eastAsia="Times New Roman" w:cs="Times New Roman"/>
          <w:sz w:val="22"/>
          <w:lang w:val="fi-FI"/>
        </w:rPr>
        <w:t>:</w:t>
      </w:r>
      <w:r w:rsidR="00335166" w:rsidRPr="00265287">
        <w:rPr>
          <w:rFonts w:eastAsia="Times New Roman" w:cs="Times New Roman"/>
          <w:sz w:val="22"/>
          <w:lang w:val="fi-FI"/>
        </w:rPr>
        <w:t>n jakamasta datasta</w:t>
      </w:r>
      <w:r w:rsidRPr="00265287">
        <w:rPr>
          <w:rFonts w:eastAsia="Times New Roman" w:cs="Times New Roman"/>
          <w:sz w:val="22"/>
          <w:lang w:val="fi-FI"/>
        </w:rPr>
        <w:t xml:space="preserve">. Artikkelit asetettiin järjestykseen niiden saaman huomion mukaan eri verkkopalveluissa (Twitter, Facebook, Mendeley, CiteUlike, Wikipedia, blogikirjoitukset ja uutislähteet). Lopuksi tarkasteluun valittiin verkkopalveluittain </w:t>
      </w:r>
      <w:r w:rsidR="00335166" w:rsidRPr="00265287">
        <w:rPr>
          <w:rFonts w:eastAsia="Times New Roman" w:cs="Times New Roman"/>
          <w:sz w:val="22"/>
          <w:lang w:val="fi-FI"/>
        </w:rPr>
        <w:t xml:space="preserve">mainintojen määrän perusteella </w:t>
      </w:r>
      <w:r w:rsidRPr="00265287">
        <w:rPr>
          <w:rFonts w:eastAsia="Times New Roman" w:cs="Times New Roman"/>
          <w:sz w:val="22"/>
          <w:lang w:val="fi-FI"/>
        </w:rPr>
        <w:t xml:space="preserve">menestynein </w:t>
      </w:r>
      <w:r w:rsidR="00335166" w:rsidRPr="00265287">
        <w:rPr>
          <w:rFonts w:eastAsia="Times New Roman" w:cs="Times New Roman"/>
          <w:sz w:val="22"/>
          <w:lang w:val="fi-FI"/>
        </w:rPr>
        <w:t xml:space="preserve">yksi </w:t>
      </w:r>
      <w:r w:rsidRPr="00265287">
        <w:rPr>
          <w:rFonts w:eastAsia="Times New Roman" w:cs="Times New Roman"/>
          <w:sz w:val="22"/>
          <w:lang w:val="fi-FI"/>
        </w:rPr>
        <w:t>prosentti artikkeleista.</w:t>
      </w:r>
      <w:r w:rsidR="5BA9FBD5" w:rsidRPr="00265287">
        <w:rPr>
          <w:rFonts w:eastAsia="Times New Roman" w:cs="Times New Roman"/>
          <w:sz w:val="22"/>
          <w:lang w:val="fi-FI"/>
        </w:rPr>
        <w:t xml:space="preserve"> </w:t>
      </w:r>
      <w:r w:rsidR="00293C9E">
        <w:rPr>
          <w:rFonts w:eastAsia="Times New Roman" w:cs="Times New Roman"/>
          <w:sz w:val="22"/>
          <w:lang w:val="fi-FI"/>
        </w:rPr>
        <w:t xml:space="preserve">Artikkelien tarkastelun rajaaminen suosituimpaan prosenttiin on perusteltua tutkimusten verkkosuosion polaarisuuden perusteella. Suosituimmat artikkelit saivat osakseen merkittävää verkkohuomiota, kun taas enemmistöllä tutkimuksista verkkohuomio rajoittui vain muutamaan merkintään. Koska tavoitteena on tarkastella mainintoihin johtaneita syitä henkilökohtaisen kyselytutkimuksen kautta, oli myös tutkimusekonomisista syistä perusteltua valita suosituin prosentti laajemman määrän sijaan. </w:t>
      </w:r>
    </w:p>
    <w:p w14:paraId="1C63E8D4" w14:textId="3D7102CC" w:rsidR="003849AE" w:rsidRPr="00265287" w:rsidRDefault="00210EE8" w:rsidP="00265287">
      <w:pPr>
        <w:spacing w:line="360" w:lineRule="auto"/>
        <w:rPr>
          <w:rFonts w:eastAsia="Times New Roman" w:cs="Times New Roman"/>
          <w:sz w:val="22"/>
          <w:lang w:val="fi-FI"/>
        </w:rPr>
      </w:pPr>
      <w:r w:rsidRPr="00265287">
        <w:rPr>
          <w:rFonts w:eastAsia="Times New Roman" w:cs="Times New Roman"/>
          <w:sz w:val="22"/>
          <w:lang w:val="fi-FI"/>
        </w:rPr>
        <w:t>Tutkimuksen aineisto kerättiin lähettämällä tutkijoille</w:t>
      </w:r>
      <w:r w:rsidR="008E1A99" w:rsidRPr="00265287">
        <w:rPr>
          <w:rFonts w:eastAsia="Times New Roman" w:cs="Times New Roman"/>
          <w:sz w:val="22"/>
          <w:lang w:val="fi-FI"/>
        </w:rPr>
        <w:t xml:space="preserve"> sähköpostitse</w:t>
      </w:r>
      <w:r w:rsidRPr="00265287">
        <w:rPr>
          <w:rFonts w:eastAsia="Times New Roman" w:cs="Times New Roman"/>
          <w:sz w:val="22"/>
          <w:lang w:val="fi-FI"/>
        </w:rPr>
        <w:t xml:space="preserve"> kyselylomake, joka oli räätälöity kunkin tutkijan yksilöllisen menestymisen perusteella.</w:t>
      </w:r>
      <w:r w:rsidR="003849AE" w:rsidRPr="00265287">
        <w:rPr>
          <w:rFonts w:eastAsia="Times New Roman" w:cs="Times New Roman"/>
          <w:sz w:val="22"/>
          <w:lang w:val="fi-FI"/>
        </w:rPr>
        <w:t xml:space="preserve"> Koko kyselyyn kuuluneita tutkijoita oli yhteensä 465 henkilöä. Alkuperäisessä aineistossa tutkijat oli jaoteltu eri OECD:n tutkimusalojen mukaisesti </w:t>
      </w:r>
      <w:r w:rsidR="003849AE" w:rsidRPr="00265287">
        <w:rPr>
          <w:rStyle w:val="FootnoteReference"/>
          <w:rFonts w:eastAsia="Times New Roman" w:cs="Times New Roman"/>
          <w:sz w:val="22"/>
          <w:lang w:val="fi-FI"/>
        </w:rPr>
        <w:footnoteReference w:id="1"/>
      </w:r>
      <w:r w:rsidR="003849AE" w:rsidRPr="00265287">
        <w:rPr>
          <w:rFonts w:eastAsia="Times New Roman" w:cs="Times New Roman"/>
          <w:sz w:val="22"/>
          <w:lang w:val="fi-FI"/>
        </w:rPr>
        <w:t>. Kyselyyn vastasi 170 henkilöä (36,6 % kaikista kyselyn piiriin kuuluneista tutkijoista).</w:t>
      </w:r>
      <w:r w:rsidR="003B603B" w:rsidRPr="00265287">
        <w:rPr>
          <w:rFonts w:eastAsia="Times New Roman" w:cs="Times New Roman"/>
          <w:sz w:val="22"/>
          <w:lang w:val="fi-FI"/>
        </w:rPr>
        <w:t xml:space="preserve"> Kyselyn ulkopuolelle jäi 69 henkilöä (14,8 %), joille ei, yrityksistä huolimatta, löydetty toimivaa sähköpostiosoitetta.</w:t>
      </w:r>
      <w:r w:rsidR="003849AE" w:rsidRPr="00265287">
        <w:rPr>
          <w:rFonts w:eastAsia="Times New Roman" w:cs="Times New Roman"/>
          <w:sz w:val="22"/>
          <w:lang w:val="fi-FI"/>
        </w:rPr>
        <w:t xml:space="preserve"> Osalla tutkimukseen valikoituneista henkilöistä julkaistu tutkimus ylsi suosituimpaan yhteen prosenttiin useassa eri verkkopalvelussa. Näin ollen </w:t>
      </w:r>
      <w:r w:rsidR="001F5820" w:rsidRPr="00265287">
        <w:rPr>
          <w:rFonts w:eastAsia="Times New Roman" w:cs="Times New Roman"/>
          <w:sz w:val="22"/>
          <w:lang w:val="fi-FI"/>
        </w:rPr>
        <w:t xml:space="preserve">tutkijan vastaus </w:t>
      </w:r>
      <w:r w:rsidR="003849AE" w:rsidRPr="00265287">
        <w:rPr>
          <w:rFonts w:eastAsia="Times New Roman" w:cs="Times New Roman"/>
          <w:sz w:val="22"/>
          <w:lang w:val="fi-FI"/>
        </w:rPr>
        <w:t xml:space="preserve">rekisteröityi aineistoon </w:t>
      </w:r>
      <w:r w:rsidR="006377CA" w:rsidRPr="00265287">
        <w:rPr>
          <w:rFonts w:eastAsia="Times New Roman" w:cs="Times New Roman"/>
          <w:sz w:val="22"/>
          <w:lang w:val="fi-FI"/>
        </w:rPr>
        <w:t>useamman kertaa</w:t>
      </w:r>
      <w:r w:rsidR="003849AE" w:rsidRPr="00265287">
        <w:rPr>
          <w:rFonts w:eastAsia="Times New Roman" w:cs="Times New Roman"/>
          <w:sz w:val="22"/>
          <w:lang w:val="fi-FI"/>
        </w:rPr>
        <w:t>: sama vastaus kullekin internetalustalle. Yksittäiseksi vastaajaksi hänet tilastoitiin kuitenkin vain kerran.</w:t>
      </w:r>
      <w:r w:rsidR="00722016" w:rsidRPr="00265287">
        <w:rPr>
          <w:rFonts w:eastAsia="Times New Roman" w:cs="Times New Roman"/>
          <w:sz w:val="22"/>
          <w:lang w:val="fi-FI"/>
        </w:rPr>
        <w:t xml:space="preserve"> Joillain tutkijoilla saattoi myös olla useampi artikkeli valikoitunut mukaan tutkimukseen; tällöin häntä pyydettiin vastaamaan jokaisen artikkelin kohdalla erikseen. </w:t>
      </w:r>
    </w:p>
    <w:p w14:paraId="45E0DD4B" w14:textId="7142AEB8" w:rsidR="00695677" w:rsidRPr="00637624" w:rsidRDefault="006908DE" w:rsidP="00637624">
      <w:pPr>
        <w:spacing w:line="360" w:lineRule="auto"/>
        <w:rPr>
          <w:rFonts w:cs="Times New Roman"/>
          <w:sz w:val="22"/>
          <w:lang w:val="fi-FI"/>
        </w:rPr>
      </w:pPr>
      <w:r w:rsidRPr="00637624">
        <w:rPr>
          <w:rFonts w:cs="Times New Roman"/>
          <w:sz w:val="22"/>
          <w:lang w:val="fi-FI"/>
        </w:rPr>
        <w:t>V</w:t>
      </w:r>
      <w:r w:rsidR="003468C6" w:rsidRPr="00637624">
        <w:rPr>
          <w:rFonts w:cs="Times New Roman"/>
          <w:sz w:val="22"/>
          <w:lang w:val="fi-FI"/>
        </w:rPr>
        <w:t xml:space="preserve">astaajille esitettiin </w:t>
      </w:r>
      <w:r w:rsidR="00B2212B" w:rsidRPr="00637624">
        <w:rPr>
          <w:rFonts w:cs="Times New Roman"/>
          <w:sz w:val="22"/>
          <w:lang w:val="fi-FI"/>
        </w:rPr>
        <w:t xml:space="preserve">seuraavat </w:t>
      </w:r>
      <w:r w:rsidR="00ED4048">
        <w:rPr>
          <w:rFonts w:cs="Times New Roman"/>
          <w:sz w:val="22"/>
          <w:lang w:val="fi-FI"/>
        </w:rPr>
        <w:t>kolme</w:t>
      </w:r>
      <w:r w:rsidR="00ED4048" w:rsidRPr="00637624">
        <w:rPr>
          <w:rFonts w:cs="Times New Roman"/>
          <w:sz w:val="22"/>
          <w:lang w:val="fi-FI"/>
        </w:rPr>
        <w:t xml:space="preserve"> </w:t>
      </w:r>
      <w:r w:rsidR="006377CA" w:rsidRPr="00637624">
        <w:rPr>
          <w:rFonts w:cs="Times New Roman"/>
          <w:sz w:val="22"/>
          <w:lang w:val="fi-FI"/>
        </w:rPr>
        <w:t xml:space="preserve">avointa </w:t>
      </w:r>
      <w:r w:rsidR="00E974FE" w:rsidRPr="00637624">
        <w:rPr>
          <w:rFonts w:cs="Times New Roman"/>
          <w:sz w:val="22"/>
          <w:lang w:val="fi-FI"/>
        </w:rPr>
        <w:t>kysymystä</w:t>
      </w:r>
      <w:r w:rsidR="00B2212B" w:rsidRPr="00637624">
        <w:rPr>
          <w:rFonts w:cs="Times New Roman"/>
          <w:sz w:val="22"/>
          <w:lang w:val="fi-FI"/>
        </w:rPr>
        <w:t>:</w:t>
      </w:r>
    </w:p>
    <w:p w14:paraId="254286BA" w14:textId="590EF020" w:rsidR="00B2212B" w:rsidRPr="00637624" w:rsidRDefault="00B2212B" w:rsidP="00637624">
      <w:pPr>
        <w:pStyle w:val="ListParagraph"/>
        <w:numPr>
          <w:ilvl w:val="0"/>
          <w:numId w:val="1"/>
        </w:numPr>
        <w:spacing w:line="360" w:lineRule="auto"/>
        <w:rPr>
          <w:rFonts w:cs="Times New Roman"/>
          <w:i/>
          <w:sz w:val="22"/>
          <w:lang w:val="fi-FI"/>
        </w:rPr>
      </w:pPr>
      <w:r w:rsidRPr="00637624">
        <w:rPr>
          <w:rFonts w:cs="Times New Roman"/>
          <w:i/>
          <w:sz w:val="22"/>
          <w:lang w:val="fi-FI"/>
        </w:rPr>
        <w:t>Minkä tekijöiden uskotte vaikuttaneen artikkelin suosioon edellä mainitussa verkkopalvelussa/-palveluissa?</w:t>
      </w:r>
    </w:p>
    <w:p w14:paraId="0854A666" w14:textId="77777777" w:rsidR="00B2212B" w:rsidRPr="00637624" w:rsidRDefault="00B2212B" w:rsidP="00637624">
      <w:pPr>
        <w:pStyle w:val="ListParagraph"/>
        <w:numPr>
          <w:ilvl w:val="0"/>
          <w:numId w:val="1"/>
        </w:numPr>
        <w:spacing w:line="360" w:lineRule="auto"/>
        <w:rPr>
          <w:rFonts w:cs="Times New Roman"/>
          <w:i/>
          <w:sz w:val="22"/>
          <w:lang w:val="fi-FI"/>
        </w:rPr>
      </w:pPr>
      <w:r w:rsidRPr="00637624">
        <w:rPr>
          <w:rFonts w:cs="Times New Roman"/>
          <w:i/>
          <w:sz w:val="22"/>
          <w:lang w:val="fi-FI"/>
        </w:rPr>
        <w:t>Mitä uskotte kyseisen verkkohuomion kertovan artikkelistanne ja sen yhteiskunnallisesta tai tieteellisestä vaikuttavuudesta?</w:t>
      </w:r>
    </w:p>
    <w:p w14:paraId="5B9682C1" w14:textId="77777777" w:rsidR="00B2212B" w:rsidRPr="00637624" w:rsidRDefault="00B2212B" w:rsidP="00637624">
      <w:pPr>
        <w:pStyle w:val="ListParagraph"/>
        <w:numPr>
          <w:ilvl w:val="0"/>
          <w:numId w:val="1"/>
        </w:numPr>
        <w:spacing w:line="360" w:lineRule="auto"/>
        <w:rPr>
          <w:rFonts w:cs="Times New Roman"/>
          <w:i/>
          <w:sz w:val="22"/>
          <w:lang w:val="fi-FI"/>
        </w:rPr>
      </w:pPr>
      <w:r w:rsidRPr="00637624">
        <w:rPr>
          <w:rFonts w:cs="Times New Roman"/>
          <w:i/>
          <w:sz w:val="22"/>
          <w:lang w:val="fi-FI"/>
        </w:rPr>
        <w:lastRenderedPageBreak/>
        <w:t>Seuraatteko aktiivisesti tieteellisten julkaisujenne verkossa saamaa huomiota? Jos kyllä, miten?</w:t>
      </w:r>
    </w:p>
    <w:p w14:paraId="27DB1A39" w14:textId="68EC6DF4" w:rsidR="001D387C" w:rsidRPr="00637624" w:rsidRDefault="001D387C" w:rsidP="00637624">
      <w:pPr>
        <w:spacing w:before="240" w:line="360" w:lineRule="auto"/>
        <w:rPr>
          <w:rFonts w:cs="Times New Roman"/>
          <w:sz w:val="22"/>
          <w:lang w:val="fi-FI"/>
        </w:rPr>
      </w:pPr>
      <w:r w:rsidRPr="00637624">
        <w:rPr>
          <w:rFonts w:cs="Times New Roman"/>
          <w:sz w:val="22"/>
          <w:lang w:val="fi-FI"/>
        </w:rPr>
        <w:t xml:space="preserve">Toisin kuin altmetriikassa yleisesti, tutkimuksessa perehdytään aiheeseen laadullisin menetelmin. Laadullista sisällönanalyysiä voidaan hyödyntää niin yksittäisenä metodina kuin myös teoreettisena viitekehyksenä, joka taipuu moniin eri analyysikokonaisuuksiin (Tuomi &amp; Sarajärvi, 2009, 91). </w:t>
      </w:r>
      <w:r w:rsidR="00433318">
        <w:rPr>
          <w:rFonts w:cs="Times New Roman"/>
          <w:sz w:val="22"/>
          <w:lang w:val="fi-FI"/>
        </w:rPr>
        <w:t>Vaikka kyseessä on jokko useita metodeja, on k</w:t>
      </w:r>
      <w:r w:rsidRPr="00637624">
        <w:rPr>
          <w:rFonts w:cs="Times New Roman"/>
          <w:sz w:val="22"/>
          <w:lang w:val="fi-FI"/>
        </w:rPr>
        <w:t xml:space="preserve">valitatiivista tutkimusta on </w:t>
      </w:r>
      <w:r w:rsidR="00722016">
        <w:rPr>
          <w:rFonts w:cs="Times New Roman"/>
          <w:sz w:val="22"/>
          <w:lang w:val="fi-FI"/>
        </w:rPr>
        <w:t xml:space="preserve">toisinaan </w:t>
      </w:r>
      <w:r w:rsidRPr="00637624">
        <w:rPr>
          <w:rFonts w:cs="Times New Roman"/>
          <w:sz w:val="22"/>
          <w:lang w:val="fi-FI"/>
        </w:rPr>
        <w:t>kuvailtu osuvasti subjektiivisena tutkimusmetodina</w:t>
      </w:r>
      <w:r w:rsidR="00433318">
        <w:rPr>
          <w:rFonts w:cs="Times New Roman"/>
          <w:sz w:val="22"/>
          <w:lang w:val="fi-FI"/>
        </w:rPr>
        <w:t>,</w:t>
      </w:r>
      <w:r w:rsidRPr="00637624">
        <w:rPr>
          <w:rFonts w:cs="Times New Roman"/>
          <w:sz w:val="22"/>
          <w:lang w:val="fi-FI"/>
        </w:rPr>
        <w:t>jo</w:t>
      </w:r>
      <w:r w:rsidR="00433318">
        <w:rPr>
          <w:rFonts w:cs="Times New Roman"/>
          <w:sz w:val="22"/>
          <w:lang w:val="fi-FI"/>
        </w:rPr>
        <w:t>ssa</w:t>
      </w:r>
      <w:r w:rsidRPr="00637624">
        <w:rPr>
          <w:rFonts w:cs="Times New Roman"/>
          <w:sz w:val="22"/>
          <w:lang w:val="fi-FI"/>
        </w:rPr>
        <w:t xml:space="preserve"> </w:t>
      </w:r>
      <w:r w:rsidR="00722016">
        <w:rPr>
          <w:rFonts w:cs="Times New Roman"/>
          <w:sz w:val="22"/>
          <w:lang w:val="fi-FI"/>
        </w:rPr>
        <w:t xml:space="preserve"> </w:t>
      </w:r>
      <w:r w:rsidRPr="00637624">
        <w:rPr>
          <w:rFonts w:cs="Times New Roman"/>
          <w:sz w:val="22"/>
          <w:lang w:val="fi-FI"/>
        </w:rPr>
        <w:t>tulkit</w:t>
      </w:r>
      <w:r w:rsidR="00433318">
        <w:rPr>
          <w:rFonts w:cs="Times New Roman"/>
          <w:sz w:val="22"/>
          <w:lang w:val="fi-FI"/>
        </w:rPr>
        <w:t>aan</w:t>
      </w:r>
      <w:r w:rsidRPr="00637624">
        <w:rPr>
          <w:rFonts w:cs="Times New Roman"/>
          <w:sz w:val="22"/>
          <w:lang w:val="fi-FI"/>
        </w:rPr>
        <w:t xml:space="preserve"> tekstidatasta löytyviä </w:t>
      </w:r>
      <w:r w:rsidR="003B603B" w:rsidRPr="00637624">
        <w:rPr>
          <w:rFonts w:cs="Times New Roman"/>
          <w:sz w:val="22"/>
          <w:lang w:val="fi-FI"/>
        </w:rPr>
        <w:t>luokituksia ja analysoi</w:t>
      </w:r>
      <w:r w:rsidR="00433318">
        <w:rPr>
          <w:rFonts w:cs="Times New Roman"/>
          <w:sz w:val="22"/>
          <w:lang w:val="fi-FI"/>
        </w:rPr>
        <w:t>daan</w:t>
      </w:r>
      <w:r w:rsidR="003B603B" w:rsidRPr="00637624">
        <w:rPr>
          <w:rFonts w:cs="Times New Roman"/>
          <w:sz w:val="22"/>
          <w:lang w:val="fi-FI"/>
        </w:rPr>
        <w:t xml:space="preserve"> näiden luokitusten kautta muodostuvia yleisempiä teemoja</w:t>
      </w:r>
      <w:r w:rsidRPr="00637624">
        <w:rPr>
          <w:rFonts w:cs="Times New Roman"/>
          <w:sz w:val="22"/>
          <w:lang w:val="fi-FI"/>
        </w:rPr>
        <w:t xml:space="preserve"> (</w:t>
      </w:r>
      <w:r w:rsidRPr="00637624">
        <w:rPr>
          <w:rFonts w:cs="Times New Roman"/>
          <w:sz w:val="22"/>
          <w:lang w:val="fi-FI"/>
        </w:rPr>
        <w:fldChar w:fldCharType="begin" w:fldLock="1"/>
      </w:r>
      <w:r w:rsidR="003F0BC8" w:rsidRPr="00637624">
        <w:rPr>
          <w:rFonts w:cs="Times New Roman"/>
          <w:sz w:val="22"/>
          <w:lang w:val="fi-FI"/>
        </w:rPr>
        <w:instrText>ADDIN CSL_CITATION { "citationItems" : [ { "id" : "ITEM-1", "itemData" : { "DOI" : "10.1177/1049732305276687", "ISBN" : "1049-7323", "ISSN" : "1049-7323", "PMID" : "16204405", "abstract" : "Content analysis is a widely used qualitative research technique. Rather than being a single method, current applications of content analysis show three distinct approaches: conventional, directed, or summative. All three approaches are used to interpret meaning from the content of text data and, hence, adhere to the naturalistic paradigm. The major differences among the approaches are coding schemes, origins of codes, and threats to trustworthiness. In conventional content analysis, coding categories are derived directly from the text data. With a directed approach, analysis starts with a theory or relevant research findings as guidance for initial codes. A summative content analysis involves counting and comparisons, usually of keywords or content, followed by the interpretation of the underlying context. The authors delineate analytic procedures specific to each approach and techniques addressing trustworthiness with hypothetical examples drawn from the area of end-of-life care.", "author" : [ { "dropping-particle" : "", "family" : "Hsieh", "given" : "Hsiu-Fang", "non-dropping-particle" : "", "parse-names" : false, "suffix" : "" }, { "dropping-particle" : "", "family" : "Shannon", "given" : "Sarah E", "non-dropping-particle" : "", "parse-names" : false, "suffix" : "" } ], "container-title" : "Qualitative Health Research", "id" : "ITEM-1", "issue" : "9", "issued" : { "date-parts" : [ [ "2005" ] ] }, "page" : "1277-1288", "title" : "Three Approaches to Qualitative Content Analysis", "type" : "article-journal", "volume" : "15" }, "uris" : [ "http://www.mendeley.com/documents/?uuid=26504d23-5048-427d-a145-c93a59638894" ] } ], "mendeley" : { "formattedCitation" : "(Hsieh &amp; Shannon, 2005)", "manualFormatting" : "Hsieh &amp; Shannon, 2005, ", "plainTextFormattedCitation" : "(Hsieh &amp; Shannon, 2005)", "previouslyFormattedCitation" : "(Hsieh &amp; Shannon, 2005)"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Hsieh &amp; Shannon, 2005</w:t>
      </w:r>
      <w:r w:rsidR="003B603B" w:rsidRPr="00637624">
        <w:rPr>
          <w:rFonts w:cs="Times New Roman"/>
          <w:noProof/>
          <w:sz w:val="22"/>
          <w:lang w:val="fi-FI"/>
        </w:rPr>
        <w:t xml:space="preserve">, </w:t>
      </w:r>
      <w:r w:rsidRPr="00637624">
        <w:rPr>
          <w:rFonts w:cs="Times New Roman"/>
          <w:sz w:val="22"/>
          <w:lang w:val="fi-FI"/>
        </w:rPr>
        <w:fldChar w:fldCharType="end"/>
      </w:r>
      <w:r w:rsidRPr="00637624">
        <w:rPr>
          <w:rFonts w:cs="Times New Roman"/>
          <w:sz w:val="22"/>
          <w:lang w:val="fi-FI"/>
        </w:rPr>
        <w:fldChar w:fldCharType="begin" w:fldLock="1"/>
      </w:r>
      <w:r w:rsidRPr="00637624">
        <w:rPr>
          <w:rFonts w:cs="Times New Roman"/>
          <w:sz w:val="22"/>
          <w:lang w:val="fi-FI"/>
        </w:rPr>
        <w:instrText>ADDIN CSL_CITATION { "citationItems" : [ { "id" : "ITEM-1", "itemData" : { "DOI" : "10.1002/hbm.20661", "ISBN" : "9781591585039", "ISSN" : "14385627", "PMID" : "18830956", "abstract" : "The article describes an approach of systematic, rule guided qualitative text analysis, which tries to preserve some methodological strengths of quantitative content analysis and widen them to a concept of qualitative procedure. First the development of content analysis is delineated and the basic principles are explained (units of analysis, step models, working with categories, validity and reliability). Then the central procedures of qualitative content analysis, inductive development of categories and deductive application of categories, are worked out. The possibilities of computer programs in supporting those qualitative steps of analysis are shown and the possibilities and limits of the approach are discussed.", "author" : [ { "dropping-particle" : "", "family" : "Zhang", "given" : "Yan", "non-dropping-particle" : "", "parse-names" : false, "suffix" : "" }, { "dropping-particle" : "", "family" : "Wildemuth", "given" : "Barbara M", "non-dropping-particle" : "", "parse-names" : false, "suffix" : "" } ], "container-title" : "Applications of Social Research Methods to Questions in Information and Library Science", "id" : "ITEM-1", "issued" : { "date-parts" : [ [ "2009" ] ] }, "page" : "421", "title" : "Qualitative Analysis of Content", "type" : "article-journal" }, "uris" : [ "http://www.mendeley.com/documents/?uuid=18685cb8-a603-4c3a-8100-987ddfd51744" ] } ], "mendeley" : { "formattedCitation" : "(Zhang &amp; Wildemuth, 2009)", "manualFormatting" : "Zhang &amp; Wildemuth, 2009)", "plainTextFormattedCitation" : "(Zhang &amp; Wildemuth, 2009)", "previouslyFormattedCitation" : "(Zhang &amp; Wildemuth, 2009)"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Zhang &amp; Wildemuth, 2009)</w:t>
      </w:r>
      <w:r w:rsidRPr="00637624">
        <w:rPr>
          <w:rFonts w:cs="Times New Roman"/>
          <w:sz w:val="22"/>
          <w:lang w:val="fi-FI"/>
        </w:rPr>
        <w:fldChar w:fldCharType="end"/>
      </w:r>
      <w:r w:rsidRPr="00637624">
        <w:rPr>
          <w:rFonts w:cs="Times New Roman"/>
          <w:sz w:val="22"/>
          <w:lang w:val="fi-FI"/>
        </w:rPr>
        <w:t xml:space="preserve">. Laadullisen tutkimuksen tarkoituksena ei ole tuottaa lukumääriä tai tilastollista merkittävyyttä. Sen sijaan se auttaa ymmärtämään ympäröivää todellisuuttamme mahdollistaen sen luokittelun eri käyttäytymismalleihin, teemoihin ja kategorioihin </w:t>
      </w:r>
      <w:r w:rsidRPr="00637624">
        <w:rPr>
          <w:rFonts w:cs="Times New Roman"/>
          <w:sz w:val="22"/>
          <w:lang w:val="fi-FI"/>
        </w:rPr>
        <w:fldChar w:fldCharType="begin" w:fldLock="1"/>
      </w:r>
      <w:r w:rsidRPr="00637624">
        <w:rPr>
          <w:rFonts w:cs="Times New Roman"/>
          <w:sz w:val="22"/>
          <w:lang w:val="fi-FI"/>
        </w:rPr>
        <w:instrText>ADDIN CSL_CITATION { "citationItems" : [ { "id" : "ITEM-1", "itemData" : { "DOI" : "10.1002/hbm.20661", "ISBN" : "9781591585039", "ISSN" : "14385627", "PMID" : "18830956", "abstract" : "The article describes an approach of systematic, rule guided qualitative text analysis, which tries to preserve some methodological strengths of quantitative content analysis and widen them to a concept of qualitative procedure. First the development of content analysis is delineated and the basic principles are explained (units of analysis, step models, working with categories, validity and reliability). Then the central procedures of qualitative content analysis, inductive development of categories and deductive application of categories, are worked out. The possibilities of computer programs in supporting those qualitative steps of analysis are shown and the possibilities and limits of the approach are discussed.", "author" : [ { "dropping-particle" : "", "family" : "Zhang", "given" : "Yan", "non-dropping-particle" : "", "parse-names" : false, "suffix" : "" }, { "dropping-particle" : "", "family" : "Wildemuth", "given" : "Barbara M", "non-dropping-particle" : "", "parse-names" : false, "suffix" : "" } ], "container-title" : "Applications of Social Research Methods to Questions in Information and Library Science", "id" : "ITEM-1", "issued" : { "date-parts" : [ [ "2009" ] ] }, "page" : "421", "title" : "Qualitative Analysis of Content", "type" : "article-journal" }, "uris" : [ "http://www.mendeley.com/documents/?uuid=18685cb8-a603-4c3a-8100-987ddfd51744" ] } ], "mendeley" : { "formattedCitation" : "(Zhang &amp; Wildemuth, 2009)", "plainTextFormattedCitation" : "(Zhang &amp; Wildemuth, 2009)", "previouslyFormattedCitation" : "(Zhang &amp; Wildemuth, 2009)"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(Zhang &amp; Wildemuth, 2009)</w:t>
      </w:r>
      <w:r w:rsidRPr="00637624">
        <w:rPr>
          <w:rFonts w:cs="Times New Roman"/>
          <w:sz w:val="22"/>
          <w:lang w:val="fi-FI"/>
        </w:rPr>
        <w:fldChar w:fldCharType="end"/>
      </w:r>
      <w:r w:rsidRPr="00637624">
        <w:rPr>
          <w:rFonts w:cs="Times New Roman"/>
          <w:sz w:val="22"/>
          <w:lang w:val="fi-FI"/>
        </w:rPr>
        <w:t>.</w:t>
      </w:r>
    </w:p>
    <w:p w14:paraId="475B5A4B" w14:textId="4D9C023D" w:rsidR="003849AE" w:rsidRPr="00637624" w:rsidRDefault="00695677" w:rsidP="00637624">
      <w:pPr>
        <w:spacing w:line="360" w:lineRule="auto"/>
        <w:rPr>
          <w:rFonts w:cs="Times New Roman"/>
          <w:sz w:val="22"/>
          <w:lang w:val="fi-FI"/>
        </w:rPr>
      </w:pPr>
      <w:r w:rsidRPr="00637624">
        <w:rPr>
          <w:rFonts w:cs="Times New Roman"/>
          <w:sz w:val="22"/>
          <w:lang w:val="fi-FI"/>
        </w:rPr>
        <w:t xml:space="preserve">Saatujen vastausten perusteella tehdyssä data-analyysissä luettiin ensin aineisto huolellisesti läpi. Kokonaiskuvan muodostumisen jälkeen </w:t>
      </w:r>
      <w:r w:rsidR="00433318">
        <w:rPr>
          <w:rFonts w:cs="Times New Roman"/>
          <w:sz w:val="22"/>
          <w:lang w:val="fi-FI"/>
        </w:rPr>
        <w:t>teksti perattiin manuaalisesti</w:t>
      </w:r>
      <w:r w:rsidRPr="00637624">
        <w:rPr>
          <w:rFonts w:cs="Times New Roman"/>
          <w:sz w:val="22"/>
          <w:lang w:val="fi-FI"/>
        </w:rPr>
        <w:t xml:space="preserve"> vastaus kerrallaan. Vastauksista korostettiin sanoja tai virkkeitä, joiden </w:t>
      </w:r>
      <w:r w:rsidR="00D464CA" w:rsidRPr="00637624">
        <w:rPr>
          <w:rFonts w:cs="Times New Roman"/>
          <w:sz w:val="22"/>
          <w:lang w:val="fi-FI"/>
        </w:rPr>
        <w:t>nähtiin</w:t>
      </w:r>
      <w:r w:rsidRPr="00637624">
        <w:rPr>
          <w:rFonts w:cs="Times New Roman"/>
          <w:sz w:val="22"/>
          <w:lang w:val="fi-FI"/>
        </w:rPr>
        <w:t xml:space="preserve"> toistuvan teemamaisesti vastauksesta ja henkilöstä toiseen. </w:t>
      </w:r>
      <w:r w:rsidRPr="00637624">
        <w:rPr>
          <w:rFonts w:cs="Times New Roman"/>
          <w:sz w:val="22"/>
          <w:lang w:val="fi-FI"/>
        </w:rPr>
        <w:fldChar w:fldCharType="begin" w:fldLock="1"/>
      </w:r>
      <w:r w:rsidRPr="00637624">
        <w:rPr>
          <w:rFonts w:cs="Times New Roman"/>
          <w:sz w:val="22"/>
          <w:lang w:val="fi-FI"/>
        </w:rPr>
        <w:instrText>ADDIN CSL_CITATION { "citationItems" : [ { "id" : "ITEM-1", "itemData" : { "DOI" : "10.1177/1049732305276687", "ISBN" : "1049-7323", "ISSN" : "1049-7323", "PMID" : "16204405", "abstract" : "Content analysis is a widely used qualitative research technique. Rather than being a single method, current applications of content analysis show three distinct approaches: conventional, directed, or summative. All three approaches are used to interpret meaning from the content of text data and, hence, adhere to the naturalistic paradigm. The major differences among the approaches are coding schemes, origins of codes, and threats to trustworthiness. In conventional content analysis, coding categories are derived directly from the text data. With a directed approach, analysis starts with a theory or relevant research findings as guidance for initial codes. A summative content analysis involves counting and comparisons, usually of keywords or content, followed by the interpretation of the underlying context. The authors delineate analytic procedures specific to each approach and techniques addressing trustworthiness with hypothetical examples drawn from the area of end-of-life care.", "author" : [ { "dropping-particle" : "", "family" : "Hsieh", "given" : "Hsiu-Fang", "non-dropping-particle" : "", "parse-names" : false, "suffix" : "" }, { "dropping-particle" : "", "family" : "Shannon", "given" : "Sarah E", "non-dropping-particle" : "", "parse-names" : false, "suffix" : "" } ], "container-title" : "Qualitative Health Research", "id" : "ITEM-1", "issue" : "9", "issued" : { "date-parts" : [ [ "2005" ] ] }, "page" : "1277-1288", "title" : "Three Approaches to Qualitative Content Analysis", "type" : "article-journal", "volume" : "15" }, "uris" : [ "http://www.mendeley.com/documents/?uuid=26504d23-5048-427d-a145-c93a59638894" ] } ], "mendeley" : { "formattedCitation" : "(Hsieh &amp; Shannon, 2005)", "manualFormatting" : "Hsiehin ja Shannonin (2005)", "plainTextFormattedCitation" : "(Hsieh &amp; Shannon, 2005)", "previouslyFormattedCitation" : "(Hsieh &amp; Shannon, 2005)"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Hsiehin ja Shannonin (2005)</w:t>
      </w:r>
      <w:r w:rsidRPr="00637624">
        <w:rPr>
          <w:rFonts w:cs="Times New Roman"/>
          <w:sz w:val="22"/>
          <w:lang w:val="fi-FI"/>
        </w:rPr>
        <w:fldChar w:fldCharType="end"/>
      </w:r>
      <w:r w:rsidR="00D464CA" w:rsidRPr="00637624">
        <w:rPr>
          <w:rFonts w:cs="Times New Roman"/>
          <w:sz w:val="22"/>
          <w:lang w:val="fi-FI"/>
        </w:rPr>
        <w:t xml:space="preserve"> ohjeistuksen tavoin myös aineiston herättämät tunteet ja vaikutelmat kirjattiin ylös</w:t>
      </w:r>
      <w:r w:rsidR="00433318">
        <w:rPr>
          <w:rFonts w:cs="Times New Roman"/>
          <w:sz w:val="22"/>
          <w:lang w:val="fi-FI"/>
        </w:rPr>
        <w:t>,</w:t>
      </w:r>
      <w:r w:rsidR="00722016">
        <w:rPr>
          <w:rFonts w:cs="Times New Roman"/>
          <w:sz w:val="22"/>
          <w:lang w:val="fi-FI"/>
        </w:rPr>
        <w:t xml:space="preserve"> jotta näitä pystyttiin hyödyntämään</w:t>
      </w:r>
      <w:r w:rsidR="00433318">
        <w:rPr>
          <w:rFonts w:cs="Times New Roman"/>
          <w:sz w:val="22"/>
          <w:lang w:val="fi-FI"/>
        </w:rPr>
        <w:t xml:space="preserve"> aineiston</w:t>
      </w:r>
      <w:r w:rsidR="00722016">
        <w:rPr>
          <w:rFonts w:cs="Times New Roman"/>
          <w:sz w:val="22"/>
          <w:lang w:val="fi-FI"/>
        </w:rPr>
        <w:t xml:space="preserve"> lopullisessa loukituksessa</w:t>
      </w:r>
      <w:r w:rsidRPr="00637624">
        <w:rPr>
          <w:rFonts w:cs="Times New Roman"/>
          <w:sz w:val="22"/>
          <w:lang w:val="fi-FI"/>
        </w:rPr>
        <w:t>.</w:t>
      </w:r>
      <w:r w:rsidR="00D464CA" w:rsidRPr="00637624">
        <w:rPr>
          <w:rFonts w:cs="Times New Roman"/>
          <w:sz w:val="22"/>
          <w:lang w:val="fi-FI"/>
        </w:rPr>
        <w:t xml:space="preserve"> Seuraavaksi </w:t>
      </w:r>
      <w:r w:rsidR="00433318">
        <w:rPr>
          <w:rFonts w:cs="Times New Roman"/>
          <w:sz w:val="22"/>
          <w:lang w:val="fi-FI"/>
        </w:rPr>
        <w:t>vastaukset</w:t>
      </w:r>
      <w:r w:rsidR="00D464CA" w:rsidRPr="00637624">
        <w:rPr>
          <w:rFonts w:cs="Times New Roman"/>
          <w:sz w:val="22"/>
          <w:lang w:val="fi-FI"/>
        </w:rPr>
        <w:t xml:space="preserve"> </w:t>
      </w:r>
      <w:r w:rsidR="009901A3" w:rsidRPr="00637624">
        <w:rPr>
          <w:rFonts w:cs="Times New Roman"/>
          <w:sz w:val="22"/>
          <w:lang w:val="fi-FI"/>
        </w:rPr>
        <w:t>koodattiin</w:t>
      </w:r>
      <w:r w:rsidR="00092481" w:rsidRPr="00637624">
        <w:rPr>
          <w:rFonts w:cs="Times New Roman"/>
          <w:sz w:val="22"/>
          <w:lang w:val="fi-FI"/>
        </w:rPr>
        <w:t xml:space="preserve"> kategorioittain</w:t>
      </w:r>
      <w:r w:rsidR="00D464CA" w:rsidRPr="00637624">
        <w:rPr>
          <w:rFonts w:cs="Times New Roman"/>
          <w:sz w:val="22"/>
          <w:lang w:val="fi-FI"/>
        </w:rPr>
        <w:t xml:space="preserve">. </w:t>
      </w:r>
      <w:r w:rsidR="009901A3" w:rsidRPr="00637624">
        <w:rPr>
          <w:rFonts w:cs="Times New Roman"/>
          <w:sz w:val="22"/>
          <w:lang w:val="fi-FI"/>
        </w:rPr>
        <w:t xml:space="preserve">Koodaaminen tapahtui aineistolähtöisen analyysin – yhdysvaltalaisessa tutkimusperinteessä kutsutun induktiivisen analyysin – keinoin, jolloin </w:t>
      </w:r>
      <w:r w:rsidR="00092481" w:rsidRPr="00637624">
        <w:rPr>
          <w:rFonts w:cs="Times New Roman"/>
          <w:sz w:val="22"/>
          <w:lang w:val="fi-FI"/>
        </w:rPr>
        <w:t xml:space="preserve">vastauksista </w:t>
      </w:r>
      <w:r w:rsidR="00FE0612" w:rsidRPr="00637624">
        <w:rPr>
          <w:rFonts w:cs="Times New Roman"/>
          <w:sz w:val="22"/>
          <w:lang w:val="fi-FI"/>
        </w:rPr>
        <w:t>pyritään</w:t>
      </w:r>
      <w:r w:rsidR="009901A3" w:rsidRPr="00637624">
        <w:rPr>
          <w:rFonts w:cs="Times New Roman"/>
          <w:sz w:val="22"/>
          <w:lang w:val="fi-FI"/>
        </w:rPr>
        <w:t xml:space="preserve"> hahmottamaan erilaisia toistuvia teemoja ja kuvailuja, joita </w:t>
      </w:r>
      <w:r w:rsidR="00FE0612" w:rsidRPr="00637624">
        <w:rPr>
          <w:rFonts w:cs="Times New Roman"/>
          <w:sz w:val="22"/>
          <w:lang w:val="fi-FI"/>
        </w:rPr>
        <w:t xml:space="preserve">voi myöhemmin hyödyntää </w:t>
      </w:r>
      <w:r w:rsidR="009901A3" w:rsidRPr="00637624">
        <w:rPr>
          <w:rFonts w:cs="Times New Roman"/>
          <w:sz w:val="22"/>
          <w:lang w:val="fi-FI"/>
        </w:rPr>
        <w:t>arvioidessa tutkimuste</w:t>
      </w:r>
      <w:r w:rsidR="00FE0612" w:rsidRPr="00637624">
        <w:rPr>
          <w:rFonts w:cs="Times New Roman"/>
          <w:sz w:val="22"/>
          <w:lang w:val="fi-FI"/>
        </w:rPr>
        <w:t>n</w:t>
      </w:r>
      <w:r w:rsidR="009901A3" w:rsidRPr="00637624">
        <w:rPr>
          <w:rFonts w:cs="Times New Roman"/>
          <w:sz w:val="22"/>
          <w:lang w:val="fi-FI"/>
        </w:rPr>
        <w:t xml:space="preserve"> yhteiskunnallista merkittävyyttä ja suosiota kyseisillä internetalustoilla </w:t>
      </w:r>
      <w:r w:rsidR="009901A3" w:rsidRPr="00637624">
        <w:rPr>
          <w:rFonts w:cs="Times New Roman"/>
          <w:sz w:val="22"/>
          <w:lang w:val="fi-FI"/>
        </w:rPr>
        <w:fldChar w:fldCharType="begin" w:fldLock="1"/>
      </w:r>
      <w:r w:rsidR="009901A3" w:rsidRPr="00637624">
        <w:rPr>
          <w:rFonts w:cs="Times New Roman"/>
          <w:sz w:val="22"/>
          <w:lang w:val="fi-FI"/>
        </w:rPr>
        <w:instrText>ADDIN CSL_CITATION { "citationItems" : [ { "id" : "ITEM-1", "itemData" : { "DOI" : "10.1002/hbm.20661", "ISBN" : "9781591585039", "ISSN" : "14385627", "PMID" : "18830956", "abstract" : "The article describes an approach of systematic, rule guided qualitative text analysis, which tries to preserve some methodological strengths of quantitative content analysis and widen them to a concept of qualitative procedure. First the development of content analysis is delineated and the basic principles are explained (units of analysis, step models, working with categories, validity and reliability). Then the central procedures of qualitative content analysis, inductive development of categories and deductive application of categories, are worked out. The possibilities of computer programs in supporting those qualitative steps of analysis are shown and the possibilities and limits of the approach are discussed.", "author" : [ { "dropping-particle" : "", "family" : "Zhang", "given" : "Yan", "non-dropping-particle" : "", "parse-names" : false, "suffix" : "" }, { "dropping-particle" : "", "family" : "Wildemuth", "given" : "Barbara M", "non-dropping-particle" : "", "parse-names" : false, "suffix" : "" } ], "container-title" : "Applications of Social Research Methods to Questions in Information and Library Science", "id" : "ITEM-1", "issued" : { "date-parts" : [ [ "2009" ] ] }, "page" : "421", "title" : "Qualitative Analysis of Content", "type" : "article-journal" }, "uris" : [ "http://www.mendeley.com/documents/?uuid=18685cb8-a603-4c3a-8100-987ddfd51744" ] } ], "mendeley" : { "formattedCitation" : "(Zhang &amp; Wildemuth, 2009)", "manualFormatting" : "(Zhang &amp; Wildemuth, 2009, Tuomi ja Saraj\u00e4rvi, 2009, 96)", "plainTextFormattedCitation" : "(Zhang &amp; Wildemuth, 2009)", "previouslyFormattedCitation" : "(Zhang &amp; Wildemuth, 2009)" }, "properties" : { "noteIndex" : 0 }, "schema" : "https://github.com/citation-style-language/schema/raw/master/csl-citation.json" }</w:instrText>
      </w:r>
      <w:r w:rsidR="009901A3" w:rsidRPr="00637624">
        <w:rPr>
          <w:rFonts w:cs="Times New Roman"/>
          <w:sz w:val="22"/>
          <w:lang w:val="fi-FI"/>
        </w:rPr>
        <w:fldChar w:fldCharType="separate"/>
      </w:r>
      <w:r w:rsidR="009901A3" w:rsidRPr="00637624">
        <w:rPr>
          <w:rFonts w:cs="Times New Roman"/>
          <w:noProof/>
          <w:sz w:val="22"/>
          <w:lang w:val="fi-FI"/>
        </w:rPr>
        <w:t>(Zhang &amp; Wildemuth, 2009, Tuomi ja Sarajärvi, 2009, 96)</w:t>
      </w:r>
      <w:r w:rsidR="009901A3" w:rsidRPr="00637624">
        <w:rPr>
          <w:rFonts w:cs="Times New Roman"/>
          <w:sz w:val="22"/>
          <w:lang w:val="fi-FI"/>
        </w:rPr>
        <w:fldChar w:fldCharType="end"/>
      </w:r>
      <w:r w:rsidR="009901A3" w:rsidRPr="00637624">
        <w:rPr>
          <w:rFonts w:cs="Times New Roman"/>
          <w:sz w:val="22"/>
          <w:lang w:val="fi-FI"/>
        </w:rPr>
        <w:t xml:space="preserve">. </w:t>
      </w:r>
    </w:p>
    <w:p w14:paraId="1D775631" w14:textId="7B6B8336" w:rsidR="009901A3" w:rsidRPr="00637624" w:rsidRDefault="00FE0612" w:rsidP="00637624">
      <w:pPr>
        <w:spacing w:line="360" w:lineRule="auto"/>
        <w:rPr>
          <w:rFonts w:cs="Times New Roman"/>
          <w:sz w:val="22"/>
          <w:lang w:val="fi-FI"/>
        </w:rPr>
      </w:pPr>
      <w:r w:rsidRPr="00637624">
        <w:rPr>
          <w:rFonts w:cs="Times New Roman"/>
          <w:sz w:val="22"/>
          <w:lang w:val="fi-FI"/>
        </w:rPr>
        <w:t xml:space="preserve">Koodaamisessa eräs tärkeimmistä asioista on koodattavan yksikön määrittäminen </w:t>
      </w:r>
      <w:r w:rsidRPr="00637624">
        <w:rPr>
          <w:rFonts w:cs="Times New Roman"/>
          <w:sz w:val="22"/>
          <w:lang w:val="fi-FI"/>
        </w:rPr>
        <w:fldChar w:fldCharType="begin" w:fldLock="1"/>
      </w:r>
      <w:r w:rsidRPr="00637624">
        <w:rPr>
          <w:rFonts w:cs="Times New Roman"/>
          <w:sz w:val="22"/>
          <w:lang w:val="fi-FI"/>
        </w:rPr>
        <w:instrText>ADDIN CSL_CITATION { "citationItems" : [ { "id" : "ITEM-1", "itemData" : { "DOI" : "10.2307/2289192", "ISBN" : "0803938632", "ISSN" : "01621459", "PMID" : "20201567", "abstract" : "- content analysis = data reduction of text to categories word counts - a more frequently used word is generally more important - need to use \"keyword in context\" to be sure of interpretation ('concordance' may be another term for context) - factor analysis can be used to compare word counts across texts; each factor is a theme", "author" : [ { "dropping-particle" : "", "family" : "Weber", "given" : "Robert Philip", "non-dropping-particle" : "", "parse-names" : false, "suffix" : "" } ], "container-title" : "Sage", "id" : "ITEM-1", "issued" : { "date-parts" : [ [ "1990" ] ] }, "number-of-pages" : "96", "title" : "Basic content analysis", "type" : "book" }, "uris" : [ "http://www.mendeley.com/documents/?uuid=b9855e27-d26a-4b12-8aa7-0279d0c4e3de" ] } ], "mendeley" : { "formattedCitation" : "(Weber, 1990)", "plainTextFormattedCitation" : "(Weber, 1990)", "previouslyFormattedCitation" : "(Weber, 1990)"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(Weber, 1990)</w:t>
      </w:r>
      <w:r w:rsidRPr="00637624">
        <w:rPr>
          <w:rFonts w:cs="Times New Roman"/>
          <w:sz w:val="22"/>
          <w:lang w:val="fi-FI"/>
        </w:rPr>
        <w:fldChar w:fldCharType="end"/>
      </w:r>
      <w:r w:rsidRPr="00637624">
        <w:rPr>
          <w:rFonts w:cs="Times New Roman"/>
          <w:sz w:val="22"/>
          <w:lang w:val="fi-FI"/>
        </w:rPr>
        <w:t xml:space="preserve">. Laadullisessa tutkimuksessa koodattavan yksikön määritelmä on usein abstraktimpi kuin pelkkä fyysinen virke tai yksittäinen sana tai kappale </w:t>
      </w:r>
      <w:r w:rsidRPr="00637624">
        <w:rPr>
          <w:rFonts w:cs="Times New Roman"/>
          <w:sz w:val="22"/>
          <w:lang w:val="fi-FI"/>
        </w:rPr>
        <w:fldChar w:fldCharType="begin" w:fldLock="1"/>
      </w:r>
      <w:r w:rsidRPr="00637624">
        <w:rPr>
          <w:rFonts w:cs="Times New Roman"/>
          <w:sz w:val="22"/>
          <w:lang w:val="fi-FI"/>
        </w:rPr>
        <w:instrText>ADDIN CSL_CITATION { "citationItems" : [ { "id" : "ITEM-1", "itemData" : { "DOI" : "10.1002/hbm.20661", "ISBN" : "9781591585039", "ISSN" : "14385627", "PMID" : "18830956", "abstract" : "The article describes an approach of systematic, rule guided qualitative text analysis, which tries to preserve some methodological strengths of quantitative content analysis and widen them to a concept of qualitative procedure. First the development of content analysis is delineated and the basic principles are explained (units of analysis, step models, working with categories, validity and reliability). Then the central procedures of qualitative content analysis, inductive development of categories and deductive application of categories, are worked out. The possibilities of computer programs in supporting those qualitative steps of analysis are shown and the possibilities and limits of the approach are discussed.", "author" : [ { "dropping-particle" : "", "family" : "Zhang", "given" : "Yan", "non-dropping-particle" : "", "parse-names" : false, "suffix" : "" }, { "dropping-particle" : "", "family" : "Wildemuth", "given" : "Barbara M", "non-dropping-particle" : "", "parse-names" : false, "suffix" : "" } ], "container-title" : "Applications of Social Research Methods to Questions in Information and Library Science", "id" : "ITEM-1", "issued" : { "date-parts" : [ [ "2009" ] ] }, "page" : "421", "title" : "Qualitative Analysis of Content", "type" : "article-journal" }, "uris" : [ "http://www.mendeley.com/documents/?uuid=18685cb8-a603-4c3a-8100-987ddfd51744" ] } ], "mendeley" : { "formattedCitation" : "(Zhang &amp; Wildemuth, 2009)", "plainTextFormattedCitation" : "(Zhang &amp; Wildemuth, 2009)", "previouslyFormattedCitation" : "(Zhang &amp; Wildemuth, 2009)" }, "properties" : { "noteIndex" : 0 }, "schema" : "https://github.com/citation-style-language/schema/raw/master/csl-citation.json" }</w:instrText>
      </w:r>
      <w:r w:rsidRPr="00637624">
        <w:rPr>
          <w:rFonts w:cs="Times New Roman"/>
          <w:sz w:val="22"/>
          <w:lang w:val="fi-FI"/>
        </w:rPr>
        <w:fldChar w:fldCharType="separate"/>
      </w:r>
      <w:r w:rsidRPr="00637624">
        <w:rPr>
          <w:rFonts w:cs="Times New Roman"/>
          <w:noProof/>
          <w:sz w:val="22"/>
          <w:lang w:val="fi-FI"/>
        </w:rPr>
        <w:t>(Zhang &amp; Wildemuth, 2009)</w:t>
      </w:r>
      <w:r w:rsidRPr="00637624">
        <w:rPr>
          <w:rFonts w:cs="Times New Roman"/>
          <w:sz w:val="22"/>
          <w:lang w:val="fi-FI"/>
        </w:rPr>
        <w:fldChar w:fldCharType="end"/>
      </w:r>
      <w:r w:rsidRPr="00637624">
        <w:rPr>
          <w:rFonts w:cs="Times New Roman"/>
          <w:sz w:val="22"/>
          <w:lang w:val="fi-FI"/>
        </w:rPr>
        <w:t xml:space="preserve">. Omassa aineistossamme kategoriat muodostettiin pääsääntöisesti yksittäisten sanojen perusteella, sanan konteksti kuitenkin huomioiden. </w:t>
      </w:r>
      <w:r w:rsidR="009901A3" w:rsidRPr="00637624">
        <w:rPr>
          <w:rFonts w:cs="Times New Roman"/>
          <w:sz w:val="22"/>
          <w:lang w:val="fi-FI"/>
        </w:rPr>
        <w:t xml:space="preserve">Sisällöstä riippuen vastaukset </w:t>
      </w:r>
      <w:r w:rsidRPr="00637624">
        <w:rPr>
          <w:rFonts w:cs="Times New Roman"/>
          <w:sz w:val="22"/>
          <w:lang w:val="fi-FI"/>
        </w:rPr>
        <w:t>voidaan</w:t>
      </w:r>
      <w:r w:rsidR="009901A3" w:rsidRPr="00637624">
        <w:rPr>
          <w:rFonts w:cs="Times New Roman"/>
          <w:sz w:val="22"/>
          <w:lang w:val="fi-FI"/>
        </w:rPr>
        <w:t xml:space="preserve"> koodata myös useampaan kuin yhteen kategoriaan </w:t>
      </w:r>
      <w:r w:rsidR="009901A3" w:rsidRPr="00637624">
        <w:rPr>
          <w:rFonts w:cs="Times New Roman"/>
          <w:sz w:val="22"/>
          <w:lang w:val="fi-FI"/>
        </w:rPr>
        <w:fldChar w:fldCharType="begin" w:fldLock="1"/>
      </w:r>
      <w:r w:rsidR="009901A3" w:rsidRPr="00637624">
        <w:rPr>
          <w:rFonts w:cs="Times New Roman"/>
          <w:sz w:val="22"/>
          <w:lang w:val="fi-FI"/>
        </w:rPr>
        <w:instrText>ADDIN CSL_CITATION { "citationItems" : [ { "id" : "ITEM-1", "itemData" : { "ISBN" : "1850006083", "abstract" : "A presentation of analysis procedures for more than 20 kinds of qualitative research in the principal social science disciplines.", "author" : [ { "dropping-particle" : "", "family" : "Tesch", "given" : "Renata", "non-dropping-particle" : "", "parse-names" : false, "suffix" : "" } ], "container-title" : "Australian And New Zealand Journal Of Sociology", "id" : "ITEM-1", "issued" : { "date-parts" : [ [ "1990" ] ] }, "number-of-pages" : "330", "title" : "Qualitative Research: Analysis Types and Software Tools", "type" : "book", "volume" : "27" }, "uris" : [ "http://www.mendeley.com/documents/?uuid=209a2bc3-79aa-4728-944c-1c063137276b" ] } ], "mendeley" : { "formattedCitation" : "(Tesch, 1990)", "plainTextFormattedCitation" : "(Tesch, 1990)", "previouslyFormattedCitation" : "(Tesch, 1990)" }, "properties" : { "noteIndex" : 0 }, "schema" : "https://github.com/citation-style-language/schema/raw/master/csl-citation.json" }</w:instrText>
      </w:r>
      <w:r w:rsidR="009901A3" w:rsidRPr="00637624">
        <w:rPr>
          <w:rFonts w:cs="Times New Roman"/>
          <w:sz w:val="22"/>
          <w:lang w:val="fi-FI"/>
        </w:rPr>
        <w:fldChar w:fldCharType="separate"/>
      </w:r>
      <w:r w:rsidR="009901A3" w:rsidRPr="00637624">
        <w:rPr>
          <w:rFonts w:cs="Times New Roman"/>
          <w:noProof/>
          <w:sz w:val="22"/>
          <w:lang w:val="fi-FI"/>
        </w:rPr>
        <w:t>(Tesch, 1990)</w:t>
      </w:r>
      <w:r w:rsidR="009901A3" w:rsidRPr="00637624">
        <w:rPr>
          <w:rFonts w:cs="Times New Roman"/>
          <w:sz w:val="22"/>
          <w:lang w:val="fi-FI"/>
        </w:rPr>
        <w:fldChar w:fldCharType="end"/>
      </w:r>
      <w:r w:rsidRPr="00637624">
        <w:rPr>
          <w:rFonts w:cs="Times New Roman"/>
          <w:sz w:val="22"/>
          <w:lang w:val="fi-FI"/>
        </w:rPr>
        <w:t>, kuten omassa tutkimuksessamme tehtiin</w:t>
      </w:r>
      <w:r w:rsidR="009901A3" w:rsidRPr="00637624">
        <w:rPr>
          <w:rFonts w:cs="Times New Roman"/>
          <w:sz w:val="22"/>
          <w:lang w:val="fi-FI"/>
        </w:rPr>
        <w:t xml:space="preserve">. On aiheellista huomauttaa, että käytetyllä </w:t>
      </w:r>
      <w:r w:rsidR="00092481" w:rsidRPr="00637624">
        <w:rPr>
          <w:rFonts w:cs="Times New Roman"/>
          <w:sz w:val="22"/>
          <w:lang w:val="fi-FI"/>
        </w:rPr>
        <w:t>induktiivisella</w:t>
      </w:r>
      <w:r w:rsidR="009901A3" w:rsidRPr="00637624">
        <w:rPr>
          <w:rFonts w:cs="Times New Roman"/>
          <w:sz w:val="22"/>
          <w:lang w:val="fi-FI"/>
        </w:rPr>
        <w:t xml:space="preserve"> analyysitavalla koodatut muuttujat sekä mahdollisuus koodata yksittäisiä vastauksia useisiin eri kategorioihin loivat aineistossamme muutamia keskenään homogeenisia kategorioita. Näiden päällekkäisyyksien vaikutusta analyysiin on pyritty minimoimaan tunnistamalla kyseiset kategoriat ja ottamalla niiden mahdollisesti eriävä</w:t>
      </w:r>
      <w:r w:rsidRPr="00637624">
        <w:rPr>
          <w:rFonts w:cs="Times New Roman"/>
          <w:sz w:val="22"/>
          <w:lang w:val="fi-FI"/>
        </w:rPr>
        <w:t>t roolit</w:t>
      </w:r>
      <w:r w:rsidR="009901A3" w:rsidRPr="00637624">
        <w:rPr>
          <w:rFonts w:cs="Times New Roman"/>
          <w:sz w:val="22"/>
          <w:lang w:val="fi-FI"/>
        </w:rPr>
        <w:t xml:space="preserve"> analyysissa huomioon.</w:t>
      </w:r>
      <w:r w:rsidR="00A25946" w:rsidRPr="00637624">
        <w:rPr>
          <w:rFonts w:cs="Times New Roman"/>
          <w:sz w:val="22"/>
          <w:lang w:val="fi-FI"/>
        </w:rPr>
        <w:t xml:space="preserve"> Lopulta pyrimme löytämään tunnistetuill</w:t>
      </w:r>
      <w:r w:rsidR="00092481" w:rsidRPr="00637624">
        <w:rPr>
          <w:rFonts w:cs="Times New Roman"/>
          <w:sz w:val="22"/>
          <w:lang w:val="fi-FI"/>
        </w:rPr>
        <w:t>e</w:t>
      </w:r>
      <w:r w:rsidR="00A25946" w:rsidRPr="00637624">
        <w:rPr>
          <w:rFonts w:cs="Times New Roman"/>
          <w:sz w:val="22"/>
          <w:lang w:val="fi-FI"/>
        </w:rPr>
        <w:t xml:space="preserve"> kategorioille laajempaa kontekstia –</w:t>
      </w:r>
      <w:r w:rsidR="001F5820" w:rsidRPr="00637624">
        <w:rPr>
          <w:rFonts w:cs="Times New Roman"/>
          <w:sz w:val="22"/>
          <w:lang w:val="fi-FI"/>
        </w:rPr>
        <w:t xml:space="preserve"> </w:t>
      </w:r>
      <w:r w:rsidR="00A25946" w:rsidRPr="00637624">
        <w:rPr>
          <w:rFonts w:cs="Times New Roman"/>
          <w:sz w:val="22"/>
          <w:lang w:val="fi-FI"/>
        </w:rPr>
        <w:t xml:space="preserve">yläteemoja, joiden kautta tutkijoiden mielipidettä tieteellisten julkaisujen vaikuttavuudesta </w:t>
      </w:r>
      <w:r w:rsidR="001F5820" w:rsidRPr="00637624">
        <w:rPr>
          <w:rFonts w:cs="Times New Roman"/>
          <w:sz w:val="22"/>
          <w:lang w:val="fi-FI"/>
        </w:rPr>
        <w:t>voidaan</w:t>
      </w:r>
      <w:r w:rsidR="00A25946" w:rsidRPr="00637624">
        <w:rPr>
          <w:rFonts w:cs="Times New Roman"/>
          <w:sz w:val="22"/>
          <w:lang w:val="fi-FI"/>
        </w:rPr>
        <w:t xml:space="preserve"> kuvailla </w:t>
      </w:r>
      <w:r w:rsidR="00A25946" w:rsidRPr="00637624">
        <w:rPr>
          <w:rFonts w:cs="Times New Roman"/>
          <w:sz w:val="22"/>
          <w:lang w:val="fi-FI"/>
        </w:rPr>
        <w:fldChar w:fldCharType="begin" w:fldLock="1"/>
      </w:r>
      <w:r w:rsidR="00771590" w:rsidRPr="00637624">
        <w:rPr>
          <w:rFonts w:cs="Times New Roman"/>
          <w:sz w:val="22"/>
          <w:lang w:val="fi-FI"/>
        </w:rPr>
        <w:instrText>ADDIN CSL_CITATION { "citationItems" : [ { "id" : "ITEM-1", "itemData" : { "DOI" : "10.1177/1049732305276687", "ISBN" : "1049-7323", "ISSN" : "1049-7323", "PMID" : "16204405", "abstract" : "Content analysis is a widely used qualitative research technique. Rather than being a single method, current applications of content analysis show three distinct approaches: conventional, directed, or summative. All three approaches are used to interpret meaning from the content of text data and, hence, adhere to the naturalistic paradigm. The major differences among the approaches are coding schemes, origins of codes, and threats to trustworthiness. In conventional content analysis, coding categories are derived directly from the text data. With a directed approach, analysis starts with a theory or relevant research findings as guidance for initial codes. A summative content analysis involves counting and comparisons, usually of keywords or content, followed by the interpretation of the underlying context. The authors delineate analytic procedures specific to each approach and techniques addressing trustworthiness with hypothetical examples drawn from the area of end-of-life care.", "author" : [ { "dropping-particle" : "", "family" : "Hsieh", "given" : "Hsiu-Fang", "non-dropping-particle" : "", "parse-names" : false, "suffix" : "" }, { "dropping-particle" : "", "family" : "Shannon", "given" : "Sarah E", "non-dropping-particle" : "", "parse-names" : false, "suffix" : "" } ], "container-title" : "Qualitative Health Research", "id" : "ITEM-1", "issue" : "9", "issued" : { "date-parts" : [ [ "2005" ] ] }, "page" : "1277-1288", "title" : "Three Approaches to Qualitative Content Analysis", "type" : "article-journal", "volume" : "15" }, "uris" : [ "http://www.mendeley.com/documents/?uuid=26504d23-5048-427d-a145-c93a59638894" ] } ], "mendeley" : { "formattedCitation" : "(Hsieh &amp; Shannon, 2005)", "plainTextFormattedCitation" : "(Hsieh &amp; Shannon, 2005)", "previouslyFormattedCitation" : "(Hsieh &amp; Shannon, 2005)" }, "properties" : { "noteIndex" : 0 }, "schema" : "https://github.com/citation-style-language/schema/raw/master/csl-citation.json" }</w:instrText>
      </w:r>
      <w:r w:rsidR="00A25946" w:rsidRPr="00637624">
        <w:rPr>
          <w:rFonts w:cs="Times New Roman"/>
          <w:sz w:val="22"/>
          <w:lang w:val="fi-FI"/>
        </w:rPr>
        <w:fldChar w:fldCharType="separate"/>
      </w:r>
      <w:r w:rsidR="00A25946" w:rsidRPr="00637624">
        <w:rPr>
          <w:rFonts w:cs="Times New Roman"/>
          <w:noProof/>
          <w:sz w:val="22"/>
          <w:lang w:val="fi-FI"/>
        </w:rPr>
        <w:t>(Hsieh &amp; Shannon, 2005)</w:t>
      </w:r>
      <w:r w:rsidR="00A25946" w:rsidRPr="00637624">
        <w:rPr>
          <w:rFonts w:cs="Times New Roman"/>
          <w:sz w:val="22"/>
          <w:lang w:val="fi-FI"/>
        </w:rPr>
        <w:fldChar w:fldCharType="end"/>
      </w:r>
      <w:r w:rsidR="00A25946" w:rsidRPr="00637624">
        <w:rPr>
          <w:rFonts w:cs="Times New Roman"/>
          <w:sz w:val="22"/>
          <w:lang w:val="fi-FI"/>
        </w:rPr>
        <w:t>.</w:t>
      </w:r>
    </w:p>
    <w:p w14:paraId="151CA510" w14:textId="134B6F37" w:rsidR="007A7089" w:rsidRPr="00637624" w:rsidRDefault="003365EA" w:rsidP="00637624">
      <w:pPr>
        <w:spacing w:line="360" w:lineRule="auto"/>
        <w:rPr>
          <w:rFonts w:cs="Times New Roman"/>
          <w:sz w:val="22"/>
          <w:lang w:val="fi-FI"/>
        </w:rPr>
      </w:pPr>
      <w:r>
        <w:rPr>
          <w:rFonts w:cs="Times New Roman"/>
          <w:sz w:val="22"/>
          <w:lang w:val="fi-FI"/>
        </w:rPr>
        <w:t xml:space="preserve">Tässä artikkelissa päädyttiin tarkastelemaan kahta käyttäjäkunnaltaan toisistaan eniten poikkeavaa palvelua; laajalti suosittua </w:t>
      </w:r>
      <w:r w:rsidRPr="00637624">
        <w:rPr>
          <w:rFonts w:cs="Times New Roman"/>
          <w:sz w:val="22"/>
          <w:lang w:val="fi-FI"/>
        </w:rPr>
        <w:t>mikroviestipalvelu Twitteri</w:t>
      </w:r>
      <w:r>
        <w:rPr>
          <w:rFonts w:cs="Times New Roman"/>
          <w:sz w:val="22"/>
          <w:lang w:val="fi-FI"/>
        </w:rPr>
        <w:t xml:space="preserve">ä </w:t>
      </w:r>
      <w:r w:rsidRPr="00637624">
        <w:rPr>
          <w:rFonts w:cs="Times New Roman"/>
          <w:sz w:val="22"/>
          <w:lang w:val="fi-FI"/>
        </w:rPr>
        <w:t xml:space="preserve">ja </w:t>
      </w:r>
      <w:r>
        <w:rPr>
          <w:rFonts w:cs="Times New Roman"/>
          <w:sz w:val="22"/>
          <w:lang w:val="fi-FI"/>
        </w:rPr>
        <w:t xml:space="preserve">tieteelliseen kirjoittamisen tueksi tarkoitettua </w:t>
      </w:r>
      <w:r w:rsidRPr="00637624">
        <w:rPr>
          <w:rFonts w:cs="Times New Roman"/>
          <w:sz w:val="22"/>
          <w:lang w:val="fi-FI"/>
        </w:rPr>
        <w:lastRenderedPageBreak/>
        <w:t>viitehallintajärjestelmä Mendeley</w:t>
      </w:r>
      <w:r>
        <w:rPr>
          <w:rFonts w:cs="Times New Roman"/>
          <w:sz w:val="22"/>
          <w:lang w:val="fi-FI"/>
        </w:rPr>
        <w:t>tä.</w:t>
      </w:r>
      <w:r w:rsidRPr="00637624">
        <w:rPr>
          <w:rFonts w:cs="Times New Roman"/>
          <w:sz w:val="22"/>
          <w:lang w:val="fi-FI"/>
        </w:rPr>
        <w:t xml:space="preserve"> </w:t>
      </w:r>
      <w:r w:rsidR="007B6890" w:rsidRPr="00637624">
        <w:rPr>
          <w:rFonts w:cs="Times New Roman"/>
          <w:sz w:val="22"/>
          <w:lang w:val="fi-FI"/>
        </w:rPr>
        <w:t xml:space="preserve">Itse aineiston analyysissä huomio </w:t>
      </w:r>
      <w:r w:rsidR="00235309" w:rsidRPr="00637624">
        <w:rPr>
          <w:rFonts w:cs="Times New Roman"/>
          <w:sz w:val="22"/>
          <w:lang w:val="fi-FI"/>
        </w:rPr>
        <w:t>kohdistui</w:t>
      </w:r>
      <w:r w:rsidR="007B6890" w:rsidRPr="00637624">
        <w:rPr>
          <w:rFonts w:cs="Times New Roman"/>
          <w:sz w:val="22"/>
          <w:lang w:val="fi-FI"/>
        </w:rPr>
        <w:t xml:space="preserve"> </w:t>
      </w:r>
      <w:r>
        <w:rPr>
          <w:rFonts w:cs="Times New Roman"/>
          <w:sz w:val="22"/>
          <w:lang w:val="fi-FI"/>
        </w:rPr>
        <w:t xml:space="preserve">näin ollen </w:t>
      </w:r>
      <w:r w:rsidR="007B6890" w:rsidRPr="00637624">
        <w:rPr>
          <w:rFonts w:cs="Times New Roman"/>
          <w:sz w:val="22"/>
          <w:lang w:val="fi-FI"/>
        </w:rPr>
        <w:t xml:space="preserve">kahteen </w:t>
      </w:r>
      <w:r w:rsidR="003E630B" w:rsidRPr="00637624">
        <w:rPr>
          <w:rFonts w:cs="Times New Roman"/>
          <w:sz w:val="22"/>
          <w:lang w:val="fi-FI"/>
        </w:rPr>
        <w:t>verkkopalveluun</w:t>
      </w:r>
      <w:r w:rsidR="001A3570" w:rsidRPr="00637624">
        <w:rPr>
          <w:rFonts w:cs="Times New Roman"/>
          <w:sz w:val="22"/>
          <w:lang w:val="fi-FI"/>
        </w:rPr>
        <w:t xml:space="preserve">, </w:t>
      </w:r>
      <w:r w:rsidR="00235309" w:rsidRPr="00637624">
        <w:rPr>
          <w:rFonts w:cs="Times New Roman"/>
          <w:sz w:val="22"/>
          <w:lang w:val="fi-FI"/>
        </w:rPr>
        <w:t xml:space="preserve">mikroviestipalvelu </w:t>
      </w:r>
      <w:r w:rsidR="001A3570" w:rsidRPr="00637624">
        <w:rPr>
          <w:rFonts w:cs="Times New Roman"/>
          <w:sz w:val="22"/>
          <w:lang w:val="fi-FI"/>
        </w:rPr>
        <w:t xml:space="preserve">Twitteriin ja </w:t>
      </w:r>
      <w:r w:rsidR="00235309" w:rsidRPr="00637624">
        <w:rPr>
          <w:rFonts w:cs="Times New Roman"/>
          <w:sz w:val="22"/>
          <w:lang w:val="fi-FI"/>
        </w:rPr>
        <w:t xml:space="preserve">viitehallintajärjestelmä </w:t>
      </w:r>
      <w:r w:rsidR="001A3570" w:rsidRPr="00637624">
        <w:rPr>
          <w:rFonts w:cs="Times New Roman"/>
          <w:sz w:val="22"/>
          <w:lang w:val="fi-FI"/>
        </w:rPr>
        <w:t xml:space="preserve">Mendeleyhin, tulleisiin vastauksiin. Koska laadullisen tutkimuksen tarkoituksena on yleistettävissä olevien tutkimustulosten sijaan luoda selkeä ja jäsennelty kuva tutkittavasta ilmiöstä, ei alustojen valinnassa tarvinnut pyrkiä koko aineiston yhtäläiseen edustamiseen tai satunnaismenettelyllä valittuun otoskokoon </w:t>
      </w:r>
      <w:r w:rsidR="001A3570" w:rsidRPr="00637624">
        <w:rPr>
          <w:rFonts w:cs="Times New Roman"/>
          <w:sz w:val="22"/>
          <w:lang w:val="fi-FI"/>
        </w:rPr>
        <w:fldChar w:fldCharType="begin" w:fldLock="1"/>
      </w:r>
      <w:r w:rsidR="001B7668">
        <w:rPr>
          <w:rFonts w:cs="Times New Roman"/>
          <w:sz w:val="22"/>
          <w:lang w:val="fi-FI"/>
        </w:rPr>
        <w:instrText>ADDIN CSL_CITATION { "citationItems" : [ { "id" : "ITEM-1", "itemData" : { "DOI" : "10.1353/lib.2006.0053", "ISBN" : "00242594", "ISSN" : "1559-0682", "PMID" : "22314642", "abstract" : "Content analysis is a highly fl exible research method that has been widely used in library and information science (LIS) studies with varying research goals and objectives. The research method is ap- plied in qualitative, quantitative, and sometimes mixed modes of research frameworks and employs a wide range of analytical tech- niques to generate fi ndings and put them into context. This article characterizes content analysis as a systematic, rigorous approach to analyzing documents obtained or generated in the course of research. It briefl y describes the steps involved in content analysis, differentiates between quantitative and qualitative content analysis, and shows that content analysis serves the purposes of both quantita- tive research and qualitative research. The authors draw on selected LIS studies that have used content analysis to illustrate the concepts addressed in the article. The article also serves as a gateway to meth- odological books and articles that provide more detail about aspects of content analysis discussed only briefl y in the article.", "author" : [ { "dropping-particle" : "", "family" : "Domas White", "given" : "Marilyn", "non-dropping-particle" : "", "parse-names" : false, "suffix" : "" }, { "dropping-particle" : "", "family" : "Marsh", "given" : "Emily E.", "non-dropping-particle" : "", "parse-names" : false, "suffix" : "" } ], "container-title" : "Library Trends", "id" : "ITEM-1", "issue" : "1", "issued" : { "date-parts" : [ [ "2006" ] ] }, "page" : "22-45", "title" : "Content Analysis: A Flexible Methodology", "type" : "article-journal", "volume" : "55" }, "uris" : [ "http://www.mendeley.com/documents/?uuid=e6d595e2-18b8-4d00-96eb-ccb0daf1439a" ] } ], "mendeley" : { "formattedCitation" : "(Domas White &amp; Marsh, 2006)", "manualFormatting" : "(Domas White &amp; Marsh, 2006)", "plainTextFormattedCitation" : "(Domas White &amp; Marsh, 2006)", "previouslyFormattedCitation" : "(Domas White &amp; Marsh, 2006)" }, "properties" : { "noteIndex" : 0 }, "schema" : "https://github.com/citation-style-language/schema/raw/master/csl-citation.json" }</w:instrText>
      </w:r>
      <w:r w:rsidR="001A3570" w:rsidRPr="00637624">
        <w:rPr>
          <w:rFonts w:cs="Times New Roman"/>
          <w:sz w:val="22"/>
          <w:lang w:val="fi-FI"/>
        </w:rPr>
        <w:fldChar w:fldCharType="separate"/>
      </w:r>
      <w:r w:rsidR="001A3570" w:rsidRPr="00637624">
        <w:rPr>
          <w:rFonts w:cs="Times New Roman"/>
          <w:noProof/>
          <w:sz w:val="22"/>
          <w:lang w:val="fi-FI"/>
        </w:rPr>
        <w:t xml:space="preserve">(Domas White </w:t>
      </w:r>
      <w:r w:rsidR="00E8768B">
        <w:rPr>
          <w:rFonts w:cs="Times New Roman"/>
          <w:noProof/>
          <w:sz w:val="22"/>
          <w:lang w:val="fi-FI"/>
        </w:rPr>
        <w:t>&amp;</w:t>
      </w:r>
      <w:r w:rsidR="001A3570" w:rsidRPr="00637624">
        <w:rPr>
          <w:rFonts w:cs="Times New Roman"/>
          <w:noProof/>
          <w:sz w:val="22"/>
          <w:lang w:val="fi-FI"/>
        </w:rPr>
        <w:t xml:space="preserve"> Marsh, 2006)</w:t>
      </w:r>
      <w:r w:rsidR="001A3570" w:rsidRPr="00637624">
        <w:rPr>
          <w:rFonts w:cs="Times New Roman"/>
          <w:sz w:val="22"/>
          <w:lang w:val="fi-FI"/>
        </w:rPr>
        <w:fldChar w:fldCharType="end"/>
      </w:r>
      <w:r w:rsidR="001A3570" w:rsidRPr="00637624">
        <w:rPr>
          <w:rFonts w:cs="Times New Roman"/>
          <w:sz w:val="22"/>
          <w:lang w:val="fi-FI"/>
        </w:rPr>
        <w:t xml:space="preserve">. </w:t>
      </w:r>
      <w:r w:rsidR="001A7DD6" w:rsidRPr="00637624">
        <w:rPr>
          <w:rFonts w:cs="Times New Roman"/>
          <w:sz w:val="22"/>
          <w:lang w:val="fi-FI"/>
        </w:rPr>
        <w:t>Kyselytutkimuksessa saatiin lopulta 109 vastausta henkilöiltä, joiden artikkeli oli suosituimman yhden prosentin joukossa Twitter-palvelun twiittausten perusteella</w:t>
      </w:r>
      <w:r w:rsidR="00433318">
        <w:rPr>
          <w:rFonts w:cs="Times New Roman"/>
          <w:sz w:val="22"/>
          <w:lang w:val="fi-FI"/>
        </w:rPr>
        <w:t>,</w:t>
      </w:r>
      <w:r w:rsidR="001A7DD6" w:rsidRPr="00637624">
        <w:rPr>
          <w:rFonts w:cs="Times New Roman"/>
          <w:sz w:val="22"/>
          <w:lang w:val="fi-FI"/>
        </w:rPr>
        <w:t xml:space="preserve"> sekä 95 vastausta henkilöiltä, joiden artikkeli oli suosituimman yhden prosentin joukossa eniten tallennuksia Mendeley-palvelussa saaneiden artikkelien joukossa. Vastausten määrässä </w:t>
      </w:r>
      <w:r w:rsidR="003849AE" w:rsidRPr="00637624">
        <w:rPr>
          <w:rFonts w:cs="Times New Roman"/>
          <w:sz w:val="22"/>
          <w:lang w:val="fi-FI"/>
        </w:rPr>
        <w:t xml:space="preserve">verkkopalveluittain </w:t>
      </w:r>
      <w:r w:rsidR="001A7DD6" w:rsidRPr="00637624">
        <w:rPr>
          <w:rFonts w:cs="Times New Roman"/>
          <w:sz w:val="22"/>
          <w:lang w:val="fi-FI"/>
        </w:rPr>
        <w:t>Twitter oli vastausmääriltään suurin ja Mendeley toiseksi suurin.</w:t>
      </w:r>
      <w:r w:rsidR="007A7089" w:rsidRPr="00637624">
        <w:rPr>
          <w:rFonts w:cs="Times New Roman"/>
          <w:sz w:val="22"/>
          <w:lang w:val="fi-FI"/>
        </w:rPr>
        <w:t xml:space="preserve"> </w:t>
      </w:r>
    </w:p>
    <w:p w14:paraId="1C5EEAE2" w14:textId="750EB48D" w:rsidR="00846FE8" w:rsidRPr="00637624" w:rsidRDefault="000C719B" w:rsidP="00637624">
      <w:pPr>
        <w:spacing w:line="360" w:lineRule="auto"/>
        <w:rPr>
          <w:rFonts w:cs="Times New Roman"/>
          <w:sz w:val="22"/>
          <w:lang w:val="fi-FI"/>
        </w:rPr>
      </w:pPr>
      <w:r w:rsidRPr="00637624">
        <w:rPr>
          <w:rFonts w:cs="Times New Roman"/>
          <w:sz w:val="22"/>
          <w:lang w:val="fi-FI"/>
        </w:rPr>
        <w:t>Kyselyyn vastanneiden jakauma tutkimusaloittain on esitetty kuviossa</w:t>
      </w:r>
      <w:r w:rsidR="00846FE8" w:rsidRPr="00637624">
        <w:rPr>
          <w:rFonts w:cs="Times New Roman"/>
          <w:sz w:val="22"/>
          <w:lang w:val="fi-FI"/>
        </w:rPr>
        <w:t xml:space="preserve"> 1. Verrattuna kaikkiin tutkimuksen piiriin kuulunei</w:t>
      </w:r>
      <w:r w:rsidR="00433318">
        <w:rPr>
          <w:rFonts w:cs="Times New Roman"/>
          <w:sz w:val="22"/>
          <w:lang w:val="fi-FI"/>
        </w:rPr>
        <w:t>sii</w:t>
      </w:r>
      <w:r w:rsidR="00846FE8" w:rsidRPr="00637624">
        <w:rPr>
          <w:rFonts w:cs="Times New Roman"/>
          <w:sz w:val="22"/>
          <w:lang w:val="fi-FI"/>
        </w:rPr>
        <w:t>n tutkijoihin, Mendeleyssä menestyneiden ja kyselyyn vastanneiden määrä oli luonnontieteiden alalla korkeampi kuin yleinen jakauma antaisi olettaa. Vastaavasti Twitterissä menestyneiden artikkelien vastaajamäärissä lääke- ja terveystieteiden alojen edustajat vastasivat kyselytutkimukseen herkemmin kuin mitä tieteenalan tutkimuksen piiriin kuuluneiden henkilöiden keskimääräinen jakauma antoi ymmärtää. Tieteenalojen kesken yhteiskuntatieteen alojen tutkimu</w:t>
      </w:r>
      <w:r w:rsidR="00ED4048">
        <w:rPr>
          <w:rFonts w:cs="Times New Roman"/>
          <w:sz w:val="22"/>
          <w:lang w:val="fi-FI"/>
        </w:rPr>
        <w:t xml:space="preserve">kseen vastattiin selvästi </w:t>
      </w:r>
      <w:r w:rsidR="00846FE8" w:rsidRPr="00637624">
        <w:rPr>
          <w:rFonts w:cs="Times New Roman"/>
          <w:sz w:val="22"/>
          <w:lang w:val="fi-FI"/>
        </w:rPr>
        <w:t>vähiten verkkopalveluittain tehdyssä vertailussa, kun taas kolme muuta tieteenalaa menestyivät kohtuullisen tasaisesti keskenään.</w:t>
      </w:r>
    </w:p>
    <w:p w14:paraId="36AA557B" w14:textId="381B7475" w:rsidR="007825B9" w:rsidRPr="00637624" w:rsidRDefault="00846FE8" w:rsidP="00637624">
      <w:pPr>
        <w:spacing w:line="360" w:lineRule="auto"/>
        <w:rPr>
          <w:rFonts w:cs="Times New Roman"/>
          <w:sz w:val="22"/>
          <w:lang w:val="fi-FI"/>
        </w:rPr>
      </w:pPr>
      <w:r w:rsidRPr="00637624">
        <w:rPr>
          <w:rFonts w:cs="Times New Roman"/>
          <w:sz w:val="22"/>
          <w:lang w:val="fi-FI"/>
        </w:rPr>
        <w:t xml:space="preserve">  </w:t>
      </w:r>
      <w:r w:rsidR="00265287">
        <w:rPr>
          <w:noProof/>
          <w:lang w:val="fi-FI" w:eastAsia="fi-FI"/>
        </w:rPr>
        <w:drawing>
          <wp:inline distT="0" distB="0" distL="0" distR="0" wp14:anchorId="104F8752" wp14:editId="7D795456">
            <wp:extent cx="6332220" cy="347345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a:stretch>
                      <a:fillRect/>
                    </a:stretch>
                  </pic:blipFill>
                  <pic:spPr>
                    <a:xfrm>
                      <a:off x="0" y="0"/>
                      <a:ext cx="6332220" cy="3473450"/>
                    </a:xfrm>
                    <a:prstGeom prst="rect">
                      <a:avLst/>
                    </a:prstGeom>
                  </pic:spPr>
                </pic:pic>
              </a:graphicData>
            </a:graphic>
          </wp:inline>
        </w:drawing>
      </w:r>
    </w:p>
    <w:p w14:paraId="6C45D120" w14:textId="6A401CEB" w:rsidR="007825B9" w:rsidRPr="00637624" w:rsidRDefault="007825B9" w:rsidP="00637624">
      <w:pPr>
        <w:pStyle w:val="Caption"/>
        <w:spacing w:line="360" w:lineRule="auto"/>
        <w:rPr>
          <w:rFonts w:cs="Times New Roman"/>
          <w:sz w:val="22"/>
          <w:szCs w:val="22"/>
          <w:lang w:val="fi-FI"/>
        </w:rPr>
      </w:pPr>
      <w:r w:rsidRPr="00637624">
        <w:rPr>
          <w:rFonts w:cs="Times New Roman"/>
          <w:sz w:val="22"/>
          <w:szCs w:val="22"/>
          <w:lang w:val="fi-FI"/>
        </w:rPr>
        <w:t xml:space="preserve">Kuvio </w:t>
      </w:r>
      <w:r w:rsidRPr="00637624">
        <w:rPr>
          <w:rFonts w:cs="Times New Roman"/>
          <w:sz w:val="22"/>
          <w:szCs w:val="22"/>
          <w:lang w:val="fi-FI"/>
        </w:rPr>
        <w:fldChar w:fldCharType="begin"/>
      </w:r>
      <w:r w:rsidRPr="00637624">
        <w:rPr>
          <w:rFonts w:cs="Times New Roman"/>
          <w:sz w:val="22"/>
          <w:szCs w:val="22"/>
          <w:lang w:val="fi-FI"/>
        </w:rPr>
        <w:instrText xml:space="preserve"> SEQ Kuvio \* ARABIC </w:instrText>
      </w:r>
      <w:r w:rsidRPr="00637624">
        <w:rPr>
          <w:rFonts w:cs="Times New Roman"/>
          <w:sz w:val="22"/>
          <w:szCs w:val="22"/>
          <w:lang w:val="fi-FI"/>
        </w:rPr>
        <w:fldChar w:fldCharType="separate"/>
      </w:r>
      <w:r w:rsidR="00092481" w:rsidRPr="00637624">
        <w:rPr>
          <w:rFonts w:cs="Times New Roman"/>
          <w:noProof/>
          <w:sz w:val="22"/>
          <w:szCs w:val="22"/>
          <w:lang w:val="fi-FI"/>
        </w:rPr>
        <w:t>1</w:t>
      </w:r>
      <w:r w:rsidRPr="00637624">
        <w:rPr>
          <w:rFonts w:cs="Times New Roman"/>
          <w:sz w:val="22"/>
          <w:szCs w:val="22"/>
          <w:lang w:val="fi-FI"/>
        </w:rPr>
        <w:fldChar w:fldCharType="end"/>
      </w:r>
      <w:r w:rsidRPr="00637624">
        <w:rPr>
          <w:rFonts w:cs="Times New Roman"/>
          <w:sz w:val="22"/>
          <w:szCs w:val="22"/>
          <w:lang w:val="fi-FI"/>
        </w:rPr>
        <w:t xml:space="preserve"> Kyselyyn vastanneiden henkilöiden jakauma tutkimusaloittain</w:t>
      </w:r>
    </w:p>
    <w:p w14:paraId="69C0CEDC" w14:textId="75327818" w:rsidR="00596454" w:rsidRPr="00E8768B" w:rsidRDefault="00596454" w:rsidP="00637624">
      <w:pPr>
        <w:spacing w:line="360" w:lineRule="auto"/>
        <w:rPr>
          <w:rFonts w:cs="Times New Roman"/>
          <w:sz w:val="26"/>
          <w:szCs w:val="26"/>
          <w:lang w:val="fi-FI"/>
        </w:rPr>
      </w:pPr>
      <w:r w:rsidRPr="00E8768B">
        <w:rPr>
          <w:rFonts w:cs="Times New Roman"/>
          <w:sz w:val="26"/>
          <w:szCs w:val="26"/>
          <w:lang w:val="fi-FI"/>
        </w:rPr>
        <w:t>Aineisto</w:t>
      </w:r>
      <w:r w:rsidR="00A83984" w:rsidRPr="00E8768B">
        <w:rPr>
          <w:rFonts w:cs="Times New Roman"/>
          <w:sz w:val="26"/>
          <w:szCs w:val="26"/>
          <w:lang w:val="fi-FI"/>
        </w:rPr>
        <w:t>n</w:t>
      </w:r>
      <w:r w:rsidRPr="00E8768B">
        <w:rPr>
          <w:rFonts w:cs="Times New Roman"/>
          <w:sz w:val="26"/>
          <w:szCs w:val="26"/>
          <w:lang w:val="fi-FI"/>
        </w:rPr>
        <w:t xml:space="preserve"> kategorisointi</w:t>
      </w:r>
    </w:p>
    <w:p w14:paraId="120A0296" w14:textId="3B395F27" w:rsidR="007674E9" w:rsidRPr="00637624" w:rsidRDefault="00846FE8" w:rsidP="00637624">
      <w:pPr>
        <w:spacing w:line="360" w:lineRule="auto"/>
        <w:rPr>
          <w:rFonts w:cs="Times New Roman"/>
          <w:sz w:val="22"/>
          <w:lang w:val="fi-FI"/>
        </w:rPr>
      </w:pPr>
      <w:r w:rsidRPr="00637624">
        <w:rPr>
          <w:rFonts w:cs="Times New Roman"/>
          <w:sz w:val="22"/>
          <w:lang w:val="fi-FI"/>
        </w:rPr>
        <w:t>Kyselyn kolmannella kysymyksellä tiedusteltiin t</w:t>
      </w:r>
      <w:r w:rsidR="007674E9" w:rsidRPr="00637624">
        <w:rPr>
          <w:rFonts w:cs="Times New Roman"/>
          <w:sz w:val="22"/>
          <w:lang w:val="fi-FI"/>
        </w:rPr>
        <w:t xml:space="preserve">utkijoiden aktiivisuutta tieteellisten julkaisujensa verkkohuomion seurannassa. </w:t>
      </w:r>
      <w:r w:rsidR="0084131E" w:rsidRPr="00637624">
        <w:rPr>
          <w:rFonts w:cs="Times New Roman"/>
          <w:sz w:val="22"/>
          <w:lang w:val="fi-FI"/>
        </w:rPr>
        <w:t>T</w:t>
      </w:r>
      <w:r w:rsidR="007674E9" w:rsidRPr="00637624">
        <w:rPr>
          <w:rFonts w:cs="Times New Roman"/>
          <w:sz w:val="22"/>
          <w:lang w:val="fi-FI"/>
        </w:rPr>
        <w:t xml:space="preserve">austakysymyksellä haluttiin saada lisätietoa tutkijoiden käytännön kokemuksista ja tavoista verkkohuomion mittaamisessa. Lievä enemmistö, </w:t>
      </w:r>
      <w:r w:rsidR="00BF3621" w:rsidRPr="00637624">
        <w:rPr>
          <w:rFonts w:cs="Times New Roman"/>
          <w:sz w:val="22"/>
          <w:lang w:val="fi-FI"/>
        </w:rPr>
        <w:t>56,5</w:t>
      </w:r>
      <w:r w:rsidR="00A75F2F" w:rsidRPr="00637624">
        <w:rPr>
          <w:rFonts w:cs="Times New Roman"/>
          <w:sz w:val="22"/>
          <w:lang w:val="fi-FI"/>
        </w:rPr>
        <w:t xml:space="preserve"> % (</w:t>
      </w:r>
      <w:r w:rsidR="007674E9" w:rsidRPr="00637624">
        <w:rPr>
          <w:rFonts w:cs="Times New Roman"/>
          <w:sz w:val="22"/>
          <w:lang w:val="fi-FI"/>
        </w:rPr>
        <w:t>87 henkilöä</w:t>
      </w:r>
      <w:r w:rsidR="00BF3621" w:rsidRPr="00637624">
        <w:rPr>
          <w:rFonts w:cs="Times New Roman"/>
          <w:sz w:val="22"/>
          <w:lang w:val="fi-FI"/>
        </w:rPr>
        <w:t>)</w:t>
      </w:r>
      <w:r w:rsidR="007674E9" w:rsidRPr="00637624">
        <w:rPr>
          <w:rFonts w:cs="Times New Roman"/>
          <w:sz w:val="22"/>
          <w:lang w:val="fi-FI"/>
        </w:rPr>
        <w:t>, ilmoitti seuraavansa artikkelin menestymistä verkossa. Suosituimpia sovelluksia olivat Google Scholar (</w:t>
      </w:r>
      <w:r w:rsidR="00BF3621" w:rsidRPr="00637624">
        <w:rPr>
          <w:rFonts w:cs="Times New Roman"/>
          <w:sz w:val="22"/>
          <w:lang w:val="fi-FI"/>
        </w:rPr>
        <w:t>21</w:t>
      </w:r>
      <w:r w:rsidRPr="00637624">
        <w:rPr>
          <w:rFonts w:cs="Times New Roman"/>
          <w:sz w:val="22"/>
          <w:lang w:val="fi-FI"/>
        </w:rPr>
        <w:t>,0</w:t>
      </w:r>
      <w:r w:rsidR="00BF3621" w:rsidRPr="00637624">
        <w:rPr>
          <w:rFonts w:cs="Times New Roman"/>
          <w:sz w:val="22"/>
          <w:lang w:val="fi-FI"/>
        </w:rPr>
        <w:t xml:space="preserve"> %,</w:t>
      </w:r>
      <w:r w:rsidR="00A75F2F" w:rsidRPr="00637624">
        <w:rPr>
          <w:rFonts w:cs="Times New Roman"/>
          <w:sz w:val="22"/>
          <w:lang w:val="fi-FI"/>
        </w:rPr>
        <w:t xml:space="preserve"> </w:t>
      </w:r>
      <w:r w:rsidR="007674E9" w:rsidRPr="00637624">
        <w:rPr>
          <w:rFonts w:cs="Times New Roman"/>
          <w:sz w:val="22"/>
          <w:lang w:val="fi-FI"/>
        </w:rPr>
        <w:t>29 mainintaa), ResearchGate (</w:t>
      </w:r>
      <w:r w:rsidR="00BF3621" w:rsidRPr="00637624">
        <w:rPr>
          <w:rFonts w:cs="Times New Roman"/>
          <w:sz w:val="22"/>
          <w:lang w:val="fi-FI"/>
        </w:rPr>
        <w:t xml:space="preserve">19,6 %, </w:t>
      </w:r>
      <w:r w:rsidR="007674E9" w:rsidRPr="00637624">
        <w:rPr>
          <w:rFonts w:cs="Times New Roman"/>
          <w:sz w:val="22"/>
          <w:lang w:val="fi-FI"/>
        </w:rPr>
        <w:t>27), Facebook (</w:t>
      </w:r>
      <w:r w:rsidR="00BF3621" w:rsidRPr="00637624">
        <w:rPr>
          <w:rFonts w:cs="Times New Roman"/>
          <w:sz w:val="22"/>
          <w:lang w:val="fi-FI"/>
        </w:rPr>
        <w:t xml:space="preserve">9,4 %, </w:t>
      </w:r>
      <w:r w:rsidR="007674E9" w:rsidRPr="00637624">
        <w:rPr>
          <w:rFonts w:cs="Times New Roman"/>
          <w:sz w:val="22"/>
          <w:lang w:val="fi-FI"/>
        </w:rPr>
        <w:t>13), Twitter (</w:t>
      </w:r>
      <w:r w:rsidR="00BF3621" w:rsidRPr="00637624">
        <w:rPr>
          <w:rFonts w:cs="Times New Roman"/>
          <w:sz w:val="22"/>
          <w:lang w:val="fi-FI"/>
        </w:rPr>
        <w:t xml:space="preserve">7,3 %, </w:t>
      </w:r>
      <w:r w:rsidR="007674E9" w:rsidRPr="00637624">
        <w:rPr>
          <w:rFonts w:cs="Times New Roman"/>
          <w:sz w:val="22"/>
          <w:lang w:val="fi-FI"/>
        </w:rPr>
        <w:t>10) ja hakukoneiden kautta tapahtuva etsintä (</w:t>
      </w:r>
      <w:r w:rsidR="00BF3621" w:rsidRPr="00637624">
        <w:rPr>
          <w:rFonts w:cs="Times New Roman"/>
          <w:sz w:val="22"/>
          <w:lang w:val="fi-FI"/>
        </w:rPr>
        <w:t xml:space="preserve">11,6 %, </w:t>
      </w:r>
      <w:r w:rsidR="007674E9" w:rsidRPr="00637624">
        <w:rPr>
          <w:rFonts w:cs="Times New Roman"/>
          <w:sz w:val="22"/>
          <w:lang w:val="fi-FI"/>
        </w:rPr>
        <w:t xml:space="preserve">16). Kuitenkin </w:t>
      </w:r>
      <w:r w:rsidR="00BF3621" w:rsidRPr="00637624">
        <w:rPr>
          <w:rFonts w:cs="Times New Roman"/>
          <w:sz w:val="22"/>
          <w:lang w:val="fi-FI"/>
        </w:rPr>
        <w:t>43,5 % prosenttia vastaajista (</w:t>
      </w:r>
      <w:r w:rsidR="007674E9" w:rsidRPr="00637624">
        <w:rPr>
          <w:rFonts w:cs="Times New Roman"/>
          <w:sz w:val="22"/>
          <w:lang w:val="fi-FI"/>
        </w:rPr>
        <w:t>67 henkilöä</w:t>
      </w:r>
      <w:r w:rsidR="00BF3621" w:rsidRPr="00637624">
        <w:rPr>
          <w:rFonts w:cs="Times New Roman"/>
          <w:sz w:val="22"/>
          <w:lang w:val="fi-FI"/>
        </w:rPr>
        <w:t xml:space="preserve">) </w:t>
      </w:r>
      <w:r w:rsidR="0084131E" w:rsidRPr="00637624">
        <w:rPr>
          <w:rFonts w:cs="Times New Roman"/>
          <w:sz w:val="22"/>
          <w:lang w:val="fi-FI"/>
        </w:rPr>
        <w:t>ilmoitti, ettei</w:t>
      </w:r>
      <w:r w:rsidR="00BF3621" w:rsidRPr="00637624">
        <w:rPr>
          <w:rFonts w:cs="Times New Roman"/>
          <w:sz w:val="22"/>
          <w:lang w:val="fi-FI"/>
        </w:rPr>
        <w:t xml:space="preserve"> </w:t>
      </w:r>
      <w:r w:rsidR="007674E9" w:rsidRPr="00637624">
        <w:rPr>
          <w:rFonts w:cs="Times New Roman"/>
          <w:sz w:val="22"/>
          <w:lang w:val="fi-FI"/>
        </w:rPr>
        <w:t>seuraa tai ole kiinnostuneita artikkelin</w:t>
      </w:r>
      <w:r w:rsidR="00BF3621" w:rsidRPr="00637624">
        <w:rPr>
          <w:rFonts w:cs="Times New Roman"/>
          <w:sz w:val="22"/>
          <w:lang w:val="fi-FI"/>
        </w:rPr>
        <w:t>sa</w:t>
      </w:r>
      <w:r w:rsidR="007674E9" w:rsidRPr="00637624">
        <w:rPr>
          <w:rFonts w:cs="Times New Roman"/>
          <w:sz w:val="22"/>
          <w:lang w:val="fi-FI"/>
        </w:rPr>
        <w:t xml:space="preserve"> saamasta verkkohuomiosta. </w:t>
      </w:r>
      <w:r w:rsidR="00BF3621" w:rsidRPr="00637624">
        <w:rPr>
          <w:rFonts w:cs="Times New Roman"/>
          <w:sz w:val="22"/>
          <w:lang w:val="fi-FI"/>
        </w:rPr>
        <w:t>Seuraamattomuutta perusteltiin muun muassa tarvittavan tiedon puutteella:</w:t>
      </w:r>
    </w:p>
    <w:p w14:paraId="03783501" w14:textId="61E73694" w:rsidR="007674E9" w:rsidRPr="00637624" w:rsidRDefault="007674E9" w:rsidP="00637624">
      <w:pPr>
        <w:spacing w:line="360" w:lineRule="auto"/>
        <w:rPr>
          <w:rFonts w:cs="Times New Roman"/>
          <w:sz w:val="22"/>
          <w:lang w:val="fi-FI"/>
        </w:rPr>
      </w:pPr>
      <w:r w:rsidRPr="00637624">
        <w:rPr>
          <w:rFonts w:cs="Times New Roman"/>
          <w:i/>
          <w:sz w:val="22"/>
          <w:lang w:val="fi-FI"/>
        </w:rPr>
        <w:t>”En oikeastaan seuraa. Miksi: en osaa ja toisaalta aikaa täytyy priorisoida oleelliseen.”</w:t>
      </w:r>
      <w:r w:rsidRPr="00637624">
        <w:rPr>
          <w:rFonts w:cs="Times New Roman"/>
          <w:i/>
          <w:sz w:val="22"/>
          <w:lang w:val="fi-FI"/>
        </w:rPr>
        <w:br/>
      </w:r>
      <w:r w:rsidRPr="00637624">
        <w:rPr>
          <w:rFonts w:cs="Times New Roman"/>
          <w:i/>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t>Vastaaja ID131, vastaus kysymykseen 3</w:t>
      </w:r>
    </w:p>
    <w:p w14:paraId="51D62249" w14:textId="615D1028" w:rsidR="00F1154A" w:rsidRPr="00637624" w:rsidRDefault="00D071CD" w:rsidP="00637624">
      <w:pPr>
        <w:spacing w:line="360" w:lineRule="auto"/>
        <w:rPr>
          <w:rFonts w:cs="Times New Roman"/>
          <w:sz w:val="22"/>
          <w:lang w:val="fi-FI"/>
        </w:rPr>
      </w:pPr>
      <w:r w:rsidRPr="00637624">
        <w:rPr>
          <w:rFonts w:cs="Times New Roman"/>
          <w:sz w:val="22"/>
          <w:lang w:val="fi-FI"/>
        </w:rPr>
        <w:t xml:space="preserve">Aineiston varsinainen analyysi keskittyi kyselytutkimuksen ensimmäisen ja toisen kysymyksen tuottamaan sisältöön. </w:t>
      </w:r>
      <w:r w:rsidR="00072C96" w:rsidRPr="00637624">
        <w:rPr>
          <w:rFonts w:cs="Times New Roman"/>
          <w:sz w:val="22"/>
          <w:lang w:val="fi-FI"/>
        </w:rPr>
        <w:t xml:space="preserve">Koska tutkimuksen takana ei ollut </w:t>
      </w:r>
      <w:r w:rsidR="004E3329" w:rsidRPr="00637624">
        <w:rPr>
          <w:rFonts w:cs="Times New Roman"/>
          <w:sz w:val="22"/>
          <w:lang w:val="fi-FI"/>
        </w:rPr>
        <w:t>teoreettisen viitekehyksen puitteissa muodostettua</w:t>
      </w:r>
      <w:r w:rsidR="00072C96" w:rsidRPr="00637624">
        <w:rPr>
          <w:rFonts w:cs="Times New Roman"/>
          <w:sz w:val="22"/>
          <w:lang w:val="fi-FI"/>
        </w:rPr>
        <w:t xml:space="preserve"> oletusta vastausten sisällö</w:t>
      </w:r>
      <w:r w:rsidR="00B910EA" w:rsidRPr="00637624">
        <w:rPr>
          <w:rFonts w:cs="Times New Roman"/>
          <w:sz w:val="22"/>
          <w:lang w:val="fi-FI"/>
        </w:rPr>
        <w:t>i</w:t>
      </w:r>
      <w:r w:rsidR="00072C96" w:rsidRPr="00637624">
        <w:rPr>
          <w:rFonts w:cs="Times New Roman"/>
          <w:sz w:val="22"/>
          <w:lang w:val="fi-FI"/>
        </w:rPr>
        <w:t xml:space="preserve">stä, </w:t>
      </w:r>
      <w:r w:rsidR="004E3329" w:rsidRPr="00637624">
        <w:rPr>
          <w:rFonts w:cs="Times New Roman"/>
          <w:sz w:val="22"/>
          <w:lang w:val="fi-FI"/>
        </w:rPr>
        <w:t xml:space="preserve">data-analyysissa päätettiin hyödyntää jo aiemmin esiteltyä </w:t>
      </w:r>
      <w:r w:rsidR="004E3329" w:rsidRPr="00637624">
        <w:rPr>
          <w:rFonts w:cs="Times New Roman"/>
          <w:sz w:val="22"/>
          <w:lang w:val="fi-FI"/>
        </w:rPr>
        <w:fldChar w:fldCharType="begin" w:fldLock="1"/>
      </w:r>
      <w:r w:rsidR="004E3329" w:rsidRPr="00637624">
        <w:rPr>
          <w:rFonts w:cs="Times New Roman"/>
          <w:sz w:val="22"/>
          <w:lang w:val="fi-FI"/>
        </w:rPr>
        <w:instrText>ADDIN CSL_CITATION { "citationItems" : [ { "id" : "ITEM-1", "itemData" : { "DOI" : "10.1177/1049732305276687", "ISBN" : "1049-7323", "ISSN" : "1049-7323", "PMID" : "16204405", "abstract" : "Content analysis is a widely used qualitative research technique. Rather than being a single method, current applications of content analysis show three distinct approaches: conventional, directed, or summative. All three approaches are used to interpret meaning from the content of text data and, hence, adhere to the naturalistic paradigm. The major differences among the approaches are coding schemes, origins of codes, and threats to trustworthiness. In conventional content analysis, coding categories are derived directly from the text data. With a directed approach, analysis starts with a theory or relevant research findings as guidance for initial codes. A summative content analysis involves counting and comparisons, usually of keywords or content, followed by the interpretation of the underlying context. The authors delineate analytic procedures specific to each approach and techniques addressing trustworthiness with hypothetical examples drawn from the area of end-of-life care.", "author" : [ { "dropping-particle" : "", "family" : "Hsieh", "given" : "Hsiu-Fang", "non-dropping-particle" : "", "parse-names" : false, "suffix" : "" }, { "dropping-particle" : "", "family" : "Shannon", "given" : "Sarah E", "non-dropping-particle" : "", "parse-names" : false, "suffix" : "" } ], "container-title" : "Qualitative Health Research", "id" : "ITEM-1", "issue" : "9", "issued" : { "date-parts" : [ [ "2005" ] ] }, "page" : "1277-1288", "title" : "Three Approaches to Qualitative Content Analysis", "type" : "article-journal", "volume" : "15" }, "uris" : [ "http://www.mendeley.com/documents/?uuid=26504d23-5048-427d-a145-c93a59638894" ] } ], "mendeley" : { "formattedCitation" : "(Hsieh &amp; Shannon, 2005)", "manualFormatting" : "Hsiehin ja Shannonin (2005)", "plainTextFormattedCitation" : "(Hsieh &amp; Shannon, 2005)", "previouslyFormattedCitation" : "(Hsieh &amp; Shannon, 2005)" }, "properties" : { "noteIndex" : 0 }, "schema" : "https://github.com/citation-style-language/schema/raw/master/csl-citation.json" }</w:instrText>
      </w:r>
      <w:r w:rsidR="004E3329" w:rsidRPr="00637624">
        <w:rPr>
          <w:rFonts w:cs="Times New Roman"/>
          <w:sz w:val="22"/>
          <w:lang w:val="fi-FI"/>
        </w:rPr>
        <w:fldChar w:fldCharType="separate"/>
      </w:r>
      <w:r w:rsidR="004E3329" w:rsidRPr="00637624">
        <w:rPr>
          <w:rFonts w:cs="Times New Roman"/>
          <w:noProof/>
          <w:sz w:val="22"/>
          <w:lang w:val="fi-FI"/>
        </w:rPr>
        <w:t>Hsiehin ja Shannonin (2005)</w:t>
      </w:r>
      <w:r w:rsidR="004E3329" w:rsidRPr="00637624">
        <w:rPr>
          <w:rFonts w:cs="Times New Roman"/>
          <w:sz w:val="22"/>
          <w:lang w:val="fi-FI"/>
        </w:rPr>
        <w:fldChar w:fldCharType="end"/>
      </w:r>
      <w:r w:rsidR="004E3329" w:rsidRPr="00637624">
        <w:rPr>
          <w:rFonts w:cs="Times New Roman"/>
          <w:sz w:val="22"/>
          <w:lang w:val="fi-FI"/>
        </w:rPr>
        <w:t xml:space="preserve"> ohjei</w:t>
      </w:r>
      <w:r w:rsidR="0084131E" w:rsidRPr="00637624">
        <w:rPr>
          <w:rFonts w:cs="Times New Roman"/>
          <w:sz w:val="22"/>
          <w:lang w:val="fi-FI"/>
        </w:rPr>
        <w:t xml:space="preserve">stusta analyysin eri vaiheista. Induktiivisen kategorisoinnin avulla aineistosta tunnistettiin useita toistuvia tekijöitä artikkelin suosion </w:t>
      </w:r>
      <w:r w:rsidR="00B910EA" w:rsidRPr="00637624">
        <w:rPr>
          <w:rFonts w:cs="Times New Roman"/>
          <w:sz w:val="22"/>
          <w:lang w:val="fi-FI"/>
        </w:rPr>
        <w:t xml:space="preserve">tai yhteiskunnallisen ja tieteellisen vaikuttavuuden </w:t>
      </w:r>
      <w:r w:rsidR="0084131E" w:rsidRPr="00637624">
        <w:rPr>
          <w:rFonts w:cs="Times New Roman"/>
          <w:sz w:val="22"/>
          <w:lang w:val="fi-FI"/>
        </w:rPr>
        <w:t xml:space="preserve">selittäjinä. </w:t>
      </w:r>
      <w:r w:rsidR="00C91084" w:rsidRPr="00637624">
        <w:rPr>
          <w:rFonts w:cs="Times New Roman"/>
          <w:sz w:val="22"/>
          <w:lang w:val="fi-FI"/>
        </w:rPr>
        <w:t>Aineiston herättämien vaikutelmien perusteella päädyimme jakamaan kategoriat kummassakin kysymyksessä kahteen eri teemaan</w:t>
      </w:r>
      <w:r w:rsidR="00846FE8" w:rsidRPr="00637624">
        <w:rPr>
          <w:rFonts w:cs="Times New Roman"/>
          <w:sz w:val="22"/>
          <w:lang w:val="fi-FI"/>
        </w:rPr>
        <w:t xml:space="preserve"> – akateemiseen tai laajempaan yleisöön kohdennettuihin tekijöihin</w:t>
      </w:r>
      <w:r w:rsidR="00C91084" w:rsidRPr="00637624">
        <w:rPr>
          <w:rFonts w:cs="Times New Roman"/>
          <w:sz w:val="22"/>
          <w:lang w:val="fi-FI"/>
        </w:rPr>
        <w:t>.</w:t>
      </w:r>
      <w:r w:rsidR="00F1154A" w:rsidRPr="00637624">
        <w:rPr>
          <w:rFonts w:cs="Times New Roman"/>
          <w:sz w:val="22"/>
          <w:lang w:val="fi-FI"/>
        </w:rPr>
        <w:t xml:space="preserve"> Molemmissa kyselytutkimuksen kysymyksissä ilmeni muutamia kategorioita, jotka eivät sopineet kumpaankaan teemaan. Esimerkki kyseisenkaltaisesta kategoria</w:t>
      </w:r>
      <w:r w:rsidR="00846FE8" w:rsidRPr="00637624">
        <w:rPr>
          <w:rFonts w:cs="Times New Roman"/>
          <w:sz w:val="22"/>
          <w:lang w:val="fi-FI"/>
        </w:rPr>
        <w:t>sta on taulukossa 1 esiintyvä ”n</w:t>
      </w:r>
      <w:r w:rsidR="00F1154A" w:rsidRPr="00637624">
        <w:rPr>
          <w:rFonts w:cs="Times New Roman"/>
          <w:sz w:val="22"/>
          <w:lang w:val="fi-FI"/>
        </w:rPr>
        <w:t>obel”-kategoria (viitaten artikkelin pohjalta myönnettyyn Nobelin palkintoon ja sen vaikutukseen suosion muodostumisessa).</w:t>
      </w:r>
      <w:r w:rsidR="00C91084" w:rsidRPr="00637624">
        <w:rPr>
          <w:rFonts w:cs="Times New Roman"/>
          <w:sz w:val="22"/>
          <w:lang w:val="fi-FI"/>
        </w:rPr>
        <w:t xml:space="preserve"> </w:t>
      </w:r>
    </w:p>
    <w:p w14:paraId="3A277214" w14:textId="2F806A46" w:rsidR="000075D7" w:rsidRPr="00637624" w:rsidRDefault="007B56CF" w:rsidP="00637624">
      <w:pPr>
        <w:spacing w:line="360" w:lineRule="auto"/>
        <w:rPr>
          <w:rFonts w:cs="Times New Roman"/>
          <w:sz w:val="22"/>
          <w:lang w:val="fi-FI"/>
        </w:rPr>
      </w:pPr>
      <w:r>
        <w:rPr>
          <w:rFonts w:cs="Times New Roman"/>
          <w:sz w:val="22"/>
          <w:lang w:val="fi-FI"/>
        </w:rPr>
        <w:t>Valitut teemat akateeminen yleisö tai laajempi yleisö</w:t>
      </w:r>
      <w:r w:rsidR="004E369D" w:rsidRPr="00637624">
        <w:rPr>
          <w:rFonts w:cs="Times New Roman"/>
          <w:sz w:val="22"/>
          <w:lang w:val="fi-FI"/>
        </w:rPr>
        <w:t xml:space="preserve"> muodostuivat sen perusteella, </w:t>
      </w:r>
      <w:r w:rsidR="00846FE8" w:rsidRPr="00637624">
        <w:rPr>
          <w:rFonts w:cs="Times New Roman"/>
          <w:sz w:val="22"/>
          <w:lang w:val="fi-FI"/>
        </w:rPr>
        <w:t>minkälaista yleisöä kuvailun voidaan olettaa miellyttävän. Toisin sanoen teemoja muodostettaessa pyrittiin tekemään artikkelin yleisöstä valistunut päätelmä suosion syiksi perusteltujen tekijöiden pohjalta.</w:t>
      </w:r>
      <w:r w:rsidR="004E369D" w:rsidRPr="00637624">
        <w:rPr>
          <w:rFonts w:cs="Times New Roman"/>
          <w:sz w:val="22"/>
          <w:lang w:val="fi-FI"/>
        </w:rPr>
        <w:t xml:space="preserve"> Esimerkiksi artikkelin suosioon vaikuttaneita tekijöitä arvioidessa (taulukko 1) kategoria ”arvostettu julkaisufoorumi” on koodattu teemaan akateeminen yleisö. Kategoria [tutkimuksen ilmestymisen] ”ajankohtaisuus” on taas koodattu teemaan laajempi yleisö. </w:t>
      </w:r>
      <w:r w:rsidR="00831F55">
        <w:rPr>
          <w:rFonts w:cs="Times New Roman"/>
          <w:sz w:val="22"/>
          <w:lang w:val="fi-FI"/>
        </w:rPr>
        <w:t xml:space="preserve">Kategorioiden välillä on tiettyä päällekkäisyyttä (esim. ajankohtaisuus – uutuusarvo), mutta näitä ei kuitenkaan päädytty yhdistämään vastauksista tunnistettujen kategorioiden merkitysten vivahde-erojen vuoksi. </w:t>
      </w:r>
      <w:r w:rsidR="00B910EA" w:rsidRPr="00637624">
        <w:rPr>
          <w:rFonts w:cs="Times New Roman"/>
          <w:sz w:val="22"/>
          <w:lang w:val="fi-FI"/>
        </w:rPr>
        <w:t xml:space="preserve">Kyseisessä jaottelussa </w:t>
      </w:r>
      <w:r w:rsidR="004E369D" w:rsidRPr="00637624">
        <w:rPr>
          <w:rFonts w:cs="Times New Roman"/>
          <w:sz w:val="22"/>
          <w:lang w:val="fi-FI"/>
        </w:rPr>
        <w:t xml:space="preserve">määräävänä tekijänä </w:t>
      </w:r>
      <w:r w:rsidR="00B910EA" w:rsidRPr="00637624">
        <w:rPr>
          <w:rFonts w:cs="Times New Roman"/>
          <w:sz w:val="22"/>
          <w:lang w:val="fi-FI"/>
        </w:rPr>
        <w:t>oli</w:t>
      </w:r>
      <w:r w:rsidR="004E369D" w:rsidRPr="00637624">
        <w:rPr>
          <w:rFonts w:cs="Times New Roman"/>
          <w:sz w:val="22"/>
          <w:lang w:val="fi-FI"/>
        </w:rPr>
        <w:t xml:space="preserve"> oletetun tekijäryhmän </w:t>
      </w:r>
      <w:r w:rsidR="00B910EA" w:rsidRPr="00637624">
        <w:rPr>
          <w:rFonts w:cs="Times New Roman"/>
          <w:sz w:val="22"/>
          <w:lang w:val="fi-FI"/>
        </w:rPr>
        <w:t>(akateeminen tai laajempi yleisö) motiivi artikkelin</w:t>
      </w:r>
      <w:r w:rsidR="00846FE8" w:rsidRPr="00637624">
        <w:rPr>
          <w:rFonts w:cs="Times New Roman"/>
          <w:sz w:val="22"/>
          <w:lang w:val="fi-FI"/>
        </w:rPr>
        <w:t xml:space="preserve"> jakamiselle tai </w:t>
      </w:r>
      <w:r w:rsidR="00B910EA" w:rsidRPr="00637624">
        <w:rPr>
          <w:rFonts w:cs="Times New Roman"/>
          <w:sz w:val="22"/>
          <w:lang w:val="fi-FI"/>
        </w:rPr>
        <w:t>tallentamiselle</w:t>
      </w:r>
      <w:r>
        <w:rPr>
          <w:rFonts w:cs="Times New Roman"/>
          <w:sz w:val="22"/>
          <w:lang w:val="fi-FI"/>
        </w:rPr>
        <w:t xml:space="preserve"> [Twitterissä artikkeli jaetaan eli twiitataan eteenpäin, Mendeleyssä artikkeli tallennetaan omaan verkkokirjastoon]</w:t>
      </w:r>
      <w:r w:rsidR="00B910EA" w:rsidRPr="00637624">
        <w:rPr>
          <w:rFonts w:cs="Times New Roman"/>
          <w:sz w:val="22"/>
          <w:lang w:val="fi-FI"/>
        </w:rPr>
        <w:t xml:space="preserve">. </w:t>
      </w:r>
      <w:r w:rsidR="004E369D" w:rsidRPr="00637624">
        <w:rPr>
          <w:rFonts w:cs="Times New Roman"/>
          <w:sz w:val="22"/>
          <w:lang w:val="fi-FI"/>
        </w:rPr>
        <w:t>Koimme, että akateemisella yleisöllä on eriävät perustee</w:t>
      </w:r>
      <w:r w:rsidR="00B910EA" w:rsidRPr="00637624">
        <w:rPr>
          <w:rFonts w:cs="Times New Roman"/>
          <w:sz w:val="22"/>
          <w:lang w:val="fi-FI"/>
        </w:rPr>
        <w:t>t jakaa tai tallentaa artikkeli</w:t>
      </w:r>
      <w:r w:rsidR="004E369D" w:rsidRPr="00637624">
        <w:rPr>
          <w:rFonts w:cs="Times New Roman"/>
          <w:sz w:val="22"/>
          <w:lang w:val="fi-FI"/>
        </w:rPr>
        <w:t xml:space="preserve"> kuin </w:t>
      </w:r>
      <w:r w:rsidR="00B910EA" w:rsidRPr="00637624">
        <w:rPr>
          <w:rFonts w:cs="Times New Roman"/>
          <w:sz w:val="22"/>
          <w:lang w:val="fi-FI"/>
        </w:rPr>
        <w:t xml:space="preserve">mitkä </w:t>
      </w:r>
      <w:r w:rsidR="004E369D" w:rsidRPr="00637624">
        <w:rPr>
          <w:rFonts w:cs="Times New Roman"/>
          <w:sz w:val="22"/>
          <w:lang w:val="fi-FI"/>
        </w:rPr>
        <w:t>laajemmalla yleisöllä</w:t>
      </w:r>
      <w:r w:rsidR="00B910EA" w:rsidRPr="00637624">
        <w:rPr>
          <w:rFonts w:cs="Times New Roman"/>
          <w:sz w:val="22"/>
          <w:lang w:val="fi-FI"/>
        </w:rPr>
        <w:t xml:space="preserve"> on</w:t>
      </w:r>
      <w:r w:rsidR="004E369D" w:rsidRPr="00637624">
        <w:rPr>
          <w:rFonts w:cs="Times New Roman"/>
          <w:sz w:val="22"/>
          <w:lang w:val="fi-FI"/>
        </w:rPr>
        <w:t>.</w:t>
      </w:r>
    </w:p>
    <w:p w14:paraId="75739CBA" w14:textId="008D76FE" w:rsidR="00B910EA" w:rsidRPr="00637624" w:rsidRDefault="00B910EA" w:rsidP="00637624">
      <w:pPr>
        <w:spacing w:after="160" w:line="360" w:lineRule="auto"/>
        <w:rPr>
          <w:rFonts w:cs="Times New Roman"/>
          <w:sz w:val="22"/>
          <w:lang w:val="fi-FI"/>
        </w:rPr>
      </w:pPr>
      <w:r w:rsidRPr="00637624">
        <w:rPr>
          <w:rFonts w:cs="Times New Roman"/>
          <w:sz w:val="22"/>
          <w:lang w:val="fi-FI"/>
        </w:rPr>
        <w:t>”</w:t>
      </w:r>
      <w:r w:rsidRPr="00637624">
        <w:rPr>
          <w:rFonts w:cs="Times New Roman"/>
          <w:i/>
          <w:sz w:val="22"/>
          <w:lang w:val="fi-FI"/>
        </w:rPr>
        <w:t>Eiköhän eniten verkkohuomiota saa ne artikkelit, joissa on jokin yleiskiinnostava, helposti ymmärrettävä ja jokaista koskettava aihe kuten tässä artikkelissa oli. Tietysti yhdistettynä korkeatasoiseen/tässä tapauksessa parhaaseen mahdolliseen julkaisuforumiin[.]”</w:t>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t>Vastaaja ID 016, vastaus kysymykseen Twitter 1</w:t>
      </w:r>
    </w:p>
    <w:p w14:paraId="75643B33" w14:textId="736A004A" w:rsidR="00237B53" w:rsidRPr="00637624" w:rsidRDefault="000075D7" w:rsidP="00637624">
      <w:pPr>
        <w:spacing w:line="360" w:lineRule="auto"/>
        <w:rPr>
          <w:rFonts w:cs="Times New Roman"/>
          <w:sz w:val="22"/>
          <w:lang w:val="fi-FI"/>
        </w:rPr>
      </w:pPr>
      <w:r w:rsidRPr="00637624">
        <w:rPr>
          <w:rFonts w:cs="Times New Roman"/>
          <w:sz w:val="22"/>
          <w:lang w:val="fi-FI"/>
        </w:rPr>
        <w:t xml:space="preserve">Taulukko 1 osoittaa </w:t>
      </w:r>
      <w:r w:rsidR="00B910EA" w:rsidRPr="00637624">
        <w:rPr>
          <w:rFonts w:cs="Times New Roman"/>
          <w:sz w:val="22"/>
          <w:lang w:val="fi-FI"/>
        </w:rPr>
        <w:t xml:space="preserve">ensimmäisen kysymyksen </w:t>
      </w:r>
      <w:r w:rsidRPr="00637624">
        <w:rPr>
          <w:rFonts w:cs="Times New Roman"/>
          <w:sz w:val="22"/>
          <w:lang w:val="fi-FI"/>
        </w:rPr>
        <w:t xml:space="preserve">vastausten jakautumisen kategorioittain ja teemoittain. Taulukon kategoriat on järjestetty Mendeley-verkkopalvelun </w:t>
      </w:r>
      <w:r w:rsidR="00DB7BE2" w:rsidRPr="00637624">
        <w:rPr>
          <w:rFonts w:cs="Times New Roman"/>
          <w:sz w:val="22"/>
          <w:lang w:val="fi-FI"/>
        </w:rPr>
        <w:t xml:space="preserve">vastauksien jakaumien </w:t>
      </w:r>
      <w:r w:rsidRPr="00637624">
        <w:rPr>
          <w:rFonts w:cs="Times New Roman"/>
          <w:sz w:val="22"/>
          <w:lang w:val="fi-FI"/>
        </w:rPr>
        <w:t xml:space="preserve">perusteella suuruusjärjestykseen. Kategoriat on jaoteltu lisäksi teemoittain. </w:t>
      </w:r>
      <w:r w:rsidR="00DB7BE2" w:rsidRPr="00637624">
        <w:rPr>
          <w:rFonts w:cs="Times New Roman"/>
          <w:sz w:val="22"/>
          <w:lang w:val="fi-FI"/>
        </w:rPr>
        <w:t>Molempien verkkopalvelujen vastauksissa korostuivat tietyt artikkelin suosioon liitetyt tekijät, kuten t</w:t>
      </w:r>
      <w:r w:rsidR="0084131E" w:rsidRPr="00637624">
        <w:rPr>
          <w:rFonts w:cs="Times New Roman"/>
          <w:sz w:val="22"/>
          <w:lang w:val="fi-FI"/>
        </w:rPr>
        <w:t>utkimuksen ajankohtaisuus</w:t>
      </w:r>
      <w:r w:rsidR="00DB7BE2" w:rsidRPr="00637624">
        <w:rPr>
          <w:rFonts w:cs="Times New Roman"/>
          <w:sz w:val="22"/>
          <w:lang w:val="fi-FI"/>
        </w:rPr>
        <w:t xml:space="preserve"> (Twitter 20 mainintaa, Mendele</w:t>
      </w:r>
      <w:r w:rsidR="00237B53" w:rsidRPr="00637624">
        <w:rPr>
          <w:rFonts w:cs="Times New Roman"/>
          <w:sz w:val="22"/>
          <w:lang w:val="fi-FI"/>
        </w:rPr>
        <w:t>y</w:t>
      </w:r>
      <w:r w:rsidR="00DB7BE2" w:rsidRPr="00637624">
        <w:rPr>
          <w:rFonts w:cs="Times New Roman"/>
          <w:sz w:val="22"/>
          <w:lang w:val="fi-FI"/>
        </w:rPr>
        <w:t xml:space="preserve"> 19 mainintaa), </w:t>
      </w:r>
      <w:r w:rsidR="0084131E" w:rsidRPr="00637624">
        <w:rPr>
          <w:rFonts w:cs="Times New Roman"/>
          <w:sz w:val="22"/>
          <w:lang w:val="fi-FI"/>
        </w:rPr>
        <w:t>arvostettu julkaisufoorumi</w:t>
      </w:r>
      <w:r w:rsidR="00DB7BE2" w:rsidRPr="00637624">
        <w:rPr>
          <w:rFonts w:cs="Times New Roman"/>
          <w:sz w:val="22"/>
          <w:lang w:val="fi-FI"/>
        </w:rPr>
        <w:t xml:space="preserve"> (T 20, M 23)</w:t>
      </w:r>
      <w:r w:rsidR="0084131E" w:rsidRPr="00637624">
        <w:rPr>
          <w:rFonts w:cs="Times New Roman"/>
          <w:sz w:val="22"/>
          <w:lang w:val="fi-FI"/>
        </w:rPr>
        <w:t>, popularisoitavissa oleva aihe</w:t>
      </w:r>
      <w:r w:rsidR="00DB7BE2" w:rsidRPr="00637624">
        <w:rPr>
          <w:rFonts w:cs="Times New Roman"/>
          <w:sz w:val="22"/>
          <w:lang w:val="fi-FI"/>
        </w:rPr>
        <w:t xml:space="preserve"> (T 16, M 12)</w:t>
      </w:r>
      <w:r w:rsidR="0084131E" w:rsidRPr="00637624">
        <w:rPr>
          <w:rFonts w:cs="Times New Roman"/>
          <w:sz w:val="22"/>
          <w:lang w:val="fi-FI"/>
        </w:rPr>
        <w:t xml:space="preserve">, kirjoittajaryhmän aktiivisuus </w:t>
      </w:r>
      <w:r w:rsidR="00DB7BE2" w:rsidRPr="00637624">
        <w:rPr>
          <w:rFonts w:cs="Times New Roman"/>
          <w:sz w:val="22"/>
          <w:lang w:val="fi-FI"/>
        </w:rPr>
        <w:t xml:space="preserve">artikkelin levittämisessä (T 8, M 8) </w:t>
      </w:r>
      <w:r w:rsidR="0084131E" w:rsidRPr="00637624">
        <w:rPr>
          <w:rFonts w:cs="Times New Roman"/>
          <w:sz w:val="22"/>
          <w:lang w:val="fi-FI"/>
        </w:rPr>
        <w:t>ja review-/meta-analyysi</w:t>
      </w:r>
      <w:r w:rsidR="00DB7BE2" w:rsidRPr="00637624">
        <w:rPr>
          <w:rFonts w:cs="Times New Roman"/>
          <w:sz w:val="22"/>
          <w:lang w:val="fi-FI"/>
        </w:rPr>
        <w:t xml:space="preserve"> artikkelina (T 7, M 13)</w:t>
      </w:r>
      <w:r w:rsidR="00B910EA" w:rsidRPr="00637624">
        <w:rPr>
          <w:rFonts w:cs="Times New Roman"/>
          <w:sz w:val="22"/>
          <w:lang w:val="fi-FI"/>
        </w:rPr>
        <w:t>.</w:t>
      </w:r>
    </w:p>
    <w:tbl>
      <w:tblPr>
        <w:tblW w:w="6820" w:type="dxa"/>
        <w:jc w:val="center"/>
        <w:tblCellMar>
          <w:left w:w="70" w:type="dxa"/>
          <w:right w:w="70" w:type="dxa"/>
        </w:tblCellMar>
        <w:tblLook w:val="04A0" w:firstRow="1" w:lastRow="0" w:firstColumn="1" w:lastColumn="0" w:noHBand="0" w:noVBand="1"/>
      </w:tblPr>
      <w:tblGrid>
        <w:gridCol w:w="739"/>
        <w:gridCol w:w="4269"/>
        <w:gridCol w:w="846"/>
        <w:gridCol w:w="1020"/>
      </w:tblGrid>
      <w:tr w:rsidR="00265287" w:rsidRPr="00265287" w14:paraId="7EB1C2E0" w14:textId="77777777" w:rsidTr="00265287">
        <w:trPr>
          <w:trHeight w:val="885"/>
          <w:jc w:val="center"/>
        </w:trPr>
        <w:tc>
          <w:tcPr>
            <w:tcW w:w="6820" w:type="dxa"/>
            <w:gridSpan w:val="4"/>
            <w:vMerge w:val="restart"/>
            <w:tcBorders>
              <w:top w:val="single" w:sz="8" w:space="0" w:color="auto"/>
              <w:left w:val="nil"/>
              <w:bottom w:val="single" w:sz="8" w:space="0" w:color="000000"/>
              <w:right w:val="nil"/>
            </w:tcBorders>
            <w:shd w:val="clear" w:color="auto" w:fill="auto"/>
            <w:vAlign w:val="center"/>
            <w:hideMark/>
          </w:tcPr>
          <w:p w14:paraId="68E39AA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1. Minkä tekijöiden uskotte vaikuttaneen artikkelin suosioon edellä mainitussa verkkopalvelussa/-palveluissa?</w:t>
            </w:r>
          </w:p>
        </w:tc>
      </w:tr>
      <w:tr w:rsidR="00265287" w:rsidRPr="00265287" w14:paraId="5570C031" w14:textId="77777777" w:rsidTr="00265287">
        <w:trPr>
          <w:trHeight w:val="315"/>
          <w:jc w:val="center"/>
        </w:trPr>
        <w:tc>
          <w:tcPr>
            <w:tcW w:w="6820" w:type="dxa"/>
            <w:gridSpan w:val="4"/>
            <w:vMerge/>
            <w:tcBorders>
              <w:top w:val="single" w:sz="8" w:space="0" w:color="auto"/>
              <w:left w:val="nil"/>
              <w:bottom w:val="single" w:sz="8" w:space="0" w:color="000000"/>
              <w:right w:val="nil"/>
            </w:tcBorders>
            <w:vAlign w:val="center"/>
            <w:hideMark/>
          </w:tcPr>
          <w:p w14:paraId="048DF806" w14:textId="77777777" w:rsidR="00265287" w:rsidRPr="00265287" w:rsidRDefault="00265287" w:rsidP="00265287">
            <w:pPr>
              <w:spacing w:after="0" w:line="240" w:lineRule="auto"/>
              <w:rPr>
                <w:rFonts w:eastAsia="Times New Roman" w:cs="Times New Roman"/>
                <w:color w:val="000000"/>
                <w:sz w:val="22"/>
                <w:lang w:val="fi-FI" w:eastAsia="fi-FI"/>
              </w:rPr>
            </w:pPr>
          </w:p>
        </w:tc>
      </w:tr>
      <w:tr w:rsidR="00265287" w:rsidRPr="00265287" w14:paraId="7ED68162"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6189F29D"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Teema</w:t>
            </w:r>
          </w:p>
        </w:tc>
        <w:tc>
          <w:tcPr>
            <w:tcW w:w="4269" w:type="dxa"/>
            <w:tcBorders>
              <w:top w:val="nil"/>
              <w:left w:val="nil"/>
              <w:bottom w:val="nil"/>
              <w:right w:val="nil"/>
            </w:tcBorders>
            <w:shd w:val="clear" w:color="auto" w:fill="auto"/>
            <w:noWrap/>
            <w:vAlign w:val="center"/>
            <w:hideMark/>
          </w:tcPr>
          <w:p w14:paraId="042D509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Kategoria</w:t>
            </w:r>
          </w:p>
        </w:tc>
        <w:tc>
          <w:tcPr>
            <w:tcW w:w="846" w:type="dxa"/>
            <w:tcBorders>
              <w:top w:val="nil"/>
              <w:left w:val="nil"/>
              <w:bottom w:val="nil"/>
              <w:right w:val="nil"/>
            </w:tcBorders>
            <w:shd w:val="clear" w:color="auto" w:fill="auto"/>
            <w:noWrap/>
            <w:vAlign w:val="center"/>
            <w:hideMark/>
          </w:tcPr>
          <w:p w14:paraId="5978BB3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Twitter</w:t>
            </w:r>
          </w:p>
        </w:tc>
        <w:tc>
          <w:tcPr>
            <w:tcW w:w="1008" w:type="dxa"/>
            <w:tcBorders>
              <w:top w:val="nil"/>
              <w:left w:val="nil"/>
              <w:bottom w:val="nil"/>
              <w:right w:val="nil"/>
            </w:tcBorders>
            <w:shd w:val="clear" w:color="auto" w:fill="auto"/>
            <w:noWrap/>
            <w:vAlign w:val="center"/>
            <w:hideMark/>
          </w:tcPr>
          <w:p w14:paraId="07B3267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Mendeley</w:t>
            </w:r>
          </w:p>
        </w:tc>
      </w:tr>
      <w:tr w:rsidR="00265287" w:rsidRPr="00265287" w14:paraId="2C746423"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062E7F9F"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40E2A358"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arvostettu julkaisufoorumi</w:t>
            </w:r>
          </w:p>
        </w:tc>
        <w:tc>
          <w:tcPr>
            <w:tcW w:w="846" w:type="dxa"/>
            <w:tcBorders>
              <w:top w:val="nil"/>
              <w:left w:val="nil"/>
              <w:bottom w:val="nil"/>
              <w:right w:val="nil"/>
            </w:tcBorders>
            <w:shd w:val="clear" w:color="auto" w:fill="auto"/>
            <w:noWrap/>
            <w:vAlign w:val="center"/>
            <w:hideMark/>
          </w:tcPr>
          <w:p w14:paraId="51A143B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20</w:t>
            </w:r>
          </w:p>
        </w:tc>
        <w:tc>
          <w:tcPr>
            <w:tcW w:w="1008" w:type="dxa"/>
            <w:tcBorders>
              <w:top w:val="nil"/>
              <w:left w:val="nil"/>
              <w:bottom w:val="nil"/>
              <w:right w:val="nil"/>
            </w:tcBorders>
            <w:shd w:val="clear" w:color="auto" w:fill="auto"/>
            <w:noWrap/>
            <w:vAlign w:val="center"/>
            <w:hideMark/>
          </w:tcPr>
          <w:p w14:paraId="32B031D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23</w:t>
            </w:r>
          </w:p>
        </w:tc>
      </w:tr>
      <w:tr w:rsidR="00265287" w:rsidRPr="00265287" w14:paraId="4D0DB763"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08326F8E"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11EE5016"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merkittävä tutkimustulos</w:t>
            </w:r>
          </w:p>
        </w:tc>
        <w:tc>
          <w:tcPr>
            <w:tcW w:w="846" w:type="dxa"/>
            <w:tcBorders>
              <w:top w:val="nil"/>
              <w:left w:val="nil"/>
              <w:bottom w:val="nil"/>
              <w:right w:val="nil"/>
            </w:tcBorders>
            <w:shd w:val="clear" w:color="auto" w:fill="auto"/>
            <w:noWrap/>
            <w:vAlign w:val="center"/>
            <w:hideMark/>
          </w:tcPr>
          <w:p w14:paraId="7E8329F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1008" w:type="dxa"/>
            <w:tcBorders>
              <w:top w:val="nil"/>
              <w:left w:val="nil"/>
              <w:bottom w:val="nil"/>
              <w:right w:val="nil"/>
            </w:tcBorders>
            <w:shd w:val="clear" w:color="auto" w:fill="auto"/>
            <w:noWrap/>
            <w:vAlign w:val="center"/>
            <w:hideMark/>
          </w:tcPr>
          <w:p w14:paraId="08EED27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21</w:t>
            </w:r>
          </w:p>
        </w:tc>
      </w:tr>
      <w:tr w:rsidR="00265287" w:rsidRPr="00265287" w14:paraId="6C239907"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24130B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39F7084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uusi menetelmä</w:t>
            </w:r>
          </w:p>
        </w:tc>
        <w:tc>
          <w:tcPr>
            <w:tcW w:w="846" w:type="dxa"/>
            <w:tcBorders>
              <w:top w:val="nil"/>
              <w:left w:val="nil"/>
              <w:bottom w:val="nil"/>
              <w:right w:val="nil"/>
            </w:tcBorders>
            <w:shd w:val="clear" w:color="auto" w:fill="auto"/>
            <w:noWrap/>
            <w:vAlign w:val="center"/>
            <w:hideMark/>
          </w:tcPr>
          <w:p w14:paraId="5505EBF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5F3AC1A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18</w:t>
            </w:r>
          </w:p>
        </w:tc>
      </w:tr>
      <w:tr w:rsidR="00265287" w:rsidRPr="00265287" w14:paraId="7CD4F505"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CB28353"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5764E2A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review-/meta-analyysi</w:t>
            </w:r>
          </w:p>
        </w:tc>
        <w:tc>
          <w:tcPr>
            <w:tcW w:w="846" w:type="dxa"/>
            <w:tcBorders>
              <w:top w:val="nil"/>
              <w:left w:val="nil"/>
              <w:bottom w:val="nil"/>
              <w:right w:val="nil"/>
            </w:tcBorders>
            <w:shd w:val="clear" w:color="auto" w:fill="auto"/>
            <w:noWrap/>
            <w:vAlign w:val="center"/>
            <w:hideMark/>
          </w:tcPr>
          <w:p w14:paraId="54577F19"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1008" w:type="dxa"/>
            <w:tcBorders>
              <w:top w:val="nil"/>
              <w:left w:val="nil"/>
              <w:bottom w:val="nil"/>
              <w:right w:val="nil"/>
            </w:tcBorders>
            <w:shd w:val="clear" w:color="auto" w:fill="auto"/>
            <w:noWrap/>
            <w:vAlign w:val="center"/>
            <w:hideMark/>
          </w:tcPr>
          <w:p w14:paraId="3BB3D3E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13</w:t>
            </w:r>
          </w:p>
        </w:tc>
      </w:tr>
      <w:tr w:rsidR="00265287" w:rsidRPr="00265287" w14:paraId="17E8A3ED"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0C8B23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7E68882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hyvin tehty tutkimus</w:t>
            </w:r>
          </w:p>
        </w:tc>
        <w:tc>
          <w:tcPr>
            <w:tcW w:w="846" w:type="dxa"/>
            <w:tcBorders>
              <w:top w:val="nil"/>
              <w:left w:val="nil"/>
              <w:bottom w:val="nil"/>
              <w:right w:val="nil"/>
            </w:tcBorders>
            <w:shd w:val="clear" w:color="auto" w:fill="auto"/>
            <w:noWrap/>
            <w:vAlign w:val="center"/>
            <w:hideMark/>
          </w:tcPr>
          <w:p w14:paraId="0B3CC45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c>
          <w:tcPr>
            <w:tcW w:w="1008" w:type="dxa"/>
            <w:tcBorders>
              <w:top w:val="nil"/>
              <w:left w:val="nil"/>
              <w:bottom w:val="nil"/>
              <w:right w:val="nil"/>
            </w:tcBorders>
            <w:shd w:val="clear" w:color="auto" w:fill="auto"/>
            <w:noWrap/>
            <w:vAlign w:val="center"/>
            <w:hideMark/>
          </w:tcPr>
          <w:p w14:paraId="35444A7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13</w:t>
            </w:r>
          </w:p>
        </w:tc>
      </w:tr>
      <w:tr w:rsidR="00265287" w:rsidRPr="00265287" w14:paraId="1B134BC9"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52E56A87"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4634960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huippututkijoita työryhmässä</w:t>
            </w:r>
          </w:p>
        </w:tc>
        <w:tc>
          <w:tcPr>
            <w:tcW w:w="846" w:type="dxa"/>
            <w:tcBorders>
              <w:top w:val="nil"/>
              <w:left w:val="nil"/>
              <w:bottom w:val="nil"/>
              <w:right w:val="nil"/>
            </w:tcBorders>
            <w:shd w:val="clear" w:color="auto" w:fill="auto"/>
            <w:noWrap/>
            <w:vAlign w:val="center"/>
            <w:hideMark/>
          </w:tcPr>
          <w:p w14:paraId="6A6D8F3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081B518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12</w:t>
            </w:r>
          </w:p>
        </w:tc>
      </w:tr>
      <w:tr w:rsidR="00265287" w:rsidRPr="00265287" w14:paraId="3B0078DB"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4E4F2A25"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4E10BC4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kirjoittajaryhmän aktiivisuus</w:t>
            </w:r>
          </w:p>
        </w:tc>
        <w:tc>
          <w:tcPr>
            <w:tcW w:w="846" w:type="dxa"/>
            <w:tcBorders>
              <w:top w:val="nil"/>
              <w:left w:val="nil"/>
              <w:bottom w:val="nil"/>
              <w:right w:val="nil"/>
            </w:tcBorders>
            <w:shd w:val="clear" w:color="auto" w:fill="auto"/>
            <w:noWrap/>
            <w:vAlign w:val="center"/>
            <w:hideMark/>
          </w:tcPr>
          <w:p w14:paraId="7313229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8</w:t>
            </w:r>
          </w:p>
        </w:tc>
        <w:tc>
          <w:tcPr>
            <w:tcW w:w="1008" w:type="dxa"/>
            <w:tcBorders>
              <w:top w:val="nil"/>
              <w:left w:val="nil"/>
              <w:bottom w:val="nil"/>
              <w:right w:val="nil"/>
            </w:tcBorders>
            <w:shd w:val="clear" w:color="auto" w:fill="auto"/>
            <w:noWrap/>
            <w:vAlign w:val="center"/>
            <w:hideMark/>
          </w:tcPr>
          <w:p w14:paraId="4023DDC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8</w:t>
            </w:r>
          </w:p>
        </w:tc>
      </w:tr>
      <w:tr w:rsidR="00265287" w:rsidRPr="00265287" w14:paraId="61B25301"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C2947A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76AF4A5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yllättävä tulos</w:t>
            </w:r>
          </w:p>
        </w:tc>
        <w:tc>
          <w:tcPr>
            <w:tcW w:w="846" w:type="dxa"/>
            <w:tcBorders>
              <w:top w:val="nil"/>
              <w:left w:val="nil"/>
              <w:bottom w:val="nil"/>
              <w:right w:val="nil"/>
            </w:tcBorders>
            <w:shd w:val="clear" w:color="auto" w:fill="auto"/>
            <w:noWrap/>
            <w:vAlign w:val="center"/>
            <w:hideMark/>
          </w:tcPr>
          <w:p w14:paraId="3DC459B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1008" w:type="dxa"/>
            <w:tcBorders>
              <w:top w:val="nil"/>
              <w:left w:val="nil"/>
              <w:bottom w:val="nil"/>
              <w:right w:val="nil"/>
            </w:tcBorders>
            <w:shd w:val="clear" w:color="auto" w:fill="auto"/>
            <w:noWrap/>
            <w:vAlign w:val="center"/>
            <w:hideMark/>
          </w:tcPr>
          <w:p w14:paraId="30B3182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8</w:t>
            </w:r>
          </w:p>
        </w:tc>
      </w:tr>
      <w:tr w:rsidR="00265287" w:rsidRPr="00265287" w14:paraId="121B5495"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127281B"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263A460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tunnettu tutkimuslaji</w:t>
            </w:r>
          </w:p>
        </w:tc>
        <w:tc>
          <w:tcPr>
            <w:tcW w:w="846" w:type="dxa"/>
            <w:tcBorders>
              <w:top w:val="nil"/>
              <w:left w:val="nil"/>
              <w:bottom w:val="nil"/>
              <w:right w:val="nil"/>
            </w:tcBorders>
            <w:shd w:val="clear" w:color="auto" w:fill="auto"/>
            <w:noWrap/>
            <w:vAlign w:val="center"/>
            <w:hideMark/>
          </w:tcPr>
          <w:p w14:paraId="249CAF6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2A01620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r>
      <w:tr w:rsidR="00265287" w:rsidRPr="00265287" w14:paraId="260CEEC6"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3D889306"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3B7D1E2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ristiriitaiset tulokset</w:t>
            </w:r>
          </w:p>
        </w:tc>
        <w:tc>
          <w:tcPr>
            <w:tcW w:w="846" w:type="dxa"/>
            <w:tcBorders>
              <w:top w:val="nil"/>
              <w:left w:val="nil"/>
              <w:bottom w:val="nil"/>
              <w:right w:val="nil"/>
            </w:tcBorders>
            <w:shd w:val="clear" w:color="auto" w:fill="auto"/>
            <w:noWrap/>
            <w:vAlign w:val="center"/>
            <w:hideMark/>
          </w:tcPr>
          <w:p w14:paraId="49FB8BC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522D11B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r>
      <w:tr w:rsidR="00265287" w:rsidRPr="00265287" w14:paraId="61979A6C"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5930E73D"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4423E9AC"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siteerattu/viitattu</w:t>
            </w:r>
          </w:p>
        </w:tc>
        <w:tc>
          <w:tcPr>
            <w:tcW w:w="846" w:type="dxa"/>
            <w:tcBorders>
              <w:top w:val="nil"/>
              <w:left w:val="nil"/>
              <w:bottom w:val="nil"/>
              <w:right w:val="nil"/>
            </w:tcBorders>
            <w:shd w:val="clear" w:color="auto" w:fill="auto"/>
            <w:noWrap/>
            <w:vAlign w:val="center"/>
            <w:hideMark/>
          </w:tcPr>
          <w:p w14:paraId="30C8558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108536E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r>
      <w:tr w:rsidR="00265287" w:rsidRPr="00265287" w14:paraId="717C619A"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00C1A06"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3B4F042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monikansallinen</w:t>
            </w:r>
          </w:p>
        </w:tc>
        <w:tc>
          <w:tcPr>
            <w:tcW w:w="846" w:type="dxa"/>
            <w:tcBorders>
              <w:top w:val="nil"/>
              <w:left w:val="nil"/>
              <w:bottom w:val="nil"/>
              <w:right w:val="nil"/>
            </w:tcBorders>
            <w:shd w:val="clear" w:color="auto" w:fill="auto"/>
            <w:noWrap/>
            <w:vAlign w:val="center"/>
            <w:hideMark/>
          </w:tcPr>
          <w:p w14:paraId="615F8AA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c>
          <w:tcPr>
            <w:tcW w:w="1008" w:type="dxa"/>
            <w:tcBorders>
              <w:top w:val="nil"/>
              <w:left w:val="nil"/>
              <w:bottom w:val="nil"/>
              <w:right w:val="nil"/>
            </w:tcBorders>
            <w:shd w:val="clear" w:color="auto" w:fill="auto"/>
            <w:noWrap/>
            <w:vAlign w:val="center"/>
            <w:hideMark/>
          </w:tcPr>
          <w:p w14:paraId="29565EB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r>
      <w:tr w:rsidR="00265287" w:rsidRPr="00265287" w14:paraId="51016580"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4BB949F4"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1E56FCF8"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tutkimusta eteenpäinvievä</w:t>
            </w:r>
          </w:p>
        </w:tc>
        <w:tc>
          <w:tcPr>
            <w:tcW w:w="846" w:type="dxa"/>
            <w:tcBorders>
              <w:top w:val="nil"/>
              <w:left w:val="nil"/>
              <w:bottom w:val="nil"/>
              <w:right w:val="nil"/>
            </w:tcBorders>
            <w:shd w:val="clear" w:color="auto" w:fill="auto"/>
            <w:noWrap/>
            <w:vAlign w:val="center"/>
            <w:hideMark/>
          </w:tcPr>
          <w:p w14:paraId="0A337C1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742BD7C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r>
      <w:tr w:rsidR="00265287" w:rsidRPr="00265287" w14:paraId="24DBBC64"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3D9FBD89"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34370909"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monialainen</w:t>
            </w:r>
          </w:p>
        </w:tc>
        <w:tc>
          <w:tcPr>
            <w:tcW w:w="846" w:type="dxa"/>
            <w:tcBorders>
              <w:top w:val="nil"/>
              <w:left w:val="nil"/>
              <w:bottom w:val="nil"/>
              <w:right w:val="nil"/>
            </w:tcBorders>
            <w:shd w:val="clear" w:color="auto" w:fill="auto"/>
            <w:noWrap/>
            <w:vAlign w:val="center"/>
            <w:hideMark/>
          </w:tcPr>
          <w:p w14:paraId="3E62770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627E5DA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4A394DC8"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CD7115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01BFDA6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datan saatavuus</w:t>
            </w:r>
          </w:p>
        </w:tc>
        <w:tc>
          <w:tcPr>
            <w:tcW w:w="846" w:type="dxa"/>
            <w:tcBorders>
              <w:top w:val="nil"/>
              <w:left w:val="nil"/>
              <w:bottom w:val="nil"/>
              <w:right w:val="nil"/>
            </w:tcBorders>
            <w:shd w:val="clear" w:color="auto" w:fill="auto"/>
            <w:noWrap/>
            <w:vAlign w:val="center"/>
            <w:hideMark/>
          </w:tcPr>
          <w:p w14:paraId="382A0E3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407100D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790010FB"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369D52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5E236820"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perustutkimus</w:t>
            </w:r>
          </w:p>
        </w:tc>
        <w:tc>
          <w:tcPr>
            <w:tcW w:w="846" w:type="dxa"/>
            <w:tcBorders>
              <w:top w:val="nil"/>
              <w:left w:val="nil"/>
              <w:bottom w:val="nil"/>
              <w:right w:val="nil"/>
            </w:tcBorders>
            <w:shd w:val="clear" w:color="auto" w:fill="auto"/>
            <w:noWrap/>
            <w:vAlign w:val="center"/>
            <w:hideMark/>
          </w:tcPr>
          <w:p w14:paraId="0F5E727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355AD73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335D7338"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2985483"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78EEEBA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kirjoitttajaryhmän verkostot</w:t>
            </w:r>
          </w:p>
        </w:tc>
        <w:tc>
          <w:tcPr>
            <w:tcW w:w="846" w:type="dxa"/>
            <w:tcBorders>
              <w:top w:val="nil"/>
              <w:left w:val="nil"/>
              <w:bottom w:val="nil"/>
              <w:right w:val="nil"/>
            </w:tcBorders>
            <w:shd w:val="clear" w:color="auto" w:fill="auto"/>
            <w:noWrap/>
            <w:vAlign w:val="center"/>
            <w:hideMark/>
          </w:tcPr>
          <w:p w14:paraId="00D312C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c>
          <w:tcPr>
            <w:tcW w:w="1008" w:type="dxa"/>
            <w:tcBorders>
              <w:top w:val="nil"/>
              <w:left w:val="nil"/>
              <w:bottom w:val="nil"/>
              <w:right w:val="nil"/>
            </w:tcBorders>
            <w:shd w:val="clear" w:color="auto" w:fill="auto"/>
            <w:noWrap/>
            <w:vAlign w:val="center"/>
            <w:hideMark/>
          </w:tcPr>
          <w:p w14:paraId="3C841D1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196FF570"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31A0B8E"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393A02C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konsortiotutkimus</w:t>
            </w:r>
          </w:p>
        </w:tc>
        <w:tc>
          <w:tcPr>
            <w:tcW w:w="846" w:type="dxa"/>
            <w:tcBorders>
              <w:top w:val="nil"/>
              <w:left w:val="nil"/>
              <w:bottom w:val="nil"/>
              <w:right w:val="nil"/>
            </w:tcBorders>
            <w:shd w:val="clear" w:color="auto" w:fill="auto"/>
            <w:noWrap/>
            <w:vAlign w:val="center"/>
            <w:hideMark/>
          </w:tcPr>
          <w:p w14:paraId="01887A7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c>
          <w:tcPr>
            <w:tcW w:w="1008" w:type="dxa"/>
            <w:tcBorders>
              <w:top w:val="nil"/>
              <w:left w:val="nil"/>
              <w:bottom w:val="nil"/>
              <w:right w:val="nil"/>
            </w:tcBorders>
            <w:shd w:val="clear" w:color="auto" w:fill="auto"/>
            <w:noWrap/>
            <w:vAlign w:val="center"/>
            <w:hideMark/>
          </w:tcPr>
          <w:p w14:paraId="6BCFAEC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3CE837DC" w14:textId="77777777" w:rsidTr="00265287">
        <w:trPr>
          <w:trHeight w:val="315"/>
          <w:jc w:val="center"/>
        </w:trPr>
        <w:tc>
          <w:tcPr>
            <w:tcW w:w="697" w:type="dxa"/>
            <w:tcBorders>
              <w:top w:val="nil"/>
              <w:left w:val="nil"/>
              <w:bottom w:val="nil"/>
              <w:right w:val="nil"/>
            </w:tcBorders>
            <w:shd w:val="clear" w:color="auto" w:fill="auto"/>
            <w:noWrap/>
            <w:vAlign w:val="center"/>
            <w:hideMark/>
          </w:tcPr>
          <w:p w14:paraId="7727881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269" w:type="dxa"/>
            <w:tcBorders>
              <w:top w:val="nil"/>
              <w:left w:val="nil"/>
              <w:bottom w:val="nil"/>
              <w:right w:val="nil"/>
            </w:tcBorders>
            <w:shd w:val="clear" w:color="auto" w:fill="auto"/>
            <w:noWrap/>
            <w:vAlign w:val="center"/>
            <w:hideMark/>
          </w:tcPr>
          <w:p w14:paraId="429D330C"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väärät tulkinnat</w:t>
            </w:r>
          </w:p>
        </w:tc>
        <w:tc>
          <w:tcPr>
            <w:tcW w:w="846" w:type="dxa"/>
            <w:tcBorders>
              <w:top w:val="nil"/>
              <w:left w:val="nil"/>
              <w:bottom w:val="nil"/>
              <w:right w:val="nil"/>
            </w:tcBorders>
            <w:shd w:val="clear" w:color="auto" w:fill="auto"/>
            <w:noWrap/>
            <w:vAlign w:val="center"/>
            <w:hideMark/>
          </w:tcPr>
          <w:p w14:paraId="23BC38E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06DF3B0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5C5FFFAB"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33B3D53B"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1507F7E7"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846" w:type="dxa"/>
            <w:tcBorders>
              <w:top w:val="nil"/>
              <w:left w:val="nil"/>
              <w:bottom w:val="nil"/>
              <w:right w:val="nil"/>
            </w:tcBorders>
            <w:shd w:val="clear" w:color="auto" w:fill="auto"/>
            <w:noWrap/>
            <w:vAlign w:val="center"/>
            <w:hideMark/>
          </w:tcPr>
          <w:p w14:paraId="6DBE069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74</w:t>
            </w:r>
          </w:p>
        </w:tc>
        <w:tc>
          <w:tcPr>
            <w:tcW w:w="1008" w:type="dxa"/>
            <w:tcBorders>
              <w:top w:val="nil"/>
              <w:left w:val="nil"/>
              <w:bottom w:val="nil"/>
              <w:right w:val="nil"/>
            </w:tcBorders>
            <w:shd w:val="clear" w:color="auto" w:fill="auto"/>
            <w:noWrap/>
            <w:vAlign w:val="center"/>
            <w:hideMark/>
          </w:tcPr>
          <w:p w14:paraId="2E10FA5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154</w:t>
            </w:r>
          </w:p>
        </w:tc>
      </w:tr>
      <w:tr w:rsidR="00265287" w:rsidRPr="00265287" w14:paraId="14899C85" w14:textId="77777777" w:rsidTr="00265287">
        <w:trPr>
          <w:trHeight w:val="315"/>
          <w:jc w:val="center"/>
        </w:trPr>
        <w:tc>
          <w:tcPr>
            <w:tcW w:w="697" w:type="dxa"/>
            <w:tcBorders>
              <w:top w:val="nil"/>
              <w:left w:val="nil"/>
              <w:bottom w:val="single" w:sz="8" w:space="0" w:color="auto"/>
              <w:right w:val="nil"/>
            </w:tcBorders>
            <w:shd w:val="clear" w:color="auto" w:fill="auto"/>
            <w:noWrap/>
            <w:vAlign w:val="bottom"/>
            <w:hideMark/>
          </w:tcPr>
          <w:p w14:paraId="69E021D4"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269" w:type="dxa"/>
            <w:tcBorders>
              <w:top w:val="nil"/>
              <w:left w:val="nil"/>
              <w:bottom w:val="single" w:sz="8" w:space="0" w:color="auto"/>
              <w:right w:val="nil"/>
            </w:tcBorders>
            <w:shd w:val="clear" w:color="auto" w:fill="auto"/>
            <w:noWrap/>
            <w:vAlign w:val="center"/>
            <w:hideMark/>
          </w:tcPr>
          <w:p w14:paraId="567EB2A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846" w:type="dxa"/>
            <w:tcBorders>
              <w:top w:val="nil"/>
              <w:left w:val="nil"/>
              <w:bottom w:val="single" w:sz="8" w:space="0" w:color="auto"/>
              <w:right w:val="nil"/>
            </w:tcBorders>
            <w:shd w:val="clear" w:color="auto" w:fill="auto"/>
            <w:noWrap/>
            <w:vAlign w:val="center"/>
            <w:hideMark/>
          </w:tcPr>
          <w:p w14:paraId="5597CAE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39,15 %</w:t>
            </w:r>
          </w:p>
        </w:tc>
        <w:tc>
          <w:tcPr>
            <w:tcW w:w="1008" w:type="dxa"/>
            <w:tcBorders>
              <w:top w:val="nil"/>
              <w:left w:val="nil"/>
              <w:bottom w:val="single" w:sz="8" w:space="0" w:color="auto"/>
              <w:right w:val="nil"/>
            </w:tcBorders>
            <w:shd w:val="clear" w:color="auto" w:fill="auto"/>
            <w:noWrap/>
            <w:vAlign w:val="center"/>
            <w:hideMark/>
          </w:tcPr>
          <w:p w14:paraId="3B50599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66,09 %</w:t>
            </w:r>
          </w:p>
        </w:tc>
      </w:tr>
      <w:tr w:rsidR="00265287" w:rsidRPr="00265287" w14:paraId="49A25391"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7E4669A9"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bottom"/>
            <w:hideMark/>
          </w:tcPr>
          <w:p w14:paraId="6E50864E"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846" w:type="dxa"/>
            <w:tcBorders>
              <w:top w:val="nil"/>
              <w:left w:val="nil"/>
              <w:bottom w:val="nil"/>
              <w:right w:val="nil"/>
            </w:tcBorders>
            <w:shd w:val="clear" w:color="auto" w:fill="auto"/>
            <w:noWrap/>
            <w:vAlign w:val="bottom"/>
            <w:hideMark/>
          </w:tcPr>
          <w:p w14:paraId="223D5F97"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1008" w:type="dxa"/>
            <w:tcBorders>
              <w:top w:val="nil"/>
              <w:left w:val="nil"/>
              <w:bottom w:val="nil"/>
              <w:right w:val="nil"/>
            </w:tcBorders>
            <w:shd w:val="clear" w:color="auto" w:fill="auto"/>
            <w:noWrap/>
            <w:vAlign w:val="bottom"/>
            <w:hideMark/>
          </w:tcPr>
          <w:p w14:paraId="2788E412"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r>
      <w:tr w:rsidR="00265287" w:rsidRPr="00265287" w14:paraId="0E15B9CF"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736CB106"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2BD01AB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ajankohtaisuus</w:t>
            </w:r>
          </w:p>
        </w:tc>
        <w:tc>
          <w:tcPr>
            <w:tcW w:w="846" w:type="dxa"/>
            <w:tcBorders>
              <w:top w:val="nil"/>
              <w:left w:val="nil"/>
              <w:bottom w:val="nil"/>
              <w:right w:val="nil"/>
            </w:tcBorders>
            <w:shd w:val="clear" w:color="auto" w:fill="auto"/>
            <w:noWrap/>
            <w:vAlign w:val="center"/>
            <w:hideMark/>
          </w:tcPr>
          <w:p w14:paraId="699E52D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20</w:t>
            </w:r>
          </w:p>
        </w:tc>
        <w:tc>
          <w:tcPr>
            <w:tcW w:w="1008" w:type="dxa"/>
            <w:tcBorders>
              <w:top w:val="nil"/>
              <w:left w:val="nil"/>
              <w:bottom w:val="nil"/>
              <w:right w:val="nil"/>
            </w:tcBorders>
            <w:shd w:val="clear" w:color="auto" w:fill="auto"/>
            <w:noWrap/>
            <w:vAlign w:val="center"/>
            <w:hideMark/>
          </w:tcPr>
          <w:p w14:paraId="79DC28C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19</w:t>
            </w:r>
          </w:p>
        </w:tc>
      </w:tr>
      <w:tr w:rsidR="00265287" w:rsidRPr="00265287" w14:paraId="19A548F1"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7285E761"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160A626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popularisoitavissa/henkilökohtainen aihe</w:t>
            </w:r>
          </w:p>
        </w:tc>
        <w:tc>
          <w:tcPr>
            <w:tcW w:w="846" w:type="dxa"/>
            <w:tcBorders>
              <w:top w:val="nil"/>
              <w:left w:val="nil"/>
              <w:bottom w:val="nil"/>
              <w:right w:val="nil"/>
            </w:tcBorders>
            <w:shd w:val="clear" w:color="auto" w:fill="auto"/>
            <w:noWrap/>
            <w:vAlign w:val="center"/>
            <w:hideMark/>
          </w:tcPr>
          <w:p w14:paraId="276D23E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16</w:t>
            </w:r>
          </w:p>
        </w:tc>
        <w:tc>
          <w:tcPr>
            <w:tcW w:w="1008" w:type="dxa"/>
            <w:tcBorders>
              <w:top w:val="nil"/>
              <w:left w:val="nil"/>
              <w:bottom w:val="nil"/>
              <w:right w:val="nil"/>
            </w:tcBorders>
            <w:shd w:val="clear" w:color="auto" w:fill="auto"/>
            <w:noWrap/>
            <w:vAlign w:val="center"/>
            <w:hideMark/>
          </w:tcPr>
          <w:p w14:paraId="2106B6F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12</w:t>
            </w:r>
          </w:p>
        </w:tc>
      </w:tr>
      <w:tr w:rsidR="00265287" w:rsidRPr="00265287" w14:paraId="45F86C1B"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74EC1605"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2015C12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kiinnostava aihepiiri</w:t>
            </w:r>
          </w:p>
        </w:tc>
        <w:tc>
          <w:tcPr>
            <w:tcW w:w="846" w:type="dxa"/>
            <w:tcBorders>
              <w:top w:val="nil"/>
              <w:left w:val="nil"/>
              <w:bottom w:val="nil"/>
              <w:right w:val="nil"/>
            </w:tcBorders>
            <w:shd w:val="clear" w:color="auto" w:fill="auto"/>
            <w:noWrap/>
            <w:vAlign w:val="center"/>
            <w:hideMark/>
          </w:tcPr>
          <w:p w14:paraId="7DA0522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0A7BAF1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12</w:t>
            </w:r>
          </w:p>
        </w:tc>
      </w:tr>
      <w:tr w:rsidR="00265287" w:rsidRPr="00265287" w14:paraId="6915DE00"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6658197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5CD65D1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koskettaa laajaa yleisöä</w:t>
            </w:r>
          </w:p>
        </w:tc>
        <w:tc>
          <w:tcPr>
            <w:tcW w:w="846" w:type="dxa"/>
            <w:tcBorders>
              <w:top w:val="nil"/>
              <w:left w:val="nil"/>
              <w:bottom w:val="nil"/>
              <w:right w:val="nil"/>
            </w:tcBorders>
            <w:shd w:val="clear" w:color="auto" w:fill="auto"/>
            <w:noWrap/>
            <w:vAlign w:val="center"/>
            <w:hideMark/>
          </w:tcPr>
          <w:p w14:paraId="26BD702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4C836DB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8</w:t>
            </w:r>
          </w:p>
        </w:tc>
      </w:tr>
      <w:tr w:rsidR="00265287" w:rsidRPr="00265287" w14:paraId="5B2D42E9"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06F286E3"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212D609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uutuusarvo</w:t>
            </w:r>
          </w:p>
        </w:tc>
        <w:tc>
          <w:tcPr>
            <w:tcW w:w="846" w:type="dxa"/>
            <w:tcBorders>
              <w:top w:val="nil"/>
              <w:left w:val="nil"/>
              <w:bottom w:val="nil"/>
              <w:right w:val="nil"/>
            </w:tcBorders>
            <w:shd w:val="clear" w:color="auto" w:fill="auto"/>
            <w:noWrap/>
            <w:vAlign w:val="center"/>
            <w:hideMark/>
          </w:tcPr>
          <w:p w14:paraId="64E0896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17</w:t>
            </w:r>
          </w:p>
        </w:tc>
        <w:tc>
          <w:tcPr>
            <w:tcW w:w="1008" w:type="dxa"/>
            <w:tcBorders>
              <w:top w:val="nil"/>
              <w:left w:val="nil"/>
              <w:bottom w:val="nil"/>
              <w:right w:val="nil"/>
            </w:tcBorders>
            <w:shd w:val="clear" w:color="auto" w:fill="auto"/>
            <w:noWrap/>
            <w:vAlign w:val="center"/>
            <w:hideMark/>
          </w:tcPr>
          <w:p w14:paraId="150425D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r>
      <w:tr w:rsidR="00265287" w:rsidRPr="00265287" w14:paraId="65E6E73C"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726CC44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51B1C2C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medianäkyvyys</w:t>
            </w:r>
          </w:p>
        </w:tc>
        <w:tc>
          <w:tcPr>
            <w:tcW w:w="846" w:type="dxa"/>
            <w:tcBorders>
              <w:top w:val="nil"/>
              <w:left w:val="nil"/>
              <w:bottom w:val="nil"/>
              <w:right w:val="nil"/>
            </w:tcBorders>
            <w:shd w:val="clear" w:color="auto" w:fill="auto"/>
            <w:noWrap/>
            <w:vAlign w:val="center"/>
            <w:hideMark/>
          </w:tcPr>
          <w:p w14:paraId="2B8981E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1008" w:type="dxa"/>
            <w:tcBorders>
              <w:top w:val="nil"/>
              <w:left w:val="nil"/>
              <w:bottom w:val="nil"/>
              <w:right w:val="nil"/>
            </w:tcBorders>
            <w:shd w:val="clear" w:color="auto" w:fill="auto"/>
            <w:noWrap/>
            <w:vAlign w:val="center"/>
            <w:hideMark/>
          </w:tcPr>
          <w:p w14:paraId="5548D38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r>
      <w:tr w:rsidR="00265287" w:rsidRPr="00265287" w14:paraId="5AD124C0"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6641CDC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0581059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instituution/yliopiston tiedotus</w:t>
            </w:r>
          </w:p>
        </w:tc>
        <w:tc>
          <w:tcPr>
            <w:tcW w:w="846" w:type="dxa"/>
            <w:tcBorders>
              <w:top w:val="nil"/>
              <w:left w:val="nil"/>
              <w:bottom w:val="nil"/>
              <w:right w:val="nil"/>
            </w:tcBorders>
            <w:shd w:val="clear" w:color="auto" w:fill="auto"/>
            <w:noWrap/>
            <w:vAlign w:val="center"/>
            <w:hideMark/>
          </w:tcPr>
          <w:p w14:paraId="41C1579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9</w:t>
            </w:r>
          </w:p>
        </w:tc>
        <w:tc>
          <w:tcPr>
            <w:tcW w:w="1008" w:type="dxa"/>
            <w:tcBorders>
              <w:top w:val="nil"/>
              <w:left w:val="nil"/>
              <w:bottom w:val="nil"/>
              <w:right w:val="nil"/>
            </w:tcBorders>
            <w:shd w:val="clear" w:color="auto" w:fill="auto"/>
            <w:noWrap/>
            <w:vAlign w:val="center"/>
            <w:hideMark/>
          </w:tcPr>
          <w:p w14:paraId="31490EF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28FA291B"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47BCAF8"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3C26512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otsikko</w:t>
            </w:r>
          </w:p>
        </w:tc>
        <w:tc>
          <w:tcPr>
            <w:tcW w:w="846" w:type="dxa"/>
            <w:tcBorders>
              <w:top w:val="nil"/>
              <w:left w:val="nil"/>
              <w:bottom w:val="nil"/>
              <w:right w:val="nil"/>
            </w:tcBorders>
            <w:shd w:val="clear" w:color="auto" w:fill="auto"/>
            <w:noWrap/>
            <w:vAlign w:val="center"/>
            <w:hideMark/>
          </w:tcPr>
          <w:p w14:paraId="2505175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c>
          <w:tcPr>
            <w:tcW w:w="1008" w:type="dxa"/>
            <w:tcBorders>
              <w:top w:val="nil"/>
              <w:left w:val="nil"/>
              <w:bottom w:val="nil"/>
              <w:right w:val="nil"/>
            </w:tcBorders>
            <w:shd w:val="clear" w:color="auto" w:fill="auto"/>
            <w:noWrap/>
            <w:vAlign w:val="center"/>
            <w:hideMark/>
          </w:tcPr>
          <w:p w14:paraId="4F5C74D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r>
      <w:tr w:rsidR="00265287" w:rsidRPr="00265287" w14:paraId="2CC4E1D0"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007A69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608F722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kuvitus</w:t>
            </w:r>
          </w:p>
        </w:tc>
        <w:tc>
          <w:tcPr>
            <w:tcW w:w="846" w:type="dxa"/>
            <w:tcBorders>
              <w:top w:val="nil"/>
              <w:left w:val="nil"/>
              <w:bottom w:val="nil"/>
              <w:right w:val="nil"/>
            </w:tcBorders>
            <w:shd w:val="clear" w:color="auto" w:fill="auto"/>
            <w:noWrap/>
            <w:vAlign w:val="center"/>
            <w:hideMark/>
          </w:tcPr>
          <w:p w14:paraId="7A1C41C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1008" w:type="dxa"/>
            <w:tcBorders>
              <w:top w:val="nil"/>
              <w:left w:val="nil"/>
              <w:bottom w:val="nil"/>
              <w:right w:val="nil"/>
            </w:tcBorders>
            <w:shd w:val="clear" w:color="auto" w:fill="auto"/>
            <w:noWrap/>
            <w:vAlign w:val="center"/>
            <w:hideMark/>
          </w:tcPr>
          <w:p w14:paraId="29152F5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r>
      <w:tr w:rsidR="00265287" w:rsidRPr="00265287" w14:paraId="024BE9F8"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1817A28F"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5DC4120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helposti ymmärrettävä</w:t>
            </w:r>
          </w:p>
        </w:tc>
        <w:tc>
          <w:tcPr>
            <w:tcW w:w="846" w:type="dxa"/>
            <w:tcBorders>
              <w:top w:val="nil"/>
              <w:left w:val="nil"/>
              <w:bottom w:val="nil"/>
              <w:right w:val="nil"/>
            </w:tcBorders>
            <w:shd w:val="clear" w:color="auto" w:fill="auto"/>
            <w:noWrap/>
            <w:vAlign w:val="center"/>
            <w:hideMark/>
          </w:tcPr>
          <w:p w14:paraId="45F56F3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nil"/>
              <w:left w:val="nil"/>
              <w:bottom w:val="nil"/>
              <w:right w:val="nil"/>
            </w:tcBorders>
            <w:shd w:val="clear" w:color="auto" w:fill="auto"/>
            <w:noWrap/>
            <w:vAlign w:val="center"/>
            <w:hideMark/>
          </w:tcPr>
          <w:p w14:paraId="73B8596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5A5CEF5A"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355B7F2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1228B2A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tunteita herättävä aihe</w:t>
            </w:r>
          </w:p>
        </w:tc>
        <w:tc>
          <w:tcPr>
            <w:tcW w:w="846" w:type="dxa"/>
            <w:tcBorders>
              <w:top w:val="nil"/>
              <w:left w:val="nil"/>
              <w:bottom w:val="nil"/>
              <w:right w:val="nil"/>
            </w:tcBorders>
            <w:shd w:val="clear" w:color="auto" w:fill="auto"/>
            <w:noWrap/>
            <w:vAlign w:val="center"/>
            <w:hideMark/>
          </w:tcPr>
          <w:p w14:paraId="3E5AEB8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30</w:t>
            </w:r>
          </w:p>
        </w:tc>
        <w:tc>
          <w:tcPr>
            <w:tcW w:w="1008" w:type="dxa"/>
            <w:tcBorders>
              <w:top w:val="nil"/>
              <w:left w:val="nil"/>
              <w:bottom w:val="nil"/>
              <w:right w:val="nil"/>
            </w:tcBorders>
            <w:shd w:val="clear" w:color="auto" w:fill="auto"/>
            <w:noWrap/>
            <w:vAlign w:val="center"/>
            <w:hideMark/>
          </w:tcPr>
          <w:p w14:paraId="410AE76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2F67677D"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3A5736B9"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3EDB27A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soveltaminen käytännössä</w:t>
            </w:r>
          </w:p>
        </w:tc>
        <w:tc>
          <w:tcPr>
            <w:tcW w:w="846" w:type="dxa"/>
            <w:tcBorders>
              <w:top w:val="nil"/>
              <w:left w:val="nil"/>
              <w:bottom w:val="nil"/>
              <w:right w:val="nil"/>
            </w:tcBorders>
            <w:shd w:val="clear" w:color="auto" w:fill="auto"/>
            <w:noWrap/>
            <w:vAlign w:val="center"/>
            <w:hideMark/>
          </w:tcPr>
          <w:p w14:paraId="788E1B3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c>
          <w:tcPr>
            <w:tcW w:w="1008" w:type="dxa"/>
            <w:tcBorders>
              <w:top w:val="nil"/>
              <w:left w:val="nil"/>
              <w:bottom w:val="nil"/>
              <w:right w:val="nil"/>
            </w:tcBorders>
            <w:shd w:val="clear" w:color="auto" w:fill="auto"/>
            <w:noWrap/>
            <w:vAlign w:val="center"/>
            <w:hideMark/>
          </w:tcPr>
          <w:p w14:paraId="7EB636F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09B75F9D" w14:textId="77777777" w:rsidTr="00265287">
        <w:trPr>
          <w:trHeight w:val="300"/>
          <w:jc w:val="center"/>
        </w:trPr>
        <w:tc>
          <w:tcPr>
            <w:tcW w:w="697" w:type="dxa"/>
            <w:tcBorders>
              <w:top w:val="nil"/>
              <w:left w:val="nil"/>
              <w:bottom w:val="nil"/>
              <w:right w:val="nil"/>
            </w:tcBorders>
            <w:shd w:val="clear" w:color="auto" w:fill="auto"/>
            <w:noWrap/>
            <w:vAlign w:val="center"/>
            <w:hideMark/>
          </w:tcPr>
          <w:p w14:paraId="2CFA0472"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nil"/>
              <w:right w:val="nil"/>
            </w:tcBorders>
            <w:shd w:val="clear" w:color="auto" w:fill="auto"/>
            <w:noWrap/>
            <w:vAlign w:val="center"/>
            <w:hideMark/>
          </w:tcPr>
          <w:p w14:paraId="0E8961A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eu</w:t>
            </w:r>
          </w:p>
        </w:tc>
        <w:tc>
          <w:tcPr>
            <w:tcW w:w="846" w:type="dxa"/>
            <w:tcBorders>
              <w:top w:val="nil"/>
              <w:left w:val="nil"/>
              <w:bottom w:val="nil"/>
              <w:right w:val="nil"/>
            </w:tcBorders>
            <w:shd w:val="clear" w:color="auto" w:fill="auto"/>
            <w:noWrap/>
            <w:vAlign w:val="center"/>
            <w:hideMark/>
          </w:tcPr>
          <w:p w14:paraId="4775290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c>
          <w:tcPr>
            <w:tcW w:w="1008" w:type="dxa"/>
            <w:tcBorders>
              <w:top w:val="nil"/>
              <w:left w:val="nil"/>
              <w:bottom w:val="nil"/>
              <w:right w:val="nil"/>
            </w:tcBorders>
            <w:shd w:val="clear" w:color="auto" w:fill="auto"/>
            <w:noWrap/>
            <w:vAlign w:val="center"/>
            <w:hideMark/>
          </w:tcPr>
          <w:p w14:paraId="74B2C83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65CC05EA" w14:textId="77777777" w:rsidTr="00265287">
        <w:trPr>
          <w:trHeight w:val="315"/>
          <w:jc w:val="center"/>
        </w:trPr>
        <w:tc>
          <w:tcPr>
            <w:tcW w:w="697" w:type="dxa"/>
            <w:tcBorders>
              <w:top w:val="nil"/>
              <w:left w:val="nil"/>
              <w:bottom w:val="single" w:sz="8" w:space="0" w:color="auto"/>
              <w:right w:val="nil"/>
            </w:tcBorders>
            <w:shd w:val="clear" w:color="auto" w:fill="auto"/>
            <w:noWrap/>
            <w:vAlign w:val="center"/>
            <w:hideMark/>
          </w:tcPr>
          <w:p w14:paraId="5ADBD317"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269" w:type="dxa"/>
            <w:tcBorders>
              <w:top w:val="nil"/>
              <w:left w:val="nil"/>
              <w:bottom w:val="single" w:sz="8" w:space="0" w:color="auto"/>
              <w:right w:val="nil"/>
            </w:tcBorders>
            <w:shd w:val="clear" w:color="auto" w:fill="auto"/>
            <w:noWrap/>
            <w:vAlign w:val="center"/>
            <w:hideMark/>
          </w:tcPr>
          <w:p w14:paraId="3E3DF70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yhteiskunnallisuus</w:t>
            </w:r>
          </w:p>
        </w:tc>
        <w:tc>
          <w:tcPr>
            <w:tcW w:w="846" w:type="dxa"/>
            <w:tcBorders>
              <w:top w:val="nil"/>
              <w:left w:val="nil"/>
              <w:bottom w:val="single" w:sz="8" w:space="0" w:color="auto"/>
              <w:right w:val="nil"/>
            </w:tcBorders>
            <w:shd w:val="clear" w:color="auto" w:fill="auto"/>
            <w:noWrap/>
            <w:vAlign w:val="center"/>
            <w:hideMark/>
          </w:tcPr>
          <w:p w14:paraId="6A3A303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c>
          <w:tcPr>
            <w:tcW w:w="1008" w:type="dxa"/>
            <w:tcBorders>
              <w:top w:val="nil"/>
              <w:left w:val="nil"/>
              <w:bottom w:val="single" w:sz="8" w:space="0" w:color="auto"/>
              <w:right w:val="nil"/>
            </w:tcBorders>
            <w:shd w:val="clear" w:color="auto" w:fill="auto"/>
            <w:noWrap/>
            <w:vAlign w:val="center"/>
            <w:hideMark/>
          </w:tcPr>
          <w:p w14:paraId="5559818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4D16AE8F"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5F0BE056"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65AA268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846" w:type="dxa"/>
            <w:tcBorders>
              <w:top w:val="nil"/>
              <w:left w:val="nil"/>
              <w:bottom w:val="nil"/>
              <w:right w:val="nil"/>
            </w:tcBorders>
            <w:shd w:val="clear" w:color="auto" w:fill="auto"/>
            <w:noWrap/>
            <w:vAlign w:val="center"/>
            <w:hideMark/>
          </w:tcPr>
          <w:p w14:paraId="4B94B00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113</w:t>
            </w:r>
          </w:p>
        </w:tc>
        <w:tc>
          <w:tcPr>
            <w:tcW w:w="1008" w:type="dxa"/>
            <w:tcBorders>
              <w:top w:val="nil"/>
              <w:left w:val="nil"/>
              <w:bottom w:val="nil"/>
              <w:right w:val="nil"/>
            </w:tcBorders>
            <w:shd w:val="clear" w:color="auto" w:fill="auto"/>
            <w:noWrap/>
            <w:vAlign w:val="center"/>
            <w:hideMark/>
          </w:tcPr>
          <w:p w14:paraId="2231019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70</w:t>
            </w:r>
          </w:p>
        </w:tc>
      </w:tr>
      <w:tr w:rsidR="00265287" w:rsidRPr="00265287" w14:paraId="0B96E129" w14:textId="77777777" w:rsidTr="00265287">
        <w:trPr>
          <w:trHeight w:val="315"/>
          <w:jc w:val="center"/>
        </w:trPr>
        <w:tc>
          <w:tcPr>
            <w:tcW w:w="697" w:type="dxa"/>
            <w:tcBorders>
              <w:top w:val="nil"/>
              <w:left w:val="nil"/>
              <w:bottom w:val="nil"/>
              <w:right w:val="nil"/>
            </w:tcBorders>
            <w:shd w:val="clear" w:color="auto" w:fill="auto"/>
            <w:noWrap/>
            <w:vAlign w:val="bottom"/>
            <w:hideMark/>
          </w:tcPr>
          <w:p w14:paraId="7A338055"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24CF3BA9"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846" w:type="dxa"/>
            <w:tcBorders>
              <w:top w:val="nil"/>
              <w:left w:val="nil"/>
              <w:bottom w:val="nil"/>
              <w:right w:val="nil"/>
            </w:tcBorders>
            <w:shd w:val="clear" w:color="auto" w:fill="auto"/>
            <w:noWrap/>
            <w:vAlign w:val="center"/>
            <w:hideMark/>
          </w:tcPr>
          <w:p w14:paraId="3D3082C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59,79 %</w:t>
            </w:r>
          </w:p>
        </w:tc>
        <w:tc>
          <w:tcPr>
            <w:tcW w:w="1008" w:type="dxa"/>
            <w:tcBorders>
              <w:top w:val="nil"/>
              <w:left w:val="nil"/>
              <w:bottom w:val="nil"/>
              <w:right w:val="nil"/>
            </w:tcBorders>
            <w:shd w:val="clear" w:color="auto" w:fill="auto"/>
            <w:noWrap/>
            <w:vAlign w:val="center"/>
            <w:hideMark/>
          </w:tcPr>
          <w:p w14:paraId="0915277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30,04 %</w:t>
            </w:r>
          </w:p>
        </w:tc>
      </w:tr>
      <w:tr w:rsidR="00265287" w:rsidRPr="00265287" w14:paraId="6851D88C" w14:textId="77777777" w:rsidTr="00265287">
        <w:trPr>
          <w:trHeight w:val="300"/>
          <w:jc w:val="center"/>
        </w:trPr>
        <w:tc>
          <w:tcPr>
            <w:tcW w:w="697" w:type="dxa"/>
            <w:tcBorders>
              <w:top w:val="single" w:sz="8" w:space="0" w:color="auto"/>
              <w:left w:val="nil"/>
              <w:bottom w:val="nil"/>
              <w:right w:val="nil"/>
            </w:tcBorders>
            <w:shd w:val="clear" w:color="auto" w:fill="auto"/>
            <w:noWrap/>
            <w:vAlign w:val="bottom"/>
            <w:hideMark/>
          </w:tcPr>
          <w:p w14:paraId="3648A3D5"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269" w:type="dxa"/>
            <w:tcBorders>
              <w:top w:val="single" w:sz="8" w:space="0" w:color="auto"/>
              <w:left w:val="nil"/>
              <w:bottom w:val="nil"/>
              <w:right w:val="nil"/>
            </w:tcBorders>
            <w:shd w:val="clear" w:color="auto" w:fill="auto"/>
            <w:noWrap/>
            <w:vAlign w:val="center"/>
            <w:hideMark/>
          </w:tcPr>
          <w:p w14:paraId="1BC1F63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open access</w:t>
            </w:r>
          </w:p>
        </w:tc>
        <w:tc>
          <w:tcPr>
            <w:tcW w:w="846" w:type="dxa"/>
            <w:tcBorders>
              <w:top w:val="single" w:sz="8" w:space="0" w:color="auto"/>
              <w:left w:val="nil"/>
              <w:bottom w:val="nil"/>
              <w:right w:val="nil"/>
            </w:tcBorders>
            <w:shd w:val="clear" w:color="auto" w:fill="auto"/>
            <w:noWrap/>
            <w:vAlign w:val="center"/>
            <w:hideMark/>
          </w:tcPr>
          <w:p w14:paraId="7B0FCC5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1008" w:type="dxa"/>
            <w:tcBorders>
              <w:top w:val="single" w:sz="8" w:space="0" w:color="auto"/>
              <w:left w:val="nil"/>
              <w:bottom w:val="nil"/>
              <w:right w:val="nil"/>
            </w:tcBorders>
            <w:shd w:val="clear" w:color="auto" w:fill="auto"/>
            <w:noWrap/>
            <w:vAlign w:val="center"/>
            <w:hideMark/>
          </w:tcPr>
          <w:p w14:paraId="281FD59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r>
      <w:tr w:rsidR="00265287" w:rsidRPr="00265287" w14:paraId="32B016B9"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26ED52C5"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798D1638"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nobel</w:t>
            </w:r>
          </w:p>
        </w:tc>
        <w:tc>
          <w:tcPr>
            <w:tcW w:w="846" w:type="dxa"/>
            <w:tcBorders>
              <w:top w:val="nil"/>
              <w:left w:val="nil"/>
              <w:bottom w:val="nil"/>
              <w:right w:val="nil"/>
            </w:tcBorders>
            <w:shd w:val="clear" w:color="auto" w:fill="auto"/>
            <w:noWrap/>
            <w:vAlign w:val="center"/>
            <w:hideMark/>
          </w:tcPr>
          <w:p w14:paraId="349A6D9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2369F38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r>
      <w:tr w:rsidR="00265287" w:rsidRPr="00265287" w14:paraId="1B03C297"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28649625"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35E0C23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846" w:type="dxa"/>
            <w:tcBorders>
              <w:top w:val="nil"/>
              <w:left w:val="nil"/>
              <w:bottom w:val="nil"/>
              <w:right w:val="nil"/>
            </w:tcBorders>
            <w:shd w:val="clear" w:color="auto" w:fill="auto"/>
            <w:noWrap/>
            <w:vAlign w:val="center"/>
            <w:hideMark/>
          </w:tcPr>
          <w:p w14:paraId="0A886BD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1008" w:type="dxa"/>
            <w:tcBorders>
              <w:top w:val="nil"/>
              <w:left w:val="nil"/>
              <w:bottom w:val="nil"/>
              <w:right w:val="nil"/>
            </w:tcBorders>
            <w:shd w:val="clear" w:color="auto" w:fill="auto"/>
            <w:noWrap/>
            <w:vAlign w:val="center"/>
            <w:hideMark/>
          </w:tcPr>
          <w:p w14:paraId="2E9EBEA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9</w:t>
            </w:r>
          </w:p>
        </w:tc>
      </w:tr>
      <w:tr w:rsidR="00265287" w:rsidRPr="00265287" w14:paraId="4287E1A0" w14:textId="77777777" w:rsidTr="00265287">
        <w:trPr>
          <w:trHeight w:val="315"/>
          <w:jc w:val="center"/>
        </w:trPr>
        <w:tc>
          <w:tcPr>
            <w:tcW w:w="697" w:type="dxa"/>
            <w:tcBorders>
              <w:top w:val="nil"/>
              <w:left w:val="nil"/>
              <w:bottom w:val="single" w:sz="8" w:space="0" w:color="auto"/>
              <w:right w:val="nil"/>
            </w:tcBorders>
            <w:shd w:val="clear" w:color="auto" w:fill="auto"/>
            <w:noWrap/>
            <w:vAlign w:val="bottom"/>
            <w:hideMark/>
          </w:tcPr>
          <w:p w14:paraId="7A4CD2C0"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269" w:type="dxa"/>
            <w:tcBorders>
              <w:top w:val="nil"/>
              <w:left w:val="nil"/>
              <w:bottom w:val="single" w:sz="8" w:space="0" w:color="auto"/>
              <w:right w:val="nil"/>
            </w:tcBorders>
            <w:shd w:val="clear" w:color="auto" w:fill="auto"/>
            <w:noWrap/>
            <w:vAlign w:val="center"/>
            <w:hideMark/>
          </w:tcPr>
          <w:p w14:paraId="703DFCE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846" w:type="dxa"/>
            <w:tcBorders>
              <w:top w:val="nil"/>
              <w:left w:val="nil"/>
              <w:bottom w:val="single" w:sz="8" w:space="0" w:color="auto"/>
              <w:right w:val="nil"/>
            </w:tcBorders>
            <w:shd w:val="clear" w:color="auto" w:fill="auto"/>
            <w:noWrap/>
            <w:vAlign w:val="center"/>
            <w:hideMark/>
          </w:tcPr>
          <w:p w14:paraId="151CB63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1,06 %</w:t>
            </w:r>
          </w:p>
        </w:tc>
        <w:tc>
          <w:tcPr>
            <w:tcW w:w="1008" w:type="dxa"/>
            <w:tcBorders>
              <w:top w:val="nil"/>
              <w:left w:val="nil"/>
              <w:bottom w:val="single" w:sz="8" w:space="0" w:color="auto"/>
              <w:right w:val="nil"/>
            </w:tcBorders>
            <w:shd w:val="clear" w:color="auto" w:fill="auto"/>
            <w:noWrap/>
            <w:vAlign w:val="center"/>
            <w:hideMark/>
          </w:tcPr>
          <w:p w14:paraId="0988072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3,86 %</w:t>
            </w:r>
          </w:p>
        </w:tc>
      </w:tr>
      <w:tr w:rsidR="00265287" w:rsidRPr="00265287" w14:paraId="1455194F" w14:textId="77777777" w:rsidTr="00265287">
        <w:trPr>
          <w:trHeight w:val="300"/>
          <w:jc w:val="center"/>
        </w:trPr>
        <w:tc>
          <w:tcPr>
            <w:tcW w:w="697" w:type="dxa"/>
            <w:tcBorders>
              <w:top w:val="nil"/>
              <w:left w:val="nil"/>
              <w:bottom w:val="nil"/>
              <w:right w:val="nil"/>
            </w:tcBorders>
            <w:shd w:val="clear" w:color="auto" w:fill="auto"/>
            <w:noWrap/>
            <w:vAlign w:val="bottom"/>
            <w:hideMark/>
          </w:tcPr>
          <w:p w14:paraId="71E78B44"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269" w:type="dxa"/>
            <w:tcBorders>
              <w:top w:val="nil"/>
              <w:left w:val="nil"/>
              <w:bottom w:val="nil"/>
              <w:right w:val="nil"/>
            </w:tcBorders>
            <w:shd w:val="clear" w:color="auto" w:fill="auto"/>
            <w:noWrap/>
            <w:vAlign w:val="center"/>
            <w:hideMark/>
          </w:tcPr>
          <w:p w14:paraId="5AD6AF3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Verkkopalvelun kaikki havainnot, yhteensä</w:t>
            </w:r>
          </w:p>
        </w:tc>
        <w:tc>
          <w:tcPr>
            <w:tcW w:w="846" w:type="dxa"/>
            <w:tcBorders>
              <w:top w:val="nil"/>
              <w:left w:val="nil"/>
              <w:bottom w:val="nil"/>
              <w:right w:val="nil"/>
            </w:tcBorders>
            <w:shd w:val="clear" w:color="auto" w:fill="auto"/>
            <w:noWrap/>
            <w:vAlign w:val="center"/>
            <w:hideMark/>
          </w:tcPr>
          <w:p w14:paraId="790D4A1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189</w:t>
            </w:r>
          </w:p>
        </w:tc>
        <w:tc>
          <w:tcPr>
            <w:tcW w:w="1008" w:type="dxa"/>
            <w:tcBorders>
              <w:top w:val="nil"/>
              <w:left w:val="nil"/>
              <w:bottom w:val="nil"/>
              <w:right w:val="nil"/>
            </w:tcBorders>
            <w:shd w:val="clear" w:color="auto" w:fill="auto"/>
            <w:noWrap/>
            <w:vAlign w:val="center"/>
            <w:hideMark/>
          </w:tcPr>
          <w:p w14:paraId="0DE1390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233</w:t>
            </w:r>
          </w:p>
        </w:tc>
      </w:tr>
      <w:tr w:rsidR="00265287" w:rsidRPr="00265287" w14:paraId="17DF1127" w14:textId="77777777" w:rsidTr="00265287">
        <w:trPr>
          <w:trHeight w:val="315"/>
          <w:jc w:val="center"/>
        </w:trPr>
        <w:tc>
          <w:tcPr>
            <w:tcW w:w="697" w:type="dxa"/>
            <w:tcBorders>
              <w:top w:val="nil"/>
              <w:left w:val="nil"/>
              <w:bottom w:val="single" w:sz="8" w:space="0" w:color="auto"/>
              <w:right w:val="nil"/>
            </w:tcBorders>
            <w:shd w:val="clear" w:color="auto" w:fill="auto"/>
            <w:noWrap/>
            <w:vAlign w:val="bottom"/>
            <w:hideMark/>
          </w:tcPr>
          <w:p w14:paraId="1FB8B0C9"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269" w:type="dxa"/>
            <w:tcBorders>
              <w:top w:val="nil"/>
              <w:left w:val="nil"/>
              <w:bottom w:val="single" w:sz="8" w:space="0" w:color="auto"/>
              <w:right w:val="nil"/>
            </w:tcBorders>
            <w:shd w:val="clear" w:color="auto" w:fill="auto"/>
            <w:noWrap/>
            <w:vAlign w:val="center"/>
            <w:hideMark/>
          </w:tcPr>
          <w:p w14:paraId="0B62D4A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846" w:type="dxa"/>
            <w:tcBorders>
              <w:top w:val="nil"/>
              <w:left w:val="nil"/>
              <w:bottom w:val="single" w:sz="8" w:space="0" w:color="auto"/>
              <w:right w:val="nil"/>
            </w:tcBorders>
            <w:shd w:val="clear" w:color="auto" w:fill="auto"/>
            <w:noWrap/>
            <w:vAlign w:val="center"/>
            <w:hideMark/>
          </w:tcPr>
          <w:p w14:paraId="6983F48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100 %</w:t>
            </w:r>
          </w:p>
        </w:tc>
        <w:tc>
          <w:tcPr>
            <w:tcW w:w="1008" w:type="dxa"/>
            <w:tcBorders>
              <w:top w:val="nil"/>
              <w:left w:val="nil"/>
              <w:bottom w:val="single" w:sz="8" w:space="0" w:color="auto"/>
              <w:right w:val="nil"/>
            </w:tcBorders>
            <w:shd w:val="clear" w:color="auto" w:fill="auto"/>
            <w:noWrap/>
            <w:vAlign w:val="center"/>
            <w:hideMark/>
          </w:tcPr>
          <w:p w14:paraId="06481F2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100 %</w:t>
            </w:r>
          </w:p>
        </w:tc>
      </w:tr>
    </w:tbl>
    <w:p w14:paraId="55492DAC" w14:textId="5F3ED2A6" w:rsidR="00B910EA" w:rsidRPr="00637624" w:rsidRDefault="00B910EA" w:rsidP="00637624">
      <w:pPr>
        <w:spacing w:line="360" w:lineRule="auto"/>
        <w:rPr>
          <w:rFonts w:cs="Times New Roman"/>
          <w:sz w:val="22"/>
          <w:lang w:val="fi-FI"/>
        </w:rPr>
      </w:pPr>
    </w:p>
    <w:p w14:paraId="5DE12B1B" w14:textId="2DB48109" w:rsidR="0084131E" w:rsidRPr="00637624" w:rsidRDefault="0084131E" w:rsidP="00637624">
      <w:pPr>
        <w:pStyle w:val="Caption"/>
        <w:keepNext/>
        <w:spacing w:line="360" w:lineRule="auto"/>
        <w:rPr>
          <w:rFonts w:cs="Times New Roman"/>
          <w:sz w:val="22"/>
          <w:szCs w:val="22"/>
          <w:lang w:val="fi-FI"/>
        </w:rPr>
      </w:pPr>
      <w:r w:rsidRPr="00637624">
        <w:rPr>
          <w:rFonts w:cs="Times New Roman"/>
          <w:sz w:val="22"/>
          <w:szCs w:val="22"/>
          <w:lang w:val="fi-FI"/>
        </w:rPr>
        <w:t xml:space="preserve">Taulukko </w:t>
      </w:r>
      <w:r w:rsidRPr="00637624">
        <w:rPr>
          <w:rFonts w:cs="Times New Roman"/>
          <w:sz w:val="22"/>
          <w:szCs w:val="22"/>
        </w:rPr>
        <w:fldChar w:fldCharType="begin"/>
      </w:r>
      <w:r w:rsidRPr="00637624">
        <w:rPr>
          <w:rFonts w:cs="Times New Roman"/>
          <w:sz w:val="22"/>
          <w:szCs w:val="22"/>
          <w:lang w:val="fi-FI"/>
        </w:rPr>
        <w:instrText xml:space="preserve"> SEQ Taulukko \* ARABIC </w:instrText>
      </w:r>
      <w:r w:rsidRPr="00637624">
        <w:rPr>
          <w:rFonts w:cs="Times New Roman"/>
          <w:sz w:val="22"/>
          <w:szCs w:val="22"/>
        </w:rPr>
        <w:fldChar w:fldCharType="separate"/>
      </w:r>
      <w:r w:rsidR="008A2A54" w:rsidRPr="00637624">
        <w:rPr>
          <w:rFonts w:cs="Times New Roman"/>
          <w:noProof/>
          <w:sz w:val="22"/>
          <w:szCs w:val="22"/>
          <w:lang w:val="fi-FI"/>
        </w:rPr>
        <w:t>1</w:t>
      </w:r>
      <w:r w:rsidRPr="00637624">
        <w:rPr>
          <w:rFonts w:cs="Times New Roman"/>
          <w:sz w:val="22"/>
          <w:szCs w:val="22"/>
        </w:rPr>
        <w:fldChar w:fldCharType="end"/>
      </w:r>
      <w:r w:rsidRPr="00637624">
        <w:rPr>
          <w:rFonts w:cs="Times New Roman"/>
          <w:sz w:val="22"/>
          <w:szCs w:val="22"/>
          <w:lang w:val="fi-FI"/>
        </w:rPr>
        <w:t xml:space="preserve"> Kyselytutkimuksen ensimmäisen kysymyksen vastaukset kategorisoituna sekä verkkopalveluittain että teeman mukaisesti. A= Akateeminen yleisö, L= Laajempi yleisö</w:t>
      </w:r>
      <w:r w:rsidR="00846FE8" w:rsidRPr="00637624">
        <w:rPr>
          <w:rFonts w:cs="Times New Roman"/>
          <w:sz w:val="22"/>
          <w:szCs w:val="22"/>
          <w:lang w:val="fi-FI"/>
        </w:rPr>
        <w:t>.</w:t>
      </w:r>
    </w:p>
    <w:p w14:paraId="30775324" w14:textId="1B64AA23" w:rsidR="00B75182" w:rsidRPr="00637624" w:rsidRDefault="0043359A" w:rsidP="00637624">
      <w:pPr>
        <w:spacing w:line="360" w:lineRule="auto"/>
        <w:rPr>
          <w:rFonts w:cs="Times New Roman"/>
          <w:noProof/>
          <w:sz w:val="22"/>
          <w:lang w:val="fi-FI"/>
        </w:rPr>
      </w:pPr>
      <w:r w:rsidRPr="00637624">
        <w:rPr>
          <w:rFonts w:cs="Times New Roman"/>
          <w:sz w:val="22"/>
          <w:highlight w:val="yellow"/>
          <w:lang w:val="fi-FI"/>
        </w:rPr>
        <w:fldChar w:fldCharType="begin" w:fldLock="1"/>
      </w:r>
      <w:r w:rsidRPr="00637624">
        <w:rPr>
          <w:rFonts w:cs="Times New Roman"/>
          <w:sz w:val="22"/>
          <w:highlight w:val="yellow"/>
          <w:lang w:val="fi-FI"/>
        </w:rPr>
        <w:instrText xml:space="preserve"> LINK </w:instrText>
      </w:r>
      <w:r w:rsidR="0059418D">
        <w:rPr>
          <w:rFonts w:cs="Times New Roman"/>
          <w:sz w:val="22"/>
          <w:highlight w:val="yellow"/>
          <w:lang w:val="fi-FI"/>
        </w:rPr>
        <w:instrText xml:space="preserve">Excel.Sheet.12 "C:\\Users\\jukava\\Dropbox\\Julias projects\\Kyselytutkimus\\Twitter ja Mendeley vastaukset.xlsx" 1.kysymys!R1C4:R48C7 </w:instrText>
      </w:r>
      <w:r w:rsidRPr="00637624">
        <w:rPr>
          <w:rFonts w:cs="Times New Roman"/>
          <w:sz w:val="22"/>
          <w:highlight w:val="yellow"/>
          <w:lang w:val="fi-FI"/>
        </w:rPr>
        <w:instrText xml:space="preserve">\a \f 4 \h </w:instrText>
      </w:r>
      <w:r w:rsidR="00BC2FB4" w:rsidRPr="00637624">
        <w:rPr>
          <w:rFonts w:cs="Times New Roman"/>
          <w:sz w:val="22"/>
          <w:highlight w:val="yellow"/>
          <w:lang w:val="fi-FI"/>
        </w:rPr>
        <w:instrText xml:space="preserve"> \* MERGEFORMAT </w:instrText>
      </w:r>
      <w:r w:rsidRPr="00637624">
        <w:rPr>
          <w:rFonts w:cs="Times New Roman"/>
          <w:sz w:val="22"/>
          <w:highlight w:val="yellow"/>
          <w:lang w:val="fi-FI"/>
        </w:rPr>
        <w:fldChar w:fldCharType="end"/>
      </w:r>
    </w:p>
    <w:p w14:paraId="29C144EF" w14:textId="14FC6E47" w:rsidR="00B116E0" w:rsidRDefault="00846FE8" w:rsidP="00637624">
      <w:pPr>
        <w:spacing w:line="360" w:lineRule="auto"/>
        <w:rPr>
          <w:rFonts w:cs="Times New Roman"/>
          <w:sz w:val="22"/>
          <w:lang w:val="fi-FI"/>
        </w:rPr>
      </w:pPr>
      <w:r w:rsidRPr="00637624">
        <w:rPr>
          <w:rFonts w:cs="Times New Roman"/>
          <w:sz w:val="22"/>
          <w:lang w:val="fi-FI"/>
        </w:rPr>
        <w:t>K</w:t>
      </w:r>
      <w:r w:rsidR="00DB7BE2" w:rsidRPr="00637624">
        <w:rPr>
          <w:rFonts w:cs="Times New Roman"/>
          <w:sz w:val="22"/>
          <w:lang w:val="fi-FI"/>
        </w:rPr>
        <w:t xml:space="preserve">uten taulukko 1 osoittaa, </w:t>
      </w:r>
      <w:r w:rsidR="000F2353" w:rsidRPr="00637624">
        <w:rPr>
          <w:rFonts w:cs="Times New Roman"/>
          <w:sz w:val="22"/>
          <w:lang w:val="fi-FI"/>
        </w:rPr>
        <w:t xml:space="preserve">Twitter-verkkopalvelua koskevat vastaukset </w:t>
      </w:r>
      <w:r w:rsidR="00AB7E60" w:rsidRPr="00637624">
        <w:rPr>
          <w:rFonts w:cs="Times New Roman"/>
          <w:sz w:val="22"/>
          <w:lang w:val="fi-FI"/>
        </w:rPr>
        <w:t>painottivat</w:t>
      </w:r>
      <w:r w:rsidR="000F2353" w:rsidRPr="00637624">
        <w:rPr>
          <w:rFonts w:cs="Times New Roman"/>
          <w:sz w:val="22"/>
          <w:lang w:val="fi-FI"/>
        </w:rPr>
        <w:t xml:space="preserve"> enemmän henkilökohtaisia ominaisuuksia sekä viestinnän roolia, kun taas Mendeley-verkkopalvelua koskevissa vastauksissa heijastu</w:t>
      </w:r>
      <w:r w:rsidR="00B75182" w:rsidRPr="00637624">
        <w:rPr>
          <w:rFonts w:cs="Times New Roman"/>
          <w:sz w:val="22"/>
          <w:lang w:val="fi-FI"/>
        </w:rPr>
        <w:t>i</w:t>
      </w:r>
      <w:r w:rsidR="000F2353" w:rsidRPr="00637624">
        <w:rPr>
          <w:rFonts w:cs="Times New Roman"/>
          <w:sz w:val="22"/>
          <w:lang w:val="fi-FI"/>
        </w:rPr>
        <w:t xml:space="preserve"> akateemisempi ja analyyttisempi suhtautuminen verkkomenestyksen suosioon johtaneisiin tekijöihin.</w:t>
      </w:r>
      <w:r w:rsidR="00D018CB" w:rsidRPr="00637624">
        <w:rPr>
          <w:rFonts w:cs="Times New Roman"/>
          <w:sz w:val="22"/>
          <w:lang w:val="fi-FI"/>
        </w:rPr>
        <w:t xml:space="preserve"> Yksittäiset havainnot verkkopalvelujen sisällä jakautuivat selkeämmin teemoittain Mendeleyssä kuin Twitterissä. Siinä missä Mendeleyssä yli 66 prosenttia havainnoista voitiin luokitella akateemisen yleisön arvottamiksi tekijöiksi, Twitterissä hieman alle 60 prosenttia havainnoista luokiteltiin laajemman yleisön arvostamiksi piirteiksi.</w:t>
      </w:r>
      <w:r w:rsidR="000F2353" w:rsidRPr="00637624">
        <w:rPr>
          <w:rFonts w:cs="Times New Roman"/>
          <w:sz w:val="22"/>
          <w:lang w:val="fi-FI"/>
        </w:rPr>
        <w:t xml:space="preserve"> Twitter-vastauksissa korostuivat selkeästi viisi eri teemaa suosion syinä: tunteita herättävä aihe (30 kertaa), arvostettu julkaisufoorumi (20), ajankohtaisuus (20), uutuusarvo (17) ja </w:t>
      </w:r>
      <w:r w:rsidR="00DB7BE2" w:rsidRPr="00637624">
        <w:rPr>
          <w:rFonts w:cs="Times New Roman"/>
          <w:sz w:val="22"/>
          <w:lang w:val="fi-FI"/>
        </w:rPr>
        <w:t xml:space="preserve">popularisoitavissa oleva tai </w:t>
      </w:r>
      <w:r w:rsidR="000F2353" w:rsidRPr="00637624">
        <w:rPr>
          <w:rFonts w:cs="Times New Roman"/>
          <w:sz w:val="22"/>
          <w:lang w:val="fi-FI"/>
        </w:rPr>
        <w:t xml:space="preserve">henkilökohtainen aihe (16). </w:t>
      </w:r>
      <w:r w:rsidR="00B75182" w:rsidRPr="00637624">
        <w:rPr>
          <w:rFonts w:cs="Times New Roman"/>
          <w:sz w:val="22"/>
          <w:lang w:val="fi-FI"/>
        </w:rPr>
        <w:t>Mendeley-verkkopalvelua koskevassa kysymyksessä</w:t>
      </w:r>
      <w:r w:rsidR="00D440AE">
        <w:rPr>
          <w:rFonts w:cs="Times New Roman"/>
          <w:sz w:val="22"/>
          <w:lang w:val="fi-FI"/>
        </w:rPr>
        <w:t xml:space="preserve"> sen sijaan</w:t>
      </w:r>
      <w:r w:rsidR="00B75182" w:rsidRPr="00637624">
        <w:rPr>
          <w:rFonts w:cs="Times New Roman"/>
          <w:sz w:val="22"/>
          <w:lang w:val="fi-FI"/>
        </w:rPr>
        <w:t xml:space="preserve"> havainnot jakautuivat useamman eri teeman kesken. Yli kymmenen havaintoa keränneitä teemoja tunnistettiin yhteensä yhdeksän kappaletta: arvostettu julkaisufoorumi (23 kertaa), merkittävä tutkimustulos (21), </w:t>
      </w:r>
      <w:r w:rsidR="00DB7BE2" w:rsidRPr="00637624">
        <w:rPr>
          <w:rFonts w:cs="Times New Roman"/>
          <w:sz w:val="22"/>
          <w:lang w:val="fi-FI"/>
        </w:rPr>
        <w:t xml:space="preserve">ajankohtaisuus (19), </w:t>
      </w:r>
      <w:r w:rsidR="00B75182" w:rsidRPr="00637624">
        <w:rPr>
          <w:rFonts w:cs="Times New Roman"/>
          <w:sz w:val="22"/>
          <w:lang w:val="fi-FI"/>
        </w:rPr>
        <w:t xml:space="preserve">uusi menetelmä (18), review-/meta-analyysi (13), hyvin tehty tutkimus (12), </w:t>
      </w:r>
      <w:r w:rsidR="00DB7BE2" w:rsidRPr="00637624">
        <w:rPr>
          <w:rFonts w:cs="Times New Roman"/>
          <w:sz w:val="22"/>
          <w:lang w:val="fi-FI"/>
        </w:rPr>
        <w:t xml:space="preserve">popularisoitavissa oleva tai </w:t>
      </w:r>
      <w:r w:rsidR="00B75182" w:rsidRPr="00637624">
        <w:rPr>
          <w:rFonts w:cs="Times New Roman"/>
          <w:sz w:val="22"/>
          <w:lang w:val="fi-FI"/>
        </w:rPr>
        <w:t xml:space="preserve">henkilökohtainen aihe (12), </w:t>
      </w:r>
      <w:r w:rsidR="00DB7BE2" w:rsidRPr="00637624">
        <w:rPr>
          <w:rFonts w:cs="Times New Roman"/>
          <w:sz w:val="22"/>
          <w:lang w:val="fi-FI"/>
        </w:rPr>
        <w:t>h</w:t>
      </w:r>
      <w:r w:rsidR="00B75182" w:rsidRPr="00637624">
        <w:rPr>
          <w:rFonts w:cs="Times New Roman"/>
          <w:sz w:val="22"/>
          <w:lang w:val="fi-FI"/>
        </w:rPr>
        <w:t>uippu</w:t>
      </w:r>
      <w:r w:rsidR="00DB7BE2" w:rsidRPr="00637624">
        <w:rPr>
          <w:rFonts w:cs="Times New Roman"/>
          <w:sz w:val="22"/>
          <w:lang w:val="fi-FI"/>
        </w:rPr>
        <w:t xml:space="preserve">tutkijoita työryhmässä (12) ja </w:t>
      </w:r>
      <w:r w:rsidR="00B75182" w:rsidRPr="00637624">
        <w:rPr>
          <w:rFonts w:cs="Times New Roman"/>
          <w:sz w:val="22"/>
          <w:lang w:val="fi-FI"/>
        </w:rPr>
        <w:t>kiinnostava aihepiiri (12).</w:t>
      </w:r>
      <w:r w:rsidR="000F2353" w:rsidRPr="00637624">
        <w:rPr>
          <w:rFonts w:cs="Times New Roman"/>
          <w:sz w:val="22"/>
          <w:lang w:val="fi-FI"/>
        </w:rPr>
        <w:t xml:space="preserve"> </w:t>
      </w:r>
    </w:p>
    <w:p w14:paraId="5F629BE3" w14:textId="6C79D3B9" w:rsidR="00CB0790" w:rsidRPr="00637624" w:rsidRDefault="00CB0790" w:rsidP="00265287">
      <w:pPr>
        <w:spacing w:after="160" w:line="360" w:lineRule="auto"/>
        <w:rPr>
          <w:rFonts w:cs="Times New Roman"/>
          <w:sz w:val="22"/>
          <w:lang w:val="fi-FI"/>
        </w:rPr>
      </w:pPr>
      <w:r w:rsidRPr="00637624">
        <w:rPr>
          <w:rFonts w:cs="Times New Roman"/>
          <w:i/>
          <w:sz w:val="22"/>
          <w:lang w:val="fi-FI"/>
        </w:rPr>
        <w:t>”Suurin tähän vaikuttava tekijä on varmastikin se, että artikkelin kirjoittajina on mukana (ulkomaalaisia) henkilöitä, jotka ovat kansainvälisesti hyvin tunnettuja genetiikassa ja lisäksi ainakin toisella heistä on yli kymmenen tuhatta Twitter-seuraajaa, joten hänen viestinsä tavoittaa jo yksistään ison määrän ihmisiä.”</w:t>
      </w:r>
      <w:r w:rsidRPr="00637624">
        <w:rPr>
          <w:rFonts w:cs="Times New Roman"/>
          <w:sz w:val="22"/>
          <w:lang w:val="fi-FI"/>
        </w:rPr>
        <w:br/>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t>Vastaaja ID173, vastaus kysymykseen Twitter 1</w:t>
      </w:r>
    </w:p>
    <w:p w14:paraId="363E24AF" w14:textId="4DEEB490" w:rsidR="0021428F" w:rsidRPr="00637624" w:rsidRDefault="00B75182" w:rsidP="00637624">
      <w:pPr>
        <w:spacing w:after="160" w:line="360" w:lineRule="auto"/>
        <w:rPr>
          <w:rFonts w:cs="Times New Roman"/>
          <w:sz w:val="22"/>
          <w:lang w:val="fi-FI"/>
        </w:rPr>
      </w:pPr>
      <w:r w:rsidRPr="00637624">
        <w:rPr>
          <w:rFonts w:cs="Times New Roman"/>
          <w:sz w:val="22"/>
          <w:lang w:val="fi-FI"/>
        </w:rPr>
        <w:t xml:space="preserve">Tutkijoiden mielipiteet artikkelin suosioon vaikuttaneista töistä heijastavat kummankin verkkopalvelun ominaista luonnetta ja </w:t>
      </w:r>
      <w:r w:rsidR="00C13E60" w:rsidRPr="00637624">
        <w:rPr>
          <w:rFonts w:cs="Times New Roman"/>
          <w:sz w:val="22"/>
          <w:lang w:val="fi-FI"/>
        </w:rPr>
        <w:t>käyttötarkoitusta. Siinä missä Mendeley-verkkopalvelu on julkaisujätti Elsevierin omistama, yksityiskäyttäjälle ilmainen viitteidenhallintajärjestelmä</w:t>
      </w:r>
      <w:r w:rsidR="00C13E60" w:rsidRPr="00637624">
        <w:rPr>
          <w:rStyle w:val="FootnoteReference"/>
          <w:rFonts w:cs="Times New Roman"/>
          <w:sz w:val="22"/>
          <w:lang w:val="fi-FI"/>
        </w:rPr>
        <w:footnoteReference w:id="2"/>
      </w:r>
      <w:r w:rsidR="00C13E60" w:rsidRPr="00637624">
        <w:rPr>
          <w:rFonts w:cs="Times New Roman"/>
          <w:sz w:val="22"/>
          <w:lang w:val="fi-FI"/>
        </w:rPr>
        <w:t>, mikropalvelu Twitter on yli 300 miljoonaa aktiivikäy</w:t>
      </w:r>
      <w:r w:rsidR="00E27BA7" w:rsidRPr="00637624">
        <w:rPr>
          <w:rFonts w:cs="Times New Roman"/>
          <w:sz w:val="22"/>
          <w:lang w:val="fi-FI"/>
        </w:rPr>
        <w:t>ttäjää kuukausittain tavoittava, voittoa tavoitteleva yritys</w:t>
      </w:r>
      <w:r w:rsidR="007D5F68" w:rsidRPr="00637624">
        <w:rPr>
          <w:rStyle w:val="FootnoteReference"/>
          <w:rFonts w:cs="Times New Roman"/>
          <w:sz w:val="22"/>
          <w:lang w:val="fi-FI"/>
        </w:rPr>
        <w:footnoteReference w:id="3"/>
      </w:r>
      <w:r w:rsidR="00E27BA7" w:rsidRPr="00637624">
        <w:rPr>
          <w:rFonts w:cs="Times New Roman"/>
          <w:sz w:val="22"/>
          <w:lang w:val="fi-FI"/>
        </w:rPr>
        <w:t>. Mendeley profiloituu ennen kaikkea akateemisen asiakaskunnan t</w:t>
      </w:r>
      <w:r w:rsidR="00BF3621" w:rsidRPr="00637624">
        <w:rPr>
          <w:rFonts w:cs="Times New Roman"/>
          <w:sz w:val="22"/>
          <w:lang w:val="fi-FI"/>
        </w:rPr>
        <w:t xml:space="preserve">yössään käyttämäksi tuotteeksi </w:t>
      </w:r>
      <w:r w:rsidR="00BF3621" w:rsidRPr="00637624">
        <w:rPr>
          <w:rFonts w:cs="Times New Roman"/>
          <w:sz w:val="22"/>
          <w:lang w:val="fi-FI"/>
        </w:rPr>
        <w:fldChar w:fldCharType="begin" w:fldLock="1"/>
      </w:r>
      <w:r w:rsidR="00294C1E" w:rsidRPr="00637624">
        <w:rPr>
          <w:rFonts w:cs="Times New Roman"/>
          <w:sz w:val="22"/>
          <w:lang w:val="fi-FI"/>
        </w:rPr>
        <w:instrText>ADDIN CSL_CITATION { "citationItems" : [ { "id" : "ITEM-1", "itemData" : { "DOI" : "10.1002/asi.23286", "ISBN" : "9783848215430", "ISSN" : "23301643", "PMID" : "502955140", "abstract" : "Little detailed information is known about who reads research articles and the contexts in which research articles are read. Using data about people who register in Mendeley as readers of articles, this paper explores different types of users of Clinical Medicine, Engineering and Technology, Social Science, Physics and Chemistry papers inside and outside academia. The majority of readers for all disciplines were PhD students, postgraduates and postdocs but other types of academics were also represented. In addition, many Clinical Medicine papers were read by medical professionals. The highest correlations between citations and Mendeley readership counts were found for types of users that often authored academic papers, except for associate professors in some sub- disciplines. This suggests that Mendeley readership can reflect usage similar to traditional citation impact, if the data is restricted to readers who are also authors, without the delay of impact measured by citation counts. At the same time, Mendeley statistics can also reveal the hidden impact of some research papers, such as educational value for non- author users inside academia or the impact of research papers on practice for readers outside academia", "author" : [ { "dropping-particle" : "", "family" : "Mohammadi", "given" : "Ehsan", "non-dropping-particle" : "", "parse-names" : false, "suffix" : "" }, { "dropping-particle" : "", "family" : "Thelwall", "given" : "Mike", "non-dropping-particle" : "", "parse-names" : false, "suffix" : "" }, { "dropping-particle" : "", "family" : "Haustein", "given" : "Stefanie", "non-dropping-particle" : "", "parse-names" : false, "suffix" : "" }, { "dropping-particle" : "", "family" : "Larivi??re", "given" : "Vincent", "non-dropping-particle" : "", "parse-names" : false, "suffix" : "" } ], "container-title" : "Journal of the Association for Information Science and Technology", "id" : "ITEM-1", "issue" : "9", "issued" : { "date-parts" : [ [ "2015" ] ] }, "page" : "1832-1846", "title" : "Who reads research articles? An altmetrics analysis of Mendeley user categories", "type" : "article-journal", "volume" : "66" }, "uris" : [ "http://www.mendeley.com/documents/?uuid=a10c43e4-d82a-419c-b855-94962535cf12" ] } ], "mendeley" : { "formattedCitation" : "(Mohammadi, Thelwall, Haustein, &amp; Larivi??re, 2015)", "manualFormatting" : "(Mohammadi, Thelwall, Haustein, &amp; Lariv\u00e8re, 2015)", "plainTextFormattedCitation" : "(Mohammadi, Thelwall, Haustein, &amp; Larivi??re, 2015)", "previouslyFormattedCitation" : "(Mohammadi, Thelwall, Haustein, &amp; Larivi??re, 2015)" }, "properties" : { "noteIndex" : 0 }, "schema" : "https://github.com/citation-style-language/schema/raw/master/csl-citation.json" }</w:instrText>
      </w:r>
      <w:r w:rsidR="00BF3621" w:rsidRPr="00637624">
        <w:rPr>
          <w:rFonts w:cs="Times New Roman"/>
          <w:sz w:val="22"/>
          <w:lang w:val="fi-FI"/>
        </w:rPr>
        <w:fldChar w:fldCharType="separate"/>
      </w:r>
      <w:r w:rsidR="00BF3621" w:rsidRPr="00637624">
        <w:rPr>
          <w:rFonts w:cs="Times New Roman"/>
          <w:noProof/>
          <w:sz w:val="22"/>
          <w:lang w:val="fi-FI"/>
        </w:rPr>
        <w:t>(Mohamma</w:t>
      </w:r>
      <w:r w:rsidR="00294C1E" w:rsidRPr="00637624">
        <w:rPr>
          <w:rFonts w:cs="Times New Roman"/>
          <w:noProof/>
          <w:sz w:val="22"/>
          <w:lang w:val="fi-FI"/>
        </w:rPr>
        <w:t>di, Thelwall, Haustein, &amp; Larivè</w:t>
      </w:r>
      <w:r w:rsidR="00BF3621" w:rsidRPr="00637624">
        <w:rPr>
          <w:rFonts w:cs="Times New Roman"/>
          <w:noProof/>
          <w:sz w:val="22"/>
          <w:lang w:val="fi-FI"/>
        </w:rPr>
        <w:t>re, 2015)</w:t>
      </w:r>
      <w:r w:rsidR="00BF3621" w:rsidRPr="00637624">
        <w:rPr>
          <w:rFonts w:cs="Times New Roman"/>
          <w:sz w:val="22"/>
          <w:lang w:val="fi-FI"/>
        </w:rPr>
        <w:fldChar w:fldCharType="end"/>
      </w:r>
      <w:r w:rsidR="00BF3621" w:rsidRPr="00637624">
        <w:rPr>
          <w:rFonts w:cs="Times New Roman"/>
          <w:sz w:val="22"/>
          <w:lang w:val="fi-FI"/>
        </w:rPr>
        <w:t>,</w:t>
      </w:r>
      <w:r w:rsidR="00E27BA7" w:rsidRPr="00637624">
        <w:rPr>
          <w:rFonts w:cs="Times New Roman"/>
          <w:sz w:val="22"/>
          <w:lang w:val="fi-FI"/>
        </w:rPr>
        <w:t xml:space="preserve"> kun taas Twitterin käyttötarkoitukset ovat paljon laajemmat</w:t>
      </w:r>
      <w:r w:rsidR="00637624">
        <w:rPr>
          <w:rFonts w:cs="Times New Roman"/>
          <w:sz w:val="22"/>
          <w:lang w:val="fi-FI"/>
        </w:rPr>
        <w:t xml:space="preserve"> </w:t>
      </w:r>
      <w:r w:rsidR="00637624">
        <w:rPr>
          <w:rFonts w:cs="Times New Roman"/>
          <w:sz w:val="22"/>
          <w:lang w:val="fi-FI"/>
        </w:rPr>
        <w:fldChar w:fldCharType="begin" w:fldLock="1"/>
      </w:r>
      <w:r w:rsidR="00637624">
        <w:rPr>
          <w:rFonts w:cs="Times New Roman"/>
          <w:sz w:val="22"/>
          <w:lang w:val="fi-FI"/>
        </w:rPr>
        <w:instrText>ADDIN CSL_CITATION { "citationItems" : [ { "id" : "ITEM-1", "itemData" : { "abstract" : "Metrics derived from Twitter and other social media---often referred to as altmetrics---are increasingly used to estimate the broader social impacts of scholarship. Such efforts, however, may produce highly misleading results, as the entities that participate in conversations about science on these platforms are largely unknown. For instance, if altmetric activities are generated mainly by scientists, does it really capture broader social impacts of science? Here we present a systematic approach to identifying and analyzing scientists on Twitter. Our method can be easily adapted to identify other stakeholder groups in science. We investigate the demographics, sharing behaviors, and interconnectivity of the identified scientists. Our work contributes to the literature both methodologically and conceptually---we provide new methods for disambiguating and identifying particular actors on social media and describing the behaviors of scientists, thus providing foundational information for the construction and use of indicators on the basis of social media metrics.", "author" : [ { "dropping-particle" : "", "family" : "Ke", "given" : "Qing", "non-dropping-particle" : "", "parse-names" : false, "suffix" : "" }, { "dropping-particle" : "", "family" : "Ahn", "given" : "Yong-Yeol", "non-dropping-particle" : "", "parse-names" : false, "suffix" : "" }, { "dropping-particle" : "", "family" : "Sugimoto", "given" : "Cassidy R.", "non-dropping-particle" : "", "parse-names" : false, "suffix" : "" } ], "genre" : "Digital Libraries; Physics and Society", "id" : "ITEM-1", "issued" : { "date-parts" : [ [ "2016", "8", "22" ] ] }, "title" : "A Systematic Identification and Analysis of Scientists on Twitter", "type" : "article-journal" }, "uris" : [ "http://www.mendeley.com/documents/?uuid=370ccae3-d007-42a1-b470-144f1ac6a211" ] }, { "id" : "ITEM-2", "itemData" : { "abstract" : "Every second, the thoughts and feelings of millions of people across the world are recorded in the form of 140-character tweets using Twitter. However, despite the enormous potential presented by this remarkable data source, we still do not have an understanding of the Twitter population itself: Who are the Twitter users? How representative of the overall population are they? In this paper, we take the first steps towards answering these questions by analyzing data on a set of Twitter users representing over 1% of the U.S. population. We develop techniques that allow us to compare the Twitter population to the U.S. population along three axes (geography, gender, and race/ethnicity), and find that the Twitter population is a highly non-uniform sample of the population.", "author" : [ { "dropping-particle" : "", "family" : "Mislove", "given" : "Alan", "non-dropping-particle" : "", "parse-names" : false, "suffix" : "" }, { "dropping-particle" : "", "family" : "Lehmann", "given" : "Sune", "non-dropping-particle" : "", "parse-names" : false, "suffix" : "" }, { "dropping-particle" : "", "family" : "Ahn", "given" : "Yong-yeol", "non-dropping-particle" : "", "parse-names" : false, "suffix" : "" }, { "dropping-particle" : "", "family" : "Onnela", "given" : "Jukka-pekka", "non-dropping-particle" : "", "parse-names" : false, "suffix" : "" }, { "dropping-particle" : "", "family" : "Rosenquist", "given" : "J Niels", "non-dropping-particle" : "", "parse-names" : false, "suffix" : "" } ], "container-title" : "Artificial Intelligence", "id" : "ITEM-2", "issued" : { "date-parts" : [ [ "2011" ] ] }, "page" : "554-557", "title" : "Understanding the Demographics of Twitter Users", "type" : "article-journal" }, "uris" : [ "http://www.mendeley.com/documents/?uuid=7d509404-16ea-42b5-8fdd-a6e01695f3b0" ] }, { "id" : "ITEM-3", "itemData" : { "DOI" : "10.1145/2484702.2484708", "ISBN" : "9781450321914", "abstract" : "Bios", "author" : [ { "dropping-particle" : "", "family" : "Semertzidis", "given" : "Konstantinos", "non-dropping-particle" : "", "parse-names" : false, "suffix" : "" }, { "dropping-particle" : "", "family" : "Pitoura", "given" : "Evaggelia", "non-dropping-particle" : "", "parse-names" : false, "suffix" : "" }, { "dropping-particle" : "", "family" : "Tsaparas", "given" : "Panayiotis", "non-dropping-particle" : "", "parse-names" : false, "suffix" : "" } ], "container-title" : "Proceedings of the ACM SIGMOD Workshop on Databases and Social Networks - DBSocial '13", "id" : "ITEM-3", "issued" : { "date-parts" : [ [ "2013" ] ] }, "page" : "25-30", "title" : "How people describe themselves on Twitter", "type" : "article-journal" }, "uris" : [ "http://www.mendeley.com/documents/?uuid=c30361a0-ec36-40b4-b17e-96256ae07243" ] }, { "id" : "ITEM-4", "itemData" : { "ISBN" : "9781625610003", "abstract" : "People use microblogging platforms like Twitter to involve with other users for a wide range of interests and practices. Twitter profiles run by different types of users such as humans, bots, spammers, businesses and professionals. This research work identifies six broad classes of Twitter users, and employs a supervised machine learning approach which uses a comprehensive set of features to classify users into the identified classes. For this purpose, we exploit users' profile and tweeting behavior information. We evaluate our approach by performing 10-fold cross validation using manually annotated 716 different Twitter profiles. High classification accuracy (measured using AUC, and precision, recall) reveals the significance of the proposed approach.", "author" : [ { "dropping-particle" : "", "family" : "Uddin", "given" : "Muhammad Moeen", "non-dropping-particle" : "", "parse-names" : false, "suffix" : "" }, { "dropping-particle" : "", "family" : "Imran", "given" : "Muhammad", "non-dropping-particle" : "", "parse-names" : false, "suffix" : "" }, { "dropping-particle" : "", "family" : "Sajjad", "given" : "Hassan", "non-dropping-particle" : "", "parse-names" : false, "suffix" : "" } ], "container-title" : "arXiv preprint", "id" : "ITEM-4", "issued" : { "date-parts" : [ [ "2014" ] ] }, "page" : "6", "title" : "Understanding Types of Users on Twitter", "type" : "article-journal" }, "uris" : [ "http://www.mendeley.com/documents/?uuid=a7b306a1-3a69-4d11-bd73-fe611b8213a8" ] } ], "mendeley" : { "formattedCitation" : "(Ke, Ahn, &amp; Sugimoto, 2016; Mislove, Lehmann, Ahn, Onnela, &amp; Rosenquist, 2011; Semertzidis, Pitoura, &amp; Tsaparas, 2013; Uddin, Imran, &amp; Sajjad, 2014)", "manualFormatting" : "(ks. mm. Ke, Ahn, &amp; Sugimoto, 2016; Mislove, Lehmann, Ahn, Onnela, &amp; Rosenquist, 2011; Semertzidis, Pitoura, &amp; Tsaparas, 2013; Uddin, Imran, &amp; Sajjad, 2014)", "plainTextFormattedCitation" : "(Ke, Ahn, &amp; Sugimoto, 2016; Mislove, Lehmann, Ahn, Onnela, &amp; Rosenquist, 2011; Semertzidis, Pitoura, &amp; Tsaparas, 2013; Uddin, Imran, &amp; Sajjad, 2014)", "previouslyFormattedCitation" : "(Ke, Ahn, &amp; Sugimoto, 2016; Mislove, Lehmann, Ahn, Onnela, &amp; Rosenquist, 2011; Semertzidis, Pitoura, &amp; Tsaparas, 2013; Uddin, Imran, &amp; Sajjad, 2014)" }, "properties" : { "noteIndex" : 0 }, "schema" : "https://github.com/citation-style-language/schema/raw/master/csl-citation.json" }</w:instrText>
      </w:r>
      <w:r w:rsidR="00637624">
        <w:rPr>
          <w:rFonts w:cs="Times New Roman"/>
          <w:sz w:val="22"/>
          <w:lang w:val="fi-FI"/>
        </w:rPr>
        <w:fldChar w:fldCharType="separate"/>
      </w:r>
      <w:r w:rsidR="00637624" w:rsidRPr="00637624">
        <w:rPr>
          <w:rFonts w:cs="Times New Roman"/>
          <w:noProof/>
          <w:sz w:val="22"/>
          <w:lang w:val="fi-FI"/>
        </w:rPr>
        <w:t>(</w:t>
      </w:r>
      <w:r w:rsidR="00637624">
        <w:rPr>
          <w:rFonts w:cs="Times New Roman"/>
          <w:noProof/>
          <w:sz w:val="22"/>
          <w:lang w:val="fi-FI"/>
        </w:rPr>
        <w:t xml:space="preserve">ks. mm. </w:t>
      </w:r>
      <w:r w:rsidR="00637624" w:rsidRPr="00637624">
        <w:rPr>
          <w:rFonts w:cs="Times New Roman"/>
          <w:noProof/>
          <w:sz w:val="22"/>
          <w:lang w:val="fi-FI"/>
        </w:rPr>
        <w:t>Ke, Ahn, &amp; Sugimoto, 2016; Mislove, Lehmann, Ahn, Onnela, &amp; Rosenquist, 2011; Semertzidis, Pitoura, &amp; Tsaparas, 2013; Uddin, Imran, &amp; Sajjad, 2014)</w:t>
      </w:r>
      <w:r w:rsidR="00637624">
        <w:rPr>
          <w:rFonts w:cs="Times New Roman"/>
          <w:sz w:val="22"/>
          <w:lang w:val="fi-FI"/>
        </w:rPr>
        <w:fldChar w:fldCharType="end"/>
      </w:r>
      <w:r w:rsidR="00637624">
        <w:rPr>
          <w:rFonts w:cs="Times New Roman"/>
          <w:sz w:val="22"/>
          <w:lang w:val="fi-FI"/>
        </w:rPr>
        <w:t>.</w:t>
      </w:r>
    </w:p>
    <w:p w14:paraId="581E5643" w14:textId="77777777" w:rsidR="00B910EA" w:rsidRPr="00637624" w:rsidRDefault="00B910EA" w:rsidP="00637624">
      <w:pPr>
        <w:spacing w:after="160" w:line="360" w:lineRule="auto"/>
        <w:rPr>
          <w:rFonts w:cs="Times New Roman"/>
          <w:sz w:val="22"/>
          <w:lang w:val="fi-FI"/>
        </w:rPr>
      </w:pPr>
      <w:r w:rsidRPr="00637624">
        <w:rPr>
          <w:rFonts w:cs="Times New Roman"/>
          <w:i/>
          <w:sz w:val="22"/>
          <w:lang w:val="fi-FI"/>
        </w:rPr>
        <w:t>”Ko. artikkeli edustaa omalla tutkimusalallani niin mittavaa läpimurtoa, että arvostan ko. löydön kovimmaksi, mihin olen ollut ikinä osallisena, vaikka N/S papereita onkin aimo nippu. Siinä esiteltiin tiedeyhteisölle ennenkuulumaton ajatus, joka […]vielä todistettiin oikeaksi ja on kestänyt tiedeyhteisön tarkastelun tähän päivään saakka. Eli tutkimuksella on globaali merkitys, aihetta on tutkittu ja tutkitaan paljon ja tulos on oli erittäin uusi ja asettaa aiemman tutkimuksen uuteen valoon. Siksi se saa huomiota varmaan myös näissä verkkopalveluissa.”</w:t>
      </w:r>
      <w:r w:rsidRPr="00637624">
        <w:rPr>
          <w:rFonts w:cs="Times New Roman"/>
          <w:i/>
          <w:sz w:val="22"/>
          <w:lang w:val="fi-FI"/>
        </w:rPr>
        <w:br/>
      </w:r>
      <w:r w:rsidRPr="00637624">
        <w:rPr>
          <w:rFonts w:cs="Times New Roman"/>
          <w:i/>
          <w:sz w:val="22"/>
          <w:lang w:val="fi-FI"/>
        </w:rPr>
        <w:tab/>
      </w:r>
      <w:r w:rsidRPr="00637624">
        <w:rPr>
          <w:rFonts w:cs="Times New Roman"/>
          <w:i/>
          <w:sz w:val="22"/>
          <w:lang w:val="fi-FI"/>
        </w:rPr>
        <w:tab/>
      </w:r>
      <w:r w:rsidRPr="00637624">
        <w:rPr>
          <w:rFonts w:cs="Times New Roman"/>
          <w:i/>
          <w:sz w:val="22"/>
          <w:lang w:val="fi-FI"/>
        </w:rPr>
        <w:tab/>
      </w:r>
      <w:r w:rsidRPr="00637624">
        <w:rPr>
          <w:rFonts w:cs="Times New Roman"/>
          <w:i/>
          <w:sz w:val="22"/>
          <w:lang w:val="fi-FI"/>
        </w:rPr>
        <w:tab/>
      </w:r>
      <w:r w:rsidRPr="00637624">
        <w:rPr>
          <w:rFonts w:cs="Times New Roman"/>
          <w:i/>
          <w:sz w:val="22"/>
          <w:lang w:val="fi-FI"/>
        </w:rPr>
        <w:tab/>
      </w:r>
      <w:r w:rsidRPr="00637624">
        <w:rPr>
          <w:rFonts w:cs="Times New Roman"/>
          <w:i/>
          <w:sz w:val="22"/>
          <w:lang w:val="fi-FI"/>
        </w:rPr>
        <w:tab/>
      </w:r>
      <w:r w:rsidRPr="00637624">
        <w:rPr>
          <w:rFonts w:cs="Times New Roman"/>
          <w:sz w:val="22"/>
          <w:lang w:val="fi-FI"/>
        </w:rPr>
        <w:t>Vastaaja ID 093, vastaus kysymykseen Mendeley 1</w:t>
      </w:r>
    </w:p>
    <w:p w14:paraId="7656C251" w14:textId="696831F2" w:rsidR="00654C9E" w:rsidRDefault="00D018CB" w:rsidP="00637624">
      <w:pPr>
        <w:spacing w:after="160" w:line="360" w:lineRule="auto"/>
        <w:rPr>
          <w:rFonts w:cs="Times New Roman"/>
          <w:sz w:val="22"/>
          <w:lang w:val="fi-FI"/>
        </w:rPr>
      </w:pPr>
      <w:r w:rsidRPr="00637624">
        <w:rPr>
          <w:rFonts w:cs="Times New Roman"/>
          <w:sz w:val="22"/>
          <w:lang w:val="fi-FI"/>
        </w:rPr>
        <w:t xml:space="preserve">Tutkijoiden vastauksissa kysymykseen kaksi </w:t>
      </w:r>
      <w:r w:rsidR="00237B53" w:rsidRPr="00637624">
        <w:rPr>
          <w:rFonts w:cs="Times New Roman"/>
          <w:sz w:val="22"/>
          <w:lang w:val="fi-FI"/>
        </w:rPr>
        <w:t xml:space="preserve">löytyi vastauksista jälleen verkkopalvelusta huolimatta </w:t>
      </w:r>
      <w:r w:rsidRPr="00637624">
        <w:rPr>
          <w:rFonts w:cs="Times New Roman"/>
          <w:sz w:val="22"/>
          <w:lang w:val="fi-FI"/>
        </w:rPr>
        <w:t>saman</w:t>
      </w:r>
      <w:r w:rsidR="00237B53" w:rsidRPr="00637624">
        <w:rPr>
          <w:rFonts w:cs="Times New Roman"/>
          <w:sz w:val="22"/>
          <w:lang w:val="fi-FI"/>
        </w:rPr>
        <w:t>kaltaisia</w:t>
      </w:r>
      <w:r w:rsidR="00654C9E" w:rsidRPr="00637624">
        <w:rPr>
          <w:rFonts w:cs="Times New Roman"/>
          <w:sz w:val="22"/>
          <w:lang w:val="fi-FI"/>
        </w:rPr>
        <w:t xml:space="preserve"> teemoja.</w:t>
      </w:r>
      <w:r w:rsidR="00237B53" w:rsidRPr="00637624">
        <w:rPr>
          <w:rFonts w:cs="Times New Roman"/>
          <w:sz w:val="22"/>
          <w:lang w:val="fi-FI"/>
        </w:rPr>
        <w:t xml:space="preserve"> Kuten taulukko 2 osoittaa, v</w:t>
      </w:r>
      <w:r w:rsidR="00654C9E" w:rsidRPr="00637624">
        <w:rPr>
          <w:rFonts w:cs="Times New Roman"/>
          <w:sz w:val="22"/>
          <w:lang w:val="fi-FI"/>
        </w:rPr>
        <w:t xml:space="preserve">erkkohuomion koettiin </w:t>
      </w:r>
      <w:r w:rsidR="00237B53" w:rsidRPr="00637624">
        <w:rPr>
          <w:rFonts w:cs="Times New Roman"/>
          <w:sz w:val="22"/>
          <w:lang w:val="fi-FI"/>
        </w:rPr>
        <w:t>lisäävän</w:t>
      </w:r>
      <w:r w:rsidR="00654C9E" w:rsidRPr="00637624">
        <w:rPr>
          <w:rFonts w:cs="Times New Roman"/>
          <w:sz w:val="22"/>
          <w:lang w:val="fi-FI"/>
        </w:rPr>
        <w:t xml:space="preserve"> artikkelin tieteellistä vaikuttavuutta (Twitter 11 maini</w:t>
      </w:r>
      <w:r w:rsidR="00237B53" w:rsidRPr="00637624">
        <w:rPr>
          <w:rFonts w:cs="Times New Roman"/>
          <w:sz w:val="22"/>
          <w:lang w:val="fi-FI"/>
        </w:rPr>
        <w:t>ntaa</w:t>
      </w:r>
      <w:r w:rsidR="00654C9E" w:rsidRPr="00637624">
        <w:rPr>
          <w:rFonts w:cs="Times New Roman"/>
          <w:sz w:val="22"/>
          <w:lang w:val="fi-FI"/>
        </w:rPr>
        <w:t>, Mendeley 21 maini</w:t>
      </w:r>
      <w:r w:rsidR="00237B53" w:rsidRPr="00637624">
        <w:rPr>
          <w:rFonts w:cs="Times New Roman"/>
          <w:sz w:val="22"/>
          <w:lang w:val="fi-FI"/>
        </w:rPr>
        <w:t>ntaa</w:t>
      </w:r>
      <w:r w:rsidR="00654C9E" w:rsidRPr="00637624">
        <w:rPr>
          <w:rFonts w:cs="Times New Roman"/>
          <w:sz w:val="22"/>
          <w:lang w:val="fi-FI"/>
        </w:rPr>
        <w:t xml:space="preserve">) ja julkaisun käyttökelpoisuutta käytännön tutkimustyössä (T 10, M 11). </w:t>
      </w:r>
      <w:r w:rsidR="004B1A3D" w:rsidRPr="00637624">
        <w:rPr>
          <w:rFonts w:cs="Times New Roman"/>
          <w:sz w:val="22"/>
          <w:lang w:val="fi-FI"/>
        </w:rPr>
        <w:t xml:space="preserve">Ristiriitaisuuksia esiintyi tutkijoiden arvioidessa artikkeliensa yhteiskunnallista tai tieteellistä vaikuttavuutta. Siinä missä aineistosta tunnistettiin </w:t>
      </w:r>
      <w:r w:rsidR="00304F74" w:rsidRPr="00637624">
        <w:rPr>
          <w:rFonts w:cs="Times New Roman"/>
          <w:sz w:val="22"/>
          <w:lang w:val="fi-FI"/>
        </w:rPr>
        <w:t xml:space="preserve">yhteiskunnallisesti vaikuttavasta tutkimuksesta </w:t>
      </w:r>
      <w:r w:rsidR="004B1A3D" w:rsidRPr="00637624">
        <w:rPr>
          <w:rFonts w:cs="Times New Roman"/>
          <w:sz w:val="22"/>
          <w:lang w:val="fi-FI"/>
        </w:rPr>
        <w:t>15 mainintaa Twitter-verkkopalvelussa ja 9 mainintaa Mendeley-</w:t>
      </w:r>
      <w:r w:rsidR="00304F74" w:rsidRPr="00637624">
        <w:rPr>
          <w:rFonts w:cs="Times New Roman"/>
          <w:sz w:val="22"/>
          <w:lang w:val="fi-FI"/>
        </w:rPr>
        <w:t>verkkopalvelussa</w:t>
      </w:r>
      <w:r w:rsidR="004B1A3D" w:rsidRPr="00637624">
        <w:rPr>
          <w:rFonts w:cs="Times New Roman"/>
          <w:sz w:val="22"/>
          <w:lang w:val="fi-FI"/>
        </w:rPr>
        <w:t>, löytyi aineistosta myös 7 mainintaa Twitterin ja 9 mainintaa Mendeleyn puolella tutkijoilta, jotka eivät tunnistaneet artikkelillaan olevan yhteiskunnallista vaikuttavuutta.</w:t>
      </w:r>
    </w:p>
    <w:tbl>
      <w:tblPr>
        <w:tblW w:w="6820" w:type="dxa"/>
        <w:jc w:val="center"/>
        <w:tblCellMar>
          <w:left w:w="70" w:type="dxa"/>
          <w:right w:w="70" w:type="dxa"/>
        </w:tblCellMar>
        <w:tblLook w:val="04A0" w:firstRow="1" w:lastRow="0" w:firstColumn="1" w:lastColumn="0" w:noHBand="0" w:noVBand="1"/>
      </w:tblPr>
      <w:tblGrid>
        <w:gridCol w:w="739"/>
        <w:gridCol w:w="4194"/>
        <w:gridCol w:w="951"/>
        <w:gridCol w:w="1020"/>
      </w:tblGrid>
      <w:tr w:rsidR="00265287" w:rsidRPr="00265287" w14:paraId="280AE5A1" w14:textId="77777777" w:rsidTr="00265287">
        <w:trPr>
          <w:trHeight w:val="885"/>
          <w:jc w:val="center"/>
        </w:trPr>
        <w:tc>
          <w:tcPr>
            <w:tcW w:w="6820" w:type="dxa"/>
            <w:gridSpan w:val="4"/>
            <w:vMerge w:val="restart"/>
            <w:tcBorders>
              <w:top w:val="single" w:sz="8" w:space="0" w:color="auto"/>
              <w:left w:val="nil"/>
              <w:bottom w:val="single" w:sz="8" w:space="0" w:color="000000"/>
              <w:right w:val="nil"/>
            </w:tcBorders>
            <w:shd w:val="clear" w:color="auto" w:fill="auto"/>
            <w:vAlign w:val="center"/>
            <w:hideMark/>
          </w:tcPr>
          <w:p w14:paraId="1F8AB9E9"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2. Mitä uskotte kyseisen verkkohuomion kertovan artikkelistanne ja sen yhteiskunnallisesta tai tieteellisestä vaikuttavuudesta?</w:t>
            </w:r>
          </w:p>
        </w:tc>
      </w:tr>
      <w:tr w:rsidR="00265287" w:rsidRPr="00265287" w14:paraId="49435E35" w14:textId="77777777" w:rsidTr="00265287">
        <w:trPr>
          <w:trHeight w:val="315"/>
          <w:jc w:val="center"/>
        </w:trPr>
        <w:tc>
          <w:tcPr>
            <w:tcW w:w="6820" w:type="dxa"/>
            <w:gridSpan w:val="4"/>
            <w:vMerge/>
            <w:tcBorders>
              <w:top w:val="single" w:sz="8" w:space="0" w:color="auto"/>
              <w:left w:val="nil"/>
              <w:bottom w:val="single" w:sz="8" w:space="0" w:color="000000"/>
              <w:right w:val="nil"/>
            </w:tcBorders>
            <w:vAlign w:val="center"/>
            <w:hideMark/>
          </w:tcPr>
          <w:p w14:paraId="45181DFD" w14:textId="77777777" w:rsidR="00265287" w:rsidRPr="00265287" w:rsidRDefault="00265287" w:rsidP="00265287">
            <w:pPr>
              <w:spacing w:after="0" w:line="240" w:lineRule="auto"/>
              <w:rPr>
                <w:rFonts w:eastAsia="Times New Roman" w:cs="Times New Roman"/>
                <w:color w:val="000000"/>
                <w:sz w:val="22"/>
                <w:lang w:val="fi-FI" w:eastAsia="fi-FI"/>
              </w:rPr>
            </w:pPr>
          </w:p>
        </w:tc>
      </w:tr>
      <w:tr w:rsidR="00265287" w:rsidRPr="00265287" w14:paraId="6C9CC7D3"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3881F54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Teema</w:t>
            </w:r>
          </w:p>
        </w:tc>
        <w:tc>
          <w:tcPr>
            <w:tcW w:w="4194" w:type="dxa"/>
            <w:tcBorders>
              <w:top w:val="nil"/>
              <w:left w:val="nil"/>
              <w:bottom w:val="nil"/>
              <w:right w:val="nil"/>
            </w:tcBorders>
            <w:shd w:val="clear" w:color="auto" w:fill="auto"/>
            <w:noWrap/>
            <w:vAlign w:val="center"/>
            <w:hideMark/>
          </w:tcPr>
          <w:p w14:paraId="6CABF02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Kategoria</w:t>
            </w:r>
          </w:p>
        </w:tc>
        <w:tc>
          <w:tcPr>
            <w:tcW w:w="951" w:type="dxa"/>
            <w:tcBorders>
              <w:top w:val="nil"/>
              <w:left w:val="nil"/>
              <w:bottom w:val="nil"/>
              <w:right w:val="nil"/>
            </w:tcBorders>
            <w:shd w:val="clear" w:color="auto" w:fill="auto"/>
            <w:noWrap/>
            <w:vAlign w:val="center"/>
            <w:hideMark/>
          </w:tcPr>
          <w:p w14:paraId="1B28BA99"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Twitter</w:t>
            </w:r>
          </w:p>
        </w:tc>
        <w:tc>
          <w:tcPr>
            <w:tcW w:w="990" w:type="dxa"/>
            <w:tcBorders>
              <w:top w:val="nil"/>
              <w:left w:val="nil"/>
              <w:bottom w:val="nil"/>
              <w:right w:val="nil"/>
            </w:tcBorders>
            <w:shd w:val="clear" w:color="auto" w:fill="auto"/>
            <w:noWrap/>
            <w:vAlign w:val="center"/>
            <w:hideMark/>
          </w:tcPr>
          <w:p w14:paraId="048B3C8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Mendeley</w:t>
            </w:r>
          </w:p>
        </w:tc>
      </w:tr>
      <w:tr w:rsidR="00265287" w:rsidRPr="00265287" w14:paraId="49351873"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55AAD4E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15B56C8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tieteellinen vaikuttavuus</w:t>
            </w:r>
          </w:p>
        </w:tc>
        <w:tc>
          <w:tcPr>
            <w:tcW w:w="951" w:type="dxa"/>
            <w:tcBorders>
              <w:top w:val="nil"/>
              <w:left w:val="nil"/>
              <w:bottom w:val="nil"/>
              <w:right w:val="nil"/>
            </w:tcBorders>
            <w:shd w:val="clear" w:color="auto" w:fill="auto"/>
            <w:noWrap/>
            <w:vAlign w:val="center"/>
            <w:hideMark/>
          </w:tcPr>
          <w:p w14:paraId="6C10E74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11</w:t>
            </w:r>
          </w:p>
        </w:tc>
        <w:tc>
          <w:tcPr>
            <w:tcW w:w="990" w:type="dxa"/>
            <w:tcBorders>
              <w:top w:val="nil"/>
              <w:left w:val="nil"/>
              <w:bottom w:val="nil"/>
              <w:right w:val="nil"/>
            </w:tcBorders>
            <w:shd w:val="clear" w:color="auto" w:fill="auto"/>
            <w:noWrap/>
            <w:vAlign w:val="center"/>
            <w:hideMark/>
          </w:tcPr>
          <w:p w14:paraId="5F8695F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21</w:t>
            </w:r>
          </w:p>
        </w:tc>
      </w:tr>
      <w:tr w:rsidR="00265287" w:rsidRPr="00265287" w14:paraId="59712732"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4F7D231"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0247502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siteerattu/viitattu</w:t>
            </w:r>
          </w:p>
        </w:tc>
        <w:tc>
          <w:tcPr>
            <w:tcW w:w="951" w:type="dxa"/>
            <w:tcBorders>
              <w:top w:val="nil"/>
              <w:left w:val="nil"/>
              <w:bottom w:val="nil"/>
              <w:right w:val="nil"/>
            </w:tcBorders>
            <w:shd w:val="clear" w:color="auto" w:fill="auto"/>
            <w:noWrap/>
            <w:vAlign w:val="center"/>
            <w:hideMark/>
          </w:tcPr>
          <w:p w14:paraId="04DBDF4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c>
          <w:tcPr>
            <w:tcW w:w="990" w:type="dxa"/>
            <w:tcBorders>
              <w:top w:val="nil"/>
              <w:left w:val="nil"/>
              <w:bottom w:val="nil"/>
              <w:right w:val="nil"/>
            </w:tcBorders>
            <w:shd w:val="clear" w:color="auto" w:fill="auto"/>
            <w:noWrap/>
            <w:vAlign w:val="center"/>
            <w:hideMark/>
          </w:tcPr>
          <w:p w14:paraId="0210CC1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13</w:t>
            </w:r>
          </w:p>
        </w:tc>
      </w:tr>
      <w:tr w:rsidR="00265287" w:rsidRPr="00265287" w14:paraId="6C0BE714"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64F993E0"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55AAF2E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käyttökelpoinen käytännön tutkimustyössä</w:t>
            </w:r>
          </w:p>
        </w:tc>
        <w:tc>
          <w:tcPr>
            <w:tcW w:w="951" w:type="dxa"/>
            <w:tcBorders>
              <w:top w:val="nil"/>
              <w:left w:val="nil"/>
              <w:bottom w:val="nil"/>
              <w:right w:val="nil"/>
            </w:tcBorders>
            <w:shd w:val="clear" w:color="auto" w:fill="auto"/>
            <w:noWrap/>
            <w:vAlign w:val="center"/>
            <w:hideMark/>
          </w:tcPr>
          <w:p w14:paraId="1A34A14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w:t>
            </w:r>
          </w:p>
        </w:tc>
        <w:tc>
          <w:tcPr>
            <w:tcW w:w="990" w:type="dxa"/>
            <w:tcBorders>
              <w:top w:val="nil"/>
              <w:left w:val="nil"/>
              <w:bottom w:val="nil"/>
              <w:right w:val="nil"/>
            </w:tcBorders>
            <w:shd w:val="clear" w:color="auto" w:fill="auto"/>
            <w:noWrap/>
            <w:vAlign w:val="center"/>
            <w:hideMark/>
          </w:tcPr>
          <w:p w14:paraId="701B8D6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11</w:t>
            </w:r>
          </w:p>
        </w:tc>
      </w:tr>
      <w:tr w:rsidR="00265287" w:rsidRPr="00265287" w14:paraId="2F7A1125"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FACDB7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456CE93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tiedeyhteisön kiinnostus</w:t>
            </w:r>
          </w:p>
        </w:tc>
        <w:tc>
          <w:tcPr>
            <w:tcW w:w="951" w:type="dxa"/>
            <w:tcBorders>
              <w:top w:val="nil"/>
              <w:left w:val="nil"/>
              <w:bottom w:val="nil"/>
              <w:right w:val="nil"/>
            </w:tcBorders>
            <w:shd w:val="clear" w:color="auto" w:fill="auto"/>
            <w:noWrap/>
            <w:vAlign w:val="center"/>
            <w:hideMark/>
          </w:tcPr>
          <w:p w14:paraId="7E3B62D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474B514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11</w:t>
            </w:r>
          </w:p>
        </w:tc>
      </w:tr>
      <w:tr w:rsidR="00265287" w:rsidRPr="00265287" w14:paraId="413DE4C8"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8F0980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4105FBDF"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ei yhteiskunnallista vaikuttavuutta</w:t>
            </w:r>
          </w:p>
        </w:tc>
        <w:tc>
          <w:tcPr>
            <w:tcW w:w="951" w:type="dxa"/>
            <w:tcBorders>
              <w:top w:val="nil"/>
              <w:left w:val="nil"/>
              <w:bottom w:val="nil"/>
              <w:right w:val="nil"/>
            </w:tcBorders>
            <w:shd w:val="clear" w:color="auto" w:fill="auto"/>
            <w:noWrap/>
            <w:vAlign w:val="center"/>
            <w:hideMark/>
          </w:tcPr>
          <w:p w14:paraId="1D9C691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990" w:type="dxa"/>
            <w:tcBorders>
              <w:top w:val="nil"/>
              <w:left w:val="nil"/>
              <w:bottom w:val="nil"/>
              <w:right w:val="nil"/>
            </w:tcBorders>
            <w:shd w:val="clear" w:color="auto" w:fill="auto"/>
            <w:noWrap/>
            <w:vAlign w:val="center"/>
            <w:hideMark/>
          </w:tcPr>
          <w:p w14:paraId="1477567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9</w:t>
            </w:r>
          </w:p>
        </w:tc>
      </w:tr>
      <w:tr w:rsidR="00265287" w:rsidRPr="00265287" w14:paraId="1BFB1941"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E7EB1A8"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5D72748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uusi tutkimustulos</w:t>
            </w:r>
          </w:p>
        </w:tc>
        <w:tc>
          <w:tcPr>
            <w:tcW w:w="951" w:type="dxa"/>
            <w:tcBorders>
              <w:top w:val="nil"/>
              <w:left w:val="nil"/>
              <w:bottom w:val="nil"/>
              <w:right w:val="nil"/>
            </w:tcBorders>
            <w:shd w:val="clear" w:color="auto" w:fill="auto"/>
            <w:noWrap/>
            <w:vAlign w:val="center"/>
            <w:hideMark/>
          </w:tcPr>
          <w:p w14:paraId="0AEDAB6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5AD4422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8</w:t>
            </w:r>
          </w:p>
        </w:tc>
      </w:tr>
      <w:tr w:rsidR="00265287" w:rsidRPr="00265287" w14:paraId="1C83B873"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B049DD8"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4B282908"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perustutkimus</w:t>
            </w:r>
          </w:p>
        </w:tc>
        <w:tc>
          <w:tcPr>
            <w:tcW w:w="951" w:type="dxa"/>
            <w:tcBorders>
              <w:top w:val="nil"/>
              <w:left w:val="nil"/>
              <w:bottom w:val="nil"/>
              <w:right w:val="nil"/>
            </w:tcBorders>
            <w:shd w:val="clear" w:color="auto" w:fill="auto"/>
            <w:noWrap/>
            <w:vAlign w:val="center"/>
            <w:hideMark/>
          </w:tcPr>
          <w:p w14:paraId="5EBAEF4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990" w:type="dxa"/>
            <w:tcBorders>
              <w:top w:val="nil"/>
              <w:left w:val="nil"/>
              <w:bottom w:val="nil"/>
              <w:right w:val="nil"/>
            </w:tcBorders>
            <w:shd w:val="clear" w:color="auto" w:fill="auto"/>
            <w:noWrap/>
            <w:vAlign w:val="center"/>
            <w:hideMark/>
          </w:tcPr>
          <w:p w14:paraId="447A225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r>
      <w:tr w:rsidR="00265287" w:rsidRPr="00265287" w14:paraId="195AA89D"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447D5A5"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52DBC17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poikkitieteellisyys</w:t>
            </w:r>
          </w:p>
        </w:tc>
        <w:tc>
          <w:tcPr>
            <w:tcW w:w="951" w:type="dxa"/>
            <w:tcBorders>
              <w:top w:val="nil"/>
              <w:left w:val="nil"/>
              <w:bottom w:val="nil"/>
              <w:right w:val="nil"/>
            </w:tcBorders>
            <w:shd w:val="clear" w:color="auto" w:fill="auto"/>
            <w:noWrap/>
            <w:vAlign w:val="center"/>
            <w:hideMark/>
          </w:tcPr>
          <w:p w14:paraId="539966E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3F0E0EC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r>
      <w:tr w:rsidR="00265287" w:rsidRPr="00265287" w14:paraId="41DD92B1"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46035638"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090F6B4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tutkimuksen hyvä laatu</w:t>
            </w:r>
          </w:p>
        </w:tc>
        <w:tc>
          <w:tcPr>
            <w:tcW w:w="951" w:type="dxa"/>
            <w:tcBorders>
              <w:top w:val="nil"/>
              <w:left w:val="nil"/>
              <w:bottom w:val="nil"/>
              <w:right w:val="nil"/>
            </w:tcBorders>
            <w:shd w:val="clear" w:color="auto" w:fill="auto"/>
            <w:noWrap/>
            <w:vAlign w:val="center"/>
            <w:hideMark/>
          </w:tcPr>
          <w:p w14:paraId="2F9245F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1993457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w:t>
            </w:r>
          </w:p>
        </w:tc>
      </w:tr>
      <w:tr w:rsidR="00265287" w:rsidRPr="00265287" w14:paraId="0CE3A7AD"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6C5178A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0C8F5FA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arvostetut tekijät</w:t>
            </w:r>
          </w:p>
        </w:tc>
        <w:tc>
          <w:tcPr>
            <w:tcW w:w="951" w:type="dxa"/>
            <w:tcBorders>
              <w:top w:val="nil"/>
              <w:left w:val="nil"/>
              <w:bottom w:val="nil"/>
              <w:right w:val="nil"/>
            </w:tcBorders>
            <w:shd w:val="clear" w:color="auto" w:fill="auto"/>
            <w:noWrap/>
            <w:vAlign w:val="center"/>
            <w:hideMark/>
          </w:tcPr>
          <w:p w14:paraId="7355B5E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3A3135A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r>
      <w:tr w:rsidR="00265287" w:rsidRPr="00265287" w14:paraId="440187FC"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4A45C2F"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007143B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arvostettu julkaisufoorumi</w:t>
            </w:r>
          </w:p>
        </w:tc>
        <w:tc>
          <w:tcPr>
            <w:tcW w:w="951" w:type="dxa"/>
            <w:tcBorders>
              <w:top w:val="nil"/>
              <w:left w:val="nil"/>
              <w:bottom w:val="nil"/>
              <w:right w:val="nil"/>
            </w:tcBorders>
            <w:shd w:val="clear" w:color="auto" w:fill="auto"/>
            <w:noWrap/>
            <w:vAlign w:val="center"/>
            <w:hideMark/>
          </w:tcPr>
          <w:p w14:paraId="1440097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77B709D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75B1A4FE"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9CAAEF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3FA7A44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odotettu tulos</w:t>
            </w:r>
          </w:p>
        </w:tc>
        <w:tc>
          <w:tcPr>
            <w:tcW w:w="951" w:type="dxa"/>
            <w:tcBorders>
              <w:top w:val="nil"/>
              <w:left w:val="nil"/>
              <w:bottom w:val="nil"/>
              <w:right w:val="nil"/>
            </w:tcBorders>
            <w:shd w:val="clear" w:color="auto" w:fill="auto"/>
            <w:noWrap/>
            <w:vAlign w:val="center"/>
            <w:hideMark/>
          </w:tcPr>
          <w:p w14:paraId="1D553FF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6A846F6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2F1C9EDA"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3B138C6D"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77FEF78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hyöty muiden julkaisujen löytämisessä</w:t>
            </w:r>
          </w:p>
        </w:tc>
        <w:tc>
          <w:tcPr>
            <w:tcW w:w="951" w:type="dxa"/>
            <w:tcBorders>
              <w:top w:val="nil"/>
              <w:left w:val="nil"/>
              <w:bottom w:val="nil"/>
              <w:right w:val="nil"/>
            </w:tcBorders>
            <w:shd w:val="clear" w:color="auto" w:fill="auto"/>
            <w:noWrap/>
            <w:vAlign w:val="center"/>
            <w:hideMark/>
          </w:tcPr>
          <w:p w14:paraId="0B69FBC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7BEC30E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r>
      <w:tr w:rsidR="00265287" w:rsidRPr="00265287" w14:paraId="5080AFA4"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806ECFB"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3CBE469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tulosten väärinymmärtäminen</w:t>
            </w:r>
          </w:p>
        </w:tc>
        <w:tc>
          <w:tcPr>
            <w:tcW w:w="951" w:type="dxa"/>
            <w:tcBorders>
              <w:top w:val="nil"/>
              <w:left w:val="nil"/>
              <w:bottom w:val="nil"/>
              <w:right w:val="nil"/>
            </w:tcBorders>
            <w:shd w:val="clear" w:color="auto" w:fill="auto"/>
            <w:noWrap/>
            <w:vAlign w:val="center"/>
            <w:hideMark/>
          </w:tcPr>
          <w:p w14:paraId="6AA67D1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101A000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58C89E52"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3DEF3E7"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4B3FD02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tieteellisesti hyvä tutkimus</w:t>
            </w:r>
          </w:p>
        </w:tc>
        <w:tc>
          <w:tcPr>
            <w:tcW w:w="951" w:type="dxa"/>
            <w:tcBorders>
              <w:top w:val="nil"/>
              <w:left w:val="nil"/>
              <w:bottom w:val="nil"/>
              <w:right w:val="nil"/>
            </w:tcBorders>
            <w:shd w:val="clear" w:color="auto" w:fill="auto"/>
            <w:noWrap/>
            <w:vAlign w:val="center"/>
            <w:hideMark/>
          </w:tcPr>
          <w:p w14:paraId="6A20CC3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c>
          <w:tcPr>
            <w:tcW w:w="990" w:type="dxa"/>
            <w:tcBorders>
              <w:top w:val="nil"/>
              <w:left w:val="nil"/>
              <w:bottom w:val="nil"/>
              <w:right w:val="nil"/>
            </w:tcBorders>
            <w:shd w:val="clear" w:color="auto" w:fill="auto"/>
            <w:noWrap/>
            <w:vAlign w:val="center"/>
            <w:hideMark/>
          </w:tcPr>
          <w:p w14:paraId="074763B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38C75A74"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236E96E4"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649F804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trendimäisyys</w:t>
            </w:r>
          </w:p>
        </w:tc>
        <w:tc>
          <w:tcPr>
            <w:tcW w:w="951" w:type="dxa"/>
            <w:tcBorders>
              <w:top w:val="nil"/>
              <w:left w:val="nil"/>
              <w:bottom w:val="nil"/>
              <w:right w:val="nil"/>
            </w:tcBorders>
            <w:shd w:val="clear" w:color="auto" w:fill="auto"/>
            <w:noWrap/>
            <w:vAlign w:val="center"/>
            <w:hideMark/>
          </w:tcPr>
          <w:p w14:paraId="5608AFE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990" w:type="dxa"/>
            <w:tcBorders>
              <w:top w:val="nil"/>
              <w:left w:val="nil"/>
              <w:bottom w:val="nil"/>
              <w:right w:val="nil"/>
            </w:tcBorders>
            <w:shd w:val="clear" w:color="auto" w:fill="auto"/>
            <w:noWrap/>
            <w:vAlign w:val="center"/>
            <w:hideMark/>
          </w:tcPr>
          <w:p w14:paraId="265227A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6372806F"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52E5DD7F"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A</w:t>
            </w:r>
          </w:p>
        </w:tc>
        <w:tc>
          <w:tcPr>
            <w:tcW w:w="4194" w:type="dxa"/>
            <w:tcBorders>
              <w:top w:val="nil"/>
              <w:left w:val="nil"/>
              <w:bottom w:val="nil"/>
              <w:right w:val="nil"/>
            </w:tcBorders>
            <w:shd w:val="clear" w:color="auto" w:fill="auto"/>
            <w:noWrap/>
            <w:vAlign w:val="center"/>
            <w:hideMark/>
          </w:tcPr>
          <w:p w14:paraId="576F244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vinoutunut</w:t>
            </w:r>
          </w:p>
        </w:tc>
        <w:tc>
          <w:tcPr>
            <w:tcW w:w="951" w:type="dxa"/>
            <w:tcBorders>
              <w:top w:val="nil"/>
              <w:left w:val="nil"/>
              <w:bottom w:val="nil"/>
              <w:right w:val="nil"/>
            </w:tcBorders>
            <w:shd w:val="clear" w:color="auto" w:fill="auto"/>
            <w:noWrap/>
            <w:vAlign w:val="center"/>
            <w:hideMark/>
          </w:tcPr>
          <w:p w14:paraId="5DD0B60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c>
          <w:tcPr>
            <w:tcW w:w="990" w:type="dxa"/>
            <w:tcBorders>
              <w:top w:val="nil"/>
              <w:left w:val="nil"/>
              <w:bottom w:val="nil"/>
              <w:right w:val="nil"/>
            </w:tcBorders>
            <w:shd w:val="clear" w:color="auto" w:fill="auto"/>
            <w:noWrap/>
            <w:vAlign w:val="center"/>
            <w:hideMark/>
          </w:tcPr>
          <w:p w14:paraId="2AE30CE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75D5D7A4"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3AB61AF6"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773513C6"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951" w:type="dxa"/>
            <w:tcBorders>
              <w:top w:val="nil"/>
              <w:left w:val="nil"/>
              <w:bottom w:val="nil"/>
              <w:right w:val="nil"/>
            </w:tcBorders>
            <w:shd w:val="clear" w:color="auto" w:fill="auto"/>
            <w:noWrap/>
            <w:vAlign w:val="center"/>
            <w:hideMark/>
          </w:tcPr>
          <w:p w14:paraId="4A448CE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41</w:t>
            </w:r>
          </w:p>
        </w:tc>
        <w:tc>
          <w:tcPr>
            <w:tcW w:w="990" w:type="dxa"/>
            <w:tcBorders>
              <w:top w:val="nil"/>
              <w:left w:val="nil"/>
              <w:bottom w:val="nil"/>
              <w:right w:val="nil"/>
            </w:tcBorders>
            <w:shd w:val="clear" w:color="auto" w:fill="auto"/>
            <w:noWrap/>
            <w:vAlign w:val="center"/>
            <w:hideMark/>
          </w:tcPr>
          <w:p w14:paraId="42DEBBC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102</w:t>
            </w:r>
          </w:p>
        </w:tc>
      </w:tr>
      <w:tr w:rsidR="00265287" w:rsidRPr="00265287" w14:paraId="4B2EFCC8" w14:textId="77777777" w:rsidTr="00265287">
        <w:trPr>
          <w:trHeight w:val="315"/>
          <w:jc w:val="center"/>
        </w:trPr>
        <w:tc>
          <w:tcPr>
            <w:tcW w:w="685" w:type="dxa"/>
            <w:tcBorders>
              <w:top w:val="nil"/>
              <w:left w:val="nil"/>
              <w:bottom w:val="single" w:sz="8" w:space="0" w:color="auto"/>
              <w:right w:val="nil"/>
            </w:tcBorders>
            <w:shd w:val="clear" w:color="auto" w:fill="auto"/>
            <w:noWrap/>
            <w:vAlign w:val="bottom"/>
            <w:hideMark/>
          </w:tcPr>
          <w:p w14:paraId="27BEAA70"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194" w:type="dxa"/>
            <w:tcBorders>
              <w:top w:val="nil"/>
              <w:left w:val="nil"/>
              <w:bottom w:val="single" w:sz="8" w:space="0" w:color="auto"/>
              <w:right w:val="nil"/>
            </w:tcBorders>
            <w:shd w:val="clear" w:color="auto" w:fill="auto"/>
            <w:noWrap/>
            <w:vAlign w:val="center"/>
            <w:hideMark/>
          </w:tcPr>
          <w:p w14:paraId="589D47E7"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951" w:type="dxa"/>
            <w:tcBorders>
              <w:top w:val="nil"/>
              <w:left w:val="nil"/>
              <w:bottom w:val="single" w:sz="8" w:space="0" w:color="auto"/>
              <w:right w:val="nil"/>
            </w:tcBorders>
            <w:shd w:val="clear" w:color="auto" w:fill="auto"/>
            <w:noWrap/>
            <w:vAlign w:val="center"/>
            <w:hideMark/>
          </w:tcPr>
          <w:p w14:paraId="24DC521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37,61 %</w:t>
            </w:r>
          </w:p>
        </w:tc>
        <w:tc>
          <w:tcPr>
            <w:tcW w:w="990" w:type="dxa"/>
            <w:tcBorders>
              <w:top w:val="nil"/>
              <w:left w:val="nil"/>
              <w:bottom w:val="single" w:sz="8" w:space="0" w:color="auto"/>
              <w:right w:val="nil"/>
            </w:tcBorders>
            <w:shd w:val="clear" w:color="auto" w:fill="auto"/>
            <w:noWrap/>
            <w:vAlign w:val="center"/>
            <w:hideMark/>
          </w:tcPr>
          <w:p w14:paraId="334723A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71,83 %</w:t>
            </w:r>
          </w:p>
        </w:tc>
      </w:tr>
      <w:tr w:rsidR="00265287" w:rsidRPr="00265287" w14:paraId="6728FE8E"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64A452F4"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bottom"/>
            <w:hideMark/>
          </w:tcPr>
          <w:p w14:paraId="0F0F53BA"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951" w:type="dxa"/>
            <w:tcBorders>
              <w:top w:val="nil"/>
              <w:left w:val="nil"/>
              <w:bottom w:val="nil"/>
              <w:right w:val="nil"/>
            </w:tcBorders>
            <w:shd w:val="clear" w:color="auto" w:fill="auto"/>
            <w:noWrap/>
            <w:vAlign w:val="bottom"/>
            <w:hideMark/>
          </w:tcPr>
          <w:p w14:paraId="5A0BCE6D"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990" w:type="dxa"/>
            <w:tcBorders>
              <w:top w:val="nil"/>
              <w:left w:val="nil"/>
              <w:bottom w:val="nil"/>
              <w:right w:val="nil"/>
            </w:tcBorders>
            <w:shd w:val="clear" w:color="auto" w:fill="auto"/>
            <w:noWrap/>
            <w:vAlign w:val="bottom"/>
            <w:hideMark/>
          </w:tcPr>
          <w:p w14:paraId="11FB0CDC"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r>
      <w:tr w:rsidR="00265287" w:rsidRPr="00265287" w14:paraId="0DF7DF7A" w14:textId="77777777" w:rsidTr="00265287">
        <w:trPr>
          <w:trHeight w:val="315"/>
          <w:jc w:val="center"/>
        </w:trPr>
        <w:tc>
          <w:tcPr>
            <w:tcW w:w="685" w:type="dxa"/>
            <w:tcBorders>
              <w:top w:val="nil"/>
              <w:left w:val="nil"/>
              <w:bottom w:val="nil"/>
              <w:right w:val="nil"/>
            </w:tcBorders>
            <w:shd w:val="clear" w:color="auto" w:fill="auto"/>
            <w:noWrap/>
            <w:vAlign w:val="bottom"/>
            <w:hideMark/>
          </w:tcPr>
          <w:p w14:paraId="2ABA74FD"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bottom"/>
            <w:hideMark/>
          </w:tcPr>
          <w:p w14:paraId="4E26DADC"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951" w:type="dxa"/>
            <w:tcBorders>
              <w:top w:val="nil"/>
              <w:left w:val="nil"/>
              <w:bottom w:val="nil"/>
              <w:right w:val="nil"/>
            </w:tcBorders>
            <w:shd w:val="clear" w:color="auto" w:fill="auto"/>
            <w:noWrap/>
            <w:vAlign w:val="bottom"/>
            <w:hideMark/>
          </w:tcPr>
          <w:p w14:paraId="43A718AA"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990" w:type="dxa"/>
            <w:tcBorders>
              <w:top w:val="nil"/>
              <w:left w:val="nil"/>
              <w:bottom w:val="nil"/>
              <w:right w:val="nil"/>
            </w:tcBorders>
            <w:shd w:val="clear" w:color="auto" w:fill="auto"/>
            <w:noWrap/>
            <w:vAlign w:val="bottom"/>
            <w:hideMark/>
          </w:tcPr>
          <w:p w14:paraId="7C6A1D6D"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r>
      <w:tr w:rsidR="00265287" w:rsidRPr="00265287" w14:paraId="5B621EF2"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9450EF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95C8DD8"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yhteiskunnallisesti vaikuttava</w:t>
            </w:r>
          </w:p>
        </w:tc>
        <w:tc>
          <w:tcPr>
            <w:tcW w:w="951" w:type="dxa"/>
            <w:tcBorders>
              <w:top w:val="nil"/>
              <w:left w:val="nil"/>
              <w:bottom w:val="nil"/>
              <w:right w:val="nil"/>
            </w:tcBorders>
            <w:shd w:val="clear" w:color="auto" w:fill="auto"/>
            <w:noWrap/>
            <w:vAlign w:val="center"/>
            <w:hideMark/>
          </w:tcPr>
          <w:p w14:paraId="1EBA8F6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15</w:t>
            </w:r>
          </w:p>
        </w:tc>
        <w:tc>
          <w:tcPr>
            <w:tcW w:w="990" w:type="dxa"/>
            <w:tcBorders>
              <w:top w:val="nil"/>
              <w:left w:val="nil"/>
              <w:bottom w:val="nil"/>
              <w:right w:val="nil"/>
            </w:tcBorders>
            <w:shd w:val="clear" w:color="auto" w:fill="auto"/>
            <w:noWrap/>
            <w:vAlign w:val="center"/>
            <w:hideMark/>
          </w:tcPr>
          <w:p w14:paraId="761D416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9</w:t>
            </w:r>
          </w:p>
        </w:tc>
      </w:tr>
      <w:tr w:rsidR="00265287" w:rsidRPr="00265287" w14:paraId="1BF13C58"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5E4A1BBB"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5C16AB66"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ajankohtainen</w:t>
            </w:r>
          </w:p>
        </w:tc>
        <w:tc>
          <w:tcPr>
            <w:tcW w:w="951" w:type="dxa"/>
            <w:tcBorders>
              <w:top w:val="nil"/>
              <w:left w:val="nil"/>
              <w:bottom w:val="nil"/>
              <w:right w:val="nil"/>
            </w:tcBorders>
            <w:shd w:val="clear" w:color="auto" w:fill="auto"/>
            <w:noWrap/>
            <w:vAlign w:val="center"/>
            <w:hideMark/>
          </w:tcPr>
          <w:p w14:paraId="6CBA596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4405574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r>
      <w:tr w:rsidR="00265287" w:rsidRPr="00265287" w14:paraId="70475A0B"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0A4CCBF"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1D4F6786"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kansantajuinen</w:t>
            </w:r>
          </w:p>
        </w:tc>
        <w:tc>
          <w:tcPr>
            <w:tcW w:w="951" w:type="dxa"/>
            <w:tcBorders>
              <w:top w:val="nil"/>
              <w:left w:val="nil"/>
              <w:bottom w:val="nil"/>
              <w:right w:val="nil"/>
            </w:tcBorders>
            <w:shd w:val="clear" w:color="auto" w:fill="auto"/>
            <w:noWrap/>
            <w:vAlign w:val="center"/>
            <w:hideMark/>
          </w:tcPr>
          <w:p w14:paraId="0A4332A2"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4EFA381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r>
      <w:tr w:rsidR="00265287" w:rsidRPr="00265287" w14:paraId="4E61B751"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C5649F5"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156046D9"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popularisoitavissa/henkilökohtainen aihe</w:t>
            </w:r>
          </w:p>
        </w:tc>
        <w:tc>
          <w:tcPr>
            <w:tcW w:w="951" w:type="dxa"/>
            <w:tcBorders>
              <w:top w:val="nil"/>
              <w:left w:val="nil"/>
              <w:bottom w:val="nil"/>
              <w:right w:val="nil"/>
            </w:tcBorders>
            <w:shd w:val="clear" w:color="auto" w:fill="auto"/>
            <w:noWrap/>
            <w:vAlign w:val="center"/>
            <w:hideMark/>
          </w:tcPr>
          <w:p w14:paraId="298ABCA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11</w:t>
            </w:r>
          </w:p>
        </w:tc>
        <w:tc>
          <w:tcPr>
            <w:tcW w:w="990" w:type="dxa"/>
            <w:tcBorders>
              <w:top w:val="nil"/>
              <w:left w:val="nil"/>
              <w:bottom w:val="nil"/>
              <w:right w:val="nil"/>
            </w:tcBorders>
            <w:shd w:val="clear" w:color="auto" w:fill="auto"/>
            <w:noWrap/>
            <w:vAlign w:val="center"/>
            <w:hideMark/>
          </w:tcPr>
          <w:p w14:paraId="4A738FD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3A617DF9"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5C28F92"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40A9227"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ei tieteellistä vaikuttavuutta</w:t>
            </w:r>
          </w:p>
        </w:tc>
        <w:tc>
          <w:tcPr>
            <w:tcW w:w="951" w:type="dxa"/>
            <w:tcBorders>
              <w:top w:val="nil"/>
              <w:left w:val="nil"/>
              <w:bottom w:val="nil"/>
              <w:right w:val="nil"/>
            </w:tcBorders>
            <w:shd w:val="clear" w:color="auto" w:fill="auto"/>
            <w:noWrap/>
            <w:vAlign w:val="center"/>
            <w:hideMark/>
          </w:tcPr>
          <w:p w14:paraId="0495D24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990" w:type="dxa"/>
            <w:tcBorders>
              <w:top w:val="nil"/>
              <w:left w:val="nil"/>
              <w:bottom w:val="nil"/>
              <w:right w:val="nil"/>
            </w:tcBorders>
            <w:shd w:val="clear" w:color="auto" w:fill="auto"/>
            <w:noWrap/>
            <w:vAlign w:val="center"/>
            <w:hideMark/>
          </w:tcPr>
          <w:p w14:paraId="02B023F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4BF103FB"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492A83DD"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7F118DEC"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median rooli</w:t>
            </w:r>
          </w:p>
        </w:tc>
        <w:tc>
          <w:tcPr>
            <w:tcW w:w="951" w:type="dxa"/>
            <w:tcBorders>
              <w:top w:val="nil"/>
              <w:left w:val="nil"/>
              <w:bottom w:val="nil"/>
              <w:right w:val="nil"/>
            </w:tcBorders>
            <w:shd w:val="clear" w:color="auto" w:fill="auto"/>
            <w:noWrap/>
            <w:vAlign w:val="center"/>
            <w:hideMark/>
          </w:tcPr>
          <w:p w14:paraId="5F7E925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15C1EEC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452A6AC9"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83291E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4714C720"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poliittinen tilaus</w:t>
            </w:r>
          </w:p>
        </w:tc>
        <w:tc>
          <w:tcPr>
            <w:tcW w:w="951" w:type="dxa"/>
            <w:tcBorders>
              <w:top w:val="nil"/>
              <w:left w:val="nil"/>
              <w:bottom w:val="nil"/>
              <w:right w:val="nil"/>
            </w:tcBorders>
            <w:shd w:val="clear" w:color="auto" w:fill="auto"/>
            <w:noWrap/>
            <w:vAlign w:val="center"/>
            <w:hideMark/>
          </w:tcPr>
          <w:p w14:paraId="0327FFE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3090FC4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r>
      <w:tr w:rsidR="00265287" w:rsidRPr="00265287" w14:paraId="136B0C9D"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74F86B3"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10EF472A"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monialainen kiinnostus</w:t>
            </w:r>
          </w:p>
        </w:tc>
        <w:tc>
          <w:tcPr>
            <w:tcW w:w="951" w:type="dxa"/>
            <w:tcBorders>
              <w:top w:val="nil"/>
              <w:left w:val="nil"/>
              <w:bottom w:val="nil"/>
              <w:right w:val="nil"/>
            </w:tcBorders>
            <w:shd w:val="clear" w:color="auto" w:fill="auto"/>
            <w:noWrap/>
            <w:vAlign w:val="center"/>
            <w:hideMark/>
          </w:tcPr>
          <w:p w14:paraId="4689CA5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w:t>
            </w:r>
          </w:p>
        </w:tc>
        <w:tc>
          <w:tcPr>
            <w:tcW w:w="990" w:type="dxa"/>
            <w:tcBorders>
              <w:top w:val="nil"/>
              <w:left w:val="nil"/>
              <w:bottom w:val="nil"/>
              <w:right w:val="nil"/>
            </w:tcBorders>
            <w:shd w:val="clear" w:color="auto" w:fill="auto"/>
            <w:noWrap/>
            <w:vAlign w:val="center"/>
            <w:hideMark/>
          </w:tcPr>
          <w:p w14:paraId="2F2401E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r>
      <w:tr w:rsidR="00265287" w:rsidRPr="00265287" w14:paraId="7AFC2549"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CCF8DE6"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11836023"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otsikko</w:t>
            </w:r>
          </w:p>
        </w:tc>
        <w:tc>
          <w:tcPr>
            <w:tcW w:w="951" w:type="dxa"/>
            <w:tcBorders>
              <w:top w:val="nil"/>
              <w:left w:val="nil"/>
              <w:bottom w:val="nil"/>
              <w:right w:val="nil"/>
            </w:tcBorders>
            <w:shd w:val="clear" w:color="auto" w:fill="auto"/>
            <w:noWrap/>
            <w:vAlign w:val="center"/>
            <w:hideMark/>
          </w:tcPr>
          <w:p w14:paraId="780BDF4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7A827CD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r>
      <w:tr w:rsidR="00265287" w:rsidRPr="00265287" w14:paraId="6C502A85"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362F51FD"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5069231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ratkaisu yleiseen ongelmaan</w:t>
            </w:r>
          </w:p>
        </w:tc>
        <w:tc>
          <w:tcPr>
            <w:tcW w:w="951" w:type="dxa"/>
            <w:tcBorders>
              <w:top w:val="nil"/>
              <w:left w:val="nil"/>
              <w:bottom w:val="nil"/>
              <w:right w:val="nil"/>
            </w:tcBorders>
            <w:shd w:val="clear" w:color="auto" w:fill="auto"/>
            <w:noWrap/>
            <w:vAlign w:val="center"/>
            <w:hideMark/>
          </w:tcPr>
          <w:p w14:paraId="6C74DEF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990" w:type="dxa"/>
            <w:tcBorders>
              <w:top w:val="nil"/>
              <w:left w:val="nil"/>
              <w:bottom w:val="nil"/>
              <w:right w:val="nil"/>
            </w:tcBorders>
            <w:shd w:val="clear" w:color="auto" w:fill="auto"/>
            <w:noWrap/>
            <w:vAlign w:val="center"/>
            <w:hideMark/>
          </w:tcPr>
          <w:p w14:paraId="5A9A4B8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6A6F50E0"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5A7C1E29"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69DEFAC"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mainostettu</w:t>
            </w:r>
          </w:p>
        </w:tc>
        <w:tc>
          <w:tcPr>
            <w:tcW w:w="951" w:type="dxa"/>
            <w:tcBorders>
              <w:top w:val="nil"/>
              <w:left w:val="nil"/>
              <w:bottom w:val="nil"/>
              <w:right w:val="nil"/>
            </w:tcBorders>
            <w:shd w:val="clear" w:color="auto" w:fill="auto"/>
            <w:noWrap/>
            <w:vAlign w:val="center"/>
            <w:hideMark/>
          </w:tcPr>
          <w:p w14:paraId="54007F16"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3218548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5EAD4D24"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4B7E840E"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4F9CEF6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mielenkiintoinen</w:t>
            </w:r>
          </w:p>
        </w:tc>
        <w:tc>
          <w:tcPr>
            <w:tcW w:w="951" w:type="dxa"/>
            <w:tcBorders>
              <w:top w:val="nil"/>
              <w:left w:val="nil"/>
              <w:bottom w:val="nil"/>
              <w:right w:val="nil"/>
            </w:tcBorders>
            <w:shd w:val="clear" w:color="auto" w:fill="auto"/>
            <w:noWrap/>
            <w:vAlign w:val="center"/>
            <w:hideMark/>
          </w:tcPr>
          <w:p w14:paraId="5298B52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476A939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1EF666A2"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397541E2"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26D52D7"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visuaalinen</w:t>
            </w:r>
          </w:p>
        </w:tc>
        <w:tc>
          <w:tcPr>
            <w:tcW w:w="951" w:type="dxa"/>
            <w:tcBorders>
              <w:top w:val="nil"/>
              <w:left w:val="nil"/>
              <w:bottom w:val="nil"/>
              <w:right w:val="nil"/>
            </w:tcBorders>
            <w:shd w:val="clear" w:color="auto" w:fill="auto"/>
            <w:noWrap/>
            <w:vAlign w:val="center"/>
            <w:hideMark/>
          </w:tcPr>
          <w:p w14:paraId="170FF6D9"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c>
          <w:tcPr>
            <w:tcW w:w="990" w:type="dxa"/>
            <w:tcBorders>
              <w:top w:val="nil"/>
              <w:left w:val="nil"/>
              <w:bottom w:val="nil"/>
              <w:right w:val="nil"/>
            </w:tcBorders>
            <w:shd w:val="clear" w:color="auto" w:fill="auto"/>
            <w:noWrap/>
            <w:vAlign w:val="center"/>
            <w:hideMark/>
          </w:tcPr>
          <w:p w14:paraId="5A7D9628"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r>
      <w:tr w:rsidR="00265287" w:rsidRPr="00265287" w14:paraId="211865A7"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6DCC101E"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489342B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lisää näkyvyyttä, ei vaikuttavuutta</w:t>
            </w:r>
          </w:p>
        </w:tc>
        <w:tc>
          <w:tcPr>
            <w:tcW w:w="951" w:type="dxa"/>
            <w:tcBorders>
              <w:top w:val="nil"/>
              <w:left w:val="nil"/>
              <w:bottom w:val="nil"/>
              <w:right w:val="nil"/>
            </w:tcBorders>
            <w:shd w:val="clear" w:color="auto" w:fill="auto"/>
            <w:noWrap/>
            <w:vAlign w:val="center"/>
            <w:hideMark/>
          </w:tcPr>
          <w:p w14:paraId="54741F7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990" w:type="dxa"/>
            <w:tcBorders>
              <w:top w:val="nil"/>
              <w:left w:val="nil"/>
              <w:bottom w:val="nil"/>
              <w:right w:val="nil"/>
            </w:tcBorders>
            <w:shd w:val="clear" w:color="auto" w:fill="auto"/>
            <w:noWrap/>
            <w:vAlign w:val="center"/>
            <w:hideMark/>
          </w:tcPr>
          <w:p w14:paraId="05E79A5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4F975735" w14:textId="77777777" w:rsidTr="00265287">
        <w:trPr>
          <w:trHeight w:val="315"/>
          <w:jc w:val="center"/>
        </w:trPr>
        <w:tc>
          <w:tcPr>
            <w:tcW w:w="685" w:type="dxa"/>
            <w:tcBorders>
              <w:top w:val="nil"/>
              <w:left w:val="nil"/>
              <w:bottom w:val="nil"/>
              <w:right w:val="nil"/>
            </w:tcBorders>
            <w:shd w:val="clear" w:color="auto" w:fill="auto"/>
            <w:noWrap/>
            <w:vAlign w:val="center"/>
            <w:hideMark/>
          </w:tcPr>
          <w:p w14:paraId="4000890A"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F96288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vaikutus yhteiskunnalliseen keskusteluun</w:t>
            </w:r>
          </w:p>
        </w:tc>
        <w:tc>
          <w:tcPr>
            <w:tcW w:w="951" w:type="dxa"/>
            <w:tcBorders>
              <w:top w:val="nil"/>
              <w:left w:val="nil"/>
              <w:bottom w:val="nil"/>
              <w:right w:val="nil"/>
            </w:tcBorders>
            <w:shd w:val="clear" w:color="auto" w:fill="auto"/>
            <w:noWrap/>
            <w:vAlign w:val="center"/>
            <w:hideMark/>
          </w:tcPr>
          <w:p w14:paraId="6E9D084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7</w:t>
            </w:r>
          </w:p>
        </w:tc>
        <w:tc>
          <w:tcPr>
            <w:tcW w:w="990" w:type="dxa"/>
            <w:tcBorders>
              <w:top w:val="nil"/>
              <w:left w:val="nil"/>
              <w:bottom w:val="nil"/>
              <w:right w:val="nil"/>
            </w:tcBorders>
            <w:shd w:val="clear" w:color="auto" w:fill="auto"/>
            <w:noWrap/>
            <w:vAlign w:val="center"/>
            <w:hideMark/>
          </w:tcPr>
          <w:p w14:paraId="19543C3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7B87FC3A"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7BF979CC"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2CC2766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yleinen vaikuttavuus</w:t>
            </w:r>
          </w:p>
        </w:tc>
        <w:tc>
          <w:tcPr>
            <w:tcW w:w="951" w:type="dxa"/>
            <w:tcBorders>
              <w:top w:val="nil"/>
              <w:left w:val="nil"/>
              <w:bottom w:val="nil"/>
              <w:right w:val="nil"/>
            </w:tcBorders>
            <w:shd w:val="clear" w:color="auto" w:fill="auto"/>
            <w:noWrap/>
            <w:vAlign w:val="center"/>
            <w:hideMark/>
          </w:tcPr>
          <w:p w14:paraId="3B44370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w:t>
            </w:r>
          </w:p>
        </w:tc>
        <w:tc>
          <w:tcPr>
            <w:tcW w:w="990" w:type="dxa"/>
            <w:tcBorders>
              <w:top w:val="nil"/>
              <w:left w:val="nil"/>
              <w:bottom w:val="nil"/>
              <w:right w:val="nil"/>
            </w:tcBorders>
            <w:shd w:val="clear" w:color="auto" w:fill="auto"/>
            <w:noWrap/>
            <w:vAlign w:val="center"/>
            <w:hideMark/>
          </w:tcPr>
          <w:p w14:paraId="43003F4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3A6A2C5A" w14:textId="77777777" w:rsidTr="00265287">
        <w:trPr>
          <w:trHeight w:val="315"/>
          <w:jc w:val="center"/>
        </w:trPr>
        <w:tc>
          <w:tcPr>
            <w:tcW w:w="685" w:type="dxa"/>
            <w:tcBorders>
              <w:top w:val="nil"/>
              <w:left w:val="nil"/>
              <w:bottom w:val="nil"/>
              <w:right w:val="nil"/>
            </w:tcBorders>
            <w:shd w:val="clear" w:color="auto" w:fill="auto"/>
            <w:noWrap/>
            <w:vAlign w:val="center"/>
            <w:hideMark/>
          </w:tcPr>
          <w:p w14:paraId="2AE425D2"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0D8BC095"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tiedon leviäminen</w:t>
            </w:r>
          </w:p>
        </w:tc>
        <w:tc>
          <w:tcPr>
            <w:tcW w:w="951" w:type="dxa"/>
            <w:tcBorders>
              <w:top w:val="nil"/>
              <w:left w:val="nil"/>
              <w:bottom w:val="nil"/>
              <w:right w:val="nil"/>
            </w:tcBorders>
            <w:shd w:val="clear" w:color="auto" w:fill="auto"/>
            <w:noWrap/>
            <w:vAlign w:val="center"/>
            <w:hideMark/>
          </w:tcPr>
          <w:p w14:paraId="4567DF0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990" w:type="dxa"/>
            <w:tcBorders>
              <w:top w:val="nil"/>
              <w:left w:val="nil"/>
              <w:bottom w:val="nil"/>
              <w:right w:val="nil"/>
            </w:tcBorders>
            <w:shd w:val="clear" w:color="auto" w:fill="auto"/>
            <w:noWrap/>
            <w:vAlign w:val="center"/>
            <w:hideMark/>
          </w:tcPr>
          <w:p w14:paraId="3CE50E80"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78B9AEEB"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16344919"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6EE4F3BC"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aiheen jännittävyys</w:t>
            </w:r>
          </w:p>
        </w:tc>
        <w:tc>
          <w:tcPr>
            <w:tcW w:w="951" w:type="dxa"/>
            <w:tcBorders>
              <w:top w:val="nil"/>
              <w:left w:val="nil"/>
              <w:bottom w:val="nil"/>
              <w:right w:val="nil"/>
            </w:tcBorders>
            <w:shd w:val="clear" w:color="auto" w:fill="auto"/>
            <w:noWrap/>
            <w:vAlign w:val="center"/>
            <w:hideMark/>
          </w:tcPr>
          <w:p w14:paraId="6067613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w:t>
            </w:r>
          </w:p>
        </w:tc>
        <w:tc>
          <w:tcPr>
            <w:tcW w:w="990" w:type="dxa"/>
            <w:tcBorders>
              <w:top w:val="nil"/>
              <w:left w:val="nil"/>
              <w:bottom w:val="nil"/>
              <w:right w:val="nil"/>
            </w:tcBorders>
            <w:shd w:val="clear" w:color="auto" w:fill="auto"/>
            <w:noWrap/>
            <w:vAlign w:val="center"/>
            <w:hideMark/>
          </w:tcPr>
          <w:p w14:paraId="790966C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62816606" w14:textId="77777777" w:rsidTr="00265287">
        <w:trPr>
          <w:trHeight w:val="300"/>
          <w:jc w:val="center"/>
        </w:trPr>
        <w:tc>
          <w:tcPr>
            <w:tcW w:w="685" w:type="dxa"/>
            <w:tcBorders>
              <w:top w:val="nil"/>
              <w:left w:val="nil"/>
              <w:bottom w:val="nil"/>
              <w:right w:val="nil"/>
            </w:tcBorders>
            <w:shd w:val="clear" w:color="auto" w:fill="auto"/>
            <w:noWrap/>
            <w:vAlign w:val="center"/>
            <w:hideMark/>
          </w:tcPr>
          <w:p w14:paraId="06787585" w14:textId="77777777" w:rsidR="00265287" w:rsidRPr="00265287" w:rsidRDefault="00265287" w:rsidP="00265287">
            <w:pPr>
              <w:spacing w:after="0" w:line="240" w:lineRule="auto"/>
              <w:jc w:val="center"/>
              <w:rPr>
                <w:rFonts w:eastAsia="Times New Roman" w:cs="Times New Roman"/>
                <w:color w:val="000000"/>
                <w:sz w:val="22"/>
                <w:lang w:val="fi-FI" w:eastAsia="fi-FI"/>
              </w:rPr>
            </w:pPr>
            <w:r w:rsidRPr="00265287">
              <w:rPr>
                <w:rFonts w:eastAsia="Times New Roman" w:cs="Times New Roman"/>
                <w:color w:val="000000"/>
                <w:sz w:val="22"/>
                <w:lang w:val="fi-FI" w:eastAsia="fi-FI"/>
              </w:rPr>
              <w:t>L</w:t>
            </w:r>
          </w:p>
        </w:tc>
        <w:tc>
          <w:tcPr>
            <w:tcW w:w="4194" w:type="dxa"/>
            <w:tcBorders>
              <w:top w:val="nil"/>
              <w:left w:val="nil"/>
              <w:bottom w:val="nil"/>
              <w:right w:val="nil"/>
            </w:tcBorders>
            <w:shd w:val="clear" w:color="auto" w:fill="auto"/>
            <w:noWrap/>
            <w:vAlign w:val="center"/>
            <w:hideMark/>
          </w:tcPr>
          <w:p w14:paraId="5641247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pintahörinää</w:t>
            </w:r>
          </w:p>
        </w:tc>
        <w:tc>
          <w:tcPr>
            <w:tcW w:w="951" w:type="dxa"/>
            <w:tcBorders>
              <w:top w:val="nil"/>
              <w:left w:val="nil"/>
              <w:bottom w:val="nil"/>
              <w:right w:val="nil"/>
            </w:tcBorders>
            <w:shd w:val="clear" w:color="auto" w:fill="auto"/>
            <w:noWrap/>
            <w:vAlign w:val="center"/>
            <w:hideMark/>
          </w:tcPr>
          <w:p w14:paraId="1C1FD493"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w:t>
            </w:r>
          </w:p>
        </w:tc>
        <w:tc>
          <w:tcPr>
            <w:tcW w:w="990" w:type="dxa"/>
            <w:tcBorders>
              <w:top w:val="nil"/>
              <w:left w:val="nil"/>
              <w:bottom w:val="nil"/>
              <w:right w:val="nil"/>
            </w:tcBorders>
            <w:shd w:val="clear" w:color="auto" w:fill="auto"/>
            <w:noWrap/>
            <w:vAlign w:val="center"/>
            <w:hideMark/>
          </w:tcPr>
          <w:p w14:paraId="0C2AD6D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67EE8D97"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1933E58D"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76F9FEE0"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951" w:type="dxa"/>
            <w:tcBorders>
              <w:top w:val="nil"/>
              <w:left w:val="nil"/>
              <w:bottom w:val="nil"/>
              <w:right w:val="nil"/>
            </w:tcBorders>
            <w:shd w:val="clear" w:color="auto" w:fill="auto"/>
            <w:noWrap/>
            <w:vAlign w:val="center"/>
            <w:hideMark/>
          </w:tcPr>
          <w:p w14:paraId="6FB3E17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65</w:t>
            </w:r>
          </w:p>
        </w:tc>
        <w:tc>
          <w:tcPr>
            <w:tcW w:w="990" w:type="dxa"/>
            <w:tcBorders>
              <w:top w:val="nil"/>
              <w:left w:val="nil"/>
              <w:bottom w:val="nil"/>
              <w:right w:val="nil"/>
            </w:tcBorders>
            <w:shd w:val="clear" w:color="auto" w:fill="auto"/>
            <w:noWrap/>
            <w:vAlign w:val="center"/>
            <w:hideMark/>
          </w:tcPr>
          <w:p w14:paraId="62DD8971"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40</w:t>
            </w:r>
          </w:p>
        </w:tc>
      </w:tr>
      <w:tr w:rsidR="00265287" w:rsidRPr="00265287" w14:paraId="78C7B574" w14:textId="77777777" w:rsidTr="00265287">
        <w:trPr>
          <w:trHeight w:val="315"/>
          <w:jc w:val="center"/>
        </w:trPr>
        <w:tc>
          <w:tcPr>
            <w:tcW w:w="685" w:type="dxa"/>
            <w:tcBorders>
              <w:top w:val="nil"/>
              <w:left w:val="nil"/>
              <w:bottom w:val="single" w:sz="8" w:space="0" w:color="auto"/>
              <w:right w:val="nil"/>
            </w:tcBorders>
            <w:shd w:val="clear" w:color="auto" w:fill="auto"/>
            <w:noWrap/>
            <w:vAlign w:val="bottom"/>
            <w:hideMark/>
          </w:tcPr>
          <w:p w14:paraId="45BAB604"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194" w:type="dxa"/>
            <w:tcBorders>
              <w:top w:val="nil"/>
              <w:left w:val="nil"/>
              <w:bottom w:val="single" w:sz="8" w:space="0" w:color="auto"/>
              <w:right w:val="nil"/>
            </w:tcBorders>
            <w:shd w:val="clear" w:color="auto" w:fill="auto"/>
            <w:noWrap/>
            <w:vAlign w:val="center"/>
            <w:hideMark/>
          </w:tcPr>
          <w:p w14:paraId="26E5A154"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951" w:type="dxa"/>
            <w:tcBorders>
              <w:top w:val="nil"/>
              <w:left w:val="nil"/>
              <w:bottom w:val="single" w:sz="8" w:space="0" w:color="auto"/>
              <w:right w:val="nil"/>
            </w:tcBorders>
            <w:shd w:val="clear" w:color="auto" w:fill="auto"/>
            <w:noWrap/>
            <w:vAlign w:val="center"/>
            <w:hideMark/>
          </w:tcPr>
          <w:p w14:paraId="526AE03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59,63 %</w:t>
            </w:r>
          </w:p>
        </w:tc>
        <w:tc>
          <w:tcPr>
            <w:tcW w:w="990" w:type="dxa"/>
            <w:tcBorders>
              <w:top w:val="nil"/>
              <w:left w:val="nil"/>
              <w:bottom w:val="single" w:sz="8" w:space="0" w:color="auto"/>
              <w:right w:val="nil"/>
            </w:tcBorders>
            <w:shd w:val="clear" w:color="auto" w:fill="auto"/>
            <w:noWrap/>
            <w:vAlign w:val="center"/>
            <w:hideMark/>
          </w:tcPr>
          <w:p w14:paraId="6929845C"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28,17 %</w:t>
            </w:r>
          </w:p>
        </w:tc>
      </w:tr>
      <w:tr w:rsidR="00265287" w:rsidRPr="00265287" w14:paraId="1009D589"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208922E5"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480C797E"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ei kerro vaikuttavuudesta ollenkaan</w:t>
            </w:r>
          </w:p>
        </w:tc>
        <w:tc>
          <w:tcPr>
            <w:tcW w:w="951" w:type="dxa"/>
            <w:tcBorders>
              <w:top w:val="nil"/>
              <w:left w:val="nil"/>
              <w:bottom w:val="nil"/>
              <w:right w:val="nil"/>
            </w:tcBorders>
            <w:shd w:val="clear" w:color="auto" w:fill="auto"/>
            <w:noWrap/>
            <w:vAlign w:val="center"/>
            <w:hideMark/>
          </w:tcPr>
          <w:p w14:paraId="219DA97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990" w:type="dxa"/>
            <w:tcBorders>
              <w:top w:val="nil"/>
              <w:left w:val="nil"/>
              <w:bottom w:val="nil"/>
              <w:right w:val="nil"/>
            </w:tcBorders>
            <w:shd w:val="clear" w:color="auto" w:fill="auto"/>
            <w:noWrap/>
            <w:vAlign w:val="center"/>
            <w:hideMark/>
          </w:tcPr>
          <w:p w14:paraId="387C34FE"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5E0EF197" w14:textId="77777777" w:rsidTr="00265287">
        <w:trPr>
          <w:trHeight w:val="315"/>
          <w:jc w:val="center"/>
        </w:trPr>
        <w:tc>
          <w:tcPr>
            <w:tcW w:w="685" w:type="dxa"/>
            <w:tcBorders>
              <w:top w:val="nil"/>
              <w:left w:val="nil"/>
              <w:bottom w:val="nil"/>
              <w:right w:val="nil"/>
            </w:tcBorders>
            <w:shd w:val="clear" w:color="auto" w:fill="auto"/>
            <w:noWrap/>
            <w:vAlign w:val="bottom"/>
            <w:hideMark/>
          </w:tcPr>
          <w:p w14:paraId="64519367"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2890BDD2"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Yhteensä</w:t>
            </w:r>
          </w:p>
        </w:tc>
        <w:tc>
          <w:tcPr>
            <w:tcW w:w="951" w:type="dxa"/>
            <w:tcBorders>
              <w:top w:val="nil"/>
              <w:left w:val="nil"/>
              <w:bottom w:val="nil"/>
              <w:right w:val="nil"/>
            </w:tcBorders>
            <w:shd w:val="clear" w:color="auto" w:fill="auto"/>
            <w:noWrap/>
            <w:vAlign w:val="center"/>
            <w:hideMark/>
          </w:tcPr>
          <w:p w14:paraId="53CEEE3D"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3</w:t>
            </w:r>
          </w:p>
        </w:tc>
        <w:tc>
          <w:tcPr>
            <w:tcW w:w="990" w:type="dxa"/>
            <w:tcBorders>
              <w:top w:val="nil"/>
              <w:left w:val="nil"/>
              <w:bottom w:val="nil"/>
              <w:right w:val="nil"/>
            </w:tcBorders>
            <w:shd w:val="clear" w:color="auto" w:fill="auto"/>
            <w:noWrap/>
            <w:vAlign w:val="center"/>
            <w:hideMark/>
          </w:tcPr>
          <w:p w14:paraId="449688E7"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72AB1119"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7E57085E"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6BE8E82B"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951" w:type="dxa"/>
            <w:tcBorders>
              <w:top w:val="nil"/>
              <w:left w:val="nil"/>
              <w:bottom w:val="nil"/>
              <w:right w:val="nil"/>
            </w:tcBorders>
            <w:shd w:val="clear" w:color="auto" w:fill="auto"/>
            <w:noWrap/>
            <w:vAlign w:val="center"/>
            <w:hideMark/>
          </w:tcPr>
          <w:p w14:paraId="611FBAB9"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2,75 %</w:t>
            </w:r>
          </w:p>
        </w:tc>
        <w:tc>
          <w:tcPr>
            <w:tcW w:w="990" w:type="dxa"/>
            <w:tcBorders>
              <w:top w:val="nil"/>
              <w:left w:val="nil"/>
              <w:bottom w:val="nil"/>
              <w:right w:val="nil"/>
            </w:tcBorders>
            <w:shd w:val="clear" w:color="auto" w:fill="auto"/>
            <w:noWrap/>
            <w:vAlign w:val="center"/>
            <w:hideMark/>
          </w:tcPr>
          <w:p w14:paraId="194B23DA"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0</w:t>
            </w:r>
          </w:p>
        </w:tc>
      </w:tr>
      <w:tr w:rsidR="00265287" w:rsidRPr="00265287" w14:paraId="537FB426" w14:textId="77777777" w:rsidTr="00265287">
        <w:trPr>
          <w:trHeight w:val="315"/>
          <w:jc w:val="center"/>
        </w:trPr>
        <w:tc>
          <w:tcPr>
            <w:tcW w:w="685" w:type="dxa"/>
            <w:tcBorders>
              <w:top w:val="nil"/>
              <w:left w:val="nil"/>
              <w:bottom w:val="single" w:sz="8" w:space="0" w:color="auto"/>
              <w:right w:val="nil"/>
            </w:tcBorders>
            <w:shd w:val="clear" w:color="auto" w:fill="auto"/>
            <w:noWrap/>
            <w:vAlign w:val="bottom"/>
            <w:hideMark/>
          </w:tcPr>
          <w:p w14:paraId="27BBE10C"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194" w:type="dxa"/>
            <w:tcBorders>
              <w:top w:val="nil"/>
              <w:left w:val="nil"/>
              <w:bottom w:val="single" w:sz="8" w:space="0" w:color="auto"/>
              <w:right w:val="nil"/>
            </w:tcBorders>
            <w:shd w:val="clear" w:color="auto" w:fill="auto"/>
            <w:noWrap/>
            <w:vAlign w:val="bottom"/>
            <w:hideMark/>
          </w:tcPr>
          <w:p w14:paraId="6DB551AA"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951" w:type="dxa"/>
            <w:tcBorders>
              <w:top w:val="nil"/>
              <w:left w:val="nil"/>
              <w:bottom w:val="single" w:sz="8" w:space="0" w:color="auto"/>
              <w:right w:val="nil"/>
            </w:tcBorders>
            <w:shd w:val="clear" w:color="auto" w:fill="auto"/>
            <w:noWrap/>
            <w:vAlign w:val="bottom"/>
            <w:hideMark/>
          </w:tcPr>
          <w:p w14:paraId="600ACB76"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990" w:type="dxa"/>
            <w:tcBorders>
              <w:top w:val="nil"/>
              <w:left w:val="nil"/>
              <w:bottom w:val="single" w:sz="8" w:space="0" w:color="auto"/>
              <w:right w:val="nil"/>
            </w:tcBorders>
            <w:shd w:val="clear" w:color="auto" w:fill="auto"/>
            <w:noWrap/>
            <w:vAlign w:val="bottom"/>
            <w:hideMark/>
          </w:tcPr>
          <w:p w14:paraId="192C4C81"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r>
      <w:tr w:rsidR="00265287" w:rsidRPr="00265287" w14:paraId="5DA222CE" w14:textId="77777777" w:rsidTr="00265287">
        <w:trPr>
          <w:trHeight w:val="300"/>
          <w:jc w:val="center"/>
        </w:trPr>
        <w:tc>
          <w:tcPr>
            <w:tcW w:w="685" w:type="dxa"/>
            <w:tcBorders>
              <w:top w:val="nil"/>
              <w:left w:val="nil"/>
              <w:bottom w:val="nil"/>
              <w:right w:val="nil"/>
            </w:tcBorders>
            <w:shd w:val="clear" w:color="auto" w:fill="auto"/>
            <w:noWrap/>
            <w:vAlign w:val="bottom"/>
            <w:hideMark/>
          </w:tcPr>
          <w:p w14:paraId="652EF3FD"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p>
        </w:tc>
        <w:tc>
          <w:tcPr>
            <w:tcW w:w="4194" w:type="dxa"/>
            <w:tcBorders>
              <w:top w:val="nil"/>
              <w:left w:val="nil"/>
              <w:bottom w:val="nil"/>
              <w:right w:val="nil"/>
            </w:tcBorders>
            <w:shd w:val="clear" w:color="auto" w:fill="auto"/>
            <w:noWrap/>
            <w:vAlign w:val="center"/>
            <w:hideMark/>
          </w:tcPr>
          <w:p w14:paraId="5553171D"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Verkkopalvelun kaikki havainnot, yhteensä</w:t>
            </w:r>
          </w:p>
        </w:tc>
        <w:tc>
          <w:tcPr>
            <w:tcW w:w="951" w:type="dxa"/>
            <w:tcBorders>
              <w:top w:val="nil"/>
              <w:left w:val="nil"/>
              <w:bottom w:val="nil"/>
              <w:right w:val="nil"/>
            </w:tcBorders>
            <w:shd w:val="clear" w:color="auto" w:fill="auto"/>
            <w:noWrap/>
            <w:vAlign w:val="center"/>
            <w:hideMark/>
          </w:tcPr>
          <w:p w14:paraId="6FAA8415"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109</w:t>
            </w:r>
          </w:p>
        </w:tc>
        <w:tc>
          <w:tcPr>
            <w:tcW w:w="990" w:type="dxa"/>
            <w:tcBorders>
              <w:top w:val="nil"/>
              <w:left w:val="nil"/>
              <w:bottom w:val="nil"/>
              <w:right w:val="nil"/>
            </w:tcBorders>
            <w:shd w:val="clear" w:color="auto" w:fill="auto"/>
            <w:noWrap/>
            <w:vAlign w:val="center"/>
            <w:hideMark/>
          </w:tcPr>
          <w:p w14:paraId="7B99FD94"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142</w:t>
            </w:r>
          </w:p>
        </w:tc>
      </w:tr>
      <w:tr w:rsidR="00265287" w:rsidRPr="00265287" w14:paraId="5F977B2F" w14:textId="77777777" w:rsidTr="00265287">
        <w:trPr>
          <w:trHeight w:val="315"/>
          <w:jc w:val="center"/>
        </w:trPr>
        <w:tc>
          <w:tcPr>
            <w:tcW w:w="685" w:type="dxa"/>
            <w:tcBorders>
              <w:top w:val="nil"/>
              <w:left w:val="nil"/>
              <w:bottom w:val="single" w:sz="8" w:space="0" w:color="auto"/>
              <w:right w:val="nil"/>
            </w:tcBorders>
            <w:shd w:val="clear" w:color="auto" w:fill="auto"/>
            <w:noWrap/>
            <w:vAlign w:val="bottom"/>
            <w:hideMark/>
          </w:tcPr>
          <w:p w14:paraId="301E2569" w14:textId="77777777" w:rsidR="00265287" w:rsidRPr="00265287" w:rsidRDefault="00265287" w:rsidP="00265287">
            <w:pPr>
              <w:spacing w:after="0" w:line="240" w:lineRule="auto"/>
              <w:rPr>
                <w:rFonts w:ascii="Calibri" w:eastAsia="Times New Roman" w:hAnsi="Calibri" w:cs="Times New Roman"/>
                <w:color w:val="000000"/>
                <w:sz w:val="22"/>
                <w:lang w:val="fi-FI" w:eastAsia="fi-FI"/>
              </w:rPr>
            </w:pPr>
            <w:r w:rsidRPr="00265287">
              <w:rPr>
                <w:rFonts w:ascii="Calibri" w:eastAsia="Times New Roman" w:hAnsi="Calibri" w:cs="Times New Roman"/>
                <w:color w:val="000000"/>
                <w:sz w:val="22"/>
                <w:lang w:val="fi-FI" w:eastAsia="fi-FI"/>
              </w:rPr>
              <w:t> </w:t>
            </w:r>
          </w:p>
        </w:tc>
        <w:tc>
          <w:tcPr>
            <w:tcW w:w="4194" w:type="dxa"/>
            <w:tcBorders>
              <w:top w:val="nil"/>
              <w:left w:val="nil"/>
              <w:bottom w:val="single" w:sz="8" w:space="0" w:color="auto"/>
              <w:right w:val="nil"/>
            </w:tcBorders>
            <w:shd w:val="clear" w:color="auto" w:fill="auto"/>
            <w:noWrap/>
            <w:vAlign w:val="center"/>
            <w:hideMark/>
          </w:tcPr>
          <w:p w14:paraId="0F8DE831" w14:textId="77777777" w:rsidR="00265287" w:rsidRPr="00265287" w:rsidRDefault="00265287" w:rsidP="00265287">
            <w:pPr>
              <w:spacing w:after="0" w:line="240" w:lineRule="auto"/>
              <w:rPr>
                <w:rFonts w:eastAsia="Times New Roman" w:cs="Times New Roman"/>
                <w:color w:val="000000"/>
                <w:sz w:val="22"/>
                <w:lang w:val="fi-FI" w:eastAsia="fi-FI"/>
              </w:rPr>
            </w:pPr>
            <w:r w:rsidRPr="00265287">
              <w:rPr>
                <w:rFonts w:eastAsia="Times New Roman" w:cs="Times New Roman"/>
                <w:color w:val="000000"/>
                <w:sz w:val="22"/>
                <w:lang w:val="fi-FI" w:eastAsia="fi-FI"/>
              </w:rPr>
              <w:t>%</w:t>
            </w:r>
          </w:p>
        </w:tc>
        <w:tc>
          <w:tcPr>
            <w:tcW w:w="951" w:type="dxa"/>
            <w:tcBorders>
              <w:top w:val="nil"/>
              <w:left w:val="nil"/>
              <w:bottom w:val="single" w:sz="8" w:space="0" w:color="auto"/>
              <w:right w:val="nil"/>
            </w:tcBorders>
            <w:shd w:val="clear" w:color="auto" w:fill="auto"/>
            <w:noWrap/>
            <w:vAlign w:val="center"/>
            <w:hideMark/>
          </w:tcPr>
          <w:p w14:paraId="5211585F"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100,00 %</w:t>
            </w:r>
          </w:p>
        </w:tc>
        <w:tc>
          <w:tcPr>
            <w:tcW w:w="990" w:type="dxa"/>
            <w:tcBorders>
              <w:top w:val="nil"/>
              <w:left w:val="nil"/>
              <w:bottom w:val="single" w:sz="8" w:space="0" w:color="auto"/>
              <w:right w:val="nil"/>
            </w:tcBorders>
            <w:shd w:val="clear" w:color="auto" w:fill="auto"/>
            <w:noWrap/>
            <w:vAlign w:val="center"/>
            <w:hideMark/>
          </w:tcPr>
          <w:p w14:paraId="7E7813AB" w14:textId="77777777" w:rsidR="00265287" w:rsidRPr="00265287" w:rsidRDefault="00265287" w:rsidP="00265287">
            <w:pPr>
              <w:spacing w:after="0" w:line="240" w:lineRule="auto"/>
              <w:jc w:val="right"/>
              <w:rPr>
                <w:rFonts w:eastAsia="Times New Roman" w:cs="Times New Roman"/>
                <w:color w:val="000000"/>
                <w:sz w:val="22"/>
                <w:lang w:val="fi-FI" w:eastAsia="fi-FI"/>
              </w:rPr>
            </w:pPr>
            <w:r w:rsidRPr="00265287">
              <w:rPr>
                <w:rFonts w:eastAsia="Times New Roman" w:cs="Times New Roman"/>
                <w:color w:val="000000"/>
                <w:sz w:val="22"/>
                <w:lang w:val="fi-FI" w:eastAsia="fi-FI"/>
              </w:rPr>
              <w:t>100,00 %</w:t>
            </w:r>
          </w:p>
        </w:tc>
      </w:tr>
    </w:tbl>
    <w:p w14:paraId="32A55A42" w14:textId="77777777" w:rsidR="00265287" w:rsidRPr="00637624" w:rsidRDefault="00265287" w:rsidP="00637624">
      <w:pPr>
        <w:spacing w:after="160" w:line="360" w:lineRule="auto"/>
        <w:rPr>
          <w:rFonts w:cs="Times New Roman"/>
          <w:sz w:val="22"/>
          <w:lang w:val="fi-FI"/>
        </w:rPr>
      </w:pPr>
    </w:p>
    <w:p w14:paraId="61D74834" w14:textId="5D50FE28" w:rsidR="0084131E" w:rsidRPr="00637624" w:rsidRDefault="0084131E" w:rsidP="00637624">
      <w:pPr>
        <w:pStyle w:val="Caption"/>
        <w:keepNext/>
        <w:spacing w:line="360" w:lineRule="auto"/>
        <w:rPr>
          <w:rFonts w:cs="Times New Roman"/>
          <w:sz w:val="22"/>
          <w:szCs w:val="22"/>
          <w:lang w:val="fi-FI"/>
        </w:rPr>
      </w:pPr>
      <w:r w:rsidRPr="00637624">
        <w:rPr>
          <w:rFonts w:cs="Times New Roman"/>
          <w:sz w:val="22"/>
          <w:szCs w:val="22"/>
          <w:lang w:val="fi-FI"/>
        </w:rPr>
        <w:t xml:space="preserve">Taulukko </w:t>
      </w:r>
      <w:r w:rsidRPr="00637624">
        <w:rPr>
          <w:rFonts w:cs="Times New Roman"/>
          <w:sz w:val="22"/>
          <w:szCs w:val="22"/>
        </w:rPr>
        <w:fldChar w:fldCharType="begin"/>
      </w:r>
      <w:r w:rsidRPr="00637624">
        <w:rPr>
          <w:rFonts w:cs="Times New Roman"/>
          <w:sz w:val="22"/>
          <w:szCs w:val="22"/>
          <w:lang w:val="fi-FI"/>
        </w:rPr>
        <w:instrText xml:space="preserve"> SEQ Taulukko \* ARABIC </w:instrText>
      </w:r>
      <w:r w:rsidRPr="00637624">
        <w:rPr>
          <w:rFonts w:cs="Times New Roman"/>
          <w:sz w:val="22"/>
          <w:szCs w:val="22"/>
        </w:rPr>
        <w:fldChar w:fldCharType="separate"/>
      </w:r>
      <w:r w:rsidR="008A2A54" w:rsidRPr="00637624">
        <w:rPr>
          <w:rFonts w:cs="Times New Roman"/>
          <w:noProof/>
          <w:sz w:val="22"/>
          <w:szCs w:val="22"/>
          <w:lang w:val="fi-FI"/>
        </w:rPr>
        <w:t>2</w:t>
      </w:r>
      <w:r w:rsidRPr="00637624">
        <w:rPr>
          <w:rFonts w:cs="Times New Roman"/>
          <w:sz w:val="22"/>
          <w:szCs w:val="22"/>
        </w:rPr>
        <w:fldChar w:fldCharType="end"/>
      </w:r>
      <w:r w:rsidRPr="00637624">
        <w:rPr>
          <w:rFonts w:cs="Times New Roman"/>
          <w:sz w:val="22"/>
          <w:szCs w:val="22"/>
          <w:lang w:val="fi-FI"/>
        </w:rPr>
        <w:t xml:space="preserve"> Kyselytutkimuksen toisen kysymyksen vastaukset kategorisoituna sekä verkkopalveluittain että teeman mukaisesti. A= Akateeminen yleisö, L= Laajempi yleisö</w:t>
      </w:r>
    </w:p>
    <w:p w14:paraId="0C145A66" w14:textId="77777777" w:rsidR="00BB3A9F" w:rsidRPr="00637624" w:rsidRDefault="00BB3A9F" w:rsidP="00637624">
      <w:pPr>
        <w:spacing w:after="160" w:line="360" w:lineRule="auto"/>
        <w:rPr>
          <w:rFonts w:cs="Times New Roman"/>
          <w:sz w:val="22"/>
          <w:lang w:val="fi-FI"/>
        </w:rPr>
      </w:pPr>
    </w:p>
    <w:p w14:paraId="720C0CCE" w14:textId="5991DC31" w:rsidR="00475058" w:rsidRPr="00637624" w:rsidRDefault="00237B53" w:rsidP="00637624">
      <w:pPr>
        <w:spacing w:after="160" w:line="360" w:lineRule="auto"/>
        <w:rPr>
          <w:rFonts w:cs="Times New Roman"/>
          <w:sz w:val="22"/>
          <w:lang w:val="fi-FI"/>
        </w:rPr>
      </w:pPr>
      <w:r w:rsidRPr="00637624">
        <w:rPr>
          <w:rFonts w:cs="Times New Roman"/>
          <w:sz w:val="22"/>
          <w:lang w:val="fi-FI"/>
        </w:rPr>
        <w:t xml:space="preserve">Yhdenmukaisuuksista huolimatta vastaajien mielipiteiden eroavaisuudet verkkopalveluittain </w:t>
      </w:r>
      <w:r w:rsidR="00D018CB" w:rsidRPr="00637624">
        <w:rPr>
          <w:rFonts w:cs="Times New Roman"/>
          <w:sz w:val="22"/>
          <w:lang w:val="fi-FI"/>
        </w:rPr>
        <w:t>olivat toiseen kysymykseen vastatessa selkeämpiä</w:t>
      </w:r>
      <w:r w:rsidRPr="00637624">
        <w:rPr>
          <w:rFonts w:cs="Times New Roman"/>
          <w:sz w:val="22"/>
          <w:lang w:val="fi-FI"/>
        </w:rPr>
        <w:t xml:space="preserve"> </w:t>
      </w:r>
      <w:r w:rsidR="00D018CB" w:rsidRPr="00637624">
        <w:rPr>
          <w:rFonts w:cs="Times New Roman"/>
          <w:sz w:val="22"/>
          <w:lang w:val="fi-FI"/>
        </w:rPr>
        <w:t>kuin ensimmäiseen kysymykseen vastatessa</w:t>
      </w:r>
      <w:r w:rsidRPr="00637624">
        <w:rPr>
          <w:rFonts w:cs="Times New Roman"/>
          <w:sz w:val="22"/>
          <w:lang w:val="fi-FI"/>
        </w:rPr>
        <w:t>.</w:t>
      </w:r>
      <w:r w:rsidR="00A25946" w:rsidRPr="00637624">
        <w:rPr>
          <w:rFonts w:cs="Times New Roman"/>
          <w:sz w:val="22"/>
          <w:lang w:val="fi-FI"/>
        </w:rPr>
        <w:t xml:space="preserve"> Twitterissä menestyneiden artikkelien kirjoittajat korostivat </w:t>
      </w:r>
      <w:r w:rsidR="009E531B" w:rsidRPr="00637624">
        <w:rPr>
          <w:rFonts w:cs="Times New Roman"/>
          <w:sz w:val="22"/>
          <w:lang w:val="fi-FI"/>
        </w:rPr>
        <w:t>verkkohuomion osoittavan aiheen olevan popularisoitavissa (11 kertaa mainittu</w:t>
      </w:r>
      <w:r w:rsidRPr="00637624">
        <w:rPr>
          <w:rFonts w:cs="Times New Roman"/>
          <w:sz w:val="22"/>
          <w:lang w:val="fi-FI"/>
        </w:rPr>
        <w:t>, ks. Taulukko 2</w:t>
      </w:r>
      <w:r w:rsidR="009E531B" w:rsidRPr="00637624">
        <w:rPr>
          <w:rFonts w:cs="Times New Roman"/>
          <w:sz w:val="22"/>
          <w:lang w:val="fi-FI"/>
        </w:rPr>
        <w:t xml:space="preserve">) ja olevan tieteellisesti hyvää tutkimusta (6). </w:t>
      </w:r>
      <w:r w:rsidR="00D018CB" w:rsidRPr="00637624">
        <w:rPr>
          <w:rFonts w:cs="Times New Roman"/>
          <w:sz w:val="22"/>
          <w:lang w:val="fi-FI"/>
        </w:rPr>
        <w:t>Twitterissä menestyneiden artikkelien kirjoittajien kesken ei löytynyt konsensusta artikkelien vaikuttavuudesta</w:t>
      </w:r>
      <w:r w:rsidR="009E531B" w:rsidRPr="00637624">
        <w:rPr>
          <w:rFonts w:cs="Times New Roman"/>
          <w:sz w:val="22"/>
          <w:lang w:val="fi-FI"/>
        </w:rPr>
        <w:t xml:space="preserve">. Termin ”vaikuttavuus” abstraktius ja siihen liitetyt subjektiiviset </w:t>
      </w:r>
      <w:r w:rsidRPr="00637624">
        <w:rPr>
          <w:rFonts w:cs="Times New Roman"/>
          <w:sz w:val="22"/>
          <w:lang w:val="fi-FI"/>
        </w:rPr>
        <w:t>mielleyhtymät</w:t>
      </w:r>
      <w:r w:rsidR="009E531B" w:rsidRPr="00637624">
        <w:rPr>
          <w:rFonts w:cs="Times New Roman"/>
          <w:sz w:val="22"/>
          <w:lang w:val="fi-FI"/>
        </w:rPr>
        <w:t xml:space="preserve"> </w:t>
      </w:r>
      <w:r w:rsidR="005B0219" w:rsidRPr="00637624">
        <w:rPr>
          <w:rFonts w:cs="Times New Roman"/>
          <w:sz w:val="22"/>
          <w:lang w:val="fi-FI"/>
        </w:rPr>
        <w:t xml:space="preserve">saivat osan tutkijoista tarkentamaan verkkohuomion tuovan tutkimukselle ja sen aiheelle näkyvyyttä, mutta ei vaikuttavuutta (7). </w:t>
      </w:r>
      <w:r w:rsidR="00061E47" w:rsidRPr="00637624">
        <w:rPr>
          <w:rFonts w:cs="Times New Roman"/>
          <w:sz w:val="22"/>
          <w:lang w:val="fi-FI"/>
        </w:rPr>
        <w:t>T</w:t>
      </w:r>
      <w:r w:rsidR="005B0219" w:rsidRPr="00637624">
        <w:rPr>
          <w:rFonts w:cs="Times New Roman"/>
          <w:sz w:val="22"/>
          <w:lang w:val="fi-FI"/>
        </w:rPr>
        <w:t xml:space="preserve">utkimuksella nähtiin </w:t>
      </w:r>
      <w:r w:rsidR="00061E47" w:rsidRPr="00637624">
        <w:rPr>
          <w:rFonts w:cs="Times New Roman"/>
          <w:sz w:val="22"/>
          <w:lang w:val="fi-FI"/>
        </w:rPr>
        <w:t xml:space="preserve">myös </w:t>
      </w:r>
      <w:r w:rsidR="005B0219" w:rsidRPr="00637624">
        <w:rPr>
          <w:rFonts w:cs="Times New Roman"/>
          <w:sz w:val="22"/>
          <w:lang w:val="fi-FI"/>
        </w:rPr>
        <w:t xml:space="preserve">olevan </w:t>
      </w:r>
      <w:r w:rsidR="00654C9E" w:rsidRPr="00637624">
        <w:rPr>
          <w:rFonts w:cs="Times New Roman"/>
          <w:sz w:val="22"/>
          <w:lang w:val="fi-FI"/>
        </w:rPr>
        <w:t xml:space="preserve">sekä yleistä vaikuttavuutta (6) että </w:t>
      </w:r>
      <w:r w:rsidR="005B0219" w:rsidRPr="00637624">
        <w:rPr>
          <w:rFonts w:cs="Times New Roman"/>
          <w:sz w:val="22"/>
          <w:lang w:val="fi-FI"/>
        </w:rPr>
        <w:t>vaikutusta yhteiskunnalliseen keskusteluun (7</w:t>
      </w:r>
      <w:r w:rsidR="00294C1E" w:rsidRPr="00637624">
        <w:rPr>
          <w:rFonts w:cs="Times New Roman"/>
          <w:sz w:val="22"/>
          <w:lang w:val="fi-FI"/>
        </w:rPr>
        <w:t>)</w:t>
      </w:r>
      <w:r w:rsidRPr="00637624">
        <w:rPr>
          <w:rFonts w:cs="Times New Roman"/>
          <w:sz w:val="22"/>
          <w:lang w:val="fi-FI"/>
        </w:rPr>
        <w:t xml:space="preserve">. </w:t>
      </w:r>
      <w:r w:rsidR="00294C1E" w:rsidRPr="00637624">
        <w:rPr>
          <w:rFonts w:cs="Times New Roman"/>
          <w:sz w:val="22"/>
          <w:lang w:val="fi-FI"/>
        </w:rPr>
        <w:t>Sen sijaan useat tutkijat kielsivät Twitter-verkkohuomion tuovan tieteellistä vaikuttavuutta tutkimukselle</w:t>
      </w:r>
      <w:r w:rsidRPr="00637624">
        <w:rPr>
          <w:rFonts w:cs="Times New Roman"/>
          <w:sz w:val="22"/>
          <w:lang w:val="fi-FI"/>
        </w:rPr>
        <w:t xml:space="preserve"> </w:t>
      </w:r>
      <w:r w:rsidR="00654C9E" w:rsidRPr="00637624">
        <w:rPr>
          <w:rFonts w:cs="Times New Roman"/>
          <w:sz w:val="22"/>
          <w:lang w:val="fi-FI"/>
        </w:rPr>
        <w:t>(7)</w:t>
      </w:r>
      <w:r w:rsidRPr="00637624">
        <w:rPr>
          <w:rFonts w:cs="Times New Roman"/>
          <w:sz w:val="22"/>
          <w:lang w:val="fi-FI"/>
        </w:rPr>
        <w:t xml:space="preserve"> ja kolme vastaajaa koki, ettei artikkelin Twitter-verkkopalvelussa menestyminen kerro mitään artikkelin mahdollisesta vaikuttavuudesta.</w:t>
      </w:r>
      <w:r w:rsidR="00654C9E" w:rsidRPr="00637624">
        <w:rPr>
          <w:rFonts w:cs="Times New Roman"/>
          <w:sz w:val="22"/>
          <w:lang w:val="fi-FI"/>
        </w:rPr>
        <w:t xml:space="preserve"> Toisin kuin Twitterissä menestyneet, Mendeleyssä menestyneiden artikkelien kirjoittajat sen sijaan korostivat tutkimuksensa verkkohuomion korreloivan tutkimuksen siteerausten/viittausten </w:t>
      </w:r>
      <w:r w:rsidR="00061E47" w:rsidRPr="00637624">
        <w:rPr>
          <w:rFonts w:cs="Times New Roman"/>
          <w:sz w:val="22"/>
          <w:lang w:val="fi-FI"/>
        </w:rPr>
        <w:t xml:space="preserve">määrän kanssa </w:t>
      </w:r>
      <w:r w:rsidR="00654C9E" w:rsidRPr="00637624">
        <w:rPr>
          <w:rFonts w:cs="Times New Roman"/>
          <w:sz w:val="22"/>
          <w:lang w:val="fi-FI"/>
        </w:rPr>
        <w:t>(13 kertaa mainittu) ja osoittavan tiedeyhteisön kiinnostuksen tutkimusta kohtaan (11).</w:t>
      </w:r>
      <w:r w:rsidR="00D018CB" w:rsidRPr="00637624">
        <w:rPr>
          <w:rFonts w:cs="Times New Roman"/>
          <w:sz w:val="22"/>
          <w:lang w:val="fi-FI"/>
        </w:rPr>
        <w:t xml:space="preserve"> Lähes 72 prosenttia kaikista vaikuttavuutta kuvailevista kategorioista ja havainnoista voitiin Mendeley-verkkopalvelussa mieltää kuuluvan akateemiseen teemaan.</w:t>
      </w:r>
      <w:r w:rsidR="00654C9E" w:rsidRPr="00637624">
        <w:rPr>
          <w:rFonts w:cs="Times New Roman"/>
          <w:sz w:val="22"/>
          <w:lang w:val="fi-FI"/>
        </w:rPr>
        <w:t xml:space="preserve"> </w:t>
      </w:r>
    </w:p>
    <w:p w14:paraId="552C3C66" w14:textId="4471A194" w:rsidR="00237B53" w:rsidRPr="00637624" w:rsidRDefault="00237B53" w:rsidP="00637624">
      <w:pPr>
        <w:spacing w:after="160" w:line="360" w:lineRule="auto"/>
        <w:rPr>
          <w:rFonts w:cs="Times New Roman"/>
          <w:sz w:val="22"/>
          <w:lang w:val="fi-FI"/>
        </w:rPr>
      </w:pPr>
      <w:r w:rsidRPr="00637624">
        <w:rPr>
          <w:rFonts w:cs="Times New Roman"/>
          <w:i/>
          <w:sz w:val="22"/>
          <w:lang w:val="fi-FI"/>
        </w:rPr>
        <w:t>”Tärkeimmät asiat / artikkelit eivät herätä keskustelua, ja jos herättävät, se on hyödytöntä juupas-eipäs -keskustelua + uskomukset eivät hevin muutu. Popularisointikin on tavattoman vaikeaa ja aikaa vievää eikä ole missään suhteessa inspiroivaa ainakaan julkisuuskammoiselle introvertille.”</w:t>
      </w:r>
      <w:r w:rsidRPr="00637624">
        <w:rPr>
          <w:rFonts w:cs="Times New Roman"/>
          <w:sz w:val="22"/>
          <w:lang w:val="fi-FI"/>
        </w:rPr>
        <w:br/>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r>
      <w:r w:rsidRPr="00637624">
        <w:rPr>
          <w:rFonts w:cs="Times New Roman"/>
          <w:sz w:val="22"/>
          <w:lang w:val="fi-FI"/>
        </w:rPr>
        <w:tab/>
        <w:t>Vastaaja ID 146, vastaus kysymykseen Twit</w:t>
      </w:r>
      <w:r w:rsidR="00D05C76" w:rsidRPr="00637624">
        <w:rPr>
          <w:rFonts w:cs="Times New Roman"/>
          <w:sz w:val="22"/>
          <w:lang w:val="fi-FI"/>
        </w:rPr>
        <w:t>ter 2</w:t>
      </w:r>
    </w:p>
    <w:p w14:paraId="7E2E3F20" w14:textId="77777777" w:rsidR="00D018CB" w:rsidRPr="00E8768B" w:rsidRDefault="00596454" w:rsidP="00637624">
      <w:pPr>
        <w:spacing w:after="160" w:line="360" w:lineRule="auto"/>
        <w:rPr>
          <w:rFonts w:cs="Times New Roman"/>
          <w:sz w:val="26"/>
          <w:szCs w:val="26"/>
          <w:lang w:val="fi-FI"/>
        </w:rPr>
      </w:pPr>
      <w:r w:rsidRPr="00E8768B">
        <w:rPr>
          <w:rFonts w:cs="Times New Roman"/>
          <w:sz w:val="26"/>
          <w:szCs w:val="26"/>
          <w:lang w:val="fi-FI"/>
        </w:rPr>
        <w:t>Kategorisoinnista kohti selittäviä teemoja</w:t>
      </w:r>
    </w:p>
    <w:p w14:paraId="12C21FBE" w14:textId="0D1ADB8F" w:rsidR="0072795D" w:rsidRPr="00265287" w:rsidRDefault="004D6EF8" w:rsidP="00265287">
      <w:pPr>
        <w:spacing w:after="160" w:line="360" w:lineRule="auto"/>
        <w:rPr>
          <w:rFonts w:eastAsia="Times New Roman" w:cs="Times New Roman"/>
          <w:sz w:val="22"/>
          <w:lang w:val="fi-FI"/>
        </w:rPr>
      </w:pPr>
      <w:r w:rsidRPr="00265287">
        <w:rPr>
          <w:rFonts w:eastAsia="Times New Roman" w:cs="Times New Roman"/>
          <w:sz w:val="22"/>
          <w:lang w:val="fi-FI"/>
        </w:rPr>
        <w:t>Artikkelin</w:t>
      </w:r>
      <w:r w:rsidR="00D071CD" w:rsidRPr="00265287">
        <w:rPr>
          <w:rFonts w:eastAsia="Times New Roman" w:cs="Times New Roman"/>
          <w:sz w:val="22"/>
          <w:lang w:val="fi-FI"/>
        </w:rPr>
        <w:t xml:space="preserve"> alussa määritimme tutkimuksemme tavoitteen </w:t>
      </w:r>
      <w:r w:rsidR="00771590" w:rsidRPr="00265287">
        <w:rPr>
          <w:rFonts w:eastAsia="Times New Roman" w:cs="Times New Roman"/>
          <w:sz w:val="22"/>
          <w:lang w:val="fi-FI"/>
        </w:rPr>
        <w:t>–</w:t>
      </w:r>
      <w:r w:rsidR="00D071CD" w:rsidRPr="00265287">
        <w:rPr>
          <w:rFonts w:eastAsia="Times New Roman" w:cs="Times New Roman"/>
          <w:sz w:val="22"/>
          <w:lang w:val="fi-FI"/>
        </w:rPr>
        <w:t xml:space="preserve"> </w:t>
      </w:r>
      <w:r w:rsidR="00771590" w:rsidRPr="00265287">
        <w:rPr>
          <w:rFonts w:eastAsia="Times New Roman" w:cs="Times New Roman"/>
          <w:sz w:val="22"/>
          <w:lang w:val="fi-FI"/>
        </w:rPr>
        <w:t xml:space="preserve">tarkastella tutkijoiden mielipiteitä </w:t>
      </w:r>
      <w:r w:rsidRPr="00265287">
        <w:rPr>
          <w:rFonts w:eastAsia="Times New Roman" w:cs="Times New Roman"/>
          <w:sz w:val="22"/>
          <w:lang w:val="fi-FI"/>
        </w:rPr>
        <w:t xml:space="preserve">heidän </w:t>
      </w:r>
      <w:r w:rsidR="00771590" w:rsidRPr="00265287">
        <w:rPr>
          <w:rFonts w:eastAsia="Times New Roman" w:cs="Times New Roman"/>
          <w:sz w:val="22"/>
          <w:lang w:val="fi-FI"/>
        </w:rPr>
        <w:t>julkaisemiensa tieteellisten artikkelien saavuttamasta verkkohuomiosta eri sosiaa</w:t>
      </w:r>
      <w:r w:rsidR="004C617C" w:rsidRPr="00265287">
        <w:rPr>
          <w:rFonts w:eastAsia="Times New Roman" w:cs="Times New Roman"/>
          <w:sz w:val="22"/>
          <w:lang w:val="fi-FI"/>
        </w:rPr>
        <w:t xml:space="preserve">lisen median verkkopalveluilla. </w:t>
      </w:r>
      <w:r w:rsidR="00B83BE3" w:rsidRPr="00265287">
        <w:rPr>
          <w:rFonts w:eastAsia="Times New Roman" w:cs="Times New Roman"/>
          <w:sz w:val="22"/>
          <w:lang w:val="fi-FI"/>
        </w:rPr>
        <w:t xml:space="preserve">Vastauksena ensimmäiseen tutkimuskysymykseen </w:t>
      </w:r>
      <w:r w:rsidR="007B56CF">
        <w:rPr>
          <w:rFonts w:eastAsia="Times New Roman" w:cs="Times New Roman"/>
          <w:sz w:val="22"/>
          <w:lang w:val="fi-FI"/>
        </w:rPr>
        <w:t>niistä tekijöistä, jotka artikkelin kirjoittajat mainitsivat merkittäviksi verkkohuomion lisääjiksi, osoittavat tutkimustulokset</w:t>
      </w:r>
      <w:r w:rsidR="0072795D" w:rsidRPr="00265287">
        <w:rPr>
          <w:rFonts w:eastAsia="Times New Roman" w:cs="Times New Roman"/>
          <w:sz w:val="22"/>
          <w:lang w:val="fi-FI"/>
        </w:rPr>
        <w:t xml:space="preserve"> </w:t>
      </w:r>
      <w:r w:rsidR="004C617C" w:rsidRPr="00265287">
        <w:rPr>
          <w:rFonts w:eastAsia="Times New Roman" w:cs="Times New Roman"/>
          <w:sz w:val="22"/>
          <w:lang w:val="fi-FI"/>
        </w:rPr>
        <w:t xml:space="preserve">tutkijoiden vastauksissa </w:t>
      </w:r>
      <w:r w:rsidR="0072795D" w:rsidRPr="00265287">
        <w:rPr>
          <w:rFonts w:eastAsia="Times New Roman" w:cs="Times New Roman"/>
          <w:sz w:val="22"/>
          <w:lang w:val="fi-FI"/>
        </w:rPr>
        <w:t xml:space="preserve">selkeitä toistuvia teemoja huolimatta siitä, missä verkkopalvelussa artikkeli menestyi. Etenkin julkaisufoorumin korkea taso, julkaisun ajankohtaisuus ja aiheen henkilökohtaisuus lukijalle olivat piirteitä, joiden nähtiin vaikuttavan suosioon. Näiden lisäksi verkkopalvelusta riippuen huippututkijoiden osuus työryhmässä, tunteita herättävä aihe ja aiheen uutuusarvo mainittiin useasti syinä suosioon. </w:t>
      </w:r>
      <w:r w:rsidR="00B83BE3" w:rsidRPr="00265287">
        <w:rPr>
          <w:rFonts w:eastAsia="Times New Roman" w:cs="Times New Roman"/>
          <w:sz w:val="22"/>
          <w:lang w:val="fi-FI"/>
        </w:rPr>
        <w:t>Voidaankin todeta, että tieteellisten artikkelien verkossa saama huomio on monen tekijän summa ja että saavutetun huomion taustalla on myös verkkopalvelukohtaisia eroja</w:t>
      </w:r>
      <w:r w:rsidR="007B56CF">
        <w:rPr>
          <w:rFonts w:eastAsia="Times New Roman" w:cs="Times New Roman"/>
          <w:sz w:val="22"/>
          <w:lang w:val="fi-FI"/>
        </w:rPr>
        <w:t>. Verkkopalvelukohtaiset erot ovat selitettävissä palveluiden eri käyttötarkoitusten sekä käyttäjäkunnan kautta. Mendeley on selkeästi profiloitunut tieteellisen tutkimuksenteon apuvälineenä, kun taas Twitterin käyttäjäkunta on huomattavasti moninaisempi.</w:t>
      </w:r>
      <w:r w:rsidR="00B83BE3" w:rsidRPr="00265287">
        <w:rPr>
          <w:rFonts w:eastAsia="Times New Roman" w:cs="Times New Roman"/>
          <w:sz w:val="22"/>
          <w:lang w:val="fi-FI"/>
        </w:rPr>
        <w:t xml:space="preserve"> </w:t>
      </w:r>
    </w:p>
    <w:p w14:paraId="307BF6C3" w14:textId="5A65C70D" w:rsidR="000248FD" w:rsidRPr="00637624" w:rsidRDefault="004C617C" w:rsidP="00637624">
      <w:pPr>
        <w:spacing w:after="160" w:line="360" w:lineRule="auto"/>
        <w:rPr>
          <w:rFonts w:cs="Times New Roman"/>
          <w:sz w:val="22"/>
          <w:lang w:val="fi-FI"/>
        </w:rPr>
      </w:pPr>
      <w:r w:rsidRPr="00637624">
        <w:rPr>
          <w:rFonts w:cs="Times New Roman"/>
          <w:sz w:val="22"/>
          <w:lang w:val="fi-FI"/>
        </w:rPr>
        <w:t xml:space="preserve">Aineistosta muodostettujen kategorioiden perusteella oli mahdollista hahmottaa myös suurempi, aineistoa ohjaava teemakokonaisuus. </w:t>
      </w:r>
      <w:r w:rsidR="00F66761" w:rsidRPr="00637624">
        <w:rPr>
          <w:rFonts w:cs="Times New Roman"/>
          <w:sz w:val="22"/>
          <w:lang w:val="fi-FI"/>
        </w:rPr>
        <w:t xml:space="preserve">Kategoriat </w:t>
      </w:r>
      <w:r w:rsidRPr="00637624">
        <w:rPr>
          <w:rFonts w:cs="Times New Roman"/>
          <w:sz w:val="22"/>
          <w:lang w:val="fi-FI"/>
        </w:rPr>
        <w:t>jaotel</w:t>
      </w:r>
      <w:r w:rsidR="00F66761" w:rsidRPr="00637624">
        <w:rPr>
          <w:rFonts w:cs="Times New Roman"/>
          <w:sz w:val="22"/>
          <w:lang w:val="fi-FI"/>
        </w:rPr>
        <w:t>tiin</w:t>
      </w:r>
      <w:r w:rsidRPr="00637624">
        <w:rPr>
          <w:rFonts w:cs="Times New Roman"/>
          <w:sz w:val="22"/>
          <w:lang w:val="fi-FI"/>
        </w:rPr>
        <w:t xml:space="preserve"> </w:t>
      </w:r>
      <w:r w:rsidR="0013221F" w:rsidRPr="00637624">
        <w:rPr>
          <w:rFonts w:cs="Times New Roman"/>
          <w:sz w:val="22"/>
          <w:lang w:val="fi-FI"/>
        </w:rPr>
        <w:t>sen mukaan</w:t>
      </w:r>
      <w:r w:rsidR="00452686" w:rsidRPr="00637624">
        <w:rPr>
          <w:rFonts w:cs="Times New Roman"/>
          <w:sz w:val="22"/>
          <w:lang w:val="fi-FI"/>
        </w:rPr>
        <w:t>,</w:t>
      </w:r>
      <w:r w:rsidR="0013221F" w:rsidRPr="00637624">
        <w:rPr>
          <w:rFonts w:cs="Times New Roman"/>
          <w:sz w:val="22"/>
          <w:lang w:val="fi-FI"/>
        </w:rPr>
        <w:t xml:space="preserve"> tulkitsivatko vastaajat verkkosuosion johtuvan akateemisen yleisön artikkeliin ja sen ominaisuuksiin kiinnittämästä huomiosta</w:t>
      </w:r>
      <w:r w:rsidR="00452686" w:rsidRPr="00637624">
        <w:rPr>
          <w:rFonts w:cs="Times New Roman"/>
          <w:sz w:val="22"/>
          <w:lang w:val="fi-FI"/>
        </w:rPr>
        <w:t>,</w:t>
      </w:r>
      <w:r w:rsidR="0013221F" w:rsidRPr="00637624">
        <w:rPr>
          <w:rFonts w:cs="Times New Roman"/>
          <w:sz w:val="22"/>
          <w:lang w:val="fi-FI"/>
        </w:rPr>
        <w:t xml:space="preserve"> vai tulkitsi</w:t>
      </w:r>
      <w:r w:rsidR="007B56CF">
        <w:rPr>
          <w:rFonts w:cs="Times New Roman"/>
          <w:sz w:val="22"/>
          <w:lang w:val="fi-FI"/>
        </w:rPr>
        <w:t>vatko</w:t>
      </w:r>
      <w:r w:rsidR="0013221F" w:rsidRPr="00637624">
        <w:rPr>
          <w:rFonts w:cs="Times New Roman"/>
          <w:sz w:val="22"/>
          <w:lang w:val="fi-FI"/>
        </w:rPr>
        <w:t xml:space="preserve"> vastaaja</w:t>
      </w:r>
      <w:r w:rsidR="007B56CF">
        <w:rPr>
          <w:rFonts w:cs="Times New Roman"/>
          <w:sz w:val="22"/>
          <w:lang w:val="fi-FI"/>
        </w:rPr>
        <w:t>t</w:t>
      </w:r>
      <w:r w:rsidR="0013221F" w:rsidRPr="00637624">
        <w:rPr>
          <w:rFonts w:cs="Times New Roman"/>
          <w:sz w:val="22"/>
          <w:lang w:val="fi-FI"/>
        </w:rPr>
        <w:t xml:space="preserve"> verkkosuosion juontavan laajempaa yleisöä kiinnostavi</w:t>
      </w:r>
      <w:r w:rsidR="00F66761" w:rsidRPr="00637624">
        <w:rPr>
          <w:rFonts w:cs="Times New Roman"/>
          <w:sz w:val="22"/>
          <w:lang w:val="fi-FI"/>
        </w:rPr>
        <w:t xml:space="preserve">sta artikkelin ominaisuuksista. Kyseisenkaltaisella jaottelulla vastauksista kyettiin osoittamaan, että Mendeley-verkkopalvelussa menestyneille artikkeleille määriteltiin </w:t>
      </w:r>
      <w:r w:rsidR="00E91DA4" w:rsidRPr="00637624">
        <w:rPr>
          <w:rFonts w:cs="Times New Roman"/>
          <w:sz w:val="22"/>
          <w:lang w:val="fi-FI"/>
        </w:rPr>
        <w:t xml:space="preserve">kysymyksen yksi vastauksissa </w:t>
      </w:r>
      <w:r w:rsidR="00F66761" w:rsidRPr="00637624">
        <w:rPr>
          <w:rFonts w:cs="Times New Roman"/>
          <w:sz w:val="22"/>
          <w:lang w:val="fi-FI"/>
        </w:rPr>
        <w:t>use</w:t>
      </w:r>
      <w:r w:rsidR="000248FD" w:rsidRPr="00637624">
        <w:rPr>
          <w:rFonts w:cs="Times New Roman"/>
          <w:sz w:val="22"/>
          <w:lang w:val="fi-FI"/>
        </w:rPr>
        <w:t>ammin piirteitä, joiden voidaan tulkita olevan enemmän</w:t>
      </w:r>
      <w:r w:rsidR="00F66761" w:rsidRPr="00637624">
        <w:rPr>
          <w:rFonts w:cs="Times New Roman"/>
          <w:sz w:val="22"/>
          <w:lang w:val="fi-FI"/>
        </w:rPr>
        <w:t xml:space="preserve"> akateemis</w:t>
      </w:r>
      <w:r w:rsidR="000248FD" w:rsidRPr="00637624">
        <w:rPr>
          <w:rFonts w:cs="Times New Roman"/>
          <w:sz w:val="22"/>
          <w:lang w:val="fi-FI"/>
        </w:rPr>
        <w:t xml:space="preserve">en yleisön arvostamia. </w:t>
      </w:r>
      <w:r w:rsidR="00452686" w:rsidRPr="00637624">
        <w:rPr>
          <w:rFonts w:cs="Times New Roman"/>
          <w:sz w:val="22"/>
          <w:lang w:val="fi-FI"/>
        </w:rPr>
        <w:t>Vastaavasti kysymyksessä yksi Twitter-verkkopalvelussa menestyneitä artikkeleja kuvailtiin enemmän kategorioin, joiden tulkittiin kiinnostavan laajempaa yleisöä kuin akateemista yleisöä.</w:t>
      </w:r>
    </w:p>
    <w:p w14:paraId="6780C3E9" w14:textId="40ED09EA" w:rsidR="00237B53" w:rsidRPr="00637624" w:rsidRDefault="00E91DA4" w:rsidP="00637624">
      <w:pPr>
        <w:spacing w:after="160" w:line="360" w:lineRule="auto"/>
        <w:rPr>
          <w:rFonts w:cs="Times New Roman"/>
          <w:sz w:val="22"/>
          <w:lang w:val="fi-FI"/>
        </w:rPr>
      </w:pPr>
      <w:r w:rsidRPr="00637624">
        <w:rPr>
          <w:rFonts w:cs="Times New Roman"/>
          <w:sz w:val="22"/>
          <w:lang w:val="fi-FI"/>
        </w:rPr>
        <w:t>Myös toisen kysymyksen vastauks</w:t>
      </w:r>
      <w:r w:rsidR="009F7870" w:rsidRPr="00637624">
        <w:rPr>
          <w:rFonts w:cs="Times New Roman"/>
          <w:sz w:val="22"/>
          <w:lang w:val="fi-FI"/>
        </w:rPr>
        <w:t>issa toistui akateeminen yleisö – laajempi yleisö -teema.</w:t>
      </w:r>
      <w:r w:rsidRPr="00637624">
        <w:rPr>
          <w:rFonts w:cs="Times New Roman"/>
          <w:sz w:val="22"/>
          <w:lang w:val="fi-FI"/>
        </w:rPr>
        <w:t xml:space="preserve"> Eroavaisuudet verkkohuomion vaikuttavuuden arvioinnin kuvailussa verkkopalveluittain olivat toisessa kysymyksessä ensimmäistä selkeämmät. Mendeley-palvelussa menestyneiden artikkelien va</w:t>
      </w:r>
      <w:r w:rsidR="009F7870" w:rsidRPr="00637624">
        <w:rPr>
          <w:rFonts w:cs="Times New Roman"/>
          <w:sz w:val="22"/>
          <w:lang w:val="fi-FI"/>
        </w:rPr>
        <w:t>ikuttavuutta kuvailtiin enemmän akateemisessa maailmassa toteutuvaksi vaikuttavuudeksi</w:t>
      </w:r>
      <w:r w:rsidRPr="00637624">
        <w:rPr>
          <w:rFonts w:cs="Times New Roman"/>
          <w:sz w:val="22"/>
          <w:lang w:val="fi-FI"/>
        </w:rPr>
        <w:t>, kun taas Twitteris</w:t>
      </w:r>
      <w:r w:rsidR="008A5B5B" w:rsidRPr="00637624">
        <w:rPr>
          <w:rFonts w:cs="Times New Roman"/>
          <w:sz w:val="22"/>
          <w:lang w:val="fi-FI"/>
        </w:rPr>
        <w:t>sä menestyneiden artikkelien vaikuttavuutta kuvattiin enemmän laajempaan yleisöön vaikuttavilla tavoilla</w:t>
      </w:r>
      <w:r w:rsidR="009B2A65">
        <w:rPr>
          <w:rFonts w:cs="Times New Roman"/>
          <w:sz w:val="22"/>
          <w:lang w:val="fi-FI"/>
        </w:rPr>
        <w:t>.</w:t>
      </w:r>
      <w:r w:rsidR="009B2A65" w:rsidRPr="009B2A65">
        <w:rPr>
          <w:rFonts w:cs="Times New Roman"/>
          <w:sz w:val="22"/>
          <w:lang w:val="fi-FI"/>
        </w:rPr>
        <w:t xml:space="preserve"> </w:t>
      </w:r>
      <w:r w:rsidR="009B2A65" w:rsidRPr="00637624">
        <w:rPr>
          <w:rFonts w:cs="Times New Roman"/>
          <w:sz w:val="22"/>
          <w:lang w:val="fi-FI"/>
        </w:rPr>
        <w:t xml:space="preserve">Koska melkeinpä jokainen kyselyyn osallistunut tutkija tunnisti molemmat verkkopalvelut nimeltä, on mahdollista, että vastaajat jossain määrin suhteuttivat vastauksensa sen mukaan, minkälaisena verkkopalveluna he Twitterin tai Mendeleyn mielsivät. Tutkijoilla ei ollut kuitenkaan yksityiskohtaista tietoa käyttäjätileistä, jotka jakoivat artikkelia Twitterissä tai tallensivat sen Mendeleyssä. Esimerkiksi Twitterin käyttö tutkimuksesta kommunikointiin vaihtelee tutkimusaloittain </w:t>
      </w:r>
      <w:r w:rsidR="009B2A65" w:rsidRPr="00637624">
        <w:rPr>
          <w:rFonts w:cs="Times New Roman"/>
          <w:sz w:val="22"/>
          <w:lang w:val="fi-FI"/>
        </w:rPr>
        <w:fldChar w:fldCharType="begin" w:fldLock="1"/>
      </w:r>
      <w:r w:rsidR="009B2A65" w:rsidRPr="00637624">
        <w:rPr>
          <w:rFonts w:cs="Times New Roman"/>
          <w:sz w:val="22"/>
          <w:lang w:val="fi-FI"/>
        </w:rPr>
        <w:instrText>ADDIN CSL_CITATION { "citationItems" : [ { "id" : "ITEM-1", "itemData" : { "DOI" : "10.1007/s11192-014-1229-3", "abstract" : "This paper investigates disciplinary differences in how researchers use the microblogging site Twitter. Tweets from selected researchers in ten disciplines (astro-physics, biochemistry, digital humanities, economics, history of science, cheminformatics, cognitive science, drug discovery, social network analysis, and sociology) were collected and analyzed both statistically and qualitatively. The researchers tended to share more links and retweet more than the average Twitter users in earlier research and there were clear disciplinary differences in how they used Twitter. Biochemists retweeted substantially more than researchers in the other disciplines. Researchers in digital humanities and cognitive science used Twitter more for conversations, while researchers in economics shared the most links. Finally, whilst researchers in biochemistry, astrophysics, cheminformatics and digital humanities seemed to use Twitter for scholarly communication, scientific use of Twitter in economics, sociology and history of science appeared to be marginal.", "author" : [ { "dropping-particle" : "", "family" : "Holmberg", "given" : "Kim", "non-dropping-particle" : "", "parse-names" : false, "suffix" : "" }, { "dropping-particle" : "", "family" : "Thelwall", "given" : "Mike", "non-dropping-particle" : "", "parse-names" : false, "suffix" : "" } ], "id" : "ITEM-1", "issued" : { "date-parts" : [ [ "2014" ] ] }, "title" : "Disciplinary differences in Twitter scholarly communication", "type" : "article-journal" }, "uris" : [ "http://www.mendeley.com/documents/?uuid=193c0464-3c97-3cd8-a460-e948c867d53d" ] } ], "mendeley" : { "formattedCitation" : "(Holmberg &amp; Thelwall, 2014)", "plainTextFormattedCitation" : "(Holmberg &amp; Thelwall, 2014)", "previouslyFormattedCitation" : "(Holmberg &amp; Thelwall, 2014)" }, "properties" : { "noteIndex" : 0 }, "schema" : "https://github.com/citation-style-language/schema/raw/master/csl-citation.json" }</w:instrText>
      </w:r>
      <w:r w:rsidR="009B2A65" w:rsidRPr="00637624">
        <w:rPr>
          <w:rFonts w:cs="Times New Roman"/>
          <w:sz w:val="22"/>
          <w:lang w:val="fi-FI"/>
        </w:rPr>
        <w:fldChar w:fldCharType="separate"/>
      </w:r>
      <w:r w:rsidR="009B2A65" w:rsidRPr="00637624">
        <w:rPr>
          <w:rFonts w:cs="Times New Roman"/>
          <w:noProof/>
          <w:sz w:val="22"/>
          <w:lang w:val="fi-FI"/>
        </w:rPr>
        <w:t>(Holmberg &amp; Thelwall, 2014)</w:t>
      </w:r>
      <w:r w:rsidR="009B2A65" w:rsidRPr="00637624">
        <w:rPr>
          <w:rFonts w:cs="Times New Roman"/>
          <w:sz w:val="22"/>
          <w:lang w:val="fi-FI"/>
        </w:rPr>
        <w:fldChar w:fldCharType="end"/>
      </w:r>
      <w:r w:rsidR="009B2A65" w:rsidRPr="00637624">
        <w:rPr>
          <w:rFonts w:cs="Times New Roman"/>
          <w:sz w:val="22"/>
          <w:lang w:val="fi-FI"/>
        </w:rPr>
        <w:t>.</w:t>
      </w:r>
      <w:r w:rsidR="009B2A65">
        <w:rPr>
          <w:rFonts w:cs="Times New Roman"/>
          <w:sz w:val="22"/>
          <w:lang w:val="fi-FI"/>
        </w:rPr>
        <w:t xml:space="preserve"> Vastaus toiseen tutkimuskysymykseen onkin näin ollen monitahoisempi; toisaalta eri verkkopalveluiden välillä nähtiin selkeitä eroja vastauksissa, mutta on epäselvää</w:t>
      </w:r>
      <w:r w:rsidR="00CB0790">
        <w:rPr>
          <w:rFonts w:cs="Times New Roman"/>
          <w:sz w:val="22"/>
          <w:lang w:val="fi-FI"/>
        </w:rPr>
        <w:t>, kuinka</w:t>
      </w:r>
      <w:r w:rsidR="009B2A65">
        <w:rPr>
          <w:rFonts w:cs="Times New Roman"/>
          <w:sz w:val="22"/>
          <w:lang w:val="fi-FI"/>
        </w:rPr>
        <w:t xml:space="preserve"> paljon vastaajien mielikuva kyseisen verkkopalvelun käyttäjäkunnasta vaikutti heidän vastauksiinsa. Jatkoselvityksissä kysely voitaisiin toistaa mainitsematta missä verkkopalvelussa artikkelit ovat saaneet merkittävää huomiota. </w:t>
      </w:r>
      <w:r w:rsidR="00A8427E" w:rsidRPr="00637624">
        <w:rPr>
          <w:rFonts w:cs="Times New Roman"/>
          <w:sz w:val="22"/>
          <w:lang w:val="fi-FI"/>
        </w:rPr>
        <w:t xml:space="preserve">Tutkijoiden vastauksissa varsinaisesta verkkohuomion perusteella tapahtuvasta tieteellisen tai yhteiskunnallisen vaikuttavuuden kasvusta ei kuitenkaan ollut selkää konsensusta. Näkemykset vaikuttavuuden kasvun puolesta saivat hieman enemmän kannatusta, vaikka verkkohuomiota kuvattiinkin välillä pelkäksi ”pintahörinäksi”. Perinteiset tieteellisen vaikuttavuuden arvioinnin välineet, kuten viittausmäärien tilastointi, nähtiin vastaajien keskuudessa vallitsevaksi vaikuttavuuden mittaamisen asteikoksi. </w:t>
      </w:r>
      <w:r w:rsidR="00237B53" w:rsidRPr="00637624">
        <w:rPr>
          <w:rFonts w:cs="Times New Roman"/>
          <w:sz w:val="22"/>
          <w:lang w:val="fi-FI"/>
        </w:rPr>
        <w:t xml:space="preserve">Viittausmääriin tukeutuminen julkaisun ”tieteellisen onnistuneisuuden” arvioinnissa on aineistossa ymmärrettävää, sillä etenkin lääke- ja terveystieteissä ja luonnontieteissä kiivas julkaisutahti, suuret kirjoittajaryhmät ja nopeasti etenevä tutkimus tuottavat tutkimusta, jossa viittausmäärät ovat huomattavasti korkeampia kuin esimerkiksi sosiaali- ja yhteiskuntatieteissä (Egghe &amp; Rousseau, 1990). Näissä sen sijaan julkaisutahti per tutkija on hitaampi, julkaisut ovat useimmiten yhden tai muutaman </w:t>
      </w:r>
      <w:r w:rsidR="002D06B6" w:rsidRPr="00637624">
        <w:rPr>
          <w:rFonts w:cs="Times New Roman"/>
          <w:sz w:val="22"/>
          <w:lang w:val="fi-FI"/>
        </w:rPr>
        <w:t>kirjoitta</w:t>
      </w:r>
      <w:r w:rsidR="002D06B6">
        <w:rPr>
          <w:rFonts w:cs="Times New Roman"/>
          <w:sz w:val="22"/>
          <w:lang w:val="fi-FI"/>
        </w:rPr>
        <w:t>j</w:t>
      </w:r>
      <w:r w:rsidR="002D06B6" w:rsidRPr="00637624">
        <w:rPr>
          <w:rFonts w:cs="Times New Roman"/>
          <w:sz w:val="22"/>
          <w:lang w:val="fi-FI"/>
        </w:rPr>
        <w:t xml:space="preserve">an </w:t>
      </w:r>
      <w:r w:rsidR="00237B53" w:rsidRPr="00637624">
        <w:rPr>
          <w:rFonts w:cs="Times New Roman"/>
          <w:sz w:val="22"/>
          <w:lang w:val="fi-FI"/>
        </w:rPr>
        <w:t>tekemiä ja artikkelien sijaan painoarvo voi olla muilla tieteellisillä teoksilla.</w:t>
      </w:r>
    </w:p>
    <w:p w14:paraId="42467351" w14:textId="60A21DDD" w:rsidR="009B2A65" w:rsidRPr="00637624" w:rsidRDefault="00DB7BE2" w:rsidP="009B2A65">
      <w:pPr>
        <w:spacing w:after="160" w:line="360" w:lineRule="auto"/>
        <w:rPr>
          <w:rFonts w:cs="Times New Roman"/>
          <w:sz w:val="22"/>
          <w:lang w:val="fi-FI"/>
        </w:rPr>
      </w:pPr>
      <w:r w:rsidRPr="00637624">
        <w:rPr>
          <w:rFonts w:cs="Times New Roman"/>
          <w:sz w:val="22"/>
          <w:lang w:val="fi-FI"/>
        </w:rPr>
        <w:t xml:space="preserve">Tutkijoiden ajatuskulkua artikkelin suosioon vaikuttaneista tekijöistä näyttikin ohjaavan tietty kausaliteetti: altmetristen tapahtumien tuoma suosio miellettiin lähes poikkeuksetta seuraukseksi perinteisin bibliometrisin keinoin hankitusta suosiosta. Artikkelin saamien viittausten määrän todettiin usein olevan ensisijainen julkaisun onnistuneisuuden määrittävä mittari ja mahdollinen verkkohuomio, etenkin Mendeley-verkkopalvelussa, vain viittausmäärään suhteutettavissa oleva </w:t>
      </w:r>
      <w:r w:rsidR="00D018CB" w:rsidRPr="00637624">
        <w:rPr>
          <w:rFonts w:cs="Times New Roman"/>
          <w:sz w:val="22"/>
          <w:lang w:val="fi-FI"/>
        </w:rPr>
        <w:t>tapahtuma</w:t>
      </w:r>
      <w:r w:rsidRPr="00637624">
        <w:rPr>
          <w:rFonts w:cs="Times New Roman"/>
          <w:sz w:val="22"/>
          <w:lang w:val="fi-FI"/>
        </w:rPr>
        <w:t xml:space="preserve">. </w:t>
      </w:r>
      <w:r w:rsidR="00237B53" w:rsidRPr="00637624">
        <w:rPr>
          <w:rFonts w:cs="Times New Roman"/>
          <w:sz w:val="22"/>
          <w:lang w:val="fi-FI"/>
        </w:rPr>
        <w:t>Esimerkiksi kysyttäessä seuraavatko tutkijat artikkeliensa verkossa saamaa huomiota (kysymys 3), useat ”ei”-vastauksen antaneet tutkijat rinnastivat verkkohuomion ja viittausten mittaamisen toisiinsa. Kyseinen rinnastus osoittaa, että artikkelien verkkopalveluissakin saamalle huomiolle annetaan jonkinnäköinen merkitsevyysarvo</w:t>
      </w:r>
      <w:r w:rsidR="00A82CCC" w:rsidRPr="00637624">
        <w:rPr>
          <w:rFonts w:cs="Times New Roman"/>
          <w:sz w:val="22"/>
          <w:lang w:val="fi-FI"/>
        </w:rPr>
        <w:t>. K</w:t>
      </w:r>
      <w:r w:rsidR="00237B53" w:rsidRPr="00637624">
        <w:rPr>
          <w:rFonts w:cs="Times New Roman"/>
          <w:sz w:val="22"/>
          <w:lang w:val="fi-FI"/>
        </w:rPr>
        <w:t xml:space="preserve">yseinen arvo ei </w:t>
      </w:r>
      <w:r w:rsidR="00A82CCC" w:rsidRPr="00637624">
        <w:rPr>
          <w:rFonts w:cs="Times New Roman"/>
          <w:sz w:val="22"/>
          <w:lang w:val="fi-FI"/>
        </w:rPr>
        <w:t xml:space="preserve">kuitenkaan </w:t>
      </w:r>
      <w:r w:rsidR="00237B53" w:rsidRPr="00637624">
        <w:rPr>
          <w:rFonts w:cs="Times New Roman"/>
          <w:sz w:val="22"/>
          <w:lang w:val="fi-FI"/>
        </w:rPr>
        <w:t>kykene kilpailemaan y</w:t>
      </w:r>
      <w:r w:rsidR="00A82CCC" w:rsidRPr="00637624">
        <w:rPr>
          <w:rFonts w:cs="Times New Roman"/>
          <w:sz w:val="22"/>
          <w:lang w:val="fi-FI"/>
        </w:rPr>
        <w:t xml:space="preserve">lhäältä annettujen, rahoituspäätöksiä määrittelevien </w:t>
      </w:r>
      <w:r w:rsidR="00237B53" w:rsidRPr="00637624">
        <w:rPr>
          <w:rFonts w:cs="Times New Roman"/>
          <w:sz w:val="22"/>
          <w:lang w:val="fi-FI"/>
        </w:rPr>
        <w:t>”tuottavuustavoitteiden” kanssa.</w:t>
      </w:r>
      <w:r w:rsidR="009B2A65" w:rsidRPr="009B2A65">
        <w:rPr>
          <w:rFonts w:cs="Times New Roman"/>
          <w:sz w:val="22"/>
          <w:lang w:val="fi-FI"/>
        </w:rPr>
        <w:t xml:space="preserve"> </w:t>
      </w:r>
      <w:r w:rsidR="009B2A65" w:rsidRPr="00637624">
        <w:rPr>
          <w:rFonts w:cs="Times New Roman"/>
          <w:sz w:val="22"/>
          <w:lang w:val="fi-FI"/>
        </w:rPr>
        <w:t xml:space="preserve">Tulokset osoittivat </w:t>
      </w:r>
      <w:r w:rsidR="009B2A65">
        <w:rPr>
          <w:rFonts w:cs="Times New Roman"/>
          <w:sz w:val="22"/>
          <w:lang w:val="fi-FI"/>
        </w:rPr>
        <w:t xml:space="preserve">kuitenkin </w:t>
      </w:r>
      <w:r w:rsidR="009B2A65" w:rsidRPr="00637624">
        <w:rPr>
          <w:rFonts w:cs="Times New Roman"/>
          <w:sz w:val="22"/>
          <w:lang w:val="fi-FI"/>
        </w:rPr>
        <w:t xml:space="preserve">myös, kuinka vastanneiden tutkijoiden keskuudessa vallitsi laaja konsensus tutkimuksen laajemman esilletuomisen puolesta. Vastauksissa toistui usein, kuinka tutkimuksen verkkonäkyvyys koettiin tärkeänä tutkijoiden yhteiskunnallisen velvollisuuden toteutumisena sekä tapana tuoda tieteellistä näkökulmaa poliittiseen päätöksentekoon. </w:t>
      </w:r>
      <w:r w:rsidR="009B2A65">
        <w:rPr>
          <w:rFonts w:cs="Times New Roman"/>
          <w:sz w:val="22"/>
          <w:lang w:val="fi-FI"/>
        </w:rPr>
        <w:t xml:space="preserve"> Lisää tutkimusta kaivataan tosin kartoittamaan mitä tieteellisten artikkelien saama huomio verkossa voi mahdollisesti kertoa tutkimuksen yhteiskunnallisesta vaikuttavuudesta. </w:t>
      </w:r>
    </w:p>
    <w:p w14:paraId="48332F5B" w14:textId="12D7F302" w:rsidR="00DB7BE2" w:rsidRDefault="00DB7BE2" w:rsidP="00637624">
      <w:pPr>
        <w:spacing w:after="160" w:line="360" w:lineRule="auto"/>
        <w:rPr>
          <w:rFonts w:cs="Times New Roman"/>
          <w:sz w:val="22"/>
          <w:lang w:val="fi-FI"/>
        </w:rPr>
      </w:pPr>
    </w:p>
    <w:p w14:paraId="712B8106" w14:textId="77777777" w:rsidR="0059418D" w:rsidRDefault="0059418D" w:rsidP="00637624">
      <w:pPr>
        <w:spacing w:after="160" w:line="360" w:lineRule="auto"/>
        <w:rPr>
          <w:rFonts w:cs="Times New Roman"/>
          <w:sz w:val="22"/>
          <w:lang w:val="fi-FI"/>
        </w:rPr>
      </w:pPr>
    </w:p>
    <w:p w14:paraId="2D01BC31" w14:textId="77777777" w:rsidR="0059418D" w:rsidRDefault="0059418D" w:rsidP="00637624">
      <w:pPr>
        <w:spacing w:after="160" w:line="360" w:lineRule="auto"/>
        <w:rPr>
          <w:rFonts w:cs="Times New Roman"/>
          <w:sz w:val="22"/>
          <w:lang w:val="fi-FI"/>
        </w:rPr>
      </w:pPr>
    </w:p>
    <w:p w14:paraId="369D64C4" w14:textId="77777777" w:rsidR="0059418D" w:rsidRDefault="0059418D" w:rsidP="00637624">
      <w:pPr>
        <w:spacing w:after="160" w:line="360" w:lineRule="auto"/>
        <w:rPr>
          <w:rFonts w:cs="Times New Roman"/>
          <w:sz w:val="22"/>
          <w:lang w:val="fi-FI"/>
        </w:rPr>
      </w:pPr>
    </w:p>
    <w:p w14:paraId="44F68320" w14:textId="2BFBAD13" w:rsidR="0059418D" w:rsidRDefault="0059418D" w:rsidP="00637624">
      <w:pPr>
        <w:spacing w:after="160" w:line="360" w:lineRule="auto"/>
        <w:rPr>
          <w:rFonts w:cs="Times New Roman"/>
          <w:sz w:val="22"/>
          <w:lang w:val="fi-FI"/>
        </w:rPr>
      </w:pPr>
      <w:r w:rsidRPr="0059418D">
        <w:rPr>
          <w:rFonts w:cs="Times New Roman"/>
          <w:sz w:val="22"/>
          <w:lang w:val="fi-FI"/>
        </w:rPr>
        <w:t>Artikkeli on tehty osana Avoimen tieteen yhteiskunnallisen vaikuttavuuden mittarit -projektia, joka on Opetus- ja kulttuuriministeriön rahoittama projekti</w:t>
      </w:r>
      <w:r>
        <w:rPr>
          <w:rFonts w:cs="Times New Roman"/>
          <w:sz w:val="22"/>
          <w:lang w:val="fi-FI"/>
        </w:rPr>
        <w:t xml:space="preserve"> (rahoitustunnus</w:t>
      </w:r>
      <w:r w:rsidRPr="0059418D">
        <w:rPr>
          <w:rFonts w:cs="Times New Roman"/>
          <w:sz w:val="22"/>
          <w:lang w:val="fi-FI"/>
        </w:rPr>
        <w:t xml:space="preserve">: OKM/33/524/2015). </w:t>
      </w:r>
    </w:p>
    <w:p w14:paraId="4F2F7930" w14:textId="77777777" w:rsidR="0059418D" w:rsidRDefault="0059418D" w:rsidP="00637624">
      <w:pPr>
        <w:spacing w:after="160" w:line="360" w:lineRule="auto"/>
        <w:rPr>
          <w:rFonts w:cs="Times New Roman"/>
          <w:sz w:val="22"/>
          <w:lang w:val="fi-FI"/>
        </w:rPr>
      </w:pPr>
    </w:p>
    <w:p w14:paraId="69B7A806" w14:textId="627F23C4" w:rsidR="00CC105C" w:rsidRPr="00CC105C" w:rsidRDefault="00CC105C" w:rsidP="00637624">
      <w:pPr>
        <w:spacing w:after="160" w:line="360" w:lineRule="auto"/>
        <w:rPr>
          <w:rFonts w:cs="Times New Roman"/>
          <w:sz w:val="22"/>
          <w:lang w:val="fi-FI"/>
        </w:rPr>
      </w:pPr>
      <w:r>
        <w:rPr>
          <w:rFonts w:cs="Times New Roman"/>
          <w:sz w:val="22"/>
          <w:lang w:val="fi-FI"/>
        </w:rPr>
        <w:t>Avainsanat: altmetriikka ; kyselytutkimus ; Twitter ; Mendeley ; sosiaalinen media ; verkkovaikuttavuus</w:t>
      </w:r>
      <w:r>
        <w:rPr>
          <w:rFonts w:cs="Times New Roman"/>
          <w:sz w:val="22"/>
          <w:lang w:val="fi-FI"/>
        </w:rPr>
        <w:br/>
        <w:t xml:space="preserve">Tieteenalaluokitus: </w:t>
      </w:r>
      <w:r w:rsidRPr="00CC105C">
        <w:rPr>
          <w:rFonts w:cs="Times New Roman"/>
          <w:sz w:val="22"/>
          <w:lang w:val="fi-FI"/>
        </w:rPr>
        <w:t>113 Tietojenkäsittely ja informaatiotieteet</w:t>
      </w:r>
      <w:r>
        <w:rPr>
          <w:rFonts w:cs="Times New Roman"/>
          <w:sz w:val="22"/>
          <w:lang w:val="fi-FI"/>
        </w:rPr>
        <w:t xml:space="preserve"> ; </w:t>
      </w:r>
      <w:r w:rsidRPr="00CC105C">
        <w:rPr>
          <w:rFonts w:cs="Times New Roman"/>
          <w:sz w:val="22"/>
          <w:lang w:val="fi-FI"/>
        </w:rPr>
        <w:t>520 Muut yhteiskuntatieteet</w:t>
      </w:r>
    </w:p>
    <w:p w14:paraId="195A70D4" w14:textId="515DA1D9" w:rsidR="007C08AD" w:rsidRPr="00637624" w:rsidRDefault="007C08AD" w:rsidP="00637624">
      <w:pPr>
        <w:spacing w:after="160" w:line="360" w:lineRule="auto"/>
        <w:rPr>
          <w:rFonts w:cs="Times New Roman"/>
          <w:sz w:val="22"/>
          <w:lang w:val="fi-FI"/>
        </w:rPr>
      </w:pPr>
    </w:p>
    <w:p w14:paraId="543BB3BE" w14:textId="675FB997" w:rsidR="007C08AD" w:rsidRPr="00DC0796" w:rsidRDefault="00993CEC" w:rsidP="00637624">
      <w:pPr>
        <w:spacing w:line="360" w:lineRule="auto"/>
        <w:rPr>
          <w:rFonts w:cs="Times New Roman"/>
          <w:sz w:val="26"/>
          <w:szCs w:val="26"/>
        </w:rPr>
      </w:pPr>
      <w:r w:rsidRPr="00DC0796">
        <w:rPr>
          <w:rFonts w:cs="Times New Roman"/>
          <w:sz w:val="26"/>
          <w:szCs w:val="26"/>
        </w:rPr>
        <w:t>Lähdeluettelo</w:t>
      </w:r>
    </w:p>
    <w:p w14:paraId="157C6155" w14:textId="734C7C34" w:rsidR="001B7668" w:rsidRPr="001B7668" w:rsidRDefault="00072C96" w:rsidP="001B7668">
      <w:pPr>
        <w:widowControl w:val="0"/>
        <w:autoSpaceDE w:val="0"/>
        <w:autoSpaceDN w:val="0"/>
        <w:adjustRightInd w:val="0"/>
        <w:spacing w:line="360" w:lineRule="auto"/>
        <w:ind w:left="480" w:hanging="480"/>
        <w:rPr>
          <w:rFonts w:cs="Times New Roman"/>
          <w:noProof/>
          <w:sz w:val="22"/>
          <w:szCs w:val="24"/>
        </w:rPr>
      </w:pPr>
      <w:r w:rsidRPr="00637624">
        <w:rPr>
          <w:rFonts w:cs="Times New Roman"/>
          <w:sz w:val="22"/>
          <w:lang w:val="fi-FI"/>
        </w:rPr>
        <w:fldChar w:fldCharType="begin" w:fldLock="1"/>
      </w:r>
      <w:r w:rsidRPr="00637624">
        <w:rPr>
          <w:rFonts w:cs="Times New Roman"/>
          <w:sz w:val="22"/>
        </w:rPr>
        <w:instrText xml:space="preserve">ADDIN Mendeley Bibliography CSL_BIBLIOGRAPHY </w:instrText>
      </w:r>
      <w:r w:rsidRPr="00637624">
        <w:rPr>
          <w:rFonts w:cs="Times New Roman"/>
          <w:sz w:val="22"/>
          <w:lang w:val="fi-FI"/>
        </w:rPr>
        <w:fldChar w:fldCharType="separate"/>
      </w:r>
      <w:r w:rsidR="001B7668" w:rsidRPr="001B7668">
        <w:rPr>
          <w:rFonts w:cs="Times New Roman"/>
          <w:noProof/>
          <w:sz w:val="22"/>
          <w:szCs w:val="24"/>
        </w:rPr>
        <w:t xml:space="preserve">Badenschier, F., Holger, W. (2012). Issue selection in science journalism: towards a special theory of news values for science news? </w:t>
      </w:r>
      <w:r w:rsidR="001B7668" w:rsidRPr="001B7668">
        <w:rPr>
          <w:rFonts w:cs="Times New Roman"/>
          <w:i/>
          <w:iCs/>
          <w:noProof/>
          <w:sz w:val="22"/>
          <w:szCs w:val="24"/>
        </w:rPr>
        <w:t>Sociology of the Sciences Yearbook</w:t>
      </w:r>
      <w:r w:rsidR="001B7668" w:rsidRPr="001B7668">
        <w:rPr>
          <w:rFonts w:cs="Times New Roman"/>
          <w:noProof/>
          <w:sz w:val="22"/>
          <w:szCs w:val="24"/>
        </w:rPr>
        <w:t xml:space="preserve">, </w:t>
      </w:r>
      <w:r w:rsidR="001B7668" w:rsidRPr="001B7668">
        <w:rPr>
          <w:rFonts w:cs="Times New Roman"/>
          <w:i/>
          <w:iCs/>
          <w:noProof/>
          <w:sz w:val="22"/>
          <w:szCs w:val="24"/>
        </w:rPr>
        <w:t>28</w:t>
      </w:r>
      <w:r w:rsidR="001B7668" w:rsidRPr="001B7668">
        <w:rPr>
          <w:rFonts w:cs="Times New Roman"/>
          <w:noProof/>
          <w:sz w:val="22"/>
          <w:szCs w:val="24"/>
        </w:rPr>
        <w:t>(February), 273–289. https://doi.org/10.1007/978-94-007-2085-5</w:t>
      </w:r>
    </w:p>
    <w:p w14:paraId="5FAEBF09" w14:textId="428BF9DC"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Brigham, T. J. (2014). An introduction to altmetrics. </w:t>
      </w:r>
      <w:r w:rsidRPr="001B7668">
        <w:rPr>
          <w:rFonts w:cs="Times New Roman"/>
          <w:i/>
          <w:iCs/>
          <w:noProof/>
          <w:sz w:val="22"/>
          <w:szCs w:val="24"/>
        </w:rPr>
        <w:t>Medical Reference Services Quarterly</w:t>
      </w:r>
      <w:r w:rsidRPr="001B7668">
        <w:rPr>
          <w:rFonts w:cs="Times New Roman"/>
          <w:noProof/>
          <w:sz w:val="22"/>
          <w:szCs w:val="24"/>
        </w:rPr>
        <w:t xml:space="preserve">, </w:t>
      </w:r>
      <w:r w:rsidRPr="001B7668">
        <w:rPr>
          <w:rFonts w:cs="Times New Roman"/>
          <w:i/>
          <w:iCs/>
          <w:noProof/>
          <w:sz w:val="22"/>
          <w:szCs w:val="24"/>
        </w:rPr>
        <w:t>33</w:t>
      </w:r>
      <w:r w:rsidRPr="001B7668">
        <w:rPr>
          <w:rFonts w:cs="Times New Roman"/>
          <w:noProof/>
          <w:sz w:val="22"/>
          <w:szCs w:val="24"/>
        </w:rPr>
        <w:t>(4), 438–47. http://www.ncbi.nlm.nih.gov/pubmed/25316077</w:t>
      </w:r>
    </w:p>
    <w:p w14:paraId="4DE3AF36" w14:textId="77777777"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Dahlstrom, M. F. (2014). Using narratives and storytelling to communicate science with nonexpert audiences. </w:t>
      </w:r>
      <w:r w:rsidRPr="001B7668">
        <w:rPr>
          <w:rFonts w:cs="Times New Roman"/>
          <w:i/>
          <w:iCs/>
          <w:noProof/>
          <w:sz w:val="22"/>
          <w:szCs w:val="24"/>
        </w:rPr>
        <w:t>Proceedings of the National Academy of Sciences of the United States of America</w:t>
      </w:r>
      <w:r w:rsidRPr="001B7668">
        <w:rPr>
          <w:rFonts w:cs="Times New Roman"/>
          <w:noProof/>
          <w:sz w:val="22"/>
          <w:szCs w:val="24"/>
        </w:rPr>
        <w:t xml:space="preserve">, </w:t>
      </w:r>
      <w:r w:rsidRPr="001B7668">
        <w:rPr>
          <w:rFonts w:cs="Times New Roman"/>
          <w:i/>
          <w:iCs/>
          <w:noProof/>
          <w:sz w:val="22"/>
          <w:szCs w:val="24"/>
        </w:rPr>
        <w:t>111</w:t>
      </w:r>
      <w:r w:rsidRPr="001B7668">
        <w:rPr>
          <w:rFonts w:cs="Times New Roman"/>
          <w:noProof/>
          <w:sz w:val="22"/>
          <w:szCs w:val="24"/>
        </w:rPr>
        <w:t>(Supplement_4), 13614–13620. https://doi.org/10.1073/pnas.1320645111</w:t>
      </w:r>
    </w:p>
    <w:p w14:paraId="32C57685" w14:textId="0617C8E7" w:rsidR="001B7668" w:rsidRDefault="00CC105C" w:rsidP="001B7668">
      <w:pPr>
        <w:widowControl w:val="0"/>
        <w:autoSpaceDE w:val="0"/>
        <w:autoSpaceDN w:val="0"/>
        <w:adjustRightInd w:val="0"/>
        <w:spacing w:line="360" w:lineRule="auto"/>
        <w:ind w:left="480" w:hanging="480"/>
        <w:rPr>
          <w:rFonts w:cs="Times New Roman"/>
          <w:noProof/>
          <w:sz w:val="22"/>
          <w:szCs w:val="24"/>
        </w:rPr>
      </w:pPr>
      <w:r>
        <w:rPr>
          <w:rFonts w:cs="Times New Roman"/>
          <w:noProof/>
          <w:sz w:val="22"/>
          <w:szCs w:val="24"/>
        </w:rPr>
        <w:t>Domas White, ML.</w:t>
      </w:r>
      <w:r w:rsidR="001B7668" w:rsidRPr="001B7668">
        <w:rPr>
          <w:rFonts w:cs="Times New Roman"/>
          <w:noProof/>
          <w:sz w:val="22"/>
          <w:szCs w:val="24"/>
        </w:rPr>
        <w:t xml:space="preserve"> &amp; Marsh, E. E. (2006). Content Analysis: A Flexible Methodology. </w:t>
      </w:r>
      <w:r w:rsidR="001B7668" w:rsidRPr="001B7668">
        <w:rPr>
          <w:rFonts w:cs="Times New Roman"/>
          <w:i/>
          <w:iCs/>
          <w:noProof/>
          <w:sz w:val="22"/>
          <w:szCs w:val="24"/>
        </w:rPr>
        <w:t>Library Trends</w:t>
      </w:r>
      <w:r w:rsidR="001B7668" w:rsidRPr="001B7668">
        <w:rPr>
          <w:rFonts w:cs="Times New Roman"/>
          <w:noProof/>
          <w:sz w:val="22"/>
          <w:szCs w:val="24"/>
        </w:rPr>
        <w:t xml:space="preserve">, </w:t>
      </w:r>
      <w:r w:rsidR="001B7668" w:rsidRPr="001B7668">
        <w:rPr>
          <w:rFonts w:cs="Times New Roman"/>
          <w:i/>
          <w:iCs/>
          <w:noProof/>
          <w:sz w:val="22"/>
          <w:szCs w:val="24"/>
        </w:rPr>
        <w:t>55</w:t>
      </w:r>
      <w:r w:rsidR="001B7668" w:rsidRPr="001B7668">
        <w:rPr>
          <w:rFonts w:cs="Times New Roman"/>
          <w:noProof/>
          <w:sz w:val="22"/>
          <w:szCs w:val="24"/>
        </w:rPr>
        <w:t>(1), 22–45. https://doi.org/10.1353/lib.2006.0053</w:t>
      </w:r>
    </w:p>
    <w:p w14:paraId="43565BB6" w14:textId="148BB265" w:rsidR="001B7668" w:rsidRPr="001B7668" w:rsidRDefault="00CC105C" w:rsidP="001B7668">
      <w:pPr>
        <w:widowControl w:val="0"/>
        <w:autoSpaceDE w:val="0"/>
        <w:autoSpaceDN w:val="0"/>
        <w:adjustRightInd w:val="0"/>
        <w:spacing w:line="360" w:lineRule="auto"/>
        <w:ind w:left="480" w:hanging="480"/>
        <w:rPr>
          <w:rFonts w:cs="Times New Roman"/>
          <w:noProof/>
          <w:sz w:val="22"/>
          <w:szCs w:val="24"/>
        </w:rPr>
      </w:pPr>
      <w:r>
        <w:t>Egghe, L.</w:t>
      </w:r>
      <w:r w:rsidR="001B7668">
        <w:t xml:space="preserve"> &amp; Rousseau, R. (1990). </w:t>
      </w:r>
      <w:r w:rsidR="001B7668">
        <w:rPr>
          <w:i/>
          <w:iCs/>
        </w:rPr>
        <w:t>Introduction to informetrics: Quantitative methods in library, documentation, and information science</w:t>
      </w:r>
      <w:r w:rsidR="001B7668">
        <w:t>. Amsterdam: Elsevier Science Publishers.</w:t>
      </w:r>
    </w:p>
    <w:p w14:paraId="5C60A63B" w14:textId="249C3A97" w:rsidR="001B7668" w:rsidRPr="001B7668" w:rsidRDefault="00CC105C" w:rsidP="001B7668">
      <w:pPr>
        <w:widowControl w:val="0"/>
        <w:autoSpaceDE w:val="0"/>
        <w:autoSpaceDN w:val="0"/>
        <w:adjustRightInd w:val="0"/>
        <w:spacing w:line="360" w:lineRule="auto"/>
        <w:ind w:left="480" w:hanging="480"/>
        <w:rPr>
          <w:rFonts w:cs="Times New Roman"/>
          <w:noProof/>
          <w:sz w:val="22"/>
          <w:szCs w:val="24"/>
        </w:rPr>
      </w:pPr>
      <w:r>
        <w:rPr>
          <w:rFonts w:cs="Times New Roman"/>
          <w:noProof/>
          <w:sz w:val="22"/>
          <w:szCs w:val="24"/>
        </w:rPr>
        <w:t>Evans, P.</w:t>
      </w:r>
      <w:r w:rsidR="001B7668" w:rsidRPr="001B7668">
        <w:rPr>
          <w:rFonts w:cs="Times New Roman"/>
          <w:noProof/>
          <w:sz w:val="22"/>
          <w:szCs w:val="24"/>
        </w:rPr>
        <w:t xml:space="preserve"> &amp; Krauthammer, M. (2011). Exploring the use of social media to measure journal article impact. </w:t>
      </w:r>
      <w:r w:rsidR="001B7668" w:rsidRPr="001B7668">
        <w:rPr>
          <w:rFonts w:cs="Times New Roman"/>
          <w:i/>
          <w:iCs/>
          <w:noProof/>
          <w:sz w:val="22"/>
          <w:szCs w:val="24"/>
        </w:rPr>
        <w:t>AMIA ... Annual Symposium Proceedings / AMIA Symposium. AMIA Symposium</w:t>
      </w:r>
      <w:r w:rsidR="001B7668" w:rsidRPr="001B7668">
        <w:rPr>
          <w:rFonts w:cs="Times New Roman"/>
          <w:noProof/>
          <w:sz w:val="22"/>
          <w:szCs w:val="24"/>
        </w:rPr>
        <w:t xml:space="preserve">, </w:t>
      </w:r>
      <w:r w:rsidR="001B7668" w:rsidRPr="001B7668">
        <w:rPr>
          <w:rFonts w:cs="Times New Roman"/>
          <w:i/>
          <w:iCs/>
          <w:noProof/>
          <w:sz w:val="22"/>
          <w:szCs w:val="24"/>
        </w:rPr>
        <w:t>2011</w:t>
      </w:r>
      <w:r w:rsidR="001B7668" w:rsidRPr="001B7668">
        <w:rPr>
          <w:rFonts w:cs="Times New Roman"/>
          <w:noProof/>
          <w:sz w:val="22"/>
          <w:szCs w:val="24"/>
        </w:rPr>
        <w:t>(January), 374–81. http://www.pubmedcentral.nih.gov/articlerender.fcgi?artid=3243242&amp;tool=pmcentrez&amp;rendertype=abstract</w:t>
      </w:r>
    </w:p>
    <w:p w14:paraId="02D5FE14" w14:textId="420DAE2E" w:rsidR="001B7668" w:rsidRPr="001B7668" w:rsidRDefault="00CC105C" w:rsidP="001B7668">
      <w:pPr>
        <w:widowControl w:val="0"/>
        <w:autoSpaceDE w:val="0"/>
        <w:autoSpaceDN w:val="0"/>
        <w:adjustRightInd w:val="0"/>
        <w:spacing w:line="360" w:lineRule="auto"/>
        <w:ind w:left="480" w:hanging="480"/>
        <w:rPr>
          <w:rFonts w:cs="Times New Roman"/>
          <w:noProof/>
          <w:sz w:val="22"/>
          <w:szCs w:val="24"/>
        </w:rPr>
      </w:pPr>
      <w:r>
        <w:rPr>
          <w:rFonts w:cs="Times New Roman"/>
          <w:noProof/>
          <w:sz w:val="22"/>
          <w:szCs w:val="24"/>
        </w:rPr>
        <w:t>Holmberg, K.</w:t>
      </w:r>
      <w:r w:rsidR="001B7668" w:rsidRPr="001B7668">
        <w:rPr>
          <w:rFonts w:cs="Times New Roman"/>
          <w:noProof/>
          <w:sz w:val="22"/>
          <w:szCs w:val="24"/>
        </w:rPr>
        <w:t xml:space="preserve"> &amp; Thelwall, M. (2014). Disciplinary differences in Twitter scholarly communication. https://doi.org/10.1007/s11192-014-1229-3</w:t>
      </w:r>
    </w:p>
    <w:p w14:paraId="6680F42B" w14:textId="4E92C8FB"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Hsieh, H.-F. &amp; Shannon, S. E. (2005). Three Approaches to Qualitative Content Analysis. </w:t>
      </w:r>
      <w:r w:rsidRPr="001B7668">
        <w:rPr>
          <w:rFonts w:cs="Times New Roman"/>
          <w:i/>
          <w:iCs/>
          <w:noProof/>
          <w:sz w:val="22"/>
          <w:szCs w:val="24"/>
        </w:rPr>
        <w:t>Qualitative Health Research</w:t>
      </w:r>
      <w:r w:rsidRPr="001B7668">
        <w:rPr>
          <w:rFonts w:cs="Times New Roman"/>
          <w:noProof/>
          <w:sz w:val="22"/>
          <w:szCs w:val="24"/>
        </w:rPr>
        <w:t xml:space="preserve">, </w:t>
      </w:r>
      <w:r w:rsidRPr="001B7668">
        <w:rPr>
          <w:rFonts w:cs="Times New Roman"/>
          <w:i/>
          <w:iCs/>
          <w:noProof/>
          <w:sz w:val="22"/>
          <w:szCs w:val="24"/>
        </w:rPr>
        <w:t>15</w:t>
      </w:r>
      <w:r w:rsidRPr="001B7668">
        <w:rPr>
          <w:rFonts w:cs="Times New Roman"/>
          <w:noProof/>
          <w:sz w:val="22"/>
          <w:szCs w:val="24"/>
        </w:rPr>
        <w:t>(9), 1277–1288. https://doi.org/10.1177/1049732305276687</w:t>
      </w:r>
    </w:p>
    <w:p w14:paraId="7C240A95" w14:textId="382DC2B1" w:rsidR="001B7668" w:rsidRPr="001B7668" w:rsidRDefault="00CC105C" w:rsidP="001B7668">
      <w:pPr>
        <w:widowControl w:val="0"/>
        <w:autoSpaceDE w:val="0"/>
        <w:autoSpaceDN w:val="0"/>
        <w:adjustRightInd w:val="0"/>
        <w:spacing w:line="360" w:lineRule="auto"/>
        <w:ind w:left="480" w:hanging="480"/>
        <w:rPr>
          <w:rFonts w:cs="Times New Roman"/>
          <w:noProof/>
          <w:sz w:val="22"/>
          <w:szCs w:val="24"/>
        </w:rPr>
      </w:pPr>
      <w:r>
        <w:rPr>
          <w:rFonts w:cs="Times New Roman"/>
          <w:noProof/>
          <w:sz w:val="22"/>
          <w:szCs w:val="24"/>
        </w:rPr>
        <w:t>Ke, Q., Ahn, Y.-Y.</w:t>
      </w:r>
      <w:r w:rsidR="001B7668" w:rsidRPr="001B7668">
        <w:rPr>
          <w:rFonts w:cs="Times New Roman"/>
          <w:noProof/>
          <w:sz w:val="22"/>
          <w:szCs w:val="24"/>
        </w:rPr>
        <w:t xml:space="preserve"> &amp; Sugimoto, C. R. (2016). A Systematic Identification and Analysis of Scientists on Twitter. Digital Libraries; Physics and Society. http://arxiv.org/abs/1608.06229</w:t>
      </w:r>
    </w:p>
    <w:p w14:paraId="0DB6FBBB" w14:textId="781046AC"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Mislove, A., Lehmann, S., Ahn, Y., Onnela, J. &amp; Rosenquist, J. N. (2011). Understanding the Demographics of Twitter Users. </w:t>
      </w:r>
      <w:r w:rsidRPr="001B7668">
        <w:rPr>
          <w:rFonts w:cs="Times New Roman"/>
          <w:i/>
          <w:iCs/>
          <w:noProof/>
          <w:sz w:val="22"/>
          <w:szCs w:val="24"/>
        </w:rPr>
        <w:t>Artificial Intelligence</w:t>
      </w:r>
      <w:r w:rsidRPr="001B7668">
        <w:rPr>
          <w:rFonts w:cs="Times New Roman"/>
          <w:noProof/>
          <w:sz w:val="22"/>
          <w:szCs w:val="24"/>
        </w:rPr>
        <w:t>, 554–557. http://www.aaai.org/ocs/index.php/ICWSM/ICWSM11/paper/viewFile/2816/3234</w:t>
      </w:r>
    </w:p>
    <w:p w14:paraId="3FE3E351" w14:textId="2F29F7B2"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Mohammadi, E., Thelwall, M., Haustein, S. &amp; Larivi??re, V. (2015). Who reads research articles? An altmetrics analysis of Mendeley user categories. </w:t>
      </w:r>
      <w:r w:rsidRPr="001B7668">
        <w:rPr>
          <w:rFonts w:cs="Times New Roman"/>
          <w:i/>
          <w:iCs/>
          <w:noProof/>
          <w:sz w:val="22"/>
          <w:szCs w:val="24"/>
        </w:rPr>
        <w:t>Journal of the Association for Information Science and Technology</w:t>
      </w:r>
      <w:r w:rsidRPr="001B7668">
        <w:rPr>
          <w:rFonts w:cs="Times New Roman"/>
          <w:noProof/>
          <w:sz w:val="22"/>
          <w:szCs w:val="24"/>
        </w:rPr>
        <w:t xml:space="preserve">, </w:t>
      </w:r>
      <w:r w:rsidRPr="001B7668">
        <w:rPr>
          <w:rFonts w:cs="Times New Roman"/>
          <w:i/>
          <w:iCs/>
          <w:noProof/>
          <w:sz w:val="22"/>
          <w:szCs w:val="24"/>
        </w:rPr>
        <w:t>66</w:t>
      </w:r>
      <w:r w:rsidRPr="001B7668">
        <w:rPr>
          <w:rFonts w:cs="Times New Roman"/>
          <w:noProof/>
          <w:sz w:val="22"/>
          <w:szCs w:val="24"/>
        </w:rPr>
        <w:t>(9), 1832–1846. https://doi.org/10.1002/asi.23286</w:t>
      </w:r>
    </w:p>
    <w:p w14:paraId="24945E9D" w14:textId="144827C2"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Rowlands, I., Nicho</w:t>
      </w:r>
      <w:r w:rsidR="00CC105C">
        <w:rPr>
          <w:rFonts w:cs="Times New Roman"/>
          <w:noProof/>
          <w:sz w:val="22"/>
          <w:szCs w:val="24"/>
        </w:rPr>
        <w:t>las, D., Russell, B., Canty, N.</w:t>
      </w:r>
      <w:r w:rsidRPr="001B7668">
        <w:rPr>
          <w:rFonts w:cs="Times New Roman"/>
          <w:noProof/>
          <w:sz w:val="22"/>
          <w:szCs w:val="24"/>
        </w:rPr>
        <w:t xml:space="preserve"> &amp; Watkinson, A. (2011). Social media use in the research workflow. </w:t>
      </w:r>
      <w:r w:rsidRPr="001B7668">
        <w:rPr>
          <w:rFonts w:cs="Times New Roman"/>
          <w:i/>
          <w:iCs/>
          <w:noProof/>
          <w:sz w:val="22"/>
          <w:szCs w:val="24"/>
        </w:rPr>
        <w:t>Learned Publishing</w:t>
      </w:r>
      <w:r w:rsidRPr="001B7668">
        <w:rPr>
          <w:rFonts w:cs="Times New Roman"/>
          <w:noProof/>
          <w:sz w:val="22"/>
          <w:szCs w:val="24"/>
        </w:rPr>
        <w:t xml:space="preserve">, </w:t>
      </w:r>
      <w:r w:rsidRPr="001B7668">
        <w:rPr>
          <w:rFonts w:cs="Times New Roman"/>
          <w:i/>
          <w:iCs/>
          <w:noProof/>
          <w:sz w:val="22"/>
          <w:szCs w:val="24"/>
        </w:rPr>
        <w:t>24</w:t>
      </w:r>
      <w:r w:rsidRPr="001B7668">
        <w:rPr>
          <w:rFonts w:cs="Times New Roman"/>
          <w:noProof/>
          <w:sz w:val="22"/>
          <w:szCs w:val="24"/>
        </w:rPr>
        <w:t>(3), 183–195.</w:t>
      </w:r>
    </w:p>
    <w:p w14:paraId="6AFE6BBF" w14:textId="108C0282"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Semertzidis, K., Pitoura, E. &amp; Tsaparas, P. (2013). How people describe themselves on Twitter. </w:t>
      </w:r>
      <w:r w:rsidRPr="001B7668">
        <w:rPr>
          <w:rFonts w:cs="Times New Roman"/>
          <w:i/>
          <w:iCs/>
          <w:noProof/>
          <w:sz w:val="22"/>
          <w:szCs w:val="24"/>
        </w:rPr>
        <w:t>Proceedings of the ACM SIGMOD Workshop on Databases and Social Networks - DBSocial ’13</w:t>
      </w:r>
      <w:r w:rsidRPr="001B7668">
        <w:rPr>
          <w:rFonts w:cs="Times New Roman"/>
          <w:noProof/>
          <w:sz w:val="22"/>
          <w:szCs w:val="24"/>
        </w:rPr>
        <w:t>, 25–30. https://doi.org/10.1145/2484702.2484708</w:t>
      </w:r>
    </w:p>
    <w:p w14:paraId="3D787FDD" w14:textId="77777777"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Tesch, R. (1990). </w:t>
      </w:r>
      <w:r w:rsidRPr="001B7668">
        <w:rPr>
          <w:rFonts w:cs="Times New Roman"/>
          <w:i/>
          <w:iCs/>
          <w:noProof/>
          <w:sz w:val="22"/>
          <w:szCs w:val="24"/>
        </w:rPr>
        <w:t>Qualitative Research: Analysis Types and Software Tools</w:t>
      </w:r>
      <w:r w:rsidRPr="001B7668">
        <w:rPr>
          <w:rFonts w:cs="Times New Roman"/>
          <w:noProof/>
          <w:sz w:val="22"/>
          <w:szCs w:val="24"/>
        </w:rPr>
        <w:t xml:space="preserve">. </w:t>
      </w:r>
      <w:r w:rsidRPr="001B7668">
        <w:rPr>
          <w:rFonts w:cs="Times New Roman"/>
          <w:i/>
          <w:iCs/>
          <w:noProof/>
          <w:sz w:val="22"/>
          <w:szCs w:val="24"/>
        </w:rPr>
        <w:t>Australian And New Zealand Journal Of Sociology</w:t>
      </w:r>
      <w:r w:rsidRPr="001B7668">
        <w:rPr>
          <w:rFonts w:cs="Times New Roman"/>
          <w:noProof/>
          <w:sz w:val="22"/>
          <w:szCs w:val="24"/>
        </w:rPr>
        <w:t xml:space="preserve"> (Vol. 27).</w:t>
      </w:r>
    </w:p>
    <w:p w14:paraId="52CE1654" w14:textId="3BFF7FEF" w:rsidR="001B7668" w:rsidRPr="00DC0796" w:rsidRDefault="001B7668" w:rsidP="001B7668">
      <w:pPr>
        <w:widowControl w:val="0"/>
        <w:autoSpaceDE w:val="0"/>
        <w:autoSpaceDN w:val="0"/>
        <w:adjustRightInd w:val="0"/>
        <w:spacing w:line="360" w:lineRule="auto"/>
        <w:ind w:left="480" w:hanging="480"/>
        <w:rPr>
          <w:rFonts w:cs="Times New Roman"/>
          <w:noProof/>
          <w:sz w:val="22"/>
          <w:szCs w:val="24"/>
          <w:lang w:val="fi-FI"/>
        </w:rPr>
      </w:pPr>
      <w:r w:rsidRPr="001B7668">
        <w:rPr>
          <w:rFonts w:cs="Times New Roman"/>
          <w:noProof/>
          <w:sz w:val="22"/>
          <w:szCs w:val="24"/>
        </w:rPr>
        <w:t>Thelwall, M., Haustein, S., Lariviè</w:t>
      </w:r>
      <w:r w:rsidR="00CC105C">
        <w:rPr>
          <w:rFonts w:cs="Times New Roman"/>
          <w:noProof/>
          <w:sz w:val="22"/>
          <w:szCs w:val="24"/>
        </w:rPr>
        <w:t>re, V.</w:t>
      </w:r>
      <w:r w:rsidRPr="001B7668">
        <w:rPr>
          <w:rFonts w:cs="Times New Roman"/>
          <w:noProof/>
          <w:sz w:val="22"/>
          <w:szCs w:val="24"/>
        </w:rPr>
        <w:t xml:space="preserve"> &amp; Sugimoto, C. R. (2013). Do Altmetrics Work? Twitter and Ten Other Social Web Services. </w:t>
      </w:r>
      <w:r w:rsidRPr="00DC0796">
        <w:rPr>
          <w:rFonts w:cs="Times New Roman"/>
          <w:i/>
          <w:iCs/>
          <w:noProof/>
          <w:sz w:val="22"/>
          <w:szCs w:val="24"/>
          <w:lang w:val="fi-FI"/>
        </w:rPr>
        <w:t>PLoS ONE</w:t>
      </w:r>
      <w:r w:rsidRPr="00DC0796">
        <w:rPr>
          <w:rFonts w:cs="Times New Roman"/>
          <w:noProof/>
          <w:sz w:val="22"/>
          <w:szCs w:val="24"/>
          <w:lang w:val="fi-FI"/>
        </w:rPr>
        <w:t xml:space="preserve">, </w:t>
      </w:r>
      <w:r w:rsidRPr="00DC0796">
        <w:rPr>
          <w:rFonts w:cs="Times New Roman"/>
          <w:i/>
          <w:iCs/>
          <w:noProof/>
          <w:sz w:val="22"/>
          <w:szCs w:val="24"/>
          <w:lang w:val="fi-FI"/>
        </w:rPr>
        <w:t>8</w:t>
      </w:r>
      <w:r w:rsidRPr="00DC0796">
        <w:rPr>
          <w:rFonts w:cs="Times New Roman"/>
          <w:noProof/>
          <w:sz w:val="22"/>
          <w:szCs w:val="24"/>
          <w:lang w:val="fi-FI"/>
        </w:rPr>
        <w:t>(5).</w:t>
      </w:r>
    </w:p>
    <w:p w14:paraId="356A4DB2" w14:textId="5C2D54D6" w:rsidR="001B7668" w:rsidRPr="00265287" w:rsidRDefault="001B7668" w:rsidP="001B7668">
      <w:pPr>
        <w:rPr>
          <w:lang w:val="fi-FI"/>
        </w:rPr>
      </w:pPr>
      <w:r>
        <w:rPr>
          <w:lang w:val="fi-FI"/>
        </w:rPr>
        <w:t xml:space="preserve">Tuomi, J., Sarajärvi, A. (2009). </w:t>
      </w:r>
      <w:r>
        <w:rPr>
          <w:i/>
          <w:lang w:val="fi-FI"/>
        </w:rPr>
        <w:t>Laadullinen tutkimus ja sisällönanalyysi</w:t>
      </w:r>
      <w:r>
        <w:rPr>
          <w:lang w:val="fi-FI"/>
        </w:rPr>
        <w:t xml:space="preserve">. </w:t>
      </w:r>
      <w:r w:rsidRPr="00265287">
        <w:rPr>
          <w:lang w:val="fi-FI"/>
        </w:rPr>
        <w:t>Helsinki: Tammi.</w:t>
      </w:r>
    </w:p>
    <w:p w14:paraId="473B7493" w14:textId="1AF29ADC" w:rsidR="001B7668" w:rsidRPr="00265287" w:rsidRDefault="00CC105C" w:rsidP="001B7668">
      <w:pPr>
        <w:widowControl w:val="0"/>
        <w:autoSpaceDE w:val="0"/>
        <w:autoSpaceDN w:val="0"/>
        <w:adjustRightInd w:val="0"/>
        <w:spacing w:line="360" w:lineRule="auto"/>
        <w:ind w:left="480" w:hanging="480"/>
        <w:rPr>
          <w:rFonts w:cs="Times New Roman"/>
          <w:noProof/>
          <w:sz w:val="22"/>
          <w:szCs w:val="24"/>
          <w:lang w:val="fi-FI"/>
        </w:rPr>
      </w:pPr>
      <w:r w:rsidRPr="00265287">
        <w:rPr>
          <w:rFonts w:cs="Times New Roman"/>
          <w:noProof/>
          <w:sz w:val="22"/>
          <w:szCs w:val="24"/>
          <w:lang w:val="fi-FI"/>
        </w:rPr>
        <w:t>Uddin, M. M., Imran, M.</w:t>
      </w:r>
      <w:r w:rsidR="001B7668" w:rsidRPr="00265287">
        <w:rPr>
          <w:rFonts w:cs="Times New Roman"/>
          <w:noProof/>
          <w:sz w:val="22"/>
          <w:szCs w:val="24"/>
          <w:lang w:val="fi-FI"/>
        </w:rPr>
        <w:t xml:space="preserve"> &amp; Sajjad, H. (2014). Understanding Types of Users on Twitter. </w:t>
      </w:r>
      <w:r w:rsidR="001B7668" w:rsidRPr="00265287">
        <w:rPr>
          <w:rFonts w:cs="Times New Roman"/>
          <w:i/>
          <w:iCs/>
          <w:noProof/>
          <w:sz w:val="22"/>
          <w:szCs w:val="24"/>
          <w:lang w:val="fi-FI"/>
        </w:rPr>
        <w:t>arXiv Preprint</w:t>
      </w:r>
      <w:r w:rsidR="001B7668" w:rsidRPr="00265287">
        <w:rPr>
          <w:rFonts w:cs="Times New Roman"/>
          <w:noProof/>
          <w:sz w:val="22"/>
          <w:szCs w:val="24"/>
          <w:lang w:val="fi-FI"/>
        </w:rPr>
        <w:t>, 6. http://arxiv.org/abs/1406.1335</w:t>
      </w:r>
    </w:p>
    <w:p w14:paraId="4EF3FFFF" w14:textId="77777777" w:rsidR="001B7668" w:rsidRPr="001B7668" w:rsidRDefault="001B7668" w:rsidP="001B7668">
      <w:pPr>
        <w:widowControl w:val="0"/>
        <w:autoSpaceDE w:val="0"/>
        <w:autoSpaceDN w:val="0"/>
        <w:adjustRightInd w:val="0"/>
        <w:spacing w:line="360" w:lineRule="auto"/>
        <w:ind w:left="480" w:hanging="480"/>
        <w:rPr>
          <w:rFonts w:cs="Times New Roman"/>
          <w:noProof/>
          <w:sz w:val="22"/>
          <w:szCs w:val="24"/>
        </w:rPr>
      </w:pPr>
      <w:r w:rsidRPr="001B7668">
        <w:rPr>
          <w:rFonts w:cs="Times New Roman"/>
          <w:noProof/>
          <w:sz w:val="22"/>
          <w:szCs w:val="24"/>
        </w:rPr>
        <w:t xml:space="preserve">Weber, R. P. (1990). </w:t>
      </w:r>
      <w:r w:rsidRPr="001B7668">
        <w:rPr>
          <w:rFonts w:cs="Times New Roman"/>
          <w:i/>
          <w:iCs/>
          <w:noProof/>
          <w:sz w:val="22"/>
          <w:szCs w:val="24"/>
        </w:rPr>
        <w:t>Basic content analysis</w:t>
      </w:r>
      <w:r w:rsidRPr="001B7668">
        <w:rPr>
          <w:rFonts w:cs="Times New Roman"/>
          <w:noProof/>
          <w:sz w:val="22"/>
          <w:szCs w:val="24"/>
        </w:rPr>
        <w:t xml:space="preserve">. </w:t>
      </w:r>
      <w:r w:rsidRPr="001B7668">
        <w:rPr>
          <w:rFonts w:cs="Times New Roman"/>
          <w:i/>
          <w:iCs/>
          <w:noProof/>
          <w:sz w:val="22"/>
          <w:szCs w:val="24"/>
        </w:rPr>
        <w:t>Sage</w:t>
      </w:r>
      <w:r w:rsidRPr="001B7668">
        <w:rPr>
          <w:rFonts w:cs="Times New Roman"/>
          <w:noProof/>
          <w:sz w:val="22"/>
          <w:szCs w:val="24"/>
        </w:rPr>
        <w:t>. https://doi.org/10.2307/2289192</w:t>
      </w:r>
    </w:p>
    <w:p w14:paraId="01B0B641" w14:textId="6FB1BC26" w:rsidR="001B7668" w:rsidRPr="001B7668" w:rsidRDefault="00CC105C" w:rsidP="001B7668">
      <w:pPr>
        <w:widowControl w:val="0"/>
        <w:autoSpaceDE w:val="0"/>
        <w:autoSpaceDN w:val="0"/>
        <w:adjustRightInd w:val="0"/>
        <w:spacing w:line="360" w:lineRule="auto"/>
        <w:ind w:left="480" w:hanging="480"/>
        <w:rPr>
          <w:rFonts w:cs="Times New Roman"/>
          <w:noProof/>
          <w:sz w:val="22"/>
        </w:rPr>
      </w:pPr>
      <w:r>
        <w:rPr>
          <w:rFonts w:cs="Times New Roman"/>
          <w:noProof/>
          <w:sz w:val="22"/>
          <w:szCs w:val="24"/>
        </w:rPr>
        <w:t>Zhang, Y.</w:t>
      </w:r>
      <w:r w:rsidR="001B7668" w:rsidRPr="001B7668">
        <w:rPr>
          <w:rFonts w:cs="Times New Roman"/>
          <w:noProof/>
          <w:sz w:val="22"/>
          <w:szCs w:val="24"/>
        </w:rPr>
        <w:t xml:space="preserve"> &amp; Wildemuth, B. M. (2009). Qualitative Analysis of Content. </w:t>
      </w:r>
      <w:r w:rsidR="001B7668" w:rsidRPr="001B7668">
        <w:rPr>
          <w:rFonts w:cs="Times New Roman"/>
          <w:i/>
          <w:iCs/>
          <w:noProof/>
          <w:sz w:val="22"/>
          <w:szCs w:val="24"/>
        </w:rPr>
        <w:t>Applications of Social Research Methods to Questions in Information and Library Science</w:t>
      </w:r>
      <w:r w:rsidR="001B7668" w:rsidRPr="001B7668">
        <w:rPr>
          <w:rFonts w:cs="Times New Roman"/>
          <w:noProof/>
          <w:sz w:val="22"/>
          <w:szCs w:val="24"/>
        </w:rPr>
        <w:t>, 421. https://doi.org/10.1002/hbm.20661</w:t>
      </w:r>
    </w:p>
    <w:p w14:paraId="3B3EBF64" w14:textId="63468B7F" w:rsidR="00072C96" w:rsidRPr="00637624" w:rsidRDefault="00072C96" w:rsidP="00637624">
      <w:pPr>
        <w:spacing w:line="360" w:lineRule="auto"/>
        <w:ind w:left="720" w:hanging="720"/>
        <w:rPr>
          <w:rFonts w:cs="Times New Roman"/>
          <w:sz w:val="22"/>
        </w:rPr>
      </w:pPr>
      <w:r w:rsidRPr="00637624">
        <w:rPr>
          <w:rFonts w:cs="Times New Roman"/>
          <w:sz w:val="22"/>
          <w:lang w:val="fi-FI"/>
        </w:rPr>
        <w:fldChar w:fldCharType="end"/>
      </w:r>
    </w:p>
    <w:sectPr w:rsidR="00072C96" w:rsidRPr="00637624" w:rsidSect="00293C9E">
      <w:pgSz w:w="12240" w:h="15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0D5E8D" w14:textId="77777777" w:rsidR="00F563C9" w:rsidRDefault="00F563C9" w:rsidP="00BC0A94">
      <w:pPr>
        <w:spacing w:after="0" w:line="240" w:lineRule="auto"/>
      </w:pPr>
      <w:r>
        <w:separator/>
      </w:r>
    </w:p>
  </w:endnote>
  <w:endnote w:type="continuationSeparator" w:id="0">
    <w:p w14:paraId="3534C179" w14:textId="77777777" w:rsidR="00F563C9" w:rsidRDefault="00F563C9" w:rsidP="00BC0A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A6295F" w14:textId="77777777" w:rsidR="00F563C9" w:rsidRDefault="00F563C9" w:rsidP="00BC0A94">
      <w:pPr>
        <w:spacing w:after="0" w:line="240" w:lineRule="auto"/>
      </w:pPr>
      <w:r>
        <w:separator/>
      </w:r>
    </w:p>
  </w:footnote>
  <w:footnote w:type="continuationSeparator" w:id="0">
    <w:p w14:paraId="59297840" w14:textId="77777777" w:rsidR="00F563C9" w:rsidRDefault="00F563C9" w:rsidP="00BC0A94">
      <w:pPr>
        <w:spacing w:after="0" w:line="240" w:lineRule="auto"/>
      </w:pPr>
      <w:r>
        <w:continuationSeparator/>
      </w:r>
    </w:p>
  </w:footnote>
  <w:footnote w:id="1">
    <w:p w14:paraId="49FFED1B" w14:textId="77777777" w:rsidR="00244FDB" w:rsidRDefault="00244FDB" w:rsidP="003849AE">
      <w:pPr>
        <w:pStyle w:val="FootnoteText"/>
      </w:pPr>
    </w:p>
    <w:p w14:paraId="3FE7D133" w14:textId="7F7554FA" w:rsidR="00244FDB" w:rsidRPr="00FE0612" w:rsidRDefault="00244FDB" w:rsidP="003849AE">
      <w:pPr>
        <w:pStyle w:val="FootnoteText"/>
      </w:pPr>
      <w:r>
        <w:rPr>
          <w:rStyle w:val="FootnoteReference"/>
        </w:rPr>
        <w:footnoteRef/>
      </w:r>
      <w:r>
        <w:t xml:space="preserve"> Tekniikka (Engineering and Technology), Lääke- ja terveystieteet (Medical and Health Sciences), Luonnontieteet (Natural Sciences) ja Yhteiskuntatieteet (Social Sciences)</w:t>
      </w:r>
    </w:p>
  </w:footnote>
  <w:footnote w:id="2">
    <w:p w14:paraId="6A89BDDC" w14:textId="28BF4D0F" w:rsidR="00244FDB" w:rsidRPr="00931B42" w:rsidRDefault="00244FDB">
      <w:pPr>
        <w:pStyle w:val="FootnoteText"/>
      </w:pPr>
      <w:r>
        <w:rPr>
          <w:rStyle w:val="FootnoteReference"/>
        </w:rPr>
        <w:footnoteRef/>
      </w:r>
      <w:r w:rsidRPr="00931B42">
        <w:t xml:space="preserve"> http://www.mendeley.com</w:t>
      </w:r>
    </w:p>
  </w:footnote>
  <w:footnote w:id="3">
    <w:p w14:paraId="4E8F892B" w14:textId="7253CB1A" w:rsidR="00244FDB" w:rsidRPr="00931B42" w:rsidRDefault="00244FDB">
      <w:pPr>
        <w:pStyle w:val="FootnoteText"/>
      </w:pPr>
      <w:r>
        <w:rPr>
          <w:rStyle w:val="FootnoteReference"/>
        </w:rPr>
        <w:footnoteRef/>
      </w:r>
      <w:r w:rsidRPr="00931B42">
        <w:t xml:space="preserve"> http://about.twitter.com/fi/company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D01786"/>
    <w:multiLevelType w:val="hybridMultilevel"/>
    <w:tmpl w:val="40021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205763A"/>
    <w:multiLevelType w:val="hybridMultilevel"/>
    <w:tmpl w:val="DA0ECCE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A8C"/>
    <w:rsid w:val="000059C5"/>
    <w:rsid w:val="000075D7"/>
    <w:rsid w:val="00011ABF"/>
    <w:rsid w:val="00017980"/>
    <w:rsid w:val="0002443E"/>
    <w:rsid w:val="000248FD"/>
    <w:rsid w:val="00027E2C"/>
    <w:rsid w:val="0003582D"/>
    <w:rsid w:val="00040AFE"/>
    <w:rsid w:val="00040FB4"/>
    <w:rsid w:val="00046276"/>
    <w:rsid w:val="0005373A"/>
    <w:rsid w:val="00061E47"/>
    <w:rsid w:val="00072C96"/>
    <w:rsid w:val="0007451D"/>
    <w:rsid w:val="00084D08"/>
    <w:rsid w:val="00092481"/>
    <w:rsid w:val="00096CB8"/>
    <w:rsid w:val="000A4D6F"/>
    <w:rsid w:val="000A66BF"/>
    <w:rsid w:val="000C719B"/>
    <w:rsid w:val="000E77D4"/>
    <w:rsid w:val="000F2353"/>
    <w:rsid w:val="000F65FE"/>
    <w:rsid w:val="000F757C"/>
    <w:rsid w:val="001004F4"/>
    <w:rsid w:val="0013221F"/>
    <w:rsid w:val="00186896"/>
    <w:rsid w:val="001A3570"/>
    <w:rsid w:val="001A7BA2"/>
    <w:rsid w:val="001A7DD6"/>
    <w:rsid w:val="001B7668"/>
    <w:rsid w:val="001D387C"/>
    <w:rsid w:val="001E5DA6"/>
    <w:rsid w:val="001F18B2"/>
    <w:rsid w:val="001F5820"/>
    <w:rsid w:val="00210EE8"/>
    <w:rsid w:val="0021428F"/>
    <w:rsid w:val="00235309"/>
    <w:rsid w:val="00237B53"/>
    <w:rsid w:val="00244FDB"/>
    <w:rsid w:val="00250D4A"/>
    <w:rsid w:val="00265287"/>
    <w:rsid w:val="002740D2"/>
    <w:rsid w:val="00293C9E"/>
    <w:rsid w:val="00294C1E"/>
    <w:rsid w:val="002B23D2"/>
    <w:rsid w:val="002B61E9"/>
    <w:rsid w:val="002B69DB"/>
    <w:rsid w:val="002D06B6"/>
    <w:rsid w:val="002F0980"/>
    <w:rsid w:val="002F2DD6"/>
    <w:rsid w:val="002F5570"/>
    <w:rsid w:val="00303A13"/>
    <w:rsid w:val="00304F74"/>
    <w:rsid w:val="0031341B"/>
    <w:rsid w:val="0031494E"/>
    <w:rsid w:val="00335166"/>
    <w:rsid w:val="003365EA"/>
    <w:rsid w:val="0033721B"/>
    <w:rsid w:val="003468C6"/>
    <w:rsid w:val="00362795"/>
    <w:rsid w:val="00372EE5"/>
    <w:rsid w:val="0038051F"/>
    <w:rsid w:val="00380805"/>
    <w:rsid w:val="003816D6"/>
    <w:rsid w:val="003849AE"/>
    <w:rsid w:val="003B603B"/>
    <w:rsid w:val="003C18E8"/>
    <w:rsid w:val="003C2C10"/>
    <w:rsid w:val="003E141F"/>
    <w:rsid w:val="003E4176"/>
    <w:rsid w:val="003E630B"/>
    <w:rsid w:val="003F0BC8"/>
    <w:rsid w:val="003F1EFF"/>
    <w:rsid w:val="003F41F1"/>
    <w:rsid w:val="00433318"/>
    <w:rsid w:val="0043359A"/>
    <w:rsid w:val="00434654"/>
    <w:rsid w:val="0045062E"/>
    <w:rsid w:val="00452686"/>
    <w:rsid w:val="00456A76"/>
    <w:rsid w:val="00475058"/>
    <w:rsid w:val="004A4EB6"/>
    <w:rsid w:val="004A5F6D"/>
    <w:rsid w:val="004B036D"/>
    <w:rsid w:val="004B1A3D"/>
    <w:rsid w:val="004B7ED0"/>
    <w:rsid w:val="004C617C"/>
    <w:rsid w:val="004D3601"/>
    <w:rsid w:val="004D6EF8"/>
    <w:rsid w:val="004E3329"/>
    <w:rsid w:val="004E369D"/>
    <w:rsid w:val="004E3D70"/>
    <w:rsid w:val="00500618"/>
    <w:rsid w:val="0050431A"/>
    <w:rsid w:val="00527890"/>
    <w:rsid w:val="00527D61"/>
    <w:rsid w:val="0059418D"/>
    <w:rsid w:val="00596454"/>
    <w:rsid w:val="005B0219"/>
    <w:rsid w:val="005E18A4"/>
    <w:rsid w:val="005F7591"/>
    <w:rsid w:val="00601D1B"/>
    <w:rsid w:val="00602A4F"/>
    <w:rsid w:val="00637624"/>
    <w:rsid w:val="006377CA"/>
    <w:rsid w:val="00654C9E"/>
    <w:rsid w:val="00656F3E"/>
    <w:rsid w:val="006606CC"/>
    <w:rsid w:val="00671A48"/>
    <w:rsid w:val="0069082C"/>
    <w:rsid w:val="006908DE"/>
    <w:rsid w:val="00695677"/>
    <w:rsid w:val="00697849"/>
    <w:rsid w:val="006D3B14"/>
    <w:rsid w:val="006E5BAB"/>
    <w:rsid w:val="00722016"/>
    <w:rsid w:val="0072795D"/>
    <w:rsid w:val="007408CE"/>
    <w:rsid w:val="007453F9"/>
    <w:rsid w:val="00747B1E"/>
    <w:rsid w:val="007674E9"/>
    <w:rsid w:val="00771590"/>
    <w:rsid w:val="00781474"/>
    <w:rsid w:val="007825B9"/>
    <w:rsid w:val="00792D00"/>
    <w:rsid w:val="007A7089"/>
    <w:rsid w:val="007B56CF"/>
    <w:rsid w:val="007B6890"/>
    <w:rsid w:val="007B73F4"/>
    <w:rsid w:val="007C08AD"/>
    <w:rsid w:val="007C31CF"/>
    <w:rsid w:val="007D3A23"/>
    <w:rsid w:val="007D5F68"/>
    <w:rsid w:val="007D742E"/>
    <w:rsid w:val="007F4087"/>
    <w:rsid w:val="007F5A34"/>
    <w:rsid w:val="00805766"/>
    <w:rsid w:val="00831C0F"/>
    <w:rsid w:val="00831F55"/>
    <w:rsid w:val="008329E9"/>
    <w:rsid w:val="0084131E"/>
    <w:rsid w:val="008425D2"/>
    <w:rsid w:val="00846FE8"/>
    <w:rsid w:val="00860A4F"/>
    <w:rsid w:val="008758DC"/>
    <w:rsid w:val="00877CC1"/>
    <w:rsid w:val="00880348"/>
    <w:rsid w:val="008874C5"/>
    <w:rsid w:val="00891C95"/>
    <w:rsid w:val="008A2A54"/>
    <w:rsid w:val="008A5B5B"/>
    <w:rsid w:val="008C00AF"/>
    <w:rsid w:val="008D3AB1"/>
    <w:rsid w:val="008D4F33"/>
    <w:rsid w:val="008E1A99"/>
    <w:rsid w:val="008F577B"/>
    <w:rsid w:val="008F5C8B"/>
    <w:rsid w:val="00921E51"/>
    <w:rsid w:val="00931B42"/>
    <w:rsid w:val="00932C4C"/>
    <w:rsid w:val="00942CBB"/>
    <w:rsid w:val="00971F19"/>
    <w:rsid w:val="00975A77"/>
    <w:rsid w:val="00983D6C"/>
    <w:rsid w:val="009901A3"/>
    <w:rsid w:val="00993CEC"/>
    <w:rsid w:val="009A2584"/>
    <w:rsid w:val="009B2A65"/>
    <w:rsid w:val="009E488D"/>
    <w:rsid w:val="009E531B"/>
    <w:rsid w:val="009F7870"/>
    <w:rsid w:val="00A1431D"/>
    <w:rsid w:val="00A17AF1"/>
    <w:rsid w:val="00A25946"/>
    <w:rsid w:val="00A30E99"/>
    <w:rsid w:val="00A358EA"/>
    <w:rsid w:val="00A57CC7"/>
    <w:rsid w:val="00A75F2F"/>
    <w:rsid w:val="00A82CCC"/>
    <w:rsid w:val="00A83984"/>
    <w:rsid w:val="00A8427E"/>
    <w:rsid w:val="00A86D64"/>
    <w:rsid w:val="00AB0E7B"/>
    <w:rsid w:val="00AB3A8C"/>
    <w:rsid w:val="00AB7E60"/>
    <w:rsid w:val="00AD3C99"/>
    <w:rsid w:val="00AD5BA5"/>
    <w:rsid w:val="00AE6818"/>
    <w:rsid w:val="00B05ECF"/>
    <w:rsid w:val="00B116E0"/>
    <w:rsid w:val="00B13DB7"/>
    <w:rsid w:val="00B2212B"/>
    <w:rsid w:val="00B374EE"/>
    <w:rsid w:val="00B56960"/>
    <w:rsid w:val="00B75182"/>
    <w:rsid w:val="00B83BE3"/>
    <w:rsid w:val="00B910EA"/>
    <w:rsid w:val="00BB3A9F"/>
    <w:rsid w:val="00BC0A94"/>
    <w:rsid w:val="00BC2FB4"/>
    <w:rsid w:val="00BD145C"/>
    <w:rsid w:val="00BD1B43"/>
    <w:rsid w:val="00BE28ED"/>
    <w:rsid w:val="00BF3621"/>
    <w:rsid w:val="00C0590C"/>
    <w:rsid w:val="00C113D0"/>
    <w:rsid w:val="00C13E60"/>
    <w:rsid w:val="00C35052"/>
    <w:rsid w:val="00C37F1A"/>
    <w:rsid w:val="00C72A61"/>
    <w:rsid w:val="00C749C5"/>
    <w:rsid w:val="00C82471"/>
    <w:rsid w:val="00C91084"/>
    <w:rsid w:val="00CA5305"/>
    <w:rsid w:val="00CB0790"/>
    <w:rsid w:val="00CB598B"/>
    <w:rsid w:val="00CC105C"/>
    <w:rsid w:val="00CD6646"/>
    <w:rsid w:val="00CD6883"/>
    <w:rsid w:val="00CD7A8F"/>
    <w:rsid w:val="00CE7385"/>
    <w:rsid w:val="00CF4C0B"/>
    <w:rsid w:val="00D018CB"/>
    <w:rsid w:val="00D05C76"/>
    <w:rsid w:val="00D071CD"/>
    <w:rsid w:val="00D1240E"/>
    <w:rsid w:val="00D440AE"/>
    <w:rsid w:val="00D44B04"/>
    <w:rsid w:val="00D464CA"/>
    <w:rsid w:val="00D71C6D"/>
    <w:rsid w:val="00D95317"/>
    <w:rsid w:val="00DB7BE2"/>
    <w:rsid w:val="00DC0590"/>
    <w:rsid w:val="00DC0796"/>
    <w:rsid w:val="00DC59E6"/>
    <w:rsid w:val="00DF6EC0"/>
    <w:rsid w:val="00E25FDA"/>
    <w:rsid w:val="00E27BA7"/>
    <w:rsid w:val="00E311AC"/>
    <w:rsid w:val="00E45BD7"/>
    <w:rsid w:val="00E608FE"/>
    <w:rsid w:val="00E63F5B"/>
    <w:rsid w:val="00E73293"/>
    <w:rsid w:val="00E777C3"/>
    <w:rsid w:val="00E8768B"/>
    <w:rsid w:val="00E91DA4"/>
    <w:rsid w:val="00E94FF6"/>
    <w:rsid w:val="00E974FE"/>
    <w:rsid w:val="00EC4687"/>
    <w:rsid w:val="00ED4048"/>
    <w:rsid w:val="00ED5875"/>
    <w:rsid w:val="00EE1F43"/>
    <w:rsid w:val="00F1154A"/>
    <w:rsid w:val="00F125B8"/>
    <w:rsid w:val="00F22F11"/>
    <w:rsid w:val="00F365FE"/>
    <w:rsid w:val="00F41DD9"/>
    <w:rsid w:val="00F563C9"/>
    <w:rsid w:val="00F66761"/>
    <w:rsid w:val="00F6691B"/>
    <w:rsid w:val="00FB06EB"/>
    <w:rsid w:val="00FC7E9E"/>
    <w:rsid w:val="00FD2AC9"/>
    <w:rsid w:val="00FE0612"/>
    <w:rsid w:val="0AB24F9F"/>
    <w:rsid w:val="2C445C6A"/>
    <w:rsid w:val="355DDF72"/>
    <w:rsid w:val="5BA9FBD5"/>
    <w:rsid w:val="60CAD1BF"/>
    <w:rsid w:val="629D79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FD38C"/>
  <w15:docId w15:val="{F881BE3E-80B8-4B40-8DD5-D64832DAB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6CB8"/>
    <w:pPr>
      <w:spacing w:after="200" w:line="276"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72A61"/>
    <w:rPr>
      <w:sz w:val="16"/>
      <w:szCs w:val="16"/>
    </w:rPr>
  </w:style>
  <w:style w:type="paragraph" w:styleId="CommentText">
    <w:name w:val="annotation text"/>
    <w:basedOn w:val="Normal"/>
    <w:link w:val="CommentTextChar"/>
    <w:uiPriority w:val="99"/>
    <w:semiHidden/>
    <w:unhideWhenUsed/>
    <w:rsid w:val="00C72A61"/>
    <w:pPr>
      <w:spacing w:line="240" w:lineRule="auto"/>
    </w:pPr>
    <w:rPr>
      <w:sz w:val="20"/>
      <w:szCs w:val="20"/>
    </w:rPr>
  </w:style>
  <w:style w:type="character" w:customStyle="1" w:styleId="CommentTextChar">
    <w:name w:val="Comment Text Char"/>
    <w:basedOn w:val="DefaultParagraphFont"/>
    <w:link w:val="CommentText"/>
    <w:uiPriority w:val="99"/>
    <w:semiHidden/>
    <w:rsid w:val="00C72A61"/>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72A61"/>
    <w:rPr>
      <w:b/>
      <w:bCs/>
    </w:rPr>
  </w:style>
  <w:style w:type="character" w:customStyle="1" w:styleId="CommentSubjectChar">
    <w:name w:val="Comment Subject Char"/>
    <w:basedOn w:val="CommentTextChar"/>
    <w:link w:val="CommentSubject"/>
    <w:uiPriority w:val="99"/>
    <w:semiHidden/>
    <w:rsid w:val="00C72A61"/>
    <w:rPr>
      <w:rFonts w:ascii="Times New Roman" w:hAnsi="Times New Roman"/>
      <w:b/>
      <w:bCs/>
      <w:sz w:val="20"/>
      <w:szCs w:val="20"/>
    </w:rPr>
  </w:style>
  <w:style w:type="paragraph" w:styleId="BalloonText">
    <w:name w:val="Balloon Text"/>
    <w:basedOn w:val="Normal"/>
    <w:link w:val="BalloonTextChar"/>
    <w:uiPriority w:val="99"/>
    <w:semiHidden/>
    <w:unhideWhenUsed/>
    <w:rsid w:val="00C72A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2A61"/>
    <w:rPr>
      <w:rFonts w:ascii="Segoe UI" w:hAnsi="Segoe UI" w:cs="Segoe UI"/>
      <w:sz w:val="18"/>
      <w:szCs w:val="18"/>
    </w:rPr>
  </w:style>
  <w:style w:type="paragraph" w:styleId="PlainText">
    <w:name w:val="Plain Text"/>
    <w:basedOn w:val="Normal"/>
    <w:link w:val="PlainTextChar"/>
    <w:uiPriority w:val="99"/>
    <w:semiHidden/>
    <w:unhideWhenUsed/>
    <w:rsid w:val="00362795"/>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362795"/>
    <w:rPr>
      <w:rFonts w:ascii="Consolas" w:hAnsi="Consolas"/>
      <w:sz w:val="21"/>
      <w:szCs w:val="21"/>
    </w:rPr>
  </w:style>
  <w:style w:type="paragraph" w:styleId="FootnoteText">
    <w:name w:val="footnote text"/>
    <w:basedOn w:val="Normal"/>
    <w:link w:val="FootnoteTextChar"/>
    <w:uiPriority w:val="99"/>
    <w:semiHidden/>
    <w:unhideWhenUsed/>
    <w:rsid w:val="00BC0A9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C0A94"/>
    <w:rPr>
      <w:rFonts w:ascii="Times New Roman" w:hAnsi="Times New Roman"/>
      <w:sz w:val="20"/>
      <w:szCs w:val="20"/>
    </w:rPr>
  </w:style>
  <w:style w:type="character" w:styleId="FootnoteReference">
    <w:name w:val="footnote reference"/>
    <w:basedOn w:val="DefaultParagraphFont"/>
    <w:uiPriority w:val="99"/>
    <w:semiHidden/>
    <w:unhideWhenUsed/>
    <w:rsid w:val="00BC0A94"/>
    <w:rPr>
      <w:vertAlign w:val="superscript"/>
    </w:rPr>
  </w:style>
  <w:style w:type="paragraph" w:styleId="ListParagraph">
    <w:name w:val="List Paragraph"/>
    <w:basedOn w:val="Normal"/>
    <w:uiPriority w:val="34"/>
    <w:qFormat/>
    <w:rsid w:val="00B2212B"/>
    <w:pPr>
      <w:ind w:left="720"/>
      <w:contextualSpacing/>
    </w:pPr>
  </w:style>
  <w:style w:type="paragraph" w:styleId="Caption">
    <w:name w:val="caption"/>
    <w:basedOn w:val="Normal"/>
    <w:next w:val="Normal"/>
    <w:uiPriority w:val="35"/>
    <w:unhideWhenUsed/>
    <w:qFormat/>
    <w:rsid w:val="00E311AC"/>
    <w:pPr>
      <w:spacing w:line="240" w:lineRule="auto"/>
    </w:pPr>
    <w:rPr>
      <w:i/>
      <w:iCs/>
      <w:color w:val="44546A" w:themeColor="text2"/>
      <w:sz w:val="18"/>
      <w:szCs w:val="18"/>
    </w:rPr>
  </w:style>
  <w:style w:type="table" w:customStyle="1" w:styleId="PlainTable31">
    <w:name w:val="Plain Table 31"/>
    <w:basedOn w:val="TableNormal"/>
    <w:uiPriority w:val="43"/>
    <w:rsid w:val="00BC2FB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51">
    <w:name w:val="Plain Table 51"/>
    <w:basedOn w:val="TableNormal"/>
    <w:uiPriority w:val="45"/>
    <w:rsid w:val="00BC2FB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itle">
    <w:name w:val="Title"/>
    <w:basedOn w:val="Normal"/>
    <w:next w:val="Normal"/>
    <w:link w:val="TitleChar"/>
    <w:uiPriority w:val="10"/>
    <w:qFormat/>
    <w:rsid w:val="00A8398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3984"/>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2740D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8337">
      <w:bodyDiv w:val="1"/>
      <w:marLeft w:val="0"/>
      <w:marRight w:val="0"/>
      <w:marTop w:val="0"/>
      <w:marBottom w:val="0"/>
      <w:divBdr>
        <w:top w:val="none" w:sz="0" w:space="0" w:color="auto"/>
        <w:left w:val="none" w:sz="0" w:space="0" w:color="auto"/>
        <w:bottom w:val="none" w:sz="0" w:space="0" w:color="auto"/>
        <w:right w:val="none" w:sz="0" w:space="0" w:color="auto"/>
      </w:divBdr>
    </w:div>
    <w:div w:id="19012750">
      <w:bodyDiv w:val="1"/>
      <w:marLeft w:val="0"/>
      <w:marRight w:val="0"/>
      <w:marTop w:val="0"/>
      <w:marBottom w:val="0"/>
      <w:divBdr>
        <w:top w:val="none" w:sz="0" w:space="0" w:color="auto"/>
        <w:left w:val="none" w:sz="0" w:space="0" w:color="auto"/>
        <w:bottom w:val="none" w:sz="0" w:space="0" w:color="auto"/>
        <w:right w:val="none" w:sz="0" w:space="0" w:color="auto"/>
      </w:divBdr>
    </w:div>
    <w:div w:id="107630848">
      <w:bodyDiv w:val="1"/>
      <w:marLeft w:val="0"/>
      <w:marRight w:val="0"/>
      <w:marTop w:val="0"/>
      <w:marBottom w:val="0"/>
      <w:divBdr>
        <w:top w:val="none" w:sz="0" w:space="0" w:color="auto"/>
        <w:left w:val="none" w:sz="0" w:space="0" w:color="auto"/>
        <w:bottom w:val="none" w:sz="0" w:space="0" w:color="auto"/>
        <w:right w:val="none" w:sz="0" w:space="0" w:color="auto"/>
      </w:divBdr>
    </w:div>
    <w:div w:id="132255365">
      <w:bodyDiv w:val="1"/>
      <w:marLeft w:val="0"/>
      <w:marRight w:val="0"/>
      <w:marTop w:val="0"/>
      <w:marBottom w:val="0"/>
      <w:divBdr>
        <w:top w:val="none" w:sz="0" w:space="0" w:color="auto"/>
        <w:left w:val="none" w:sz="0" w:space="0" w:color="auto"/>
        <w:bottom w:val="none" w:sz="0" w:space="0" w:color="auto"/>
        <w:right w:val="none" w:sz="0" w:space="0" w:color="auto"/>
      </w:divBdr>
    </w:div>
    <w:div w:id="133832731">
      <w:bodyDiv w:val="1"/>
      <w:marLeft w:val="0"/>
      <w:marRight w:val="0"/>
      <w:marTop w:val="0"/>
      <w:marBottom w:val="0"/>
      <w:divBdr>
        <w:top w:val="none" w:sz="0" w:space="0" w:color="auto"/>
        <w:left w:val="none" w:sz="0" w:space="0" w:color="auto"/>
        <w:bottom w:val="none" w:sz="0" w:space="0" w:color="auto"/>
        <w:right w:val="none" w:sz="0" w:space="0" w:color="auto"/>
      </w:divBdr>
    </w:div>
    <w:div w:id="303513043">
      <w:bodyDiv w:val="1"/>
      <w:marLeft w:val="0"/>
      <w:marRight w:val="0"/>
      <w:marTop w:val="0"/>
      <w:marBottom w:val="0"/>
      <w:divBdr>
        <w:top w:val="none" w:sz="0" w:space="0" w:color="auto"/>
        <w:left w:val="none" w:sz="0" w:space="0" w:color="auto"/>
        <w:bottom w:val="none" w:sz="0" w:space="0" w:color="auto"/>
        <w:right w:val="none" w:sz="0" w:space="0" w:color="auto"/>
      </w:divBdr>
    </w:div>
    <w:div w:id="360857849">
      <w:bodyDiv w:val="1"/>
      <w:marLeft w:val="0"/>
      <w:marRight w:val="0"/>
      <w:marTop w:val="0"/>
      <w:marBottom w:val="0"/>
      <w:divBdr>
        <w:top w:val="none" w:sz="0" w:space="0" w:color="auto"/>
        <w:left w:val="none" w:sz="0" w:space="0" w:color="auto"/>
        <w:bottom w:val="none" w:sz="0" w:space="0" w:color="auto"/>
        <w:right w:val="none" w:sz="0" w:space="0" w:color="auto"/>
      </w:divBdr>
    </w:div>
    <w:div w:id="387077187">
      <w:bodyDiv w:val="1"/>
      <w:marLeft w:val="0"/>
      <w:marRight w:val="0"/>
      <w:marTop w:val="0"/>
      <w:marBottom w:val="0"/>
      <w:divBdr>
        <w:top w:val="none" w:sz="0" w:space="0" w:color="auto"/>
        <w:left w:val="none" w:sz="0" w:space="0" w:color="auto"/>
        <w:bottom w:val="none" w:sz="0" w:space="0" w:color="auto"/>
        <w:right w:val="none" w:sz="0" w:space="0" w:color="auto"/>
      </w:divBdr>
    </w:div>
    <w:div w:id="640620901">
      <w:bodyDiv w:val="1"/>
      <w:marLeft w:val="0"/>
      <w:marRight w:val="0"/>
      <w:marTop w:val="0"/>
      <w:marBottom w:val="0"/>
      <w:divBdr>
        <w:top w:val="none" w:sz="0" w:space="0" w:color="auto"/>
        <w:left w:val="none" w:sz="0" w:space="0" w:color="auto"/>
        <w:bottom w:val="none" w:sz="0" w:space="0" w:color="auto"/>
        <w:right w:val="none" w:sz="0" w:space="0" w:color="auto"/>
      </w:divBdr>
    </w:div>
    <w:div w:id="675305504">
      <w:bodyDiv w:val="1"/>
      <w:marLeft w:val="0"/>
      <w:marRight w:val="0"/>
      <w:marTop w:val="0"/>
      <w:marBottom w:val="0"/>
      <w:divBdr>
        <w:top w:val="none" w:sz="0" w:space="0" w:color="auto"/>
        <w:left w:val="none" w:sz="0" w:space="0" w:color="auto"/>
        <w:bottom w:val="none" w:sz="0" w:space="0" w:color="auto"/>
        <w:right w:val="none" w:sz="0" w:space="0" w:color="auto"/>
      </w:divBdr>
    </w:div>
    <w:div w:id="977882510">
      <w:bodyDiv w:val="1"/>
      <w:marLeft w:val="0"/>
      <w:marRight w:val="0"/>
      <w:marTop w:val="0"/>
      <w:marBottom w:val="0"/>
      <w:divBdr>
        <w:top w:val="none" w:sz="0" w:space="0" w:color="auto"/>
        <w:left w:val="none" w:sz="0" w:space="0" w:color="auto"/>
        <w:bottom w:val="none" w:sz="0" w:space="0" w:color="auto"/>
        <w:right w:val="none" w:sz="0" w:space="0" w:color="auto"/>
      </w:divBdr>
    </w:div>
    <w:div w:id="1017653148">
      <w:bodyDiv w:val="1"/>
      <w:marLeft w:val="0"/>
      <w:marRight w:val="0"/>
      <w:marTop w:val="0"/>
      <w:marBottom w:val="0"/>
      <w:divBdr>
        <w:top w:val="none" w:sz="0" w:space="0" w:color="auto"/>
        <w:left w:val="none" w:sz="0" w:space="0" w:color="auto"/>
        <w:bottom w:val="none" w:sz="0" w:space="0" w:color="auto"/>
        <w:right w:val="none" w:sz="0" w:space="0" w:color="auto"/>
      </w:divBdr>
    </w:div>
    <w:div w:id="1097097517">
      <w:bodyDiv w:val="1"/>
      <w:marLeft w:val="0"/>
      <w:marRight w:val="0"/>
      <w:marTop w:val="0"/>
      <w:marBottom w:val="0"/>
      <w:divBdr>
        <w:top w:val="none" w:sz="0" w:space="0" w:color="auto"/>
        <w:left w:val="none" w:sz="0" w:space="0" w:color="auto"/>
        <w:bottom w:val="none" w:sz="0" w:space="0" w:color="auto"/>
        <w:right w:val="none" w:sz="0" w:space="0" w:color="auto"/>
      </w:divBdr>
    </w:div>
    <w:div w:id="1202863315">
      <w:bodyDiv w:val="1"/>
      <w:marLeft w:val="0"/>
      <w:marRight w:val="0"/>
      <w:marTop w:val="0"/>
      <w:marBottom w:val="0"/>
      <w:divBdr>
        <w:top w:val="none" w:sz="0" w:space="0" w:color="auto"/>
        <w:left w:val="none" w:sz="0" w:space="0" w:color="auto"/>
        <w:bottom w:val="none" w:sz="0" w:space="0" w:color="auto"/>
        <w:right w:val="none" w:sz="0" w:space="0" w:color="auto"/>
      </w:divBdr>
    </w:div>
    <w:div w:id="1247031963">
      <w:bodyDiv w:val="1"/>
      <w:marLeft w:val="0"/>
      <w:marRight w:val="0"/>
      <w:marTop w:val="0"/>
      <w:marBottom w:val="0"/>
      <w:divBdr>
        <w:top w:val="none" w:sz="0" w:space="0" w:color="auto"/>
        <w:left w:val="none" w:sz="0" w:space="0" w:color="auto"/>
        <w:bottom w:val="none" w:sz="0" w:space="0" w:color="auto"/>
        <w:right w:val="none" w:sz="0" w:space="0" w:color="auto"/>
      </w:divBdr>
    </w:div>
    <w:div w:id="1715697589">
      <w:bodyDiv w:val="1"/>
      <w:marLeft w:val="0"/>
      <w:marRight w:val="0"/>
      <w:marTop w:val="0"/>
      <w:marBottom w:val="0"/>
      <w:divBdr>
        <w:top w:val="none" w:sz="0" w:space="0" w:color="auto"/>
        <w:left w:val="none" w:sz="0" w:space="0" w:color="auto"/>
        <w:bottom w:val="none" w:sz="0" w:space="0" w:color="auto"/>
        <w:right w:val="none" w:sz="0" w:space="0" w:color="auto"/>
      </w:divBdr>
    </w:div>
    <w:div w:id="1740591378">
      <w:bodyDiv w:val="1"/>
      <w:marLeft w:val="0"/>
      <w:marRight w:val="0"/>
      <w:marTop w:val="0"/>
      <w:marBottom w:val="0"/>
      <w:divBdr>
        <w:top w:val="none" w:sz="0" w:space="0" w:color="auto"/>
        <w:left w:val="none" w:sz="0" w:space="0" w:color="auto"/>
        <w:bottom w:val="none" w:sz="0" w:space="0" w:color="auto"/>
        <w:right w:val="none" w:sz="0" w:space="0" w:color="auto"/>
      </w:divBdr>
    </w:div>
    <w:div w:id="1773623809">
      <w:bodyDiv w:val="1"/>
      <w:marLeft w:val="0"/>
      <w:marRight w:val="0"/>
      <w:marTop w:val="0"/>
      <w:marBottom w:val="0"/>
      <w:divBdr>
        <w:top w:val="none" w:sz="0" w:space="0" w:color="auto"/>
        <w:left w:val="none" w:sz="0" w:space="0" w:color="auto"/>
        <w:bottom w:val="none" w:sz="0" w:space="0" w:color="auto"/>
        <w:right w:val="none" w:sz="0" w:space="0" w:color="auto"/>
      </w:divBdr>
    </w:div>
    <w:div w:id="1884364201">
      <w:bodyDiv w:val="1"/>
      <w:marLeft w:val="0"/>
      <w:marRight w:val="0"/>
      <w:marTop w:val="0"/>
      <w:marBottom w:val="0"/>
      <w:divBdr>
        <w:top w:val="none" w:sz="0" w:space="0" w:color="auto"/>
        <w:left w:val="none" w:sz="0" w:space="0" w:color="auto"/>
        <w:bottom w:val="none" w:sz="0" w:space="0" w:color="auto"/>
        <w:right w:val="none" w:sz="0" w:space="0" w:color="auto"/>
      </w:divBdr>
    </w:div>
    <w:div w:id="1897661562">
      <w:bodyDiv w:val="1"/>
      <w:marLeft w:val="0"/>
      <w:marRight w:val="0"/>
      <w:marTop w:val="0"/>
      <w:marBottom w:val="0"/>
      <w:divBdr>
        <w:top w:val="none" w:sz="0" w:space="0" w:color="auto"/>
        <w:left w:val="none" w:sz="0" w:space="0" w:color="auto"/>
        <w:bottom w:val="none" w:sz="0" w:space="0" w:color="auto"/>
        <w:right w:val="none" w:sz="0" w:space="0" w:color="auto"/>
      </w:divBdr>
    </w:div>
    <w:div w:id="1916086824">
      <w:bodyDiv w:val="1"/>
      <w:marLeft w:val="0"/>
      <w:marRight w:val="0"/>
      <w:marTop w:val="0"/>
      <w:marBottom w:val="0"/>
      <w:divBdr>
        <w:top w:val="none" w:sz="0" w:space="0" w:color="auto"/>
        <w:left w:val="none" w:sz="0" w:space="0" w:color="auto"/>
        <w:bottom w:val="none" w:sz="0" w:space="0" w:color="auto"/>
        <w:right w:val="none" w:sz="0" w:space="0" w:color="auto"/>
      </w:divBdr>
    </w:div>
    <w:div w:id="1987079987">
      <w:bodyDiv w:val="1"/>
      <w:marLeft w:val="0"/>
      <w:marRight w:val="0"/>
      <w:marTop w:val="0"/>
      <w:marBottom w:val="0"/>
      <w:divBdr>
        <w:top w:val="none" w:sz="0" w:space="0" w:color="auto"/>
        <w:left w:val="none" w:sz="0" w:space="0" w:color="auto"/>
        <w:bottom w:val="none" w:sz="0" w:space="0" w:color="auto"/>
        <w:right w:val="none" w:sz="0" w:space="0" w:color="auto"/>
      </w:divBdr>
    </w:div>
    <w:div w:id="210286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kava@liv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kijohol@utu.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50604-BC94-4C2B-9608-CADF28EEE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8644</Words>
  <Characters>70023</Characters>
  <Application>Microsoft Office Word</Application>
  <DocSecurity>4</DocSecurity>
  <Lines>583</Lines>
  <Paragraphs>157</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78510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Vainio</dc:creator>
  <cp:lastModifiedBy>Jari Herranen</cp:lastModifiedBy>
  <cp:revision>2</cp:revision>
  <cp:lastPrinted>2017-01-16T08:26:00Z</cp:lastPrinted>
  <dcterms:created xsi:type="dcterms:W3CDTF">2017-12-07T11:01:00Z</dcterms:created>
  <dcterms:modified xsi:type="dcterms:W3CDTF">2017-12-07T11:01:00Z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jukava@utu.fi@www.mendeley.com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